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3E" w:rsidRPr="00CB3E48" w:rsidRDefault="00924C67" w:rsidP="001F713E">
      <w:pPr>
        <w:widowControl w:val="0"/>
        <w:rPr>
          <w:b/>
          <w:spacing w:val="100"/>
        </w:rPr>
      </w:pPr>
      <w:r w:rsidRPr="00CB3E48">
        <w:rPr>
          <w:noProof/>
        </w:rPr>
        <w:drawing>
          <wp:anchor distT="0" distB="0" distL="114300" distR="114300" simplePos="0" relativeHeight="251659264" behindDoc="1" locked="0" layoutInCell="1" allowOverlap="1" wp14:anchorId="21B99802" wp14:editId="68094251">
            <wp:simplePos x="0" y="0"/>
            <wp:positionH relativeFrom="column">
              <wp:posOffset>-5715</wp:posOffset>
            </wp:positionH>
            <wp:positionV relativeFrom="paragraph">
              <wp:posOffset>-128270</wp:posOffset>
            </wp:positionV>
            <wp:extent cx="6762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296" y="20880"/>
                <wp:lineTo x="21296" y="0"/>
                <wp:lineTo x="0" y="0"/>
              </wp:wrapPolygon>
            </wp:wrapTight>
            <wp:docPr id="114" name="Obraz 23" descr="Opis: Opis: GU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Opis: Opis: GU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13E" w:rsidRPr="00CB3E48" w:rsidRDefault="001F713E" w:rsidP="001F713E">
      <w:pPr>
        <w:widowControl w:val="0"/>
        <w:rPr>
          <w:b/>
          <w:spacing w:val="100"/>
          <w:sz w:val="36"/>
        </w:rPr>
      </w:pPr>
      <w:r w:rsidRPr="00CB3E48">
        <w:rPr>
          <w:rFonts w:ascii="Arial" w:hAnsi="Arial" w:cs="Arial"/>
          <w:b/>
          <w:spacing w:val="100"/>
          <w:sz w:val="36"/>
        </w:rPr>
        <w:t>GŁÓWNY URZĄD STATYSTYCZNY</w:t>
      </w: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jc w:val="center"/>
        <w:rPr>
          <w:b/>
        </w:rPr>
      </w:pPr>
    </w:p>
    <w:p w:rsidR="001F713E" w:rsidRPr="00CB3E48" w:rsidRDefault="001F713E" w:rsidP="001F713E">
      <w:pPr>
        <w:widowControl w:val="0"/>
        <w:spacing w:line="360" w:lineRule="auto"/>
        <w:jc w:val="right"/>
        <w:rPr>
          <w:b/>
          <w:sz w:val="56"/>
          <w:szCs w:val="56"/>
        </w:rPr>
      </w:pPr>
      <w:r w:rsidRPr="00CB3E48">
        <w:rPr>
          <w:b/>
          <w:sz w:val="56"/>
          <w:szCs w:val="56"/>
        </w:rPr>
        <w:t>GOSPODARKA</w:t>
      </w:r>
    </w:p>
    <w:p w:rsidR="001F713E" w:rsidRPr="00CB3E48" w:rsidRDefault="001F713E" w:rsidP="001F713E">
      <w:pPr>
        <w:widowControl w:val="0"/>
        <w:spacing w:line="360" w:lineRule="auto"/>
        <w:jc w:val="right"/>
        <w:rPr>
          <w:b/>
          <w:sz w:val="56"/>
          <w:szCs w:val="56"/>
        </w:rPr>
      </w:pPr>
      <w:r w:rsidRPr="00CB3E48">
        <w:rPr>
          <w:b/>
          <w:sz w:val="56"/>
          <w:szCs w:val="56"/>
        </w:rPr>
        <w:t>MIESZKANIOWA</w:t>
      </w:r>
    </w:p>
    <w:p w:rsidR="001F713E" w:rsidRPr="00CB3E48" w:rsidRDefault="001F713E" w:rsidP="001F713E">
      <w:pPr>
        <w:widowControl w:val="0"/>
        <w:spacing w:line="360" w:lineRule="auto"/>
        <w:jc w:val="right"/>
        <w:rPr>
          <w:b/>
          <w:sz w:val="56"/>
          <w:szCs w:val="56"/>
        </w:rPr>
      </w:pPr>
      <w:r w:rsidRPr="00CB3E48">
        <w:rPr>
          <w:b/>
          <w:sz w:val="56"/>
          <w:szCs w:val="56"/>
        </w:rPr>
        <w:t>W 201</w:t>
      </w:r>
      <w:r w:rsidR="00D91FBE">
        <w:rPr>
          <w:b/>
          <w:sz w:val="56"/>
          <w:szCs w:val="56"/>
        </w:rPr>
        <w:t>5</w:t>
      </w:r>
      <w:r w:rsidRPr="00CB3E48">
        <w:rPr>
          <w:b/>
          <w:sz w:val="56"/>
          <w:szCs w:val="56"/>
        </w:rPr>
        <w:t xml:space="preserve"> R.</w:t>
      </w:r>
    </w:p>
    <w:p w:rsidR="001F713E" w:rsidRPr="00CB3E48" w:rsidRDefault="001F713E" w:rsidP="001F713E">
      <w:pPr>
        <w:widowControl w:val="0"/>
        <w:spacing w:line="360" w:lineRule="auto"/>
        <w:rPr>
          <w:b/>
          <w:sz w:val="48"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jc w:val="right"/>
        <w:rPr>
          <w:rFonts w:ascii="Arial" w:hAnsi="Arial" w:cs="Arial"/>
          <w:b/>
          <w:sz w:val="32"/>
          <w:szCs w:val="32"/>
        </w:rPr>
      </w:pP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rFonts w:ascii="Arial" w:hAnsi="Arial" w:cs="Arial"/>
          <w:b/>
          <w:sz w:val="32"/>
          <w:szCs w:val="32"/>
        </w:rPr>
        <w:t>Informacje</w:t>
      </w:r>
    </w:p>
    <w:p w:rsidR="001F713E" w:rsidRPr="00CB3E48" w:rsidRDefault="001F713E" w:rsidP="001F713E">
      <w:pPr>
        <w:jc w:val="right"/>
        <w:rPr>
          <w:rFonts w:ascii="Arial" w:hAnsi="Arial" w:cs="Arial"/>
          <w:b/>
          <w:sz w:val="32"/>
          <w:szCs w:val="32"/>
        </w:rPr>
      </w:pPr>
      <w:r w:rsidRPr="00CB3E48">
        <w:rPr>
          <w:rFonts w:ascii="Arial" w:hAnsi="Arial" w:cs="Arial"/>
          <w:b/>
          <w:sz w:val="32"/>
          <w:szCs w:val="32"/>
        </w:rPr>
        <w:t xml:space="preserve"> i opracowania</w:t>
      </w:r>
    </w:p>
    <w:p w:rsidR="001F713E" w:rsidRPr="00CB3E48" w:rsidRDefault="001F713E" w:rsidP="001F713E">
      <w:pPr>
        <w:jc w:val="right"/>
        <w:rPr>
          <w:rFonts w:ascii="Arial" w:hAnsi="Arial" w:cs="Arial"/>
          <w:b/>
          <w:sz w:val="32"/>
          <w:szCs w:val="32"/>
        </w:rPr>
      </w:pPr>
      <w:r w:rsidRPr="00CB3E48">
        <w:rPr>
          <w:rFonts w:ascii="Arial" w:hAnsi="Arial" w:cs="Arial"/>
          <w:b/>
          <w:sz w:val="32"/>
          <w:szCs w:val="32"/>
        </w:rPr>
        <w:t xml:space="preserve"> statystyczne</w:t>
      </w:r>
    </w:p>
    <w:p w:rsidR="001F713E" w:rsidRPr="00CB3E48" w:rsidRDefault="001F713E" w:rsidP="001F713E">
      <w:pPr>
        <w:jc w:val="right"/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Pr="00CB3E48" w:rsidRDefault="001F713E" w:rsidP="001F713E">
      <w:pPr>
        <w:rPr>
          <w:b/>
        </w:rPr>
      </w:pPr>
    </w:p>
    <w:p w:rsidR="001F713E" w:rsidRDefault="001F713E" w:rsidP="001F713E">
      <w:pPr>
        <w:rPr>
          <w:b/>
        </w:rPr>
      </w:pPr>
    </w:p>
    <w:p w:rsidR="006F5D1B" w:rsidRDefault="006F5D1B" w:rsidP="001F713E">
      <w:pPr>
        <w:rPr>
          <w:b/>
        </w:rPr>
      </w:pPr>
    </w:p>
    <w:p w:rsidR="006F5D1B" w:rsidRDefault="006F5D1B" w:rsidP="001F713E">
      <w:pPr>
        <w:rPr>
          <w:b/>
        </w:rPr>
      </w:pPr>
    </w:p>
    <w:p w:rsidR="006F5D1B" w:rsidRDefault="006F5D1B" w:rsidP="001F713E">
      <w:pPr>
        <w:rPr>
          <w:b/>
        </w:rPr>
      </w:pPr>
    </w:p>
    <w:p w:rsidR="006F5D1B" w:rsidRPr="00CB3E48" w:rsidRDefault="006F5D1B" w:rsidP="001F713E">
      <w:pPr>
        <w:rPr>
          <w:b/>
        </w:rPr>
      </w:pPr>
    </w:p>
    <w:p w:rsidR="001F713E" w:rsidRPr="00CB3E48" w:rsidRDefault="001F713E" w:rsidP="006F5D1B">
      <w:pPr>
        <w:spacing w:before="240"/>
        <w:jc w:val="center"/>
      </w:pPr>
      <w:r w:rsidRPr="00CB3E48">
        <w:t>Warszawa  październik  201</w:t>
      </w:r>
      <w:r w:rsidR="00D91FBE">
        <w:t>6</w:t>
      </w:r>
      <w:r w:rsidRPr="00CB3E48">
        <w:t xml:space="preserve"> r.</w:t>
      </w:r>
      <w:r w:rsidRPr="00CB3E48">
        <w:rPr>
          <w:b/>
        </w:rPr>
        <w:t xml:space="preserve"> </w:t>
      </w:r>
      <w:r w:rsidRPr="00CB3E48">
        <w:rPr>
          <w:b/>
        </w:rPr>
        <w:br w:type="page"/>
      </w: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  <w:rPr>
          <w:i/>
          <w:caps/>
          <w:kern w:val="28"/>
        </w:rPr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  <w:rPr>
          <w:b/>
        </w:rPr>
      </w:pPr>
      <w:r w:rsidRPr="00CB3E48">
        <w:rPr>
          <w:b/>
        </w:rPr>
        <w:t>Opracowanie publikacji:</w:t>
      </w:r>
      <w:r w:rsidRPr="00CB3E48">
        <w:rPr>
          <w:b/>
        </w:rPr>
        <w:tab/>
        <w:t>Główny Urząd Statystyczny</w:t>
      </w:r>
    </w:p>
    <w:p w:rsidR="00B00892" w:rsidRPr="00CB3E48" w:rsidRDefault="00B00892" w:rsidP="00500283">
      <w:pPr>
        <w:spacing w:line="276" w:lineRule="auto"/>
        <w:rPr>
          <w:b/>
        </w:rPr>
      </w:pPr>
      <w:r w:rsidRPr="00CB3E48">
        <w:rPr>
          <w:b/>
        </w:rPr>
        <w:t>Departament Handlu i Usług</w:t>
      </w: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  <w:rPr>
          <w:b/>
        </w:rPr>
      </w:pPr>
      <w:r w:rsidRPr="00CB3E48">
        <w:rPr>
          <w:b/>
        </w:rPr>
        <w:t>Autorzy:</w:t>
      </w:r>
      <w:r w:rsidRPr="00CB3E48">
        <w:rPr>
          <w:b/>
        </w:rPr>
        <w:tab/>
      </w:r>
      <w:r w:rsidR="00104A77" w:rsidRPr="00CB3E48">
        <w:rPr>
          <w:b/>
        </w:rPr>
        <w:tab/>
      </w:r>
      <w:r w:rsidRPr="00CB3E48">
        <w:rPr>
          <w:b/>
        </w:rPr>
        <w:tab/>
      </w:r>
      <w:r w:rsidR="00104A77" w:rsidRPr="00CB3E48">
        <w:rPr>
          <w:b/>
        </w:rPr>
        <w:tab/>
      </w:r>
      <w:r w:rsidR="006F5D1B">
        <w:rPr>
          <w:b/>
        </w:rPr>
        <w:tab/>
      </w:r>
      <w:r w:rsidRPr="00CB3E48">
        <w:rPr>
          <w:b/>
        </w:rPr>
        <w:t>Izabella Adamczyk</w:t>
      </w:r>
    </w:p>
    <w:p w:rsidR="00B00892" w:rsidRPr="00CB3E48" w:rsidRDefault="00B00892" w:rsidP="00500283">
      <w:pPr>
        <w:spacing w:line="276" w:lineRule="auto"/>
        <w:rPr>
          <w:b/>
        </w:rPr>
      </w:pPr>
      <w:r w:rsidRPr="00CB3E48">
        <w:rPr>
          <w:i/>
        </w:rPr>
        <w:tab/>
      </w:r>
      <w:r w:rsidRPr="00CB3E48">
        <w:rPr>
          <w:i/>
        </w:rPr>
        <w:tab/>
      </w:r>
      <w:r w:rsidRPr="00CB3E48">
        <w:rPr>
          <w:i/>
        </w:rPr>
        <w:tab/>
      </w:r>
      <w:r w:rsidRPr="00CB3E48">
        <w:rPr>
          <w:i/>
        </w:rPr>
        <w:tab/>
      </w:r>
      <w:r w:rsidRPr="00CB3E48">
        <w:rPr>
          <w:i/>
        </w:rPr>
        <w:tab/>
      </w:r>
      <w:r w:rsidR="006F5D1B">
        <w:rPr>
          <w:i/>
        </w:rPr>
        <w:tab/>
      </w:r>
      <w:r w:rsidRPr="00CB3E48">
        <w:rPr>
          <w:b/>
        </w:rPr>
        <w:t>Elżbieta Knyszewska</w:t>
      </w:r>
    </w:p>
    <w:p w:rsidR="00B00892" w:rsidRPr="00CB3E48" w:rsidRDefault="00B00892" w:rsidP="00500283">
      <w:pPr>
        <w:spacing w:line="276" w:lineRule="auto"/>
        <w:rPr>
          <w:i/>
        </w:rPr>
      </w:pP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="006F5D1B">
        <w:rPr>
          <w:b/>
        </w:rPr>
        <w:tab/>
      </w:r>
      <w:r w:rsidRPr="00CB3E48">
        <w:rPr>
          <w:b/>
        </w:rPr>
        <w:t>Magdalena Przybylska</w:t>
      </w:r>
    </w:p>
    <w:p w:rsidR="006F5D1B" w:rsidRPr="007D04D5" w:rsidRDefault="006F5D1B" w:rsidP="006F5D1B">
      <w:pPr>
        <w:keepNext/>
        <w:ind w:left="1496" w:right="142" w:firstLine="208"/>
        <w:rPr>
          <w:b/>
        </w:rPr>
      </w:pPr>
      <w:r w:rsidRPr="007D04D5">
        <w:rPr>
          <w:b/>
        </w:rPr>
        <w:tab/>
      </w:r>
      <w:r w:rsidRPr="007D04D5">
        <w:rPr>
          <w:b/>
        </w:rPr>
        <w:tab/>
      </w:r>
      <w:r w:rsidRPr="007D04D5">
        <w:rPr>
          <w:b/>
        </w:rPr>
        <w:tab/>
      </w:r>
      <w:r>
        <w:rPr>
          <w:b/>
        </w:rPr>
        <w:tab/>
      </w:r>
      <w:r w:rsidRPr="007D04D5">
        <w:rPr>
          <w:b/>
          <w:i/>
        </w:rPr>
        <w:t>Wydział Gospodarki</w:t>
      </w:r>
    </w:p>
    <w:p w:rsidR="006F5D1B" w:rsidRPr="007D04D5" w:rsidRDefault="006F5D1B" w:rsidP="006F5D1B">
      <w:pPr>
        <w:keepNext/>
        <w:ind w:left="1496" w:right="142" w:firstLine="208"/>
        <w:rPr>
          <w:b/>
        </w:rPr>
      </w:pPr>
      <w:r w:rsidRPr="007D04D5">
        <w:rPr>
          <w:b/>
        </w:rPr>
        <w:tab/>
      </w:r>
      <w:r w:rsidRPr="007D04D5">
        <w:rPr>
          <w:b/>
        </w:rPr>
        <w:tab/>
      </w:r>
      <w:r w:rsidRPr="007D04D5">
        <w:rPr>
          <w:b/>
        </w:rPr>
        <w:tab/>
      </w:r>
      <w:r>
        <w:rPr>
          <w:b/>
        </w:rPr>
        <w:tab/>
      </w:r>
      <w:r w:rsidRPr="007D04D5">
        <w:rPr>
          <w:b/>
          <w:i/>
        </w:rPr>
        <w:t>Komunalnej i Mieszkaniowej</w:t>
      </w: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</w:pPr>
    </w:p>
    <w:p w:rsidR="00B00892" w:rsidRPr="00CB3E48" w:rsidRDefault="00B00892" w:rsidP="00500283">
      <w:pPr>
        <w:spacing w:line="276" w:lineRule="auto"/>
        <w:rPr>
          <w:b/>
        </w:rPr>
      </w:pPr>
      <w:r w:rsidRPr="00CB3E48">
        <w:rPr>
          <w:b/>
        </w:rPr>
        <w:t>pod kier</w:t>
      </w:r>
      <w:r w:rsidR="00104A77" w:rsidRPr="00CB3E48">
        <w:rPr>
          <w:b/>
        </w:rPr>
        <w:t>unki</w:t>
      </w:r>
      <w:r w:rsidRPr="00CB3E48">
        <w:rPr>
          <w:b/>
        </w:rPr>
        <w:t>em:</w:t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="006F5D1B">
        <w:rPr>
          <w:b/>
        </w:rPr>
        <w:tab/>
      </w:r>
      <w:r w:rsidRPr="00CB3E48">
        <w:rPr>
          <w:b/>
        </w:rPr>
        <w:t xml:space="preserve">Agnieszki Matulskiej-Bachury </w:t>
      </w:r>
    </w:p>
    <w:p w:rsidR="00B00892" w:rsidRPr="006F5D1B" w:rsidRDefault="00B00892" w:rsidP="00500283">
      <w:pPr>
        <w:spacing w:line="276" w:lineRule="auto"/>
        <w:rPr>
          <w:b/>
          <w:i/>
        </w:rPr>
      </w:pP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Pr="00CB3E48">
        <w:rPr>
          <w:b/>
        </w:rPr>
        <w:tab/>
      </w:r>
      <w:r w:rsidR="006F5D1B">
        <w:rPr>
          <w:b/>
        </w:rPr>
        <w:tab/>
      </w:r>
      <w:r w:rsidRPr="006F5D1B">
        <w:rPr>
          <w:b/>
          <w:i/>
        </w:rPr>
        <w:t>Zastępcy Dyrektora Departamentu</w:t>
      </w:r>
    </w:p>
    <w:p w:rsidR="00B00892" w:rsidRPr="006F5D1B" w:rsidRDefault="00B00892" w:rsidP="00500283">
      <w:pPr>
        <w:spacing w:line="276" w:lineRule="auto"/>
        <w:rPr>
          <w:b/>
          <w:i/>
        </w:rPr>
      </w:pPr>
      <w:r w:rsidRPr="006F5D1B">
        <w:rPr>
          <w:b/>
          <w:i/>
        </w:rPr>
        <w:tab/>
      </w:r>
      <w:r w:rsidRPr="006F5D1B">
        <w:rPr>
          <w:b/>
          <w:i/>
        </w:rPr>
        <w:tab/>
      </w:r>
      <w:r w:rsidRPr="006F5D1B">
        <w:rPr>
          <w:b/>
          <w:i/>
        </w:rPr>
        <w:tab/>
      </w:r>
      <w:r w:rsidRPr="006F5D1B">
        <w:rPr>
          <w:b/>
          <w:i/>
        </w:rPr>
        <w:tab/>
      </w:r>
      <w:r w:rsidRPr="006F5D1B">
        <w:rPr>
          <w:b/>
          <w:i/>
        </w:rPr>
        <w:tab/>
      </w:r>
      <w:r w:rsidR="006F5D1B">
        <w:rPr>
          <w:b/>
          <w:i/>
        </w:rPr>
        <w:tab/>
      </w:r>
      <w:r w:rsidRPr="006F5D1B">
        <w:rPr>
          <w:b/>
          <w:i/>
        </w:rPr>
        <w:t>Handlu i Usług</w:t>
      </w:r>
    </w:p>
    <w:p w:rsidR="006F5D1B" w:rsidRPr="006F5D1B" w:rsidRDefault="006F5D1B" w:rsidP="006F5D1B">
      <w:pPr>
        <w:rPr>
          <w:b/>
        </w:rPr>
      </w:pPr>
    </w:p>
    <w:p w:rsidR="006F5D1B" w:rsidRPr="006F5D1B" w:rsidRDefault="006F5D1B" w:rsidP="006F5D1B">
      <w:pPr>
        <w:rPr>
          <w:b/>
        </w:rPr>
      </w:pPr>
    </w:p>
    <w:p w:rsidR="006F5D1B" w:rsidRPr="006F5D1B" w:rsidRDefault="006F5D1B" w:rsidP="006F5D1B">
      <w:pPr>
        <w:rPr>
          <w:b/>
        </w:rPr>
      </w:pPr>
    </w:p>
    <w:p w:rsidR="006F5D1B" w:rsidRPr="006F5D1B" w:rsidRDefault="006F5D1B" w:rsidP="006F5D1B">
      <w:pPr>
        <w:rPr>
          <w:b/>
        </w:rPr>
      </w:pPr>
      <w:r w:rsidRPr="006F5D1B">
        <w:rPr>
          <w:b/>
        </w:rPr>
        <w:t xml:space="preserve">Opracowanie tablic: </w:t>
      </w:r>
      <w:r w:rsidRPr="006F5D1B">
        <w:rPr>
          <w:b/>
        </w:rPr>
        <w:tab/>
      </w:r>
      <w:r w:rsidRPr="006F5D1B">
        <w:rPr>
          <w:b/>
        </w:rPr>
        <w:tab/>
      </w:r>
      <w:r w:rsidRPr="006F5D1B">
        <w:rPr>
          <w:b/>
        </w:rPr>
        <w:tab/>
        <w:t>Centrum Informatyki Statystycznej</w:t>
      </w:r>
    </w:p>
    <w:p w:rsidR="006F5D1B" w:rsidRPr="006F5D1B" w:rsidRDefault="006F5D1B" w:rsidP="006F5D1B">
      <w:pPr>
        <w:rPr>
          <w:b/>
        </w:rPr>
      </w:pPr>
      <w:r w:rsidRPr="006F5D1B">
        <w:rPr>
          <w:b/>
        </w:rPr>
        <w:t>Zakład w Łodzi</w:t>
      </w:r>
    </w:p>
    <w:p w:rsidR="006F5D1B" w:rsidRPr="006F5D1B" w:rsidRDefault="006F5D1B" w:rsidP="006F5D1B">
      <w:pPr>
        <w:rPr>
          <w:b/>
        </w:rPr>
      </w:pPr>
      <w:r w:rsidRPr="006F5D1B">
        <w:rPr>
          <w:b/>
        </w:rPr>
        <w:t>Urząd Statystyczny w Lublinie</w:t>
      </w:r>
    </w:p>
    <w:p w:rsidR="006F5D1B" w:rsidRPr="006F5D1B" w:rsidRDefault="006F5D1B" w:rsidP="006F5D1B">
      <w:pPr>
        <w:rPr>
          <w:b/>
        </w:rPr>
      </w:pPr>
    </w:p>
    <w:p w:rsidR="006F5D1B" w:rsidRPr="006F5D1B" w:rsidRDefault="006F5D1B" w:rsidP="006F5D1B">
      <w:pPr>
        <w:rPr>
          <w:b/>
        </w:rPr>
      </w:pPr>
    </w:p>
    <w:p w:rsidR="006F5D1B" w:rsidRPr="006F5D1B" w:rsidRDefault="006F5D1B" w:rsidP="006F5D1B">
      <w:pPr>
        <w:rPr>
          <w:b/>
        </w:rPr>
      </w:pPr>
      <w:r w:rsidRPr="006F5D1B">
        <w:rPr>
          <w:b/>
        </w:rPr>
        <w:t>Projekt oraz w</w:t>
      </w:r>
      <w:r>
        <w:rPr>
          <w:b/>
        </w:rPr>
        <w:t>ykonanie</w:t>
      </w:r>
    </w:p>
    <w:p w:rsidR="006F5D1B" w:rsidRPr="006F5D1B" w:rsidRDefault="006F5D1B" w:rsidP="006F5D1B">
      <w:pPr>
        <w:rPr>
          <w:b/>
        </w:rPr>
      </w:pPr>
      <w:r w:rsidRPr="006F5D1B">
        <w:rPr>
          <w:b/>
        </w:rPr>
        <w:t>map i wykresów:</w:t>
      </w:r>
      <w:r w:rsidRPr="006F5D1B">
        <w:rPr>
          <w:b/>
        </w:rPr>
        <w:tab/>
      </w:r>
      <w:r w:rsidRPr="006F5D1B">
        <w:rPr>
          <w:b/>
        </w:rPr>
        <w:tab/>
      </w:r>
      <w:r w:rsidRPr="006F5D1B">
        <w:rPr>
          <w:b/>
        </w:rPr>
        <w:tab/>
      </w:r>
      <w:r w:rsidRPr="006F5D1B">
        <w:rPr>
          <w:b/>
        </w:rPr>
        <w:tab/>
        <w:t>Zakład Wydawnictw Statystycznych</w:t>
      </w:r>
    </w:p>
    <w:p w:rsidR="006F5D1B" w:rsidRPr="006F5D1B" w:rsidRDefault="006F5D1B" w:rsidP="006F5D1B">
      <w:pPr>
        <w:rPr>
          <w:b/>
        </w:rPr>
      </w:pPr>
    </w:p>
    <w:p w:rsidR="00B00892" w:rsidRPr="006F5D1B" w:rsidRDefault="00B00892" w:rsidP="006F5D1B">
      <w:pPr>
        <w:rPr>
          <w:b/>
        </w:rPr>
      </w:pPr>
    </w:p>
    <w:p w:rsidR="00B00892" w:rsidRPr="006F5D1B" w:rsidRDefault="00B00892" w:rsidP="006F5D1B">
      <w:pPr>
        <w:rPr>
          <w:b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Pr="006F5D1B" w:rsidRDefault="00104A77" w:rsidP="006F5D1B">
      <w:pPr>
        <w:rPr>
          <w:b/>
          <w:i/>
          <w:caps/>
          <w:kern w:val="28"/>
        </w:rPr>
      </w:pPr>
    </w:p>
    <w:p w:rsidR="00104A77" w:rsidRDefault="00104A77" w:rsidP="00500283">
      <w:pPr>
        <w:spacing w:line="276" w:lineRule="auto"/>
        <w:rPr>
          <w:i/>
          <w:caps/>
          <w:kern w:val="28"/>
        </w:rPr>
      </w:pPr>
    </w:p>
    <w:p w:rsidR="006F5D1B" w:rsidRDefault="006F5D1B" w:rsidP="00500283">
      <w:pPr>
        <w:spacing w:line="276" w:lineRule="auto"/>
        <w:rPr>
          <w:i/>
          <w:caps/>
          <w:kern w:val="28"/>
        </w:rPr>
      </w:pPr>
    </w:p>
    <w:p w:rsidR="006F5D1B" w:rsidRDefault="006F5D1B" w:rsidP="00500283">
      <w:pPr>
        <w:spacing w:line="276" w:lineRule="auto"/>
        <w:rPr>
          <w:i/>
          <w:caps/>
          <w:kern w:val="28"/>
        </w:rPr>
      </w:pPr>
    </w:p>
    <w:p w:rsidR="006F5D1B" w:rsidRPr="00CB3E48" w:rsidRDefault="006F5D1B" w:rsidP="00500283">
      <w:pPr>
        <w:spacing w:line="276" w:lineRule="auto"/>
        <w:rPr>
          <w:i/>
          <w:caps/>
          <w:kern w:val="28"/>
        </w:rPr>
      </w:pPr>
    </w:p>
    <w:p w:rsidR="00104A77" w:rsidRPr="00CB3E48" w:rsidRDefault="00104A77" w:rsidP="00500283">
      <w:pPr>
        <w:spacing w:line="276" w:lineRule="auto"/>
      </w:pPr>
      <w:r w:rsidRPr="00CB3E48">
        <w:t xml:space="preserve">Publikacja dostępna na: </w:t>
      </w:r>
      <w:hyperlink r:id="rId9" w:history="1">
        <w:r w:rsidRPr="00CB3E48">
          <w:rPr>
            <w:rStyle w:val="Hipercze"/>
            <w:color w:val="auto"/>
          </w:rPr>
          <w:t>http://www.stat.gov.pl</w:t>
        </w:r>
      </w:hyperlink>
    </w:p>
    <w:p w:rsidR="00B00892" w:rsidRPr="00CB3E48" w:rsidRDefault="00104A77" w:rsidP="00500283">
      <w:pPr>
        <w:spacing w:line="276" w:lineRule="auto"/>
        <w:rPr>
          <w:i/>
          <w:caps/>
          <w:kern w:val="28"/>
        </w:rPr>
      </w:pPr>
      <w:r w:rsidRPr="00CB3E48">
        <w:t>Przy publikowaniu danych GUS prosimy o podanie źródła.</w:t>
      </w:r>
      <w:r w:rsidR="00B00892" w:rsidRPr="00CB3E48">
        <w:rPr>
          <w:i/>
          <w:caps/>
          <w:kern w:val="28"/>
        </w:rPr>
        <w:br w:type="page"/>
      </w:r>
    </w:p>
    <w:p w:rsidR="00B00892" w:rsidRPr="00CB3E48" w:rsidRDefault="00B00892" w:rsidP="00B00892">
      <w:pPr>
        <w:keepNext/>
        <w:widowControl w:val="0"/>
        <w:spacing w:before="120" w:after="240" w:line="360" w:lineRule="auto"/>
        <w:outlineLvl w:val="0"/>
        <w:rPr>
          <w:i/>
          <w:caps/>
          <w:kern w:val="28"/>
        </w:rPr>
      </w:pPr>
    </w:p>
    <w:p w:rsidR="00B00892" w:rsidRPr="00CB3E48" w:rsidRDefault="00B00892" w:rsidP="00EE787B">
      <w:pPr>
        <w:pStyle w:val="GM1"/>
      </w:pPr>
      <w:bookmarkStart w:id="0" w:name="_Toc464548390"/>
      <w:bookmarkStart w:id="1" w:name="_Toc465667880"/>
      <w:r w:rsidRPr="00CB3E48">
        <w:t>PRZEDMOWA</w:t>
      </w:r>
      <w:bookmarkEnd w:id="0"/>
      <w:bookmarkEnd w:id="1"/>
    </w:p>
    <w:p w:rsidR="00B00892" w:rsidRPr="00CB3E48" w:rsidRDefault="00B00892" w:rsidP="00B00892">
      <w:pPr>
        <w:tabs>
          <w:tab w:val="center" w:pos="4536"/>
        </w:tabs>
        <w:jc w:val="both"/>
        <w:rPr>
          <w:i/>
        </w:rPr>
      </w:pPr>
    </w:p>
    <w:p w:rsidR="00B00892" w:rsidRPr="00CB3E48" w:rsidRDefault="00B00892" w:rsidP="006F5D1B">
      <w:pPr>
        <w:spacing w:before="120" w:line="360" w:lineRule="auto"/>
        <w:ind w:firstLine="708"/>
        <w:jc w:val="both"/>
        <w:rPr>
          <w:i/>
        </w:rPr>
      </w:pPr>
      <w:r w:rsidRPr="00CB3E48">
        <w:rPr>
          <w:i/>
        </w:rPr>
        <w:t>Prezentujemy Państwu kolejną edycję publikacji z zakresu gospodarki mieszkaniowej. Zawarte w niej informacje dotyczą ogólnego stanu zasobów mieszkaniowych i podstawowych wskaźników</w:t>
      </w:r>
      <w:r w:rsidR="00FE6404">
        <w:rPr>
          <w:i/>
        </w:rPr>
        <w:t xml:space="preserve"> w zakresie </w:t>
      </w:r>
      <w:r w:rsidRPr="00CB3E48">
        <w:rPr>
          <w:i/>
        </w:rPr>
        <w:t>warunków mieszkaniowych ludności. Powyższe dane opracowano na podstawie bilansu zasobów mieszkaniowych za 201</w:t>
      </w:r>
      <w:r w:rsidR="00D91FBE">
        <w:rPr>
          <w:i/>
        </w:rPr>
        <w:t>5</w:t>
      </w:r>
      <w:r w:rsidRPr="00CB3E48">
        <w:rPr>
          <w:i/>
        </w:rPr>
        <w:t xml:space="preserve"> r.</w:t>
      </w:r>
    </w:p>
    <w:p w:rsidR="00B00892" w:rsidRPr="00CB3E48" w:rsidRDefault="00D91FBE" w:rsidP="00B00892">
      <w:pPr>
        <w:spacing w:before="240" w:after="120" w:line="360" w:lineRule="auto"/>
        <w:jc w:val="both"/>
        <w:rPr>
          <w:i/>
        </w:rPr>
      </w:pPr>
      <w:r>
        <w:rPr>
          <w:i/>
        </w:rPr>
        <w:t xml:space="preserve">Przedstawiona w opracowaniu charakterystyka zasobów mieszkaniowych została dokonana w podziale na poszczególne </w:t>
      </w:r>
      <w:r w:rsidRPr="001F713E">
        <w:rPr>
          <w:i/>
        </w:rPr>
        <w:t>form</w:t>
      </w:r>
      <w:r>
        <w:rPr>
          <w:i/>
        </w:rPr>
        <w:t>y</w:t>
      </w:r>
      <w:r w:rsidRPr="001F713E">
        <w:rPr>
          <w:i/>
        </w:rPr>
        <w:t xml:space="preserve"> własności (tj.: spółdzielni</w:t>
      </w:r>
      <w:r>
        <w:rPr>
          <w:i/>
        </w:rPr>
        <w:t>e</w:t>
      </w:r>
      <w:r w:rsidRPr="001F713E">
        <w:rPr>
          <w:i/>
        </w:rPr>
        <w:t xml:space="preserve"> mieszkaniow</w:t>
      </w:r>
      <w:r>
        <w:rPr>
          <w:i/>
        </w:rPr>
        <w:t>e</w:t>
      </w:r>
      <w:r w:rsidRPr="001F713E">
        <w:rPr>
          <w:i/>
        </w:rPr>
        <w:t>, gmin</w:t>
      </w:r>
      <w:r>
        <w:rPr>
          <w:i/>
        </w:rPr>
        <w:t>y</w:t>
      </w:r>
      <w:r w:rsidRPr="001F713E">
        <w:rPr>
          <w:i/>
        </w:rPr>
        <w:t>, zakład</w:t>
      </w:r>
      <w:r>
        <w:rPr>
          <w:i/>
        </w:rPr>
        <w:t>y</w:t>
      </w:r>
      <w:r w:rsidRPr="001F713E">
        <w:rPr>
          <w:i/>
        </w:rPr>
        <w:t xml:space="preserve"> pracy, Skarb Państwa, wspólnot</w:t>
      </w:r>
      <w:r>
        <w:rPr>
          <w:i/>
        </w:rPr>
        <w:t>y</w:t>
      </w:r>
      <w:r w:rsidRPr="001F713E">
        <w:rPr>
          <w:i/>
        </w:rPr>
        <w:t xml:space="preserve"> mieszkaniow</w:t>
      </w:r>
      <w:r>
        <w:rPr>
          <w:i/>
        </w:rPr>
        <w:t xml:space="preserve">e </w:t>
      </w:r>
      <w:r w:rsidRPr="001F713E">
        <w:rPr>
          <w:i/>
        </w:rPr>
        <w:t>i Towarzystw</w:t>
      </w:r>
      <w:r>
        <w:rPr>
          <w:i/>
        </w:rPr>
        <w:t>a</w:t>
      </w:r>
      <w:r w:rsidRPr="001F713E">
        <w:rPr>
          <w:i/>
        </w:rPr>
        <w:t xml:space="preserve"> Budownictwa Społecznego)</w:t>
      </w:r>
      <w:r w:rsidR="00FE6404">
        <w:rPr>
          <w:i/>
        </w:rPr>
        <w:t xml:space="preserve"> i </w:t>
      </w:r>
      <w:bookmarkStart w:id="2" w:name="_GoBack"/>
      <w:bookmarkEnd w:id="2"/>
      <w:r>
        <w:rPr>
          <w:i/>
        </w:rPr>
        <w:t xml:space="preserve">obejmuje </w:t>
      </w:r>
      <w:r w:rsidRPr="001F713E">
        <w:rPr>
          <w:i/>
        </w:rPr>
        <w:t>m. in.</w:t>
      </w:r>
      <w:r>
        <w:rPr>
          <w:i/>
        </w:rPr>
        <w:t xml:space="preserve"> informacje dotyczące</w:t>
      </w:r>
      <w:r w:rsidRPr="001F713E">
        <w:rPr>
          <w:i/>
        </w:rPr>
        <w:t xml:space="preserve"> liczby mieszkań zamieszkanych i niezamieszkanych, ich powierzchni użytkowej, </w:t>
      </w:r>
      <w:r w:rsidRPr="003C26C6">
        <w:rPr>
          <w:i/>
        </w:rPr>
        <w:t xml:space="preserve">sprzedaży i zwrotów mieszkań dawnym właścicielom, zaległości w opłatach za mieszkanie, eksmisji, </w:t>
      </w:r>
      <w:r w:rsidRPr="001F713E">
        <w:rPr>
          <w:i/>
        </w:rPr>
        <w:t>spłat kredytu mieszkaniowego w</w:t>
      </w:r>
      <w:r>
        <w:rPr>
          <w:i/>
        </w:rPr>
        <w:t> </w:t>
      </w:r>
      <w:r w:rsidRPr="001F713E">
        <w:rPr>
          <w:i/>
        </w:rPr>
        <w:t>spółdzielniach mieszkaniowych, remontów mieszkań w</w:t>
      </w:r>
      <w:r>
        <w:rPr>
          <w:i/>
        </w:rPr>
        <w:t> </w:t>
      </w:r>
      <w:r w:rsidRPr="001F713E">
        <w:rPr>
          <w:i/>
        </w:rPr>
        <w:t>budynkach mieszkalnych</w:t>
      </w:r>
      <w:r w:rsidR="00D96346">
        <w:rPr>
          <w:i/>
        </w:rPr>
        <w:t>,</w:t>
      </w:r>
      <w:r w:rsidRPr="001F713E">
        <w:rPr>
          <w:i/>
        </w:rPr>
        <w:t xml:space="preserve"> dodatków mieszkaniowych wypłaconych</w:t>
      </w:r>
      <w:r>
        <w:rPr>
          <w:i/>
        </w:rPr>
        <w:t xml:space="preserve"> </w:t>
      </w:r>
      <w:r w:rsidRPr="001F713E">
        <w:rPr>
          <w:i/>
        </w:rPr>
        <w:t>w 201</w:t>
      </w:r>
      <w:r>
        <w:rPr>
          <w:i/>
        </w:rPr>
        <w:t>5</w:t>
      </w:r>
      <w:r w:rsidRPr="001F713E">
        <w:rPr>
          <w:i/>
        </w:rPr>
        <w:t xml:space="preserve"> r. przez gminy użytkownikom lokali mieszkalnych</w:t>
      </w:r>
      <w:r w:rsidR="003813D7">
        <w:rPr>
          <w:i/>
        </w:rPr>
        <w:t xml:space="preserve"> </w:t>
      </w:r>
      <w:r w:rsidR="003813D7" w:rsidRPr="00EE787B">
        <w:rPr>
          <w:i/>
        </w:rPr>
        <w:t>oraz gruntach przeznaczonych pod budownictwo mieszkaniowe</w:t>
      </w:r>
      <w:r w:rsidRPr="00EE787B">
        <w:rPr>
          <w:i/>
        </w:rPr>
        <w:t xml:space="preserve">. </w:t>
      </w:r>
      <w:r w:rsidRPr="001F713E">
        <w:rPr>
          <w:i/>
        </w:rPr>
        <w:t>Powyższe informacje przygotowano na podstawie dany</w:t>
      </w:r>
      <w:r>
        <w:rPr>
          <w:i/>
        </w:rPr>
        <w:t>ch z bieżącej sprawozdawczości.</w:t>
      </w:r>
      <w:r w:rsidR="009F2C25" w:rsidRPr="00CB3E48">
        <w:rPr>
          <w:i/>
        </w:rPr>
        <w:t xml:space="preserve"> </w:t>
      </w:r>
    </w:p>
    <w:p w:rsidR="00B00892" w:rsidRPr="00CB3E48" w:rsidRDefault="00B00892" w:rsidP="00B00892">
      <w:pPr>
        <w:spacing w:after="240" w:line="360" w:lineRule="auto"/>
        <w:jc w:val="both"/>
        <w:rPr>
          <w:i/>
        </w:rPr>
      </w:pPr>
      <w:r w:rsidRPr="00CB3E48">
        <w:rPr>
          <w:i/>
        </w:rPr>
        <w:t>Zakres tematyczny zaprezentowano w przekrojach wojewódzkich. Informacje na niższych poziomach agregacji tj.: powiatu, gmin oraz w podziale miasto-wieś zostały również udostępnione w Banku Danych Lokalnych na stronie internetowej Głównego Urzędu Statystycznego</w:t>
      </w:r>
      <w:r w:rsidR="00022ACA" w:rsidRPr="00CB3E48">
        <w:rPr>
          <w:i/>
        </w:rPr>
        <w:t xml:space="preserve"> (</w:t>
      </w:r>
      <w:hyperlink r:id="rId10" w:history="1">
        <w:r w:rsidR="00D91FBE" w:rsidRPr="00E51AAD">
          <w:rPr>
            <w:rStyle w:val="Hipercze"/>
            <w:i/>
          </w:rPr>
          <w:t>www.stat.gov.pl</w:t>
        </w:r>
      </w:hyperlink>
      <w:r w:rsidR="00022ACA" w:rsidRPr="00CB3E48">
        <w:rPr>
          <w:i/>
        </w:rPr>
        <w:t>)</w:t>
      </w:r>
      <w:r w:rsidRPr="00CB3E48">
        <w:rPr>
          <w:i/>
        </w:rPr>
        <w:t>.</w:t>
      </w:r>
    </w:p>
    <w:p w:rsidR="00B00892" w:rsidRPr="00CB3E48" w:rsidRDefault="00B00892" w:rsidP="00B00892">
      <w:pPr>
        <w:spacing w:line="360" w:lineRule="auto"/>
        <w:jc w:val="both"/>
        <w:rPr>
          <w:i/>
        </w:rPr>
      </w:pPr>
      <w:r w:rsidRPr="00CB3E48">
        <w:rPr>
          <w:i/>
        </w:rPr>
        <w:t xml:space="preserve">Autorzy publikacji będą wdzięczni za przekazanie uwag oraz wniosków, które </w:t>
      </w:r>
      <w:r w:rsidR="00D96346">
        <w:rPr>
          <w:i/>
        </w:rPr>
        <w:t>mogą zostać</w:t>
      </w:r>
      <w:r w:rsidRPr="00CB3E48">
        <w:rPr>
          <w:i/>
        </w:rPr>
        <w:t xml:space="preserve"> wykorzystane w kolejnej edycji opracowania.</w:t>
      </w:r>
    </w:p>
    <w:p w:rsidR="00B00892" w:rsidRPr="00CB3E48" w:rsidRDefault="00B00892" w:rsidP="00B00892">
      <w:pPr>
        <w:tabs>
          <w:tab w:val="center" w:pos="5954"/>
        </w:tabs>
        <w:rPr>
          <w:i/>
        </w:rPr>
      </w:pPr>
    </w:p>
    <w:p w:rsidR="00B00892" w:rsidRPr="00CB3E48" w:rsidRDefault="00B00892" w:rsidP="00B00892">
      <w:pPr>
        <w:tabs>
          <w:tab w:val="center" w:pos="5954"/>
        </w:tabs>
        <w:rPr>
          <w:i/>
        </w:rPr>
      </w:pPr>
    </w:p>
    <w:p w:rsidR="00B00892" w:rsidRPr="00CB3E48" w:rsidRDefault="00B00892" w:rsidP="00B00892">
      <w:pPr>
        <w:tabs>
          <w:tab w:val="center" w:pos="5954"/>
        </w:tabs>
        <w:rPr>
          <w:i/>
        </w:rPr>
      </w:pPr>
    </w:p>
    <w:p w:rsidR="00B00892" w:rsidRPr="00CB3E48" w:rsidRDefault="00B00892" w:rsidP="00B00892">
      <w:pPr>
        <w:tabs>
          <w:tab w:val="center" w:pos="5954"/>
        </w:tabs>
        <w:rPr>
          <w:i/>
        </w:rPr>
      </w:pPr>
    </w:p>
    <w:p w:rsidR="00B00892" w:rsidRPr="00CB3E48" w:rsidRDefault="00B00892" w:rsidP="00B00892">
      <w:pPr>
        <w:tabs>
          <w:tab w:val="center" w:pos="5954"/>
        </w:tabs>
        <w:rPr>
          <w:i/>
        </w:rPr>
      </w:pPr>
    </w:p>
    <w:p w:rsidR="00B00892" w:rsidRPr="00CB3E48" w:rsidRDefault="00376229" w:rsidP="00B00892">
      <w:pPr>
        <w:tabs>
          <w:tab w:val="left" w:pos="5954"/>
        </w:tabs>
        <w:spacing w:line="360" w:lineRule="auto"/>
        <w:rPr>
          <w:i/>
        </w:rPr>
      </w:pPr>
      <w:r w:rsidRPr="00CB3E48">
        <w:rPr>
          <w:i/>
        </w:rPr>
        <w:tab/>
      </w:r>
      <w:r w:rsidRPr="00CB3E48">
        <w:rPr>
          <w:i/>
        </w:rPr>
        <w:tab/>
      </w:r>
      <w:r w:rsidR="00B00892" w:rsidRPr="00CB3E48">
        <w:rPr>
          <w:i/>
        </w:rPr>
        <w:t>Dyrektor</w:t>
      </w:r>
    </w:p>
    <w:p w:rsidR="00B00892" w:rsidRPr="00CB3E48" w:rsidRDefault="00376229" w:rsidP="00B00892">
      <w:pPr>
        <w:tabs>
          <w:tab w:val="left" w:pos="5954"/>
        </w:tabs>
        <w:spacing w:line="360" w:lineRule="auto"/>
        <w:rPr>
          <w:i/>
        </w:rPr>
      </w:pPr>
      <w:r w:rsidRPr="00CB3E48">
        <w:rPr>
          <w:i/>
        </w:rPr>
        <w:tab/>
      </w:r>
      <w:r w:rsidRPr="00CB3E48">
        <w:rPr>
          <w:i/>
        </w:rPr>
        <w:tab/>
      </w:r>
      <w:r w:rsidR="00B00892" w:rsidRPr="00CB3E48">
        <w:rPr>
          <w:i/>
        </w:rPr>
        <w:t>Departamentu Handlu i Usług</w:t>
      </w:r>
    </w:p>
    <w:p w:rsidR="00B00892" w:rsidRPr="00CB3E48" w:rsidRDefault="00376229" w:rsidP="00B00892">
      <w:pPr>
        <w:tabs>
          <w:tab w:val="left" w:pos="5954"/>
        </w:tabs>
        <w:spacing w:line="360" w:lineRule="auto"/>
        <w:rPr>
          <w:i/>
        </w:rPr>
      </w:pPr>
      <w:r w:rsidRPr="00CB3E48">
        <w:rPr>
          <w:i/>
        </w:rPr>
        <w:tab/>
      </w:r>
      <w:r w:rsidRPr="00CB3E48">
        <w:rPr>
          <w:i/>
        </w:rPr>
        <w:tab/>
      </w:r>
      <w:r w:rsidR="00B00892" w:rsidRPr="00CB3E48">
        <w:rPr>
          <w:i/>
        </w:rPr>
        <w:t>Ewa Adach-Stankiewicz</w:t>
      </w:r>
    </w:p>
    <w:p w:rsidR="00B00892" w:rsidRPr="00CB3E48" w:rsidRDefault="00B00892">
      <w:pPr>
        <w:rPr>
          <w:i/>
        </w:rPr>
      </w:pPr>
    </w:p>
    <w:p w:rsidR="00B00892" w:rsidRPr="00CB3E48" w:rsidRDefault="00B00892">
      <w:pPr>
        <w:rPr>
          <w:i/>
        </w:rPr>
      </w:pPr>
      <w:r w:rsidRPr="00CB3E48">
        <w:rPr>
          <w:i/>
        </w:rPr>
        <w:br w:type="page"/>
      </w:r>
    </w:p>
    <w:p w:rsidR="005F0A9A" w:rsidRDefault="005F0A9A" w:rsidP="005F0A9A">
      <w:pPr>
        <w:tabs>
          <w:tab w:val="center" w:pos="5954"/>
        </w:tabs>
        <w:rPr>
          <w:b/>
          <w:sz w:val="32"/>
        </w:rPr>
      </w:pPr>
      <w:r w:rsidRPr="00CB3E48">
        <w:rPr>
          <w:b/>
          <w:sz w:val="32"/>
        </w:rPr>
        <w:t>SPIS TREŚCI</w:t>
      </w:r>
    </w:p>
    <w:p w:rsidR="00DD6D4A" w:rsidRPr="00A22038" w:rsidRDefault="00DD6D4A" w:rsidP="00A22038">
      <w:pPr>
        <w:tabs>
          <w:tab w:val="center" w:pos="5954"/>
        </w:tabs>
        <w:spacing w:line="480" w:lineRule="auto"/>
        <w:rPr>
          <w:b/>
          <w:szCs w:val="24"/>
        </w:rPr>
      </w:pPr>
    </w:p>
    <w:p w:rsidR="005F0A9A" w:rsidRPr="00DD6D4A" w:rsidRDefault="005F0A9A" w:rsidP="00A22038">
      <w:pPr>
        <w:tabs>
          <w:tab w:val="left" w:pos="9450"/>
        </w:tabs>
        <w:spacing w:line="480" w:lineRule="auto"/>
        <w:jc w:val="right"/>
        <w:rPr>
          <w:szCs w:val="24"/>
          <w:u w:val="single"/>
        </w:rPr>
      </w:pPr>
      <w:r w:rsidRPr="00DD6D4A">
        <w:rPr>
          <w:szCs w:val="24"/>
        </w:rPr>
        <w:t>Str.</w:t>
      </w:r>
    </w:p>
    <w:p w:rsidR="00B2417F" w:rsidRPr="00A22038" w:rsidRDefault="00DD1CAF">
      <w:pPr>
        <w:pStyle w:val="Spistreci1"/>
        <w:tabs>
          <w:tab w:val="right" w:leader="dot" w:pos="9855"/>
        </w:tabs>
        <w:rPr>
          <w:rFonts w:eastAsiaTheme="minorEastAsia"/>
          <w:bCs w:val="0"/>
          <w:noProof/>
          <w:szCs w:val="24"/>
        </w:rPr>
      </w:pPr>
      <w:r w:rsidRPr="003B5CBE">
        <w:rPr>
          <w:bCs w:val="0"/>
          <w:caps/>
          <w:spacing w:val="100"/>
          <w:szCs w:val="24"/>
        </w:rPr>
        <w:fldChar w:fldCharType="begin"/>
      </w:r>
      <w:r w:rsidRPr="008F6883">
        <w:rPr>
          <w:bCs w:val="0"/>
          <w:caps/>
          <w:spacing w:val="100"/>
          <w:szCs w:val="24"/>
        </w:rPr>
        <w:instrText xml:space="preserve"> TOC \f \h \z \t "GM 1;1;GM 2;2;GM 3;3;GM 4;4;GM 5;5" </w:instrText>
      </w:r>
      <w:r w:rsidRPr="003B5CBE">
        <w:rPr>
          <w:bCs w:val="0"/>
          <w:caps/>
          <w:spacing w:val="100"/>
          <w:szCs w:val="24"/>
        </w:rPr>
        <w:fldChar w:fldCharType="separate"/>
      </w:r>
      <w:hyperlink w:anchor="_Toc465667880" w:history="1">
        <w:r w:rsidR="00B2417F" w:rsidRPr="00A22038">
          <w:rPr>
            <w:rStyle w:val="Hipercze"/>
            <w:noProof/>
            <w:szCs w:val="24"/>
          </w:rPr>
          <w:t>PRZEDMOWA</w:t>
        </w:r>
        <w:r w:rsidR="00B2417F" w:rsidRPr="00A22038">
          <w:rPr>
            <w:noProof/>
            <w:webHidden/>
            <w:szCs w:val="24"/>
          </w:rPr>
          <w:tab/>
        </w:r>
        <w:r w:rsidR="00B2417F" w:rsidRPr="00A22038">
          <w:rPr>
            <w:noProof/>
            <w:webHidden/>
            <w:szCs w:val="24"/>
          </w:rPr>
          <w:fldChar w:fldCharType="begin"/>
        </w:r>
        <w:r w:rsidR="00B2417F" w:rsidRPr="00A22038">
          <w:rPr>
            <w:noProof/>
            <w:webHidden/>
            <w:szCs w:val="24"/>
          </w:rPr>
          <w:instrText xml:space="preserve"> PAGEREF _Toc465667880 \h </w:instrText>
        </w:r>
        <w:r w:rsidR="00B2417F" w:rsidRPr="00A22038">
          <w:rPr>
            <w:noProof/>
            <w:webHidden/>
            <w:szCs w:val="24"/>
          </w:rPr>
        </w:r>
        <w:r w:rsidR="00B2417F" w:rsidRPr="00A22038">
          <w:rPr>
            <w:noProof/>
            <w:webHidden/>
            <w:szCs w:val="24"/>
          </w:rPr>
          <w:fldChar w:fldCharType="separate"/>
        </w:r>
        <w:r w:rsidR="00B2417F" w:rsidRPr="00A22038">
          <w:rPr>
            <w:noProof/>
            <w:webHidden/>
            <w:szCs w:val="24"/>
          </w:rPr>
          <w:t>3</w:t>
        </w:r>
        <w:r w:rsidR="00B2417F" w:rsidRPr="00A22038">
          <w:rPr>
            <w:noProof/>
            <w:webHidden/>
            <w:szCs w:val="24"/>
          </w:rPr>
          <w:fldChar w:fldCharType="end"/>
        </w:r>
      </w:hyperlink>
    </w:p>
    <w:p w:rsidR="00B2417F" w:rsidRPr="00A22038" w:rsidRDefault="00FE6404">
      <w:pPr>
        <w:pStyle w:val="Spistreci2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465667881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OBJAŚNIENIE ZNAKÓW UMOWNYCH I SKRÓTÓW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_Toc465667881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2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465667882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UWAGI METODYCZNE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_Toc465667882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3"/>
        <w:rPr>
          <w:rFonts w:eastAsiaTheme="minorEastAsia"/>
          <w:iCs w:val="0"/>
        </w:rPr>
      </w:pPr>
      <w:hyperlink w:anchor="_Toc465667883" w:history="1">
        <w:r w:rsidR="00B2417F" w:rsidRPr="00B2417F">
          <w:rPr>
            <w:rStyle w:val="Hipercze"/>
          </w:rPr>
          <w:t>Źródła i zakres danych</w:t>
        </w:r>
        <w:r w:rsidR="00B2417F" w:rsidRPr="00B2417F">
          <w:rPr>
            <w:webHidden/>
          </w:rPr>
          <w:tab/>
        </w:r>
        <w:r w:rsidR="00B2417F" w:rsidRPr="00A22038">
          <w:rPr>
            <w:webHidden/>
          </w:rPr>
          <w:fldChar w:fldCharType="begin"/>
        </w:r>
        <w:r w:rsidR="00B2417F" w:rsidRPr="00B2417F">
          <w:rPr>
            <w:webHidden/>
          </w:rPr>
          <w:instrText xml:space="preserve"> PAGEREF _Toc465667883 \h </w:instrText>
        </w:r>
        <w:r w:rsidR="00B2417F" w:rsidRPr="00A22038">
          <w:rPr>
            <w:webHidden/>
          </w:rPr>
        </w:r>
        <w:r w:rsidR="00B2417F" w:rsidRPr="00A22038">
          <w:rPr>
            <w:webHidden/>
          </w:rPr>
          <w:fldChar w:fldCharType="separate"/>
        </w:r>
        <w:r w:rsidR="00B2417F" w:rsidRPr="00B2417F">
          <w:rPr>
            <w:webHidden/>
          </w:rPr>
          <w:t>6</w:t>
        </w:r>
        <w:r w:rsidR="00B2417F" w:rsidRPr="00A22038">
          <w:rPr>
            <w:webHidden/>
          </w:rPr>
          <w:fldChar w:fldCharType="end"/>
        </w:r>
      </w:hyperlink>
    </w:p>
    <w:p w:rsidR="00B2417F" w:rsidRPr="00A22038" w:rsidRDefault="00FE6404">
      <w:pPr>
        <w:pStyle w:val="Spistreci3"/>
        <w:rPr>
          <w:rFonts w:eastAsiaTheme="minorEastAsia"/>
          <w:iCs w:val="0"/>
        </w:rPr>
      </w:pPr>
      <w:hyperlink w:anchor="_Toc465667884" w:history="1">
        <w:r w:rsidR="00B2417F" w:rsidRPr="00B2417F">
          <w:rPr>
            <w:rStyle w:val="Hipercze"/>
          </w:rPr>
          <w:t>Objaśnienia podstawowych pojęć</w:t>
        </w:r>
        <w:r w:rsidR="00B2417F" w:rsidRPr="00B2417F">
          <w:rPr>
            <w:webHidden/>
          </w:rPr>
          <w:tab/>
        </w:r>
        <w:r w:rsidR="00B2417F" w:rsidRPr="00A22038">
          <w:rPr>
            <w:webHidden/>
          </w:rPr>
          <w:fldChar w:fldCharType="begin"/>
        </w:r>
        <w:r w:rsidR="00B2417F" w:rsidRPr="00B2417F">
          <w:rPr>
            <w:webHidden/>
          </w:rPr>
          <w:instrText xml:space="preserve"> PAGEREF _Toc465667884 \h </w:instrText>
        </w:r>
        <w:r w:rsidR="00B2417F" w:rsidRPr="00A22038">
          <w:rPr>
            <w:webHidden/>
          </w:rPr>
        </w:r>
        <w:r w:rsidR="00B2417F" w:rsidRPr="00A22038">
          <w:rPr>
            <w:webHidden/>
          </w:rPr>
          <w:fldChar w:fldCharType="separate"/>
        </w:r>
        <w:r w:rsidR="00B2417F" w:rsidRPr="00B2417F">
          <w:rPr>
            <w:webHidden/>
          </w:rPr>
          <w:t>10</w:t>
        </w:r>
        <w:r w:rsidR="00B2417F" w:rsidRPr="00A22038">
          <w:rPr>
            <w:webHidden/>
          </w:rPr>
          <w:fldChar w:fldCharType="end"/>
        </w:r>
      </w:hyperlink>
    </w:p>
    <w:p w:rsidR="00B2417F" w:rsidRPr="00A22038" w:rsidRDefault="00FE6404">
      <w:pPr>
        <w:pStyle w:val="Spistreci2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465667885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WYNIKI BADAŃ - SYNTEZA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_Toc465667885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4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86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CZĘŚĆ A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_Toc465667886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87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Zasoby mieszkaniowe w 2015 r.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_Toc465667887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4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88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CZĘŚĆ B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_Toc465667888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89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Formy własności zasobów mieszkaniowych w budynkach objętych zarządem/administracją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_Toc465667889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90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Sprzedaż zasobów mieszkaniowych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_Toc465667890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28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91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Zaległości w opłatach za mieszkania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_Toc465667891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31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92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Działania eksmisyjne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_Toc465667892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33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93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Remonty zasobów mieszkaniowych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_Toc465667893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34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94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Dodatki mieszkaniowe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_Toc465667894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36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5"/>
        <w:rPr>
          <w:rFonts w:ascii="Times New Roman" w:eastAsiaTheme="minorEastAsia" w:hAnsi="Times New Roman"/>
          <w:noProof/>
          <w:sz w:val="24"/>
          <w:szCs w:val="24"/>
        </w:rPr>
      </w:pPr>
      <w:hyperlink w:anchor="_Toc465667895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Gospodarka gruntami pod budownictwo mieszkaniowe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_Toc465667895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38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Pr="00A22038" w:rsidRDefault="00FE6404">
      <w:pPr>
        <w:pStyle w:val="Spistreci2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465667896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SPIS TABLIC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_Toc465667896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41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B2417F" w:rsidRDefault="00FE6404">
      <w:pPr>
        <w:pStyle w:val="Spistreci2"/>
        <w:rPr>
          <w:rFonts w:eastAsiaTheme="minorEastAsia" w:cstheme="minorBidi"/>
          <w:smallCaps w:val="0"/>
          <w:noProof/>
          <w:sz w:val="22"/>
          <w:szCs w:val="22"/>
        </w:rPr>
      </w:pPr>
      <w:hyperlink w:anchor="_Toc465667897" w:history="1">
        <w:r w:rsidR="00B2417F" w:rsidRPr="00A22038">
          <w:rPr>
            <w:rStyle w:val="Hipercze"/>
            <w:rFonts w:ascii="Times New Roman" w:hAnsi="Times New Roman"/>
            <w:noProof/>
            <w:sz w:val="24"/>
            <w:szCs w:val="24"/>
          </w:rPr>
          <w:t>SPIS WYKRESÓW I MAP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_Toc465667897 \h </w:instrTex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t>42</w:t>
        </w:r>
        <w:r w:rsidR="00B2417F" w:rsidRPr="00A22038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1F713E" w:rsidRPr="008F6883" w:rsidRDefault="00DD1CAF">
      <w:pPr>
        <w:tabs>
          <w:tab w:val="center" w:pos="5954"/>
        </w:tabs>
        <w:spacing w:line="480" w:lineRule="auto"/>
        <w:rPr>
          <w:b/>
          <w:szCs w:val="24"/>
        </w:rPr>
      </w:pPr>
      <w:r w:rsidRPr="003B5CBE">
        <w:rPr>
          <w:bCs/>
          <w:caps/>
          <w:spacing w:val="100"/>
          <w:szCs w:val="24"/>
        </w:rPr>
        <w:fldChar w:fldCharType="end"/>
      </w:r>
    </w:p>
    <w:p w:rsidR="001F713E" w:rsidRDefault="001F713E" w:rsidP="00DD1CAF">
      <w:pPr>
        <w:tabs>
          <w:tab w:val="center" w:pos="5954"/>
        </w:tabs>
        <w:spacing w:line="480" w:lineRule="auto"/>
        <w:jc w:val="both"/>
        <w:rPr>
          <w:b/>
          <w:szCs w:val="24"/>
        </w:rPr>
      </w:pPr>
      <w:r w:rsidRPr="00DD1CAF">
        <w:rPr>
          <w:b/>
          <w:szCs w:val="24"/>
        </w:rPr>
        <w:br w:type="page"/>
      </w:r>
    </w:p>
    <w:p w:rsidR="0006147D" w:rsidRDefault="0006147D" w:rsidP="0006147D">
      <w:pPr>
        <w:pStyle w:val="GM2"/>
      </w:pPr>
      <w:bookmarkStart w:id="3" w:name="_Toc465667881"/>
      <w:r w:rsidRPr="00863823">
        <w:t>O</w:t>
      </w:r>
      <w:r>
        <w:t>BJAŚNIENIE ZNAKÓW UMOWNYCH I SKRÓTÓW</w:t>
      </w:r>
      <w:bookmarkEnd w:id="3"/>
    </w:p>
    <w:p w:rsidR="0006147D" w:rsidRDefault="0006147D" w:rsidP="0006147D">
      <w:pPr>
        <w:pStyle w:val="IK1"/>
        <w:rPr>
          <w:rFonts w:ascii="Times New Roman" w:hAnsi="Times New Roman"/>
          <w:sz w:val="23"/>
          <w:szCs w:val="23"/>
        </w:rPr>
      </w:pPr>
    </w:p>
    <w:p w:rsidR="0006147D" w:rsidRPr="00863823" w:rsidRDefault="0006147D" w:rsidP="0006147D">
      <w:pPr>
        <w:pStyle w:val="IK1"/>
        <w:rPr>
          <w:rFonts w:ascii="Times New Roman" w:hAnsi="Times New Roman"/>
          <w:sz w:val="23"/>
          <w:szCs w:val="23"/>
        </w:rPr>
      </w:pPr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“–“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</w:r>
      <w:r w:rsidRPr="00863823">
        <w:rPr>
          <w:color w:val="000000"/>
          <w:sz w:val="23"/>
          <w:szCs w:val="23"/>
        </w:rPr>
        <w:t xml:space="preserve">– </w:t>
      </w:r>
      <w:r>
        <w:rPr>
          <w:sz w:val="23"/>
          <w:szCs w:val="23"/>
        </w:rPr>
        <w:t>zjawisko nie wystąpiło</w:t>
      </w:r>
      <w:r w:rsidRPr="00863823">
        <w:rPr>
          <w:sz w:val="23"/>
          <w:szCs w:val="23"/>
        </w:rPr>
        <w:t>.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“</w:t>
      </w:r>
      <w:r>
        <w:rPr>
          <w:sz w:val="23"/>
          <w:szCs w:val="23"/>
        </w:rPr>
        <w:t>.</w:t>
      </w:r>
      <w:r w:rsidRPr="00863823">
        <w:rPr>
          <w:sz w:val="23"/>
          <w:szCs w:val="23"/>
        </w:rPr>
        <w:t>“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863823">
        <w:rPr>
          <w:color w:val="000000"/>
          <w:sz w:val="23"/>
          <w:szCs w:val="23"/>
        </w:rPr>
        <w:t xml:space="preserve">– </w:t>
      </w:r>
      <w:r w:rsidRPr="00CB3E48">
        <w:t>zupełny brak informacji albo brak informacji wiarygodnych</w:t>
      </w:r>
      <w:r>
        <w:t>.</w:t>
      </w:r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“0”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</w:r>
      <w:r w:rsidRPr="00863823">
        <w:rPr>
          <w:color w:val="000000"/>
          <w:sz w:val="23"/>
          <w:szCs w:val="23"/>
        </w:rPr>
        <w:t>–</w:t>
      </w:r>
      <w:r w:rsidRPr="00863823">
        <w:rPr>
          <w:sz w:val="23"/>
          <w:szCs w:val="23"/>
        </w:rPr>
        <w:t xml:space="preserve"> zjawisko istniało, jednakże w ilościach mniejszych od 0,5.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“0</w:t>
      </w:r>
      <w:r>
        <w:rPr>
          <w:sz w:val="23"/>
          <w:szCs w:val="23"/>
        </w:rPr>
        <w:t>,0</w:t>
      </w:r>
      <w:r w:rsidRPr="00863823">
        <w:rPr>
          <w:sz w:val="23"/>
          <w:szCs w:val="23"/>
        </w:rPr>
        <w:t>”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</w:r>
      <w:r w:rsidRPr="00863823">
        <w:rPr>
          <w:color w:val="000000"/>
          <w:sz w:val="23"/>
          <w:szCs w:val="23"/>
        </w:rPr>
        <w:t>–</w:t>
      </w:r>
      <w:r>
        <w:rPr>
          <w:color w:val="000000"/>
          <w:sz w:val="23"/>
          <w:szCs w:val="23"/>
        </w:rPr>
        <w:t xml:space="preserve"> </w:t>
      </w:r>
      <w:r w:rsidRPr="00CB3E48">
        <w:t>zjawisko istniało w wielkości mniejszej od 0,05.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“x”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</w:r>
      <w:r w:rsidRPr="00863823">
        <w:rPr>
          <w:color w:val="000000"/>
          <w:sz w:val="23"/>
          <w:szCs w:val="23"/>
        </w:rPr>
        <w:t>–</w:t>
      </w:r>
      <w:r w:rsidRPr="00863823">
        <w:rPr>
          <w:sz w:val="23"/>
          <w:szCs w:val="23"/>
        </w:rPr>
        <w:t xml:space="preserve"> wypełnienie pozycji jest niemożliwe lub niecelowe.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"w tym"</w:t>
      </w:r>
      <w:r w:rsidRPr="00863823">
        <w:rPr>
          <w:sz w:val="23"/>
          <w:szCs w:val="23"/>
        </w:rPr>
        <w:tab/>
      </w:r>
      <w:r w:rsidRPr="00863823">
        <w:rPr>
          <w:color w:val="000000"/>
          <w:sz w:val="23"/>
          <w:szCs w:val="23"/>
        </w:rPr>
        <w:t>–</w:t>
      </w:r>
      <w:r w:rsidRPr="00863823">
        <w:rPr>
          <w:sz w:val="23"/>
          <w:szCs w:val="23"/>
        </w:rPr>
        <w:t xml:space="preserve"> oznacza, że nie podaje się wszystkich składników sumy.</w:t>
      </w:r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  <w:bookmarkStart w:id="4" w:name="__RefHeading__2137_2127369353"/>
      <w:bookmarkEnd w:id="4"/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 xml:space="preserve">tys. 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>tysiąc</w:t>
      </w:r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 xml:space="preserve">mln 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>milion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>
        <w:rPr>
          <w:sz w:val="23"/>
          <w:szCs w:val="23"/>
        </w:rPr>
        <w:t>mld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miliard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m</w:t>
      </w:r>
      <w:r w:rsidRPr="00863823">
        <w:rPr>
          <w:sz w:val="23"/>
          <w:szCs w:val="23"/>
        </w:rPr>
        <w:tab/>
        <w:t xml:space="preserve"> </w:t>
      </w:r>
      <w:r w:rsidRPr="00863823">
        <w:rPr>
          <w:sz w:val="23"/>
          <w:szCs w:val="23"/>
        </w:rPr>
        <w:tab/>
        <w:t>metr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m</w:t>
      </w:r>
      <w:r w:rsidRPr="00863823">
        <w:rPr>
          <w:sz w:val="23"/>
          <w:szCs w:val="23"/>
          <w:vertAlign w:val="superscript"/>
        </w:rPr>
        <w:t>2</w:t>
      </w:r>
      <w:r w:rsidRPr="00863823">
        <w:rPr>
          <w:sz w:val="23"/>
          <w:szCs w:val="23"/>
        </w:rPr>
        <w:t xml:space="preserve"> 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>metr kwadratowy</w:t>
      </w:r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m</w:t>
      </w:r>
      <w:r w:rsidRPr="00863823">
        <w:rPr>
          <w:sz w:val="23"/>
          <w:szCs w:val="23"/>
          <w:vertAlign w:val="superscript"/>
        </w:rPr>
        <w:t>3</w:t>
      </w:r>
      <w:r w:rsidRPr="00863823">
        <w:rPr>
          <w:sz w:val="23"/>
          <w:szCs w:val="23"/>
        </w:rPr>
        <w:t xml:space="preserve"> 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>metr sześcienny</w:t>
      </w:r>
    </w:p>
    <w:p w:rsidR="000A20E5" w:rsidRPr="00863823" w:rsidRDefault="000A20E5" w:rsidP="0006147D">
      <w:pPr>
        <w:spacing w:line="360" w:lineRule="auto"/>
        <w:ind w:right="142"/>
        <w:rPr>
          <w:sz w:val="23"/>
          <w:szCs w:val="23"/>
        </w:rPr>
      </w:pPr>
      <w:r>
        <w:rPr>
          <w:sz w:val="23"/>
          <w:szCs w:val="23"/>
        </w:rPr>
        <w:t>c.o.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centralne ogrzewanie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r.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>rok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cd.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>ciąg dalszy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dok.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 xml:space="preserve">dokończenie  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 w:rsidRPr="00863823">
        <w:rPr>
          <w:sz w:val="23"/>
          <w:szCs w:val="23"/>
        </w:rPr>
        <w:t>szt.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  <w:t xml:space="preserve">sztuka  </w:t>
      </w:r>
    </w:p>
    <w:p w:rsidR="0006147D" w:rsidRDefault="0006147D" w:rsidP="0006147D">
      <w:pPr>
        <w:spacing w:line="360" w:lineRule="auto"/>
        <w:ind w:right="142"/>
        <w:rPr>
          <w:sz w:val="23"/>
          <w:szCs w:val="23"/>
        </w:rPr>
      </w:pPr>
      <w:r>
        <w:rPr>
          <w:sz w:val="23"/>
          <w:szCs w:val="23"/>
        </w:rPr>
        <w:t>p.proc</w:t>
      </w:r>
      <w:r w:rsidRPr="00863823">
        <w:rPr>
          <w:sz w:val="23"/>
          <w:szCs w:val="23"/>
        </w:rPr>
        <w:t>.</w:t>
      </w:r>
      <w:r w:rsidRPr="00863823">
        <w:rPr>
          <w:sz w:val="23"/>
          <w:szCs w:val="23"/>
        </w:rPr>
        <w:tab/>
      </w:r>
      <w:r w:rsidRPr="00863823">
        <w:rPr>
          <w:sz w:val="23"/>
          <w:szCs w:val="23"/>
        </w:rPr>
        <w:tab/>
      </w:r>
      <w:r>
        <w:rPr>
          <w:sz w:val="23"/>
          <w:szCs w:val="23"/>
        </w:rPr>
        <w:t>punkt procentowy</w:t>
      </w:r>
    </w:p>
    <w:p w:rsidR="0006147D" w:rsidRPr="00863823" w:rsidRDefault="0006147D" w:rsidP="0006147D">
      <w:pPr>
        <w:spacing w:line="360" w:lineRule="auto"/>
        <w:ind w:right="142"/>
        <w:rPr>
          <w:sz w:val="23"/>
          <w:szCs w:val="23"/>
        </w:rPr>
      </w:pPr>
      <w:r>
        <w:rPr>
          <w:sz w:val="23"/>
          <w:szCs w:val="23"/>
        </w:rPr>
        <w:t>tabl.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tablica</w:t>
      </w: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Default="0006147D" w:rsidP="0006147D">
      <w:pPr>
        <w:spacing w:before="120" w:after="120"/>
        <w:rPr>
          <w:b/>
        </w:rPr>
      </w:pPr>
    </w:p>
    <w:p w:rsidR="0006147D" w:rsidRPr="00CB3E48" w:rsidRDefault="0006147D" w:rsidP="0006147D">
      <w:pPr>
        <w:spacing w:before="120" w:after="120" w:line="360" w:lineRule="exact"/>
        <w:rPr>
          <w:b/>
        </w:rPr>
      </w:pPr>
      <w:r w:rsidRPr="00CB3E48">
        <w:rPr>
          <w:b/>
        </w:rPr>
        <w:t>Uwaga:</w:t>
      </w:r>
    </w:p>
    <w:p w:rsidR="0006147D" w:rsidRPr="00CB3E48" w:rsidRDefault="0006147D" w:rsidP="0006147D">
      <w:pPr>
        <w:rPr>
          <w:i/>
        </w:rPr>
      </w:pPr>
      <w:r w:rsidRPr="00CB3E48">
        <w:t>Ze względu na zaokrąglenia, w niektórych przypadkach sumy składników mogą różnić się od podanych wielkości „ogółem”.</w:t>
      </w:r>
      <w:r w:rsidRPr="00CB3E48">
        <w:br w:type="page"/>
      </w:r>
    </w:p>
    <w:p w:rsidR="0006147D" w:rsidRPr="00CB3E48" w:rsidRDefault="0006147D" w:rsidP="0006147D">
      <w:pPr>
        <w:tabs>
          <w:tab w:val="center" w:pos="5954"/>
        </w:tabs>
        <w:spacing w:line="360" w:lineRule="auto"/>
        <w:jc w:val="both"/>
        <w:rPr>
          <w:b/>
          <w:sz w:val="32"/>
        </w:rPr>
      </w:pPr>
    </w:p>
    <w:p w:rsidR="0006147D" w:rsidRPr="00CB3E48" w:rsidRDefault="0006147D" w:rsidP="0006147D">
      <w:pPr>
        <w:tabs>
          <w:tab w:val="center" w:pos="5954"/>
        </w:tabs>
        <w:spacing w:line="360" w:lineRule="auto"/>
        <w:jc w:val="both"/>
        <w:rPr>
          <w:b/>
          <w:sz w:val="32"/>
        </w:rPr>
      </w:pPr>
    </w:p>
    <w:p w:rsidR="0006147D" w:rsidRPr="00CB3E48" w:rsidRDefault="0006147D" w:rsidP="0006147D">
      <w:pPr>
        <w:tabs>
          <w:tab w:val="center" w:pos="5954"/>
        </w:tabs>
        <w:spacing w:line="360" w:lineRule="auto"/>
        <w:jc w:val="both"/>
        <w:rPr>
          <w:b/>
          <w:sz w:val="32"/>
        </w:rPr>
      </w:pPr>
    </w:p>
    <w:p w:rsidR="0006147D" w:rsidRDefault="0006147D" w:rsidP="0006147D">
      <w:pPr>
        <w:pStyle w:val="GM2"/>
      </w:pPr>
      <w:bookmarkStart w:id="5" w:name="_Toc464548391"/>
      <w:bookmarkStart w:id="6" w:name="_Toc465667882"/>
      <w:r w:rsidRPr="00CB3E48">
        <w:t>UWAGI METODYCZNE</w:t>
      </w:r>
      <w:bookmarkEnd w:id="5"/>
      <w:bookmarkEnd w:id="6"/>
    </w:p>
    <w:p w:rsidR="0006147D" w:rsidRDefault="0006147D" w:rsidP="0006147D">
      <w:pPr>
        <w:tabs>
          <w:tab w:val="left" w:pos="0"/>
          <w:tab w:val="left" w:leader="dot" w:pos="7200"/>
          <w:tab w:val="right" w:pos="8640"/>
        </w:tabs>
        <w:rPr>
          <w:b/>
          <w:sz w:val="32"/>
        </w:rPr>
      </w:pPr>
    </w:p>
    <w:p w:rsidR="0006147D" w:rsidRPr="00D91FBE" w:rsidRDefault="0006147D" w:rsidP="0006147D">
      <w:pPr>
        <w:pStyle w:val="GM3"/>
      </w:pPr>
      <w:bookmarkStart w:id="7" w:name="_Toc464548392"/>
      <w:bookmarkStart w:id="8" w:name="_Toc465667883"/>
      <w:r>
        <w:t>Źródła i zakres danych</w:t>
      </w:r>
      <w:bookmarkEnd w:id="7"/>
      <w:bookmarkEnd w:id="8"/>
    </w:p>
    <w:p w:rsidR="0006147D" w:rsidRPr="00CB3E48" w:rsidRDefault="0006147D" w:rsidP="0006147D">
      <w:pPr>
        <w:keepNext/>
        <w:spacing w:before="360" w:line="360" w:lineRule="exact"/>
        <w:jc w:val="both"/>
        <w:outlineLvl w:val="5"/>
        <w:rPr>
          <w:sz w:val="28"/>
        </w:rPr>
      </w:pPr>
      <w:r w:rsidRPr="00CB3E48">
        <w:t xml:space="preserve">W </w:t>
      </w:r>
      <w:r w:rsidRPr="00CB3E48">
        <w:rPr>
          <w:b/>
          <w:i/>
          <w:sz w:val="28"/>
          <w:szCs w:val="28"/>
        </w:rPr>
        <w:t>części A</w:t>
      </w:r>
      <w:r w:rsidRPr="00CB3E48">
        <w:rPr>
          <w:sz w:val="28"/>
        </w:rPr>
        <w:t xml:space="preserve"> –– </w:t>
      </w:r>
      <w:r w:rsidRPr="00CB3E48">
        <w:t xml:space="preserve"> przedstawiono sytuację mieszkaniową - stan zasobów mieszkaniowych </w:t>
      </w:r>
      <w:r w:rsidRPr="00CB3E48">
        <w:br/>
        <w:t>jak i niektóre informacje charakteryzujące warunki mieszkaniowe</w:t>
      </w:r>
      <w:r>
        <w:t>, które zostały przygotowane</w:t>
      </w:r>
      <w:r w:rsidRPr="00CB3E48">
        <w:t xml:space="preserve"> na podstawie wtórnego opracowania statystycznego: Bilansu Zasobów Mieszkaniowych za 201</w:t>
      </w:r>
      <w:r>
        <w:t>5</w:t>
      </w:r>
      <w:r w:rsidRPr="00CB3E48">
        <w:t xml:space="preserve"> r. (według stanu w dniu 31 grudnia).</w:t>
      </w:r>
    </w:p>
    <w:p w:rsidR="0006147D" w:rsidRDefault="0006147D" w:rsidP="0006147D">
      <w:pPr>
        <w:spacing w:before="168" w:line="360" w:lineRule="exact"/>
        <w:jc w:val="both"/>
      </w:pPr>
      <w:r w:rsidRPr="00CB3E48">
        <w:t>Stan początkowy bilansu na dzień 01 stycznia</w:t>
      </w:r>
      <w:r>
        <w:t xml:space="preserve"> jest:</w:t>
      </w:r>
    </w:p>
    <w:p w:rsidR="0006147D" w:rsidRDefault="0006147D" w:rsidP="000A20E5">
      <w:pPr>
        <w:spacing w:line="360" w:lineRule="exact"/>
        <w:ind w:left="142" w:hanging="142"/>
        <w:jc w:val="both"/>
      </w:pPr>
      <w:r>
        <w:t>-</w:t>
      </w:r>
      <w:r w:rsidR="000A20E5">
        <w:t> </w:t>
      </w:r>
      <w:r w:rsidRPr="00CB3E48">
        <w:t>skorygowany zmianami wynikającymi z podziału administracyjnego kraju ogłoszonymi w</w:t>
      </w:r>
      <w:r>
        <w:t> </w:t>
      </w:r>
      <w:r w:rsidRPr="00CB3E48">
        <w:t>„Komunikacie Głównego Urzędu Statystycznego o zmianach w podziale terytorialnym kraju"</w:t>
      </w:r>
      <w:r>
        <w:t xml:space="preserve">, </w:t>
      </w:r>
    </w:p>
    <w:p w:rsidR="0006147D" w:rsidRDefault="0006147D" w:rsidP="000A20E5">
      <w:pPr>
        <w:spacing w:line="360" w:lineRule="exact"/>
        <w:ind w:left="142" w:hanging="142"/>
        <w:jc w:val="both"/>
      </w:pPr>
      <w:r>
        <w:t>-</w:t>
      </w:r>
      <w:r w:rsidRPr="00CB3E48">
        <w:t xml:space="preserve"> powiększony o przyrost mieszkań z nowego budownictwa, </w:t>
      </w:r>
    </w:p>
    <w:p w:rsidR="0006147D" w:rsidRDefault="0006147D" w:rsidP="000A20E5">
      <w:pPr>
        <w:spacing w:line="360" w:lineRule="exact"/>
        <w:ind w:left="142" w:hanging="142"/>
        <w:jc w:val="both"/>
      </w:pPr>
      <w:r>
        <w:t xml:space="preserve">- </w:t>
      </w:r>
      <w:r w:rsidRPr="00CB3E48">
        <w:t xml:space="preserve">pomniejszony o ubytki zasobów mieszkaniowych. </w:t>
      </w:r>
    </w:p>
    <w:p w:rsidR="0006147D" w:rsidRPr="00CB3E48" w:rsidRDefault="0006147D" w:rsidP="0006147D">
      <w:pPr>
        <w:spacing w:before="168" w:line="360" w:lineRule="exact"/>
        <w:jc w:val="both"/>
      </w:pPr>
      <w:r w:rsidRPr="00CB3E48">
        <w:t>Ustalony w wyniku tych zmian stan zasobów na koniec roku sprawozdawczego jest automatycznie stanem otwarcia bilansu dla roku następnego.</w:t>
      </w:r>
    </w:p>
    <w:p w:rsidR="0006147D" w:rsidRPr="00CB3E48" w:rsidRDefault="0006147D" w:rsidP="0006147D">
      <w:pPr>
        <w:spacing w:before="168" w:line="360" w:lineRule="exact"/>
        <w:jc w:val="both"/>
      </w:pPr>
      <w:r>
        <w:t>Przy opracowaniu</w:t>
      </w:r>
      <w:r w:rsidRPr="00CB3E48">
        <w:t xml:space="preserve"> </w:t>
      </w:r>
      <w:r>
        <w:t xml:space="preserve">bilansu </w:t>
      </w:r>
      <w:r w:rsidRPr="00CB3E48">
        <w:t>zasobów mieszkaniowych w 201</w:t>
      </w:r>
      <w:r>
        <w:t>5</w:t>
      </w:r>
      <w:r w:rsidRPr="00CB3E48">
        <w:t xml:space="preserve"> roku ujęto fizyczne ubytki zasobów mieszkaniowych zaistniałe w wyniku rozbiórek, pożarów, powodzi, łączenia małych mieszkań w jedno duże mieszkanie oraz ubytki spowodowane oficjalnie zgłoszonym przekwalifikowaniem mieszkań na cele niemieszkalne. Nie </w:t>
      </w:r>
      <w:r>
        <w:t>uwzględnione zostały</w:t>
      </w:r>
      <w:r w:rsidRPr="00CB3E48">
        <w:t xml:space="preserve"> natomiast niektóre kategorie ubytków, </w:t>
      </w:r>
      <w:r>
        <w:t xml:space="preserve">które </w:t>
      </w:r>
      <w:r w:rsidRPr="00CB3E48">
        <w:t xml:space="preserve">pomniejszają stan </w:t>
      </w:r>
      <w:r>
        <w:t>liczbowy</w:t>
      </w:r>
      <w:r w:rsidRPr="00CB3E48">
        <w:t xml:space="preserve"> mieszkań, lecz nie powodują ubytków fizycznych istniejących obiektów tj. ubytki związane z przeprowadzaniem się mieszkańców do nowych domów i przeznaczeniem starych domów do różnych celów gospodarczych, bądź pozostawieniem ich pustymi (niezamieszkanymi). </w:t>
      </w:r>
    </w:p>
    <w:p w:rsidR="0006147D" w:rsidRPr="00CB3E48" w:rsidRDefault="0006147D" w:rsidP="0006147D">
      <w:pPr>
        <w:spacing w:before="168" w:line="360" w:lineRule="exact"/>
        <w:jc w:val="both"/>
      </w:pPr>
      <w:r w:rsidRPr="00CB3E48">
        <w:t xml:space="preserve">Informacje o zasobach mieszkaniowych zamieszczone w niniejszej publikacji obejmują mieszkania znajdujące się w budynkach mieszkalnych oraz niemieszkalnych i dotyczą mieszkań zamieszkanych (stale i czasowo) i niezamieszkanych, które w każdej chwili mogą stać się mieszkaniami zamieszkanymi. </w:t>
      </w:r>
      <w:r>
        <w:t xml:space="preserve">Nie zostały ujęte natomiast </w:t>
      </w:r>
      <w:r w:rsidRPr="00CB3E48">
        <w:t>lokal</w:t>
      </w:r>
      <w:r>
        <w:t>e w obiektach</w:t>
      </w:r>
      <w:r w:rsidRPr="00CB3E48">
        <w:t xml:space="preserve"> zbiorowego zakwaterowania (internat</w:t>
      </w:r>
      <w:r>
        <w:t>y</w:t>
      </w:r>
      <w:r w:rsidRPr="00CB3E48">
        <w:t>, dom</w:t>
      </w:r>
      <w:r>
        <w:t>y</w:t>
      </w:r>
      <w:r w:rsidRPr="00CB3E48">
        <w:t xml:space="preserve"> studencki</w:t>
      </w:r>
      <w:r>
        <w:t>e</w:t>
      </w:r>
      <w:r w:rsidRPr="00CB3E48">
        <w:t>, hotel</w:t>
      </w:r>
      <w:r>
        <w:t>e</w:t>
      </w:r>
      <w:r w:rsidRPr="00CB3E48">
        <w:t xml:space="preserve"> pracownicz</w:t>
      </w:r>
      <w:r>
        <w:t>e</w:t>
      </w:r>
      <w:r w:rsidRPr="00CB3E48">
        <w:t>, dom</w:t>
      </w:r>
      <w:r>
        <w:t>y</w:t>
      </w:r>
      <w:r w:rsidRPr="00CB3E48">
        <w:t xml:space="preserve"> pomocy społecznej, dom</w:t>
      </w:r>
      <w:r>
        <w:t>y</w:t>
      </w:r>
      <w:r w:rsidRPr="00CB3E48">
        <w:t xml:space="preserve"> małego dziecka, klasztor</w:t>
      </w:r>
      <w:r>
        <w:t>y</w:t>
      </w:r>
      <w:r w:rsidRPr="00CB3E48">
        <w:t xml:space="preserve"> itp.) oraz zamieszkan</w:t>
      </w:r>
      <w:r>
        <w:t>e</w:t>
      </w:r>
      <w:r w:rsidRPr="00CB3E48">
        <w:t xml:space="preserve"> czasowo pomieszcze</w:t>
      </w:r>
      <w:r>
        <w:t>nia</w:t>
      </w:r>
      <w:r w:rsidRPr="00CB3E48">
        <w:t xml:space="preserve"> prowizoryczn</w:t>
      </w:r>
      <w:r>
        <w:t>e</w:t>
      </w:r>
      <w:r w:rsidRPr="00CB3E48">
        <w:t xml:space="preserve"> i obiekt</w:t>
      </w:r>
      <w:r>
        <w:t>y</w:t>
      </w:r>
      <w:r w:rsidRPr="00CB3E48">
        <w:t xml:space="preserve"> ruchom</w:t>
      </w:r>
      <w:r>
        <w:t>e</w:t>
      </w:r>
      <w:r w:rsidRPr="00CB3E48">
        <w:t xml:space="preserve"> (pomieszcze</w:t>
      </w:r>
      <w:r>
        <w:t>nia</w:t>
      </w:r>
      <w:r w:rsidRPr="00CB3E48">
        <w:t xml:space="preserve"> inwentarski</w:t>
      </w:r>
      <w:r>
        <w:t>e</w:t>
      </w:r>
      <w:r w:rsidRPr="00CB3E48">
        <w:t>, barakowoz</w:t>
      </w:r>
      <w:r>
        <w:t>y</w:t>
      </w:r>
      <w:r w:rsidRPr="00CB3E48">
        <w:t>, statk</w:t>
      </w:r>
      <w:r>
        <w:t>i</w:t>
      </w:r>
      <w:r w:rsidRPr="00CB3E48">
        <w:t xml:space="preserve"> itp.).</w:t>
      </w:r>
    </w:p>
    <w:p w:rsidR="0006147D" w:rsidRPr="00CB3E48" w:rsidRDefault="0006147D" w:rsidP="0006147D">
      <w:pPr>
        <w:spacing w:before="168" w:line="360" w:lineRule="exact"/>
        <w:jc w:val="both"/>
      </w:pPr>
      <w:r w:rsidRPr="00CB3E48">
        <w:t>Stan zasobów mieszkaniowych określono przez liczbę mieszkań, liczbę izb, wielkość powierzchni użytkowej mieszkań wyrażoną w m</w:t>
      </w:r>
      <w:r w:rsidRPr="00CB3E48">
        <w:rPr>
          <w:sz w:val="22"/>
          <w:vertAlign w:val="superscript"/>
        </w:rPr>
        <w:t>2</w:t>
      </w:r>
      <w:r>
        <w:rPr>
          <w:sz w:val="22"/>
          <w:vertAlign w:val="superscript"/>
        </w:rPr>
        <w:t xml:space="preserve"> </w:t>
      </w:r>
      <w:r w:rsidRPr="00F86E46">
        <w:rPr>
          <w:sz w:val="22"/>
        </w:rPr>
        <w:t>oraz</w:t>
      </w:r>
      <w:r w:rsidRPr="00F86E46">
        <w:t xml:space="preserve"> </w:t>
      </w:r>
      <w:r w:rsidRPr="00CB3E48">
        <w:t xml:space="preserve">wyposażenie w podstawowe instalacje sanitarno-techniczne. </w:t>
      </w:r>
    </w:p>
    <w:p w:rsidR="0006147D" w:rsidRPr="00CB3E48" w:rsidRDefault="0006147D" w:rsidP="0006147D">
      <w:pPr>
        <w:spacing w:before="168" w:line="360" w:lineRule="exact"/>
        <w:jc w:val="both"/>
      </w:pPr>
    </w:p>
    <w:p w:rsidR="0006147D" w:rsidRPr="002572B7" w:rsidRDefault="0006147D" w:rsidP="0006147D">
      <w:pPr>
        <w:spacing w:before="240" w:line="360" w:lineRule="exact"/>
        <w:jc w:val="both"/>
      </w:pPr>
      <w:r w:rsidRPr="002572B7">
        <w:rPr>
          <w:b/>
          <w:i/>
          <w:sz w:val="28"/>
          <w:szCs w:val="28"/>
        </w:rPr>
        <w:t>Część B</w:t>
      </w:r>
      <w:r w:rsidRPr="002572B7">
        <w:t xml:space="preserve"> publikacji (prezentowana co dwa lata) dotyczy charakterystyki zasobów mieszkaniowych. Dane te pochodzą z bieżącej sprawozdawczości (</w:t>
      </w:r>
      <w:r>
        <w:t xml:space="preserve">formularze: </w:t>
      </w:r>
      <w:r w:rsidRPr="002572B7">
        <w:t>M-01 – Sprawozdanie o zasobach mieszkaniowych w 201</w:t>
      </w:r>
      <w:r>
        <w:t>5</w:t>
      </w:r>
      <w:r w:rsidRPr="002572B7">
        <w:t xml:space="preserve"> r. oraz SG-01 Statystyka gminy: gospodarka mieszkaniowa i komunalna cz. 3) i zostały przedstawione w odniesieniu do jednostek organizacyjnych władających zasobami mieszkaniowymi. </w:t>
      </w:r>
    </w:p>
    <w:p w:rsidR="0006147D" w:rsidRPr="002572B7" w:rsidRDefault="0006147D" w:rsidP="0006147D">
      <w:pPr>
        <w:tabs>
          <w:tab w:val="center" w:pos="5954"/>
        </w:tabs>
        <w:spacing w:before="240" w:line="360" w:lineRule="exact"/>
        <w:jc w:val="both"/>
      </w:pPr>
      <w:r w:rsidRPr="002572B7">
        <w:rPr>
          <w:b/>
        </w:rPr>
        <w:tab/>
        <w:t>Zakres podmiotow</w:t>
      </w:r>
      <w:r w:rsidRPr="002572B7">
        <w:t xml:space="preserve">y badania </w:t>
      </w:r>
      <w:r>
        <w:t xml:space="preserve">zasobów mieszkaniowych </w:t>
      </w:r>
      <w:r w:rsidRPr="002572B7">
        <w:t>obejmuje</w:t>
      </w:r>
      <w:r>
        <w:t>:</w:t>
      </w:r>
      <w:r w:rsidRPr="002572B7">
        <w:t xml:space="preserve"> osoby prawne, jednostki organizacyjne nie mające osobowości </w:t>
      </w:r>
      <w:r w:rsidRPr="00D844DF">
        <w:t xml:space="preserve">prawnej i osoby </w:t>
      </w:r>
      <w:r w:rsidRPr="002572B7">
        <w:t>fizyczne, których działalnością podstawową jest władanie lub zarządzanie zasobami mieszkaniowymi znajdującymi się w budynkach będących własnością:</w:t>
      </w:r>
    </w:p>
    <w:p w:rsidR="0006147D" w:rsidRDefault="0006147D" w:rsidP="0006147D">
      <w:pPr>
        <w:spacing w:before="120" w:line="240" w:lineRule="exact"/>
        <w:jc w:val="both"/>
      </w:pPr>
      <w:r w:rsidRPr="002572B7">
        <w:t>♦ zakładów pracy,</w:t>
      </w:r>
    </w:p>
    <w:p w:rsidR="0006147D" w:rsidRPr="002572B7" w:rsidRDefault="0006147D" w:rsidP="0006147D">
      <w:pPr>
        <w:spacing w:before="120" w:line="240" w:lineRule="exact"/>
        <w:jc w:val="both"/>
      </w:pPr>
      <w:r w:rsidRPr="002572B7">
        <w:t xml:space="preserve">♦ </w:t>
      </w:r>
      <w:r>
        <w:t>jednostek samorządu terytorialnego</w:t>
      </w:r>
      <w:r w:rsidRPr="002572B7">
        <w:t>,</w:t>
      </w:r>
    </w:p>
    <w:p w:rsidR="0006147D" w:rsidRPr="002572B7" w:rsidRDefault="0006147D" w:rsidP="0006147D">
      <w:pPr>
        <w:spacing w:before="120" w:line="240" w:lineRule="exact"/>
        <w:jc w:val="both"/>
      </w:pPr>
      <w:r w:rsidRPr="002572B7">
        <w:t>♦ spółdzielni mieszkaniowych,</w:t>
      </w:r>
    </w:p>
    <w:p w:rsidR="0006147D" w:rsidRPr="002572B7" w:rsidRDefault="0006147D" w:rsidP="0006147D">
      <w:pPr>
        <w:spacing w:before="120" w:line="240" w:lineRule="exact"/>
        <w:jc w:val="both"/>
      </w:pPr>
      <w:r w:rsidRPr="002572B7">
        <w:t>♦ towarzystw budownictwa społecznego,</w:t>
      </w:r>
    </w:p>
    <w:p w:rsidR="0006147D" w:rsidRPr="002572B7" w:rsidRDefault="0006147D" w:rsidP="0006147D">
      <w:pPr>
        <w:spacing w:before="120" w:line="240" w:lineRule="exact"/>
        <w:jc w:val="both"/>
      </w:pPr>
      <w:r w:rsidRPr="002572B7">
        <w:t>♦ Skarbu Państwa,</w:t>
      </w:r>
    </w:p>
    <w:p w:rsidR="0006147D" w:rsidRDefault="0006147D" w:rsidP="0006147D">
      <w:pPr>
        <w:spacing w:before="120" w:line="240" w:lineRule="exact"/>
        <w:jc w:val="both"/>
      </w:pPr>
      <w:r w:rsidRPr="002572B7">
        <w:t xml:space="preserve">♦ </w:t>
      </w:r>
      <w:r>
        <w:t>pozostałych jednostek</w:t>
      </w:r>
    </w:p>
    <w:p w:rsidR="0006147D" w:rsidRPr="00D844DF" w:rsidRDefault="0006147D" w:rsidP="0006147D">
      <w:pPr>
        <w:spacing w:before="120" w:line="240" w:lineRule="exact"/>
        <w:jc w:val="both"/>
      </w:pPr>
      <w:r w:rsidRPr="00D844DF">
        <w:t xml:space="preserve">oraz </w:t>
      </w:r>
      <w:r>
        <w:t>30% próba wspól</w:t>
      </w:r>
      <w:r w:rsidRPr="00D844DF">
        <w:t>not mieszkaniowy</w:t>
      </w:r>
      <w:r>
        <w:t>ch</w:t>
      </w:r>
      <w:r w:rsidRPr="00D844DF">
        <w:t>.</w:t>
      </w:r>
    </w:p>
    <w:p w:rsidR="0006147D" w:rsidRPr="002572B7" w:rsidRDefault="0006147D" w:rsidP="0006147D">
      <w:pPr>
        <w:spacing w:before="240" w:line="360" w:lineRule="exact"/>
        <w:jc w:val="both"/>
      </w:pPr>
      <w:r w:rsidRPr="002572B7">
        <w:rPr>
          <w:b/>
        </w:rPr>
        <w:t xml:space="preserve">Zakres przedmiotowy </w:t>
      </w:r>
      <w:r w:rsidRPr="002572B7">
        <w:t xml:space="preserve">badania </w:t>
      </w:r>
      <w:r>
        <w:t xml:space="preserve">o zasobach mieszkaniowych </w:t>
      </w:r>
      <w:r w:rsidRPr="002572B7">
        <w:t xml:space="preserve">obejmuje między innymi informacje o: efektach rzeczowych przeprowadzonych remontów (tj. remontów instalacji/elementów budowlanych już istniejących, jak i  doprowadzeniu nowych instalacji, </w:t>
      </w:r>
      <w:r>
        <w:t>w celu</w:t>
      </w:r>
      <w:r w:rsidRPr="002572B7">
        <w:t xml:space="preserve"> podwyższeni</w:t>
      </w:r>
      <w:r>
        <w:t>a</w:t>
      </w:r>
      <w:r w:rsidRPr="002572B7">
        <w:t xml:space="preserve"> standardu mieszkania), liczbie mieszkań sprzedanych bądź zwrócony</w:t>
      </w:r>
      <w:r w:rsidR="000A20E5">
        <w:t>ch</w:t>
      </w:r>
      <w:r w:rsidRPr="002572B7">
        <w:t xml:space="preserve"> dawnym właścicielom, zaległościach w opłatach za mieszkanie i w spłatach kredytu mieszkaniowego w zasobach spółdzielni mieszkaniowych, podjętych działaniach eksmisyjnych z lokali mieszkalnych, liczbie mieszkań socjalnych (dotyczy tylko zasobów gminnych) i dodatkach mieszkaniowych wypłaconych przez gminy oraz gruntach przeznaczonych pod budownictwo mieszkaniowe.</w:t>
      </w:r>
    </w:p>
    <w:p w:rsidR="0006147D" w:rsidRPr="00EF03C9" w:rsidRDefault="0006147D" w:rsidP="0006147D">
      <w:pPr>
        <w:spacing w:before="360"/>
        <w:jc w:val="both"/>
        <w:rPr>
          <w:b/>
        </w:rPr>
      </w:pPr>
      <w:r w:rsidRPr="00EF03C9">
        <w:rPr>
          <w:b/>
        </w:rPr>
        <w:t>Losowanie próby oraz algorytm uogólniania wyników</w:t>
      </w:r>
      <w:r>
        <w:rPr>
          <w:b/>
        </w:rPr>
        <w:t xml:space="preserve"> </w:t>
      </w:r>
      <w:r w:rsidRPr="00EF03C9">
        <w:rPr>
          <w:b/>
        </w:rPr>
        <w:t xml:space="preserve"> w </w:t>
      </w:r>
      <w:r>
        <w:rPr>
          <w:b/>
        </w:rPr>
        <w:t xml:space="preserve"> </w:t>
      </w:r>
      <w:r w:rsidRPr="00EF03C9">
        <w:rPr>
          <w:b/>
        </w:rPr>
        <w:t xml:space="preserve">badaniu </w:t>
      </w:r>
      <w:r>
        <w:rPr>
          <w:b/>
        </w:rPr>
        <w:t xml:space="preserve"> </w:t>
      </w:r>
      <w:r w:rsidRPr="00EF03C9">
        <w:rPr>
          <w:b/>
        </w:rPr>
        <w:t xml:space="preserve">wspólnot </w:t>
      </w:r>
      <w:r>
        <w:rPr>
          <w:b/>
        </w:rPr>
        <w:t xml:space="preserve"> </w:t>
      </w:r>
      <w:r w:rsidRPr="00EF03C9">
        <w:rPr>
          <w:b/>
        </w:rPr>
        <w:t>mieszkaniowych</w:t>
      </w:r>
      <w:r>
        <w:rPr>
          <w:b/>
        </w:rPr>
        <w:t xml:space="preserve"> </w:t>
      </w:r>
      <w:r w:rsidRPr="00EF03C9">
        <w:rPr>
          <w:b/>
        </w:rPr>
        <w:t xml:space="preserve"> M-01 za 2015 rok</w:t>
      </w:r>
    </w:p>
    <w:p w:rsidR="0006147D" w:rsidRPr="00EF03C9" w:rsidRDefault="0006147D" w:rsidP="0006147D">
      <w:pPr>
        <w:spacing w:before="240" w:line="360" w:lineRule="exact"/>
        <w:ind w:firstLine="709"/>
        <w:jc w:val="both"/>
      </w:pPr>
      <w:r w:rsidRPr="00EF03C9">
        <w:t>Próba została zaprojektowana według schematu losowania warstwowego, przy czym warstwami były powiaty z uwzględnieniem podziału na część miejską i wiejską (powiaty stanowiły jednocześnie podpopulacje na które uogólniane są wyniki). Operat składał się z 158</w:t>
      </w:r>
      <w:r w:rsidR="000A20E5">
        <w:t> </w:t>
      </w:r>
      <w:r w:rsidRPr="00EF03C9">
        <w:t>742  jednostek, wybranych według odpowiednich założeń z Bazy Jednostek Statystycznych. Należało uzyskać próbę stanowiącą około 32% liczebności operatu. Dokonano alokacji próby umożliwiającej uogólnianie wyników na poziomie powiatów, stosując algorytm tzw. alokacji stałoprecyzyjnej z pracy B. Lednicki, J. Wesołowski (</w:t>
      </w:r>
      <w:r w:rsidRPr="00EF03C9">
        <w:rPr>
          <w:i/>
        </w:rPr>
        <w:t>Lokalizacja próby pomiędzy podpopulacje</w:t>
      </w:r>
      <w:r w:rsidRPr="00EF03C9">
        <w:t xml:space="preserve">, </w:t>
      </w:r>
      <w:r w:rsidRPr="00EF03C9">
        <w:rPr>
          <w:i/>
        </w:rPr>
        <w:t xml:space="preserve">Wiadomości Statystyczne </w:t>
      </w:r>
      <w:r w:rsidRPr="00EF03C9">
        <w:t xml:space="preserve">nr 9, 1994). Algorytm ten pozwala uzyskać jednakowy poziom precyzji uogólnień wartości globalnej wybranej cechy w zdefiniowanych na potrzeby badania podzbiorach populacji. W realizacji algorytmu użyto danych z poprzedniej edycji badania, na podstawie których oszacowano współczynniki zmienności dla cechy „liczba mieszkań” w warstwach (powiatach z podziałem na miasto/wieś). </w:t>
      </w:r>
    </w:p>
    <w:p w:rsidR="0006147D" w:rsidRPr="00EF03C9" w:rsidRDefault="0006147D" w:rsidP="0006147D">
      <w:pPr>
        <w:pStyle w:val="Tekstpodstawowy3"/>
        <w:spacing w:before="240" w:after="0" w:line="360" w:lineRule="exact"/>
        <w:jc w:val="both"/>
        <w:rPr>
          <w:sz w:val="24"/>
          <w:szCs w:val="24"/>
        </w:rPr>
      </w:pPr>
      <w:r w:rsidRPr="00EF03C9">
        <w:rPr>
          <w:sz w:val="24"/>
          <w:szCs w:val="24"/>
        </w:rPr>
        <w:t xml:space="preserve">Na podstawie uzyskanej alokacji przeprowadzono losowanie próby w warstwach (powiatach </w:t>
      </w:r>
      <w:r w:rsidRPr="00EF03C9">
        <w:rPr>
          <w:sz w:val="24"/>
          <w:szCs w:val="24"/>
        </w:rPr>
        <w:br/>
        <w:t>z podziałem na miasto/wieś) zgodnie ze schematem losowania prostego bez zwracania, otrzymując próbę o liczebności 50</w:t>
      </w:r>
      <w:r w:rsidR="000A20E5">
        <w:rPr>
          <w:sz w:val="24"/>
          <w:szCs w:val="24"/>
        </w:rPr>
        <w:t> </w:t>
      </w:r>
      <w:r w:rsidRPr="00EF03C9">
        <w:rPr>
          <w:sz w:val="24"/>
          <w:szCs w:val="24"/>
        </w:rPr>
        <w:t>731 jednostek.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 xml:space="preserve">W celu uogólnienia wyników konieczne było skorygowanie wag wyjściowych, wynikających </w:t>
      </w:r>
      <w:r w:rsidRPr="00EF03C9">
        <w:br/>
        <w:t>z zastosowanego schematu losowania. Korekta powinna uwzględnić zjawisko braku odpowiedzi oraz informacje o przyczynach nie uzyskania danych od niektórych badanych jednostek.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>Na ogólną liczbę 50</w:t>
      </w:r>
      <w:r w:rsidR="000A20E5">
        <w:t> </w:t>
      </w:r>
      <w:r w:rsidRPr="00EF03C9">
        <w:t>731 wylosowanych jednostek sprawozdania złożyło 43</w:t>
      </w:r>
      <w:r w:rsidR="000A20E5">
        <w:t> </w:t>
      </w:r>
      <w:r w:rsidRPr="00EF03C9">
        <w:t xml:space="preserve">369 jednostek. 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 xml:space="preserve">Waga z losowania wyznaczona jest w każdej warstwie rozważanej w badaniu jako iloraz liczebności operatu do liczebności próby, czyli </w:t>
      </w:r>
      <w:r w:rsidRPr="00EF03C9">
        <w:rPr>
          <w:position w:val="-12"/>
        </w:rPr>
        <w:object w:dxaOrig="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4.55pt" o:ole="">
            <v:imagedata r:id="rId11" o:title=""/>
          </v:shape>
          <o:OLEObject Type="Embed" ProgID="Equation.3" ShapeID="_x0000_i1025" DrawAspect="Content" ObjectID="_1539415333" r:id="rId12"/>
        </w:object>
      </w:r>
      <w:r w:rsidRPr="00EF03C9">
        <w:t>.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>Waga końcowa równa jest wadze wynikającej z losowania skorygowanej w każdej warstwie odpowiednim mnożnikiem, uwzględniającym informacje o realizacji próby (symbol RA) w danej warstwie. Mnożniki korygujące wyznaczano w powiatach za pomocą formuły:</w:t>
      </w:r>
    </w:p>
    <w:p w:rsidR="0006147D" w:rsidRPr="00EF03C9" w:rsidRDefault="0006147D" w:rsidP="0006147D">
      <w:pPr>
        <w:spacing w:before="240" w:line="360" w:lineRule="exact"/>
        <w:jc w:val="both"/>
      </w:pPr>
    </w:p>
    <w:p w:rsidR="0006147D" w:rsidRPr="00EF03C9" w:rsidRDefault="0006147D" w:rsidP="0006147D">
      <w:pPr>
        <w:spacing w:before="240" w:line="360" w:lineRule="exact"/>
        <w:jc w:val="center"/>
      </w:pPr>
      <w:r w:rsidRPr="00EF03C9">
        <w:rPr>
          <w:position w:val="-30"/>
        </w:rPr>
        <w:object w:dxaOrig="3180" w:dyaOrig="1040">
          <v:shape id="_x0000_i1026" type="#_x0000_t75" style="width:158.55pt;height:50.55pt" o:ole="">
            <v:imagedata r:id="rId13" o:title=""/>
          </v:shape>
          <o:OLEObject Type="Embed" ProgID="Equation.3" ShapeID="_x0000_i1026" DrawAspect="Content" ObjectID="_1539415334" r:id="rId14"/>
        </w:object>
      </w:r>
      <w:r w:rsidRPr="00EF03C9">
        <w:t xml:space="preserve"> ,               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>gdzie: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rPr>
          <w:position w:val="-12"/>
        </w:rPr>
        <w:object w:dxaOrig="279" w:dyaOrig="360">
          <v:shape id="_x0000_i1027" type="#_x0000_t75" style="width:14.55pt;height:14.55pt" o:ole="">
            <v:imagedata r:id="rId15" o:title=""/>
          </v:shape>
          <o:OLEObject Type="Embed" ProgID="Equation.3" ShapeID="_x0000_i1027" DrawAspect="Content" ObjectID="_1539415335" r:id="rId16"/>
        </w:object>
      </w:r>
      <w:r w:rsidRPr="00EF03C9">
        <w:t xml:space="preserve">- oznacza liczebność wylosowanej próby w danej  warstwie, 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rPr>
          <w:position w:val="-12"/>
        </w:rPr>
        <w:object w:dxaOrig="340" w:dyaOrig="360">
          <v:shape id="_x0000_i1028" type="#_x0000_t75" style="width:14.55pt;height:14.55pt" o:ole="">
            <v:imagedata r:id="rId17" o:title=""/>
          </v:shape>
          <o:OLEObject Type="Embed" ProgID="Equation.3" ShapeID="_x0000_i1028" DrawAspect="Content" ObjectID="_1539415336" r:id="rId18"/>
        </w:object>
      </w:r>
      <w:r w:rsidRPr="00EF03C9">
        <w:t xml:space="preserve">- liczebność próby zbadanej w warstwie (RA = 01), 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rPr>
          <w:position w:val="-12"/>
        </w:rPr>
        <w:object w:dxaOrig="360" w:dyaOrig="360">
          <v:shape id="_x0000_i1029" type="#_x0000_t75" style="width:14.55pt;height:14.55pt" o:ole="">
            <v:imagedata r:id="rId19" o:title=""/>
          </v:shape>
          <o:OLEObject Type="Embed" ProgID="Equation.3" ShapeID="_x0000_i1029" DrawAspect="Content" ObjectID="_1539415337" r:id="rId20"/>
        </w:object>
      </w:r>
      <w:r w:rsidRPr="00EF03C9">
        <w:t xml:space="preserve"> - liczbę jednostek, które odmówiły wypełnienia ankiety (RA = 22), 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rPr>
          <w:position w:val="-12"/>
        </w:rPr>
        <w:object w:dxaOrig="340" w:dyaOrig="360">
          <v:shape id="_x0000_i1030" type="#_x0000_t75" style="width:14.55pt;height:14.55pt" o:ole="">
            <v:imagedata r:id="rId21" o:title=""/>
          </v:shape>
          <o:OLEObject Type="Embed" ProgID="Equation.3" ShapeID="_x0000_i1030" DrawAspect="Content" ObjectID="_1539415338" r:id="rId22"/>
        </w:object>
      </w:r>
      <w:r w:rsidRPr="00EF03C9">
        <w:t xml:space="preserve">- liczbę jednostek z warstwy, z którymi nie nawiązano kontaktu (RA = 24). </w:t>
      </w:r>
    </w:p>
    <w:p w:rsidR="0006147D" w:rsidRPr="00EF03C9" w:rsidRDefault="0006147D" w:rsidP="0006147D">
      <w:pPr>
        <w:spacing w:before="240" w:line="360" w:lineRule="exact"/>
        <w:ind w:firstLine="709"/>
        <w:jc w:val="both"/>
      </w:pPr>
      <w:r w:rsidRPr="00EF03C9">
        <w:t>Mnożnik korygujący stanowi oszacowanie proporcji liczby jednostek, które powinny być zbadane w stosunku do liczby zbadanych jednostek w danej warstwie, przy czym do grupy jednostek, które należą do interesującej nas populacji zaliczamy wszystkie przypadki odmów oraz w odpowiedniej proporcji część przypadków braku kontaktów.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 xml:space="preserve">Waga końcowa równa jest wadze z losowania przemnożonej przez odpowiedni mnożnik korygujący czyli      </w:t>
      </w:r>
      <w:r w:rsidRPr="00EF03C9">
        <w:rPr>
          <w:position w:val="-30"/>
        </w:rPr>
        <w:object w:dxaOrig="1780" w:dyaOrig="700">
          <v:shape id="_x0000_i1031" type="#_x0000_t75" style="width:86.55pt;height:36pt" o:ole="">
            <v:imagedata r:id="rId23" o:title=""/>
          </v:shape>
          <o:OLEObject Type="Embed" ProgID="Equation.3" ShapeID="_x0000_i1031" DrawAspect="Content" ObjectID="_1539415339" r:id="rId24"/>
        </w:object>
      </w:r>
      <w:r w:rsidRPr="00EF03C9">
        <w:t>.</w:t>
      </w:r>
    </w:p>
    <w:p w:rsidR="0006147D" w:rsidRPr="00EF03C9" w:rsidRDefault="0006147D" w:rsidP="0006147D">
      <w:pPr>
        <w:spacing w:before="240" w:line="360" w:lineRule="exact"/>
        <w:jc w:val="both"/>
      </w:pPr>
      <w:r w:rsidRPr="00EF03C9">
        <w:t>Uogólnienie wartości globalnych wybranej cechy w danej klasie (tzn. zgodnie z definicją komórki wynikowej w tablicy) polega na przemnożeniu wartości cechy przez odpowiadający jej mnożnik WAGA (przypisany każdemu rekordowi danych) i jej wysumowaniu po wszystkich rekordach danej klasy. W przypadku konieczności wyznaczenia wartości przeciętnej wybranej cechy w danej klasie należy sumę ważoną podzielić na końcu przez sumę wartości użytych wag. Jeśli w tablicach wynikowych trzeba wyznaczyć parametry będące ilorazami, to obliczenia polegają na uprzednim wyznaczeniu odpowiednich ważonych sum licznika i mianownika a następnie wykonaniu dzielenia obu wartości.</w:t>
      </w:r>
    </w:p>
    <w:p w:rsidR="0006147D" w:rsidRPr="005D65DB" w:rsidRDefault="0006147D" w:rsidP="0006147D">
      <w:pPr>
        <w:spacing w:line="360" w:lineRule="exact"/>
        <w:jc w:val="both"/>
        <w:rPr>
          <w:sz w:val="22"/>
          <w:szCs w:val="22"/>
        </w:rPr>
      </w:pPr>
    </w:p>
    <w:p w:rsidR="0006147D" w:rsidRPr="000C6A21" w:rsidRDefault="0006147D" w:rsidP="0006147D">
      <w:pPr>
        <w:spacing w:line="360" w:lineRule="exact"/>
        <w:jc w:val="both"/>
        <w:rPr>
          <w:sz w:val="22"/>
          <w:szCs w:val="22"/>
          <w:highlight w:val="yellow"/>
        </w:rPr>
      </w:pPr>
    </w:p>
    <w:p w:rsidR="0006147D" w:rsidRPr="004D14C8" w:rsidRDefault="0006147D" w:rsidP="0006147D">
      <w:pPr>
        <w:spacing w:before="240" w:line="360" w:lineRule="exact"/>
        <w:ind w:firstLine="709"/>
        <w:jc w:val="both"/>
      </w:pPr>
      <w:r w:rsidRPr="004D14C8">
        <w:t xml:space="preserve">Badaniem o zasobach mieszkaniowych </w:t>
      </w:r>
      <w:r>
        <w:t>na formularzu M-01</w:t>
      </w:r>
      <w:r w:rsidRPr="004D14C8">
        <w:t>w 2015 r. zostało objętych 61 701 jednostek</w:t>
      </w:r>
      <w:r>
        <w:t>, w tym 50 731 jednostek to ok. 30% próba wylosowanych z populacji wspólnot mieszkaniowych.</w:t>
      </w:r>
      <w:r w:rsidRPr="004D14C8">
        <w:t xml:space="preserve"> </w:t>
      </w:r>
      <w:r>
        <w:t>S</w:t>
      </w:r>
      <w:r w:rsidRPr="004D14C8">
        <w:t xml:space="preserve">pośród wszystkich jednostek przyjętych do badania obowiązek statystyczny zrealizowało 54 303 jednostek, </w:t>
      </w:r>
      <w:r>
        <w:t>w tym 43 369 wspólnot mieszkaniowych. O</w:t>
      </w:r>
      <w:r w:rsidRPr="004D14C8">
        <w:t>dmowa sporządzenia sprawozdania dotyczyła 4 247 jednostek, a 3 031 to przypadki braku kontaktu z jednostką.</w:t>
      </w:r>
      <w:r>
        <w:t xml:space="preserve"> Ogólny wskaźnik odpowiedzi wyniósł 88,2%. W przypadku wspólnot mieszkaniowych wskaźnik ten był niższy i wyniósł 85,5%, a dla pozostałych podmiotów osiągnął 99,7%.</w:t>
      </w:r>
    </w:p>
    <w:p w:rsidR="0006147D" w:rsidRPr="004D14C8" w:rsidRDefault="0006147D" w:rsidP="0006147D">
      <w:pPr>
        <w:spacing w:before="240" w:line="360" w:lineRule="exact"/>
        <w:jc w:val="both"/>
      </w:pPr>
      <w:r w:rsidRPr="004D14C8">
        <w:t xml:space="preserve">W ujęciu przestrzennym najwyższy wskaźnik </w:t>
      </w:r>
      <w:r>
        <w:t xml:space="preserve">ogółu </w:t>
      </w:r>
      <w:r w:rsidRPr="004D14C8">
        <w:t>odpowiedzi występował w województwie: lubelskim (98%), podkarpackim (94,2%), podlaskim (ok. 92%) i lubuskim (91,7%) przy najniższym w województwie: wielkopolskim (81,5%), dolnośląskim (83,2%) i opolskim (85,8%).</w:t>
      </w:r>
    </w:p>
    <w:p w:rsidR="0006147D" w:rsidRPr="004D14C8" w:rsidRDefault="0006147D" w:rsidP="0006147D">
      <w:pPr>
        <w:widowControl w:val="0"/>
        <w:spacing w:before="240" w:after="120" w:line="360" w:lineRule="exact"/>
        <w:jc w:val="both"/>
      </w:pPr>
      <w:r>
        <w:t>W związku z faktem, że s</w:t>
      </w:r>
      <w:r w:rsidRPr="004D14C8">
        <w:t>pośród jednostek, które zrealizowały obowiązek sprawozdawczy, ok.</w:t>
      </w:r>
      <w:r>
        <w:t> </w:t>
      </w:r>
      <w:r w:rsidRPr="004D14C8">
        <w:t>1,3</w:t>
      </w:r>
      <w:r>
        <w:t> </w:t>
      </w:r>
      <w:r w:rsidRPr="004D14C8">
        <w:t>tys. nie posiadało zasobów mieszkaniowych, dane prezentowane w niniejszej publikacji odnoszą się do ok. 53 tys. jednostek pos</w:t>
      </w:r>
      <w:r>
        <w:t xml:space="preserve">iadających zasoby mieszkaniowe. </w:t>
      </w:r>
      <w:r w:rsidRPr="004D14C8">
        <w:t>Po uogólnieniu danych wykazanych przez wspólnoty mieszkaniowe ogólna liczba badanych mieszkań (wg stanu na 31</w:t>
      </w:r>
      <w:r w:rsidR="000A20E5">
        <w:t xml:space="preserve"> </w:t>
      </w:r>
      <w:r w:rsidRPr="004D14C8">
        <w:t>XII</w:t>
      </w:r>
      <w:r w:rsidR="000A20E5">
        <w:t xml:space="preserve"> </w:t>
      </w:r>
      <w:r w:rsidRPr="004D14C8">
        <w:t>2015 r.) wyniosła 6</w:t>
      </w:r>
      <w:r w:rsidR="000A20E5">
        <w:t> </w:t>
      </w:r>
      <w:r w:rsidRPr="004D14C8">
        <w:t>043</w:t>
      </w:r>
      <w:r w:rsidR="000A20E5">
        <w:t> </w:t>
      </w:r>
      <w:r w:rsidRPr="004D14C8">
        <w:t>tys</w:t>
      </w:r>
      <w:r>
        <w:t>.</w:t>
      </w:r>
    </w:p>
    <w:p w:rsidR="0006147D" w:rsidRPr="005D65DB" w:rsidRDefault="0006147D" w:rsidP="0006147D">
      <w:pPr>
        <w:spacing w:line="360" w:lineRule="exact"/>
        <w:jc w:val="both"/>
        <w:rPr>
          <w:sz w:val="22"/>
          <w:szCs w:val="22"/>
        </w:rPr>
      </w:pPr>
    </w:p>
    <w:p w:rsidR="0006147D" w:rsidRPr="00D91FBE" w:rsidRDefault="0006147D" w:rsidP="0006147D">
      <w:pPr>
        <w:pStyle w:val="GM3"/>
      </w:pPr>
      <w:r w:rsidRPr="00CB3E48">
        <w:br w:type="page"/>
      </w:r>
      <w:bookmarkStart w:id="9" w:name="_Toc464548393"/>
      <w:bookmarkStart w:id="10" w:name="_Toc465667884"/>
      <w:r w:rsidRPr="00D91FBE">
        <w:t>Objaśnienia podstawowych pojęć</w:t>
      </w:r>
      <w:bookmarkEnd w:id="9"/>
      <w:bookmarkEnd w:id="10"/>
    </w:p>
    <w:p w:rsidR="0006147D" w:rsidRPr="00CB3E48" w:rsidRDefault="0006147D" w:rsidP="0006147D">
      <w:pPr>
        <w:keepNext/>
        <w:spacing w:before="360" w:after="200" w:line="360" w:lineRule="exact"/>
        <w:jc w:val="both"/>
        <w:outlineLvl w:val="0"/>
        <w:rPr>
          <w:b/>
          <w:sz w:val="28"/>
          <w:szCs w:val="28"/>
        </w:rPr>
      </w:pPr>
      <w:r w:rsidRPr="00CB3E48">
        <w:rPr>
          <w:b/>
          <w:sz w:val="28"/>
          <w:szCs w:val="28"/>
        </w:rPr>
        <w:t>Zasoby  mieszkaniowe</w:t>
      </w:r>
    </w:p>
    <w:p w:rsidR="0006147D" w:rsidRPr="00CB3E48" w:rsidRDefault="0006147D" w:rsidP="0006147D">
      <w:pPr>
        <w:spacing w:before="120" w:line="360" w:lineRule="exact"/>
        <w:ind w:firstLine="567"/>
        <w:jc w:val="both"/>
      </w:pPr>
      <w:r w:rsidRPr="00CB3E48">
        <w:t>Pod pojęciem zasobów mieszkaniowych rozumiemy ogół mieszkań zamieszkanych</w:t>
      </w:r>
      <w:r w:rsidRPr="00CB3E48">
        <w:br/>
        <w:t>i niezamieszkanych znajdujących się w budynkach mieszkalnych i niemieszkalnych.</w:t>
      </w:r>
    </w:p>
    <w:p w:rsidR="0006147D" w:rsidRPr="00CB3E48" w:rsidRDefault="0006147D" w:rsidP="0006147D">
      <w:pPr>
        <w:spacing w:before="80" w:line="360" w:lineRule="exact"/>
        <w:ind w:firstLine="567"/>
        <w:jc w:val="both"/>
      </w:pPr>
      <w:r w:rsidRPr="00CB3E48">
        <w:t>Do zasobów mieszkaniowych nie zalicza się lokali w obiektach zbiorowego zakwaterowania (tj. hoteli pracowniczych, domów studenckich, burs i internatów, domów pomocy społecznej) z wyjątkiem znajdujących się tam mieszkań; pomieszczeń prowizorycznych oraz obiektów ruchomych (tzn. barakowozów, wagonów kolejowych, barek i statków).</w:t>
      </w:r>
    </w:p>
    <w:p w:rsidR="0006147D" w:rsidRPr="00CB3E48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CB3E48">
        <w:rPr>
          <w:b/>
          <w:sz w:val="28"/>
          <w:szCs w:val="28"/>
        </w:rPr>
        <w:t xml:space="preserve">Mieszkanie </w:t>
      </w:r>
    </w:p>
    <w:p w:rsidR="0006147D" w:rsidRPr="00CB3E48" w:rsidRDefault="0006147D" w:rsidP="0006147D">
      <w:pPr>
        <w:spacing w:before="120" w:line="360" w:lineRule="exact"/>
        <w:jc w:val="both"/>
      </w:pPr>
      <w:r w:rsidRPr="00CB3E48">
        <w:tab/>
        <w:t>Mieszkanie jest to lokal składający się z jednej lub kilku izb łącznie z pomieszczeniami pomocniczymi, wybudowany lub przebudowany dla celów mieszkalnych, konstrukcyjnie wydzielony (trwałymi ścianami) w obrębie budynku, do którego to lokalu prowadzi niezależne wejście z klatki schodowej, ogólnego korytarza, wspólnej sieni bądź bezpośrednio z ulicy, podwórza lub ogrodu.</w:t>
      </w:r>
    </w:p>
    <w:p w:rsidR="0006147D" w:rsidRPr="00CB3E48" w:rsidRDefault="0006147D" w:rsidP="0006147D">
      <w:pPr>
        <w:spacing w:before="80" w:line="360" w:lineRule="exact"/>
        <w:jc w:val="both"/>
      </w:pPr>
      <w:r w:rsidRPr="00CB3E48">
        <w:tab/>
        <w:t>Przez pomieszczenia pomocnicze należy rozumieć: przedpokój, hol, łazienkę, ustęp, garderobę, spiżarnię, schowek i inne pomieszczenia znajdujące się w obrębie mieszkania, służące mieszkalnym i gospodarczym potrzebom mieszkańców.</w:t>
      </w:r>
    </w:p>
    <w:p w:rsidR="0006147D" w:rsidRPr="00CB3E48" w:rsidRDefault="0006147D" w:rsidP="0006147D">
      <w:pPr>
        <w:spacing w:before="168" w:line="360" w:lineRule="exact"/>
        <w:ind w:firstLine="567"/>
        <w:jc w:val="both"/>
      </w:pPr>
      <w:r w:rsidRPr="00CB3E48">
        <w:t xml:space="preserve">Za </w:t>
      </w:r>
      <w:r w:rsidRPr="00CB3E48">
        <w:rPr>
          <w:i/>
        </w:rPr>
        <w:t>mieszkania zamieszkane stale</w:t>
      </w:r>
      <w:r w:rsidRPr="00CB3E48">
        <w:t xml:space="preserve"> uznaje się takie, w których przebywa jedna lub więcej osób i co najmniej jedną z tych osób uznaje się za faktycznie zamieszkałą.</w:t>
      </w:r>
    </w:p>
    <w:p w:rsidR="0006147D" w:rsidRPr="00D16FAB" w:rsidRDefault="0006147D" w:rsidP="0006147D">
      <w:pPr>
        <w:spacing w:before="168" w:line="360" w:lineRule="exact"/>
        <w:ind w:firstLine="567"/>
        <w:jc w:val="both"/>
      </w:pPr>
      <w:r w:rsidRPr="00CB3E48">
        <w:t>Za</w:t>
      </w:r>
      <w:r w:rsidRPr="00CB3E48">
        <w:rPr>
          <w:i/>
        </w:rPr>
        <w:t xml:space="preserve"> </w:t>
      </w:r>
      <w:r w:rsidRPr="00D16FAB">
        <w:rPr>
          <w:i/>
        </w:rPr>
        <w:t xml:space="preserve">mieszkania zamieszkane czasowo </w:t>
      </w:r>
      <w:r w:rsidRPr="00D16FAB">
        <w:t>uznaje się takie, w których przebywa jedna lub więcej osób, ale żadn</w:t>
      </w:r>
      <w:r w:rsidR="000A20E5" w:rsidRPr="00D16FAB">
        <w:t>ej</w:t>
      </w:r>
      <w:r w:rsidRPr="00D16FAB">
        <w:t xml:space="preserve"> z tych osób nie uznaje się za mieszkańca faktycznie stale zamieszkałego.</w:t>
      </w:r>
    </w:p>
    <w:p w:rsidR="0006147D" w:rsidRPr="00D16FAB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Mieszkania  niezamieszkane</w:t>
      </w:r>
    </w:p>
    <w:p w:rsidR="0006147D" w:rsidRPr="00D16FAB" w:rsidRDefault="0006147D" w:rsidP="0006147D">
      <w:pPr>
        <w:spacing w:before="120" w:line="360" w:lineRule="exact"/>
        <w:jc w:val="both"/>
      </w:pPr>
      <w:r w:rsidRPr="00D16FAB">
        <w:tab/>
        <w:t>Za mieszkanie niezamieszkane uznaje się takie, w którym nie zamieszkuje na stałe ani nie przebywa czasowo żadna osoba. Mieszkania te są niezamieszkane z różnych przyczyn i dlatego sklasyfikowano je jako:</w:t>
      </w:r>
    </w:p>
    <w:p w:rsidR="0006147D" w:rsidRPr="00D16FAB" w:rsidRDefault="0006147D" w:rsidP="0006147D">
      <w:pPr>
        <w:spacing w:before="80" w:line="360" w:lineRule="exact"/>
        <w:ind w:left="709" w:hanging="283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="00A62FE2" w:rsidRPr="00D16FAB">
        <w:t xml:space="preserve">mieszkania </w:t>
      </w:r>
      <w:r w:rsidRPr="00D16FAB">
        <w:t>przeznaczone do stałego zamieszkania, tzn.:</w:t>
      </w:r>
    </w:p>
    <w:p w:rsidR="0006147D" w:rsidRPr="00D16FAB" w:rsidRDefault="0006147D" w:rsidP="0006147D">
      <w:pPr>
        <w:spacing w:line="360" w:lineRule="exact"/>
        <w:ind w:left="1134" w:hanging="425"/>
        <w:jc w:val="both"/>
      </w:pPr>
      <w:r w:rsidRPr="00D16FAB">
        <w:sym w:font="Symbol" w:char="F0BE"/>
      </w:r>
      <w:r w:rsidRPr="00D16FAB">
        <w:t>  przeznaczone na sprzedaż bądź na wynajem, stanowiące lokale funkcyjne, niezamieszkane z powodu postępowania sądowego, z powodu załatwiania formalności administracyjno-prawnych, a także stanowiące rezerwę mieszkaniową gmin,</w:t>
      </w:r>
    </w:p>
    <w:p w:rsidR="0006147D" w:rsidRPr="00D16FAB" w:rsidRDefault="0006147D" w:rsidP="0006147D">
      <w:pPr>
        <w:tabs>
          <w:tab w:val="left" w:pos="709"/>
          <w:tab w:val="left" w:pos="851"/>
        </w:tabs>
        <w:spacing w:line="360" w:lineRule="exact"/>
        <w:ind w:left="1134" w:hanging="425"/>
        <w:jc w:val="both"/>
      </w:pPr>
      <w:r w:rsidRPr="00D16FAB">
        <w:sym w:font="Symbol" w:char="F0BE"/>
      </w:r>
      <w:r w:rsidRPr="00D16FAB">
        <w:t> </w:t>
      </w:r>
      <w:r w:rsidR="00A62FE2" w:rsidRPr="00D16FAB">
        <w:t> </w:t>
      </w:r>
      <w:r w:rsidRPr="00D16FAB">
        <w:t xml:space="preserve">nowe, jeszcze nie zasiedlone, znajdujące się w budynkach nowozbudowanych </w:t>
      </w:r>
      <w:r w:rsidRPr="00D16FAB">
        <w:br/>
        <w:t>i rozbudowanych,</w:t>
      </w:r>
    </w:p>
    <w:p w:rsidR="0006147D" w:rsidRPr="00D16FAB" w:rsidRDefault="0006147D" w:rsidP="0006147D">
      <w:pPr>
        <w:spacing w:line="360" w:lineRule="exact"/>
        <w:ind w:left="1134" w:hanging="425"/>
        <w:jc w:val="both"/>
      </w:pPr>
      <w:r w:rsidRPr="00D16FAB">
        <w:sym w:font="Symbol" w:char="F0BE"/>
      </w:r>
      <w:r w:rsidRPr="00D16FAB">
        <w:t>  będące w remoncie lub oczekujące na remont,</w:t>
      </w:r>
    </w:p>
    <w:p w:rsidR="0006147D" w:rsidRPr="00D16FAB" w:rsidRDefault="0006147D" w:rsidP="0006147D">
      <w:pPr>
        <w:spacing w:line="360" w:lineRule="exact"/>
        <w:ind w:left="1134" w:hanging="425"/>
        <w:jc w:val="both"/>
      </w:pPr>
      <w:r w:rsidRPr="00D16FAB">
        <w:sym w:font="Symbol" w:char="F0BE"/>
      </w:r>
      <w:r w:rsidRPr="00D16FAB">
        <w:t>  wynajęte placówkom dyplomatycznym innych państw;</w:t>
      </w:r>
    </w:p>
    <w:p w:rsidR="0006147D" w:rsidRPr="00D16FAB" w:rsidRDefault="0006147D" w:rsidP="0006147D">
      <w:pPr>
        <w:spacing w:before="80" w:line="360" w:lineRule="exact"/>
        <w:ind w:left="709" w:hanging="283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Pr="00D16FAB">
        <w:t xml:space="preserve">tzw. drugie mieszkania, które wykorzystywane są przez swoich właścicieli (lokatorów) </w:t>
      </w:r>
      <w:r w:rsidRPr="00D16FAB">
        <w:br/>
        <w:t>do czasowego lub sezonowego przebywania;</w:t>
      </w:r>
    </w:p>
    <w:p w:rsidR="0006147D" w:rsidRPr="00D16FAB" w:rsidRDefault="0006147D" w:rsidP="0006147D">
      <w:pPr>
        <w:spacing w:before="80" w:line="360" w:lineRule="exact"/>
        <w:ind w:left="709" w:hanging="283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="00A62FE2" w:rsidRPr="00D16FAB">
        <w:t xml:space="preserve">mieszkania </w:t>
      </w:r>
      <w:r w:rsidRPr="00D16FAB">
        <w:t>wykorzystywane wyłącznie do prowadzenia działalności gospodarczej (jedynie te, które nie zostały na trwale przystosowane do takiej działalności).</w:t>
      </w:r>
    </w:p>
    <w:p w:rsidR="0006147D" w:rsidRPr="00A22038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 xml:space="preserve">Rodzaj  podmiotu  będącego  właścicielem  </w:t>
      </w:r>
      <w:r w:rsidRPr="00A22038">
        <w:rPr>
          <w:b/>
          <w:sz w:val="28"/>
          <w:szCs w:val="28"/>
        </w:rPr>
        <w:t>(współwłaścicielem)  budynku</w:t>
      </w:r>
    </w:p>
    <w:p w:rsidR="0006147D" w:rsidRPr="00D16FAB" w:rsidRDefault="0006147D" w:rsidP="0006147D">
      <w:pPr>
        <w:keepNext/>
        <w:spacing w:before="168" w:line="360" w:lineRule="exact"/>
        <w:jc w:val="both"/>
        <w:outlineLvl w:val="3"/>
      </w:pPr>
      <w:r w:rsidRPr="00D16FAB">
        <w:t>W publikacji mieszkania sklasyfikowano według następujących form własności:</w:t>
      </w:r>
    </w:p>
    <w:p w:rsidR="0006147D" w:rsidRPr="00D16FAB" w:rsidRDefault="0006147D" w:rsidP="0006147D">
      <w:pPr>
        <w:spacing w:before="120" w:line="360" w:lineRule="exact"/>
        <w:ind w:left="567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i/>
        </w:rPr>
        <w:t>  gminy (komunalne)</w:t>
      </w:r>
      <w:r w:rsidRPr="00D16FAB">
        <w:t xml:space="preserve"> – mieszkania stanowiące własność gminy lub powiatu (lokalnej wspólnoty samorządowej), będące własnością gminy, ale znajdujące się w budynkach stanowiących nieruchomości wspólne, tj. mieszkania, które służą zaspokajaniu potrzeb mieszkaniowych ogółu mieszkańców gminy, a także mieszkania przekazane gminie, ale pozostające w dyspozycji jednostek użyteczności publicznej, takich jak: zakłady opieki zdrowotnej, ośrodki pomocy społecznej, jednostki systemu oświaty, nauki, instytucje kultury, służące głównie zaspokajaniu potrzeb mieszkaniowych pracowników tych jednostek;</w:t>
      </w:r>
    </w:p>
    <w:p w:rsidR="0006147D" w:rsidRPr="00D16FAB" w:rsidRDefault="0006147D" w:rsidP="0006147D">
      <w:pPr>
        <w:autoSpaceDE w:val="0"/>
        <w:autoSpaceDN w:val="0"/>
        <w:adjustRightInd w:val="0"/>
        <w:spacing w:before="120" w:line="360" w:lineRule="exact"/>
        <w:ind w:left="567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i/>
        </w:rPr>
        <w:t>  spółdzielni mieszkaniowych</w:t>
      </w:r>
      <w:r w:rsidRPr="00D16FAB">
        <w:t xml:space="preserve"> – mieszkania własnościowe (zajmowane na podstawie spółdzielczego własnościowego prawa do lokalu mieszkalnego) lub lokatorskie (zajmowane </w:t>
      </w:r>
      <w:r w:rsidRPr="00D16FAB">
        <w:br/>
        <w:t>na podstawie stosunku najmu), znajdujące się w budynkach stanowiących własność lub współwłasność spółdzielni mieszkaniowych, z wyjątkiem tych mieszkań, dla których na mocy ustawy z dnia 15 grudnia 2000 r. o spółdzielniach mieszkaniowych (Dz. U. z 2003 r. Nr 119, poz. 1116, z pó</w:t>
      </w:r>
      <w:r w:rsidRPr="00D16FAB">
        <w:rPr>
          <w:rFonts w:eastAsia="TimesNewRoman"/>
        </w:rPr>
        <w:t>ź</w:t>
      </w:r>
      <w:r w:rsidRPr="00D16FAB">
        <w:t>n. zm.) zostało ustanowione prawo odrębnej własności na rzecz jednej lub kilku osób fizycznych;</w:t>
      </w:r>
    </w:p>
    <w:p w:rsidR="0006147D" w:rsidRPr="00D16FAB" w:rsidRDefault="0006147D" w:rsidP="0006147D">
      <w:pPr>
        <w:spacing w:before="120" w:line="360" w:lineRule="exact"/>
        <w:ind w:left="567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i/>
        </w:rPr>
        <w:t>  Skarbu Państwa</w:t>
      </w:r>
      <w:r w:rsidRPr="00D16FAB">
        <w:t xml:space="preserve"> – mieszkania pozostające w zasobie Agencji Nieruchomości Rolnych (dawniej Agencja Własności Rolnej Skarbu Państwa), Wojskowej Agencji Mieszkaniowej, w zarządzie jednostek podległych ministrom: Obrony Narodowej, Spraw Wewnętrznych i Administracji, Sprawiedliwości, w zarządzie organów władzy państwowej, administracji państwowej, kontroli państwowej itp.;</w:t>
      </w:r>
    </w:p>
    <w:p w:rsidR="0006147D" w:rsidRPr="00D16FAB" w:rsidRDefault="0006147D" w:rsidP="0006147D">
      <w:pPr>
        <w:autoSpaceDE w:val="0"/>
        <w:autoSpaceDN w:val="0"/>
        <w:adjustRightInd w:val="0"/>
        <w:spacing w:before="120" w:line="360" w:lineRule="exact"/>
        <w:ind w:left="567" w:hanging="284"/>
        <w:jc w:val="both"/>
      </w:pPr>
      <w:r w:rsidRPr="00D16FAB">
        <w:sym w:font="Symbol" w:char="F0A8"/>
      </w:r>
      <w:r w:rsidRPr="00D16FAB">
        <w:t>  </w:t>
      </w:r>
      <w:r w:rsidRPr="00D16FAB">
        <w:rPr>
          <w:i/>
        </w:rPr>
        <w:t>zakładów pracy</w:t>
      </w:r>
      <w:r w:rsidRPr="00D16FAB">
        <w:t xml:space="preserve"> – mieszkania, które s</w:t>
      </w:r>
      <w:r w:rsidRPr="00D16FAB">
        <w:rPr>
          <w:rFonts w:eastAsia="TimesNewRoman"/>
        </w:rPr>
        <w:t xml:space="preserve">ą </w:t>
      </w:r>
      <w:r w:rsidRPr="00D16FAB">
        <w:t>własno</w:t>
      </w:r>
      <w:r w:rsidRPr="00D16FAB">
        <w:rPr>
          <w:rFonts w:eastAsia="TimesNewRoman"/>
        </w:rPr>
        <w:t>ś</w:t>
      </w:r>
      <w:r w:rsidRPr="00D16FAB">
        <w:t>ci</w:t>
      </w:r>
      <w:r w:rsidRPr="00D16FAB">
        <w:rPr>
          <w:rFonts w:eastAsia="TimesNewRoman"/>
        </w:rPr>
        <w:t xml:space="preserve">ą </w:t>
      </w:r>
      <w:r w:rsidRPr="00D16FAB">
        <w:t>przedsi</w:t>
      </w:r>
      <w:r w:rsidRPr="00D16FAB">
        <w:rPr>
          <w:rFonts w:eastAsia="TimesNewRoman"/>
        </w:rPr>
        <w:t>ę</w:t>
      </w:r>
      <w:r w:rsidRPr="00D16FAB">
        <w:t>biorstw pa</w:t>
      </w:r>
      <w:r w:rsidRPr="00D16FAB">
        <w:rPr>
          <w:rFonts w:eastAsia="TimesNewRoman"/>
        </w:rPr>
        <w:t>ń</w:t>
      </w:r>
      <w:r w:rsidRPr="00D16FAB">
        <w:t>stwowych, w tym Lasów Pa</w:t>
      </w:r>
      <w:r w:rsidRPr="00D16FAB">
        <w:rPr>
          <w:rFonts w:eastAsia="TimesNewRoman"/>
        </w:rPr>
        <w:t>ń</w:t>
      </w:r>
      <w:r w:rsidRPr="00D16FAB">
        <w:t>stwowych oraz pa</w:t>
      </w:r>
      <w:r w:rsidRPr="00D16FAB">
        <w:rPr>
          <w:rFonts w:eastAsia="TimesNewRoman"/>
        </w:rPr>
        <w:t>ń</w:t>
      </w:r>
      <w:r w:rsidRPr="00D16FAB">
        <w:t>stwowych jednostek organizacyjnych np. instytutów badawczych, pa</w:t>
      </w:r>
      <w:r w:rsidRPr="00D16FAB">
        <w:rPr>
          <w:rFonts w:eastAsia="TimesNewRoman"/>
        </w:rPr>
        <w:t>ń</w:t>
      </w:r>
      <w:r w:rsidRPr="00D16FAB">
        <w:t>stwowych wyższych uczelni (bez uczelni katolickich), instytucji artystycznych, Spółdzielni Kółek Rolniczych; przedsi</w:t>
      </w:r>
      <w:r w:rsidRPr="00D16FAB">
        <w:rPr>
          <w:rFonts w:eastAsia="TimesNewRoman"/>
        </w:rPr>
        <w:t>ę</w:t>
      </w:r>
      <w:r w:rsidRPr="00D16FAB">
        <w:t>biorstw komunalnych, z wyj</w:t>
      </w:r>
      <w:r w:rsidRPr="00D16FAB">
        <w:rPr>
          <w:rFonts w:eastAsia="TimesNewRoman"/>
        </w:rPr>
        <w:t>ą</w:t>
      </w:r>
      <w:r w:rsidRPr="00D16FAB">
        <w:t>tkiem przedsi</w:t>
      </w:r>
      <w:r w:rsidRPr="00D16FAB">
        <w:rPr>
          <w:rFonts w:eastAsia="TimesNewRoman"/>
        </w:rPr>
        <w:t>ę</w:t>
      </w:r>
      <w:r w:rsidRPr="00D16FAB">
        <w:t>biorstw gospodarki mieszkaniowej; przedsi</w:t>
      </w:r>
      <w:r w:rsidRPr="00D16FAB">
        <w:rPr>
          <w:rFonts w:eastAsia="TimesNewRoman"/>
        </w:rPr>
        <w:t>ę</w:t>
      </w:r>
      <w:r w:rsidRPr="00D16FAB">
        <w:t>biorstw prywatnych i innych prywatnych jednostek organizacyjnych;</w:t>
      </w:r>
    </w:p>
    <w:p w:rsidR="0006147D" w:rsidRPr="00D16FAB" w:rsidRDefault="0006147D" w:rsidP="0006147D">
      <w:pPr>
        <w:spacing w:before="120" w:line="360" w:lineRule="exact"/>
        <w:ind w:left="567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i/>
        </w:rPr>
        <w:t> towarzystw budownictwa społecznego (tbs)</w:t>
      </w:r>
      <w:r w:rsidRPr="00D16FAB">
        <w:t xml:space="preserve"> – mieszkania społeczno-czynszowe znajdujące się </w:t>
      </w:r>
      <w:r w:rsidRPr="00D16FAB">
        <w:br/>
        <w:t>w budynkach będących własnością podmiotu prawnego, który w swojej nazwie ma wyrazy „towarzystwo budownictwa społecznego” lub skrót „TBS”, bez względu na fakt partycypowania w kosztach budowy budynku innego podmiotu (gminy, spółdzielni mieszkaniowej, zakładu pracy) w zamian za uzyskanie mieszkań (na zasadzie najmu) dla wskazanych przez te podmioty osób trzecich;</w:t>
      </w:r>
    </w:p>
    <w:p w:rsidR="0006147D" w:rsidRPr="00D16FAB" w:rsidRDefault="0006147D" w:rsidP="0006147D">
      <w:pPr>
        <w:spacing w:before="120" w:line="360" w:lineRule="exact"/>
        <w:ind w:left="567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i/>
        </w:rPr>
        <w:t> </w:t>
      </w:r>
      <w:r w:rsidRPr="00A22038">
        <w:rPr>
          <w:i/>
        </w:rPr>
        <w:t xml:space="preserve">osób fizycznych w budynkach objętych </w:t>
      </w:r>
      <w:r w:rsidRPr="00D16FAB">
        <w:rPr>
          <w:i/>
        </w:rPr>
        <w:t>wspólnot</w:t>
      </w:r>
      <w:r w:rsidRPr="00A22038">
        <w:rPr>
          <w:i/>
        </w:rPr>
        <w:t>ami</w:t>
      </w:r>
      <w:r w:rsidRPr="00D16FAB">
        <w:rPr>
          <w:i/>
        </w:rPr>
        <w:t xml:space="preserve"> mieszkaniowy</w:t>
      </w:r>
      <w:r w:rsidRPr="00A22038">
        <w:rPr>
          <w:i/>
        </w:rPr>
        <w:t>mi</w:t>
      </w:r>
      <w:r w:rsidR="000A20E5" w:rsidRPr="00A22038">
        <w:rPr>
          <w:i/>
        </w:rPr>
        <w:t xml:space="preserve"> </w:t>
      </w:r>
      <w:r w:rsidRPr="00D16FAB">
        <w:t xml:space="preserve">– pojęcie </w:t>
      </w:r>
      <w:r w:rsidRPr="00A22038">
        <w:t>wspólnota mieszkaniowa</w:t>
      </w:r>
      <w:r w:rsidRPr="00D16FAB">
        <w:t xml:space="preserve"> odnosi się do budynku (lub kilku budynków) wielomieszkaniowego, w którym część lub wszystkie lokale stanowią wyodrębnione własności osób fizycznych, potwierdzone wpisem do księgi wieczystej. Wspólnotę mieszkaniową tworzy ogół właścicieli lokali (mieszkalnych i użytkowych).</w:t>
      </w:r>
    </w:p>
    <w:p w:rsidR="0006147D" w:rsidRPr="00D16FAB" w:rsidRDefault="0006147D" w:rsidP="0006147D">
      <w:pPr>
        <w:spacing w:before="120" w:line="360" w:lineRule="exact"/>
        <w:ind w:left="567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i/>
        </w:rPr>
        <w:t> innych podmiotów</w:t>
      </w:r>
      <w:r w:rsidRPr="00D16FAB">
        <w:t xml:space="preserve"> – mieszkania stanowiące własność instytucji budujących dla zysku – przeznaczone na sprzedaż (ale jeszcze nie sprzedane osobom fizycznym) lub na wynajem, np. developerów; mieszkania stanowiące własność stowarzyszeń, fundacji, partii politycznych, związków zawodowych, samorządów zawodowych i gospodarczych; Kościoła katolickiego</w:t>
      </w:r>
      <w:r w:rsidRPr="00D16FAB">
        <w:br/>
        <w:t>i innych kościołów, związków wyznaniowych, uczelni katolickich i instytutów kościelnych, itp.</w:t>
      </w:r>
    </w:p>
    <w:p w:rsidR="0006147D" w:rsidRPr="00D16FAB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Powierzchnia  użytkowa  mieszkań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>Powierzchnia użytkowa mieszkania jest to suma powierzchni wszystkich pomieszczeń znajdujących się w obrębie mieszkania, a w szczególności: pokoi, kuchni (z oknem i bez okna), spiżarni, przedpokoi, alkow, holi, łazienek, ubikacji, obudowanej werandy, ganku, garderoby oraz innych pomieszczeń służących mieszkalnym lub gospodarczym potrzebom mieszkańców bez względu na ich przeznaczenie i sposób użytkowania.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>Powierzchnię sieni z reguły zalicza się do powierzchni mieszkania. Nie wlicza się jej powierzchni do powierzchni użytkowej mieszkania tylko wówczas, gdy:</w:t>
      </w:r>
    </w:p>
    <w:p w:rsidR="0006147D" w:rsidRPr="00D16FAB" w:rsidRDefault="0006147D" w:rsidP="00A62FE2">
      <w:pPr>
        <w:spacing w:line="360" w:lineRule="exact"/>
        <w:ind w:left="284" w:hanging="284"/>
        <w:jc w:val="both"/>
      </w:pPr>
      <w:r w:rsidRPr="00D16FAB">
        <w:t>­   sień łączy część mieszkalną budynku z częścią inwentarską lub gospodarską,</w:t>
      </w:r>
    </w:p>
    <w:p w:rsidR="0006147D" w:rsidRPr="00D16FAB" w:rsidRDefault="0006147D" w:rsidP="0006147D">
      <w:pPr>
        <w:spacing w:before="120" w:line="360" w:lineRule="exact"/>
        <w:ind w:left="284" w:hanging="284"/>
        <w:jc w:val="both"/>
      </w:pPr>
      <w:r w:rsidRPr="00D16FAB">
        <w:t>­   w budynku znajduje się więcej niż jedno mieszkanie, a sień użytkowana jest wspólnie jako ogólnodostępny korytarz.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>Do powierzchni użytkowej mieszkania nie zalicza się powierzchni: balkonów, tarasów, loggii, antresoli, szaf i schowków w ścianach, pralni, suszarni, wózkowni, strychów, piwnic i komórek przeznaczonych na przechowywanie opału, a także garaży, hydroforni i kotłowni.</w:t>
      </w:r>
    </w:p>
    <w:p w:rsidR="0006147D" w:rsidRPr="00D16FAB" w:rsidRDefault="0006147D" w:rsidP="0006147D">
      <w:pPr>
        <w:pStyle w:val="NormalnyWeb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Izba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 xml:space="preserve">Pomieszczenie w mieszkaniu, oddzielone od innych pomieszczeń stałymi ścianami sięgającymi od podłogi do sufitu, o powierzchni nie mniejszej niż 4 m kw., z bezpośrednim oświetleniem dziennym, tj. oknem lub oszklonymi drzwiami w ścianie zewnętrznej budynku; za izbę uważa się nie tylko pokoje, ale również kuchnie spełniające powyższe kryteria. 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>Nie uznaje się za izby - bez względu na wielkość powierzchni i sposób oświetlenia - przedpokojów, holi, łazienek, ubikacji, spiżarni, werand, ganków, schowków itp.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</w:p>
    <w:p w:rsidR="0006147D" w:rsidRPr="00D16FAB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Lokale  socjalne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 xml:space="preserve">Lokal socjalny to lokal </w:t>
      </w:r>
      <w:r w:rsidRPr="00D16FAB">
        <w:rPr>
          <w:b/>
          <w:bCs/>
        </w:rPr>
        <w:t>nadający się do zamieszkania ze względu na wyposażenie i stan techniczny</w:t>
      </w:r>
      <w:r w:rsidRPr="00D16FAB">
        <w:t xml:space="preserve">, którego powierzchnia pokoi przypadająca na członka gospodarstwa domowego najemcy – tj. jedną osobę w przypadku zamieszkiwania co najmniej dwóch osób - nie może być mniejsza niż </w:t>
      </w:r>
      <w:r w:rsidRPr="00D16FAB">
        <w:rPr>
          <w:b/>
          <w:bCs/>
        </w:rPr>
        <w:t>5 m²</w:t>
      </w:r>
      <w:r w:rsidRPr="00D16FAB">
        <w:t xml:space="preserve">, a w wypadku jednoosobowego gospodarstwa domowego </w:t>
      </w:r>
      <w:r w:rsidRPr="00D16FAB">
        <w:rPr>
          <w:b/>
          <w:bCs/>
        </w:rPr>
        <w:t>10 m²</w:t>
      </w:r>
      <w:r w:rsidRPr="00D16FAB">
        <w:t xml:space="preserve">, przy czym lokal ten może być </w:t>
      </w:r>
      <w:r w:rsidRPr="00D16FAB">
        <w:br/>
        <w:t xml:space="preserve">o obniżonym standardzie. Oznacza to możliwość ograniczania dostępu do pewnych pomieszczeń czy urządzeń np. poprzez umiejscowienie jednej wspólnej łazienki lub WC na korytarzu dla kilku wyodrębnionych lokali w ramach nieruchomości, gazu czy braku centralnego ogrzewania. Przysługuje on osobom, które uzyskały prawo do lokalu socjalnego na podstawie </w:t>
      </w:r>
      <w:r w:rsidRPr="00D16FAB">
        <w:rPr>
          <w:b/>
          <w:bCs/>
        </w:rPr>
        <w:t xml:space="preserve">wyroku eksmisyjnego </w:t>
      </w:r>
      <w:r w:rsidRPr="00D16FAB">
        <w:t xml:space="preserve">lub znajdują się </w:t>
      </w:r>
      <w:r w:rsidRPr="00D16FAB">
        <w:rPr>
          <w:b/>
          <w:bCs/>
        </w:rPr>
        <w:t>w trudnej sytuacji materialnej</w:t>
      </w:r>
      <w:r w:rsidRPr="00D16FAB">
        <w:t>, w której ich potrzeby mieszkaniowe nie są zaspokojone.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>Są to lokale wynajęte przez gminę na podstawie umowy o najem lokalu socjalnego, zawartej zgodnie z Ustawą z dnia 21 czerwca 2001 r. o ochronie praw lokatorów, mieszkaniowym zasobie gminy i o zmianie Kodeksu cywilnego (Dz.U. z 2005 Nr 31, poz. 266, z późn. zm.).</w:t>
      </w:r>
    </w:p>
    <w:p w:rsidR="0006147D" w:rsidRPr="00D16FAB" w:rsidRDefault="0006147D" w:rsidP="0006147D">
      <w:pPr>
        <w:shd w:val="clear" w:color="auto" w:fill="FFFFFF"/>
        <w:spacing w:before="80" w:line="360" w:lineRule="exact"/>
        <w:ind w:firstLine="567"/>
        <w:jc w:val="both"/>
      </w:pPr>
      <w:r w:rsidRPr="00D16FAB">
        <w:t xml:space="preserve">Umowę najmu lokalu socjalnego zawiera się na </w:t>
      </w:r>
      <w:r w:rsidRPr="00D16FAB">
        <w:rPr>
          <w:b/>
          <w:bCs/>
        </w:rPr>
        <w:t>czas oznaczony</w:t>
      </w:r>
      <w:r w:rsidRPr="00D16FAB">
        <w:t>. Czas trwania umowy pozostaje w gestii władz gminy i będzie wynikał z przyznanej jej swobody prowadzenia polityki mieszkaniowej. Przy określaniu czasu, na jaki zostanie zawarta umowa, gmina powinna wziąć pod uwagę cele przyznawania lokali socjalnych, które wynikają z ustawy. Najważniejszymi celami przyznawania lokali socjalnych jest wsparcie rodzin ubogich oraz przeciwdziałanie bezdomności.</w:t>
      </w:r>
    </w:p>
    <w:p w:rsidR="0006147D" w:rsidRPr="00D16FAB" w:rsidRDefault="0006147D" w:rsidP="0006147D">
      <w:pPr>
        <w:shd w:val="clear" w:color="auto" w:fill="FFFFFF"/>
        <w:spacing w:line="360" w:lineRule="exact"/>
        <w:ind w:firstLine="567"/>
        <w:jc w:val="both"/>
      </w:pPr>
      <w:r w:rsidRPr="00D16FAB">
        <w:t xml:space="preserve">Stawka czynszu za lokal socjalny nie może przekraczać </w:t>
      </w:r>
      <w:r w:rsidRPr="00D16FAB">
        <w:rPr>
          <w:b/>
          <w:bCs/>
        </w:rPr>
        <w:t>połowy stawki najniższego czynszu</w:t>
      </w:r>
      <w:r w:rsidRPr="00D16FAB">
        <w:t xml:space="preserve"> obowiązującego w gminnym zasobie mieszkaniowym. Przy najmie lokalu socjalnego </w:t>
      </w:r>
      <w:r w:rsidRPr="00D16FAB">
        <w:rPr>
          <w:b/>
          <w:bCs/>
        </w:rPr>
        <w:t>nie pobiera się kaucji</w:t>
      </w:r>
      <w:r w:rsidRPr="00D16FAB">
        <w:t>.</w:t>
      </w:r>
    </w:p>
    <w:p w:rsidR="0006147D" w:rsidRPr="00D16FAB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Wyposażenie  mieszkań  w  instalacje  sanitarno-techniczne</w:t>
      </w:r>
    </w:p>
    <w:p w:rsidR="0006147D" w:rsidRPr="00D16FAB" w:rsidRDefault="0006147D" w:rsidP="0006147D">
      <w:pPr>
        <w:spacing w:before="120" w:line="360" w:lineRule="exact"/>
        <w:ind w:firstLine="567"/>
        <w:jc w:val="both"/>
      </w:pPr>
      <w:r w:rsidRPr="00D16FAB">
        <w:t xml:space="preserve">Obejmuje mieszkania, w których występuje co najmniej jedno z niżej wymienionych urządzeń sanitarno-technicznych: wodociąg, ustęp spłukiwany, łazienka, centralne ogrzewanie </w:t>
      </w:r>
      <w:r w:rsidRPr="00D16FAB">
        <w:br/>
        <w:t>lub gaz z sieci.</w:t>
      </w:r>
    </w:p>
    <w:p w:rsidR="0006147D" w:rsidRPr="00D16FAB" w:rsidRDefault="0006147D" w:rsidP="0006147D">
      <w:pPr>
        <w:spacing w:before="120" w:line="360" w:lineRule="exact"/>
        <w:jc w:val="both"/>
      </w:pPr>
      <w:r w:rsidRPr="00D16FAB">
        <w:t>Za mieszkanie wyposażone w:</w:t>
      </w:r>
    </w:p>
    <w:p w:rsidR="0006147D" w:rsidRPr="00D16FAB" w:rsidRDefault="0006147D" w:rsidP="0006147D">
      <w:pPr>
        <w:spacing w:before="60" w:line="360" w:lineRule="exact"/>
        <w:ind w:left="709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Pr="00D16FAB">
        <w:t xml:space="preserve">wodociąg </w:t>
      </w:r>
      <w:r w:rsidR="000A20E5" w:rsidRPr="00D16FAB">
        <w:t>–</w:t>
      </w:r>
      <w:r w:rsidRPr="00D16FAB">
        <w:t xml:space="preserve"> uznaje się mieszkanie, w obrębie którego znajduje się kran z wodą bieżącą. Przez wodociąg należy rozumieć instalacje wodociągowe (wraz z urządzeniami odbioru znajdującymi się w mieszkaniu) doprowadzające wodę z sieci (za pomocą czynnych połączeń) od przewodu ulicznego lub z urządzeń lokalnych (własne ujęcia wody);</w:t>
      </w:r>
    </w:p>
    <w:p w:rsidR="0006147D" w:rsidRPr="00D16FAB" w:rsidRDefault="0006147D" w:rsidP="0006147D">
      <w:pPr>
        <w:spacing w:before="60" w:line="360" w:lineRule="exact"/>
        <w:ind w:left="709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Pr="00D16FAB">
        <w:t xml:space="preserve">ustęp spłukiwany – uznaje się mieszkanie, w obrębie którego znajduje się urządzenie sanitarne podłączone do instalacji wodociągowej i odprowadzającej ścieki do sieci kanalizacyjnej lub </w:t>
      </w:r>
      <w:r w:rsidRPr="00D16FAB">
        <w:br/>
        <w:t>do urządzeń lokalnych (zbiorniki bezodpływowe);</w:t>
      </w:r>
    </w:p>
    <w:p w:rsidR="0006147D" w:rsidRPr="00D16FAB" w:rsidRDefault="0006147D" w:rsidP="0006147D">
      <w:pPr>
        <w:spacing w:before="60" w:line="360" w:lineRule="exact"/>
        <w:ind w:left="709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Pr="00D16FAB">
        <w:t>łazienkę (urządzenie kąpielowe, prysznic – z odpływem wody) – należy tu rozumieć pomieszczenie, w którym zainstalowana jest wanna lub prysznic, bądź oba te urządzenia oraz urządzenia odprowadzające ścieki do sieci kanalizacyjnej lub do urządzeń lokalnych (zbiorniki bezodpływowe, przydomowe oczyszczalnie ścieków);</w:t>
      </w:r>
    </w:p>
    <w:p w:rsidR="0006147D" w:rsidRPr="00D16FAB" w:rsidRDefault="0006147D" w:rsidP="0006147D">
      <w:pPr>
        <w:tabs>
          <w:tab w:val="left" w:pos="426"/>
          <w:tab w:val="left" w:pos="851"/>
          <w:tab w:val="left" w:pos="1080"/>
        </w:tabs>
        <w:spacing w:before="60" w:line="360" w:lineRule="exact"/>
        <w:ind w:left="709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Pr="00D16FAB">
        <w:t xml:space="preserve">gaz z sieci </w:t>
      </w:r>
      <w:r w:rsidR="000A20E5" w:rsidRPr="00D16FAB">
        <w:t>–</w:t>
      </w:r>
      <w:r w:rsidRPr="00D16FAB">
        <w:t xml:space="preserve"> uznaje się mieszkanie, w którym znajdują się instalacje (wraz z urządzeniami odbioru znajdującymi się w mieszkaniu) doprowadzające gaz z czynnych przyłączy;</w:t>
      </w:r>
    </w:p>
    <w:p w:rsidR="0006147D" w:rsidRPr="00D16FAB" w:rsidRDefault="0006147D" w:rsidP="0006147D">
      <w:pPr>
        <w:tabs>
          <w:tab w:val="left" w:pos="851"/>
        </w:tabs>
        <w:spacing w:before="60" w:line="360" w:lineRule="exact"/>
        <w:ind w:left="709" w:hanging="284"/>
        <w:jc w:val="both"/>
      </w:pPr>
      <w:r w:rsidRPr="00D16FAB">
        <w:rPr>
          <w:rFonts w:ascii="Symbol" w:hAnsi="Symbol"/>
        </w:rPr>
        <w:sym w:font="Symbol" w:char="F0A8"/>
      </w:r>
      <w:r w:rsidRPr="00D16FAB">
        <w:rPr>
          <w:rFonts w:ascii="Symbol" w:hAnsi="Symbol"/>
        </w:rPr>
        <w:t></w:t>
      </w:r>
      <w:r w:rsidRPr="00D16FAB">
        <w:rPr>
          <w:rFonts w:ascii="Symbol" w:hAnsi="Symbol"/>
        </w:rPr>
        <w:t></w:t>
      </w:r>
      <w:r w:rsidRPr="00D16FAB">
        <w:t>centralne ogrzewanie – uznaje się mieszkanie, w którym znajduje się instalacja doprowadzająca ciepło z centralnego źródła wytwarzania, tj. elektrociepłowni, ciepłowni, kotłowni osiedlowych, pieca do c.o. zainstalowanego we własnej kotłowni lub w innym pomieszczeniu. Do c.o. zalicza się również elektryczne ogrzewanie podłogowe.</w:t>
      </w:r>
    </w:p>
    <w:p w:rsidR="0006147D" w:rsidRPr="00D16FAB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Remonty  budynków  mieszkalnych</w:t>
      </w:r>
    </w:p>
    <w:p w:rsidR="0006147D" w:rsidRPr="00D16FAB" w:rsidRDefault="0006147D" w:rsidP="0006147D">
      <w:pPr>
        <w:spacing w:before="120" w:line="360" w:lineRule="exact"/>
        <w:ind w:firstLine="708"/>
        <w:jc w:val="both"/>
      </w:pPr>
      <w:r w:rsidRPr="00D16FAB">
        <w:t xml:space="preserve">Informacje o remontach mieszkań w budynkach mieszkalnych ustalono dla zasobów stanowiących własność spółdzielni mieszkaniowych, gmin, zakładów pracy, osób fizycznych </w:t>
      </w:r>
      <w:r w:rsidRPr="00D16FAB">
        <w:br/>
        <w:t>w budynkach wspólnot mieszkaniowych i pozostałych podmiotów. Dane dotyczą remontów zakończonych w roku sprawozdawczym.</w:t>
      </w:r>
    </w:p>
    <w:p w:rsidR="0006147D" w:rsidRPr="00D16FAB" w:rsidRDefault="0006147D" w:rsidP="0006147D">
      <w:pPr>
        <w:spacing w:before="120" w:line="360" w:lineRule="exact"/>
        <w:jc w:val="both"/>
      </w:pPr>
      <w:r w:rsidRPr="00D16FAB">
        <w:t>Efekty rzeczowe wykonanych prac zilustrowano:</w:t>
      </w:r>
    </w:p>
    <w:p w:rsidR="0006147D" w:rsidRPr="00D16FAB" w:rsidRDefault="0006147D" w:rsidP="0006147D">
      <w:pPr>
        <w:spacing w:before="120" w:line="360" w:lineRule="exact"/>
        <w:ind w:left="284" w:hanging="142"/>
        <w:jc w:val="both"/>
      </w:pPr>
      <w:r w:rsidRPr="00D16FAB">
        <w:t>- liczbą mieszkań w budynkach, w których przeprowadzono remonty kapitalne lub wykonano roboty remontowe nie stanowiące remontu kapitalnego; liczba mieszkań obejmuje wszystkie mieszkania znajdujące się w budynkach objętych remontami i określa pośrednio wielkość tych budynków,</w:t>
      </w:r>
    </w:p>
    <w:p w:rsidR="0006147D" w:rsidRPr="00D16FAB" w:rsidRDefault="0006147D" w:rsidP="0006147D">
      <w:pPr>
        <w:spacing w:before="120" w:line="360" w:lineRule="exact"/>
        <w:ind w:left="284" w:hanging="142"/>
        <w:jc w:val="both"/>
      </w:pPr>
      <w:r w:rsidRPr="00D16FAB">
        <w:t>- liczbą mieszkań w budynkach, do których doprowadzono instalacje sanitarno-techniczne (wodociąg, kanalizację, centralne ogrzewanie, ciepłą wodę, gaz sieciowy i zbiorcze anteny telewizyjne), a których określone budynki i mieszkania w tych budynkach wcześniej nie posiadały;</w:t>
      </w:r>
    </w:p>
    <w:p w:rsidR="0006147D" w:rsidRPr="00D16FAB" w:rsidRDefault="0006147D" w:rsidP="0006147D">
      <w:pPr>
        <w:spacing w:before="120" w:line="360" w:lineRule="exact"/>
        <w:ind w:firstLine="708"/>
        <w:jc w:val="both"/>
      </w:pPr>
      <w:r w:rsidRPr="00D16FAB">
        <w:t xml:space="preserve">Pod pojęciem </w:t>
      </w:r>
      <w:r w:rsidRPr="00D16FAB">
        <w:rPr>
          <w:b/>
        </w:rPr>
        <w:t>remontu kapitalnego</w:t>
      </w:r>
      <w:r w:rsidRPr="00D16FAB">
        <w:t xml:space="preserve"> budynku rozumie się roboty remontowe mające na celu przywrócenie budynkowi (mieszkaniu) pierwotnej lub prawie pierwotnej wartości technicznej </w:t>
      </w:r>
      <w:r w:rsidRPr="00D16FAB">
        <w:br/>
        <w:t xml:space="preserve">i użytkowej. Do budynków poddanych remontowi kapitalnemu zaliczono budynki, w których </w:t>
      </w:r>
      <w:r w:rsidRPr="00D16FAB">
        <w:br/>
        <w:t>co najmniej 60% podstawowych elementów budowlanych i instalacyjnych zostało poddanych naprawom głównym bądź wymianom. Przez naprawę główną rozumie się gruntowny remont obejmujący co najmniej 50% stanu fizycznego poszczególnego elementu budynku lub instalacji.</w:t>
      </w:r>
    </w:p>
    <w:p w:rsidR="0006147D" w:rsidRPr="00D16FAB" w:rsidRDefault="0006147D" w:rsidP="0006147D">
      <w:pPr>
        <w:autoSpaceDE w:val="0"/>
        <w:autoSpaceDN w:val="0"/>
        <w:adjustRightInd w:val="0"/>
        <w:spacing w:before="120" w:line="360" w:lineRule="exact"/>
        <w:ind w:firstLine="708"/>
        <w:jc w:val="both"/>
      </w:pPr>
      <w:r w:rsidRPr="00D16FAB">
        <w:rPr>
          <w:b/>
        </w:rPr>
        <w:t>Roboty remontowe</w:t>
      </w:r>
      <w:r w:rsidRPr="00D16FAB">
        <w:t xml:space="preserve"> – gruntowny remont polegający na </w:t>
      </w:r>
      <w:r w:rsidRPr="00D16FAB">
        <w:rPr>
          <w:rFonts w:ascii="Times" w:hAnsi="Times" w:cs="Times"/>
        </w:rPr>
        <w:t>przeprowadzeniu w budynku (mieszkaniu) i zako</w:t>
      </w:r>
      <w:r w:rsidRPr="00D16FAB">
        <w:rPr>
          <w:rFonts w:ascii="TimesNewRoman" w:eastAsia="TimesNewRoman" w:hAnsi="Times" w:cs="TimesNewRoman"/>
        </w:rPr>
        <w:t>ń</w:t>
      </w:r>
      <w:r w:rsidRPr="00D16FAB">
        <w:rPr>
          <w:rFonts w:ascii="Times" w:hAnsi="Times" w:cs="Times"/>
        </w:rPr>
        <w:t xml:space="preserve">czeniu remontu (wymianie) elementów budowlanych lub instalacji: </w:t>
      </w:r>
      <w:r w:rsidRPr="00D16FAB">
        <w:rPr>
          <w:rFonts w:ascii="Times" w:hAnsi="Times" w:cs="Times"/>
        </w:rPr>
        <w:br/>
        <w:t>Do podstawowych elementów budowlanych zalicza si</w:t>
      </w:r>
      <w:r w:rsidRPr="00D16FAB">
        <w:rPr>
          <w:rFonts w:ascii="TimesNewRoman" w:eastAsia="TimesNewRoman" w:hAnsi="Times" w:cs="TimesNewRoman"/>
        </w:rPr>
        <w:t>ę</w:t>
      </w:r>
      <w:r w:rsidRPr="00D16FAB">
        <w:rPr>
          <w:rFonts w:ascii="Times" w:hAnsi="Times" w:cs="Times"/>
        </w:rPr>
        <w:t xml:space="preserve">: </w:t>
      </w:r>
      <w:r w:rsidRPr="00D16FAB">
        <w:rPr>
          <w:rFonts w:ascii="TimesNewRoman" w:eastAsia="TimesNewRoman" w:hAnsi="Times" w:cs="TimesNewRoman"/>
        </w:rPr>
        <w:t>ś</w:t>
      </w:r>
      <w:r w:rsidRPr="00D16FAB">
        <w:rPr>
          <w:rFonts w:ascii="Times" w:hAnsi="Times" w:cs="Times"/>
        </w:rPr>
        <w:t>ciany konstrukcyjne, konstrukcje i krycie dachu, tynki zewn</w:t>
      </w:r>
      <w:r w:rsidRPr="00D16FAB">
        <w:rPr>
          <w:rFonts w:ascii="TimesNewRoman" w:eastAsia="TimesNewRoman" w:hAnsi="Times" w:cs="TimesNewRoman"/>
        </w:rPr>
        <w:t>ę</w:t>
      </w:r>
      <w:r w:rsidRPr="00D16FAB">
        <w:rPr>
          <w:rFonts w:ascii="Times" w:hAnsi="Times" w:cs="Times"/>
        </w:rPr>
        <w:t>trzne i wewn</w:t>
      </w:r>
      <w:r w:rsidRPr="00D16FAB">
        <w:rPr>
          <w:rFonts w:ascii="TimesNewRoman" w:eastAsia="TimesNewRoman" w:hAnsi="Times" w:cs="TimesNewRoman"/>
        </w:rPr>
        <w:t>ę</w:t>
      </w:r>
      <w:r w:rsidRPr="00D16FAB">
        <w:rPr>
          <w:rFonts w:ascii="Times" w:hAnsi="Times" w:cs="Times"/>
        </w:rPr>
        <w:t>trzne, stropy, stolark</w:t>
      </w:r>
      <w:r w:rsidRPr="00D16FAB">
        <w:rPr>
          <w:rFonts w:ascii="TimesNewRoman" w:eastAsia="TimesNewRoman" w:hAnsi="Times" w:cs="TimesNewRoman"/>
        </w:rPr>
        <w:t>ę</w:t>
      </w:r>
      <w:r w:rsidRPr="00D16FAB">
        <w:rPr>
          <w:rFonts w:ascii="TimesNewRoman" w:eastAsia="TimesNewRoman" w:hAnsi="Times" w:cs="TimesNewRoman"/>
        </w:rPr>
        <w:t xml:space="preserve"> </w:t>
      </w:r>
      <w:r w:rsidRPr="00D16FAB">
        <w:rPr>
          <w:rFonts w:ascii="Times" w:hAnsi="Times" w:cs="Times"/>
        </w:rPr>
        <w:t>budowlan</w:t>
      </w:r>
      <w:r w:rsidRPr="00D16FAB">
        <w:rPr>
          <w:rFonts w:ascii="TimesNewRoman" w:eastAsia="TimesNewRoman" w:hAnsi="Times" w:cs="TimesNewRoman"/>
        </w:rPr>
        <w:t>ą</w:t>
      </w:r>
      <w:r w:rsidRPr="00D16FAB">
        <w:rPr>
          <w:rFonts w:ascii="Times" w:hAnsi="Times" w:cs="Times"/>
        </w:rPr>
        <w:t>, podłogi i piece grzewcze.</w:t>
      </w:r>
    </w:p>
    <w:p w:rsidR="0006147D" w:rsidRPr="00D16FAB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D16FAB">
        <w:rPr>
          <w:b/>
          <w:sz w:val="28"/>
          <w:szCs w:val="28"/>
        </w:rPr>
        <w:t>Zaległości  w  opłatach  za  mieszkanie  i  w  spłatach  kredytu  mieszkaniowego</w:t>
      </w:r>
    </w:p>
    <w:p w:rsidR="0006147D" w:rsidRPr="00D16FAB" w:rsidRDefault="0006147D" w:rsidP="0006147D">
      <w:pPr>
        <w:spacing w:before="120" w:line="360" w:lineRule="exact"/>
        <w:ind w:firstLine="708"/>
        <w:jc w:val="both"/>
      </w:pPr>
      <w:r w:rsidRPr="00D16FAB">
        <w:t xml:space="preserve">Informacje o zaległościach w opłatach za mieszkanie obejmują dane o liczbie </w:t>
      </w:r>
      <w:r w:rsidRPr="00A22038">
        <w:t>mieszkań będących własnością jednostki sprawozdawczej, których lokatorzy zalegają</w:t>
      </w:r>
      <w:r w:rsidR="003B5CBE" w:rsidRPr="00A22038">
        <w:t xml:space="preserve"> </w:t>
      </w:r>
      <w:r w:rsidRPr="00D16FAB">
        <w:t>z bieżącymi opłatami za mieszkanie, z wydzieleniem lokatorów zalegających 3 miesiące i dłużej, oraz dane o łącznej sumie zaległości z tytułu nieuiszczonych opłat, ustalone według stanu w dniu 31 XII 2015 r.</w:t>
      </w:r>
    </w:p>
    <w:p w:rsidR="0006147D" w:rsidRPr="001F713E" w:rsidRDefault="0006147D" w:rsidP="0006147D">
      <w:pPr>
        <w:spacing w:before="120" w:line="360" w:lineRule="exact"/>
        <w:ind w:firstLine="708"/>
        <w:jc w:val="both"/>
      </w:pPr>
      <w:r>
        <w:t>Informacje o zaległościach w spłacie kredytu mieszkaniowego dotyczy tylko członków spółdzielni mieszkaniowych, którzy zgodnie z zawartymi umowami winni uiszczać raty kredytu (wraz z odsetkami) na konto spółdzielni mieszkaniowej.</w:t>
      </w:r>
    </w:p>
    <w:p w:rsidR="0006147D" w:rsidRPr="001F713E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1F713E">
        <w:rPr>
          <w:b/>
          <w:sz w:val="28"/>
          <w:szCs w:val="28"/>
        </w:rPr>
        <w:t>Działania  eksmisyjne  wobec  użytkowników  lokali  mieszkalnych</w:t>
      </w:r>
    </w:p>
    <w:p w:rsidR="0006147D" w:rsidRPr="001F713E" w:rsidRDefault="0006147D" w:rsidP="0006147D">
      <w:pPr>
        <w:spacing w:before="120" w:line="340" w:lineRule="exact"/>
        <w:ind w:firstLine="708"/>
        <w:jc w:val="both"/>
      </w:pPr>
      <w:r w:rsidRPr="001F713E">
        <w:t xml:space="preserve">Działania eksmisyjne są czynnościami związanymi z przymusowym usunięciem osoby/osób </w:t>
      </w:r>
      <w:r w:rsidRPr="001F713E">
        <w:br/>
        <w:t>z zajmowanego lokalu lub nieruchomości na mocy decyzji władz administracyjnych lub wyroku sądowego.</w:t>
      </w:r>
    </w:p>
    <w:p w:rsidR="0006147D" w:rsidRPr="001F713E" w:rsidRDefault="0006147D" w:rsidP="0006147D">
      <w:pPr>
        <w:spacing w:before="120" w:line="340" w:lineRule="exact"/>
        <w:ind w:firstLine="708"/>
        <w:jc w:val="both"/>
      </w:pPr>
      <w:r w:rsidRPr="001F713E">
        <w:t xml:space="preserve">Informacje o działaniach eksmisyjnych wobec użytkowników lokali mieszkalnych wykazane </w:t>
      </w:r>
      <w:r w:rsidRPr="001F713E">
        <w:br/>
        <w:t>w n</w:t>
      </w:r>
      <w:r>
        <w:t>iniejszej</w:t>
      </w:r>
      <w:r w:rsidRPr="001F713E">
        <w:t xml:space="preserve"> publikacji dotyczą użytkowników lokali spółdzielczych, gminnych, zakładowych, osób fizycznych w budynkach wspólnot mieszkaniowych oraz pozostałych podmiotów. Informacje </w:t>
      </w:r>
      <w:r w:rsidRPr="001F713E">
        <w:br/>
        <w:t>te obejmują:</w:t>
      </w:r>
    </w:p>
    <w:p w:rsidR="0006147D" w:rsidRPr="001F713E" w:rsidRDefault="0006147D" w:rsidP="0006147D">
      <w:pPr>
        <w:spacing w:line="340" w:lineRule="exact"/>
        <w:ind w:left="709" w:hanging="709"/>
        <w:jc w:val="both"/>
      </w:pPr>
      <w:r w:rsidRPr="001F713E">
        <w:rPr>
          <w:rFonts w:ascii="Symbol" w:hAnsi="Symbol"/>
        </w:rPr>
        <w:sym w:font="Symbol" w:char="F0A8"/>
      </w:r>
      <w:r w:rsidRPr="001F713E">
        <w:tab/>
        <w:t>liczbę toczących się w sądzie postępowań eksmisyjnych z lokali mieszkalnych ustalonych według stanu w dniu 31 grudnia 201</w:t>
      </w:r>
      <w:r>
        <w:t>5</w:t>
      </w:r>
      <w:r w:rsidRPr="001F713E">
        <w:t xml:space="preserve"> r.</w:t>
      </w:r>
    </w:p>
    <w:p w:rsidR="0006147D" w:rsidRPr="001F713E" w:rsidRDefault="0006147D" w:rsidP="0006147D">
      <w:pPr>
        <w:spacing w:line="340" w:lineRule="exact"/>
        <w:ind w:left="709" w:hanging="709"/>
        <w:jc w:val="both"/>
      </w:pPr>
      <w:r w:rsidRPr="001F713E">
        <w:rPr>
          <w:rFonts w:ascii="Symbol" w:hAnsi="Symbol"/>
        </w:rPr>
        <w:sym w:font="Symbol" w:char="F0A8"/>
      </w:r>
      <w:r w:rsidRPr="001F713E">
        <w:tab/>
        <w:t>liczbę postępowań eksmisyjnych z lokali mieszkalnych zakończonych przez sąd orzeczeniem eksmisji w 201</w:t>
      </w:r>
      <w:r>
        <w:t>5</w:t>
      </w:r>
      <w:r w:rsidRPr="001F713E">
        <w:t xml:space="preserve"> r.</w:t>
      </w:r>
    </w:p>
    <w:p w:rsidR="0006147D" w:rsidRPr="001F713E" w:rsidRDefault="0006147D" w:rsidP="0006147D">
      <w:pPr>
        <w:spacing w:line="340" w:lineRule="exact"/>
        <w:ind w:left="709" w:hanging="709"/>
        <w:jc w:val="both"/>
      </w:pPr>
      <w:r w:rsidRPr="001F713E">
        <w:rPr>
          <w:rFonts w:ascii="Symbol" w:hAnsi="Symbol"/>
        </w:rPr>
        <w:sym w:font="Symbol" w:char="F0A8"/>
      </w:r>
      <w:r w:rsidRPr="001F713E">
        <w:tab/>
        <w:t>liczbę eksmisji z lokali mieszkalnych wykonanych w 201</w:t>
      </w:r>
      <w:r>
        <w:t>5</w:t>
      </w:r>
      <w:r w:rsidRPr="001F713E">
        <w:t xml:space="preserve"> r.</w:t>
      </w:r>
    </w:p>
    <w:p w:rsidR="0006147D" w:rsidRPr="001F713E" w:rsidRDefault="0006147D" w:rsidP="0006147D">
      <w:pPr>
        <w:spacing w:before="120" w:line="340" w:lineRule="exact"/>
        <w:jc w:val="both"/>
      </w:pPr>
      <w:r w:rsidRPr="001F713E">
        <w:tab/>
        <w:t xml:space="preserve">Spośród ogólnych informacji o działaniach eksmisyjnych wyodrębniono te, które toczyły się </w:t>
      </w:r>
      <w:r w:rsidRPr="001F713E">
        <w:br/>
        <w:t>z powodu nie uiszczania opłat za zajmowane lokale mieszkalne.</w:t>
      </w:r>
    </w:p>
    <w:p w:rsidR="0006147D" w:rsidRPr="00CB3E48" w:rsidRDefault="0006147D" w:rsidP="0006147D">
      <w:pPr>
        <w:tabs>
          <w:tab w:val="left" w:pos="851"/>
        </w:tabs>
        <w:spacing w:before="60" w:line="360" w:lineRule="exact"/>
        <w:jc w:val="both"/>
      </w:pPr>
    </w:p>
    <w:p w:rsidR="0006147D" w:rsidRPr="00CB3E48" w:rsidRDefault="0006147D" w:rsidP="0006147D">
      <w:pPr>
        <w:keepNext/>
        <w:spacing w:before="360" w:line="360" w:lineRule="exact"/>
        <w:jc w:val="both"/>
        <w:outlineLvl w:val="0"/>
        <w:rPr>
          <w:b/>
          <w:sz w:val="28"/>
          <w:szCs w:val="28"/>
        </w:rPr>
      </w:pPr>
      <w:r w:rsidRPr="00CB3E48">
        <w:rPr>
          <w:b/>
          <w:sz w:val="28"/>
          <w:szCs w:val="28"/>
        </w:rPr>
        <w:t>Dodatki  mieszkaniowe</w:t>
      </w:r>
    </w:p>
    <w:p w:rsidR="0006147D" w:rsidRPr="00CB3E48" w:rsidRDefault="0006147D" w:rsidP="0006147D">
      <w:pPr>
        <w:spacing w:before="120" w:line="340" w:lineRule="exact"/>
        <w:ind w:firstLine="708"/>
        <w:jc w:val="both"/>
      </w:pPr>
      <w:r w:rsidRPr="00CB3E48">
        <w:t>Dodatek mieszkaniowy jest powszechnym i okresowym świadczeniem pieniężnym, wynikającym z przepisów ustawy z dnia 21 czerwca 2001 r. o dodatkach mieszkaniowych ( Dz. U. Nr 71, poz. 734, z późniejszymi zmianami) mającym na celu dofinansowanie do wydatków mieszkaniowych ponoszonych w związku z zajmowaniem lokalu mieszkalnego lub domów jednorodzinnych.</w:t>
      </w:r>
    </w:p>
    <w:p w:rsidR="0006147D" w:rsidRPr="00CB3E48" w:rsidRDefault="0006147D" w:rsidP="0006147D">
      <w:pPr>
        <w:spacing w:before="120" w:line="340" w:lineRule="exact"/>
        <w:ind w:firstLine="708"/>
        <w:jc w:val="both"/>
      </w:pPr>
      <w:r w:rsidRPr="00CB3E48">
        <w:t xml:space="preserve">Wyróżnia się charakterystycznymi dlań cechami: jest świadczeniem </w:t>
      </w:r>
      <w:r w:rsidRPr="00CB3E48">
        <w:rPr>
          <w:i/>
        </w:rPr>
        <w:t>obligatoryjnym</w:t>
      </w:r>
      <w:r w:rsidRPr="00CB3E48">
        <w:t xml:space="preserve">, przyznawanym na wniosek osoby uprawnionej w tym sensie, że osobom spełniającym ustawowe warunki przysługuje prawo żądania jego wypłaty i </w:t>
      </w:r>
      <w:r w:rsidRPr="00CB3E48">
        <w:rPr>
          <w:i/>
        </w:rPr>
        <w:t xml:space="preserve">powszechnym </w:t>
      </w:r>
      <w:r w:rsidRPr="00CB3E48">
        <w:t xml:space="preserve">(tj. przysługuje niezależnie od tego, jaki tytuł prawny do lokalu przysługuje osobie uprawnionej, poza wyjątkami przewidzianymi </w:t>
      </w:r>
      <w:r w:rsidRPr="00CB3E48">
        <w:br/>
        <w:t xml:space="preserve">w ustawie), a także </w:t>
      </w:r>
      <w:r w:rsidRPr="00CB3E48">
        <w:rPr>
          <w:i/>
        </w:rPr>
        <w:t>okresowym,</w:t>
      </w:r>
      <w:r w:rsidRPr="00CB3E48">
        <w:t xml:space="preserve"> przyznaje się go bowiem na określony okres z możliwością ponownego przyznania w razie dalszego spełnienia ustawowych warunków.</w:t>
      </w:r>
    </w:p>
    <w:p w:rsidR="0006147D" w:rsidRPr="00CB3E48" w:rsidRDefault="0006147D" w:rsidP="0006147D">
      <w:pPr>
        <w:spacing w:before="120" w:line="340" w:lineRule="exact"/>
        <w:ind w:firstLine="708"/>
        <w:jc w:val="both"/>
      </w:pPr>
      <w:r w:rsidRPr="00CB3E48">
        <w:t>Kryteriami uprawniającymi do otrzymania dodatku mieszkaniowego są:</w:t>
      </w:r>
    </w:p>
    <w:p w:rsidR="0006147D" w:rsidRPr="00CB3E48" w:rsidRDefault="0006147D" w:rsidP="00A62FE2">
      <w:pPr>
        <w:spacing w:before="60" w:line="340" w:lineRule="exact"/>
        <w:ind w:left="198" w:hanging="198"/>
        <w:jc w:val="both"/>
      </w:pPr>
      <w:r w:rsidRPr="00CB3E48">
        <w:t>-</w:t>
      </w:r>
      <w:r>
        <w:t> </w:t>
      </w:r>
      <w:r w:rsidR="00A62FE2">
        <w:t> </w:t>
      </w:r>
      <w:r w:rsidRPr="00CB3E48">
        <w:t xml:space="preserve">tytuł prawny do lokalu – dodatek może być przyznany najemcom oraz podnajemcom lokali mieszkalnych, osobom mieszkającym w lokalach mieszkalnych, do których przysługuje </w:t>
      </w:r>
      <w:r w:rsidRPr="00CB3E48">
        <w:br/>
        <w:t xml:space="preserve">im spółdzielcze prawo do lokalu mieszkalnego, w lokalach mieszkalnych w budynkach stanowiących ich własność i właścicielom lokali mieszkalnych oraz innym osobom mających tytuł prawny </w:t>
      </w:r>
      <w:r w:rsidRPr="00CB3E48">
        <w:br/>
        <w:t>do zajmowania lokalu mieszkalnego (np. umowa użyczenia) i ponoszącym wydatki związane z ich utrzymaniem, jak również osobom zajmującym lokal mieszkalny bez tytułu prawnego, oczekującym na przysługujący im lokal zamienny lub socjalny;</w:t>
      </w:r>
    </w:p>
    <w:p w:rsidR="0006147D" w:rsidRPr="00CB3E48" w:rsidRDefault="0006147D" w:rsidP="00A62FE2">
      <w:pPr>
        <w:spacing w:before="60" w:line="340" w:lineRule="exact"/>
        <w:ind w:left="198" w:hanging="198"/>
      </w:pPr>
      <w:r w:rsidRPr="00CB3E48">
        <w:t>-</w:t>
      </w:r>
      <w:r>
        <w:t> </w:t>
      </w:r>
      <w:r w:rsidR="00A62FE2">
        <w:t> </w:t>
      </w:r>
      <w:r w:rsidRPr="00CB3E48">
        <w:t>wysokość dochodu rodziny;</w:t>
      </w:r>
    </w:p>
    <w:p w:rsidR="0006147D" w:rsidRPr="00CB3E48" w:rsidRDefault="0006147D" w:rsidP="00A62FE2">
      <w:pPr>
        <w:spacing w:before="60" w:line="340" w:lineRule="exact"/>
        <w:ind w:left="198" w:hanging="198"/>
        <w:jc w:val="both"/>
        <w:rPr>
          <w:bCs/>
        </w:rPr>
      </w:pPr>
      <w:r w:rsidRPr="00CB3E48">
        <w:t>-</w:t>
      </w:r>
      <w:r>
        <w:t> </w:t>
      </w:r>
      <w:r w:rsidR="00A62FE2">
        <w:t> </w:t>
      </w:r>
      <w:r w:rsidRPr="00CB3E48">
        <w:t xml:space="preserve">wielkość mieszkania – powierzchnia użytkowa mieszkania. Ustawa posługuje się pojęciem „powierzchni normatywnej”- dodatek przysługuje na ściśle określoną liczbę metrów mieszkania. </w:t>
      </w:r>
    </w:p>
    <w:p w:rsidR="0006147D" w:rsidRPr="00CB3E48" w:rsidRDefault="0006147D" w:rsidP="0006147D">
      <w:pPr>
        <w:spacing w:before="120" w:line="340" w:lineRule="exact"/>
        <w:jc w:val="both"/>
        <w:rPr>
          <w:bCs/>
        </w:rPr>
      </w:pPr>
      <w:r w:rsidRPr="00CB3E48">
        <w:rPr>
          <w:bCs/>
        </w:rPr>
        <w:t>Przy obliczaniu wysokości dodatku brane są pod uwagę wydatki (ponoszone przez gospodarstwo domowe) związane z czynszem, kosztami eksploatacji, jak również opłatami za energię cieplną, wodę i wywóz nieczystości ciekłych. Dodatek mieszkaniowy stanowi różnicę pomiędzy wydatkami mieszkaniowymi przypadającymi na normatywną powierzchnię użytkową zajmowanego lokalu mieszkalnego, a częścią wydatków ponoszoną przez osobę, której przyznany jest dodatek.</w:t>
      </w:r>
    </w:p>
    <w:p w:rsidR="0006147D" w:rsidRPr="00CB3E48" w:rsidRDefault="0006147D" w:rsidP="0006147D">
      <w:pPr>
        <w:spacing w:before="120" w:line="340" w:lineRule="exact"/>
        <w:jc w:val="both"/>
      </w:pPr>
      <w:r w:rsidRPr="00CB3E48">
        <w:rPr>
          <w:bCs/>
        </w:rPr>
        <w:t>Od 2004 r. wypłata dodatków mieszkaniowych</w:t>
      </w:r>
      <w:r w:rsidRPr="00CB3E48">
        <w:t xml:space="preserve"> stanowi – zgodnie z art. 10 ust.1 ustawy z dnia 21 czerwca 2001 r. o dodatkach mieszkaniowych (Dz.U. Nr 71, poz. 734, ze zm.) – zadanie własne gminy.</w:t>
      </w:r>
    </w:p>
    <w:p w:rsidR="0006147D" w:rsidRPr="00CB3E48" w:rsidRDefault="0006147D" w:rsidP="0006147D">
      <w:pPr>
        <w:spacing w:before="120" w:line="340" w:lineRule="exact"/>
        <w:jc w:val="both"/>
      </w:pPr>
      <w:r w:rsidRPr="00CB3E48">
        <w:t xml:space="preserve">Zgodnie z ustawą z dnia 13 listopada 2003 r. (Dz.U. Nr 203, poz.1966, art. 6) o dochodach jednostek samorządu terytorialnego, </w:t>
      </w:r>
      <w:r w:rsidRPr="00CB3E48">
        <w:rPr>
          <w:bCs/>
        </w:rPr>
        <w:t>wysokość dodatku mieszkaniowego nie może przekraczać 70% faktycznych wydatków</w:t>
      </w:r>
      <w:r w:rsidRPr="00CB3E48">
        <w:t xml:space="preserve"> ponoszonych za lokal mieszkalny. Rada gminy, w drodze uchwały, może podwyższyć lub obniżyć, nie więcej niż o 20 punktów procentowych, wysokość wskaźników procentowych. Oznacza to, że maksymalna wysokość wypłacanego dodatku może kształtować się w przedziale od 50% do 90% ponoszonych wydatków mieszkaniowych.</w:t>
      </w:r>
    </w:p>
    <w:p w:rsidR="0006147D" w:rsidRPr="00CB3E48" w:rsidRDefault="0006147D" w:rsidP="0006147D">
      <w:pPr>
        <w:spacing w:before="120" w:line="340" w:lineRule="exact"/>
        <w:jc w:val="both"/>
      </w:pPr>
      <w:r w:rsidRPr="00CB3E48">
        <w:t>Przedstawione w publikacji informacje dotyczą wyłącznie dodatków mieszkaniowych fizycznie wypłaconych w 201</w:t>
      </w:r>
      <w:r>
        <w:t>5</w:t>
      </w:r>
      <w:r w:rsidRPr="00CB3E48">
        <w:t xml:space="preserve"> r., niezależnie od daty decyzji przyznanego dodatku.</w:t>
      </w:r>
    </w:p>
    <w:p w:rsidR="0006147D" w:rsidRPr="00CB3E48" w:rsidRDefault="0006147D" w:rsidP="0006147D">
      <w:pPr>
        <w:spacing w:before="120" w:line="340" w:lineRule="exact"/>
        <w:jc w:val="both"/>
      </w:pPr>
    </w:p>
    <w:p w:rsidR="0006147D" w:rsidRPr="00CB3E48" w:rsidRDefault="0006147D" w:rsidP="0006147D">
      <w:pPr>
        <w:spacing w:before="120" w:line="340" w:lineRule="exact"/>
        <w:jc w:val="both"/>
      </w:pPr>
      <w:r w:rsidRPr="00CB3E48">
        <w:br w:type="page"/>
      </w:r>
    </w:p>
    <w:p w:rsidR="0006147D" w:rsidRPr="008D04B8" w:rsidRDefault="0006147D" w:rsidP="0006147D">
      <w:pPr>
        <w:pStyle w:val="GM2"/>
      </w:pPr>
      <w:bookmarkStart w:id="11" w:name="_Toc465667885"/>
      <w:r>
        <w:t>WYNIKI BADAŃ</w:t>
      </w:r>
      <w:r w:rsidR="00580189">
        <w:t xml:space="preserve"> - SYNTEZA</w:t>
      </w:r>
      <w:bookmarkEnd w:id="11"/>
    </w:p>
    <w:p w:rsidR="0006147D" w:rsidRDefault="0006147D" w:rsidP="0006147D">
      <w:pPr>
        <w:pStyle w:val="GM4"/>
        <w:jc w:val="left"/>
      </w:pPr>
    </w:p>
    <w:p w:rsidR="0006147D" w:rsidRDefault="0006147D" w:rsidP="0006147D">
      <w:pPr>
        <w:pStyle w:val="GM4"/>
        <w:jc w:val="left"/>
      </w:pPr>
      <w:bookmarkStart w:id="12" w:name="_Toc464548395"/>
      <w:bookmarkStart w:id="13" w:name="_Toc465667886"/>
      <w:r>
        <w:t>CZĘŚĆ A</w:t>
      </w:r>
      <w:bookmarkEnd w:id="12"/>
      <w:bookmarkEnd w:id="13"/>
    </w:p>
    <w:p w:rsidR="0006147D" w:rsidRPr="001F713E" w:rsidRDefault="0006147D" w:rsidP="0006147D">
      <w:pPr>
        <w:spacing w:before="168" w:line="360" w:lineRule="exact"/>
        <w:jc w:val="center"/>
        <w:rPr>
          <w:b/>
          <w:sz w:val="32"/>
        </w:rPr>
      </w:pPr>
    </w:p>
    <w:p w:rsidR="0006147D" w:rsidRDefault="0006147D" w:rsidP="0006147D">
      <w:pPr>
        <w:pStyle w:val="GM5"/>
      </w:pPr>
      <w:bookmarkStart w:id="14" w:name="_Toc464548396"/>
      <w:bookmarkStart w:id="15" w:name="_Toc465667887"/>
      <w:r>
        <w:t xml:space="preserve">Zasoby mieszkaniowe w </w:t>
      </w:r>
      <w:r w:rsidRPr="001F713E">
        <w:rPr>
          <w:szCs w:val="32"/>
        </w:rPr>
        <w:t>201</w:t>
      </w:r>
      <w:r>
        <w:rPr>
          <w:szCs w:val="32"/>
        </w:rPr>
        <w:t>5</w:t>
      </w:r>
      <w:r w:rsidRPr="001F713E">
        <w:rPr>
          <w:szCs w:val="32"/>
        </w:rPr>
        <w:t xml:space="preserve"> </w:t>
      </w:r>
      <w:r>
        <w:rPr>
          <w:szCs w:val="32"/>
        </w:rPr>
        <w:t>r.</w:t>
      </w:r>
      <w:bookmarkEnd w:id="14"/>
      <w:bookmarkEnd w:id="15"/>
    </w:p>
    <w:p w:rsidR="00156622" w:rsidRDefault="00156622" w:rsidP="00A62FE2">
      <w:pPr>
        <w:spacing w:before="168" w:line="360" w:lineRule="exact"/>
        <w:jc w:val="both"/>
      </w:pPr>
    </w:p>
    <w:p w:rsidR="00A62FE2" w:rsidRPr="00A13B50" w:rsidRDefault="00A62FE2" w:rsidP="00A62FE2">
      <w:pPr>
        <w:spacing w:before="168" w:line="360" w:lineRule="exact"/>
        <w:jc w:val="both"/>
        <w:rPr>
          <w:rFonts w:ascii="Times New (W1)" w:hAnsi="Times New (W1)"/>
        </w:rPr>
      </w:pPr>
      <w:r>
        <w:t>Według stanu na 31 grudnia 2015 r. z</w:t>
      </w:r>
      <w:r w:rsidRPr="001F713E">
        <w:t xml:space="preserve">asoby mieszkaniowe kraju liczyły </w:t>
      </w:r>
      <w:r>
        <w:rPr>
          <w:b/>
        </w:rPr>
        <w:t>14,1</w:t>
      </w:r>
      <w:r w:rsidRPr="001F713E">
        <w:rPr>
          <w:b/>
        </w:rPr>
        <w:t xml:space="preserve"> mln mieszkań </w:t>
      </w:r>
      <w:r w:rsidRPr="001F713E">
        <w:t xml:space="preserve">o łącznej </w:t>
      </w:r>
      <w:r w:rsidRPr="001F713E">
        <w:rPr>
          <w:b/>
        </w:rPr>
        <w:t>powierzchni użytkowej 1</w:t>
      </w:r>
      <w:r w:rsidR="000A20E5">
        <w:rPr>
          <w:b/>
        </w:rPr>
        <w:t> </w:t>
      </w:r>
      <w:r w:rsidRPr="001F713E">
        <w:rPr>
          <w:b/>
        </w:rPr>
        <w:t>0</w:t>
      </w:r>
      <w:r>
        <w:rPr>
          <w:b/>
        </w:rPr>
        <w:t>39</w:t>
      </w:r>
      <w:r w:rsidRPr="001F713E">
        <w:rPr>
          <w:b/>
        </w:rPr>
        <w:t>,</w:t>
      </w:r>
      <w:r>
        <w:rPr>
          <w:b/>
        </w:rPr>
        <w:t>1</w:t>
      </w:r>
      <w:r w:rsidRPr="001F713E">
        <w:rPr>
          <w:b/>
        </w:rPr>
        <w:t xml:space="preserve"> mln m</w:t>
      </w:r>
      <w:r w:rsidRPr="001F713E">
        <w:rPr>
          <w:b/>
          <w:vertAlign w:val="superscript"/>
        </w:rPr>
        <w:t>2</w:t>
      </w:r>
      <w:r w:rsidRPr="001F713E">
        <w:t>, w których znajdowało się</w:t>
      </w:r>
      <w:r w:rsidRPr="001F713E">
        <w:rPr>
          <w:b/>
        </w:rPr>
        <w:t xml:space="preserve"> </w:t>
      </w:r>
      <w:r>
        <w:rPr>
          <w:b/>
        </w:rPr>
        <w:t>54,0</w:t>
      </w:r>
      <w:r w:rsidRPr="001F713E">
        <w:rPr>
          <w:b/>
        </w:rPr>
        <w:t xml:space="preserve"> mln izb</w:t>
      </w:r>
      <w:r w:rsidRPr="001F713E">
        <w:rPr>
          <w:rFonts w:ascii="Times New (W1)" w:hAnsi="Times New (W1)"/>
          <w:b/>
        </w:rPr>
        <w:t xml:space="preserve">. </w:t>
      </w:r>
      <w:r w:rsidRPr="001F713E">
        <w:rPr>
          <w:rFonts w:ascii="Times New (W1)" w:hAnsi="Times New (W1)"/>
          <w:b/>
        </w:rPr>
        <w:br/>
      </w:r>
      <w:r>
        <w:rPr>
          <w:rFonts w:ascii="Times New (W1)" w:hAnsi="Times New (W1)"/>
        </w:rPr>
        <w:t>N</w:t>
      </w:r>
      <w:r w:rsidRPr="00A13B50">
        <w:rPr>
          <w:rFonts w:ascii="Times New (W1)" w:hAnsi="Times New (W1)"/>
        </w:rPr>
        <w:t>ajwięcej mieszkań pozostawało w zasobie osób fizycznych poza wspólnotami mieszkaniowymi</w:t>
      </w:r>
      <w:r>
        <w:rPr>
          <w:rFonts w:ascii="Times New (W1)" w:hAnsi="Times New (W1)"/>
        </w:rPr>
        <w:t xml:space="preserve"> </w:t>
      </w:r>
      <w:r w:rsidRPr="00A13B50">
        <w:rPr>
          <w:rFonts w:ascii="Times New (W1)" w:hAnsi="Times New (W1)"/>
        </w:rPr>
        <w:t>- ok.</w:t>
      </w:r>
      <w:r>
        <w:rPr>
          <w:rFonts w:ascii="Times New (W1)" w:hAnsi="Times New (W1)"/>
        </w:rPr>
        <w:t> </w:t>
      </w:r>
      <w:r w:rsidRPr="00A13B50">
        <w:rPr>
          <w:rFonts w:ascii="Times New (W1)" w:hAnsi="Times New (W1)"/>
        </w:rPr>
        <w:t>8,1 mln</w:t>
      </w:r>
      <w:r>
        <w:rPr>
          <w:rFonts w:ascii="Times New (W1)" w:hAnsi="Times New (W1)"/>
        </w:rPr>
        <w:t xml:space="preserve"> (57,4%)</w:t>
      </w:r>
      <w:r w:rsidRPr="00A13B50">
        <w:rPr>
          <w:rFonts w:ascii="Times New (W1)" w:hAnsi="Times New (W1)"/>
        </w:rPr>
        <w:t xml:space="preserve">, a ponad 2,7 mln </w:t>
      </w:r>
      <w:r>
        <w:rPr>
          <w:rFonts w:ascii="Times New (W1)" w:hAnsi="Times New (W1)"/>
        </w:rPr>
        <w:t xml:space="preserve">(19,3%) </w:t>
      </w:r>
      <w:r w:rsidRPr="00A13B50">
        <w:rPr>
          <w:rFonts w:ascii="Times New (W1)" w:hAnsi="Times New (W1)"/>
        </w:rPr>
        <w:t>we wspólnotach mieszkaniowych</w:t>
      </w:r>
      <w:r>
        <w:rPr>
          <w:rFonts w:ascii="Times New (W1)" w:hAnsi="Times New (W1)"/>
        </w:rPr>
        <w:t>. Łączna powierz</w:t>
      </w:r>
      <w:r w:rsidR="00156622">
        <w:rPr>
          <w:rFonts w:ascii="Times New (W1)" w:hAnsi="Times New (W1)"/>
        </w:rPr>
        <w:t>c</w:t>
      </w:r>
      <w:r>
        <w:rPr>
          <w:rFonts w:ascii="Times New (W1)" w:hAnsi="Times New (W1)"/>
        </w:rPr>
        <w:t>hnia mieszkań należących do osób fizycznych to ponad 880 mln m</w:t>
      </w:r>
      <w:r w:rsidRPr="00A62FE2">
        <w:rPr>
          <w:rFonts w:ascii="Times New (W1)" w:hAnsi="Times New (W1)"/>
          <w:vertAlign w:val="superscript"/>
        </w:rPr>
        <w:t>2</w:t>
      </w:r>
      <w:r w:rsidRPr="00A13B50">
        <w:rPr>
          <w:rFonts w:ascii="Times New (W1)" w:hAnsi="Times New (W1)"/>
        </w:rPr>
        <w:t>,</w:t>
      </w:r>
      <w:r w:rsidR="00156622">
        <w:rPr>
          <w:rFonts w:ascii="Times New (W1)" w:hAnsi="Times New (W1)"/>
        </w:rPr>
        <w:t xml:space="preserve"> stanowiła prawie 85% ogólnej powierzchni mieszkań w kraju. Zasoby</w:t>
      </w:r>
      <w:r w:rsidRPr="00A13B50">
        <w:rPr>
          <w:rFonts w:ascii="Times New (W1)" w:hAnsi="Times New (W1)"/>
        </w:rPr>
        <w:t xml:space="preserve"> spółdzielni mieszkaniowych </w:t>
      </w:r>
      <w:r w:rsidR="00156622">
        <w:rPr>
          <w:rFonts w:ascii="Times New (W1)" w:hAnsi="Times New (W1)"/>
        </w:rPr>
        <w:t xml:space="preserve">to </w:t>
      </w:r>
      <w:r w:rsidRPr="00A13B50">
        <w:rPr>
          <w:rFonts w:ascii="Times New (W1)" w:hAnsi="Times New (W1)"/>
        </w:rPr>
        <w:t xml:space="preserve">prawie 2,2 mln </w:t>
      </w:r>
      <w:r w:rsidR="00156622">
        <w:rPr>
          <w:rFonts w:ascii="Times New (W1)" w:hAnsi="Times New (W1)"/>
        </w:rPr>
        <w:t xml:space="preserve">mieszkań </w:t>
      </w:r>
      <w:r w:rsidRPr="00A13B50">
        <w:rPr>
          <w:rFonts w:ascii="Times New (W1)" w:hAnsi="Times New (W1)"/>
        </w:rPr>
        <w:t>o łącznej powierzchni 108,1 mln m</w:t>
      </w:r>
      <w:r w:rsidRPr="00A13B50">
        <w:rPr>
          <w:rFonts w:ascii="Times New (W1)" w:hAnsi="Times New (W1)"/>
          <w:vertAlign w:val="superscript"/>
        </w:rPr>
        <w:t>2</w:t>
      </w:r>
      <w:r w:rsidRPr="00A13B50">
        <w:rPr>
          <w:rFonts w:ascii="Times New (W1)" w:hAnsi="Times New (W1)"/>
        </w:rPr>
        <w:t>. Najmniej stanowiły mieszkania będące w zasobie Skarbu Państwa – ok. 30,0 tys. mieszkań o powierzchni 1,5 mln m</w:t>
      </w:r>
      <w:r w:rsidRPr="00A13B50">
        <w:rPr>
          <w:rFonts w:ascii="Times New (W1)" w:hAnsi="Times New (W1)"/>
          <w:vertAlign w:val="superscript"/>
        </w:rPr>
        <w:t>2</w:t>
      </w:r>
      <w:r w:rsidRPr="00A13B50">
        <w:rPr>
          <w:rFonts w:ascii="Times New (W1)" w:hAnsi="Times New (W1)"/>
        </w:rPr>
        <w:t>.</w:t>
      </w:r>
    </w:p>
    <w:p w:rsidR="00A62FE2" w:rsidRPr="00A13B50" w:rsidRDefault="00A62FE2" w:rsidP="00A62FE2">
      <w:pPr>
        <w:spacing w:before="168" w:line="360" w:lineRule="exact"/>
        <w:jc w:val="both"/>
        <w:rPr>
          <w:rFonts w:ascii="Times New (W1)" w:hAnsi="Times New (W1)"/>
        </w:rPr>
      </w:pPr>
    </w:p>
    <w:p w:rsidR="0006147D" w:rsidRPr="00A62FE2" w:rsidRDefault="00A62FE2" w:rsidP="00A62FE2">
      <w:pPr>
        <w:pStyle w:val="Legenda"/>
        <w:spacing w:before="120"/>
        <w:rPr>
          <w:b w:val="0"/>
          <w:i w:val="0"/>
          <w:lang w:val="pl-PL"/>
        </w:rPr>
      </w:pPr>
      <w:bookmarkStart w:id="16" w:name="_Toc464726116"/>
      <w:bookmarkStart w:id="17" w:name="_Toc465667703"/>
      <w:r w:rsidRPr="00A62FE2">
        <w:rPr>
          <w:i w:val="0"/>
          <w:lang w:val="pl-PL"/>
        </w:rPr>
        <w:t xml:space="preserve">Tabl. </w:t>
      </w:r>
      <w:r w:rsidRPr="00A62FE2">
        <w:rPr>
          <w:i w:val="0"/>
        </w:rPr>
        <w:fldChar w:fldCharType="begin"/>
      </w:r>
      <w:r w:rsidRPr="00A62FE2">
        <w:rPr>
          <w:i w:val="0"/>
          <w:lang w:val="pl-PL"/>
        </w:rPr>
        <w:instrText xml:space="preserve"> SEQ Tabl. \* ARABIC </w:instrText>
      </w:r>
      <w:r w:rsidRPr="00A62FE2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1</w:t>
      </w:r>
      <w:r w:rsidRPr="00A62FE2">
        <w:rPr>
          <w:i w:val="0"/>
        </w:rPr>
        <w:fldChar w:fldCharType="end"/>
      </w:r>
      <w:r w:rsidRPr="00A62FE2">
        <w:rPr>
          <w:i w:val="0"/>
          <w:lang w:val="pl-PL"/>
        </w:rPr>
        <w:t xml:space="preserve"> </w:t>
      </w:r>
      <w:r w:rsidR="0006147D" w:rsidRPr="00A62FE2">
        <w:rPr>
          <w:i w:val="0"/>
          <w:lang w:val="pl-PL"/>
        </w:rPr>
        <w:t>Zasoby mieszkaniowe zamieszkane i niezamieszkane</w:t>
      </w:r>
      <w:r w:rsidR="0006147D" w:rsidRPr="00A62FE2">
        <w:rPr>
          <w:rStyle w:val="Odwoanieprzypisudolnego"/>
          <w:i w:val="0"/>
        </w:rPr>
        <w:footnoteReference w:id="1"/>
      </w:r>
      <w:r w:rsidR="0006147D" w:rsidRPr="00A62FE2">
        <w:rPr>
          <w:i w:val="0"/>
          <w:lang w:val="pl-PL"/>
        </w:rPr>
        <w:t xml:space="preserve"> według form własności</w:t>
      </w:r>
      <w:r w:rsidRPr="00A62FE2">
        <w:rPr>
          <w:i w:val="0"/>
          <w:lang w:val="pl-PL"/>
        </w:rPr>
        <w:t xml:space="preserve"> według stanu na 31.12.2015 r.</w:t>
      </w:r>
      <w:bookmarkEnd w:id="16"/>
      <w:bookmarkEnd w:id="17"/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0"/>
        <w:gridCol w:w="2496"/>
        <w:gridCol w:w="2977"/>
      </w:tblGrid>
      <w:tr w:rsidR="0006147D" w:rsidTr="00A62FE2">
        <w:trPr>
          <w:trHeight w:val="300"/>
        </w:trPr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Mieszkania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Powierzchnia mieszkań</w:t>
            </w:r>
          </w:p>
        </w:tc>
      </w:tr>
      <w:tr w:rsidR="0006147D" w:rsidTr="00A62FE2">
        <w:trPr>
          <w:trHeight w:val="360"/>
        </w:trPr>
        <w:tc>
          <w:tcPr>
            <w:tcW w:w="44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47D" w:rsidRDefault="0006147D" w:rsidP="00A62FE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47D" w:rsidRDefault="0006147D" w:rsidP="00A62FE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 m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OGÓŁEM: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color w:val="000000"/>
                <w:sz w:val="22"/>
                <w:szCs w:val="22"/>
              </w:rPr>
            </w:pPr>
            <w:r w:rsidRPr="00A62FE2">
              <w:rPr>
                <w:color w:val="000000"/>
                <w:sz w:val="22"/>
                <w:szCs w:val="22"/>
              </w:rPr>
              <w:t>14 119 452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62FE2">
              <w:rPr>
                <w:b/>
                <w:bCs/>
                <w:color w:val="000000"/>
                <w:sz w:val="22"/>
                <w:szCs w:val="22"/>
              </w:rPr>
              <w:t>1 039 071 275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Własność:</w:t>
            </w:r>
          </w:p>
        </w:tc>
        <w:tc>
          <w:tcPr>
            <w:tcW w:w="2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2 185 387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108 088 158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sz w:val="22"/>
                <w:szCs w:val="22"/>
              </w:rPr>
            </w:pP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Spółdzielni mieszkaniowych</w:t>
            </w: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sz w:val="22"/>
                <w:szCs w:val="22"/>
              </w:rPr>
            </w:pP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Gmin (komunalna)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886 667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39 235 619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Zakładów pracy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86 837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4 953 393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Skarbu Państwa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29 908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1 502 721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Towarzystw budownictwa społecznego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96 850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4 771 700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 w:rsidRPr="00A13B50">
              <w:rPr>
                <w:sz w:val="22"/>
                <w:szCs w:val="22"/>
              </w:rPr>
              <w:t>Osób fizycznych</w:t>
            </w:r>
            <w:r w:rsidRPr="00A13B50">
              <w:rPr>
                <w:rStyle w:val="Odwoanieprzypisudolnego"/>
                <w:sz w:val="22"/>
                <w:szCs w:val="22"/>
              </w:rPr>
              <w:footnoteReference w:id="2"/>
            </w:r>
            <w:r w:rsidRPr="00A13B50">
              <w:rPr>
                <w:sz w:val="22"/>
                <w:szCs w:val="22"/>
              </w:rPr>
              <w:t>:</w:t>
            </w:r>
          </w:p>
        </w:tc>
        <w:tc>
          <w:tcPr>
            <w:tcW w:w="2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2 727 779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sz w:val="22"/>
                <w:szCs w:val="22"/>
              </w:rPr>
            </w:pPr>
            <w:r w:rsidRPr="00A62FE2">
              <w:rPr>
                <w:sz w:val="22"/>
                <w:szCs w:val="22"/>
              </w:rPr>
              <w:t>143 297 399</w:t>
            </w: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color w:val="000000"/>
                <w:sz w:val="22"/>
                <w:szCs w:val="22"/>
              </w:rPr>
            </w:pP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 wspólnotach mieszkaniowych</w:t>
            </w: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62FE2" w:rsidRDefault="0006147D" w:rsidP="00A62FE2">
            <w:pPr>
              <w:rPr>
                <w:color w:val="000000"/>
                <w:sz w:val="22"/>
                <w:szCs w:val="22"/>
              </w:rPr>
            </w:pPr>
          </w:p>
        </w:tc>
      </w:tr>
      <w:tr w:rsidR="0006147D" w:rsidTr="00156622">
        <w:trPr>
          <w:trHeight w:val="340"/>
        </w:trPr>
        <w:tc>
          <w:tcPr>
            <w:tcW w:w="4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Default="0006147D" w:rsidP="00A62FE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Poza wspólnotami mieszkaniowymi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color w:val="000000"/>
                <w:sz w:val="22"/>
                <w:szCs w:val="22"/>
              </w:rPr>
            </w:pPr>
            <w:r w:rsidRPr="00A62FE2">
              <w:rPr>
                <w:color w:val="000000"/>
                <w:sz w:val="22"/>
                <w:szCs w:val="22"/>
              </w:rPr>
              <w:t>8 106 024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147D" w:rsidRPr="00A62FE2" w:rsidRDefault="0006147D" w:rsidP="00A62FE2">
            <w:pPr>
              <w:ind w:firstLineChars="200" w:firstLine="440"/>
              <w:jc w:val="right"/>
              <w:rPr>
                <w:color w:val="000000"/>
                <w:sz w:val="22"/>
                <w:szCs w:val="22"/>
              </w:rPr>
            </w:pPr>
            <w:r w:rsidRPr="00A62FE2">
              <w:rPr>
                <w:color w:val="000000"/>
                <w:sz w:val="22"/>
                <w:szCs w:val="22"/>
              </w:rPr>
              <w:t>737 222 285</w:t>
            </w:r>
          </w:p>
        </w:tc>
      </w:tr>
    </w:tbl>
    <w:p w:rsidR="0006147D" w:rsidRPr="00D20EA1" w:rsidRDefault="0006147D" w:rsidP="0006147D">
      <w:pPr>
        <w:spacing w:before="168" w:line="360" w:lineRule="exact"/>
      </w:pPr>
    </w:p>
    <w:p w:rsidR="0006147D" w:rsidRPr="00CB3E48" w:rsidRDefault="0006147D" w:rsidP="0006147D">
      <w:pPr>
        <w:spacing w:before="168" w:line="360" w:lineRule="exact"/>
        <w:jc w:val="both"/>
      </w:pPr>
      <w:r w:rsidRPr="00CB3E48">
        <w:rPr>
          <w:rFonts w:ascii="Times New (W1)" w:hAnsi="Times New (W1)"/>
        </w:rPr>
        <w:t>W miastach zlokalizowanych było 9,</w:t>
      </w:r>
      <w:r>
        <w:rPr>
          <w:rFonts w:ascii="Times New (W1)" w:hAnsi="Times New (W1)"/>
        </w:rPr>
        <w:t>5</w:t>
      </w:r>
      <w:r w:rsidRPr="00CB3E48">
        <w:rPr>
          <w:rFonts w:ascii="Times New (W1)" w:hAnsi="Times New (W1)"/>
        </w:rPr>
        <w:t xml:space="preserve"> mln mieszkań o powierzchni 6</w:t>
      </w:r>
      <w:r>
        <w:rPr>
          <w:rFonts w:ascii="Times New (W1)" w:hAnsi="Times New (W1)"/>
        </w:rPr>
        <w:t>12</w:t>
      </w:r>
      <w:r w:rsidRPr="00CB3E48">
        <w:rPr>
          <w:rFonts w:ascii="Times New (W1)" w:hAnsi="Times New (W1)"/>
        </w:rPr>
        <w:t>,</w:t>
      </w:r>
      <w:r>
        <w:rPr>
          <w:rFonts w:ascii="Times New (W1)" w:hAnsi="Times New (W1)"/>
        </w:rPr>
        <w:t>4</w:t>
      </w:r>
      <w:r w:rsidRPr="00CB3E48">
        <w:rPr>
          <w:rFonts w:ascii="Times New (W1)" w:hAnsi="Times New (W1)"/>
        </w:rPr>
        <w:t xml:space="preserve"> mln </w:t>
      </w:r>
      <w:r w:rsidRPr="00CB3E48">
        <w:t>m</w:t>
      </w:r>
      <w:r w:rsidRPr="00CB3E48">
        <w:rPr>
          <w:vertAlign w:val="superscript"/>
        </w:rPr>
        <w:t>2</w:t>
      </w:r>
      <w:r w:rsidRPr="00CB3E48">
        <w:rPr>
          <w:rFonts w:ascii="Times New (W1)" w:hAnsi="Times New (W1)"/>
        </w:rPr>
        <w:t xml:space="preserve"> oraz 3</w:t>
      </w:r>
      <w:r>
        <w:rPr>
          <w:rFonts w:ascii="Times New (W1)" w:hAnsi="Times New (W1)"/>
        </w:rPr>
        <w:t>4</w:t>
      </w:r>
      <w:r w:rsidRPr="00CB3E48">
        <w:rPr>
          <w:rFonts w:ascii="Times New (W1)" w:hAnsi="Times New (W1)"/>
        </w:rPr>
        <w:t>,</w:t>
      </w:r>
      <w:r>
        <w:rPr>
          <w:rFonts w:ascii="Times New (W1)" w:hAnsi="Times New (W1)"/>
        </w:rPr>
        <w:t>0</w:t>
      </w:r>
      <w:r w:rsidRPr="00CB3E48">
        <w:rPr>
          <w:rFonts w:ascii="Times New (W1)" w:hAnsi="Times New (W1)"/>
        </w:rPr>
        <w:t xml:space="preserve"> mln izb. Na terenach wiejskich znajdowało się 4,6 mln mieszkań o powierzchni 42</w:t>
      </w:r>
      <w:r>
        <w:rPr>
          <w:rFonts w:ascii="Times New (W1)" w:hAnsi="Times New (W1)"/>
        </w:rPr>
        <w:t>6</w:t>
      </w:r>
      <w:r w:rsidRPr="00CB3E48">
        <w:rPr>
          <w:rFonts w:ascii="Times New (W1)" w:hAnsi="Times New (W1)"/>
        </w:rPr>
        <w:t>,</w:t>
      </w:r>
      <w:r>
        <w:rPr>
          <w:rFonts w:ascii="Times New (W1)" w:hAnsi="Times New (W1)"/>
        </w:rPr>
        <w:t>7</w:t>
      </w:r>
      <w:r w:rsidRPr="00CB3E48">
        <w:rPr>
          <w:rFonts w:ascii="Times New (W1)" w:hAnsi="Times New (W1)"/>
        </w:rPr>
        <w:t xml:space="preserve"> mln </w:t>
      </w:r>
      <w:r w:rsidRPr="00CB3E48">
        <w:t>m</w:t>
      </w:r>
      <w:r w:rsidRPr="00CB3E48">
        <w:rPr>
          <w:vertAlign w:val="superscript"/>
        </w:rPr>
        <w:t>2</w:t>
      </w:r>
      <w:r w:rsidRPr="00CB3E48">
        <w:rPr>
          <w:rFonts w:ascii="Times New (W1)" w:hAnsi="Times New (W1)"/>
        </w:rPr>
        <w:t xml:space="preserve"> oraz </w:t>
      </w:r>
      <w:r>
        <w:rPr>
          <w:rFonts w:ascii="Times New (W1)" w:hAnsi="Times New (W1)"/>
        </w:rPr>
        <w:t>20,0</w:t>
      </w:r>
      <w:r w:rsidRPr="00CB3E48">
        <w:rPr>
          <w:rFonts w:ascii="Times New (W1)" w:hAnsi="Times New (W1)"/>
        </w:rPr>
        <w:t xml:space="preserve"> mln izb. </w:t>
      </w:r>
      <w:r w:rsidRPr="00CB3E48">
        <w:t>W 201</w:t>
      </w:r>
      <w:r>
        <w:t>5</w:t>
      </w:r>
      <w:r w:rsidRPr="00CB3E48">
        <w:t xml:space="preserve"> r. w porównaniu z poprzednim rokiem przybyło 13</w:t>
      </w:r>
      <w:r>
        <w:t>6,4</w:t>
      </w:r>
      <w:r w:rsidRPr="00CB3E48">
        <w:t xml:space="preserve"> tys. mieszkań (wzrost o </w:t>
      </w:r>
      <w:r>
        <w:t>1,0</w:t>
      </w:r>
      <w:r w:rsidRPr="00CB3E48">
        <w:t>%) o łącznej powierzchni użytkowej 1</w:t>
      </w:r>
      <w:r>
        <w:t>3</w:t>
      </w:r>
      <w:r w:rsidR="00156622">
        <w:t> </w:t>
      </w:r>
      <w:r>
        <w:t>339,0</w:t>
      </w:r>
      <w:r w:rsidRPr="00CB3E48">
        <w:t xml:space="preserve"> tys. m</w:t>
      </w:r>
      <w:r w:rsidRPr="00CB3E48">
        <w:rPr>
          <w:vertAlign w:val="superscript"/>
        </w:rPr>
        <w:t>2</w:t>
      </w:r>
      <w:r w:rsidRPr="00CB3E48">
        <w:t xml:space="preserve"> (wzrost o 1,3%) i 5</w:t>
      </w:r>
      <w:r>
        <w:t>54</w:t>
      </w:r>
      <w:r w:rsidRPr="00CB3E48">
        <w:t>,</w:t>
      </w:r>
      <w:r>
        <w:t>9</w:t>
      </w:r>
      <w:r w:rsidRPr="00CB3E48">
        <w:t xml:space="preserve"> tys. izb (wzrost o 1,0%). W miastach liczba mieszkań wzrosła o </w:t>
      </w:r>
      <w:r>
        <w:t>91,6</w:t>
      </w:r>
      <w:r w:rsidRPr="00CB3E48">
        <w:t xml:space="preserve"> tys. (wzrost o </w:t>
      </w:r>
      <w:r>
        <w:t>1,0</w:t>
      </w:r>
      <w:r w:rsidRPr="00CB3E48">
        <w:t>%), natomiast na terenach wiejskich przybyło ich 4</w:t>
      </w:r>
      <w:r>
        <w:t>4</w:t>
      </w:r>
      <w:r w:rsidRPr="00CB3E48">
        <w:t>,</w:t>
      </w:r>
      <w:r>
        <w:t>8</w:t>
      </w:r>
      <w:r w:rsidR="003B5CBE">
        <w:t> </w:t>
      </w:r>
      <w:r w:rsidRPr="00CB3E48">
        <w:t xml:space="preserve">tys. (% wzrost </w:t>
      </w:r>
      <w:r w:rsidR="000A20E5">
        <w:t xml:space="preserve"> </w:t>
      </w:r>
      <w:r w:rsidRPr="00CB3E48">
        <w:t>analogiczny</w:t>
      </w:r>
      <w:r w:rsidR="00156622">
        <w:t>,</w:t>
      </w:r>
      <w:r w:rsidRPr="00CB3E48">
        <w:t xml:space="preserve"> jak w miastach)</w:t>
      </w:r>
      <w:r w:rsidR="000A20E5">
        <w:t>.</w:t>
      </w:r>
    </w:p>
    <w:p w:rsidR="0006147D" w:rsidRPr="00A13B50" w:rsidRDefault="0006147D" w:rsidP="0006147D">
      <w:pPr>
        <w:spacing w:before="240" w:line="360" w:lineRule="exact"/>
        <w:ind w:firstLine="709"/>
        <w:jc w:val="both"/>
      </w:pPr>
      <w:r w:rsidRPr="00A13B50">
        <w:t xml:space="preserve">Przyrost liczby mieszkań był m.in. efektem inwestycji w budownictwie, rozbudowy </w:t>
      </w:r>
      <w:r w:rsidRPr="00A13B50">
        <w:br/>
        <w:t xml:space="preserve">i przebudowy budynków istniejących, jak również zmiany charakteru przeznaczenia powierzchni niemieszkalnych. </w:t>
      </w:r>
    </w:p>
    <w:p w:rsidR="0006147D" w:rsidRPr="00A13B50" w:rsidRDefault="0006147D" w:rsidP="0006147D">
      <w:pPr>
        <w:spacing w:before="240" w:line="360" w:lineRule="exact"/>
        <w:ind w:firstLine="709"/>
        <w:jc w:val="both"/>
      </w:pPr>
      <w:r w:rsidRPr="00A13B50">
        <w:t xml:space="preserve">Z ogólnej puli zasobów mieszkaniowych ponad 67% lokali mieszkalnych zlokalizowanych było na terenach miast. W pięciu największych miastach tj.: Warszawie, Krakowie, Łodzi, Wrocławiu </w:t>
      </w:r>
      <w:r w:rsidRPr="00A13B50">
        <w:br/>
        <w:t>i Poznaniu (gdzie mieszka ok. 16,6% ludności miejskiej), skupionych było 20,3% mieszkań spośr</w:t>
      </w:r>
      <w:r>
        <w:t>ód wszystkich zasobów miejskich.</w:t>
      </w:r>
    </w:p>
    <w:p w:rsidR="0006147D" w:rsidRPr="00A13B50" w:rsidRDefault="00156622" w:rsidP="0006147D">
      <w:pPr>
        <w:spacing w:before="240" w:line="360" w:lineRule="exact"/>
        <w:ind w:firstLine="709"/>
        <w:jc w:val="both"/>
      </w:pPr>
      <w:r>
        <w:t>N</w:t>
      </w:r>
      <w:r w:rsidR="0006147D" w:rsidRPr="00A13B50">
        <w:t xml:space="preserve">ajwiększy wzrost liczby mieszkań </w:t>
      </w:r>
      <w:r>
        <w:t>w</w:t>
      </w:r>
      <w:r w:rsidRPr="00A13B50">
        <w:t xml:space="preserve"> porównaniu z 2014 r. </w:t>
      </w:r>
      <w:r w:rsidR="0006147D" w:rsidRPr="00A13B50">
        <w:t xml:space="preserve">odnotowano w województwie mazowieckim (o 1,2%, co stanowi ok. 19,8% przyrostu zasobów mieszkaniowych całego kraju). Najmniejszy przyrost liczby mieszkań </w:t>
      </w:r>
      <w:r w:rsidRPr="00A13B50">
        <w:t xml:space="preserve">natomiast </w:t>
      </w:r>
      <w:r w:rsidR="0006147D" w:rsidRPr="00A13B50">
        <w:t>odnotowano w województwach: opolskim</w:t>
      </w:r>
      <w:r w:rsidR="0006147D">
        <w:t>, świętokrzyskim i lubuskim.</w:t>
      </w:r>
    </w:p>
    <w:p w:rsidR="0006147D" w:rsidRDefault="0006147D" w:rsidP="0006147D">
      <w:pPr>
        <w:pStyle w:val="Tekstpodstawowy"/>
        <w:spacing w:before="240" w:line="360" w:lineRule="exact"/>
        <w:ind w:firstLine="709"/>
        <w:jc w:val="both"/>
      </w:pPr>
      <w:r w:rsidRPr="00A13B50">
        <w:t xml:space="preserve">W 2015 r. warunki mieszkaniowe w Polsce uległy nieznacznej poprawie w porównaniu </w:t>
      </w:r>
      <w:r w:rsidRPr="00A13B50">
        <w:br/>
        <w:t xml:space="preserve">do poprzednich lat, co znajduje odzwierciedlenie w wartościach wskaźników ilustrujących przeciętną: liczbę izb w mieszkaniu, liczbę </w:t>
      </w:r>
      <w:r w:rsidRPr="00CB3E48">
        <w:t xml:space="preserve">osób przypadającą na mieszkanie i na izbę </w:t>
      </w:r>
      <w:r w:rsidRPr="00CB3E48">
        <w:br/>
        <w:t xml:space="preserve">oraz powierzchnię użytkową mieszkania. </w:t>
      </w:r>
    </w:p>
    <w:p w:rsidR="0006147D" w:rsidRDefault="0006147D" w:rsidP="0006147D">
      <w:r>
        <w:br w:type="page"/>
      </w:r>
    </w:p>
    <w:p w:rsidR="0006147D" w:rsidRPr="00A13B50" w:rsidRDefault="0006147D" w:rsidP="0006147D">
      <w:pPr>
        <w:pStyle w:val="Tekstpodstawowy"/>
        <w:spacing w:before="240" w:line="360" w:lineRule="exact"/>
        <w:ind w:firstLine="709"/>
        <w:jc w:val="both"/>
      </w:pPr>
      <w:r w:rsidRPr="00CB3E48">
        <w:t xml:space="preserve">Przeciętna liczba izb przypadająca na 1 mieszkanie wyniosła 3,82, w tym w miastach </w:t>
      </w:r>
      <w:r w:rsidRPr="00CB3E48">
        <w:br/>
        <w:t>3,57</w:t>
      </w:r>
      <w:r w:rsidR="00156622">
        <w:t>,</w:t>
      </w:r>
      <w:r w:rsidRPr="00CB3E48">
        <w:t xml:space="preserve"> a na wsi 4,3</w:t>
      </w:r>
      <w:r>
        <w:t>4</w:t>
      </w:r>
      <w:r w:rsidRPr="00CB3E48">
        <w:t xml:space="preserve">. </w:t>
      </w:r>
      <w:r w:rsidRPr="00A13B50">
        <w:t xml:space="preserve">Najniższe wartości tego wskaźnika wystąpiły w województwach centralnych: mazowieckim 3,63 i łódzkim 3,59, a najwyższe w województwach: wielkopolskim 4,05, podkarpackim 4,09 i opolskim 4,19. </w:t>
      </w:r>
    </w:p>
    <w:p w:rsidR="0006147D" w:rsidRPr="00A13B50" w:rsidRDefault="0006147D" w:rsidP="0006147D">
      <w:pPr>
        <w:pStyle w:val="Tekstpodstawowy"/>
        <w:spacing w:before="240" w:line="360" w:lineRule="exact"/>
        <w:jc w:val="both"/>
      </w:pPr>
      <w:r w:rsidRPr="00A13B50">
        <w:t>W miastach mieszkania o największej przeciętnej liczbie izb występowały w województwie podkarpackim 3,84 i podlaskim 3,84, a najmniejsze w łódzkim 3,35 i mazowieckim 3,41. Najwięcej izb miały przeciętnie mieszkania wiejskie w woj. opolskim 4,87 i śląskim 4,69</w:t>
      </w:r>
      <w:r w:rsidR="00156622">
        <w:t>,</w:t>
      </w:r>
      <w:r w:rsidRPr="00A13B50">
        <w:t xml:space="preserve"> a najmniej </w:t>
      </w:r>
      <w:r w:rsidRPr="00A13B50">
        <w:br/>
        <w:t>w województwach lubelskim 3,96 i świętokrzyskim 4,01.</w:t>
      </w:r>
    </w:p>
    <w:p w:rsidR="0006147D" w:rsidRPr="00A13B50" w:rsidRDefault="0006147D" w:rsidP="0006147D">
      <w:pPr>
        <w:pStyle w:val="Tekstpodstawowy"/>
        <w:spacing w:before="240" w:line="360" w:lineRule="exact"/>
        <w:jc w:val="both"/>
      </w:pPr>
    </w:p>
    <w:p w:rsidR="0006147D" w:rsidRPr="00CB3E48" w:rsidRDefault="0006147D" w:rsidP="0006147D">
      <w:pPr>
        <w:jc w:val="center"/>
        <w:rPr>
          <w:b/>
          <w:sz w:val="20"/>
        </w:rPr>
      </w:pPr>
      <w:r>
        <w:rPr>
          <w:noProof/>
        </w:rPr>
        <w:drawing>
          <wp:inline distT="0" distB="0" distL="0" distR="0" wp14:anchorId="5B17C07F" wp14:editId="3940BCA7">
            <wp:extent cx="6314400" cy="527980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KA1 20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400" cy="527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Pr="00CB3E48" w:rsidRDefault="0006147D" w:rsidP="0006147D">
      <w:r w:rsidRPr="00CB3E48">
        <w:br w:type="page"/>
      </w:r>
    </w:p>
    <w:p w:rsidR="0006147D" w:rsidRPr="00CB3E48" w:rsidRDefault="00156622" w:rsidP="0006147D">
      <w:pPr>
        <w:spacing w:before="168" w:line="360" w:lineRule="exact"/>
        <w:ind w:firstLine="709"/>
        <w:jc w:val="both"/>
      </w:pPr>
      <w:r>
        <w:t>Według stanu na 31 grudnia 2015 r. ś</w:t>
      </w:r>
      <w:r w:rsidR="0006147D" w:rsidRPr="00CB3E48">
        <w:t>rednia wielkość mieszkania w Polsce wynosiła w grudniu 201</w:t>
      </w:r>
      <w:r w:rsidR="0006147D">
        <w:t>5</w:t>
      </w:r>
      <w:r w:rsidR="0006147D" w:rsidRPr="00CB3E48">
        <w:t xml:space="preserve"> r. 73,</w:t>
      </w:r>
      <w:r w:rsidR="0006147D">
        <w:t>6</w:t>
      </w:r>
      <w:r w:rsidR="0006147D" w:rsidRPr="00CB3E48">
        <w:t xml:space="preserve"> m</w:t>
      </w:r>
      <w:r w:rsidR="0006147D" w:rsidRPr="00CB3E48">
        <w:rPr>
          <w:vertAlign w:val="superscript"/>
        </w:rPr>
        <w:t xml:space="preserve">2 </w:t>
      </w:r>
      <w:r w:rsidR="0006147D" w:rsidRPr="00CB3E48">
        <w:t>i wzrosła o 0,</w:t>
      </w:r>
      <w:r w:rsidR="0006147D">
        <w:t>2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 xml:space="preserve"> w porównaniu z rokiem poprzednim. Mieszkania na wsi były średnio o 28,</w:t>
      </w:r>
      <w:r w:rsidR="0006147D">
        <w:t>3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 xml:space="preserve"> większe niż na terenach miast (odpowiednie wskaźniki wynoszą dla wsi 92,</w:t>
      </w:r>
      <w:r w:rsidR="0006147D">
        <w:t>7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A20E5">
        <w:t>,</w:t>
      </w:r>
      <w:r w:rsidR="0006147D" w:rsidRPr="00CB3E48">
        <w:t xml:space="preserve"> a dla miast 64,</w:t>
      </w:r>
      <w:r w:rsidR="0006147D">
        <w:t>4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>).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 xml:space="preserve">Największe różnice w wielkości mieszkań pomiędzy miastem a wsią zaobserwowano </w:t>
      </w:r>
      <w:r w:rsidRPr="00A13B50">
        <w:br/>
        <w:t>w województwach</w:t>
      </w:r>
      <w:r w:rsidR="00156622">
        <w:t>:</w:t>
      </w:r>
      <w:r w:rsidRPr="00A13B50">
        <w:t xml:space="preserve"> śląskim o prawie 35 m</w:t>
      </w:r>
      <w:r w:rsidRPr="00A13B50">
        <w:rPr>
          <w:vertAlign w:val="superscript"/>
        </w:rPr>
        <w:t xml:space="preserve">2 </w:t>
      </w:r>
      <w:r w:rsidRPr="00A13B50">
        <w:t>i opolskim o ok. 33 m</w:t>
      </w:r>
      <w:r w:rsidRPr="00A13B50">
        <w:rPr>
          <w:vertAlign w:val="superscript"/>
        </w:rPr>
        <w:t>2</w:t>
      </w:r>
      <w:r w:rsidRPr="00A13B50">
        <w:t>, a najmniejsze - w województwie warmińsko-mazurskim o ok. 20 m</w:t>
      </w:r>
      <w:r w:rsidRPr="00A13B50">
        <w:rPr>
          <w:vertAlign w:val="superscript"/>
        </w:rPr>
        <w:t>2</w:t>
      </w:r>
      <w:r w:rsidRPr="00A13B50">
        <w:t>).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>Największe mieszkania znajdowały się w województwach: podkarpackim (81,1 m</w:t>
      </w:r>
      <w:r w:rsidRPr="00A13B50">
        <w:rPr>
          <w:vertAlign w:val="superscript"/>
        </w:rPr>
        <w:t>2</w:t>
      </w:r>
      <w:r w:rsidRPr="00A13B50">
        <w:t>), wielkopolskim (80,9 m</w:t>
      </w:r>
      <w:r w:rsidRPr="00A13B50">
        <w:rPr>
          <w:vertAlign w:val="superscript"/>
        </w:rPr>
        <w:t>2</w:t>
      </w:r>
      <w:r w:rsidRPr="00A13B50">
        <w:t>) i opolskim (80,5 m</w:t>
      </w:r>
      <w:r w:rsidRPr="00A13B50">
        <w:rPr>
          <w:vertAlign w:val="superscript"/>
        </w:rPr>
        <w:t>2</w:t>
      </w:r>
      <w:r w:rsidRPr="00A13B50">
        <w:t>), a najmniejsze w województwach: łódzkim (68,7 m</w:t>
      </w:r>
      <w:r w:rsidRPr="00A13B50">
        <w:rPr>
          <w:vertAlign w:val="superscript"/>
        </w:rPr>
        <w:t>2</w:t>
      </w:r>
      <w:r w:rsidRPr="00A13B50">
        <w:t>)</w:t>
      </w:r>
      <w:r w:rsidR="00156622">
        <w:t>,</w:t>
      </w:r>
      <w:r w:rsidRPr="00A13B50">
        <w:t xml:space="preserve"> warmińsko-mazurskim (68,2 m</w:t>
      </w:r>
      <w:r w:rsidRPr="00A13B50">
        <w:rPr>
          <w:vertAlign w:val="superscript"/>
        </w:rPr>
        <w:t>2</w:t>
      </w:r>
      <w:r w:rsidRPr="00A13B50">
        <w:t xml:space="preserve">) </w:t>
      </w:r>
      <w:r w:rsidR="00156622">
        <w:t xml:space="preserve">oraz </w:t>
      </w:r>
      <w:r w:rsidRPr="00A13B50">
        <w:t>k</w:t>
      </w:r>
      <w:r w:rsidRPr="00A13B50">
        <w:rPr>
          <w:rFonts w:ascii="TimesNewRomanPSMT" w:hAnsi="TimesNewRomanPSMT" w:cs="TimesNewRomanPSMT"/>
        </w:rPr>
        <w:t>ujawsko-pomorskim</w:t>
      </w:r>
      <w:r w:rsidR="00156622">
        <w:rPr>
          <w:rFonts w:ascii="TimesNewRomanPSMT" w:hAnsi="TimesNewRomanPSMT" w:cs="TimesNewRomanPSMT"/>
        </w:rPr>
        <w:t xml:space="preserve"> (69,6 </w:t>
      </w:r>
      <w:r w:rsidR="00156622" w:rsidRPr="00A13B50">
        <w:t>m</w:t>
      </w:r>
      <w:r w:rsidR="00156622" w:rsidRPr="00A13B50">
        <w:rPr>
          <w:vertAlign w:val="superscript"/>
        </w:rPr>
        <w:t>2</w:t>
      </w:r>
      <w:r w:rsidR="00156622">
        <w:rPr>
          <w:rFonts w:ascii="TimesNewRomanPSMT" w:hAnsi="TimesNewRomanPSMT" w:cs="TimesNewRomanPSMT"/>
        </w:rPr>
        <w:t xml:space="preserve">). </w:t>
      </w:r>
    </w:p>
    <w:p w:rsidR="0006147D" w:rsidRDefault="0006147D" w:rsidP="0006147D"/>
    <w:p w:rsidR="0006147D" w:rsidRPr="00CB3E48" w:rsidRDefault="0006147D" w:rsidP="0006147D"/>
    <w:p w:rsidR="0006147D" w:rsidRPr="00CB3E48" w:rsidRDefault="0006147D" w:rsidP="0006147D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03921775" wp14:editId="169A8D3E">
            <wp:extent cx="6316070" cy="5281200"/>
            <wp:effectExtent l="0" t="0" r="889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KA2 20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070" cy="52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Pr="00CB3E48" w:rsidRDefault="0006147D" w:rsidP="0006147D">
      <w:pPr>
        <w:jc w:val="center"/>
        <w:rPr>
          <w:b/>
          <w:sz w:val="20"/>
        </w:rPr>
      </w:pPr>
    </w:p>
    <w:p w:rsidR="0006147D" w:rsidRDefault="0006147D" w:rsidP="0006147D">
      <w:pPr>
        <w:rPr>
          <w:b/>
          <w:sz w:val="20"/>
        </w:rPr>
      </w:pPr>
      <w:r w:rsidRPr="00CB3E48">
        <w:rPr>
          <w:b/>
          <w:sz w:val="20"/>
        </w:rPr>
        <w:br w:type="page"/>
      </w:r>
    </w:p>
    <w:p w:rsidR="0006147D" w:rsidRPr="00A13B50" w:rsidRDefault="00527F28" w:rsidP="0006147D">
      <w:pPr>
        <w:spacing w:line="360" w:lineRule="exact"/>
        <w:ind w:firstLine="709"/>
        <w:jc w:val="both"/>
      </w:pPr>
      <w:r>
        <w:t>W 2015 r. p</w:t>
      </w:r>
      <w:r w:rsidR="0006147D" w:rsidRPr="00CB3E48">
        <w:t>rzeciętna powierzchnia użytkowa przypadająca na 1 osobę wzrosła w porównaniu z rokiem poprzednim o 0,</w:t>
      </w:r>
      <w:r w:rsidR="0006147D">
        <w:t>3</w:t>
      </w:r>
      <w:r w:rsidR="0006147D" w:rsidRPr="00CB3E48">
        <w:t xml:space="preserve"> m</w:t>
      </w:r>
      <w:r w:rsidR="0006147D" w:rsidRPr="00CB3E48">
        <w:rPr>
          <w:vertAlign w:val="superscript"/>
        </w:rPr>
        <w:t xml:space="preserve">2 </w:t>
      </w:r>
      <w:r w:rsidR="0006147D" w:rsidRPr="00CB3E48">
        <w:t>i wyniosła 2</w:t>
      </w:r>
      <w:r w:rsidR="0006147D">
        <w:t>7</w:t>
      </w:r>
      <w:r w:rsidR="0006147D" w:rsidRPr="00CB3E48">
        <w:t>,</w:t>
      </w:r>
      <w:r w:rsidR="0006147D">
        <w:t>0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 xml:space="preserve"> (w miastach wzrosła z 2</w:t>
      </w:r>
      <w:r w:rsidR="0006147D">
        <w:t>6</w:t>
      </w:r>
      <w:r w:rsidR="0006147D" w:rsidRPr="00CB3E48">
        <w:t>,</w:t>
      </w:r>
      <w:r w:rsidR="0006147D">
        <w:t>1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 xml:space="preserve"> do </w:t>
      </w:r>
      <w:r w:rsidR="0006147D">
        <w:t>26,4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>, a na wsi z 27,</w:t>
      </w:r>
      <w:r w:rsidR="0006147D">
        <w:t>6</w:t>
      </w:r>
      <w:r w:rsidR="0006147D" w:rsidRPr="00CB3E48">
        <w:t xml:space="preserve"> m</w:t>
      </w:r>
      <w:r w:rsidR="0006147D" w:rsidRPr="00CB3E48">
        <w:rPr>
          <w:vertAlign w:val="superscript"/>
        </w:rPr>
        <w:t>2</w:t>
      </w:r>
      <w:r w:rsidR="0006147D" w:rsidRPr="00CB3E48">
        <w:t xml:space="preserve"> do 27,</w:t>
      </w:r>
      <w:r w:rsidR="0006147D">
        <w:t>9</w:t>
      </w:r>
      <w:r w:rsidR="0006147D" w:rsidRPr="00CB3E48">
        <w:t> m</w:t>
      </w:r>
      <w:r w:rsidR="0006147D" w:rsidRPr="00CB3E48">
        <w:rPr>
          <w:vertAlign w:val="superscript"/>
        </w:rPr>
        <w:t>2</w:t>
      </w:r>
      <w:r w:rsidR="0006147D" w:rsidRPr="00CB3E48">
        <w:t xml:space="preserve">). </w:t>
      </w:r>
      <w:r w:rsidR="0006147D" w:rsidRPr="00A13B50">
        <w:t>Wskaźnik ten w układzie regionalnym wahał się od 23,9 m</w:t>
      </w:r>
      <w:r w:rsidR="0006147D" w:rsidRPr="00A13B50">
        <w:rPr>
          <w:vertAlign w:val="superscript"/>
        </w:rPr>
        <w:t>2</w:t>
      </w:r>
      <w:r w:rsidR="0006147D" w:rsidRPr="00A13B50">
        <w:t xml:space="preserve"> w województwie warmińsko-mazurskim do 29,5 m</w:t>
      </w:r>
      <w:r w:rsidR="0006147D" w:rsidRPr="00A13B50">
        <w:rPr>
          <w:vertAlign w:val="superscript"/>
        </w:rPr>
        <w:t xml:space="preserve">2 </w:t>
      </w:r>
      <w:r w:rsidR="0006147D" w:rsidRPr="00A13B50">
        <w:t>w województwie mazowieckim.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 xml:space="preserve">Spośród mieszkań miejskich przeciętnie najwięcej powierzchni użytkowej na 1 osobę przypadało </w:t>
      </w:r>
      <w:r w:rsidRPr="00A13B50">
        <w:br/>
        <w:t>w województwach: mazowieckim (29,1 m</w:t>
      </w:r>
      <w:r w:rsidRPr="00A13B50">
        <w:rPr>
          <w:vertAlign w:val="superscript"/>
        </w:rPr>
        <w:t>2</w:t>
      </w:r>
      <w:r w:rsidRPr="00A13B50">
        <w:t>), dolnośląskim (27,7 m</w:t>
      </w:r>
      <w:r w:rsidRPr="00A13B50">
        <w:rPr>
          <w:vertAlign w:val="superscript"/>
        </w:rPr>
        <w:t>2</w:t>
      </w:r>
      <w:r w:rsidRPr="00A13B50">
        <w:t>) oraz wielkopolskim (27,3 m</w:t>
      </w:r>
      <w:r w:rsidRPr="00A13B50">
        <w:rPr>
          <w:vertAlign w:val="superscript"/>
        </w:rPr>
        <w:t>2</w:t>
      </w:r>
      <w:r w:rsidRPr="00A13B50">
        <w:t xml:space="preserve">), </w:t>
      </w:r>
      <w:r w:rsidRPr="00A13B50">
        <w:br/>
        <w:t>a najmniej w województwach warmińsko-mazurskim (23,5 m</w:t>
      </w:r>
      <w:r w:rsidRPr="00A13B50">
        <w:rPr>
          <w:vertAlign w:val="superscript"/>
        </w:rPr>
        <w:t>2</w:t>
      </w:r>
      <w:r w:rsidRPr="00A13B50">
        <w:t>)</w:t>
      </w:r>
      <w:r w:rsidRPr="00A13B50">
        <w:rPr>
          <w:vertAlign w:val="superscript"/>
        </w:rPr>
        <w:t xml:space="preserve"> </w:t>
      </w:r>
      <w:r w:rsidRPr="00A13B50">
        <w:t>i kujawsko-pomorskim (23,9 m</w:t>
      </w:r>
      <w:r w:rsidRPr="00A13B50">
        <w:rPr>
          <w:vertAlign w:val="superscript"/>
        </w:rPr>
        <w:t>2</w:t>
      </w:r>
      <w:r w:rsidRPr="00A13B50">
        <w:t>).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>Największa przeciętna powierzchnia użytkowa (w m</w:t>
      </w:r>
      <w:r w:rsidRPr="00A13B50">
        <w:rPr>
          <w:vertAlign w:val="superscript"/>
        </w:rPr>
        <w:t>2</w:t>
      </w:r>
      <w:r w:rsidRPr="00A13B50">
        <w:t xml:space="preserve">) na 1 osobę ma terenach wiejskich była </w:t>
      </w:r>
      <w:r w:rsidRPr="00A13B50">
        <w:br/>
        <w:t>w województwach: podlaskim – 32,0 i opolskim - 30,8 m</w:t>
      </w:r>
      <w:r w:rsidRPr="00A13B50">
        <w:rPr>
          <w:vertAlign w:val="superscript"/>
        </w:rPr>
        <w:t>2</w:t>
      </w:r>
      <w:r w:rsidRPr="00A13B50">
        <w:t>, a najniższa – 24,6 m</w:t>
      </w:r>
      <w:r w:rsidRPr="00A13B50">
        <w:rPr>
          <w:vertAlign w:val="superscript"/>
        </w:rPr>
        <w:t xml:space="preserve">2 </w:t>
      </w:r>
      <w:r w:rsidRPr="00A13B50">
        <w:t xml:space="preserve">na 1 osobę </w:t>
      </w:r>
      <w:r w:rsidRPr="00A13B50">
        <w:br/>
        <w:t>w województwie warmińsko-mazurskim.</w:t>
      </w: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42293DAB" wp14:editId="432FA129">
            <wp:extent cx="6307472" cy="5274000"/>
            <wp:effectExtent l="0" t="0" r="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KA3 201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472" cy="52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Pr="00CB3E48" w:rsidRDefault="0006147D" w:rsidP="0006147D">
      <w:pPr>
        <w:spacing w:before="120" w:line="360" w:lineRule="exact"/>
        <w:ind w:firstLine="709"/>
        <w:jc w:val="both"/>
      </w:pPr>
      <w:r w:rsidRPr="00CB3E48">
        <w:br w:type="page"/>
        <w:t>Dysproporcje pomiędzy miastem a wsią dotyczyły również stopnia zaludnienia mieszkań. Mieszkania wiejskie były bardziej zaludnione od mieszkań miejskich. Na 1 mieszkanie w miastach przypadało przeciętnie 2,4</w:t>
      </w:r>
      <w:r>
        <w:t>3</w:t>
      </w:r>
      <w:r w:rsidRPr="00CB3E48">
        <w:t xml:space="preserve"> osoby, zaś na wsi 3,3</w:t>
      </w:r>
      <w:r>
        <w:t>2</w:t>
      </w:r>
      <w:r w:rsidRPr="00CB3E48">
        <w:t xml:space="preserve"> przy przeciętnej dla Polski 2,7</w:t>
      </w:r>
      <w:r>
        <w:t>2</w:t>
      </w:r>
      <w:r w:rsidRPr="00CB3E48">
        <w:t>.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>Najwięcej osób na 1 mieszkanie przypadało w województwach: podkarpackim - 3,28 oraz wielkopolskim – 2,95 i małopolskim – 2,94, najmniej natomiast w województwach centralnych: łódzkim - 2,48 i mazowieckim - 2,44 osoby na 1 mieszkanie.</w:t>
      </w:r>
    </w:p>
    <w:p w:rsidR="0006147D" w:rsidRPr="00A13B50" w:rsidRDefault="0006147D" w:rsidP="0006147D">
      <w:pPr>
        <w:spacing w:before="120" w:line="360" w:lineRule="exact"/>
        <w:ind w:firstLine="709"/>
        <w:jc w:val="both"/>
      </w:pPr>
      <w:r w:rsidRPr="00A13B50">
        <w:t>W miastach najbardziej zaludnione były mieszkania w województwie podkarpackim - 2,82, a najmniej w mazowieckim - 2,19 i łódzkim - 2,25 osoby w 1 mieszkaniu. Na wsiach wskaźnik ten wahał się od 2,90 w województwie podlaskim i 3,03 w łódzkim do 3,66 w województwach małopolskim i 3,70 w województwie podkarpackim.</w:t>
      </w: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15468C25" wp14:editId="4E7B30A5">
            <wp:extent cx="6318000" cy="5282814"/>
            <wp:effectExtent l="0" t="0" r="698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KA4 201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000" cy="528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Pr="00CB3E48" w:rsidRDefault="0006147D" w:rsidP="0006147D">
      <w:r w:rsidRPr="00CB3E48">
        <w:br w:type="page"/>
      </w:r>
    </w:p>
    <w:p w:rsidR="0006147D" w:rsidRPr="00A13B50" w:rsidRDefault="0006147D" w:rsidP="0006147D">
      <w:pPr>
        <w:spacing w:before="120" w:line="360" w:lineRule="exact"/>
        <w:ind w:firstLine="709"/>
        <w:jc w:val="both"/>
      </w:pPr>
      <w:r w:rsidRPr="00CB3E48">
        <w:t>Kolejnym wskaźnikiem przedstawiającym gęstość zaludnienia mieszkań jest przeciętna liczba osób na 1 izbę. Wskaźnik ten dla Polski kształtował się na poziomie 0,7</w:t>
      </w:r>
      <w:r>
        <w:t>1</w:t>
      </w:r>
      <w:r w:rsidRPr="00CB3E48">
        <w:t xml:space="preserve"> osoby na 1 izbę,</w:t>
      </w:r>
      <w:r w:rsidRPr="00CB3E48">
        <w:br/>
        <w:t xml:space="preserve">przy </w:t>
      </w:r>
      <w:r w:rsidRPr="00A13B50">
        <w:t>czym na wsi był wyższy i wyniósł 0,77, a w mieście 0,68 osoby na 1 izbę.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>Najniższe wartości zaobserwowano w województwach: dolnośląskim</w:t>
      </w:r>
      <w:r>
        <w:t>,</w:t>
      </w:r>
      <w:r w:rsidRPr="00A13B50">
        <w:t xml:space="preserve"> mazowieckim</w:t>
      </w:r>
      <w:r>
        <w:t xml:space="preserve"> i</w:t>
      </w:r>
      <w:r w:rsidRPr="00A13B50">
        <w:t xml:space="preserve"> podlaskim 0,67 oraz opolskim 0,68, a najwyższe w województwach: świętokrzyskim</w:t>
      </w:r>
      <w:r>
        <w:t xml:space="preserve"> i</w:t>
      </w:r>
      <w:r w:rsidRPr="00A13B50">
        <w:t xml:space="preserve"> kujawsko-pomorskim</w:t>
      </w:r>
      <w:r>
        <w:t xml:space="preserve"> po</w:t>
      </w:r>
      <w:r w:rsidRPr="00A13B50">
        <w:t xml:space="preserve"> 0,76 oraz podkarpackim </w:t>
      </w:r>
      <w:r>
        <w:t xml:space="preserve">- </w:t>
      </w:r>
      <w:r w:rsidRPr="00A13B50">
        <w:t xml:space="preserve">0,80. </w:t>
      </w:r>
    </w:p>
    <w:p w:rsidR="0006147D" w:rsidRPr="00A13B50" w:rsidRDefault="0006147D" w:rsidP="0006147D">
      <w:pPr>
        <w:spacing w:before="120" w:line="360" w:lineRule="exact"/>
        <w:jc w:val="both"/>
      </w:pPr>
      <w:r w:rsidRPr="00A13B50">
        <w:t>Najwięcej osób na 1 izbę, zarówno w miastach, jak i na wsi przypadało w województwie podkarpackim - odpowiednio 0,73 i 0,86</w:t>
      </w:r>
      <w:r>
        <w:t xml:space="preserve">. </w:t>
      </w:r>
      <w:r w:rsidRPr="00A13B50">
        <w:t>Najmniej osób na 1 izbę przypadało w miastach województwa mazowieckiego przeciętnie 0,64, a na terenach wiejskich w województwie opolskim i</w:t>
      </w:r>
      <w:r>
        <w:t> </w:t>
      </w:r>
      <w:r w:rsidRPr="00A13B50">
        <w:t>podlaskim po 0,67.</w:t>
      </w: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67061589" wp14:editId="6F7522AD">
            <wp:extent cx="6318000" cy="5282814"/>
            <wp:effectExtent l="0" t="0" r="698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KA5 20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000" cy="528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Pr="00CB3E48" w:rsidRDefault="0006147D" w:rsidP="0006147D">
      <w:pPr>
        <w:spacing w:line="360" w:lineRule="auto"/>
        <w:jc w:val="center"/>
        <w:rPr>
          <w:b/>
          <w:sz w:val="20"/>
        </w:rPr>
      </w:pPr>
    </w:p>
    <w:p w:rsidR="0006147D" w:rsidRPr="00CB3E48" w:rsidRDefault="0006147D" w:rsidP="0006147D">
      <w:pPr>
        <w:spacing w:before="120" w:line="360" w:lineRule="exact"/>
        <w:ind w:firstLine="709"/>
        <w:jc w:val="both"/>
      </w:pPr>
      <w:r w:rsidRPr="00CB3E48">
        <w:br w:type="page"/>
      </w:r>
      <w:r w:rsidR="00527F28">
        <w:t>Opis s</w:t>
      </w:r>
      <w:r w:rsidRPr="00CB3E48">
        <w:t>tan</w:t>
      </w:r>
      <w:r w:rsidR="00527F28">
        <w:t>u</w:t>
      </w:r>
      <w:r w:rsidRPr="00CB3E48">
        <w:t xml:space="preserve"> zasobów mieszkaniowych </w:t>
      </w:r>
      <w:r w:rsidR="00527F28">
        <w:t>uwzględnia</w:t>
      </w:r>
      <w:r w:rsidRPr="00CB3E48">
        <w:t xml:space="preserve"> również stopień wyposażenia mieszkań w</w:t>
      </w:r>
      <w:r w:rsidR="000A2DF4">
        <w:t> </w:t>
      </w:r>
      <w:r w:rsidRPr="00CB3E48">
        <w:t xml:space="preserve"> podstawowe instalacje sanitarno-techniczne. </w:t>
      </w:r>
      <w:r w:rsidR="00527F28">
        <w:t>Rosnący odsetek mieszkań wyposażonych w instalacje techniczno-sanitarne wskazuje na poprawę warunków mieszkaniowych ludności.</w:t>
      </w:r>
    </w:p>
    <w:p w:rsidR="0006147D" w:rsidRPr="00987B53" w:rsidRDefault="0006147D" w:rsidP="0006147D">
      <w:pPr>
        <w:spacing w:before="120" w:line="360" w:lineRule="exact"/>
        <w:ind w:firstLine="709"/>
        <w:jc w:val="both"/>
      </w:pPr>
      <w:r w:rsidRPr="00CB3E48">
        <w:t>W wodociąg wyposażonych było 96,7% mieszkań, w ustęp 93,</w:t>
      </w:r>
      <w:r>
        <w:t>6</w:t>
      </w:r>
      <w:r w:rsidRPr="00CB3E48">
        <w:t>% i łazienkę 91,</w:t>
      </w:r>
      <w:r>
        <w:t>2</w:t>
      </w:r>
      <w:r w:rsidRPr="00CB3E48">
        <w:t>%. Instalacja gazowa natomiast podłączona była w co drugim mieszkaniu</w:t>
      </w:r>
      <w:r w:rsidRPr="00987B53">
        <w:t xml:space="preserve">. Pomiędzy miastem a wsią nadal utrzymywały się dysproporcje w wyposażeniu mieszkań w podstawowe instalacje. W miastach w wodociąg wyposażonych było 99,0% mieszkań, w ustęp – 97,2%, a łazienkę – 95,4%. Na wsi </w:t>
      </w:r>
      <w:r w:rsidRPr="00987B53">
        <w:br/>
        <w:t>do wodociągu podłączonych było 92,0% mieszkań, ustęp posiadało 86,1%, a łazienkę 82,4%.</w:t>
      </w:r>
    </w:p>
    <w:p w:rsidR="0006147D" w:rsidRPr="00A13B50" w:rsidRDefault="0006147D" w:rsidP="0006147D">
      <w:pPr>
        <w:spacing w:before="120" w:line="360" w:lineRule="exact"/>
        <w:ind w:firstLine="709"/>
        <w:jc w:val="both"/>
        <w:rPr>
          <w:rFonts w:eastAsia="TimesNewRoman"/>
        </w:rPr>
      </w:pPr>
      <w:r w:rsidRPr="00A13B50">
        <w:rPr>
          <w:rFonts w:eastAsia="TimesNewRoman"/>
        </w:rPr>
        <w:t xml:space="preserve">W porównaniu z 2014 r. największy wzrost o 1,3% zaobserwowano w wyposażeniu mieszkań w centralne ogrzewanie. Dla mieszkań zlokalizowanych na wsi wzrost ten wyniósł 1,5%, natomiast w miastach - 1,2%. </w:t>
      </w:r>
    </w:p>
    <w:p w:rsidR="0006147D" w:rsidRPr="00A13B50" w:rsidRDefault="0006147D" w:rsidP="0006147D">
      <w:pPr>
        <w:spacing w:before="120" w:line="360" w:lineRule="exact"/>
        <w:ind w:firstLine="709"/>
        <w:jc w:val="both"/>
      </w:pPr>
      <w:r w:rsidRPr="00A13B50">
        <w:rPr>
          <w:rFonts w:eastAsia="TimesNewRoman"/>
        </w:rPr>
        <w:t>Liczba mieszkań wyposażonych w gaz z sieci zwiększyła się w porównaniu z 2014 r. o 0,8%. Na terenach wiejskich zanotowano większy procentowy wzrost (o 1,4%) niż w miastach (o</w:t>
      </w:r>
      <w:r w:rsidRPr="00A13B50">
        <w:t xml:space="preserve"> 0,7%). </w:t>
      </w:r>
    </w:p>
    <w:p w:rsidR="0006147D" w:rsidRPr="00CB3E48" w:rsidRDefault="0006147D" w:rsidP="0006147D">
      <w:pPr>
        <w:spacing w:before="120" w:line="360" w:lineRule="exact"/>
        <w:ind w:firstLine="709"/>
        <w:jc w:val="both"/>
      </w:pPr>
    </w:p>
    <w:p w:rsidR="0006147D" w:rsidRPr="00527F28" w:rsidRDefault="00527F28" w:rsidP="00527F28">
      <w:pPr>
        <w:pStyle w:val="Legenda"/>
        <w:rPr>
          <w:i w:val="0"/>
          <w:lang w:val="pl-PL"/>
        </w:rPr>
      </w:pPr>
      <w:bookmarkStart w:id="18" w:name="_Toc464548397"/>
      <w:bookmarkStart w:id="19" w:name="_Toc464726117"/>
      <w:bookmarkStart w:id="20" w:name="_Toc465667704"/>
      <w:r w:rsidRPr="00527F28">
        <w:rPr>
          <w:i w:val="0"/>
          <w:lang w:val="pl-PL"/>
        </w:rPr>
        <w:t xml:space="preserve">Tabl. </w:t>
      </w:r>
      <w:r w:rsidRPr="00527F28">
        <w:rPr>
          <w:i w:val="0"/>
        </w:rPr>
        <w:fldChar w:fldCharType="begin"/>
      </w:r>
      <w:r w:rsidRPr="00527F28">
        <w:rPr>
          <w:i w:val="0"/>
          <w:lang w:val="pl-PL"/>
        </w:rPr>
        <w:instrText xml:space="preserve"> SEQ Tabl. \* ARABIC </w:instrText>
      </w:r>
      <w:r w:rsidRPr="00527F28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2</w:t>
      </w:r>
      <w:r w:rsidRPr="00527F28">
        <w:rPr>
          <w:i w:val="0"/>
        </w:rPr>
        <w:fldChar w:fldCharType="end"/>
      </w:r>
      <w:r w:rsidRPr="00527F28">
        <w:rPr>
          <w:i w:val="0"/>
          <w:lang w:val="pl-PL"/>
        </w:rPr>
        <w:t xml:space="preserve"> </w:t>
      </w:r>
      <w:r w:rsidR="0006147D" w:rsidRPr="00527F28">
        <w:rPr>
          <w:i w:val="0"/>
          <w:lang w:val="pl-PL"/>
        </w:rPr>
        <w:t xml:space="preserve">Mieszkania wyposażone w podstawowe instalacje </w:t>
      </w:r>
      <w:r>
        <w:rPr>
          <w:i w:val="0"/>
          <w:lang w:val="pl-PL"/>
        </w:rPr>
        <w:t>według stanu na 31.12.2015 r</w:t>
      </w:r>
      <w:r w:rsidR="0006147D" w:rsidRPr="00527F28">
        <w:rPr>
          <w:i w:val="0"/>
          <w:lang w:val="pl-PL"/>
        </w:rPr>
        <w:t>.</w:t>
      </w:r>
      <w:bookmarkEnd w:id="18"/>
      <w:bookmarkEnd w:id="19"/>
      <w:bookmarkEnd w:id="20"/>
    </w:p>
    <w:tbl>
      <w:tblPr>
        <w:tblW w:w="0" w:type="auto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2384"/>
        <w:gridCol w:w="1332"/>
        <w:gridCol w:w="1165"/>
        <w:gridCol w:w="1019"/>
        <w:gridCol w:w="1020"/>
        <w:gridCol w:w="1019"/>
        <w:gridCol w:w="1313"/>
      </w:tblGrid>
      <w:tr w:rsidR="0006147D" w:rsidRPr="00CB3E48" w:rsidTr="00A62FE2">
        <w:trPr>
          <w:trHeight w:val="580"/>
        </w:trPr>
        <w:tc>
          <w:tcPr>
            <w:tcW w:w="2384" w:type="dxa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spacing w:line="360" w:lineRule="exact"/>
              <w:jc w:val="center"/>
            </w:pPr>
          </w:p>
        </w:tc>
        <w:tc>
          <w:tcPr>
            <w:tcW w:w="1332" w:type="dxa"/>
            <w:tcBorders>
              <w:top w:val="single" w:sz="12" w:space="0" w:color="808080"/>
              <w:left w:val="nil"/>
              <w:right w:val="single" w:sz="12" w:space="0" w:color="808080"/>
            </w:tcBorders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lang w:val="en-US"/>
              </w:rPr>
            </w:pPr>
            <w:r w:rsidRPr="00CB3E48">
              <w:rPr>
                <w:lang w:val="en-US"/>
              </w:rPr>
              <w:t>Mieszkania</w:t>
            </w:r>
          </w:p>
        </w:tc>
        <w:tc>
          <w:tcPr>
            <w:tcW w:w="5536" w:type="dxa"/>
            <w:gridSpan w:val="5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lang w:val="en-US"/>
              </w:rPr>
            </w:pPr>
            <w:r w:rsidRPr="00CB3E48">
              <w:rPr>
                <w:lang w:val="en-US"/>
              </w:rPr>
              <w:t>w tym wyposażone w:</w:t>
            </w:r>
          </w:p>
        </w:tc>
      </w:tr>
      <w:tr w:rsidR="0006147D" w:rsidRPr="00CB3E48" w:rsidTr="00A62FE2">
        <w:trPr>
          <w:trHeight w:val="802"/>
        </w:trPr>
        <w:tc>
          <w:tcPr>
            <w:tcW w:w="2384" w:type="dxa"/>
            <w:tcBorders>
              <w:left w:val="single" w:sz="12" w:space="0" w:color="808080"/>
              <w:right w:val="single" w:sz="12" w:space="0" w:color="808080"/>
            </w:tcBorders>
          </w:tcPr>
          <w:p w:rsidR="0006147D" w:rsidRPr="00A22038" w:rsidRDefault="0006147D" w:rsidP="00A62FE2">
            <w:pPr>
              <w:spacing w:line="360" w:lineRule="exact"/>
              <w:jc w:val="center"/>
              <w:rPr>
                <w:szCs w:val="24"/>
                <w:lang w:val="en-US"/>
              </w:rPr>
            </w:pPr>
            <w:r w:rsidRPr="00A22038">
              <w:rPr>
                <w:szCs w:val="24"/>
                <w:lang w:val="en-US"/>
              </w:rPr>
              <w:t>Wyszczególnienie</w:t>
            </w:r>
          </w:p>
        </w:tc>
        <w:tc>
          <w:tcPr>
            <w:tcW w:w="1332" w:type="dxa"/>
            <w:tcBorders>
              <w:left w:val="nil"/>
              <w:right w:val="single" w:sz="12" w:space="0" w:color="808080"/>
            </w:tcBorders>
            <w:vAlign w:val="center"/>
          </w:tcPr>
          <w:p w:rsidR="0006147D" w:rsidRPr="00DD6D4A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DD6D4A">
              <w:rPr>
                <w:sz w:val="22"/>
                <w:szCs w:val="22"/>
                <w:lang w:val="en-US"/>
              </w:rPr>
              <w:t>ogółem</w:t>
            </w:r>
          </w:p>
        </w:tc>
        <w:tc>
          <w:tcPr>
            <w:tcW w:w="1165" w:type="dxa"/>
            <w:tcBorders>
              <w:left w:val="nil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wodociąg</w:t>
            </w:r>
          </w:p>
        </w:tc>
        <w:tc>
          <w:tcPr>
            <w:tcW w:w="101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ustęp</w:t>
            </w:r>
          </w:p>
        </w:tc>
        <w:tc>
          <w:tcPr>
            <w:tcW w:w="1020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łazienk</w:t>
            </w:r>
            <w:r>
              <w:rPr>
                <w:sz w:val="22"/>
                <w:szCs w:val="22"/>
                <w:lang w:val="en-US"/>
              </w:rPr>
              <w:t>ę</w:t>
            </w:r>
          </w:p>
        </w:tc>
        <w:tc>
          <w:tcPr>
            <w:tcW w:w="101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gaz</w:t>
            </w:r>
          </w:p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z sieci</w:t>
            </w:r>
          </w:p>
        </w:tc>
        <w:tc>
          <w:tcPr>
            <w:tcW w:w="1313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centralne</w:t>
            </w:r>
          </w:p>
          <w:p w:rsidR="0006147D" w:rsidRPr="00CB3E48" w:rsidRDefault="0006147D" w:rsidP="00A62FE2">
            <w:pPr>
              <w:spacing w:line="360" w:lineRule="exact"/>
              <w:jc w:val="center"/>
              <w:rPr>
                <w:sz w:val="22"/>
                <w:szCs w:val="22"/>
                <w:lang w:val="en-US"/>
              </w:rPr>
            </w:pPr>
            <w:r w:rsidRPr="00CB3E48">
              <w:rPr>
                <w:sz w:val="22"/>
                <w:szCs w:val="22"/>
                <w:lang w:val="en-US"/>
              </w:rPr>
              <w:t>ogrzewanie</w:t>
            </w:r>
          </w:p>
        </w:tc>
      </w:tr>
      <w:tr w:rsidR="0006147D" w:rsidRPr="00CB3E48" w:rsidTr="00A62FE2">
        <w:trPr>
          <w:trHeight w:val="955"/>
        </w:trPr>
        <w:tc>
          <w:tcPr>
            <w:tcW w:w="23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keepNext/>
              <w:numPr>
                <w:ilvl w:val="0"/>
                <w:numId w:val="12"/>
              </w:numPr>
              <w:spacing w:after="80" w:line="200" w:lineRule="exact"/>
              <w:ind w:left="0" w:firstLine="0"/>
              <w:outlineLvl w:val="5"/>
              <w:rPr>
                <w:b/>
                <w:sz w:val="20"/>
              </w:rPr>
            </w:pPr>
            <w:r w:rsidRPr="00CB3E48">
              <w:rPr>
                <w:b/>
                <w:sz w:val="20"/>
              </w:rPr>
              <w:t>Polska</w:t>
            </w:r>
          </w:p>
          <w:p w:rsidR="0006147D" w:rsidRPr="00CB3E48" w:rsidRDefault="0006147D" w:rsidP="00A62FE2">
            <w:pPr>
              <w:spacing w:after="80" w:line="200" w:lineRule="exact"/>
              <w:rPr>
                <w:sz w:val="20"/>
              </w:rPr>
            </w:pPr>
            <w:r w:rsidRPr="00CB3E48">
              <w:rPr>
                <w:sz w:val="20"/>
              </w:rPr>
              <w:t>liczba mieszkań w tys.</w:t>
            </w:r>
          </w:p>
        </w:tc>
        <w:tc>
          <w:tcPr>
            <w:tcW w:w="1332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14 119,5</w:t>
            </w:r>
          </w:p>
        </w:tc>
        <w:tc>
          <w:tcPr>
            <w:tcW w:w="1165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13 660,3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13 210,2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12 873,7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7 858,2</w:t>
            </w:r>
          </w:p>
        </w:tc>
        <w:tc>
          <w:tcPr>
            <w:tcW w:w="131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11 556,7</w:t>
            </w:r>
          </w:p>
        </w:tc>
      </w:tr>
      <w:tr w:rsidR="0006147D" w:rsidRPr="00CB3E48" w:rsidTr="00A62FE2">
        <w:trPr>
          <w:trHeight w:val="390"/>
        </w:trPr>
        <w:tc>
          <w:tcPr>
            <w:tcW w:w="238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spacing w:after="80" w:line="360" w:lineRule="exact"/>
              <w:rPr>
                <w:sz w:val="20"/>
                <w:lang w:val="en-US"/>
              </w:rPr>
            </w:pPr>
            <w:r w:rsidRPr="00CB3E48">
              <w:rPr>
                <w:sz w:val="20"/>
                <w:lang w:val="en-US"/>
              </w:rPr>
              <w:t>w % ogółu mieszkań</w:t>
            </w:r>
          </w:p>
        </w:tc>
        <w:tc>
          <w:tcPr>
            <w:tcW w:w="1332" w:type="dxa"/>
            <w:tcBorders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100,0</w:t>
            </w:r>
          </w:p>
        </w:tc>
        <w:tc>
          <w:tcPr>
            <w:tcW w:w="1165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96,7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93,6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91,2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55,7</w:t>
            </w:r>
          </w:p>
        </w:tc>
        <w:tc>
          <w:tcPr>
            <w:tcW w:w="131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81,8</w:t>
            </w:r>
          </w:p>
        </w:tc>
      </w:tr>
      <w:tr w:rsidR="0006147D" w:rsidRPr="00CB3E48" w:rsidTr="00A62FE2">
        <w:trPr>
          <w:trHeight w:val="980"/>
        </w:trPr>
        <w:tc>
          <w:tcPr>
            <w:tcW w:w="238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keepNext/>
              <w:numPr>
                <w:ilvl w:val="0"/>
                <w:numId w:val="12"/>
              </w:numPr>
              <w:spacing w:after="80" w:line="200" w:lineRule="exact"/>
              <w:ind w:left="0" w:firstLine="0"/>
              <w:outlineLvl w:val="5"/>
              <w:rPr>
                <w:b/>
                <w:sz w:val="20"/>
              </w:rPr>
            </w:pPr>
            <w:r w:rsidRPr="00CB3E48">
              <w:rPr>
                <w:b/>
                <w:sz w:val="20"/>
              </w:rPr>
              <w:t>Miasta</w:t>
            </w:r>
          </w:p>
          <w:p w:rsidR="0006147D" w:rsidRPr="00CB3E48" w:rsidRDefault="0006147D" w:rsidP="00A62FE2">
            <w:pPr>
              <w:spacing w:after="80" w:line="200" w:lineRule="exact"/>
              <w:rPr>
                <w:sz w:val="20"/>
              </w:rPr>
            </w:pPr>
            <w:r w:rsidRPr="00CB3E48">
              <w:rPr>
                <w:sz w:val="20"/>
              </w:rPr>
              <w:t>liczba mieszkań w tys.</w:t>
            </w:r>
          </w:p>
        </w:tc>
        <w:tc>
          <w:tcPr>
            <w:tcW w:w="1332" w:type="dxa"/>
            <w:tcBorders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9</w:t>
            </w:r>
            <w:r w:rsidRPr="00D1293B">
              <w:rPr>
                <w:sz w:val="22"/>
                <w:szCs w:val="22"/>
              </w:rPr>
              <w:t> 515,9</w:t>
            </w:r>
          </w:p>
        </w:tc>
        <w:tc>
          <w:tcPr>
            <w:tcW w:w="1165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bCs/>
                <w:sz w:val="22"/>
                <w:szCs w:val="22"/>
              </w:rPr>
            </w:pPr>
            <w:r w:rsidRPr="00D1293B">
              <w:rPr>
                <w:bCs/>
                <w:sz w:val="22"/>
                <w:szCs w:val="22"/>
              </w:rPr>
              <w:t>9 424,0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bCs/>
                <w:sz w:val="22"/>
                <w:szCs w:val="22"/>
              </w:rPr>
            </w:pPr>
            <w:r w:rsidRPr="00D1293B">
              <w:rPr>
                <w:bCs/>
                <w:sz w:val="22"/>
                <w:szCs w:val="22"/>
              </w:rPr>
              <w:t>9 247,5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bCs/>
                <w:sz w:val="22"/>
                <w:szCs w:val="22"/>
              </w:rPr>
            </w:pPr>
            <w:r w:rsidRPr="00D1293B">
              <w:rPr>
                <w:bCs/>
                <w:sz w:val="22"/>
                <w:szCs w:val="22"/>
              </w:rPr>
              <w:t>9 079,8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bCs/>
                <w:sz w:val="22"/>
                <w:szCs w:val="22"/>
              </w:rPr>
            </w:pPr>
            <w:r w:rsidRPr="00D1293B">
              <w:rPr>
                <w:bCs/>
                <w:sz w:val="22"/>
                <w:szCs w:val="22"/>
              </w:rPr>
              <w:t>6 878,7</w:t>
            </w:r>
          </w:p>
        </w:tc>
        <w:tc>
          <w:tcPr>
            <w:tcW w:w="131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bCs/>
                <w:sz w:val="22"/>
                <w:szCs w:val="22"/>
              </w:rPr>
            </w:pPr>
            <w:r w:rsidRPr="00D1293B">
              <w:rPr>
                <w:bCs/>
                <w:sz w:val="22"/>
                <w:szCs w:val="22"/>
              </w:rPr>
              <w:t>8 290,9</w:t>
            </w:r>
          </w:p>
        </w:tc>
      </w:tr>
      <w:tr w:rsidR="0006147D" w:rsidRPr="00CB3E48" w:rsidTr="00A62FE2">
        <w:trPr>
          <w:trHeight w:val="390"/>
        </w:trPr>
        <w:tc>
          <w:tcPr>
            <w:tcW w:w="238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spacing w:after="80" w:line="360" w:lineRule="exact"/>
              <w:rPr>
                <w:sz w:val="20"/>
                <w:lang w:val="en-US"/>
              </w:rPr>
            </w:pPr>
            <w:r w:rsidRPr="00CB3E48">
              <w:rPr>
                <w:sz w:val="20"/>
                <w:lang w:val="en-US"/>
              </w:rPr>
              <w:t>w % ogółu mieszkań</w:t>
            </w:r>
          </w:p>
        </w:tc>
        <w:tc>
          <w:tcPr>
            <w:tcW w:w="1332" w:type="dxa"/>
            <w:tcBorders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100,0</w:t>
            </w:r>
          </w:p>
        </w:tc>
        <w:tc>
          <w:tcPr>
            <w:tcW w:w="1165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D1293B" w:rsidRDefault="0006147D" w:rsidP="00A62FE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99,0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D1293B" w:rsidRDefault="0006147D" w:rsidP="00A62FE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97,2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D1293B" w:rsidRDefault="0006147D" w:rsidP="00A62FE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95,4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D1293B" w:rsidRDefault="0006147D" w:rsidP="00A62FE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72,3</w:t>
            </w:r>
          </w:p>
        </w:tc>
        <w:tc>
          <w:tcPr>
            <w:tcW w:w="131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06147D" w:rsidRPr="00D1293B" w:rsidRDefault="0006147D" w:rsidP="00A62FE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87,1</w:t>
            </w:r>
          </w:p>
        </w:tc>
      </w:tr>
      <w:tr w:rsidR="0006147D" w:rsidRPr="00CB3E48" w:rsidTr="00A62FE2">
        <w:trPr>
          <w:trHeight w:val="955"/>
        </w:trPr>
        <w:tc>
          <w:tcPr>
            <w:tcW w:w="238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keepNext/>
              <w:numPr>
                <w:ilvl w:val="0"/>
                <w:numId w:val="12"/>
              </w:numPr>
              <w:spacing w:after="80" w:line="200" w:lineRule="exact"/>
              <w:ind w:left="0" w:firstLine="0"/>
              <w:outlineLvl w:val="5"/>
              <w:rPr>
                <w:b/>
                <w:sz w:val="20"/>
              </w:rPr>
            </w:pPr>
            <w:r w:rsidRPr="00CB3E48">
              <w:rPr>
                <w:b/>
                <w:sz w:val="20"/>
              </w:rPr>
              <w:t>Wieś</w:t>
            </w:r>
          </w:p>
          <w:p w:rsidR="0006147D" w:rsidRPr="00CB3E48" w:rsidRDefault="0006147D" w:rsidP="00A62FE2">
            <w:pPr>
              <w:spacing w:after="80" w:line="200" w:lineRule="exact"/>
              <w:rPr>
                <w:sz w:val="20"/>
              </w:rPr>
            </w:pPr>
            <w:r w:rsidRPr="00CB3E48">
              <w:rPr>
                <w:sz w:val="20"/>
              </w:rPr>
              <w:t>liczba mieszkań w tys.</w:t>
            </w:r>
          </w:p>
        </w:tc>
        <w:tc>
          <w:tcPr>
            <w:tcW w:w="1332" w:type="dxa"/>
            <w:tcBorders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4</w:t>
            </w:r>
            <w:r w:rsidRPr="00D1293B">
              <w:rPr>
                <w:sz w:val="22"/>
                <w:szCs w:val="22"/>
              </w:rPr>
              <w:t> 603,6</w:t>
            </w:r>
          </w:p>
        </w:tc>
        <w:tc>
          <w:tcPr>
            <w:tcW w:w="1165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4 236,3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3 962,6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3 793,9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979,5</w:t>
            </w:r>
          </w:p>
        </w:tc>
        <w:tc>
          <w:tcPr>
            <w:tcW w:w="131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before="200" w:after="80" w:line="20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3 265,9</w:t>
            </w:r>
          </w:p>
        </w:tc>
      </w:tr>
      <w:tr w:rsidR="0006147D" w:rsidRPr="00CB3E48" w:rsidTr="00A62FE2">
        <w:trPr>
          <w:trHeight w:val="390"/>
        </w:trPr>
        <w:tc>
          <w:tcPr>
            <w:tcW w:w="238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06147D" w:rsidRPr="00CB3E48" w:rsidRDefault="0006147D" w:rsidP="00A62FE2">
            <w:pPr>
              <w:spacing w:after="80" w:line="360" w:lineRule="exact"/>
              <w:rPr>
                <w:sz w:val="20"/>
                <w:lang w:val="en-US"/>
              </w:rPr>
            </w:pPr>
            <w:r w:rsidRPr="00CB3E48">
              <w:rPr>
                <w:sz w:val="20"/>
                <w:lang w:val="en-US"/>
              </w:rPr>
              <w:t>w % ogółu mieszkań</w:t>
            </w:r>
          </w:p>
        </w:tc>
        <w:tc>
          <w:tcPr>
            <w:tcW w:w="1332" w:type="dxa"/>
            <w:tcBorders>
              <w:left w:val="nil"/>
              <w:bottom w:val="single" w:sz="12" w:space="0" w:color="808080"/>
              <w:right w:val="single" w:sz="12" w:space="0" w:color="808080"/>
            </w:tcBorders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 w:rsidRPr="00D1293B">
              <w:rPr>
                <w:sz w:val="22"/>
                <w:szCs w:val="22"/>
                <w:lang w:val="en-US"/>
              </w:rPr>
              <w:t>100,0</w:t>
            </w:r>
          </w:p>
        </w:tc>
        <w:tc>
          <w:tcPr>
            <w:tcW w:w="1165" w:type="dxa"/>
            <w:tcBorders>
              <w:top w:val="single" w:sz="12" w:space="0" w:color="808080"/>
              <w:left w:val="nil"/>
              <w:bottom w:val="single" w:sz="12" w:space="0" w:color="808080"/>
              <w:right w:val="single" w:sz="12" w:space="0" w:color="808080"/>
            </w:tcBorders>
            <w:vAlign w:val="bottom"/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92,0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bottom"/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86,1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bottom"/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82,4</w:t>
            </w:r>
          </w:p>
        </w:tc>
        <w:tc>
          <w:tcPr>
            <w:tcW w:w="10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bottom"/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21,3</w:t>
            </w:r>
          </w:p>
        </w:tc>
        <w:tc>
          <w:tcPr>
            <w:tcW w:w="131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bottom"/>
          </w:tcPr>
          <w:p w:rsidR="0006147D" w:rsidRPr="00D1293B" w:rsidRDefault="0006147D" w:rsidP="00A62FE2">
            <w:pPr>
              <w:spacing w:after="80" w:line="360" w:lineRule="exac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70,9</w:t>
            </w:r>
          </w:p>
        </w:tc>
      </w:tr>
    </w:tbl>
    <w:p w:rsidR="0006147D" w:rsidRPr="00CB3E48" w:rsidRDefault="0006147D" w:rsidP="0006147D">
      <w:pPr>
        <w:jc w:val="center"/>
        <w:rPr>
          <w:b/>
          <w:sz w:val="20"/>
        </w:rPr>
      </w:pPr>
      <w:r w:rsidRPr="00CB3E48">
        <w:rPr>
          <w:b/>
          <w:sz w:val="20"/>
        </w:rPr>
        <w:br w:type="page"/>
      </w:r>
    </w:p>
    <w:p w:rsidR="0006147D" w:rsidRDefault="0006147D" w:rsidP="0006147D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7BC034FD" wp14:editId="17BDCEB7">
            <wp:extent cx="5235410" cy="4377600"/>
            <wp:effectExtent l="0" t="0" r="381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KA6 20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410" cy="43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</w:rPr>
        <w:drawing>
          <wp:inline distT="0" distB="0" distL="0" distR="0" wp14:anchorId="67AFFF3F" wp14:editId="65DFF9A3">
            <wp:extent cx="5235415" cy="4377600"/>
            <wp:effectExtent l="0" t="0" r="381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PKA7 201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415" cy="43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Default="0006147D" w:rsidP="0006147D">
      <w:pPr>
        <w:rPr>
          <w:b/>
          <w:sz w:val="20"/>
        </w:rPr>
      </w:pPr>
      <w:r>
        <w:rPr>
          <w:b/>
          <w:sz w:val="20"/>
        </w:rPr>
        <w:br w:type="page"/>
      </w:r>
    </w:p>
    <w:p w:rsidR="0006147D" w:rsidRPr="00A74033" w:rsidRDefault="0006147D" w:rsidP="0006147D">
      <w:pPr>
        <w:spacing w:before="168" w:line="360" w:lineRule="exact"/>
        <w:rPr>
          <w:sz w:val="36"/>
          <w:szCs w:val="36"/>
        </w:rPr>
      </w:pPr>
      <w:bookmarkStart w:id="21" w:name="_Toc464548398"/>
      <w:bookmarkStart w:id="22" w:name="_Toc465667888"/>
      <w:r w:rsidRPr="00EE787B">
        <w:rPr>
          <w:rStyle w:val="GM4Znak"/>
        </w:rPr>
        <w:t>CZĘŚĆ B</w:t>
      </w:r>
      <w:bookmarkEnd w:id="21"/>
      <w:bookmarkEnd w:id="22"/>
      <w:r w:rsidRPr="00A74033">
        <w:rPr>
          <w:b/>
          <w:sz w:val="26"/>
          <w:szCs w:val="26"/>
          <w:vertAlign w:val="superscript"/>
        </w:rPr>
        <w:footnoteReference w:id="3"/>
      </w:r>
    </w:p>
    <w:p w:rsidR="0006147D" w:rsidRDefault="0006147D" w:rsidP="0006147D">
      <w:pPr>
        <w:spacing w:before="168" w:line="360" w:lineRule="exact"/>
        <w:rPr>
          <w:sz w:val="36"/>
          <w:szCs w:val="36"/>
        </w:rPr>
      </w:pPr>
    </w:p>
    <w:p w:rsidR="004C7A73" w:rsidRDefault="004C7A73" w:rsidP="0006147D">
      <w:pPr>
        <w:spacing w:before="168" w:line="360" w:lineRule="exact"/>
        <w:rPr>
          <w:sz w:val="36"/>
          <w:szCs w:val="36"/>
        </w:rPr>
      </w:pPr>
    </w:p>
    <w:p w:rsidR="0006147D" w:rsidRPr="00030AA3" w:rsidRDefault="0006147D" w:rsidP="0006147D">
      <w:pPr>
        <w:pStyle w:val="GM5"/>
      </w:pPr>
      <w:bookmarkStart w:id="23" w:name="_Toc464548399"/>
      <w:bookmarkStart w:id="24" w:name="_Toc465667889"/>
      <w:r w:rsidRPr="00030AA3">
        <w:t>Formy własności zasobów mieszkaniowych</w:t>
      </w:r>
      <w:bookmarkEnd w:id="23"/>
      <w:r w:rsidR="00A62FE2">
        <w:t xml:space="preserve"> </w:t>
      </w:r>
      <w:r w:rsidR="007D09F4">
        <w:t xml:space="preserve">w budynkach </w:t>
      </w:r>
      <w:r w:rsidR="00A62FE2">
        <w:t>objętych zarządem</w:t>
      </w:r>
      <w:r w:rsidR="007D09F4">
        <w:t>/administracją</w:t>
      </w:r>
      <w:bookmarkEnd w:id="24"/>
    </w:p>
    <w:p w:rsidR="0006147D" w:rsidRDefault="0006147D" w:rsidP="0006147D">
      <w:pPr>
        <w:tabs>
          <w:tab w:val="left" w:pos="1974"/>
        </w:tabs>
        <w:spacing w:before="168" w:line="360" w:lineRule="exact"/>
        <w:jc w:val="both"/>
      </w:pPr>
      <w:r w:rsidRPr="00A74033">
        <w:t>Spośród mieszkań</w:t>
      </w:r>
      <w:r w:rsidR="007D09F4">
        <w:t>, znajdujących się w budynkach pozostających w zarządzie/administracji, objętych badaniem</w:t>
      </w:r>
      <w:r w:rsidRPr="00A74033">
        <w:t xml:space="preserve"> 4</w:t>
      </w:r>
      <w:r>
        <w:t>5,1</w:t>
      </w:r>
      <w:r w:rsidRPr="00A74033">
        <w:t xml:space="preserve">% stanowią mieszkania osób fizycznych w </w:t>
      </w:r>
      <w:r w:rsidRPr="00FC12FA">
        <w:t xml:space="preserve">budynkach objętych wspólnotami mieszkaniowymi, 36,2% </w:t>
      </w:r>
      <w:r w:rsidR="00CF458C" w:rsidRPr="00A74033">
        <w:t>–</w:t>
      </w:r>
      <w:r w:rsidRPr="00FC12FA">
        <w:t xml:space="preserve"> </w:t>
      </w:r>
      <w:r w:rsidRPr="00A74033">
        <w:t>będące własnością spółdzielni mieszkaniowych, 1</w:t>
      </w:r>
      <w:r>
        <w:t>4</w:t>
      </w:r>
      <w:r w:rsidRPr="00A74033">
        <w:t>,7%</w:t>
      </w:r>
      <w:r>
        <w:t xml:space="preserve"> </w:t>
      </w:r>
      <w:r w:rsidRPr="00A74033">
        <w:t>–</w:t>
      </w:r>
      <w:r w:rsidR="007D09F4">
        <w:t xml:space="preserve"> </w:t>
      </w:r>
      <w:r w:rsidRPr="00A74033">
        <w:t>mieszkania komunalne, 1,</w:t>
      </w:r>
      <w:r>
        <w:t>6</w:t>
      </w:r>
      <w:r w:rsidRPr="00A74033">
        <w:t>%</w:t>
      </w:r>
      <w:r>
        <w:t xml:space="preserve"> </w:t>
      </w:r>
      <w:r w:rsidRPr="00A74033">
        <w:t>–</w:t>
      </w:r>
      <w:r>
        <w:t xml:space="preserve"> </w:t>
      </w:r>
      <w:r w:rsidRPr="00A74033">
        <w:t>TBS-ów</w:t>
      </w:r>
      <w:r>
        <w:t xml:space="preserve">, </w:t>
      </w:r>
      <w:r w:rsidRPr="00A74033">
        <w:t>1,</w:t>
      </w:r>
      <w:r>
        <w:t>4</w:t>
      </w:r>
      <w:r w:rsidRPr="00A74033">
        <w:t>%</w:t>
      </w:r>
      <w:r>
        <w:t xml:space="preserve"> </w:t>
      </w:r>
      <w:r w:rsidRPr="00A74033">
        <w:t>–</w:t>
      </w:r>
      <w:r>
        <w:t xml:space="preserve"> </w:t>
      </w:r>
      <w:r w:rsidRPr="00A74033">
        <w:t>zakładowe, 0,5%</w:t>
      </w:r>
      <w:r>
        <w:t xml:space="preserve"> </w:t>
      </w:r>
      <w:r w:rsidRPr="00A74033">
        <w:t>–</w:t>
      </w:r>
      <w:r>
        <w:t xml:space="preserve"> </w:t>
      </w:r>
      <w:r w:rsidRPr="00A74033">
        <w:t>Skarbu</w:t>
      </w:r>
      <w:r w:rsidR="00A62FE2">
        <w:t> </w:t>
      </w:r>
      <w:r w:rsidRPr="00A74033">
        <w:t>Państwa i innych podmiotów – 0,5%.</w:t>
      </w:r>
    </w:p>
    <w:p w:rsidR="004C7A73" w:rsidRDefault="004C7A73" w:rsidP="0006147D">
      <w:pPr>
        <w:tabs>
          <w:tab w:val="left" w:pos="1974"/>
        </w:tabs>
        <w:spacing w:before="168" w:line="360" w:lineRule="exact"/>
        <w:jc w:val="both"/>
      </w:pPr>
    </w:p>
    <w:p w:rsidR="0006147D" w:rsidRDefault="0006147D" w:rsidP="0006147D">
      <w:pPr>
        <w:jc w:val="center"/>
      </w:pPr>
      <w:r>
        <w:rPr>
          <w:noProof/>
        </w:rPr>
        <w:drawing>
          <wp:inline distT="0" distB="0" distL="0" distR="0" wp14:anchorId="5C78D5AE" wp14:editId="22AA4A88">
            <wp:extent cx="5766816" cy="4821936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KA8 201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482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A73" w:rsidRDefault="004C7A73" w:rsidP="0006147D">
      <w:pPr>
        <w:jc w:val="center"/>
      </w:pPr>
    </w:p>
    <w:p w:rsidR="0006147D" w:rsidRPr="0074692E" w:rsidRDefault="0006147D" w:rsidP="0006147D">
      <w:pPr>
        <w:spacing w:before="240" w:line="360" w:lineRule="exact"/>
        <w:jc w:val="both"/>
      </w:pPr>
      <w:r w:rsidRPr="0074692E">
        <w:t>Obserwowany od wielu lat kierunek zmian w zasobie mieszkaniowym na korzyść mieszkań osób fizycznych wynika m.in. z procesów sprzedaży mieszkań osobom fizycznym, zwrotem ich dawnym właścicielom, bądź spadkobiercom</w:t>
      </w:r>
      <w:r w:rsidR="007D09F4">
        <w:t>,</w:t>
      </w:r>
      <w:r w:rsidRPr="0074692E">
        <w:t xml:space="preserve"> a także zmianą przeznaczenia mieszkania na cele usługowe oraz łączeniem małych mieszkań w większe.</w:t>
      </w:r>
      <w:r w:rsidR="007D09F4">
        <w:t xml:space="preserve"> Nadal znaczący odsetek mieszkań stanowią zasoby mieszkaniowe spółdzielni mieszkaniowych (zajmowane na podstawie spółdzielczego własnościowego oraz lokatorskiego prawa do lokalu).</w:t>
      </w:r>
    </w:p>
    <w:p w:rsidR="0006147D" w:rsidRPr="0074692E" w:rsidRDefault="0006147D" w:rsidP="0006147D">
      <w:pPr>
        <w:spacing w:before="120" w:line="340" w:lineRule="exact"/>
        <w:jc w:val="both"/>
      </w:pPr>
      <w:r w:rsidRPr="0074692E">
        <w:t>Najwyższy odsetek mieszkań spółdzielczych odnotowano w województwach: podlaskim (52,2%), podkarpackim (52,1%), świętokrzyskim (48,1%) i lubelskim (45,7%), gminnych zaś w</w:t>
      </w:r>
      <w:r>
        <w:t> </w:t>
      </w:r>
      <w:r w:rsidRPr="0074692E">
        <w:t>śląskim (20,6%), dolnośląskim (19,2%) i łódzkim (19,1%)</w:t>
      </w:r>
      <w:r w:rsidR="007D09F4">
        <w:t>. N</w:t>
      </w:r>
      <w:r w:rsidRPr="0074692E">
        <w:t xml:space="preserve">ajniższy natomiast odsetek mieszkań </w:t>
      </w:r>
      <w:r>
        <w:t xml:space="preserve">spółdzielni mieszkaniowych </w:t>
      </w:r>
      <w:r w:rsidR="00CF458C">
        <w:t>w</w:t>
      </w:r>
      <w:r>
        <w:t xml:space="preserve"> </w:t>
      </w:r>
      <w:r w:rsidRPr="0074692E">
        <w:t>województwach: dolnośląskim (25,5%), pomorskim (25,9%) i lubuskim (27,0%), a</w:t>
      </w:r>
      <w:r w:rsidR="00CF458C">
        <w:t> </w:t>
      </w:r>
      <w:r w:rsidRPr="0074692E">
        <w:t>gminnych – małopolskim (8,9%), podlaskim i świętokrzyskim (po 9,7%).</w:t>
      </w:r>
    </w:p>
    <w:p w:rsidR="0006147D" w:rsidRPr="0074692E" w:rsidRDefault="0006147D" w:rsidP="0006147D">
      <w:pPr>
        <w:spacing w:before="120" w:line="340" w:lineRule="exact"/>
        <w:jc w:val="both"/>
      </w:pPr>
      <w:r w:rsidRPr="0074692E">
        <w:t>Najwięcej mieszkań pozostających we własności osób fizycznych we wspólnotach mieszkaniowych odnotowano w województwach: pomorskim (55,9%), małopolskim (55,0%), warmińsko-mazurskim (52,9%) oraz lubuskim (52,7%), najmniej zaś w województwie śląskim (32,9%), podlaskim (34,4%) i łódzkim (35,0%) i podkarpackim (35,1%).</w:t>
      </w:r>
    </w:p>
    <w:p w:rsidR="0006147D" w:rsidRPr="0074692E" w:rsidRDefault="0006147D" w:rsidP="0006147D">
      <w:pPr>
        <w:spacing w:before="120" w:line="340" w:lineRule="exact"/>
        <w:jc w:val="both"/>
      </w:pPr>
      <w:r w:rsidRPr="0074692E">
        <w:t xml:space="preserve">W </w:t>
      </w:r>
      <w:r w:rsidR="007D09F4">
        <w:t xml:space="preserve">2015 r. </w:t>
      </w:r>
      <w:r w:rsidR="007D09F4" w:rsidRPr="0074692E">
        <w:t xml:space="preserve">54,9% </w:t>
      </w:r>
      <w:r w:rsidRPr="0074692E">
        <w:t xml:space="preserve">ogólnej liczby badanych mieszkań (3 318 tys.) zlokalizowanych było w budynkach stanowiących wyłączną własność jednostek sprawozdawczych. Najwięcej takich </w:t>
      </w:r>
      <w:r>
        <w:t>przypadków</w:t>
      </w:r>
      <w:r w:rsidRPr="0074692E">
        <w:t xml:space="preserve"> wystąpiło w województwach: podlaskim (71,9% w stosunku do ogółu badanych mieszkań w województwie), małopolskim (66,5%), wielkopolskim (64,5%), najmniej w śląskim (41,5%), lubuskim (44,2%) i  łódzkim (44,4%).</w:t>
      </w:r>
    </w:p>
    <w:p w:rsidR="004C7A73" w:rsidRDefault="0006147D" w:rsidP="0006147D">
      <w:pPr>
        <w:spacing w:before="168" w:line="340" w:lineRule="exact"/>
        <w:jc w:val="both"/>
      </w:pPr>
      <w:r w:rsidRPr="0074692E">
        <w:t xml:space="preserve">Wśród mieszkań znajdujących się w budynkach będących własnością jednostek sprawozdawczych, najwięcej, bo 54,1% </w:t>
      </w:r>
      <w:r w:rsidR="007D09F4">
        <w:t>stanowiły zasoby</w:t>
      </w:r>
      <w:r w:rsidRPr="0074692E">
        <w:t xml:space="preserve"> spółdzielni mieszkaniowych</w:t>
      </w:r>
      <w:r w:rsidR="007D09F4">
        <w:t>,</w:t>
      </w:r>
      <w:r w:rsidRPr="0074692E">
        <w:t xml:space="preserve"> </w:t>
      </w:r>
      <w:r w:rsidR="007D09F4">
        <w:t>a</w:t>
      </w:r>
      <w:r w:rsidRPr="0074692E">
        <w:t xml:space="preserve"> 40,9% mieszka</w:t>
      </w:r>
      <w:r w:rsidR="007D09F4">
        <w:t>nia</w:t>
      </w:r>
      <w:r w:rsidRPr="0074692E">
        <w:t xml:space="preserve"> </w:t>
      </w:r>
      <w:r w:rsidRPr="0074692E">
        <w:br/>
        <w:t>w budynkach objętych wspólnotami mieszkaniowymi</w:t>
      </w:r>
      <w:r w:rsidR="007D09F4">
        <w:t>.</w:t>
      </w:r>
      <w:r w:rsidRPr="0074692E">
        <w:t xml:space="preserve"> </w:t>
      </w:r>
      <w:r w:rsidR="007D09F4">
        <w:t>N</w:t>
      </w:r>
      <w:r w:rsidRPr="0074692E">
        <w:t>ajmniej</w:t>
      </w:r>
      <w:r w:rsidR="007D09F4">
        <w:t xml:space="preserve"> takich mieszkań zlokalizowanych było</w:t>
      </w:r>
      <w:r w:rsidRPr="0074692E">
        <w:t xml:space="preserve"> w budynkach Skarbu Państwa (0,2%) i innych podmiotów (0,5%). </w:t>
      </w:r>
    </w:p>
    <w:p w:rsidR="004C7A73" w:rsidRDefault="004C7A73">
      <w:r>
        <w:br w:type="page"/>
      </w:r>
    </w:p>
    <w:p w:rsidR="0006147D" w:rsidRPr="00154A55" w:rsidRDefault="00154A55" w:rsidP="00154A55">
      <w:pPr>
        <w:pStyle w:val="Legenda"/>
        <w:spacing w:before="120"/>
        <w:rPr>
          <w:i w:val="0"/>
          <w:lang w:val="pl-PL"/>
        </w:rPr>
      </w:pPr>
      <w:bookmarkStart w:id="25" w:name="_Toc464726118"/>
      <w:bookmarkStart w:id="26" w:name="_Toc465667705"/>
      <w:r w:rsidRPr="00154A55">
        <w:rPr>
          <w:i w:val="0"/>
          <w:lang w:val="pl-PL"/>
        </w:rPr>
        <w:t>Tabl.</w:t>
      </w:r>
      <w:r>
        <w:rPr>
          <w:i w:val="0"/>
          <w:lang w:val="pl-PL"/>
        </w:rPr>
        <w:t> </w:t>
      </w:r>
      <w:r w:rsidRPr="00154A55">
        <w:rPr>
          <w:i w:val="0"/>
        </w:rPr>
        <w:fldChar w:fldCharType="begin"/>
      </w:r>
      <w:r w:rsidRPr="00154A55">
        <w:rPr>
          <w:i w:val="0"/>
          <w:lang w:val="pl-PL"/>
        </w:rPr>
        <w:instrText xml:space="preserve"> SEQ Tabl. \* ARABIC </w:instrText>
      </w:r>
      <w:r w:rsidRPr="00154A55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3</w:t>
      </w:r>
      <w:r w:rsidRPr="00154A55">
        <w:rPr>
          <w:i w:val="0"/>
        </w:rPr>
        <w:fldChar w:fldCharType="end"/>
      </w:r>
      <w:r w:rsidRPr="00154A55">
        <w:rPr>
          <w:i w:val="0"/>
          <w:lang w:val="pl-PL"/>
        </w:rPr>
        <w:t xml:space="preserve"> </w:t>
      </w:r>
      <w:r w:rsidR="0006147D" w:rsidRPr="00154A55">
        <w:rPr>
          <w:i w:val="0"/>
          <w:lang w:val="pl-PL"/>
        </w:rPr>
        <w:t>Udział mieszkań w budynkach stanowiących wyłączną własność jednostek sprawozdawczych według województw</w:t>
      </w:r>
      <w:bookmarkEnd w:id="25"/>
      <w:bookmarkEnd w:id="26"/>
    </w:p>
    <w:tbl>
      <w:tblPr>
        <w:tblW w:w="99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776"/>
        <w:gridCol w:w="1134"/>
        <w:gridCol w:w="992"/>
        <w:gridCol w:w="992"/>
        <w:gridCol w:w="1191"/>
        <w:gridCol w:w="851"/>
        <w:gridCol w:w="1067"/>
      </w:tblGrid>
      <w:tr w:rsidR="0006147D" w:rsidRPr="00A74033" w:rsidTr="00A2203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Liczba mieszkań ogółem w tys.</w:t>
            </w:r>
          </w:p>
        </w:tc>
        <w:tc>
          <w:tcPr>
            <w:tcW w:w="70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147D" w:rsidRPr="00A74033" w:rsidRDefault="0006147D" w:rsidP="00A2203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Liczba mieszkań w budynkach będących w 100% własnością:</w:t>
            </w:r>
          </w:p>
        </w:tc>
      </w:tr>
      <w:tr w:rsidR="0006147D" w:rsidRPr="00A74033" w:rsidTr="00A22038">
        <w:trPr>
          <w:trHeight w:val="102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47D" w:rsidRPr="00A74033" w:rsidRDefault="0006147D" w:rsidP="00A2203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47D" w:rsidRPr="00A74033" w:rsidRDefault="0006147D" w:rsidP="00A2203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gmin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spółdzielni mieszka-</w:t>
            </w:r>
          </w:p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niowych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zakładów pracy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Skarbu Państwa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towarzystw budo</w:t>
            </w:r>
            <w:r w:rsidR="00154A55">
              <w:rPr>
                <w:sz w:val="22"/>
                <w:szCs w:val="22"/>
              </w:rPr>
              <w:t>-</w:t>
            </w:r>
          </w:p>
          <w:p w:rsidR="0006147D" w:rsidRPr="00A74033" w:rsidRDefault="00154A55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wnic</w:t>
            </w:r>
            <w:r w:rsidR="0006147D" w:rsidRPr="00A74033">
              <w:rPr>
                <w:sz w:val="22"/>
                <w:szCs w:val="22"/>
              </w:rPr>
              <w:t>twa społeczne-go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74692E">
              <w:rPr>
                <w:sz w:val="22"/>
                <w:szCs w:val="22"/>
              </w:rPr>
              <w:t>innych podmio-tów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wspólnot mieszka-</w:t>
            </w:r>
          </w:p>
          <w:p w:rsidR="0006147D" w:rsidRPr="00A74033" w:rsidRDefault="0006147D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niowych</w:t>
            </w:r>
          </w:p>
        </w:tc>
      </w:tr>
      <w:tr w:rsidR="0006147D" w:rsidRPr="00A74033" w:rsidTr="00A22038">
        <w:trPr>
          <w:trHeight w:val="23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147D" w:rsidRPr="00A74033" w:rsidRDefault="0006147D" w:rsidP="00A62FE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147D" w:rsidRPr="00A74033" w:rsidRDefault="0006147D" w:rsidP="00A62FE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70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47D" w:rsidRPr="00A74033" w:rsidRDefault="0006147D" w:rsidP="00A62FE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w %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sz w:val="20"/>
              </w:rPr>
            </w:pPr>
            <w:r w:rsidRPr="002572B7">
              <w:rPr>
                <w:b/>
                <w:bCs/>
                <w:sz w:val="20"/>
              </w:rPr>
              <w:t xml:space="preserve">3 317,7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1,6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54,1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0,9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0,2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2,0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0,5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b/>
                <w:bCs/>
                <w:iCs/>
                <w:sz w:val="20"/>
              </w:rPr>
            </w:pPr>
            <w:r w:rsidRPr="002572B7">
              <w:rPr>
                <w:b/>
                <w:bCs/>
                <w:iCs/>
                <w:sz w:val="20"/>
              </w:rPr>
              <w:t xml:space="preserve">40,9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Dolnośląskie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325,9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41,7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0,5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53,7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Kujawsko-pomorskie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182,3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59,5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0,5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33,9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Lubelskie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130,1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59,7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0,3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35,6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Lubuskie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78,7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39,1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0,2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57,6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Łódzkie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200,0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71,1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0,3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23,9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Małopolskie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247,3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47,5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47,0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Mazowieckie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614,7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49,6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0,5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46,2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Opolskie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73,3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45,8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0,5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49,0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Podkarpackie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82,8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68,4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27,7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Podlaskie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114,5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63,8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0,4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26,5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Pomorskie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229,8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0,9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55,4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Śląskie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337,7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73,2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0,3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21,2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Świętokrzyskie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81,5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66,1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0,2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30,2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Warmińsko-mazurskie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156,7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49,7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0,3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46,8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Wielkopolskie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281,1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2,4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51,8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3,0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0,9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40,4 </w:t>
            </w:r>
          </w:p>
        </w:tc>
      </w:tr>
      <w:tr w:rsidR="0006147D" w:rsidRPr="00A74033" w:rsidTr="00A220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47D" w:rsidRPr="002572B7" w:rsidRDefault="0006147D" w:rsidP="00A62FE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Zachodniopomorskie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181,6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53,4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1,1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0,1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47D" w:rsidRPr="002572B7" w:rsidRDefault="0006147D" w:rsidP="00A62FE2">
            <w:pPr>
              <w:spacing w:line="220" w:lineRule="exact"/>
              <w:jc w:val="right"/>
              <w:rPr>
                <w:sz w:val="20"/>
              </w:rPr>
            </w:pPr>
            <w:r w:rsidRPr="002572B7">
              <w:rPr>
                <w:sz w:val="20"/>
              </w:rPr>
              <w:t xml:space="preserve">44,5 </w:t>
            </w:r>
          </w:p>
        </w:tc>
      </w:tr>
    </w:tbl>
    <w:p w:rsidR="004C7A73" w:rsidRDefault="004C7A73" w:rsidP="0006147D">
      <w:pPr>
        <w:pStyle w:val="GM5"/>
      </w:pPr>
      <w:bookmarkStart w:id="27" w:name="_Toc464548400"/>
    </w:p>
    <w:p w:rsidR="004C7A73" w:rsidRDefault="004C7A73" w:rsidP="0006147D">
      <w:pPr>
        <w:pStyle w:val="GM5"/>
      </w:pPr>
    </w:p>
    <w:p w:rsidR="0006147D" w:rsidRPr="00A74033" w:rsidRDefault="0006147D" w:rsidP="0006147D">
      <w:pPr>
        <w:pStyle w:val="GM5"/>
      </w:pPr>
      <w:bookmarkStart w:id="28" w:name="_Toc465667890"/>
      <w:r>
        <w:t>Sprzedaż</w:t>
      </w:r>
      <w:r w:rsidRPr="00A74033">
        <w:t xml:space="preserve"> zasobów mieszkaniowych</w:t>
      </w:r>
      <w:bookmarkEnd w:id="27"/>
      <w:bookmarkEnd w:id="28"/>
    </w:p>
    <w:p w:rsidR="004C7A73" w:rsidRDefault="0006147D" w:rsidP="0006147D">
      <w:pPr>
        <w:spacing w:before="120" w:line="360" w:lineRule="exact"/>
        <w:jc w:val="both"/>
      </w:pPr>
      <w:r w:rsidRPr="00A74033">
        <w:t>W latach 201</w:t>
      </w:r>
      <w:r>
        <w:t>4</w:t>
      </w:r>
      <w:r w:rsidRPr="00A74033">
        <w:t xml:space="preserve"> - 201</w:t>
      </w:r>
      <w:r>
        <w:t>5</w:t>
      </w:r>
      <w:r w:rsidRPr="00A74033">
        <w:t xml:space="preserve"> kontynuowany był proces </w:t>
      </w:r>
      <w:r>
        <w:t>sprzedaży bądź zwrotu mieszkań dawnym właścicielom</w:t>
      </w:r>
      <w:r w:rsidRPr="00A74033">
        <w:t xml:space="preserve"> </w:t>
      </w:r>
      <w:r>
        <w:t>(</w:t>
      </w:r>
      <w:r w:rsidRPr="00A74033">
        <w:t>nabywani</w:t>
      </w:r>
      <w:r>
        <w:t>e</w:t>
      </w:r>
      <w:r w:rsidRPr="00A74033">
        <w:t xml:space="preserve"> mieszkań przez osoby fizyczne</w:t>
      </w:r>
      <w:r>
        <w:t>)</w:t>
      </w:r>
      <w:r w:rsidRPr="00A74033">
        <w:t>. Pr</w:t>
      </w:r>
      <w:r>
        <w:t>oces ten</w:t>
      </w:r>
      <w:r w:rsidRPr="00A74033">
        <w:t xml:space="preserve"> obejmował mieszkania znajdujące się w </w:t>
      </w:r>
      <w:r>
        <w:t>budynkach wielomieszkaniowych</w:t>
      </w:r>
      <w:r w:rsidRPr="00A74033">
        <w:t xml:space="preserve"> oraz mieszkania w budynkach, które zostały sprzedane w</w:t>
      </w:r>
      <w:r>
        <w:t> </w:t>
      </w:r>
      <w:r w:rsidRPr="00A74033">
        <w:t xml:space="preserve">całości pojedynczym osobom fizycznym. W analizowanym okresie </w:t>
      </w:r>
      <w:r>
        <w:t>osobom fizycznym sprzedano około</w:t>
      </w:r>
      <w:r w:rsidRPr="00A74033">
        <w:t xml:space="preserve"> </w:t>
      </w:r>
      <w:r>
        <w:t>175 </w:t>
      </w:r>
      <w:r w:rsidRPr="00A74033">
        <w:t>tys. mieszkań.</w:t>
      </w:r>
    </w:p>
    <w:p w:rsidR="004C7A73" w:rsidRDefault="004C7A73">
      <w:r>
        <w:br w:type="page"/>
      </w:r>
    </w:p>
    <w:p w:rsidR="008117A8" w:rsidRPr="00FE6404" w:rsidRDefault="008117A8" w:rsidP="00A22038">
      <w:pPr>
        <w:pStyle w:val="Legenda"/>
        <w:spacing w:before="120"/>
        <w:rPr>
          <w:b w:val="0"/>
          <w:i w:val="0"/>
          <w:lang w:val="pl-PL"/>
        </w:rPr>
      </w:pPr>
      <w:bookmarkStart w:id="29" w:name="_Toc465667706"/>
      <w:r w:rsidRPr="00154A55">
        <w:rPr>
          <w:i w:val="0"/>
          <w:lang w:val="pl-PL"/>
        </w:rPr>
        <w:t>Tabl.</w:t>
      </w:r>
      <w:r>
        <w:rPr>
          <w:i w:val="0"/>
          <w:lang w:val="pl-PL"/>
        </w:rPr>
        <w:t> </w:t>
      </w:r>
      <w:r w:rsidRPr="00154A55">
        <w:rPr>
          <w:i w:val="0"/>
        </w:rPr>
        <w:fldChar w:fldCharType="begin"/>
      </w:r>
      <w:r w:rsidRPr="00154A55">
        <w:rPr>
          <w:i w:val="0"/>
          <w:lang w:val="pl-PL"/>
        </w:rPr>
        <w:instrText xml:space="preserve"> SEQ Tabl. \* ARABIC </w:instrText>
      </w:r>
      <w:r w:rsidRPr="00154A55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4</w:t>
      </w:r>
      <w:r w:rsidRPr="00154A55">
        <w:rPr>
          <w:i w:val="0"/>
        </w:rPr>
        <w:fldChar w:fldCharType="end"/>
      </w:r>
      <w:r w:rsidRPr="00154A55">
        <w:rPr>
          <w:i w:val="0"/>
          <w:lang w:val="pl-PL"/>
        </w:rPr>
        <w:t xml:space="preserve"> </w:t>
      </w:r>
      <w:r>
        <w:rPr>
          <w:i w:val="0"/>
          <w:lang w:val="pl-PL"/>
        </w:rPr>
        <w:t xml:space="preserve">Liczba i struktura mieszkań sprzedanych w latach 2014 – 2015 </w:t>
      </w:r>
      <w:r w:rsidR="0095787A">
        <w:rPr>
          <w:i w:val="0"/>
          <w:lang w:val="pl-PL"/>
        </w:rPr>
        <w:t>wg typu transa</w:t>
      </w:r>
      <w:r>
        <w:rPr>
          <w:i w:val="0"/>
          <w:lang w:val="pl-PL"/>
        </w:rPr>
        <w:t>kcji</w:t>
      </w:r>
      <w:bookmarkEnd w:id="29"/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851"/>
        <w:gridCol w:w="1417"/>
        <w:gridCol w:w="992"/>
        <w:gridCol w:w="1418"/>
        <w:gridCol w:w="992"/>
      </w:tblGrid>
      <w:tr w:rsidR="00EC08FD" w:rsidRPr="00EC08FD" w:rsidTr="00A22038">
        <w:trPr>
          <w:trHeight w:val="397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spacing w:line="260" w:lineRule="exact"/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Wyszczególnienie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spacing w:line="260" w:lineRule="exact"/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Ogółem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spacing w:line="260" w:lineRule="exact"/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z tego w budynkach</w:t>
            </w:r>
          </w:p>
        </w:tc>
      </w:tr>
      <w:tr w:rsidR="00EC08FD" w:rsidRPr="00EC08FD" w:rsidTr="00A22038">
        <w:trPr>
          <w:trHeight w:val="397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FD" w:rsidRPr="00A22038" w:rsidRDefault="00EC08FD" w:rsidP="00A2203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FD" w:rsidRPr="00A22038" w:rsidRDefault="00EC08FD" w:rsidP="00A2203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spacing w:line="260" w:lineRule="exact"/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wielomieszkaniowych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spacing w:line="240" w:lineRule="exact"/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mieszkalnych sprzedanych w całości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FD" w:rsidRPr="00A22038" w:rsidRDefault="00EC08FD" w:rsidP="00EC08FD">
            <w:pPr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w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w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center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w %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174 751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162 461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12 290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100,0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Gminy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44 914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42 087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25,9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2 827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23,0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Spółdzielnie mieszkaniowe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54 070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53 995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0,6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Skarb Państwa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2 374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2 273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0,8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Zakłady pracy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11 248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9 293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1 955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15,9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Wspólnoty mieszkaniowe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0,0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TBS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0,0</w:t>
            </w:r>
          </w:p>
        </w:tc>
      </w:tr>
      <w:tr w:rsidR="00EC08FD" w:rsidRPr="00EC08FD" w:rsidTr="00A2203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A22038">
            <w:pPr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Inne podmioty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62 145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54 813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33,7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7 332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FD" w:rsidRPr="00A22038" w:rsidRDefault="00EC08FD" w:rsidP="00EC08FD">
            <w:pPr>
              <w:jc w:val="right"/>
              <w:rPr>
                <w:color w:val="000000"/>
                <w:szCs w:val="24"/>
              </w:rPr>
            </w:pPr>
            <w:r w:rsidRPr="00A22038">
              <w:rPr>
                <w:color w:val="000000"/>
                <w:szCs w:val="24"/>
              </w:rPr>
              <w:t>59,7</w:t>
            </w:r>
          </w:p>
        </w:tc>
      </w:tr>
    </w:tbl>
    <w:p w:rsidR="002D1D69" w:rsidRPr="00A74033" w:rsidRDefault="0006147D" w:rsidP="0006147D">
      <w:pPr>
        <w:spacing w:before="240" w:line="360" w:lineRule="exact"/>
        <w:jc w:val="both"/>
      </w:pPr>
      <w:r>
        <w:t xml:space="preserve">Spośród </w:t>
      </w:r>
      <w:r w:rsidR="004C7A73">
        <w:t>prawie 175 tys.</w:t>
      </w:r>
      <w:r>
        <w:t xml:space="preserve"> sprzedanych mieszkań najwięcej – 35,6</w:t>
      </w:r>
      <w:r w:rsidRPr="00A74033">
        <w:t>%</w:t>
      </w:r>
      <w:r>
        <w:t xml:space="preserve"> pochodziło z</w:t>
      </w:r>
      <w:r w:rsidRPr="00A74033">
        <w:t xml:space="preserve"> zasob</w:t>
      </w:r>
      <w:r>
        <w:t>ów</w:t>
      </w:r>
      <w:r w:rsidRPr="00A74033">
        <w:t xml:space="preserve"> </w:t>
      </w:r>
      <w:r>
        <w:t>innych podmiotów, 30,9% z zasobów spółdzielni mieszkaniowych i 25,7</w:t>
      </w:r>
      <w:r w:rsidRPr="00A74033">
        <w:t>%</w:t>
      </w:r>
      <w:r>
        <w:t xml:space="preserve"> z </w:t>
      </w:r>
      <w:r w:rsidRPr="00A74033">
        <w:t>zasob</w:t>
      </w:r>
      <w:r>
        <w:t>ów</w:t>
      </w:r>
      <w:r w:rsidRPr="00A74033">
        <w:t xml:space="preserve"> gminnych, podczas</w:t>
      </w:r>
      <w:r>
        <w:t xml:space="preserve"> gdy</w:t>
      </w:r>
      <w:r w:rsidRPr="00A74033">
        <w:t xml:space="preserve"> </w:t>
      </w:r>
      <w:r w:rsidR="00EC08FD">
        <w:t xml:space="preserve">mieszkania sprzedane z zasobów </w:t>
      </w:r>
      <w:r w:rsidRPr="00A74033">
        <w:t>Skarb</w:t>
      </w:r>
      <w:r>
        <w:t>u</w:t>
      </w:r>
      <w:r w:rsidRPr="00A74033">
        <w:t xml:space="preserve"> Państwa </w:t>
      </w:r>
      <w:r w:rsidR="00EC08FD">
        <w:t>stanowiły 1,4%.</w:t>
      </w:r>
      <w:r w:rsidR="002D1D69">
        <w:t xml:space="preserve"> </w:t>
      </w:r>
    </w:p>
    <w:p w:rsidR="0006147D" w:rsidRDefault="004C7A73" w:rsidP="00A22038">
      <w:pPr>
        <w:spacing w:before="240" w:line="360" w:lineRule="exact"/>
        <w:jc w:val="both"/>
      </w:pPr>
      <w:r>
        <w:t>Wśród</w:t>
      </w:r>
      <w:r w:rsidR="0006147D" w:rsidRPr="0074692E">
        <w:t xml:space="preserve"> mieszkań </w:t>
      </w:r>
      <w:r>
        <w:t>sprzedanych w latach 2014</w:t>
      </w:r>
      <w:r w:rsidR="00CF458C">
        <w:t> – </w:t>
      </w:r>
      <w:r>
        <w:t xml:space="preserve">2015 </w:t>
      </w:r>
      <w:r w:rsidR="0006147D" w:rsidRPr="0074692E">
        <w:t xml:space="preserve">większość (ok. 93%) stanowiły mieszkania znajdujące się w budynkach wielomieszkaniowych. </w:t>
      </w:r>
      <w:r w:rsidR="002D1D69">
        <w:t>Wśród mieszkań sprzedanych osobom fizycznym przez spółdzielnie mieszkaniowe mieszkania w budynkach wielomieszkan</w:t>
      </w:r>
      <w:r w:rsidR="00396F10">
        <w:t>iowych stanowiły 99,9% ogółu sp</w:t>
      </w:r>
      <w:r w:rsidR="002D1D69">
        <w:t>rzedanych zasobów.</w:t>
      </w:r>
      <w:r w:rsidR="00396F10">
        <w:t xml:space="preserve"> </w:t>
      </w:r>
      <w:r w:rsidR="002D1D69">
        <w:t xml:space="preserve">W </w:t>
      </w:r>
      <w:r w:rsidR="00396F10">
        <w:t xml:space="preserve">przypadku Skarbu Państwa udział ten wyniósł 95,7%, a gmin – 93,7%. </w:t>
      </w:r>
      <w:r w:rsidR="0006147D" w:rsidRPr="0074692E">
        <w:t xml:space="preserve">Najmniejszy udział mieszkań w budynkach wielomieszkaniowych stanowiły mieszkania </w:t>
      </w:r>
      <w:r w:rsidR="008117A8">
        <w:t>sprzedane przez inne podmioty, tj. 88,2%</w:t>
      </w:r>
      <w:r w:rsidR="0006147D" w:rsidRPr="0074692E">
        <w:t>.</w:t>
      </w:r>
    </w:p>
    <w:p w:rsidR="0095787A" w:rsidRPr="00154A55" w:rsidRDefault="0095787A" w:rsidP="0095787A">
      <w:pPr>
        <w:pStyle w:val="Legenda"/>
        <w:rPr>
          <w:i w:val="0"/>
          <w:spacing w:val="-2"/>
          <w:szCs w:val="24"/>
          <w:lang w:val="pl-PL"/>
        </w:rPr>
      </w:pPr>
      <w:bookmarkStart w:id="30" w:name="_Toc465667707"/>
      <w:r w:rsidRPr="00154A55">
        <w:rPr>
          <w:i w:val="0"/>
          <w:spacing w:val="-2"/>
          <w:szCs w:val="24"/>
          <w:lang w:val="pl-PL"/>
        </w:rPr>
        <w:t xml:space="preserve">Tabl. </w:t>
      </w:r>
      <w:r w:rsidRPr="00154A55">
        <w:rPr>
          <w:i w:val="0"/>
          <w:spacing w:val="-2"/>
          <w:szCs w:val="24"/>
        </w:rPr>
        <w:fldChar w:fldCharType="begin"/>
      </w:r>
      <w:r w:rsidRPr="00154A55">
        <w:rPr>
          <w:i w:val="0"/>
          <w:spacing w:val="-2"/>
          <w:szCs w:val="24"/>
          <w:lang w:val="pl-PL"/>
        </w:rPr>
        <w:instrText xml:space="preserve"> SEQ Tabl. \* ARABIC </w:instrText>
      </w:r>
      <w:r w:rsidRPr="00154A55">
        <w:rPr>
          <w:i w:val="0"/>
          <w:spacing w:val="-2"/>
          <w:szCs w:val="24"/>
        </w:rPr>
        <w:fldChar w:fldCharType="separate"/>
      </w:r>
      <w:r w:rsidR="00EF3C9C">
        <w:rPr>
          <w:i w:val="0"/>
          <w:noProof/>
          <w:spacing w:val="-2"/>
          <w:szCs w:val="24"/>
          <w:lang w:val="pl-PL"/>
        </w:rPr>
        <w:t>5</w:t>
      </w:r>
      <w:r w:rsidRPr="00154A55">
        <w:rPr>
          <w:i w:val="0"/>
          <w:spacing w:val="-2"/>
          <w:szCs w:val="24"/>
        </w:rPr>
        <w:fldChar w:fldCharType="end"/>
      </w:r>
      <w:r w:rsidRPr="00154A55">
        <w:rPr>
          <w:i w:val="0"/>
          <w:spacing w:val="-2"/>
          <w:szCs w:val="24"/>
          <w:lang w:val="pl-PL"/>
        </w:rPr>
        <w:t xml:space="preserve"> Struktura mieszkań sprzedanych osobom fizycznym w Polsce według województw (w %)</w:t>
      </w:r>
      <w:bookmarkEnd w:id="3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0"/>
        <w:gridCol w:w="3118"/>
        <w:gridCol w:w="3118"/>
      </w:tblGrid>
      <w:tr w:rsidR="0095787A" w:rsidRPr="00A74033" w:rsidTr="00A22038">
        <w:trPr>
          <w:cantSplit/>
          <w:trHeight w:val="624"/>
          <w:jc w:val="center"/>
        </w:trPr>
        <w:tc>
          <w:tcPr>
            <w:tcW w:w="3700" w:type="dxa"/>
            <w:tcBorders>
              <w:left w:val="single" w:sz="4" w:space="0" w:color="auto"/>
            </w:tcBorders>
            <w:vAlign w:val="center"/>
          </w:tcPr>
          <w:p w:rsidR="0095787A" w:rsidRPr="00DD37CB" w:rsidRDefault="0095787A" w:rsidP="00A22038">
            <w:pPr>
              <w:spacing w:line="260" w:lineRule="exact"/>
              <w:jc w:val="center"/>
            </w:pPr>
            <w:r w:rsidRPr="00DD37CB">
              <w:t>Województwa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A74033" w:rsidRDefault="0095787A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 xml:space="preserve">W </w:t>
            </w:r>
            <w:r w:rsidRPr="0074692E">
              <w:rPr>
                <w:sz w:val="22"/>
                <w:szCs w:val="22"/>
              </w:rPr>
              <w:t>budynkach wielomieszkaniowych</w:t>
            </w:r>
          </w:p>
        </w:tc>
        <w:tc>
          <w:tcPr>
            <w:tcW w:w="3118" w:type="dxa"/>
            <w:vAlign w:val="center"/>
          </w:tcPr>
          <w:p w:rsidR="0095787A" w:rsidRPr="00A74033" w:rsidRDefault="0095787A" w:rsidP="00A22038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74033">
              <w:rPr>
                <w:sz w:val="22"/>
                <w:szCs w:val="22"/>
              </w:rPr>
              <w:t>W budynkach mieszkalnych sprzedanych w całości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A35A2C" w:rsidRDefault="0095787A" w:rsidP="00A3183E">
            <w:pPr>
              <w:rPr>
                <w:b/>
              </w:rPr>
            </w:pPr>
            <w:r w:rsidRPr="00A35A2C">
              <w:rPr>
                <w:b/>
              </w:rPr>
              <w:t>POLSKA</w:t>
            </w:r>
          </w:p>
        </w:tc>
        <w:tc>
          <w:tcPr>
            <w:tcW w:w="3118" w:type="dxa"/>
            <w:tcBorders>
              <w:left w:val="nil"/>
            </w:tcBorders>
          </w:tcPr>
          <w:p w:rsidR="0095787A" w:rsidRPr="00A74033" w:rsidRDefault="0095787A" w:rsidP="00A3183E">
            <w:pPr>
              <w:spacing w:line="240" w:lineRule="exact"/>
              <w:ind w:right="113"/>
              <w:jc w:val="right"/>
              <w:rPr>
                <w:b/>
                <w:sz w:val="22"/>
                <w:szCs w:val="22"/>
              </w:rPr>
            </w:pPr>
            <w:r w:rsidRPr="00A74033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3118" w:type="dxa"/>
          </w:tcPr>
          <w:p w:rsidR="0095787A" w:rsidRPr="00A74033" w:rsidRDefault="0095787A" w:rsidP="00A3183E">
            <w:pPr>
              <w:spacing w:line="240" w:lineRule="exact"/>
              <w:ind w:right="113"/>
              <w:jc w:val="right"/>
              <w:rPr>
                <w:b/>
                <w:sz w:val="22"/>
                <w:szCs w:val="22"/>
              </w:rPr>
            </w:pPr>
            <w:r w:rsidRPr="00A74033">
              <w:rPr>
                <w:b/>
                <w:sz w:val="22"/>
                <w:szCs w:val="22"/>
              </w:rPr>
              <w:t>100,0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Dolnośląskie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11,2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14,6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Kujawsko-pomorskie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3,7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4,1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  <w:bottom w:val="single" w:sz="4" w:space="0" w:color="auto"/>
            </w:tcBorders>
          </w:tcPr>
          <w:p w:rsidR="0095787A" w:rsidRPr="00DD37CB" w:rsidRDefault="0095787A" w:rsidP="00A3183E">
            <w:r w:rsidRPr="00DD37CB">
              <w:t>Lubelskie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3,5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9,7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Lubuskie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2,7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3,2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Łódzkie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8,8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3,5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Małopolskie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9,5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5,9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Mazowieckie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15,6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11,5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Opolskie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1,9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2,1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Podkarpackie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1,9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6,6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Podlaskie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2,9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5,1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Pomorskie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9,1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5,6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Śląskie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11,6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12</w:t>
            </w:r>
            <w:r w:rsidR="00AB1C85">
              <w:rPr>
                <w:sz w:val="22"/>
                <w:szCs w:val="22"/>
              </w:rPr>
              <w:t>,0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Świętokrzyskie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2,0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0,9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 w:rsidRPr="00DD37CB">
              <w:t>Warmińsko-mazurskie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3,3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4,1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>
              <w:t>Wielkopolskie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6,9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7,3</w:t>
            </w:r>
          </w:p>
        </w:tc>
      </w:tr>
      <w:tr w:rsidR="0095787A" w:rsidRPr="00A74033" w:rsidTr="00A3183E">
        <w:trPr>
          <w:trHeight w:val="20"/>
          <w:jc w:val="center"/>
        </w:trPr>
        <w:tc>
          <w:tcPr>
            <w:tcW w:w="3700" w:type="dxa"/>
            <w:tcBorders>
              <w:left w:val="single" w:sz="4" w:space="0" w:color="auto"/>
            </w:tcBorders>
          </w:tcPr>
          <w:p w:rsidR="0095787A" w:rsidRPr="00DD37CB" w:rsidRDefault="0095787A" w:rsidP="00A3183E">
            <w:r>
              <w:t>Zachodniopomorskie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="0095787A" w:rsidRPr="002572B7" w:rsidRDefault="0095787A" w:rsidP="00A3183E">
            <w:pPr>
              <w:ind w:right="14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5,6</w:t>
            </w:r>
          </w:p>
        </w:tc>
        <w:tc>
          <w:tcPr>
            <w:tcW w:w="3118" w:type="dxa"/>
            <w:vAlign w:val="center"/>
          </w:tcPr>
          <w:p w:rsidR="0095787A" w:rsidRPr="002572B7" w:rsidRDefault="0095787A" w:rsidP="00A3183E">
            <w:pPr>
              <w:ind w:right="101"/>
              <w:jc w:val="right"/>
              <w:rPr>
                <w:sz w:val="22"/>
                <w:szCs w:val="22"/>
              </w:rPr>
            </w:pPr>
            <w:r w:rsidRPr="002572B7">
              <w:rPr>
                <w:sz w:val="22"/>
                <w:szCs w:val="22"/>
              </w:rPr>
              <w:t>4,0</w:t>
            </w:r>
          </w:p>
        </w:tc>
      </w:tr>
    </w:tbl>
    <w:p w:rsidR="0095787A" w:rsidRDefault="0095787A" w:rsidP="00A22038">
      <w:pPr>
        <w:spacing w:before="240" w:line="360" w:lineRule="auto"/>
        <w:jc w:val="both"/>
      </w:pPr>
      <w:r>
        <w:t xml:space="preserve">Wśród </w:t>
      </w:r>
      <w:r w:rsidR="00AB1C85">
        <w:t xml:space="preserve">162,5 tys. sprzedanych </w:t>
      </w:r>
      <w:r>
        <w:t>mieszkań</w:t>
      </w:r>
      <w:r w:rsidR="00AB1C85">
        <w:t xml:space="preserve"> zlokalizowanych</w:t>
      </w:r>
      <w:r>
        <w:t xml:space="preserve"> w budynkach wielomieszkaniowych</w:t>
      </w:r>
      <w:r w:rsidR="00AB1C85">
        <w:t xml:space="preserve">, najwyższy udział stanowiły </w:t>
      </w:r>
      <w:r>
        <w:t>w województwach: maz</w:t>
      </w:r>
      <w:r w:rsidR="00AB1C85">
        <w:t>owieckim</w:t>
      </w:r>
      <w:r w:rsidR="00B9720D">
        <w:t xml:space="preserve"> (15,6%)</w:t>
      </w:r>
      <w:r w:rsidR="00AB1C85">
        <w:t>, śląskim</w:t>
      </w:r>
      <w:r w:rsidR="00473F3A">
        <w:t xml:space="preserve"> (11,6) i</w:t>
      </w:r>
      <w:r w:rsidR="00AB1C85">
        <w:t xml:space="preserve"> dolnośląskim</w:t>
      </w:r>
      <w:r w:rsidR="00473F3A">
        <w:t xml:space="preserve"> (11,2%)</w:t>
      </w:r>
      <w:r w:rsidR="00AB1C85">
        <w:t xml:space="preserve">, zaś najniższy </w:t>
      </w:r>
      <w:r w:rsidR="00473F3A">
        <w:t xml:space="preserve">(po 1,9%) </w:t>
      </w:r>
      <w:r w:rsidR="00AB1C85">
        <w:t>w województwach opolski</w:t>
      </w:r>
      <w:r w:rsidR="00CF458C">
        <w:t>m</w:t>
      </w:r>
      <w:r w:rsidR="00AB1C85">
        <w:t xml:space="preserve"> i podkarpackim.</w:t>
      </w:r>
      <w:r w:rsidR="00B9720D">
        <w:t xml:space="preserve"> W przypadku 12,4 tys. mieszkań znajdujących się w budynkach, które zostały sprzedane w całości, 14,6% stanowiły zasoby </w:t>
      </w:r>
      <w:r w:rsidR="00686D6B">
        <w:t>z</w:t>
      </w:r>
      <w:r w:rsidR="00B9720D">
        <w:t xml:space="preserve"> w</w:t>
      </w:r>
      <w:r w:rsidR="00686D6B">
        <w:t>ojewództwa dolnośląskiego</w:t>
      </w:r>
      <w:r w:rsidR="00B9720D">
        <w:t xml:space="preserve">, </w:t>
      </w:r>
      <w:r w:rsidR="00C50FF6">
        <w:t xml:space="preserve">12,0% </w:t>
      </w:r>
      <w:r w:rsidR="00686D6B">
        <w:t xml:space="preserve">z województwa </w:t>
      </w:r>
      <w:r w:rsidR="00C50FF6">
        <w:t>śląski</w:t>
      </w:r>
      <w:r w:rsidR="00CF458C">
        <w:t>ego</w:t>
      </w:r>
      <w:r w:rsidR="00C50FF6">
        <w:t xml:space="preserve"> i 11,5% </w:t>
      </w:r>
      <w:r w:rsidR="00686D6B">
        <w:t>z województwa mazowieckiego</w:t>
      </w:r>
      <w:r w:rsidR="00C50FF6">
        <w:t>.</w:t>
      </w:r>
    </w:p>
    <w:p w:rsidR="0095787A" w:rsidRPr="0074692E" w:rsidRDefault="0095787A" w:rsidP="00A22038">
      <w:pPr>
        <w:spacing w:before="240" w:line="360" w:lineRule="exact"/>
        <w:jc w:val="both"/>
      </w:pPr>
    </w:p>
    <w:p w:rsidR="0006147D" w:rsidRDefault="0006147D" w:rsidP="0006147D">
      <w:pPr>
        <w:jc w:val="center"/>
      </w:pPr>
      <w:r>
        <w:rPr>
          <w:noProof/>
        </w:rPr>
        <w:drawing>
          <wp:inline distT="0" distB="0" distL="0" distR="0" wp14:anchorId="79FA0078" wp14:editId="06F0FD39">
            <wp:extent cx="5766816" cy="4114800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1 201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7D" w:rsidRDefault="0006147D" w:rsidP="00A22038">
      <w:pPr>
        <w:spacing w:line="360" w:lineRule="auto"/>
        <w:jc w:val="center"/>
      </w:pPr>
    </w:p>
    <w:p w:rsidR="00114D26" w:rsidRDefault="00114D26" w:rsidP="00A22038">
      <w:pPr>
        <w:pStyle w:val="GM5"/>
        <w:spacing w:line="360" w:lineRule="auto"/>
        <w:rPr>
          <w:b w:val="0"/>
          <w:sz w:val="24"/>
          <w:szCs w:val="24"/>
        </w:rPr>
      </w:pPr>
      <w:bookmarkStart w:id="31" w:name="_Toc464548401"/>
    </w:p>
    <w:p w:rsidR="001D4D89" w:rsidRPr="000A2DF4" w:rsidRDefault="001D4D89" w:rsidP="00A22038">
      <w:pPr>
        <w:spacing w:line="360" w:lineRule="auto"/>
      </w:pPr>
      <w:r w:rsidRPr="002D590B">
        <w:t>Najwyższy udział mieszkań</w:t>
      </w:r>
      <w:r w:rsidRPr="000A2DF4">
        <w:t xml:space="preserve"> sprzedanych w </w:t>
      </w:r>
      <w:r>
        <w:t xml:space="preserve">budynkach wielomieszkaniowych </w:t>
      </w:r>
      <w:r w:rsidR="006D6B37">
        <w:t xml:space="preserve">w ogólnej liczbie mieszkań sprzedanych osobom fizycznym w latach 2014 – 2015 </w:t>
      </w:r>
      <w:r>
        <w:t>odnotowano w województwach: łódzkim (97,1%), świętokrzyskim (96,9%) oraz w małopolskim i pomorskim (</w:t>
      </w:r>
      <w:r w:rsidR="006D6B37">
        <w:t>95,5%). Najniższy udział zaobserwowano w województwie podkarpackim (79,0%) i lubelskim (82,8</w:t>
      </w:r>
      <w:r w:rsidR="00305D3D">
        <w:t>%</w:t>
      </w:r>
      <w:r w:rsidR="006D6B37">
        <w:t>).</w:t>
      </w:r>
    </w:p>
    <w:p w:rsidR="001D4D89" w:rsidRDefault="001D4D89" w:rsidP="00A22038">
      <w:pPr>
        <w:spacing w:line="360" w:lineRule="auto"/>
      </w:pPr>
    </w:p>
    <w:p w:rsidR="001E120B" w:rsidRDefault="001E120B">
      <w:pPr>
        <w:rPr>
          <w:b/>
          <w:sz w:val="28"/>
          <w:szCs w:val="28"/>
        </w:rPr>
      </w:pPr>
      <w:r>
        <w:br w:type="page"/>
      </w:r>
    </w:p>
    <w:p w:rsidR="001D4D89" w:rsidRDefault="001D4D89" w:rsidP="0006147D">
      <w:pPr>
        <w:pStyle w:val="GM5"/>
      </w:pPr>
    </w:p>
    <w:p w:rsidR="0006147D" w:rsidRPr="00A74033" w:rsidRDefault="0006147D" w:rsidP="0006147D">
      <w:pPr>
        <w:pStyle w:val="GM5"/>
      </w:pPr>
      <w:bookmarkStart w:id="32" w:name="_Toc465667891"/>
      <w:r w:rsidRPr="00A74033">
        <w:t>Zaległości w opłatach za mieszkania</w:t>
      </w:r>
      <w:bookmarkEnd w:id="31"/>
      <w:bookmarkEnd w:id="32"/>
    </w:p>
    <w:p w:rsidR="008C1BEF" w:rsidRDefault="00114D26" w:rsidP="00A22038">
      <w:pPr>
        <w:spacing w:before="240" w:line="360" w:lineRule="exact"/>
        <w:jc w:val="both"/>
        <w:outlineLvl w:val="4"/>
      </w:pPr>
      <w:r>
        <w:t>Według stanu na 31 grudnia 2015 r.</w:t>
      </w:r>
      <w:r w:rsidR="0006147D" w:rsidRPr="002572B7">
        <w:t xml:space="preserve"> z ponad 6 mln zasobów </w:t>
      </w:r>
      <w:r>
        <w:t xml:space="preserve">mieszkaniowych </w:t>
      </w:r>
      <w:r w:rsidR="0006147D" w:rsidRPr="002572B7">
        <w:t>objętych badaniem w 26%</w:t>
      </w:r>
      <w:r>
        <w:t xml:space="preserve"> </w:t>
      </w:r>
      <w:r w:rsidR="0006147D" w:rsidRPr="002572B7">
        <w:t>mieszkań</w:t>
      </w:r>
      <w:r>
        <w:t xml:space="preserve"> </w:t>
      </w:r>
      <w:r w:rsidR="0006147D" w:rsidRPr="002572B7">
        <w:t>lokatorzy</w:t>
      </w:r>
      <w:r>
        <w:t xml:space="preserve"> </w:t>
      </w:r>
      <w:r w:rsidR="0006147D" w:rsidRPr="002572B7">
        <w:t>zalegali</w:t>
      </w:r>
      <w:r>
        <w:t xml:space="preserve"> </w:t>
      </w:r>
      <w:r w:rsidR="0006147D" w:rsidRPr="002572B7">
        <w:t xml:space="preserve">z opłatami za mieszkanie. </w:t>
      </w:r>
      <w:r w:rsidR="00EC07CB">
        <w:t>Łączna kwota zaległości z tytułu nieuiszczania opłat za mieszkanie wyniosła w 2015r. prawie 1,9 mld zł.</w:t>
      </w:r>
    </w:p>
    <w:p w:rsidR="009E4343" w:rsidRDefault="009E4343" w:rsidP="00A22038">
      <w:pPr>
        <w:spacing w:before="240" w:line="360" w:lineRule="exact"/>
        <w:jc w:val="both"/>
        <w:outlineLvl w:val="4"/>
      </w:pPr>
    </w:p>
    <w:p w:rsidR="008C1BEF" w:rsidRPr="00FE6404" w:rsidRDefault="009E4343" w:rsidP="00A22038">
      <w:pPr>
        <w:pStyle w:val="Legenda"/>
        <w:rPr>
          <w:spacing w:val="-2"/>
          <w:lang w:val="pl-PL"/>
        </w:rPr>
      </w:pPr>
      <w:bookmarkStart w:id="33" w:name="_Toc465667708"/>
      <w:r w:rsidRPr="00A22038">
        <w:rPr>
          <w:i w:val="0"/>
          <w:lang w:val="pl-PL"/>
        </w:rPr>
        <w:t xml:space="preserve">Tabl. </w:t>
      </w:r>
      <w:r w:rsidRPr="00A22038">
        <w:rPr>
          <w:i w:val="0"/>
        </w:rPr>
        <w:fldChar w:fldCharType="begin"/>
      </w:r>
      <w:r w:rsidRPr="00A22038">
        <w:rPr>
          <w:i w:val="0"/>
          <w:lang w:val="pl-PL"/>
        </w:rPr>
        <w:instrText xml:space="preserve"> SEQ Tabl. \* ARABIC </w:instrText>
      </w:r>
      <w:r w:rsidRPr="00A22038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6</w:t>
      </w:r>
      <w:r w:rsidRPr="00A22038">
        <w:rPr>
          <w:i w:val="0"/>
        </w:rPr>
        <w:fldChar w:fldCharType="end"/>
      </w:r>
      <w:r w:rsidRPr="00A22038">
        <w:rPr>
          <w:i w:val="0"/>
          <w:lang w:val="pl-PL"/>
        </w:rPr>
        <w:t xml:space="preserve"> </w:t>
      </w:r>
      <w:r w:rsidRPr="00A22038">
        <w:rPr>
          <w:i w:val="0"/>
          <w:spacing w:val="-2"/>
          <w:lang w:val="pl-PL"/>
        </w:rPr>
        <w:t>Zaległości w opłatach za mieszkanie według form własności według stanu na 31.12.2015 r.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1559"/>
        <w:gridCol w:w="2693"/>
      </w:tblGrid>
      <w:tr w:rsidR="00CB21A0" w:rsidTr="00A22038">
        <w:trPr>
          <w:trHeight w:val="1531"/>
        </w:trPr>
        <w:tc>
          <w:tcPr>
            <w:tcW w:w="4106" w:type="dxa"/>
            <w:vAlign w:val="center"/>
          </w:tcPr>
          <w:p w:rsidR="00CB21A0" w:rsidRDefault="00CB21A0" w:rsidP="00A22038">
            <w:pPr>
              <w:spacing w:line="280" w:lineRule="exact"/>
              <w:jc w:val="center"/>
              <w:outlineLvl w:val="4"/>
            </w:pPr>
            <w:r>
              <w:t>Wyszczególnienie</w:t>
            </w:r>
          </w:p>
        </w:tc>
        <w:tc>
          <w:tcPr>
            <w:tcW w:w="2977" w:type="dxa"/>
            <w:gridSpan w:val="2"/>
            <w:vAlign w:val="center"/>
          </w:tcPr>
          <w:p w:rsidR="00CB21A0" w:rsidRDefault="00F413E1" w:rsidP="00A22038">
            <w:pPr>
              <w:spacing w:line="280" w:lineRule="exact"/>
              <w:jc w:val="center"/>
              <w:outlineLvl w:val="4"/>
            </w:pPr>
            <w:r>
              <w:t>Z</w:t>
            </w:r>
            <w:r w:rsidR="00CB21A0">
              <w:t>aległości</w:t>
            </w:r>
          </w:p>
        </w:tc>
        <w:tc>
          <w:tcPr>
            <w:tcW w:w="2693" w:type="dxa"/>
            <w:vAlign w:val="center"/>
          </w:tcPr>
          <w:p w:rsidR="00CB21A0" w:rsidRDefault="00CB21A0" w:rsidP="00A22038">
            <w:pPr>
              <w:spacing w:line="280" w:lineRule="exact"/>
              <w:jc w:val="center"/>
              <w:outlineLvl w:val="4"/>
            </w:pPr>
            <w:r>
              <w:t>Przeciętna kwota zaległości na 1 mieszkanie</w:t>
            </w:r>
            <w:r w:rsidR="00B42FBF">
              <w:t>, któ</w:t>
            </w:r>
            <w:r w:rsidR="00B42FBF" w:rsidRPr="00B42FBF">
              <w:t>rych lokatorzy zalegają z opłatami za mieszkanie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>
              <w:t>Zasoby: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center"/>
              <w:outlineLvl w:val="4"/>
            </w:pPr>
            <w:r>
              <w:t xml:space="preserve">w </w:t>
            </w:r>
            <w:r w:rsidR="00EC07CB">
              <w:t>tys.</w:t>
            </w:r>
            <w:r>
              <w:t xml:space="preserve"> zł</w:t>
            </w:r>
          </w:p>
        </w:tc>
        <w:tc>
          <w:tcPr>
            <w:tcW w:w="1559" w:type="dxa"/>
          </w:tcPr>
          <w:p w:rsidR="00CB21A0" w:rsidRDefault="00CB21A0" w:rsidP="00A22038">
            <w:pPr>
              <w:spacing w:line="360" w:lineRule="exact"/>
              <w:jc w:val="center"/>
              <w:outlineLvl w:val="4"/>
            </w:pPr>
            <w:r>
              <w:t>w %</w:t>
            </w:r>
          </w:p>
        </w:tc>
        <w:tc>
          <w:tcPr>
            <w:tcW w:w="2693" w:type="dxa"/>
          </w:tcPr>
          <w:p w:rsidR="00CB21A0" w:rsidRDefault="00CB21A0" w:rsidP="008C1BEF">
            <w:pPr>
              <w:spacing w:line="360" w:lineRule="exact"/>
              <w:jc w:val="center"/>
              <w:outlineLvl w:val="4"/>
            </w:pPr>
            <w:r>
              <w:t>w zł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gminnych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555 093,3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29,8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1 656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spółdzielczych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758 425,7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40,7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950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zakładów pracy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42 764,5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2,3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2 292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Skarbu Państwa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11 570,0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0,6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1 876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TBS-ów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23 959,4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1,3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1 236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osób fizycznych w</w:t>
            </w:r>
            <w:r>
              <w:t xml:space="preserve"> budynkach objętych wspólnotami </w:t>
            </w:r>
            <w:r w:rsidRPr="00A74033">
              <w:t>mieszkaniowy</w:t>
            </w:r>
            <w:r>
              <w:t>mi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468 180,4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25,2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1 200</w:t>
            </w:r>
          </w:p>
        </w:tc>
      </w:tr>
      <w:tr w:rsidR="00CB21A0" w:rsidTr="00A22038">
        <w:tc>
          <w:tcPr>
            <w:tcW w:w="4106" w:type="dxa"/>
          </w:tcPr>
          <w:p w:rsidR="00CB21A0" w:rsidRDefault="00CB21A0" w:rsidP="00A22038">
            <w:pPr>
              <w:spacing w:line="360" w:lineRule="exact"/>
              <w:jc w:val="both"/>
              <w:outlineLvl w:val="4"/>
            </w:pPr>
            <w:r w:rsidRPr="00A74033">
              <w:t>innych podmiotów</w:t>
            </w:r>
          </w:p>
        </w:tc>
        <w:tc>
          <w:tcPr>
            <w:tcW w:w="1418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1 531,1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0,1</w:t>
            </w:r>
          </w:p>
        </w:tc>
        <w:tc>
          <w:tcPr>
            <w:tcW w:w="2693" w:type="dxa"/>
          </w:tcPr>
          <w:p w:rsidR="00CB21A0" w:rsidRDefault="00CB21A0" w:rsidP="00A22038">
            <w:pPr>
              <w:spacing w:line="360" w:lineRule="exact"/>
              <w:jc w:val="right"/>
              <w:outlineLvl w:val="4"/>
            </w:pPr>
            <w:r>
              <w:t>1 530</w:t>
            </w:r>
          </w:p>
        </w:tc>
      </w:tr>
      <w:tr w:rsidR="00CB21A0" w:rsidTr="00A22038">
        <w:tc>
          <w:tcPr>
            <w:tcW w:w="4106" w:type="dxa"/>
          </w:tcPr>
          <w:p w:rsidR="00CB21A0" w:rsidRPr="00A74033" w:rsidRDefault="00CB21A0" w:rsidP="008C1BEF">
            <w:pPr>
              <w:spacing w:line="360" w:lineRule="exact"/>
              <w:jc w:val="both"/>
              <w:outlineLvl w:val="4"/>
            </w:pPr>
            <w:r>
              <w:t xml:space="preserve">Razem </w:t>
            </w:r>
          </w:p>
        </w:tc>
        <w:tc>
          <w:tcPr>
            <w:tcW w:w="1418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 w:rsidRPr="00EC07CB">
              <w:t>1</w:t>
            </w:r>
            <w:r>
              <w:t xml:space="preserve"> </w:t>
            </w:r>
            <w:r w:rsidRPr="00EC07CB">
              <w:t>861</w:t>
            </w:r>
            <w:r>
              <w:t xml:space="preserve"> </w:t>
            </w:r>
            <w:r w:rsidRPr="00EC07CB">
              <w:t>524,4</w:t>
            </w:r>
          </w:p>
        </w:tc>
        <w:tc>
          <w:tcPr>
            <w:tcW w:w="1559" w:type="dxa"/>
          </w:tcPr>
          <w:p w:rsidR="00CB21A0" w:rsidRDefault="00EC07CB" w:rsidP="00A22038">
            <w:pPr>
              <w:spacing w:line="360" w:lineRule="exact"/>
              <w:jc w:val="right"/>
              <w:outlineLvl w:val="4"/>
            </w:pPr>
            <w:r>
              <w:t>100,0</w:t>
            </w:r>
          </w:p>
        </w:tc>
        <w:tc>
          <w:tcPr>
            <w:tcW w:w="2693" w:type="dxa"/>
          </w:tcPr>
          <w:p w:rsidR="00CB21A0" w:rsidRDefault="00CB21A0" w:rsidP="008C1BEF">
            <w:pPr>
              <w:spacing w:line="360" w:lineRule="exact"/>
              <w:jc w:val="both"/>
              <w:outlineLvl w:val="4"/>
            </w:pPr>
          </w:p>
        </w:tc>
      </w:tr>
    </w:tbl>
    <w:p w:rsidR="0063646E" w:rsidRDefault="0063646E" w:rsidP="00674AD9">
      <w:pPr>
        <w:spacing w:line="360" w:lineRule="auto"/>
      </w:pPr>
    </w:p>
    <w:p w:rsidR="001E120B" w:rsidRDefault="001E120B" w:rsidP="001E120B">
      <w:pPr>
        <w:spacing w:before="240" w:line="360" w:lineRule="exact"/>
        <w:jc w:val="both"/>
        <w:outlineLvl w:val="4"/>
      </w:pPr>
      <w:r>
        <w:t>Najwyższy udział w ogólnej kwocie zaległości mieli lokatorzy mieszkań pozostających w zasobach spółdzielni mieszkaniowych – prawie 41% oraz gmin – ok. 30%. W przeliczeniu na mieszkanie, któ</w:t>
      </w:r>
      <w:r w:rsidRPr="00B42FBF">
        <w:t>rych lokatorzy zalegają z opłatami</w:t>
      </w:r>
      <w:r>
        <w:t>, najwyższe zaległości odnotowano w przypadku mieszkań należących do zasobów zakładów pracy – prawie 2,3 tys. zł oraz mieszkań z zasobów Skarbu Państwa – ok. 1,9 tys. zł. Najmniejsze zaległości w opłatach na 1 mieszkanie przypadają na zasoby należące do spółdzielni mieszkaniowych – niecały 1tys. zł i zasoby osób fizycznych w budynkach objętych wspólnotami mieszkaniowymi – 1,2 tys. zł.</w:t>
      </w:r>
    </w:p>
    <w:p w:rsidR="00DD6D4A" w:rsidRDefault="00DD6D4A">
      <w:r>
        <w:br w:type="page"/>
      </w:r>
    </w:p>
    <w:p w:rsidR="001E120B" w:rsidRPr="008A709D" w:rsidRDefault="001E120B" w:rsidP="001E120B">
      <w:pPr>
        <w:pStyle w:val="Legenda"/>
        <w:rPr>
          <w:i w:val="0"/>
          <w:lang w:val="pl-PL"/>
        </w:rPr>
      </w:pPr>
      <w:bookmarkStart w:id="34" w:name="_Toc465667709"/>
      <w:r w:rsidRPr="008A709D">
        <w:rPr>
          <w:i w:val="0"/>
          <w:lang w:val="pl-PL"/>
        </w:rPr>
        <w:t xml:space="preserve">Tabl. </w:t>
      </w:r>
      <w:r w:rsidRPr="008A709D">
        <w:rPr>
          <w:i w:val="0"/>
        </w:rPr>
        <w:fldChar w:fldCharType="begin"/>
      </w:r>
      <w:r w:rsidRPr="008A709D">
        <w:rPr>
          <w:i w:val="0"/>
          <w:lang w:val="pl-PL"/>
        </w:rPr>
        <w:instrText xml:space="preserve"> SEQ Tabl. \* ARABIC </w:instrText>
      </w:r>
      <w:r w:rsidRPr="008A709D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7</w:t>
      </w:r>
      <w:r w:rsidRPr="008A709D">
        <w:rPr>
          <w:i w:val="0"/>
        </w:rPr>
        <w:fldChar w:fldCharType="end"/>
      </w:r>
      <w:r w:rsidRPr="008A709D">
        <w:rPr>
          <w:i w:val="0"/>
          <w:lang w:val="pl-PL"/>
        </w:rPr>
        <w:t xml:space="preserve"> Udział mieszkań, których lokatorzy zalegają z opłatami za mieszkanie według form własności i województw (w % do ogółu mieszkań w </w:t>
      </w:r>
      <w:r>
        <w:rPr>
          <w:i w:val="0"/>
          <w:lang w:val="pl-PL"/>
        </w:rPr>
        <w:t>poszczególnych</w:t>
      </w:r>
      <w:r w:rsidRPr="008A709D">
        <w:rPr>
          <w:i w:val="0"/>
          <w:lang w:val="pl-PL"/>
        </w:rPr>
        <w:t xml:space="preserve"> grup</w:t>
      </w:r>
      <w:r>
        <w:rPr>
          <w:i w:val="0"/>
          <w:lang w:val="pl-PL"/>
        </w:rPr>
        <w:t>ach zasobów</w:t>
      </w:r>
      <w:r w:rsidRPr="008A709D">
        <w:rPr>
          <w:i w:val="0"/>
          <w:lang w:val="pl-PL"/>
        </w:rPr>
        <w:t>):</w:t>
      </w:r>
      <w:bookmarkEnd w:id="34"/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992"/>
        <w:gridCol w:w="1276"/>
        <w:gridCol w:w="992"/>
        <w:gridCol w:w="1134"/>
        <w:gridCol w:w="1418"/>
        <w:gridCol w:w="1565"/>
      </w:tblGrid>
      <w:tr w:rsidR="001E120B" w:rsidRPr="00A74033" w:rsidTr="00A22038">
        <w:trPr>
          <w:trHeight w:val="1417"/>
          <w:jc w:val="center"/>
        </w:trPr>
        <w:tc>
          <w:tcPr>
            <w:tcW w:w="2547" w:type="dxa"/>
            <w:vAlign w:val="center"/>
          </w:tcPr>
          <w:p w:rsidR="001E120B" w:rsidRPr="00A22038" w:rsidRDefault="001E120B" w:rsidP="00A22038">
            <w:pPr>
              <w:spacing w:line="260" w:lineRule="exact"/>
              <w:ind w:left="-75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Województwa</w:t>
            </w:r>
          </w:p>
        </w:tc>
        <w:tc>
          <w:tcPr>
            <w:tcW w:w="992" w:type="dxa"/>
          </w:tcPr>
          <w:p w:rsidR="001E120B" w:rsidRPr="00A22038" w:rsidRDefault="001E120B" w:rsidP="00A22038">
            <w:pPr>
              <w:spacing w:before="360" w:line="260" w:lineRule="exact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Gmin</w:t>
            </w:r>
          </w:p>
        </w:tc>
        <w:tc>
          <w:tcPr>
            <w:tcW w:w="1276" w:type="dxa"/>
          </w:tcPr>
          <w:p w:rsidR="001E120B" w:rsidRPr="00A22038" w:rsidRDefault="001E120B" w:rsidP="00A22038">
            <w:pPr>
              <w:spacing w:before="360" w:line="260" w:lineRule="exact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Spółdzielni mieszka</w:t>
            </w:r>
            <w:r w:rsidR="00E52C53">
              <w:rPr>
                <w:szCs w:val="24"/>
              </w:rPr>
              <w:t>-</w:t>
            </w:r>
            <w:r w:rsidRPr="00A22038">
              <w:rPr>
                <w:szCs w:val="24"/>
              </w:rPr>
              <w:t>niowych</w:t>
            </w:r>
          </w:p>
        </w:tc>
        <w:tc>
          <w:tcPr>
            <w:tcW w:w="992" w:type="dxa"/>
          </w:tcPr>
          <w:p w:rsidR="001E120B" w:rsidRPr="00A22038" w:rsidRDefault="001E120B" w:rsidP="00A22038">
            <w:pPr>
              <w:spacing w:before="360" w:line="260" w:lineRule="exact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Skarbu Państwa</w:t>
            </w:r>
          </w:p>
        </w:tc>
        <w:tc>
          <w:tcPr>
            <w:tcW w:w="1134" w:type="dxa"/>
          </w:tcPr>
          <w:p w:rsidR="001E120B" w:rsidRPr="00A22038" w:rsidRDefault="001E120B" w:rsidP="00A22038">
            <w:pPr>
              <w:spacing w:before="360" w:line="260" w:lineRule="exact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Zakładów pracy</w:t>
            </w:r>
          </w:p>
        </w:tc>
        <w:tc>
          <w:tcPr>
            <w:tcW w:w="1418" w:type="dxa"/>
          </w:tcPr>
          <w:p w:rsidR="001E120B" w:rsidRPr="00A22038" w:rsidRDefault="001E120B" w:rsidP="00A22038">
            <w:pPr>
              <w:spacing w:line="260" w:lineRule="exact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Osób fizycz-nych we wspólnotach mieszka-niowych</w:t>
            </w:r>
          </w:p>
        </w:tc>
        <w:tc>
          <w:tcPr>
            <w:tcW w:w="1565" w:type="dxa"/>
          </w:tcPr>
          <w:p w:rsidR="001E120B" w:rsidRPr="00A22038" w:rsidRDefault="001E120B" w:rsidP="00A22038">
            <w:pPr>
              <w:spacing w:before="240" w:line="260" w:lineRule="exact"/>
              <w:jc w:val="center"/>
              <w:rPr>
                <w:szCs w:val="24"/>
              </w:rPr>
            </w:pPr>
            <w:r w:rsidRPr="00A22038">
              <w:rPr>
                <w:szCs w:val="24"/>
              </w:rPr>
              <w:t>Towarzystw budownictwa społecznego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b/>
                <w:szCs w:val="24"/>
              </w:rPr>
            </w:pPr>
            <w:r w:rsidRPr="00A22038">
              <w:rPr>
                <w:b/>
                <w:szCs w:val="24"/>
              </w:rPr>
              <w:t>POLSKA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b/>
                <w:bCs/>
                <w:szCs w:val="24"/>
              </w:rPr>
            </w:pPr>
            <w:r w:rsidRPr="00A22038">
              <w:rPr>
                <w:b/>
                <w:bCs/>
                <w:szCs w:val="24"/>
              </w:rPr>
              <w:t>37,8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b/>
                <w:bCs/>
                <w:szCs w:val="24"/>
              </w:rPr>
            </w:pPr>
            <w:r w:rsidRPr="00A22038">
              <w:rPr>
                <w:b/>
                <w:bCs/>
                <w:szCs w:val="24"/>
              </w:rPr>
              <w:t>36,5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b/>
                <w:bCs/>
                <w:szCs w:val="24"/>
              </w:rPr>
            </w:pPr>
            <w:r w:rsidRPr="00A22038">
              <w:rPr>
                <w:b/>
                <w:bCs/>
                <w:szCs w:val="24"/>
              </w:rPr>
              <w:t>20,6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b/>
                <w:bCs/>
                <w:szCs w:val="24"/>
              </w:rPr>
            </w:pPr>
            <w:r w:rsidRPr="00A22038">
              <w:rPr>
                <w:b/>
                <w:bCs/>
                <w:szCs w:val="24"/>
              </w:rPr>
              <w:t>21,5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b/>
                <w:bCs/>
                <w:szCs w:val="24"/>
              </w:rPr>
            </w:pPr>
            <w:r w:rsidRPr="00A22038">
              <w:rPr>
                <w:b/>
                <w:bCs/>
                <w:szCs w:val="24"/>
              </w:rPr>
              <w:t>14,3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b/>
                <w:bCs/>
                <w:szCs w:val="24"/>
              </w:rPr>
            </w:pPr>
            <w:r w:rsidRPr="00A22038">
              <w:rPr>
                <w:b/>
                <w:bCs/>
                <w:szCs w:val="24"/>
              </w:rPr>
              <w:t>20,0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Dolnośląskie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40,4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35,4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6,8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17,4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13,2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25,2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Kujawsko-pomorskie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41,1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29,5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33,9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7,9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12,2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27,3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Lubelskie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38,3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44,5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19,2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9,0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13,6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26,4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Lubuskie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43,9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35,6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11,3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12,7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16,2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Łódzkie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34,2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34,8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24,2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9,7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13,6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17,3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Małopolskie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40,3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47,5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29,6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9,3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11,3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15,9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Mazowieckie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36,3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36,1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23,2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11,5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18,2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20,4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Opolskie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36,4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49,7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14,9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10,9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31,0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Podkarpackie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32,2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32,0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19,1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6,2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16,6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20,4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Podlaskie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25,0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40,8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8,2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3,9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13,7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45,8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Pomorskie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31,0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35,9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21,3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9,7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15,1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23,5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Śląskie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36,2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37,3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18,2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34,6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13,9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17,3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Świętokrzyskie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45,6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39,6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17,8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22,0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19,0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25,5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Warmińsko-mazurskie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33,1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40,7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20,6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10,3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11,3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26,8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Wielkopolskie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36,2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23,3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16,2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8,8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12,0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11,1</w:t>
            </w:r>
          </w:p>
        </w:tc>
      </w:tr>
      <w:tr w:rsidR="001E120B" w:rsidRPr="00A74033" w:rsidTr="00A22038">
        <w:trPr>
          <w:trHeight w:val="340"/>
          <w:jc w:val="center"/>
        </w:trPr>
        <w:tc>
          <w:tcPr>
            <w:tcW w:w="2547" w:type="dxa"/>
          </w:tcPr>
          <w:p w:rsidR="001E120B" w:rsidRPr="00A22038" w:rsidRDefault="001E120B" w:rsidP="00CD5502">
            <w:pPr>
              <w:rPr>
                <w:szCs w:val="24"/>
              </w:rPr>
            </w:pPr>
            <w:r w:rsidRPr="00A22038">
              <w:rPr>
                <w:szCs w:val="24"/>
              </w:rPr>
              <w:t>Zachodniopomorskie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54,2</w:t>
            </w:r>
          </w:p>
        </w:tc>
        <w:tc>
          <w:tcPr>
            <w:tcW w:w="1276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43,9</w:t>
            </w:r>
          </w:p>
        </w:tc>
        <w:tc>
          <w:tcPr>
            <w:tcW w:w="992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29,0</w:t>
            </w:r>
          </w:p>
        </w:tc>
        <w:tc>
          <w:tcPr>
            <w:tcW w:w="1134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11,7</w:t>
            </w:r>
          </w:p>
        </w:tc>
        <w:tc>
          <w:tcPr>
            <w:tcW w:w="1418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15,3</w:t>
            </w:r>
          </w:p>
        </w:tc>
        <w:tc>
          <w:tcPr>
            <w:tcW w:w="1565" w:type="dxa"/>
            <w:vAlign w:val="center"/>
          </w:tcPr>
          <w:p w:rsidR="001E120B" w:rsidRPr="00A22038" w:rsidRDefault="001E120B" w:rsidP="00CD5502">
            <w:pPr>
              <w:jc w:val="right"/>
              <w:rPr>
                <w:szCs w:val="24"/>
              </w:rPr>
            </w:pPr>
            <w:r w:rsidRPr="00A22038">
              <w:rPr>
                <w:szCs w:val="24"/>
              </w:rPr>
              <w:t>14,2</w:t>
            </w:r>
          </w:p>
        </w:tc>
      </w:tr>
    </w:tbl>
    <w:p w:rsidR="001E120B" w:rsidRDefault="001E120B" w:rsidP="00674AD9">
      <w:pPr>
        <w:spacing w:line="360" w:lineRule="auto"/>
      </w:pPr>
    </w:p>
    <w:p w:rsidR="001E120B" w:rsidRDefault="001E120B" w:rsidP="00A22038">
      <w:pPr>
        <w:spacing w:line="360" w:lineRule="auto"/>
        <w:jc w:val="center"/>
      </w:pPr>
    </w:p>
    <w:p w:rsidR="001E120B" w:rsidRDefault="00814EF1" w:rsidP="00A2203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894ED27" wp14:editId="745AC1B7">
            <wp:extent cx="5769864" cy="2996184"/>
            <wp:effectExtent l="0" t="0" r="254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mieszk zadluzone 201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299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DF4" w:rsidRDefault="000A2DF4" w:rsidP="000A2DF4">
      <w:pPr>
        <w:spacing w:line="360" w:lineRule="exact"/>
        <w:jc w:val="both"/>
      </w:pPr>
    </w:p>
    <w:p w:rsidR="000A2DF4" w:rsidRDefault="000A2DF4" w:rsidP="000A2DF4">
      <w:pPr>
        <w:spacing w:line="360" w:lineRule="exact"/>
        <w:jc w:val="both"/>
      </w:pPr>
      <w:r w:rsidRPr="002572B7">
        <w:t>W stosunku do ogółu „zadłużonych” mieszkań (mieszkań, w których lokatorzy nie uiszczali opłat) 50,9% dotyczyło mieszkań spółdzielczych, 24,9% - będących własnością osób fizycznych w budynkach objętych wspólnotami mieszkaniowymi, 21,4% - komunalnych, po 1,2% -</w:t>
      </w:r>
      <w:r>
        <w:t xml:space="preserve"> </w:t>
      </w:r>
      <w:r w:rsidRPr="002572B7">
        <w:t>zakładów pracy i TBS-ów, 0,4% - Skarbu Państwa i najmniej, bo 0,1% mieszkań stanowiących własność innych podmiotów.</w:t>
      </w:r>
    </w:p>
    <w:p w:rsidR="000A2DF4" w:rsidRDefault="000A2DF4" w:rsidP="000A2DF4">
      <w:pPr>
        <w:spacing w:line="360" w:lineRule="exact"/>
        <w:jc w:val="both"/>
      </w:pPr>
    </w:p>
    <w:p w:rsidR="000A2DF4" w:rsidRDefault="000A2DF4" w:rsidP="000A2DF4">
      <w:pPr>
        <w:spacing w:line="360" w:lineRule="exact"/>
        <w:jc w:val="both"/>
      </w:pPr>
    </w:p>
    <w:p w:rsidR="000A2DF4" w:rsidRPr="00A74033" w:rsidRDefault="000A2DF4" w:rsidP="000A2DF4">
      <w:pPr>
        <w:pStyle w:val="GM5"/>
      </w:pPr>
      <w:bookmarkStart w:id="35" w:name="_Toc465667892"/>
      <w:r w:rsidRPr="00A74033">
        <w:t>Działania eksmisyjne</w:t>
      </w:r>
      <w:bookmarkEnd w:id="35"/>
    </w:p>
    <w:p w:rsidR="000A2DF4" w:rsidRDefault="000A2DF4" w:rsidP="000A2DF4">
      <w:pPr>
        <w:spacing w:before="120" w:line="380" w:lineRule="exact"/>
        <w:jc w:val="both"/>
      </w:pPr>
      <w:r w:rsidRPr="00A74033">
        <w:t xml:space="preserve">Na </w:t>
      </w:r>
      <w:r>
        <w:t>18</w:t>
      </w:r>
      <w:r w:rsidRPr="00A74033">
        <w:t xml:space="preserve"> tys. postępowań eksmisyjnych toczących się w sądzie w 201</w:t>
      </w:r>
      <w:r>
        <w:t>5</w:t>
      </w:r>
      <w:r w:rsidRPr="00A74033">
        <w:t xml:space="preserve"> r. </w:t>
      </w:r>
      <w:r>
        <w:t xml:space="preserve">prawie 70% </w:t>
      </w:r>
      <w:r w:rsidRPr="00A74033">
        <w:t xml:space="preserve">dotyczyło lokatorów zajmujących mieszkania gminne, </w:t>
      </w:r>
      <w:r>
        <w:t>w dalszej kolejności były to postępowania wobec osób fizycznych w budynkach objętych wspólnotami mieszkaniowymi</w:t>
      </w:r>
      <w:r w:rsidRPr="00185448">
        <w:t xml:space="preserve"> </w:t>
      </w:r>
      <w:r>
        <w:t>ok. 12%, a  prawie 11% wobec lokatorów</w:t>
      </w:r>
      <w:r w:rsidRPr="00A74033">
        <w:t xml:space="preserve"> mieszka</w:t>
      </w:r>
      <w:r w:rsidRPr="00A22038">
        <w:t>ń</w:t>
      </w:r>
      <w:r w:rsidRPr="00CF458C">
        <w:t xml:space="preserve"> </w:t>
      </w:r>
      <w:r>
        <w:t>spółdzielni mieszkaniowych.</w:t>
      </w:r>
      <w:r w:rsidRPr="00A74033">
        <w:t xml:space="preserve"> </w:t>
      </w:r>
      <w:r>
        <w:t xml:space="preserve">Najmniejszy udział stanowiły postepowania wobec lokatorów mieszkań pozostających w zasobach innych podmiotów </w:t>
      </w:r>
      <w:r w:rsidRPr="00A74033">
        <w:t xml:space="preserve">0,2%. </w:t>
      </w:r>
    </w:p>
    <w:p w:rsidR="000A2DF4" w:rsidRDefault="000A2DF4" w:rsidP="000A2DF4">
      <w:pPr>
        <w:spacing w:before="120" w:line="380" w:lineRule="exact"/>
        <w:jc w:val="both"/>
      </w:pPr>
      <w:r>
        <w:t>Blisko 89%</w:t>
      </w:r>
      <w:r w:rsidRPr="00A74033">
        <w:t xml:space="preserve"> </w:t>
      </w:r>
      <w:r w:rsidRPr="007357B6">
        <w:t>postępowań eksmisyjnych zostało wszczętych z powodu zaległości w opłatach za mieszkanie. Przyczyna ta najczęściej występowała w przypadku mieszkań pozostających w zarządzie innych podmiotów</w:t>
      </w:r>
      <w:r w:rsidRPr="007357B6">
        <w:rPr>
          <w:sz w:val="26"/>
          <w:szCs w:val="26"/>
          <w:vertAlign w:val="superscript"/>
        </w:rPr>
        <w:footnoteReference w:id="4"/>
      </w:r>
      <w:r w:rsidRPr="007357B6">
        <w:t xml:space="preserve">  (w 100% ogółu postępowań eksmisyjnych), zakładów pracy – 95,7%</w:t>
      </w:r>
      <w:r>
        <w:t xml:space="preserve"> i ponad 94% mieszkań </w:t>
      </w:r>
      <w:r w:rsidRPr="007357B6">
        <w:t>towarzystw budownictwa społecznego</w:t>
      </w:r>
      <w:r>
        <w:t>, Skarbu Państwa, spółdzielni mieszkaniowych i osób fizycznych w budynkach objętych wspólnotami mieszkaniowymi.</w:t>
      </w:r>
    </w:p>
    <w:p w:rsidR="000A2DF4" w:rsidRDefault="000A2DF4" w:rsidP="000A2DF4">
      <w:pPr>
        <w:jc w:val="center"/>
        <w:rPr>
          <w:noProof/>
        </w:rPr>
      </w:pPr>
    </w:p>
    <w:p w:rsidR="000A2DF4" w:rsidRDefault="000A2DF4" w:rsidP="000A2DF4">
      <w:pPr>
        <w:jc w:val="center"/>
        <w:rPr>
          <w:noProof/>
        </w:rPr>
      </w:pPr>
      <w:r w:rsidRPr="00A85FC4">
        <w:rPr>
          <w:noProof/>
        </w:rPr>
        <w:drawing>
          <wp:inline distT="0" distB="0" distL="0" distR="0" wp14:anchorId="58C66D6F" wp14:editId="4F612127">
            <wp:extent cx="6232014" cy="3713259"/>
            <wp:effectExtent l="0" t="0" r="0" b="1905"/>
            <wp:docPr id="12" name="Obraz 12" descr="C:\Users\knyszewskae\AppData\Local\Microsoft\Windows\INetCache\Content.Outlook\27BMNKU4\WYKRES2b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nyszewskae\AppData\Local\Microsoft\Windows\INetCache\Content.Outlook\27BMNKU4\WYKRES2b 20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139" cy="371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DF4" w:rsidRDefault="000A2DF4" w:rsidP="000A2DF4">
      <w:pPr>
        <w:jc w:val="center"/>
        <w:rPr>
          <w:noProof/>
        </w:rPr>
      </w:pPr>
    </w:p>
    <w:p w:rsidR="000A2DF4" w:rsidRPr="00A74033" w:rsidRDefault="000A2DF4" w:rsidP="000A2DF4">
      <w:pPr>
        <w:spacing w:before="120" w:line="380" w:lineRule="exact"/>
        <w:jc w:val="both"/>
      </w:pPr>
      <w:r w:rsidRPr="00A74033">
        <w:t xml:space="preserve">Na </w:t>
      </w:r>
      <w:r>
        <w:t xml:space="preserve">ok. 14 </w:t>
      </w:r>
      <w:r w:rsidRPr="00A74033">
        <w:t xml:space="preserve"> tys. orzeczonych eksmisji </w:t>
      </w:r>
      <w:r>
        <w:t>77</w:t>
      </w:r>
      <w:r w:rsidRPr="00A74033">
        <w:t xml:space="preserve">% dotyczyło lokatorów zajmujących mieszkania gminne, </w:t>
      </w:r>
      <w:r>
        <w:t>9,2</w:t>
      </w:r>
      <w:r w:rsidRPr="00A74033">
        <w:t xml:space="preserve">% </w:t>
      </w:r>
      <w:r w:rsidR="00CF458C">
        <w:t>-</w:t>
      </w:r>
      <w:r w:rsidRPr="00A74033">
        <w:t xml:space="preserve"> mieszkania spółdzielni mieszkaniowych</w:t>
      </w:r>
      <w:r>
        <w:t xml:space="preserve"> i 5,6</w:t>
      </w:r>
      <w:r w:rsidRPr="00A74033">
        <w:t xml:space="preserve">% </w:t>
      </w:r>
      <w:r w:rsidR="00CF458C" w:rsidRPr="007357B6">
        <w:t>–</w:t>
      </w:r>
      <w:r w:rsidRPr="00A74033">
        <w:t xml:space="preserve"> zakładów pracy</w:t>
      </w:r>
      <w:r>
        <w:t>.</w:t>
      </w:r>
      <w:r w:rsidRPr="00A74033">
        <w:t xml:space="preserve"> </w:t>
      </w:r>
      <w:r>
        <w:t>Podstawą o</w:t>
      </w:r>
      <w:r w:rsidRPr="00A74033">
        <w:t xml:space="preserve">koło 86% </w:t>
      </w:r>
      <w:r>
        <w:t>orzeczeń eksmisyjnych były</w:t>
      </w:r>
      <w:r w:rsidRPr="00A74033">
        <w:t xml:space="preserve"> zaległości w opłatach za mieszkanie</w:t>
      </w:r>
      <w:r>
        <w:t>.</w:t>
      </w:r>
      <w:r w:rsidRPr="00A74033">
        <w:t xml:space="preserve"> </w:t>
      </w:r>
    </w:p>
    <w:p w:rsidR="000A2DF4" w:rsidRPr="00A74033" w:rsidRDefault="000A2DF4" w:rsidP="000A2DF4">
      <w:pPr>
        <w:spacing w:before="120" w:line="380" w:lineRule="exact"/>
        <w:jc w:val="both"/>
      </w:pPr>
      <w:r>
        <w:t>W 2015 r. (podobnie jak w 2013 r.) w</w:t>
      </w:r>
      <w:r w:rsidRPr="00A74033">
        <w:t xml:space="preserve">ykonano eksmisje z 8,2 tys. lokali mieszkalnych, z czego najwięcej </w:t>
      </w:r>
      <w:r w:rsidR="00CF458C">
        <w:t>-</w:t>
      </w:r>
      <w:r w:rsidRPr="00A74033">
        <w:t xml:space="preserve"> bo </w:t>
      </w:r>
      <w:r>
        <w:t xml:space="preserve">ok. </w:t>
      </w:r>
      <w:r w:rsidRPr="00A74033">
        <w:t>6</w:t>
      </w:r>
      <w:r>
        <w:t>7</w:t>
      </w:r>
      <w:r w:rsidRPr="00A74033">
        <w:t xml:space="preserve">% dotyczyło zasobów gminnych i </w:t>
      </w:r>
      <w:r>
        <w:t>prawie 17%</w:t>
      </w:r>
      <w:r w:rsidRPr="00A74033">
        <w:t xml:space="preserve"> spółdzielczych, najmniej zaś </w:t>
      </w:r>
      <w:r>
        <w:t xml:space="preserve">z </w:t>
      </w:r>
      <w:r w:rsidRPr="00A74033">
        <w:t>zasobów</w:t>
      </w:r>
      <w:r w:rsidR="00CF458C">
        <w:t xml:space="preserve"> -</w:t>
      </w:r>
      <w:r w:rsidRPr="00A74033">
        <w:t xml:space="preserve"> </w:t>
      </w:r>
      <w:r>
        <w:t xml:space="preserve">innych podmiotów – 0,1% i </w:t>
      </w:r>
      <w:r w:rsidRPr="00A74033">
        <w:t>towarzystw budownictwa społecznego</w:t>
      </w:r>
      <w:r>
        <w:t xml:space="preserve"> – 2%.</w:t>
      </w:r>
    </w:p>
    <w:p w:rsidR="000A2DF4" w:rsidRDefault="000A2DF4" w:rsidP="000A2DF4">
      <w:pPr>
        <w:spacing w:before="120" w:line="380" w:lineRule="exact"/>
        <w:jc w:val="both"/>
      </w:pPr>
      <w:r>
        <w:t>W stosunku do ogółu wykonanych eksmisji, najwięcej, bo ponad 20% zostało wykonanych w  województwie śląskim i mazowieckim, ponad 11% - w dolnośląskim i ok. 7% w województwie łódzkim, najmniej zaś, bo 1% - w województwie świętokrzyskim i po 1,5% - lubelskim i podkarpackim.</w:t>
      </w:r>
    </w:p>
    <w:p w:rsidR="000A2DF4" w:rsidRDefault="000A2DF4" w:rsidP="000A2DF4"/>
    <w:p w:rsidR="000A2DF4" w:rsidRPr="00315AC7" w:rsidRDefault="000A2DF4" w:rsidP="000A2DF4">
      <w:pPr>
        <w:rPr>
          <w:b/>
        </w:rPr>
      </w:pPr>
      <w:bookmarkStart w:id="36" w:name="_Toc465667710"/>
      <w:r w:rsidRPr="00315AC7">
        <w:rPr>
          <w:b/>
        </w:rPr>
        <w:t xml:space="preserve">Tabl. </w:t>
      </w:r>
      <w:r w:rsidRPr="00315AC7">
        <w:rPr>
          <w:b/>
          <w:i/>
        </w:rPr>
        <w:fldChar w:fldCharType="begin"/>
      </w:r>
      <w:r w:rsidRPr="00315AC7">
        <w:rPr>
          <w:b/>
        </w:rPr>
        <w:instrText xml:space="preserve"> SEQ Tabl. \* ARABIC </w:instrText>
      </w:r>
      <w:r w:rsidRPr="00315AC7">
        <w:rPr>
          <w:b/>
          <w:i/>
        </w:rPr>
        <w:fldChar w:fldCharType="separate"/>
      </w:r>
      <w:r w:rsidR="00EF3C9C">
        <w:rPr>
          <w:b/>
          <w:noProof/>
        </w:rPr>
        <w:t>8</w:t>
      </w:r>
      <w:r w:rsidRPr="00315AC7">
        <w:rPr>
          <w:b/>
          <w:i/>
        </w:rPr>
        <w:fldChar w:fldCharType="end"/>
      </w:r>
      <w:r w:rsidRPr="00315AC7">
        <w:rPr>
          <w:b/>
        </w:rPr>
        <w:t xml:space="preserve"> Udział działań eksmisyjnych według województw (w % do ogółu):</w:t>
      </w:r>
      <w:bookmarkEnd w:id="36"/>
    </w:p>
    <w:tbl>
      <w:tblPr>
        <w:tblW w:w="954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992"/>
        <w:gridCol w:w="1417"/>
        <w:gridCol w:w="926"/>
        <w:gridCol w:w="1417"/>
        <w:gridCol w:w="964"/>
        <w:gridCol w:w="1419"/>
      </w:tblGrid>
      <w:tr w:rsidR="000A2DF4" w:rsidRPr="00E52C53" w:rsidTr="00A22038">
        <w:trPr>
          <w:trHeight w:val="1020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Województwa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Liczba toczących się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w sądzie postępowań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eksmisyjnych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Liczba eksmisji z lokali</w:t>
            </w:r>
            <w:r>
              <w:rPr>
                <w:bCs/>
                <w:szCs w:val="24"/>
              </w:rPr>
              <w:t xml:space="preserve"> </w:t>
            </w:r>
            <w:r w:rsidRPr="00315AC7">
              <w:rPr>
                <w:bCs/>
                <w:szCs w:val="24"/>
              </w:rPr>
              <w:t>mieszkalnych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orzeczonych przez sąd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Liczba wykonanych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eksmisji z lokali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mieszkalnych</w:t>
            </w:r>
          </w:p>
        </w:tc>
      </w:tr>
      <w:tr w:rsidR="000A2DF4" w:rsidRPr="00E52C53" w:rsidTr="00A22038">
        <w:trPr>
          <w:trHeight w:val="283"/>
        </w:trPr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DF4" w:rsidRPr="00315AC7" w:rsidRDefault="000A2DF4" w:rsidP="000A20E5">
            <w:pPr>
              <w:spacing w:line="260" w:lineRule="exact"/>
              <w:rPr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w tym z powodu zaległości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w opłatach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za mieszkanie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spacing w:line="260" w:lineRule="exact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 xml:space="preserve">w tym z powodu zaległości 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w opłatach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za mieszkanie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spacing w:line="260" w:lineRule="exact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 xml:space="preserve">w tym z powodu zaległości 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w opłatach</w:t>
            </w:r>
          </w:p>
          <w:p w:rsidR="000A2DF4" w:rsidRPr="00315AC7" w:rsidRDefault="000A2DF4" w:rsidP="000A20E5">
            <w:pPr>
              <w:spacing w:line="260" w:lineRule="exact"/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za mieszkanie</w:t>
            </w:r>
          </w:p>
        </w:tc>
      </w:tr>
      <w:tr w:rsidR="000A2DF4" w:rsidRPr="00E52C53" w:rsidTr="00A22038">
        <w:trPr>
          <w:trHeight w:val="259"/>
        </w:trPr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bCs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ogółem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ogółem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ogółem</w:t>
            </w:r>
          </w:p>
        </w:tc>
        <w:tc>
          <w:tcPr>
            <w:tcW w:w="14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</w:p>
        </w:tc>
      </w:tr>
      <w:tr w:rsidR="000A2DF4" w:rsidRPr="00E52C53" w:rsidTr="00A22038">
        <w:trPr>
          <w:trHeight w:val="259"/>
        </w:trPr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 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 </w:t>
            </w:r>
          </w:p>
        </w:tc>
        <w:tc>
          <w:tcPr>
            <w:tcW w:w="14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0A2DF4" w:rsidRPr="00E52C53" w:rsidTr="00A22038">
        <w:trPr>
          <w:trHeight w:val="259"/>
        </w:trPr>
        <w:tc>
          <w:tcPr>
            <w:tcW w:w="2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 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 </w:t>
            </w:r>
          </w:p>
        </w:tc>
        <w:tc>
          <w:tcPr>
            <w:tcW w:w="1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DF4" w:rsidRPr="00315AC7" w:rsidRDefault="000A2DF4" w:rsidP="000A20E5">
            <w:pPr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P O L S K A   (w tys.)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DF4" w:rsidRPr="00315AC7" w:rsidRDefault="000A2DF4" w:rsidP="000A20E5">
            <w:pPr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18,0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DF4" w:rsidRPr="00315AC7" w:rsidRDefault="000A2DF4" w:rsidP="000A20E5">
            <w:pPr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16,0 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DF4" w:rsidRPr="00315AC7" w:rsidRDefault="000A2DF4" w:rsidP="000A20E5">
            <w:pPr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13,6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DF4" w:rsidRPr="00315AC7" w:rsidRDefault="000A2DF4" w:rsidP="000A20E5">
            <w:pPr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11,7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DF4" w:rsidRPr="00315AC7" w:rsidRDefault="000A2DF4" w:rsidP="000A20E5">
            <w:pPr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8,2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DF4" w:rsidRPr="00315AC7" w:rsidRDefault="000A2DF4" w:rsidP="000A20E5">
            <w:pPr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7,6</w:t>
            </w:r>
          </w:p>
        </w:tc>
      </w:tr>
      <w:tr w:rsidR="000A2DF4" w:rsidRPr="00E52C53" w:rsidTr="00A22038">
        <w:trPr>
          <w:trHeight w:val="240"/>
        </w:trPr>
        <w:tc>
          <w:tcPr>
            <w:tcW w:w="9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POLSKA= 100%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Dolnośląskie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9,4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8,6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11,3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Kujawsko-pomorskie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4,0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Lubelskie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1,6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Lubuskie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3,3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Łódzkie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9,4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7,0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Małopolskie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5,2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Mazowieckie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18,7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14,5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19,4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Opolskie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2,5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Podkarpackie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1,6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Podlaskie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3,0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Pomorskie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5,7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Śląskie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21,9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26,3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21,5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Świętokrzyskie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1,0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Warmińsko-mazurskie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4,3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2,6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Wielkopolskie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3,9</w:t>
            </w:r>
          </w:p>
        </w:tc>
      </w:tr>
      <w:tr w:rsidR="000A2DF4" w:rsidRPr="00E52C53" w:rsidTr="00A22038">
        <w:trPr>
          <w:trHeight w:val="24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F4" w:rsidRPr="00315AC7" w:rsidRDefault="000A2DF4" w:rsidP="000A20E5">
            <w:pPr>
              <w:rPr>
                <w:szCs w:val="24"/>
              </w:rPr>
            </w:pPr>
            <w:r w:rsidRPr="000A2DF4">
              <w:rPr>
                <w:szCs w:val="24"/>
              </w:rPr>
              <w:t>Zachodniopomorskie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8,5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DF4" w:rsidRPr="00315AC7" w:rsidRDefault="000A2DF4" w:rsidP="000A20E5">
            <w:pPr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6,5</w:t>
            </w:r>
          </w:p>
        </w:tc>
      </w:tr>
    </w:tbl>
    <w:p w:rsidR="000A2DF4" w:rsidRPr="00315AC7" w:rsidRDefault="000A2DF4" w:rsidP="000A2DF4">
      <w:pPr>
        <w:pStyle w:val="GM5"/>
        <w:rPr>
          <w:sz w:val="24"/>
          <w:szCs w:val="24"/>
        </w:rPr>
      </w:pPr>
    </w:p>
    <w:p w:rsidR="000A2DF4" w:rsidRPr="00A74033" w:rsidRDefault="000A2DF4" w:rsidP="000A2DF4">
      <w:pPr>
        <w:pStyle w:val="GM5"/>
      </w:pPr>
      <w:bookmarkStart w:id="37" w:name="_Toc465667893"/>
      <w:r w:rsidRPr="00A74033">
        <w:t>Remonty zasobów mieszkaniowych</w:t>
      </w:r>
      <w:bookmarkEnd w:id="37"/>
    </w:p>
    <w:p w:rsidR="000A2DF4" w:rsidRPr="00A74033" w:rsidRDefault="000A2DF4" w:rsidP="000A2DF4">
      <w:pPr>
        <w:widowControl w:val="0"/>
        <w:spacing w:before="120" w:line="380" w:lineRule="exact"/>
        <w:jc w:val="both"/>
      </w:pPr>
      <w:r>
        <w:t>W 2015</w:t>
      </w:r>
      <w:r w:rsidRPr="00A74033">
        <w:t xml:space="preserve"> r. nastąpił </w:t>
      </w:r>
      <w:r>
        <w:t>wzrost</w:t>
      </w:r>
      <w:r w:rsidRPr="00A74033">
        <w:t xml:space="preserve"> (o </w:t>
      </w:r>
      <w:r>
        <w:t>ok. 60% w stosunku do 2013</w:t>
      </w:r>
      <w:r w:rsidRPr="00A74033">
        <w:t xml:space="preserve"> r.) </w:t>
      </w:r>
      <w:r>
        <w:t xml:space="preserve">liczby </w:t>
      </w:r>
      <w:r w:rsidRPr="00A74033">
        <w:t xml:space="preserve">remontów kapitalnych </w:t>
      </w:r>
      <w:r>
        <w:t xml:space="preserve">przeprowadzonych </w:t>
      </w:r>
      <w:r w:rsidRPr="00A74033">
        <w:t xml:space="preserve">przez podmioty zarządzające zasobami mieszkaniowymi. </w:t>
      </w:r>
      <w:r>
        <w:t xml:space="preserve">Wśród ponad 1,1 tys. </w:t>
      </w:r>
      <w:r w:rsidRPr="00A74033">
        <w:t xml:space="preserve">mieszkań, których remont ten bezpośrednio </w:t>
      </w:r>
      <w:r w:rsidRPr="00727824">
        <w:t xml:space="preserve">dotyczył, </w:t>
      </w:r>
      <w:r w:rsidRPr="00A74033">
        <w:t>największy udział stanowiły mieszkania w zasobach</w:t>
      </w:r>
      <w:r>
        <w:t xml:space="preserve"> </w:t>
      </w:r>
      <w:r w:rsidRPr="00A74033">
        <w:t>gminnych</w:t>
      </w:r>
      <w:r>
        <w:t xml:space="preserve"> </w:t>
      </w:r>
      <w:r w:rsidRPr="00A74033">
        <w:t>(8</w:t>
      </w:r>
      <w:r>
        <w:t>1,8</w:t>
      </w:r>
      <w:r w:rsidRPr="00A74033">
        <w:t>%)</w:t>
      </w:r>
      <w:r>
        <w:t xml:space="preserve"> </w:t>
      </w:r>
      <w:r w:rsidRPr="00A74033">
        <w:t>i</w:t>
      </w:r>
      <w:r>
        <w:t xml:space="preserve"> Skarbu Państwa </w:t>
      </w:r>
      <w:r w:rsidRPr="00A74033">
        <w:t>(</w:t>
      </w:r>
      <w:r>
        <w:t>ok.10</w:t>
      </w:r>
      <w:r w:rsidRPr="00A74033">
        <w:t>%),</w:t>
      </w:r>
      <w:r>
        <w:t xml:space="preserve"> </w:t>
      </w:r>
      <w:r w:rsidRPr="00A74033">
        <w:t xml:space="preserve">najniższy w zasobach </w:t>
      </w:r>
      <w:r>
        <w:t>innych podmiotów</w:t>
      </w:r>
      <w:r w:rsidRPr="00A74033">
        <w:t xml:space="preserve"> (</w:t>
      </w:r>
      <w:r>
        <w:t>3,3</w:t>
      </w:r>
      <w:r w:rsidRPr="00A74033">
        <w:t xml:space="preserve">%). </w:t>
      </w:r>
      <w:r>
        <w:t>S</w:t>
      </w:r>
      <w:r w:rsidRPr="00A74033">
        <w:t xml:space="preserve">półdzielnie mieszkaniowe, towarzystwa budownictwa społecznego i </w:t>
      </w:r>
      <w:r>
        <w:t xml:space="preserve">wspólnoty mieszkaniowe </w:t>
      </w:r>
      <w:r w:rsidRPr="00A74033">
        <w:t xml:space="preserve"> nie dokonały żadnych remontów kapitalnych mieszkań.</w:t>
      </w:r>
    </w:p>
    <w:p w:rsidR="000A2DF4" w:rsidRDefault="000A2DF4" w:rsidP="000A2DF4">
      <w:pPr>
        <w:widowControl w:val="0"/>
        <w:spacing w:before="120" w:line="380" w:lineRule="exact"/>
        <w:jc w:val="both"/>
      </w:pPr>
      <w:r>
        <w:t>W porównaniu z</w:t>
      </w:r>
      <w:r w:rsidRPr="00A74033">
        <w:t xml:space="preserve"> 201</w:t>
      </w:r>
      <w:r>
        <w:t>3</w:t>
      </w:r>
      <w:r w:rsidRPr="00A74033">
        <w:t xml:space="preserve"> r.</w:t>
      </w:r>
      <w:r>
        <w:t xml:space="preserve"> spadła liczba wy</w:t>
      </w:r>
      <w:r w:rsidRPr="00A74033">
        <w:t>konanych robót remontowych (nie będących remontem kapitalnym) przywracających budynkom i mieszkaniom pierwotną wartość techniczną</w:t>
      </w:r>
      <w:r>
        <w:t xml:space="preserve">, które </w:t>
      </w:r>
      <w:r w:rsidRPr="00A74033">
        <w:t>polega</w:t>
      </w:r>
      <w:r>
        <w:t>ły</w:t>
      </w:r>
      <w:r w:rsidRPr="00A74033">
        <w:t xml:space="preserve"> przede wszystkim na wymianie stolarki budowlanej (o 1</w:t>
      </w:r>
      <w:r>
        <w:t>9,7</w:t>
      </w:r>
      <w:r w:rsidRPr="00A74033">
        <w:t>%) i remoncie dachu</w:t>
      </w:r>
      <w:r>
        <w:t xml:space="preserve"> (o 17</w:t>
      </w:r>
      <w:r w:rsidRPr="00A74033">
        <w:t xml:space="preserve">,6%). </w:t>
      </w:r>
      <w:r>
        <w:t>Wzrosła zaś (o 12,9%) liczba robót remontowych związanych z</w:t>
      </w:r>
      <w:r w:rsidRPr="00A74033">
        <w:t xml:space="preserve"> wymianą wszystkich lub niektórych instalacji</w:t>
      </w:r>
      <w:r>
        <w:t>.</w:t>
      </w:r>
    </w:p>
    <w:p w:rsidR="000A2DF4" w:rsidRPr="00315AC7" w:rsidRDefault="000A2DF4" w:rsidP="000A2DF4">
      <w:pPr>
        <w:pStyle w:val="Legenda"/>
        <w:spacing w:after="120"/>
        <w:rPr>
          <w:i w:val="0"/>
          <w:lang w:val="pl-PL"/>
        </w:rPr>
      </w:pPr>
      <w:bookmarkStart w:id="38" w:name="_Toc465667711"/>
      <w:r w:rsidRPr="00A00AE9">
        <w:rPr>
          <w:i w:val="0"/>
          <w:lang w:val="pl-PL"/>
        </w:rPr>
        <w:t xml:space="preserve">Tabl. </w:t>
      </w:r>
      <w:r w:rsidRPr="008A709D">
        <w:rPr>
          <w:i w:val="0"/>
        </w:rPr>
        <w:fldChar w:fldCharType="begin"/>
      </w:r>
      <w:r w:rsidRPr="00A00AE9">
        <w:rPr>
          <w:i w:val="0"/>
          <w:lang w:val="pl-PL"/>
        </w:rPr>
        <w:instrText xml:space="preserve"> SEQ Tabl. \* ARABIC </w:instrText>
      </w:r>
      <w:r w:rsidRPr="008A709D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9</w:t>
      </w:r>
      <w:r w:rsidRPr="008A709D">
        <w:rPr>
          <w:i w:val="0"/>
        </w:rPr>
        <w:fldChar w:fldCharType="end"/>
      </w:r>
      <w:r w:rsidRPr="00A00AE9">
        <w:rPr>
          <w:i w:val="0"/>
          <w:lang w:val="pl-PL"/>
        </w:rPr>
        <w:t xml:space="preserve"> Liczba mieszkań bezpośrednio wyremontowanych w 2015 r.</w:t>
      </w:r>
      <w:bookmarkEnd w:id="38"/>
    </w:p>
    <w:tbl>
      <w:tblPr>
        <w:tblW w:w="97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31"/>
        <w:gridCol w:w="1454"/>
        <w:gridCol w:w="1803"/>
        <w:gridCol w:w="1803"/>
        <w:gridCol w:w="1600"/>
      </w:tblGrid>
      <w:tr w:rsidR="000A2DF4" w:rsidRPr="00A74033" w:rsidTr="000A20E5">
        <w:trPr>
          <w:cantSplit/>
          <w:trHeight w:val="680"/>
        </w:trPr>
        <w:tc>
          <w:tcPr>
            <w:tcW w:w="3131" w:type="dxa"/>
            <w:tcBorders>
              <w:top w:val="single" w:sz="6" w:space="0" w:color="auto"/>
              <w:bottom w:val="nil"/>
            </w:tcBorders>
          </w:tcPr>
          <w:p w:rsidR="000A2DF4" w:rsidRPr="00315AC7" w:rsidRDefault="000A2DF4" w:rsidP="000A20E5">
            <w:pPr>
              <w:spacing w:line="280" w:lineRule="exact"/>
              <w:jc w:val="both"/>
              <w:outlineLvl w:val="8"/>
              <w:rPr>
                <w:i/>
                <w:szCs w:val="24"/>
              </w:rPr>
            </w:pPr>
          </w:p>
        </w:tc>
        <w:tc>
          <w:tcPr>
            <w:tcW w:w="1454" w:type="dxa"/>
            <w:vMerge w:val="restart"/>
            <w:tcBorders>
              <w:top w:val="single" w:sz="6" w:space="0" w:color="auto"/>
            </w:tcBorders>
          </w:tcPr>
          <w:p w:rsidR="000A2DF4" w:rsidRPr="00315AC7" w:rsidRDefault="000A2DF4" w:rsidP="000A20E5">
            <w:pPr>
              <w:spacing w:before="360" w:line="28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Po remontach kapitalnych</w:t>
            </w:r>
            <w:r>
              <w:rPr>
                <w:szCs w:val="24"/>
              </w:rPr>
              <w:t xml:space="preserve"> </w:t>
            </w:r>
            <w:r w:rsidRPr="00315AC7">
              <w:rPr>
                <w:szCs w:val="24"/>
              </w:rPr>
              <w:t>(w liczbach bezwzględ-nych)</w:t>
            </w:r>
          </w:p>
        </w:tc>
        <w:tc>
          <w:tcPr>
            <w:tcW w:w="5206" w:type="dxa"/>
            <w:gridSpan w:val="3"/>
            <w:tcBorders>
              <w:top w:val="single" w:sz="6" w:space="0" w:color="auto"/>
            </w:tcBorders>
            <w:vAlign w:val="center"/>
          </w:tcPr>
          <w:p w:rsidR="000A2DF4" w:rsidRPr="00315AC7" w:rsidRDefault="000A2DF4" w:rsidP="000A20E5">
            <w:pPr>
              <w:spacing w:line="28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Po robotach remontowych nie stanowiących remontu kapitalnego</w:t>
            </w:r>
          </w:p>
        </w:tc>
      </w:tr>
      <w:tr w:rsidR="000A2DF4" w:rsidRPr="00A74033" w:rsidTr="000A20E5">
        <w:trPr>
          <w:cantSplit/>
          <w:trHeight w:val="1020"/>
        </w:trPr>
        <w:tc>
          <w:tcPr>
            <w:tcW w:w="3131" w:type="dxa"/>
            <w:tcBorders>
              <w:top w:val="nil"/>
              <w:bottom w:val="nil"/>
            </w:tcBorders>
          </w:tcPr>
          <w:p w:rsidR="000A2DF4" w:rsidRPr="00315AC7" w:rsidRDefault="000A2DF4" w:rsidP="000A20E5">
            <w:pPr>
              <w:spacing w:line="280" w:lineRule="exact"/>
              <w:jc w:val="center"/>
              <w:outlineLvl w:val="8"/>
              <w:rPr>
                <w:szCs w:val="24"/>
              </w:rPr>
            </w:pPr>
            <w:r w:rsidRPr="00315AC7">
              <w:rPr>
                <w:szCs w:val="24"/>
              </w:rPr>
              <w:t>W zasobach:</w:t>
            </w:r>
          </w:p>
        </w:tc>
        <w:tc>
          <w:tcPr>
            <w:tcW w:w="1454" w:type="dxa"/>
            <w:vMerge/>
          </w:tcPr>
          <w:p w:rsidR="000A2DF4" w:rsidRPr="00315AC7" w:rsidRDefault="000A2DF4" w:rsidP="000A20E5">
            <w:pPr>
              <w:spacing w:line="280" w:lineRule="exact"/>
              <w:jc w:val="both"/>
              <w:rPr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0A2DF4" w:rsidRPr="00315AC7" w:rsidRDefault="000A2DF4" w:rsidP="000A20E5">
            <w:pPr>
              <w:spacing w:line="280" w:lineRule="exact"/>
              <w:jc w:val="center"/>
              <w:rPr>
                <w:szCs w:val="24"/>
              </w:rPr>
            </w:pPr>
            <w:r w:rsidRPr="00E52C53">
              <w:rPr>
                <w:szCs w:val="24"/>
              </w:rPr>
              <w:t>W</w:t>
            </w:r>
            <w:r w:rsidRPr="00315AC7">
              <w:rPr>
                <w:szCs w:val="24"/>
              </w:rPr>
              <w:t>ymiana</w:t>
            </w:r>
            <w:r>
              <w:rPr>
                <w:szCs w:val="24"/>
              </w:rPr>
              <w:t xml:space="preserve"> </w:t>
            </w:r>
            <w:r w:rsidRPr="00315AC7">
              <w:rPr>
                <w:szCs w:val="24"/>
              </w:rPr>
              <w:t>wszystkich</w:t>
            </w:r>
            <w:r>
              <w:rPr>
                <w:szCs w:val="24"/>
              </w:rPr>
              <w:t xml:space="preserve"> </w:t>
            </w:r>
            <w:r w:rsidRPr="00315AC7">
              <w:rPr>
                <w:szCs w:val="24"/>
              </w:rPr>
              <w:t>bądź niektórych</w:t>
            </w:r>
            <w:r>
              <w:rPr>
                <w:szCs w:val="24"/>
              </w:rPr>
              <w:t xml:space="preserve"> </w:t>
            </w:r>
            <w:r w:rsidRPr="00315AC7">
              <w:rPr>
                <w:szCs w:val="24"/>
              </w:rPr>
              <w:t>instalacji</w:t>
            </w:r>
          </w:p>
        </w:tc>
        <w:tc>
          <w:tcPr>
            <w:tcW w:w="1803" w:type="dxa"/>
            <w:vAlign w:val="center"/>
          </w:tcPr>
          <w:p w:rsidR="000A2DF4" w:rsidRPr="00315AC7" w:rsidRDefault="000A2DF4" w:rsidP="000A20E5">
            <w:pPr>
              <w:spacing w:line="28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remont</w:t>
            </w:r>
            <w:r>
              <w:rPr>
                <w:szCs w:val="24"/>
              </w:rPr>
              <w:t xml:space="preserve"> </w:t>
            </w:r>
            <w:r w:rsidRPr="00315AC7">
              <w:rPr>
                <w:szCs w:val="24"/>
              </w:rPr>
              <w:t>dachu</w:t>
            </w:r>
          </w:p>
        </w:tc>
        <w:tc>
          <w:tcPr>
            <w:tcW w:w="1600" w:type="dxa"/>
            <w:vAlign w:val="center"/>
          </w:tcPr>
          <w:p w:rsidR="000A2DF4" w:rsidRPr="00315AC7" w:rsidRDefault="000A2DF4" w:rsidP="000A20E5">
            <w:pPr>
              <w:spacing w:line="28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w</w:t>
            </w:r>
            <w:r w:rsidRPr="00315AC7">
              <w:rPr>
                <w:szCs w:val="24"/>
              </w:rPr>
              <w:t>ymiana</w:t>
            </w:r>
            <w:r>
              <w:rPr>
                <w:szCs w:val="24"/>
              </w:rPr>
              <w:t xml:space="preserve"> </w:t>
            </w:r>
            <w:r w:rsidRPr="00315AC7">
              <w:rPr>
                <w:szCs w:val="24"/>
              </w:rPr>
              <w:t>stolarki budowlanej</w:t>
            </w:r>
          </w:p>
        </w:tc>
      </w:tr>
      <w:tr w:rsidR="000A2DF4" w:rsidRPr="00A74033" w:rsidTr="000A20E5">
        <w:trPr>
          <w:cantSplit/>
          <w:trHeight w:val="427"/>
        </w:trPr>
        <w:tc>
          <w:tcPr>
            <w:tcW w:w="3131" w:type="dxa"/>
            <w:tcBorders>
              <w:top w:val="nil"/>
            </w:tcBorders>
          </w:tcPr>
          <w:p w:rsidR="000A2DF4" w:rsidRPr="000A2DF4" w:rsidRDefault="000A2DF4" w:rsidP="000A20E5">
            <w:pPr>
              <w:jc w:val="both"/>
              <w:outlineLvl w:val="8"/>
              <w:rPr>
                <w:szCs w:val="24"/>
              </w:rPr>
            </w:pPr>
          </w:p>
        </w:tc>
        <w:tc>
          <w:tcPr>
            <w:tcW w:w="1454" w:type="dxa"/>
            <w:vMerge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</w:p>
        </w:tc>
        <w:tc>
          <w:tcPr>
            <w:tcW w:w="5206" w:type="dxa"/>
            <w:gridSpan w:val="3"/>
          </w:tcPr>
          <w:p w:rsidR="000A2DF4" w:rsidRPr="00315AC7" w:rsidRDefault="000A2DF4" w:rsidP="000A20E5">
            <w:pPr>
              <w:spacing w:before="80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w tysiącach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jc w:val="both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>RAZEM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1</w:t>
            </w:r>
            <w:r w:rsidR="00CF458C">
              <w:rPr>
                <w:b/>
                <w:bCs/>
                <w:szCs w:val="24"/>
              </w:rPr>
              <w:t> </w:t>
            </w:r>
            <w:r w:rsidRPr="00315AC7">
              <w:rPr>
                <w:b/>
                <w:bCs/>
                <w:szCs w:val="24"/>
              </w:rPr>
              <w:t xml:space="preserve">118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386,4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98,6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 xml:space="preserve">216,1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gmin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914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16,0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8,3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18,9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spółdzielni mieszkaniowych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-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186,7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31,3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117,9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Skarbu Państwa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108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0,8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0,2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0,3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zakładów pracy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59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1,5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1,1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1,6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w budynkach wspólnotowych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-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180,6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57,5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76,7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Towarzystw budownictwa społecznego (TBS)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-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0,7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0,3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0,7 </w:t>
            </w:r>
          </w:p>
        </w:tc>
      </w:tr>
      <w:tr w:rsidR="000A2DF4" w:rsidRPr="00A74033" w:rsidTr="000A20E5">
        <w:trPr>
          <w:cantSplit/>
          <w:trHeight w:val="227"/>
        </w:trPr>
        <w:tc>
          <w:tcPr>
            <w:tcW w:w="3131" w:type="dxa"/>
            <w:vAlign w:val="center"/>
          </w:tcPr>
          <w:p w:rsidR="000A2DF4" w:rsidRPr="00315AC7" w:rsidRDefault="000A2DF4" w:rsidP="000A20E5">
            <w:pPr>
              <w:spacing w:before="60" w:after="60"/>
              <w:ind w:left="170"/>
              <w:rPr>
                <w:szCs w:val="24"/>
              </w:rPr>
            </w:pPr>
            <w:r w:rsidRPr="00315AC7">
              <w:rPr>
                <w:szCs w:val="24"/>
              </w:rPr>
              <w:t>innych podmiotów</w:t>
            </w:r>
          </w:p>
        </w:tc>
        <w:tc>
          <w:tcPr>
            <w:tcW w:w="1454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37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0,01 </w:t>
            </w:r>
          </w:p>
        </w:tc>
        <w:tc>
          <w:tcPr>
            <w:tcW w:w="1803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0,004 </w:t>
            </w:r>
          </w:p>
        </w:tc>
        <w:tc>
          <w:tcPr>
            <w:tcW w:w="1600" w:type="dxa"/>
            <w:vAlign w:val="bottom"/>
          </w:tcPr>
          <w:p w:rsidR="000A2DF4" w:rsidRPr="00315AC7" w:rsidRDefault="000A2DF4" w:rsidP="000A20E5">
            <w:pPr>
              <w:spacing w:before="60" w:after="60" w:line="22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0,008 </w:t>
            </w:r>
          </w:p>
        </w:tc>
      </w:tr>
    </w:tbl>
    <w:p w:rsidR="000A2DF4" w:rsidRPr="00A74033" w:rsidRDefault="000A2DF4" w:rsidP="000A2DF4">
      <w:pPr>
        <w:spacing w:before="240" w:line="400" w:lineRule="exact"/>
        <w:jc w:val="both"/>
      </w:pPr>
      <w:r w:rsidRPr="00C966CD">
        <w:t xml:space="preserve">Wśród mieszkań, w których przeprowadzono </w:t>
      </w:r>
      <w:r>
        <w:t>roboty remontowe niestanowiące remontu kapitalnego,</w:t>
      </w:r>
      <w:r>
        <w:br/>
        <w:t xml:space="preserve">w ponad 386 tys. (stanowiących ok. 67% ogółu mieszkań w budynkach, w których przeprowadzono </w:t>
      </w:r>
      <w:r>
        <w:br/>
        <w:t>i zakończono remonty) wymieniono wszystkie bądź niektóre instalacje, w ponad 216 tys. (stanowiących 40,2%) wymieniono stolarkę budowlaną, a w prawie 99 tys. (stanowiących 35%) wyremontowano dach.</w:t>
      </w:r>
    </w:p>
    <w:p w:rsidR="000A2DF4" w:rsidRDefault="000A2DF4" w:rsidP="000A2DF4">
      <w:pPr>
        <w:spacing w:before="120" w:line="400" w:lineRule="exact"/>
        <w:jc w:val="both"/>
      </w:pPr>
      <w:r w:rsidRPr="00A74033">
        <w:t>W 201</w:t>
      </w:r>
      <w:r>
        <w:t>5</w:t>
      </w:r>
      <w:r w:rsidRPr="00A74033">
        <w:t xml:space="preserve"> r. </w:t>
      </w:r>
      <w:r>
        <w:t>ok. 6</w:t>
      </w:r>
      <w:r w:rsidRPr="00A74033">
        <w:t xml:space="preserve">0 tys. mieszkań ogółem (wzrost o </w:t>
      </w:r>
      <w:r>
        <w:t>19,8</w:t>
      </w:r>
      <w:r w:rsidRPr="00A74033">
        <w:t>% w stosunku do 201</w:t>
      </w:r>
      <w:r>
        <w:t>3</w:t>
      </w:r>
      <w:r w:rsidRPr="00A74033">
        <w:t xml:space="preserve"> r.)</w:t>
      </w:r>
      <w:r>
        <w:t xml:space="preserve"> </w:t>
      </w:r>
      <w:r w:rsidRPr="00A74033">
        <w:t xml:space="preserve">zostało poddanych remontom związanym z podwyższeniem ich standardu poprzez </w:t>
      </w:r>
      <w:r>
        <w:t>doprowadzenie do</w:t>
      </w:r>
      <w:r w:rsidRPr="00A74033">
        <w:t xml:space="preserve"> budynk</w:t>
      </w:r>
      <w:r>
        <w:t>ów</w:t>
      </w:r>
      <w:r w:rsidRPr="00A74033">
        <w:t xml:space="preserve"> i mieszka</w:t>
      </w:r>
      <w:r>
        <w:t>ń</w:t>
      </w:r>
      <w:r w:rsidRPr="00A74033">
        <w:t xml:space="preserve"> w nich zlokalizowanych wcześniej nieistniejących instalacji techniczno-sanitarnych (wodociąg, kanalizacja, centralne ogrzewanie, ciepła woda, gaz sieciowy).</w:t>
      </w:r>
    </w:p>
    <w:p w:rsidR="000A2DF4" w:rsidRDefault="000A2DF4" w:rsidP="000A2DF4">
      <w:pPr>
        <w:spacing w:before="120" w:line="400" w:lineRule="exact"/>
        <w:jc w:val="both"/>
      </w:pPr>
      <w:r>
        <w:t xml:space="preserve">W badanym roku w 11,9 tys. mieszkań zainstalowano centralne ogrzewanie (wzrost o ponad 83% mieszkań wyremontowanych w tej grupie w stosunku do 2013 r.), podłączono bezpośrednio do sieci wodociągowej ok. 3,2 tys. mieszkań (wzrost o 74,3%) oraz ok. 6 tys. mieszkań do sieci kanalizacyjnej (wzrost o 5,9%), a do ok. 44 tys. mieszkań doprowadzono ciepłą wodę (wzrost o ok. 32%). </w:t>
      </w:r>
    </w:p>
    <w:p w:rsidR="000A2DF4" w:rsidRPr="00727824" w:rsidRDefault="000A2DF4" w:rsidP="000A2DF4">
      <w:pPr>
        <w:spacing w:before="120" w:line="400" w:lineRule="exact"/>
        <w:jc w:val="both"/>
      </w:pPr>
      <w:r>
        <w:t xml:space="preserve">W stosunku do 2013 r. zmniejszyła się natomiast liczba mieszkań, do których doprowadzono gaz z sieci (o ponad 31%) </w:t>
      </w:r>
      <w:r w:rsidRPr="00727824">
        <w:t>i których ściany zostały ocieplone poprzez zamocowanie od zewnątrz materiału termoizolacyjnego do ścian budynków (o ponad 2%).</w:t>
      </w:r>
    </w:p>
    <w:p w:rsidR="000A2DF4" w:rsidRPr="00A74033" w:rsidRDefault="000A2DF4" w:rsidP="000A2DF4">
      <w:pPr>
        <w:widowControl w:val="0"/>
        <w:spacing w:line="400" w:lineRule="exact"/>
        <w:jc w:val="both"/>
        <w:rPr>
          <w:strike/>
        </w:rPr>
      </w:pPr>
    </w:p>
    <w:p w:rsidR="000A2DF4" w:rsidRDefault="000A2DF4" w:rsidP="000A2DF4"/>
    <w:p w:rsidR="000A2DF4" w:rsidRDefault="000A2DF4" w:rsidP="000A2DF4">
      <w:pPr>
        <w:jc w:val="center"/>
      </w:pPr>
      <w:r w:rsidRPr="00AB43B6">
        <w:rPr>
          <w:noProof/>
        </w:rPr>
        <w:drawing>
          <wp:inline distT="0" distB="0" distL="0" distR="0" wp14:anchorId="5C41A93C" wp14:editId="5E065B5B">
            <wp:extent cx="6194066" cy="3216608"/>
            <wp:effectExtent l="0" t="0" r="0" b="3175"/>
            <wp:docPr id="23" name="Obraz 23" descr="C:\Users\knyszewskae\AppData\Local\Microsoft\Windows\INetCache\Content.Outlook\27BMNKU4\WYKR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nyszewskae\AppData\Local\Microsoft\Windows\INetCache\Content.Outlook\27BMNKU4\WYKRES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958" cy="32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DF4" w:rsidRPr="00A74033" w:rsidRDefault="000A2DF4" w:rsidP="000A2DF4">
      <w:pPr>
        <w:spacing w:before="240" w:line="360" w:lineRule="exact"/>
        <w:jc w:val="both"/>
        <w:rPr>
          <w:rFonts w:ascii="TimesNewRomanPSMT" w:hAnsi="TimesNewRomanPSMT" w:cs="TimesNewRomanPSMT"/>
        </w:rPr>
      </w:pPr>
      <w:r>
        <w:t xml:space="preserve">Wśród wszystkich mieszkań poddanych w 2015 r. remontom związanym z podwyższeniem ich standardu najwyższy udział stanowiły mieszkania w budynkach objętych wspólnotami mieszkaniowymi </w:t>
      </w:r>
      <w:r w:rsidR="00CF458C">
        <w:t>-</w:t>
      </w:r>
      <w:r>
        <w:t xml:space="preserve"> 64% i stanowiące własność </w:t>
      </w:r>
      <w:r w:rsidRPr="00A74033">
        <w:rPr>
          <w:rFonts w:ascii="TimesNewRomanPSMT" w:hAnsi="TimesNewRomanPSMT" w:cs="TimesNewRomanPSMT"/>
        </w:rPr>
        <w:t>spółdzielni mieszkaniowych</w:t>
      </w:r>
      <w:r>
        <w:rPr>
          <w:rFonts w:ascii="TimesNewRomanPSMT" w:hAnsi="TimesNewRomanPSMT" w:cs="TimesNewRomanPSMT"/>
        </w:rPr>
        <w:t xml:space="preserve"> - ok. 25</w:t>
      </w:r>
      <w:r w:rsidRPr="00A74033">
        <w:rPr>
          <w:rFonts w:ascii="TimesNewRomanPSMT" w:hAnsi="TimesNewRomanPSMT" w:cs="TimesNewRomanPSMT"/>
        </w:rPr>
        <w:t>%</w:t>
      </w:r>
      <w:r>
        <w:rPr>
          <w:rFonts w:ascii="TimesNewRomanPSMT" w:hAnsi="TimesNewRomanPSMT" w:cs="TimesNewRomanPSMT"/>
        </w:rPr>
        <w:t>.</w:t>
      </w:r>
      <w:r w:rsidRPr="00A7403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N</w:t>
      </w:r>
      <w:r w:rsidRPr="00A74033">
        <w:rPr>
          <w:rFonts w:ascii="TimesNewRomanPSMT" w:hAnsi="TimesNewRomanPSMT" w:cs="TimesNewRomanPSMT"/>
        </w:rPr>
        <w:t xml:space="preserve">ajmniej </w:t>
      </w:r>
      <w:r>
        <w:rPr>
          <w:rFonts w:ascii="TimesNewRomanPSMT" w:hAnsi="TimesNewRomanPSMT" w:cs="TimesNewRomanPSMT"/>
        </w:rPr>
        <w:t>stanowiły mieszkania pozostające w zasobie innych podmiotów</w:t>
      </w:r>
      <w:r w:rsidRPr="00A74033">
        <w:rPr>
          <w:rFonts w:ascii="TimesNewRomanPSMT" w:hAnsi="TimesNewRomanPSMT" w:cs="TimesNewRomanPSMT"/>
        </w:rPr>
        <w:t xml:space="preserve"> (w </w:t>
      </w:r>
      <w:r>
        <w:rPr>
          <w:rFonts w:ascii="TimesNewRomanPSMT" w:hAnsi="TimesNewRomanPSMT" w:cs="TimesNewRomanPSMT"/>
        </w:rPr>
        <w:t xml:space="preserve">ok. </w:t>
      </w:r>
      <w:r w:rsidRPr="00A74033">
        <w:rPr>
          <w:rFonts w:ascii="TimesNewRomanPSMT" w:hAnsi="TimesNewRomanPSMT" w:cs="TimesNewRomanPSMT"/>
        </w:rPr>
        <w:t>0,0</w:t>
      </w:r>
      <w:r>
        <w:rPr>
          <w:rFonts w:ascii="TimesNewRomanPSMT" w:hAnsi="TimesNewRomanPSMT" w:cs="TimesNewRomanPSMT"/>
        </w:rPr>
        <w:t>1</w:t>
      </w:r>
      <w:r w:rsidRPr="00A74033">
        <w:rPr>
          <w:rFonts w:ascii="TimesNewRomanPSMT" w:hAnsi="TimesNewRomanPSMT" w:cs="TimesNewRomanPSMT"/>
        </w:rPr>
        <w:t xml:space="preserve">% mieszkań), </w:t>
      </w:r>
      <w:r>
        <w:rPr>
          <w:rFonts w:ascii="TimesNewRomanPSMT" w:hAnsi="TimesNewRomanPSMT" w:cs="TimesNewRomanPSMT"/>
        </w:rPr>
        <w:t>towarzystw budownictwa społecznego (w 0,1</w:t>
      </w:r>
      <w:r w:rsidRPr="00A74033">
        <w:rPr>
          <w:rFonts w:ascii="TimesNewRomanPSMT" w:hAnsi="TimesNewRomanPSMT" w:cs="TimesNewRomanPSMT"/>
        </w:rPr>
        <w:t xml:space="preserve">% mieszkań) i </w:t>
      </w:r>
      <w:r>
        <w:rPr>
          <w:rFonts w:ascii="TimesNewRomanPSMT" w:hAnsi="TimesNewRomanPSMT" w:cs="TimesNewRomanPSMT"/>
        </w:rPr>
        <w:t>zakładów pracy</w:t>
      </w:r>
      <w:r w:rsidRPr="00A74033">
        <w:rPr>
          <w:rFonts w:ascii="TimesNewRomanPSMT" w:hAnsi="TimesNewRomanPSMT" w:cs="TimesNewRomanPSMT"/>
        </w:rPr>
        <w:t xml:space="preserve"> (w 0,5% mieszkań).</w:t>
      </w:r>
    </w:p>
    <w:p w:rsidR="000A2DF4" w:rsidRDefault="000A2DF4" w:rsidP="000A2DF4">
      <w:pPr>
        <w:rPr>
          <w:b/>
          <w:sz w:val="32"/>
          <w:szCs w:val="32"/>
        </w:rPr>
      </w:pPr>
    </w:p>
    <w:p w:rsidR="000A2DF4" w:rsidRPr="00CB3E48" w:rsidRDefault="000A2DF4" w:rsidP="000A2DF4">
      <w:pPr>
        <w:pStyle w:val="GM5"/>
      </w:pPr>
      <w:bookmarkStart w:id="39" w:name="_Toc465667894"/>
      <w:r w:rsidRPr="00CB3E48">
        <w:t>Dodatki mieszkaniowe</w:t>
      </w:r>
      <w:bookmarkEnd w:id="39"/>
    </w:p>
    <w:p w:rsidR="000A2DF4" w:rsidRDefault="000A2DF4" w:rsidP="000A2DF4">
      <w:pPr>
        <w:widowControl w:val="0"/>
        <w:tabs>
          <w:tab w:val="left" w:pos="720"/>
        </w:tabs>
        <w:spacing w:before="120" w:line="360" w:lineRule="exact"/>
        <w:jc w:val="both"/>
      </w:pPr>
      <w:r w:rsidRPr="00CB3E48">
        <w:t>W 201</w:t>
      </w:r>
      <w:r>
        <w:t>5</w:t>
      </w:r>
      <w:r w:rsidRPr="00CB3E48">
        <w:t xml:space="preserve"> r. wypłacono 4,</w:t>
      </w:r>
      <w:r>
        <w:t>4</w:t>
      </w:r>
      <w:r w:rsidRPr="00CB3E48">
        <w:t xml:space="preserve"> mln dodatków mieszkaniowych. W porównaniu z rokiem poprzednim nastąpił niewielki spadek ich liczby (o </w:t>
      </w:r>
      <w:r>
        <w:t>7,5</w:t>
      </w:r>
      <w:r w:rsidRPr="00CB3E48">
        <w:t>%). Łączna kwota wypłat wyniosła ok. </w:t>
      </w:r>
      <w:r>
        <w:t>894</w:t>
      </w:r>
      <w:r w:rsidRPr="00CB3E48">
        <w:t xml:space="preserve"> mln</w:t>
      </w:r>
      <w:r w:rsidRPr="00CB3E48">
        <w:rPr>
          <w:rFonts w:ascii="Arial" w:hAnsi="Arial"/>
          <w:sz w:val="22"/>
        </w:rPr>
        <w:t> </w:t>
      </w:r>
      <w:r w:rsidRPr="00CB3E48">
        <w:t>zł i w porównaniu z 201</w:t>
      </w:r>
      <w:r>
        <w:t>4</w:t>
      </w:r>
      <w:r w:rsidRPr="00CB3E48">
        <w:t xml:space="preserve"> r. była niższa o ok. </w:t>
      </w:r>
      <w:r>
        <w:t>7,9</w:t>
      </w:r>
      <w:r w:rsidRPr="00CB3E48">
        <w:t>%.</w:t>
      </w:r>
    </w:p>
    <w:p w:rsidR="000A2DF4" w:rsidRDefault="000A2DF4" w:rsidP="000A2DF4">
      <w:pPr>
        <w:widowControl w:val="0"/>
        <w:tabs>
          <w:tab w:val="left" w:pos="709"/>
        </w:tabs>
        <w:spacing w:before="120" w:line="360" w:lineRule="exact"/>
        <w:jc w:val="both"/>
      </w:pPr>
      <w:r w:rsidRPr="00CB3E48">
        <w:t xml:space="preserve">Analogicznie do roku poprzedniego, </w:t>
      </w:r>
      <w:r>
        <w:t>najwięcej dodatków mieszkaniowych wypłacono</w:t>
      </w:r>
      <w:r w:rsidRPr="00CB3E48">
        <w:t xml:space="preserve"> </w:t>
      </w:r>
      <w:r w:rsidRPr="00727824">
        <w:t>użytkownikom lokali gminnych</w:t>
      </w:r>
      <w:r>
        <w:t>, tj.</w:t>
      </w:r>
      <w:r w:rsidRPr="00727824">
        <w:t xml:space="preserve"> 39,8%</w:t>
      </w:r>
      <w:r>
        <w:t xml:space="preserve"> liczby i 41,1% wartości wypłaconych dodatków</w:t>
      </w:r>
      <w:r w:rsidRPr="00727824">
        <w:t xml:space="preserve"> </w:t>
      </w:r>
      <w:r>
        <w:t>oraz</w:t>
      </w:r>
      <w:r w:rsidRPr="00727824">
        <w:t xml:space="preserve"> </w:t>
      </w:r>
      <w:r>
        <w:t xml:space="preserve">lokali </w:t>
      </w:r>
      <w:r w:rsidRPr="00727824">
        <w:t>spółdzielczych</w:t>
      </w:r>
      <w:r>
        <w:t>, tj.</w:t>
      </w:r>
      <w:r w:rsidRPr="00727824">
        <w:t xml:space="preserve"> 27,8%</w:t>
      </w:r>
      <w:r>
        <w:t xml:space="preserve"> liczby i 25,6% wartości dodatków. Najmniej dodatków uzyskali</w:t>
      </w:r>
      <w:r w:rsidRPr="00727824">
        <w:t xml:space="preserve"> </w:t>
      </w:r>
      <w:r>
        <w:t xml:space="preserve">natomiast użytkownicy mieszkań </w:t>
      </w:r>
      <w:r w:rsidRPr="00727824">
        <w:t>towarzystw budownictwa społecznego</w:t>
      </w:r>
      <w:r>
        <w:t>, tj.</w:t>
      </w:r>
      <w:r w:rsidRPr="00727824">
        <w:t xml:space="preserve"> 2,0%</w:t>
      </w:r>
      <w:r>
        <w:t xml:space="preserve"> liczby i 2,5% wartości dodatków oraz </w:t>
      </w:r>
      <w:r w:rsidRPr="00727824">
        <w:t>innych podmiotów</w:t>
      </w:r>
      <w:r>
        <w:t>, tj.</w:t>
      </w:r>
      <w:r w:rsidRPr="00727824">
        <w:t xml:space="preserve"> 6,4%</w:t>
      </w:r>
      <w:r>
        <w:t xml:space="preserve"> liczby i 6,9% wartości wypłaconych dodatków.</w:t>
      </w:r>
    </w:p>
    <w:p w:rsidR="000A2DF4" w:rsidRDefault="000A2DF4" w:rsidP="000A2DF4">
      <w:pPr>
        <w:widowControl w:val="0"/>
        <w:tabs>
          <w:tab w:val="left" w:pos="709"/>
        </w:tabs>
        <w:spacing w:before="120" w:line="360" w:lineRule="exact"/>
        <w:jc w:val="both"/>
      </w:pPr>
      <w:r>
        <w:t>Najwyższy udział zarówno w liczbie, jak i wartości dodatków wypłaconych w 2015r. miały</w:t>
      </w:r>
      <w:r w:rsidRPr="00727824">
        <w:t xml:space="preserve"> województwa: śląski</w:t>
      </w:r>
      <w:r>
        <w:t>e</w:t>
      </w:r>
      <w:r w:rsidRPr="00727824">
        <w:t xml:space="preserve"> </w:t>
      </w:r>
      <w:r>
        <w:t>(odpowiednio</w:t>
      </w:r>
      <w:r w:rsidRPr="00727824">
        <w:t xml:space="preserve"> 16,5%</w:t>
      </w:r>
      <w:r>
        <w:t xml:space="preserve"> liczby i 17,6% wartości wypłaconych dodatków)</w:t>
      </w:r>
      <w:r w:rsidRPr="00727824">
        <w:t>, mazowiecki</w:t>
      </w:r>
      <w:r>
        <w:t>e</w:t>
      </w:r>
      <w:r w:rsidRPr="00727824">
        <w:t xml:space="preserve"> </w:t>
      </w:r>
      <w:r>
        <w:t>(</w:t>
      </w:r>
      <w:r w:rsidRPr="00727824">
        <w:t>10,2%</w:t>
      </w:r>
      <w:r>
        <w:t xml:space="preserve"> i 10,6%)</w:t>
      </w:r>
      <w:r w:rsidRPr="00727824">
        <w:t>, wielkopolski</w:t>
      </w:r>
      <w:r>
        <w:t>e</w:t>
      </w:r>
      <w:r w:rsidRPr="00727824">
        <w:t xml:space="preserve"> </w:t>
      </w:r>
      <w:r>
        <w:t>(</w:t>
      </w:r>
      <w:r w:rsidRPr="00727824">
        <w:t>8,6%</w:t>
      </w:r>
      <w:r>
        <w:t xml:space="preserve"> i 9,6%)</w:t>
      </w:r>
      <w:r w:rsidRPr="00727824">
        <w:t xml:space="preserve"> i kujawsko-pomorski</w:t>
      </w:r>
      <w:r>
        <w:t>e</w:t>
      </w:r>
      <w:r w:rsidRPr="00727824">
        <w:t xml:space="preserve"> </w:t>
      </w:r>
      <w:r>
        <w:t>(</w:t>
      </w:r>
      <w:r w:rsidRPr="00727824">
        <w:t>8,2%</w:t>
      </w:r>
      <w:r>
        <w:t xml:space="preserve"> i 8,3%)</w:t>
      </w:r>
      <w:r w:rsidRPr="00727824">
        <w:t>, najniższ</w:t>
      </w:r>
      <w:r>
        <w:t>y zaś</w:t>
      </w:r>
      <w:r w:rsidRPr="00727824">
        <w:t xml:space="preserve"> </w:t>
      </w:r>
      <w:r>
        <w:t xml:space="preserve">udział </w:t>
      </w:r>
      <w:r w:rsidRPr="00727824">
        <w:t>województw</w:t>
      </w:r>
      <w:r w:rsidR="00BD2857">
        <w:t>a:</w:t>
      </w:r>
      <w:r w:rsidRPr="00727824">
        <w:t xml:space="preserve"> świętokrzyski</w:t>
      </w:r>
      <w:r>
        <w:t>e</w:t>
      </w:r>
      <w:r w:rsidRPr="00727824">
        <w:t xml:space="preserve"> </w:t>
      </w:r>
      <w:r>
        <w:t>(2,0% i 1,7%),</w:t>
      </w:r>
      <w:r w:rsidRPr="00727824">
        <w:t xml:space="preserve"> opolski</w:t>
      </w:r>
      <w:r>
        <w:t>e</w:t>
      </w:r>
      <w:r w:rsidRPr="00727824">
        <w:t xml:space="preserve"> </w:t>
      </w:r>
      <w:r>
        <w:t>(</w:t>
      </w:r>
      <w:r w:rsidRPr="00CB3E48">
        <w:t xml:space="preserve">2,0% </w:t>
      </w:r>
      <w:r>
        <w:t xml:space="preserve">i 1,9%) </w:t>
      </w:r>
      <w:r w:rsidRPr="00CB3E48">
        <w:t>i lubuski</w:t>
      </w:r>
      <w:r w:rsidR="00BD2857">
        <w:t>e</w:t>
      </w:r>
      <w:r w:rsidRPr="00CB3E48">
        <w:t xml:space="preserve"> </w:t>
      </w:r>
      <w:r>
        <w:t>(2,9</w:t>
      </w:r>
      <w:r w:rsidRPr="00CB3E48">
        <w:t>%</w:t>
      </w:r>
      <w:r>
        <w:t xml:space="preserve"> zarówno liczby, jak i wartości wypłaconych dodatków).</w:t>
      </w:r>
    </w:p>
    <w:p w:rsidR="000A2DF4" w:rsidRPr="00DD1CAF" w:rsidRDefault="000A2DF4" w:rsidP="000A2DF4">
      <w:pPr>
        <w:tabs>
          <w:tab w:val="center" w:pos="5954"/>
        </w:tabs>
        <w:spacing w:line="480" w:lineRule="auto"/>
        <w:jc w:val="both"/>
        <w:rPr>
          <w:b/>
          <w:szCs w:val="24"/>
        </w:rPr>
      </w:pPr>
    </w:p>
    <w:p w:rsidR="000A2DF4" w:rsidRDefault="000A2DF4" w:rsidP="00A2203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4EB95DD" wp14:editId="4CE11707">
            <wp:extent cx="5766816" cy="4818888"/>
            <wp:effectExtent l="0" t="0" r="5715" b="127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PKA9 201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481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DF4" w:rsidRPr="00BE7F90" w:rsidRDefault="000A2DF4" w:rsidP="000A2DF4">
      <w:pPr>
        <w:widowControl w:val="0"/>
        <w:tabs>
          <w:tab w:val="left" w:pos="720"/>
        </w:tabs>
        <w:spacing w:before="120" w:line="360" w:lineRule="exact"/>
        <w:jc w:val="both"/>
      </w:pPr>
      <w:r w:rsidRPr="00BE2E8A">
        <w:rPr>
          <w:szCs w:val="24"/>
        </w:rPr>
        <w:t>W 2015</w:t>
      </w:r>
      <w:r>
        <w:rPr>
          <w:szCs w:val="24"/>
        </w:rPr>
        <w:t xml:space="preserve"> </w:t>
      </w:r>
      <w:r w:rsidRPr="00BE2E8A">
        <w:rPr>
          <w:szCs w:val="24"/>
        </w:rPr>
        <w:t xml:space="preserve">r. </w:t>
      </w:r>
      <w:r w:rsidRPr="00BE4CDB">
        <w:rPr>
          <w:szCs w:val="24"/>
        </w:rPr>
        <w:t>przeciętna wysokość dodatków mieszkaniowych kształtowała się na poziomie</w:t>
      </w:r>
      <w:r w:rsidRPr="00CB3E48">
        <w:t xml:space="preserve"> </w:t>
      </w:r>
      <w:r>
        <w:t>zbliżonym do</w:t>
      </w:r>
      <w:r w:rsidRPr="00CB3E48">
        <w:br/>
      </w:r>
      <w:r>
        <w:t>2</w:t>
      </w:r>
      <w:r w:rsidRPr="00CB3E48">
        <w:t>01</w:t>
      </w:r>
      <w:r>
        <w:t>4</w:t>
      </w:r>
      <w:r w:rsidRPr="00CB3E48">
        <w:t xml:space="preserve"> roku i wyn</w:t>
      </w:r>
      <w:r>
        <w:t>iosła</w:t>
      </w:r>
      <w:r w:rsidRPr="00CB3E48">
        <w:t xml:space="preserve"> 204,</w:t>
      </w:r>
      <w:r>
        <w:t>1</w:t>
      </w:r>
      <w:r w:rsidRPr="00CB3E48">
        <w:t xml:space="preserve"> zł (w stosunku do poprzedniego </w:t>
      </w:r>
      <w:r w:rsidRPr="00BE7F90">
        <w:t xml:space="preserve">roku zmalała o 0,3 zł), przy czym </w:t>
      </w:r>
      <w:r w:rsidRPr="00BE7F90">
        <w:br/>
        <w:t xml:space="preserve">w miastach </w:t>
      </w:r>
      <w:r>
        <w:t>było to</w:t>
      </w:r>
      <w:r w:rsidRPr="00BE7F90">
        <w:t xml:space="preserve"> 206,6 zł, a na wsi – 181,6 zł. Podobnie jak w roku poprzednim najwyższa przeciętna </w:t>
      </w:r>
      <w:r>
        <w:t xml:space="preserve">kwota dodatku </w:t>
      </w:r>
      <w:r w:rsidRPr="00BE7F90">
        <w:t>została wypłacona użytkownikom lokali pozostających w zasobie towarzystw budownictwa społecznego – 250,1 zł, a najniższa - użytkownikom lokali pozostających w zasobie wspólnot mieszkaniowych – 184</w:t>
      </w:r>
      <w:r>
        <w:t>,0</w:t>
      </w:r>
      <w:r w:rsidRPr="00BE7F90">
        <w:t> zł.</w:t>
      </w:r>
    </w:p>
    <w:p w:rsidR="000A2DF4" w:rsidRPr="00CB3E48" w:rsidRDefault="000A2DF4" w:rsidP="000A2DF4">
      <w:pPr>
        <w:spacing w:before="120" w:line="360" w:lineRule="exact"/>
        <w:jc w:val="both"/>
      </w:pPr>
      <w:r w:rsidRPr="00BE7F90">
        <w:t xml:space="preserve">Nadal największą przeciętną wysokość wypłaconych dodatków mieszkaniowych </w:t>
      </w:r>
      <w:r w:rsidRPr="00CB3E48">
        <w:t xml:space="preserve">odnotowano </w:t>
      </w:r>
      <w:r w:rsidRPr="00CB3E48">
        <w:br/>
        <w:t xml:space="preserve">w województwach: wielkopolskim – </w:t>
      </w:r>
      <w:r>
        <w:t>227,9</w:t>
      </w:r>
      <w:r w:rsidRPr="00CB3E48">
        <w:t> zł, małopolskim – 22</w:t>
      </w:r>
      <w:r>
        <w:t>4,1</w:t>
      </w:r>
      <w:r w:rsidRPr="00CB3E48">
        <w:t>zł i śląskim – 2</w:t>
      </w:r>
      <w:r>
        <w:t>18,0</w:t>
      </w:r>
      <w:r w:rsidRPr="00CB3E48">
        <w:t> zł, najmniejszą – w województwach: warmińsko-mazurskim (169,2 zł), świętokrzyskim (17</w:t>
      </w:r>
      <w:r>
        <w:t>0,5</w:t>
      </w:r>
      <w:r w:rsidRPr="00CB3E48">
        <w:t> zł) i lubelskim (</w:t>
      </w:r>
      <w:r>
        <w:t>178,5</w:t>
      </w:r>
      <w:r w:rsidRPr="00CB3E48">
        <w:t> zł).</w:t>
      </w:r>
    </w:p>
    <w:p w:rsidR="000A2DF4" w:rsidRPr="00CB3E48" w:rsidRDefault="000A2DF4" w:rsidP="000A2DF4">
      <w:pPr>
        <w:widowControl w:val="0"/>
        <w:tabs>
          <w:tab w:val="left" w:pos="709"/>
        </w:tabs>
        <w:spacing w:before="120" w:line="360" w:lineRule="exact"/>
        <w:jc w:val="both"/>
      </w:pPr>
    </w:p>
    <w:p w:rsidR="000A2DF4" w:rsidRDefault="000A2DF4" w:rsidP="000A2DF4">
      <w:pPr>
        <w:pStyle w:val="GM5"/>
      </w:pPr>
    </w:p>
    <w:p w:rsidR="000A2DF4" w:rsidRPr="00CB3E48" w:rsidRDefault="000A2DF4">
      <w:pPr>
        <w:pStyle w:val="GM5"/>
      </w:pPr>
      <w:bookmarkStart w:id="40" w:name="_Toc465667895"/>
      <w:r w:rsidRPr="00CB3E48">
        <w:t>Gospodarka gruntami pod budownictwo mieszkaniowe</w:t>
      </w:r>
      <w:bookmarkEnd w:id="40"/>
    </w:p>
    <w:p w:rsidR="000A2DF4" w:rsidRDefault="000A2DF4" w:rsidP="000A2DF4">
      <w:pPr>
        <w:spacing w:before="240" w:after="120" w:line="340" w:lineRule="exact"/>
        <w:jc w:val="both"/>
      </w:pPr>
      <w:r w:rsidRPr="00CB3E48">
        <w:t>W 201</w:t>
      </w:r>
      <w:r>
        <w:t>5</w:t>
      </w:r>
      <w:r w:rsidRPr="00CB3E48">
        <w:t xml:space="preserve"> r. gminy przekazały inwestorom pod budownictwo mieszkaniowe </w:t>
      </w:r>
      <w:r>
        <w:t xml:space="preserve">797,2 </w:t>
      </w:r>
      <w:r w:rsidRPr="00CB3E48">
        <w:t xml:space="preserve"> ha gruntów, z których 81,</w:t>
      </w:r>
      <w:r>
        <w:t>9</w:t>
      </w:r>
      <w:r w:rsidRPr="00CB3E48">
        <w:t xml:space="preserve">% przeznaczono pod budownictwo mieszkaniowe jednorodzinne. Z ogólnej powierzchni gruntów przekazanych pod budownictwo mieszkaniowe </w:t>
      </w:r>
      <w:r>
        <w:t>58,6</w:t>
      </w:r>
      <w:r w:rsidRPr="00CB3E48">
        <w:t>% stanowiły grunty w miastach.</w:t>
      </w:r>
    </w:p>
    <w:p w:rsidR="000A2DF4" w:rsidRPr="00A00AE9" w:rsidRDefault="000A2DF4" w:rsidP="000A2DF4">
      <w:pPr>
        <w:pStyle w:val="Legenda"/>
        <w:spacing w:after="120"/>
        <w:rPr>
          <w:i w:val="0"/>
          <w:lang w:val="pl-PL"/>
        </w:rPr>
      </w:pPr>
      <w:bookmarkStart w:id="41" w:name="_Toc465667712"/>
      <w:r w:rsidRPr="00A00AE9">
        <w:rPr>
          <w:i w:val="0"/>
          <w:lang w:val="pl-PL"/>
        </w:rPr>
        <w:t xml:space="preserve">Tabl. </w:t>
      </w:r>
      <w:r w:rsidRPr="008A709D">
        <w:rPr>
          <w:i w:val="0"/>
        </w:rPr>
        <w:fldChar w:fldCharType="begin"/>
      </w:r>
      <w:r w:rsidRPr="00A00AE9">
        <w:rPr>
          <w:i w:val="0"/>
          <w:lang w:val="pl-PL"/>
        </w:rPr>
        <w:instrText xml:space="preserve"> SEQ Tabl. \* ARABIC </w:instrText>
      </w:r>
      <w:r w:rsidRPr="008A709D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10</w:t>
      </w:r>
      <w:r w:rsidRPr="008A709D">
        <w:rPr>
          <w:i w:val="0"/>
        </w:rPr>
        <w:fldChar w:fldCharType="end"/>
      </w:r>
      <w:r w:rsidRPr="00A00AE9">
        <w:rPr>
          <w:i w:val="0"/>
          <w:lang w:val="pl-PL"/>
        </w:rPr>
        <w:t xml:space="preserve"> </w:t>
      </w:r>
      <w:r w:rsidRPr="00A00AE9">
        <w:rPr>
          <w:i w:val="0"/>
          <w:spacing w:val="-4"/>
          <w:lang w:val="pl-PL"/>
        </w:rPr>
        <w:t>Udział gruntów przekazanych pod budownictwo mieszkaniowe według województw (w %)</w:t>
      </w:r>
      <w:bookmarkEnd w:id="41"/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9"/>
        <w:gridCol w:w="1701"/>
        <w:gridCol w:w="1701"/>
        <w:gridCol w:w="1701"/>
      </w:tblGrid>
      <w:tr w:rsidR="000A2DF4" w:rsidRPr="00CB3E48" w:rsidTr="000A20E5">
        <w:trPr>
          <w:trHeight w:val="680"/>
          <w:jc w:val="center"/>
        </w:trPr>
        <w:tc>
          <w:tcPr>
            <w:tcW w:w="4649" w:type="dxa"/>
            <w:vMerge w:val="restart"/>
            <w:tcBorders>
              <w:top w:val="single" w:sz="4" w:space="0" w:color="auto"/>
            </w:tcBorders>
            <w:vAlign w:val="center"/>
          </w:tcPr>
          <w:p w:rsidR="000A2DF4" w:rsidRPr="00315AC7" w:rsidRDefault="000A2DF4" w:rsidP="00A22038">
            <w:pPr>
              <w:spacing w:line="26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Województwa</w:t>
            </w:r>
          </w:p>
        </w:tc>
        <w:tc>
          <w:tcPr>
            <w:tcW w:w="5103" w:type="dxa"/>
            <w:gridSpan w:val="3"/>
            <w:vAlign w:val="center"/>
          </w:tcPr>
          <w:p w:rsidR="000A2DF4" w:rsidRPr="00315AC7" w:rsidRDefault="000A2DF4" w:rsidP="00A22038">
            <w:pPr>
              <w:spacing w:line="26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Grunty przekazane pod budownictwo mieszkaniowe</w:t>
            </w:r>
          </w:p>
        </w:tc>
      </w:tr>
      <w:tr w:rsidR="000A2DF4" w:rsidRPr="00CB3E48" w:rsidTr="000A20E5">
        <w:trPr>
          <w:trHeight w:val="567"/>
          <w:jc w:val="center"/>
        </w:trPr>
        <w:tc>
          <w:tcPr>
            <w:tcW w:w="4649" w:type="dxa"/>
            <w:vMerge/>
          </w:tcPr>
          <w:p w:rsidR="000A2DF4" w:rsidRPr="00315AC7" w:rsidRDefault="000A2DF4" w:rsidP="000A20E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A2DF4" w:rsidRPr="00315AC7" w:rsidRDefault="000A2DF4" w:rsidP="00A22038">
            <w:pPr>
              <w:spacing w:line="26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ogółem</w:t>
            </w:r>
          </w:p>
        </w:tc>
        <w:tc>
          <w:tcPr>
            <w:tcW w:w="1701" w:type="dxa"/>
            <w:vAlign w:val="center"/>
          </w:tcPr>
          <w:p w:rsidR="000A2DF4" w:rsidRPr="00315AC7" w:rsidRDefault="000A2DF4" w:rsidP="00A22038">
            <w:pPr>
              <w:spacing w:line="26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jednorodzinne</w:t>
            </w:r>
          </w:p>
        </w:tc>
        <w:tc>
          <w:tcPr>
            <w:tcW w:w="1701" w:type="dxa"/>
            <w:vAlign w:val="center"/>
          </w:tcPr>
          <w:p w:rsidR="000A2DF4" w:rsidRPr="00315AC7" w:rsidRDefault="000A2DF4" w:rsidP="00A22038">
            <w:pPr>
              <w:spacing w:line="260" w:lineRule="exact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wielorodzinne</w:t>
            </w:r>
          </w:p>
        </w:tc>
      </w:tr>
      <w:tr w:rsidR="000A2DF4" w:rsidRPr="00CB3E48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POLSKA</w:t>
            </w:r>
          </w:p>
        </w:tc>
        <w:tc>
          <w:tcPr>
            <w:tcW w:w="1701" w:type="dxa"/>
          </w:tcPr>
          <w:p w:rsidR="000A2DF4" w:rsidRPr="00315AC7" w:rsidRDefault="000A2DF4" w:rsidP="000A20E5">
            <w:pPr>
              <w:spacing w:before="20" w:after="20" w:line="240" w:lineRule="exact"/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>100,0</w:t>
            </w:r>
          </w:p>
        </w:tc>
        <w:tc>
          <w:tcPr>
            <w:tcW w:w="1701" w:type="dxa"/>
          </w:tcPr>
          <w:p w:rsidR="000A2DF4" w:rsidRPr="00315AC7" w:rsidRDefault="000A2DF4" w:rsidP="000A20E5">
            <w:pPr>
              <w:spacing w:before="20" w:after="20" w:line="240" w:lineRule="exact"/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>100,0</w:t>
            </w:r>
          </w:p>
        </w:tc>
        <w:tc>
          <w:tcPr>
            <w:tcW w:w="1701" w:type="dxa"/>
          </w:tcPr>
          <w:p w:rsidR="000A2DF4" w:rsidRPr="00315AC7" w:rsidRDefault="000A2DF4" w:rsidP="000A20E5">
            <w:pPr>
              <w:spacing w:before="20" w:after="20" w:line="240" w:lineRule="exact"/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>100,0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Dolnośląskie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13,0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12,5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15,4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Kujawsko-pomorskie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3,2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7,1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Lubelskie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3,0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3,4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1,5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Lubuskie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8,0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1,6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Łódzkie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8,2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1,2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Małopolskie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5,6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6,5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1,3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Mazowieckie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7,2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6,3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11,7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Opolskie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2,7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2,7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2,6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Podkarpackie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6,4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7,5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1,4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Podlaskie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2,3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2,1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3,3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Pomorskie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8,2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18,3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Śląskie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11,9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12,4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9,8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Świętokrzyskie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0,8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0,3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Warmińsko-mazurskie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5,8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5,0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9,5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Wielkopolskie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9,6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8,9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12,9 </w:t>
            </w:r>
          </w:p>
        </w:tc>
      </w:tr>
      <w:tr w:rsidR="000A2DF4" w:rsidRPr="00BE7F90" w:rsidTr="000A20E5">
        <w:trPr>
          <w:trHeight w:val="340"/>
          <w:jc w:val="center"/>
        </w:trPr>
        <w:tc>
          <w:tcPr>
            <w:tcW w:w="4649" w:type="dxa"/>
            <w:vAlign w:val="center"/>
          </w:tcPr>
          <w:p w:rsidR="000A2DF4" w:rsidRPr="00315AC7" w:rsidRDefault="000A2DF4" w:rsidP="000A20E5">
            <w:pPr>
              <w:spacing w:line="240" w:lineRule="exact"/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Zachodniopomorskie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5,7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6,5 </w:t>
            </w:r>
          </w:p>
        </w:tc>
        <w:tc>
          <w:tcPr>
            <w:tcW w:w="1701" w:type="dxa"/>
            <w:vAlign w:val="bottom"/>
          </w:tcPr>
          <w:p w:rsidR="000A2DF4" w:rsidRPr="00315AC7" w:rsidRDefault="000A2DF4" w:rsidP="000A20E5">
            <w:pPr>
              <w:spacing w:line="240" w:lineRule="exact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2,3 </w:t>
            </w:r>
          </w:p>
        </w:tc>
      </w:tr>
    </w:tbl>
    <w:p w:rsidR="000A2DF4" w:rsidRPr="00BE7F90" w:rsidRDefault="000A2DF4" w:rsidP="000A2DF4">
      <w:pPr>
        <w:spacing w:before="168" w:line="360" w:lineRule="exact"/>
        <w:jc w:val="both"/>
      </w:pPr>
      <w:r w:rsidRPr="00BE7F90">
        <w:t xml:space="preserve">W całkowitej powierzchni gruntów przekazanych w 2015 r. pod budownictwo mieszkaniowe największe udziały miały województwa: dolnośląskie (13,0%), śląskie (11,9%), wielkopolskie  (9,6%) </w:t>
      </w:r>
      <w:r w:rsidRPr="00BE7F90">
        <w:br/>
        <w:t xml:space="preserve">i pomorskie (8,2%), najmniejsze zaś świętokrzyskie (0,8%), podlaskie (2,3%) oraz opolskie </w:t>
      </w:r>
      <w:r w:rsidRPr="00BE7F90">
        <w:br/>
        <w:t>(2,7%).</w:t>
      </w:r>
    </w:p>
    <w:p w:rsidR="000A2DF4" w:rsidRPr="00BE7F90" w:rsidRDefault="000A2DF4" w:rsidP="000A2DF4">
      <w:pPr>
        <w:spacing w:before="168" w:line="360" w:lineRule="exact"/>
        <w:jc w:val="both"/>
      </w:pPr>
      <w:r w:rsidRPr="00BE7F90">
        <w:t xml:space="preserve">W odniesieniu do gruntów znajdujących się w zasobach gmin z przeznaczeniem pod budownictwo mieszkaniowe najwięcej gruntów przeznaczono na ten cel w województwach: wielkopolskim (5,2%), łódzkim (5,0 %), małopolskim (4,8%) oraz kujawsko-pomorskim (4,7%), najmniej zaś </w:t>
      </w:r>
      <w:r>
        <w:br/>
      </w:r>
      <w:r w:rsidRPr="00BE7F90">
        <w:t>w świętokrzyskim i pomorskim (po 1,9%), zachodniopomorskim (2,3%), opolskim (2,4%) i podlaskim (2,6%).</w:t>
      </w:r>
    </w:p>
    <w:p w:rsidR="000A2DF4" w:rsidRPr="00CB3E48" w:rsidRDefault="000A2DF4" w:rsidP="000A2DF4">
      <w:pPr>
        <w:spacing w:before="168" w:line="360" w:lineRule="exact"/>
        <w:jc w:val="both"/>
      </w:pPr>
      <w:r w:rsidRPr="00CB3E48">
        <w:t>W ogólnej powierzchni gruntów (26 </w:t>
      </w:r>
      <w:r>
        <w:t>096</w:t>
      </w:r>
      <w:r w:rsidRPr="00CB3E48">
        <w:t xml:space="preserve"> ha) znajdujących się w zasobie gminnym przeznaczonych pod budownictwo mieszkaniowe, budownictwo jednorodzinne stanowi 7</w:t>
      </w:r>
      <w:r>
        <w:t>8,5</w:t>
      </w:r>
      <w:r w:rsidRPr="00CB3E48">
        <w:t>%, z czego w miastach – 6</w:t>
      </w:r>
      <w:r>
        <w:t>5</w:t>
      </w:r>
      <w:r w:rsidRPr="00CB3E48">
        <w:t>,3</w:t>
      </w:r>
      <w:r>
        <w:t>%, na wsi – 95,3</w:t>
      </w:r>
      <w:r w:rsidRPr="00CB3E48">
        <w:t>%.</w:t>
      </w:r>
    </w:p>
    <w:p w:rsidR="000A2DF4" w:rsidRDefault="000A2DF4" w:rsidP="000A2DF4">
      <w:pPr>
        <w:pStyle w:val="Legenda"/>
        <w:spacing w:before="120"/>
        <w:rPr>
          <w:b w:val="0"/>
          <w:i w:val="0"/>
          <w:lang w:val="pl-PL"/>
        </w:rPr>
      </w:pPr>
    </w:p>
    <w:p w:rsidR="000A2DF4" w:rsidRDefault="000A2DF4" w:rsidP="000A2DF4">
      <w:pPr>
        <w:pStyle w:val="Legenda"/>
        <w:spacing w:before="120"/>
        <w:rPr>
          <w:b w:val="0"/>
          <w:i w:val="0"/>
          <w:lang w:val="pl-PL"/>
        </w:rPr>
      </w:pPr>
    </w:p>
    <w:p w:rsidR="000A2DF4" w:rsidRDefault="000A2DF4" w:rsidP="000A2DF4">
      <w:pPr>
        <w:pStyle w:val="Legenda"/>
        <w:spacing w:before="120"/>
        <w:rPr>
          <w:b w:val="0"/>
          <w:i w:val="0"/>
          <w:lang w:val="pl-PL"/>
        </w:rPr>
      </w:pPr>
      <w:r w:rsidRPr="00315AC7">
        <w:rPr>
          <w:b w:val="0"/>
          <w:noProof/>
          <w:lang w:val="pl-PL"/>
        </w:rPr>
        <w:drawing>
          <wp:anchor distT="0" distB="0" distL="114300" distR="114300" simplePos="0" relativeHeight="251661312" behindDoc="1" locked="0" layoutInCell="1" allowOverlap="1" wp14:anchorId="723D35EA" wp14:editId="314A5210">
            <wp:simplePos x="0" y="0"/>
            <wp:positionH relativeFrom="margin">
              <wp:posOffset>27515</wp:posOffset>
            </wp:positionH>
            <wp:positionV relativeFrom="paragraph">
              <wp:posOffset>448</wp:posOffset>
            </wp:positionV>
            <wp:extent cx="6291580" cy="4763770"/>
            <wp:effectExtent l="0" t="0" r="0" b="0"/>
            <wp:wrapTight wrapText="bothSides">
              <wp:wrapPolygon edited="0">
                <wp:start x="0" y="0"/>
                <wp:lineTo x="0" y="21508"/>
                <wp:lineTo x="21517" y="21508"/>
                <wp:lineTo x="21517" y="0"/>
                <wp:lineTo x="0" y="0"/>
              </wp:wrapPolygon>
            </wp:wrapTight>
            <wp:docPr id="20" name="Obraz 20" descr="C:\Users\knyszewskae\Desktop\PUBLIKACJE\PUBL-2015\PUBLIKACJA_2015\mapki i wykresy\MAPKA10 2016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nyszewskae\Desktop\PUBLIKACJE\PUBL-2015\PUBLIKACJA_2015\mapki i wykresy\MAPKA10 2016 (002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476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i w:val="0"/>
          <w:lang w:val="pl-PL"/>
        </w:rPr>
        <w:t>Najwyższy udział w całkowitej powierzchni gruntów przekazanych pod zabudowę jednorodzinną miały województwa: dolnośląskie</w:t>
      </w:r>
      <w:r w:rsidRPr="00B8037B">
        <w:rPr>
          <w:b w:val="0"/>
          <w:i w:val="0"/>
          <w:lang w:val="pl-PL"/>
        </w:rPr>
        <w:t xml:space="preserve"> (12,</w:t>
      </w:r>
      <w:r>
        <w:rPr>
          <w:b w:val="0"/>
          <w:i w:val="0"/>
          <w:lang w:val="pl-PL"/>
        </w:rPr>
        <w:t>5%),</w:t>
      </w:r>
      <w:r w:rsidRPr="00B8037B">
        <w:rPr>
          <w:b w:val="0"/>
          <w:i w:val="0"/>
          <w:lang w:val="pl-PL"/>
        </w:rPr>
        <w:t xml:space="preserve"> </w:t>
      </w:r>
      <w:r>
        <w:rPr>
          <w:b w:val="0"/>
          <w:i w:val="0"/>
          <w:lang w:val="pl-PL"/>
        </w:rPr>
        <w:t>śląskie</w:t>
      </w:r>
      <w:r w:rsidRPr="00493154">
        <w:rPr>
          <w:b w:val="0"/>
          <w:i w:val="0"/>
          <w:lang w:val="pl-PL"/>
        </w:rPr>
        <w:t xml:space="preserve"> (</w:t>
      </w:r>
      <w:r w:rsidRPr="00B8037B">
        <w:rPr>
          <w:b w:val="0"/>
          <w:i w:val="0"/>
          <w:lang w:val="pl-PL"/>
        </w:rPr>
        <w:t>12,4</w:t>
      </w:r>
      <w:r w:rsidRPr="00493154">
        <w:rPr>
          <w:b w:val="0"/>
          <w:i w:val="0"/>
          <w:lang w:val="pl-PL"/>
        </w:rPr>
        <w:t>%)</w:t>
      </w:r>
      <w:r>
        <w:rPr>
          <w:b w:val="0"/>
          <w:i w:val="0"/>
          <w:lang w:val="pl-PL"/>
        </w:rPr>
        <w:t xml:space="preserve"> i wielkopolskie (8,9%)</w:t>
      </w:r>
      <w:r w:rsidRPr="00A721DD">
        <w:rPr>
          <w:b w:val="0"/>
          <w:i w:val="0"/>
          <w:lang w:val="pl-PL"/>
        </w:rPr>
        <w:t>.</w:t>
      </w:r>
      <w:r>
        <w:rPr>
          <w:b w:val="0"/>
          <w:i w:val="0"/>
          <w:lang w:val="pl-PL"/>
        </w:rPr>
        <w:t xml:space="preserve"> Wśród gruntów przekazanych pod budownictwo wielomieszkaniowe dominowały natomiast województwa: pomorskie (18,3%), dolnośląskie (15,4%) oraz wielkopolskie (12,9%).</w:t>
      </w:r>
    </w:p>
    <w:p w:rsidR="000A2DF4" w:rsidRDefault="000A2DF4" w:rsidP="000A2DF4">
      <w:r>
        <w:rPr>
          <w:b/>
          <w:i/>
        </w:rPr>
        <w:br w:type="page"/>
      </w:r>
    </w:p>
    <w:p w:rsidR="000A2DF4" w:rsidRPr="00A00AE9" w:rsidRDefault="000A2DF4" w:rsidP="000A2DF4">
      <w:pPr>
        <w:pStyle w:val="Legenda"/>
        <w:spacing w:after="120"/>
        <w:rPr>
          <w:i w:val="0"/>
          <w:lang w:val="pl-PL"/>
        </w:rPr>
      </w:pPr>
      <w:bookmarkStart w:id="42" w:name="_Toc465667713"/>
      <w:r w:rsidRPr="00A00AE9">
        <w:rPr>
          <w:i w:val="0"/>
          <w:lang w:val="pl-PL"/>
        </w:rPr>
        <w:t xml:space="preserve">Tabl. </w:t>
      </w:r>
      <w:r w:rsidRPr="00A00AE9">
        <w:rPr>
          <w:i w:val="0"/>
        </w:rPr>
        <w:fldChar w:fldCharType="begin"/>
      </w:r>
      <w:r w:rsidRPr="00A00AE9">
        <w:rPr>
          <w:i w:val="0"/>
          <w:lang w:val="pl-PL"/>
        </w:rPr>
        <w:instrText xml:space="preserve"> SEQ Tabl. \* ARABIC </w:instrText>
      </w:r>
      <w:r w:rsidRPr="00A00AE9">
        <w:rPr>
          <w:i w:val="0"/>
        </w:rPr>
        <w:fldChar w:fldCharType="separate"/>
      </w:r>
      <w:r w:rsidR="00EF3C9C">
        <w:rPr>
          <w:i w:val="0"/>
          <w:noProof/>
          <w:lang w:val="pl-PL"/>
        </w:rPr>
        <w:t>11</w:t>
      </w:r>
      <w:r w:rsidRPr="00A00AE9">
        <w:rPr>
          <w:i w:val="0"/>
        </w:rPr>
        <w:fldChar w:fldCharType="end"/>
      </w:r>
      <w:r w:rsidRPr="00A00AE9">
        <w:rPr>
          <w:i w:val="0"/>
          <w:lang w:val="pl-PL"/>
        </w:rPr>
        <w:t xml:space="preserve"> Udział gruntów przekazanych inwestorom pod budownictwo mieszkaniowe według form własności i województw (w %)</w:t>
      </w:r>
      <w:bookmarkEnd w:id="42"/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418"/>
        <w:gridCol w:w="1417"/>
        <w:gridCol w:w="1276"/>
        <w:gridCol w:w="1276"/>
        <w:gridCol w:w="1275"/>
        <w:gridCol w:w="916"/>
      </w:tblGrid>
      <w:tr w:rsidR="000A2DF4" w:rsidRPr="00CB3E48" w:rsidTr="000A20E5">
        <w:trPr>
          <w:trHeight w:val="384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:rsidR="000A2DF4" w:rsidRPr="00315AC7" w:rsidRDefault="000A2DF4" w:rsidP="000A20E5">
            <w:pPr>
              <w:jc w:val="center"/>
              <w:rPr>
                <w:szCs w:val="24"/>
              </w:rPr>
            </w:pPr>
          </w:p>
          <w:p w:rsidR="000A2DF4" w:rsidRPr="00315AC7" w:rsidRDefault="000A2DF4" w:rsidP="000A20E5">
            <w:pPr>
              <w:jc w:val="center"/>
              <w:rPr>
                <w:szCs w:val="24"/>
              </w:rPr>
            </w:pPr>
          </w:p>
          <w:p w:rsidR="000A2DF4" w:rsidRPr="00315AC7" w:rsidRDefault="000A2DF4" w:rsidP="000A20E5">
            <w:pPr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Województwa</w:t>
            </w:r>
          </w:p>
        </w:tc>
        <w:tc>
          <w:tcPr>
            <w:tcW w:w="1418" w:type="dxa"/>
            <w:vMerge w:val="restart"/>
          </w:tcPr>
          <w:p w:rsidR="000A2DF4" w:rsidRPr="00315AC7" w:rsidRDefault="000A2DF4" w:rsidP="000A20E5">
            <w:pPr>
              <w:spacing w:before="240"/>
              <w:jc w:val="center"/>
              <w:rPr>
                <w:szCs w:val="24"/>
              </w:rPr>
            </w:pPr>
            <w:r w:rsidRPr="00315AC7">
              <w:rPr>
                <w:szCs w:val="24"/>
              </w:rPr>
              <w:t>Grunty pod budowni</w:t>
            </w:r>
            <w:r>
              <w:rPr>
                <w:szCs w:val="24"/>
              </w:rPr>
              <w:t xml:space="preserve">- </w:t>
            </w:r>
            <w:r w:rsidRPr="00315AC7">
              <w:rPr>
                <w:szCs w:val="24"/>
              </w:rPr>
              <w:t>ctwo mieszka</w:t>
            </w:r>
            <w:r>
              <w:rPr>
                <w:szCs w:val="24"/>
              </w:rPr>
              <w:t>-</w:t>
            </w:r>
            <w:r w:rsidRPr="00315AC7">
              <w:rPr>
                <w:szCs w:val="24"/>
              </w:rPr>
              <w:t>niowe</w:t>
            </w:r>
          </w:p>
        </w:tc>
        <w:tc>
          <w:tcPr>
            <w:tcW w:w="6160" w:type="dxa"/>
            <w:gridSpan w:val="5"/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Z budownictwa mieszkaniowego przypada na:</w:t>
            </w:r>
          </w:p>
        </w:tc>
      </w:tr>
      <w:tr w:rsidR="000A2DF4" w:rsidRPr="00CB3E48" w:rsidTr="000A20E5">
        <w:trPr>
          <w:trHeight w:val="384"/>
          <w:jc w:val="center"/>
        </w:trPr>
        <w:tc>
          <w:tcPr>
            <w:tcW w:w="2405" w:type="dxa"/>
            <w:vMerge/>
          </w:tcPr>
          <w:p w:rsidR="000A2DF4" w:rsidRPr="00315AC7" w:rsidRDefault="000A2DF4" w:rsidP="000A20E5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A2DF4" w:rsidRPr="00315AC7" w:rsidRDefault="000A2DF4" w:rsidP="000A20E5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komunalne</w:t>
            </w:r>
          </w:p>
        </w:tc>
        <w:tc>
          <w:tcPr>
            <w:tcW w:w="1276" w:type="dxa"/>
            <w:vAlign w:val="center"/>
          </w:tcPr>
          <w:p w:rsidR="000A2DF4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towarzystw budowni</w:t>
            </w:r>
            <w:r>
              <w:rPr>
                <w:bCs/>
                <w:szCs w:val="24"/>
              </w:rPr>
              <w:t xml:space="preserve">- </w:t>
            </w:r>
            <w:r w:rsidRPr="00315AC7">
              <w:rPr>
                <w:bCs/>
                <w:szCs w:val="24"/>
              </w:rPr>
              <w:t xml:space="preserve">ctwa </w:t>
            </w:r>
          </w:p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społe</w:t>
            </w:r>
            <w:r>
              <w:rPr>
                <w:bCs/>
                <w:szCs w:val="24"/>
              </w:rPr>
              <w:t>-</w:t>
            </w:r>
            <w:r w:rsidRPr="00315AC7">
              <w:rPr>
                <w:bCs/>
                <w:szCs w:val="24"/>
              </w:rPr>
              <w:t>cznego</w:t>
            </w:r>
          </w:p>
        </w:tc>
        <w:tc>
          <w:tcPr>
            <w:tcW w:w="1275" w:type="dxa"/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osób fizycznych</w:t>
            </w:r>
          </w:p>
        </w:tc>
        <w:tc>
          <w:tcPr>
            <w:tcW w:w="916" w:type="dxa"/>
            <w:vAlign w:val="center"/>
          </w:tcPr>
          <w:p w:rsidR="000A2DF4" w:rsidRPr="00315AC7" w:rsidRDefault="000A2DF4" w:rsidP="000A20E5">
            <w:pPr>
              <w:jc w:val="center"/>
              <w:rPr>
                <w:bCs/>
                <w:szCs w:val="24"/>
              </w:rPr>
            </w:pPr>
            <w:r w:rsidRPr="00315AC7">
              <w:rPr>
                <w:bCs/>
                <w:szCs w:val="24"/>
              </w:rPr>
              <w:t>spółek i innych</w:t>
            </w:r>
          </w:p>
        </w:tc>
      </w:tr>
      <w:tr w:rsidR="000A2DF4" w:rsidRPr="008879BA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b/>
                <w:bCs/>
                <w:szCs w:val="24"/>
              </w:rPr>
            </w:pPr>
            <w:r w:rsidRPr="00315AC7">
              <w:rPr>
                <w:b/>
                <w:bCs/>
                <w:szCs w:val="24"/>
              </w:rPr>
              <w:t>POLSKA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 xml:space="preserve">1,2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 xml:space="preserve">2,5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 xml:space="preserve">1,2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 xml:space="preserve">77,4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b/>
                <w:szCs w:val="24"/>
              </w:rPr>
            </w:pPr>
            <w:r w:rsidRPr="00315AC7">
              <w:rPr>
                <w:b/>
                <w:szCs w:val="24"/>
              </w:rPr>
              <w:t xml:space="preserve">17,7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Dolnośląskie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1,2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7,0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1,9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66,0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24,0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Kujawsko-pomorskie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10,4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0,6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2,9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68,6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17,5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Lubelskie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6,2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0,4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90,1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3,3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Lubuskie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0,2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92,2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7,7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Łódzkie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0,9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1,1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89,3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8,7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Małopolskie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3,6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91,4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5,0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Mazowieckie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0,9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1,2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86,8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11,1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Opolskie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0,9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84,3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14,8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Podkarpackie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2,7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5,3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0,2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85,6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6,2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Podlaskie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3,2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2,7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16,1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71,0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7,0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Pomorskie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3,4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0,9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1,2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60,1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34,4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Śląskie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0,2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1,2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1,1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63,9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33,6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Świętokrzyskie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100,0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Warmińsko-mazurskie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0,6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76,6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22,7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Wielkopolskie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1,4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77,4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21,1 </w:t>
            </w:r>
          </w:p>
        </w:tc>
      </w:tr>
      <w:tr w:rsidR="000A2DF4" w:rsidRPr="00CB3E48" w:rsidTr="000A20E5">
        <w:trPr>
          <w:trHeight w:val="113"/>
          <w:jc w:val="center"/>
        </w:trPr>
        <w:tc>
          <w:tcPr>
            <w:tcW w:w="2405" w:type="dxa"/>
            <w:vAlign w:val="center"/>
          </w:tcPr>
          <w:p w:rsidR="000A2DF4" w:rsidRPr="00315AC7" w:rsidRDefault="000A2DF4" w:rsidP="000A20E5">
            <w:pPr>
              <w:jc w:val="both"/>
              <w:rPr>
                <w:szCs w:val="24"/>
              </w:rPr>
            </w:pPr>
            <w:r w:rsidRPr="00315AC7">
              <w:rPr>
                <w:szCs w:val="24"/>
              </w:rPr>
              <w:t>Zachodniopomorskie</w:t>
            </w:r>
          </w:p>
        </w:tc>
        <w:tc>
          <w:tcPr>
            <w:tcW w:w="1418" w:type="dxa"/>
          </w:tcPr>
          <w:p w:rsidR="000A2DF4" w:rsidRPr="00315AC7" w:rsidRDefault="000A2DF4" w:rsidP="000A20E5">
            <w:pPr>
              <w:spacing w:before="40"/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>100,0</w:t>
            </w:r>
          </w:p>
        </w:tc>
        <w:tc>
          <w:tcPr>
            <w:tcW w:w="1417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 -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5,5 </w:t>
            </w:r>
          </w:p>
        </w:tc>
        <w:tc>
          <w:tcPr>
            <w:tcW w:w="127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0,4 </w:t>
            </w:r>
          </w:p>
        </w:tc>
        <w:tc>
          <w:tcPr>
            <w:tcW w:w="1275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85,5 </w:t>
            </w:r>
          </w:p>
        </w:tc>
        <w:tc>
          <w:tcPr>
            <w:tcW w:w="916" w:type="dxa"/>
            <w:vAlign w:val="bottom"/>
          </w:tcPr>
          <w:p w:rsidR="000A2DF4" w:rsidRPr="00315AC7" w:rsidRDefault="000A2DF4" w:rsidP="000A20E5">
            <w:pPr>
              <w:ind w:right="113"/>
              <w:jc w:val="right"/>
              <w:rPr>
                <w:szCs w:val="24"/>
              </w:rPr>
            </w:pPr>
            <w:r w:rsidRPr="00315AC7">
              <w:rPr>
                <w:szCs w:val="24"/>
              </w:rPr>
              <w:t xml:space="preserve">8,6 </w:t>
            </w:r>
          </w:p>
        </w:tc>
      </w:tr>
    </w:tbl>
    <w:p w:rsidR="000A2DF4" w:rsidRPr="00BE7F90" w:rsidRDefault="000A2DF4" w:rsidP="000A2DF4">
      <w:pPr>
        <w:spacing w:before="160" w:line="360" w:lineRule="exact"/>
        <w:jc w:val="both"/>
      </w:pPr>
      <w:r w:rsidRPr="00CB3E48">
        <w:t xml:space="preserve">Najmniej gruntów </w:t>
      </w:r>
      <w:r w:rsidRPr="00BE7F90">
        <w:t xml:space="preserve">przekazanych inwestorom pod budownictwo mieszkaniowe przeznaczono pod budownictwo spółdzielcze i TBS </w:t>
      </w:r>
      <w:r>
        <w:t>(</w:t>
      </w:r>
      <w:r w:rsidRPr="00BE7F90">
        <w:t>po 1,2%</w:t>
      </w:r>
      <w:r>
        <w:t>)</w:t>
      </w:r>
      <w:r w:rsidRPr="00BE7F90">
        <w:t xml:space="preserve"> i komunalne (2,5%), a najwięcej (77,4%) pod budownictwo prywatne (osób fizycznych).</w:t>
      </w:r>
    </w:p>
    <w:p w:rsidR="000A2DF4" w:rsidRDefault="000A2DF4" w:rsidP="000A2DF4">
      <w:pPr>
        <w:pStyle w:val="GM1"/>
      </w:pPr>
      <w:r>
        <w:br w:type="page"/>
      </w:r>
    </w:p>
    <w:p w:rsidR="000A2DF4" w:rsidRDefault="000A2DF4" w:rsidP="000A2DF4">
      <w:pPr>
        <w:pStyle w:val="GM2"/>
      </w:pPr>
      <w:bookmarkStart w:id="43" w:name="_Toc465667896"/>
      <w:r>
        <w:t>SPIS TABLIC</w:t>
      </w:r>
      <w:bookmarkEnd w:id="43"/>
    </w:p>
    <w:p w:rsidR="000A2DF4" w:rsidRDefault="000A2DF4" w:rsidP="000A2DF4">
      <w:pPr>
        <w:pStyle w:val="GM2"/>
      </w:pPr>
    </w:p>
    <w:p w:rsidR="000A2DF4" w:rsidRDefault="000A2DF4" w:rsidP="000A2DF4">
      <w:pPr>
        <w:pStyle w:val="GM2"/>
      </w:pPr>
    </w:p>
    <w:p w:rsidR="00D16FAB" w:rsidRPr="00D16FAB" w:rsidRDefault="000A2DF4" w:rsidP="00A22038">
      <w:pPr>
        <w:pStyle w:val="Spisilustracji"/>
        <w:framePr w:wrap="around"/>
        <w:tabs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A22038">
        <w:fldChar w:fldCharType="begin"/>
      </w:r>
      <w:r w:rsidRPr="00A22038">
        <w:instrText xml:space="preserve"> TOC \h \z \c "Tabl." </w:instrText>
      </w:r>
      <w:r w:rsidRPr="00A22038">
        <w:fldChar w:fldCharType="separate"/>
      </w:r>
      <w:hyperlink w:anchor="_Toc465667703" w:history="1">
        <w:r w:rsidR="00D16FAB" w:rsidRPr="00D16FAB">
          <w:rPr>
            <w:rStyle w:val="Hipercze"/>
            <w:noProof/>
          </w:rPr>
          <w:t>Tabl. 1 Zasoby mieszkaniowe zamieszkane i niezamieszkane według form własności według stanu</w:t>
        </w:r>
        <w:r w:rsidR="00D16FAB">
          <w:rPr>
            <w:rStyle w:val="Hipercze"/>
            <w:noProof/>
          </w:rPr>
          <w:t> </w:t>
        </w:r>
        <w:r w:rsidR="00D16FAB" w:rsidRPr="00D16FAB">
          <w:rPr>
            <w:rStyle w:val="Hipercze"/>
            <w:noProof/>
          </w:rPr>
          <w:t>na</w:t>
        </w:r>
        <w:r w:rsidR="00D16FAB">
          <w:rPr>
            <w:rStyle w:val="Hipercze"/>
            <w:noProof/>
          </w:rPr>
          <w:t> </w:t>
        </w:r>
        <w:r w:rsidR="00D16FAB" w:rsidRPr="00D16FAB">
          <w:rPr>
            <w:rStyle w:val="Hipercze"/>
            <w:noProof/>
          </w:rPr>
          <w:t xml:space="preserve"> 31.12.2015 r.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_Toc465667703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17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04" w:history="1">
        <w:r w:rsidR="00D16FAB" w:rsidRPr="00D16FAB">
          <w:rPr>
            <w:rStyle w:val="Hipercze"/>
            <w:noProof/>
          </w:rPr>
          <w:t>Tabl. 2 Mieszkania wyposażone w podstawowe instalacje według stanu na 31.12.2015 r.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_Toc465667704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24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05" w:history="1">
        <w:r w:rsidR="00D16FAB" w:rsidRPr="00D16FAB">
          <w:rPr>
            <w:rStyle w:val="Hipercze"/>
            <w:noProof/>
          </w:rPr>
          <w:t>Tabl. 3 Udział mieszkań w budynkach stanowiących wyłączną własność jednostek sprawozdawczych</w:t>
        </w:r>
        <w:r w:rsidR="00D16FAB">
          <w:rPr>
            <w:rStyle w:val="Hipercze"/>
            <w:noProof/>
          </w:rPr>
          <w:t> </w:t>
        </w:r>
        <w:r w:rsidR="00D16FAB" w:rsidRPr="00D16FAB">
          <w:rPr>
            <w:rStyle w:val="Hipercze"/>
            <w:noProof/>
          </w:rPr>
          <w:t>według województw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_Toc465667705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28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06" w:history="1">
        <w:r w:rsidR="00D16FAB" w:rsidRPr="00D16FAB">
          <w:rPr>
            <w:rStyle w:val="Hipercze"/>
            <w:noProof/>
          </w:rPr>
          <w:t>Tabl. 4 Liczba i struktura mieszkań sprzedanych w latach 2014 – 2015 wg typu transakcji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_Toc465667706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29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07" w:history="1">
        <w:r w:rsidR="00D16FAB" w:rsidRPr="00D16FAB">
          <w:rPr>
            <w:rStyle w:val="Hipercze"/>
            <w:noProof/>
            <w:spacing w:val="-2"/>
          </w:rPr>
          <w:t>Tabl. 5 Struktura mieszkań sprzedanych osobom fizycznym w Polsce według województw (w %)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_Toc465667707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29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08" w:history="1">
        <w:r w:rsidR="00D16FAB" w:rsidRPr="00D16FAB">
          <w:rPr>
            <w:rStyle w:val="Hipercze"/>
            <w:noProof/>
          </w:rPr>
          <w:t xml:space="preserve">Tabl. 6 </w:t>
        </w:r>
        <w:r w:rsidR="00D16FAB" w:rsidRPr="00D16FAB">
          <w:rPr>
            <w:rStyle w:val="Hipercze"/>
            <w:noProof/>
            <w:spacing w:val="-2"/>
          </w:rPr>
          <w:t>Zaległości w opłatach za mieszkanie według form własności według stanu na 31.12.2015 r.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_Toc465667708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31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09" w:history="1">
        <w:r w:rsidR="00D16FAB" w:rsidRPr="00D16FAB">
          <w:rPr>
            <w:rStyle w:val="Hipercze"/>
            <w:noProof/>
          </w:rPr>
          <w:t>Tabl. 7 Udział mieszkań, których lokatorzy zalegają z opłatami za mieszkanie według form własności</w:t>
        </w:r>
        <w:r w:rsidR="00D16FAB">
          <w:rPr>
            <w:rStyle w:val="Hipercze"/>
            <w:noProof/>
          </w:rPr>
          <w:t> </w:t>
        </w:r>
        <w:r w:rsidR="00D16FAB" w:rsidRPr="00D16FAB">
          <w:rPr>
            <w:rStyle w:val="Hipercze"/>
            <w:noProof/>
          </w:rPr>
          <w:t xml:space="preserve"> i województw (w % do ogółu mieszkań w poszczególnych grupach zasobów):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_Toc465667709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32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10" w:history="1">
        <w:r w:rsidR="00D16FAB" w:rsidRPr="00A22038">
          <w:rPr>
            <w:rStyle w:val="Hipercze"/>
            <w:noProof/>
          </w:rPr>
          <w:t>Tabl. 8 Udział działań eksmisyjnych według województw (w % do ogółu):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_Toc465667710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34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11" w:history="1">
        <w:r w:rsidR="00D16FAB" w:rsidRPr="00D16FAB">
          <w:rPr>
            <w:rStyle w:val="Hipercze"/>
            <w:noProof/>
          </w:rPr>
          <w:t>Tabl. 9 Liczba mieszkań bezpośrednio wyremontowanych w 2015 r.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_Toc465667711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35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P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12" w:history="1">
        <w:r w:rsidR="00D16FAB" w:rsidRPr="00D16FAB">
          <w:rPr>
            <w:rStyle w:val="Hipercze"/>
            <w:noProof/>
          </w:rPr>
          <w:t xml:space="preserve">Tabl. 10 </w:t>
        </w:r>
        <w:r w:rsidR="00D16FAB" w:rsidRPr="00D16FAB">
          <w:rPr>
            <w:rStyle w:val="Hipercze"/>
            <w:noProof/>
            <w:spacing w:val="-4"/>
          </w:rPr>
          <w:t>Udział gruntów przekazanych pod budownictwo mieszkaniowe według województw (w %)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_Toc465667712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38</w:t>
        </w:r>
        <w:r w:rsidR="00D16FAB" w:rsidRPr="00A22038">
          <w:rPr>
            <w:noProof/>
            <w:webHidden/>
          </w:rPr>
          <w:fldChar w:fldCharType="end"/>
        </w:r>
      </w:hyperlink>
    </w:p>
    <w:p w:rsidR="00D16FAB" w:rsidRDefault="00FE6404" w:rsidP="00A22038">
      <w:pPr>
        <w:pStyle w:val="Spisilustracji"/>
        <w:framePr w:wrap="around"/>
        <w:tabs>
          <w:tab w:val="right" w:leader="dot" w:pos="-10"/>
          <w:tab w:val="right" w:leader="dot" w:pos="9781"/>
        </w:tabs>
        <w:spacing w:after="320" w:line="360" w:lineRule="auto"/>
        <w:ind w:left="709" w:hanging="709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667713" w:history="1">
        <w:r w:rsidR="00D16FAB" w:rsidRPr="00D16FAB">
          <w:rPr>
            <w:rStyle w:val="Hipercze"/>
            <w:noProof/>
          </w:rPr>
          <w:t>Tabl. 11 Udział gruntów przekazanych inwestorom pod budownictwo mieszkaniowe według form własności i województw (w %)</w:t>
        </w:r>
        <w:r w:rsidR="00D16FAB" w:rsidRPr="00D16FAB">
          <w:rPr>
            <w:noProof/>
            <w:webHidden/>
          </w:rPr>
          <w:tab/>
        </w:r>
        <w:r w:rsidR="00D16FAB" w:rsidRPr="00A22038">
          <w:rPr>
            <w:noProof/>
            <w:webHidden/>
          </w:rPr>
          <w:fldChar w:fldCharType="begin"/>
        </w:r>
        <w:r w:rsidR="00D16FAB" w:rsidRPr="00D16FAB">
          <w:rPr>
            <w:noProof/>
            <w:webHidden/>
          </w:rPr>
          <w:instrText xml:space="preserve"> PAGEREF _Toc465667713 \h </w:instrText>
        </w:r>
        <w:r w:rsidR="00D16FAB" w:rsidRPr="00A22038">
          <w:rPr>
            <w:noProof/>
            <w:webHidden/>
          </w:rPr>
        </w:r>
        <w:r w:rsidR="00D16FAB" w:rsidRPr="00A22038">
          <w:rPr>
            <w:noProof/>
            <w:webHidden/>
          </w:rPr>
          <w:fldChar w:fldCharType="separate"/>
        </w:r>
        <w:r w:rsidR="00D16FAB" w:rsidRPr="00D16FAB">
          <w:rPr>
            <w:noProof/>
            <w:webHidden/>
          </w:rPr>
          <w:t>40</w:t>
        </w:r>
        <w:r w:rsidR="00D16FAB" w:rsidRPr="00A22038">
          <w:rPr>
            <w:noProof/>
            <w:webHidden/>
          </w:rPr>
          <w:fldChar w:fldCharType="end"/>
        </w:r>
      </w:hyperlink>
    </w:p>
    <w:p w:rsidR="000A2DF4" w:rsidRDefault="000A2DF4" w:rsidP="00A22038">
      <w:pPr>
        <w:pStyle w:val="GM2"/>
        <w:tabs>
          <w:tab w:val="clear" w:pos="0"/>
          <w:tab w:val="right" w:leader="dot" w:pos="9497"/>
          <w:tab w:val="right" w:leader="dot" w:pos="9781"/>
        </w:tabs>
        <w:spacing w:after="360" w:line="360" w:lineRule="auto"/>
        <w:ind w:left="425" w:hanging="425"/>
        <w:rPr>
          <w:b w:val="0"/>
        </w:rPr>
      </w:pPr>
      <w:r w:rsidRPr="00A22038">
        <w:rPr>
          <w:b w:val="0"/>
          <w:sz w:val="24"/>
        </w:rPr>
        <w:fldChar w:fldCharType="end"/>
      </w:r>
      <w:r>
        <w:br w:type="page"/>
      </w:r>
    </w:p>
    <w:p w:rsidR="000A2DF4" w:rsidRDefault="000A2DF4" w:rsidP="000A2DF4">
      <w:pPr>
        <w:pStyle w:val="GM2"/>
      </w:pPr>
    </w:p>
    <w:p w:rsidR="000A2DF4" w:rsidRPr="00463D42" w:rsidRDefault="000A2DF4" w:rsidP="000A2DF4">
      <w:pPr>
        <w:pStyle w:val="GM2"/>
      </w:pPr>
      <w:bookmarkStart w:id="44" w:name="_Toc465667897"/>
      <w:r>
        <w:t>SPIS WYKRESÓW I MAP</w:t>
      </w:r>
      <w:bookmarkEnd w:id="44"/>
    </w:p>
    <w:p w:rsidR="000A2DF4" w:rsidRDefault="000A2DF4" w:rsidP="000A2DF4"/>
    <w:p w:rsidR="000A2DF4" w:rsidRDefault="000A2DF4" w:rsidP="000A2DF4"/>
    <w:tbl>
      <w:tblPr>
        <w:tblW w:w="960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428"/>
        <w:gridCol w:w="644"/>
      </w:tblGrid>
      <w:tr w:rsidR="000A2DF4" w:rsidRPr="000D3502" w:rsidTr="000A20E5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714BBD" w:rsidRDefault="000A2DF4" w:rsidP="000A20E5">
            <w:pPr>
              <w:pStyle w:val="nag1"/>
            </w:pPr>
            <w:r w:rsidRPr="00DA03A3">
              <w:t>Lp.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714BBD" w:rsidRDefault="000A2DF4" w:rsidP="000A20E5">
            <w:pPr>
              <w:pStyle w:val="nag1"/>
            </w:pPr>
            <w:r w:rsidRPr="00DA03A3">
              <w:t>Tytuł wykresu lub mapy</w:t>
            </w:r>
          </w:p>
        </w:tc>
        <w:tc>
          <w:tcPr>
            <w:tcW w:w="644" w:type="dxa"/>
            <w:shd w:val="clear" w:color="auto" w:fill="auto"/>
          </w:tcPr>
          <w:p w:rsidR="000A2DF4" w:rsidRPr="00714BBD" w:rsidRDefault="000A2DF4" w:rsidP="000A20E5">
            <w:pPr>
              <w:pStyle w:val="nag1"/>
            </w:pPr>
            <w:r w:rsidRPr="00DA03A3">
              <w:t>Str.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1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Przeciętna liczba izb w 1 mieszkaniu w układzie przestrzennym w 2015 r.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19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2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Przeciętna powierzchnia użytkowa (w m</w:t>
            </w:r>
            <w:r w:rsidRPr="00A22038">
              <w:rPr>
                <w:vertAlign w:val="superscript"/>
              </w:rPr>
              <w:t>2</w:t>
            </w:r>
            <w:r>
              <w:t>) 1 mieszkania w układzie przestrzennym w</w:t>
            </w:r>
            <w:r w:rsidR="00D16FAB">
              <w:t> </w:t>
            </w:r>
            <w:r>
              <w:t>2015 r.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20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3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Przeciętna powierzchnia użytkowa (w m</w:t>
            </w:r>
            <w:r w:rsidRPr="00A22038">
              <w:rPr>
                <w:vertAlign w:val="superscript"/>
              </w:rPr>
              <w:t>2</w:t>
            </w:r>
            <w:r>
              <w:t>) na 1 osobę w układzie przestrzennym w</w:t>
            </w:r>
            <w:r w:rsidR="00D16FAB">
              <w:t> </w:t>
            </w:r>
            <w:r>
              <w:t>2015 r.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21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4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Przeciętna liczba osób w 1 mieszkaniu w układzie przestrzennym w 2015 r.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22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5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Przeciętna liczba osób na 1 izbę w układzie przestrzennym w 2015 r.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23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6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Udział mieszkań wyposażonych w instalacje sanitarno-techniczne w układzie przestrzennym w 2015 r. – miasta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</w:t>
            </w:r>
            <w:r w:rsidR="00D16FAB">
              <w:rPr>
                <w:szCs w:val="23"/>
              </w:rPr>
              <w:t>5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7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Udział mieszkań wyposażonych w instalacje sanitarno-techniczne w układzie przestrzennym w 2015 r. – wieś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</w:t>
            </w:r>
            <w:r w:rsidR="00D16FAB">
              <w:rPr>
                <w:szCs w:val="23"/>
              </w:rPr>
              <w:t>5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8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Zasoby mieszkaniowe według podstawowych form własności w układzie przestrzennym w 2015 r.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26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0D3502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3D763D">
              <w:rPr>
                <w:szCs w:val="23"/>
              </w:rPr>
              <w:t>9</w:t>
            </w:r>
            <w:r w:rsidRPr="007A7E2F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t>Udział mieszkań sprzedanych osobom fizycznym w budynkach wielomieszkaniowych w ogólnej liczbie sprzedanych mieszkań w poszczególnych województwach</w:t>
            </w:r>
          </w:p>
        </w:tc>
        <w:tc>
          <w:tcPr>
            <w:tcW w:w="644" w:type="dxa"/>
            <w:shd w:val="clear" w:color="auto" w:fill="auto"/>
          </w:tcPr>
          <w:p w:rsidR="000A2DF4" w:rsidRPr="000D3502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30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3D763D" w:rsidRDefault="004F5F11" w:rsidP="00A22038">
            <w:pPr>
              <w:spacing w:before="60" w:after="60"/>
              <w:jc w:val="right"/>
              <w:rPr>
                <w:szCs w:val="23"/>
              </w:rPr>
            </w:pPr>
            <w:r>
              <w:rPr>
                <w:szCs w:val="23"/>
              </w:rPr>
              <w:t>10.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Default="000A2DF4">
            <w:pPr>
              <w:spacing w:before="60" w:after="60"/>
            </w:pPr>
            <w:r>
              <w:t>Udział liczby mieszkań, których lokatorzy zalegali z opłatami za mieszkanie w stosunku do ogółu „zadłużonych” mieszkań</w:t>
            </w:r>
          </w:p>
        </w:tc>
        <w:tc>
          <w:tcPr>
            <w:tcW w:w="644" w:type="dxa"/>
            <w:shd w:val="clear" w:color="auto" w:fill="auto"/>
          </w:tcPr>
          <w:p w:rsidR="000A2DF4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32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714BBD" w:rsidRDefault="004F5F11" w:rsidP="00A22038">
            <w:pPr>
              <w:spacing w:before="60" w:after="60"/>
              <w:jc w:val="right"/>
              <w:rPr>
                <w:szCs w:val="23"/>
              </w:rPr>
            </w:pPr>
            <w:r>
              <w:rPr>
                <w:szCs w:val="23"/>
              </w:rPr>
              <w:t>11</w:t>
            </w:r>
            <w:r w:rsidR="000A2DF4" w:rsidRPr="00DA03A3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E46F87" w:rsidRDefault="000A2DF4">
            <w:pPr>
              <w:spacing w:before="60" w:after="60"/>
              <w:rPr>
                <w:szCs w:val="23"/>
              </w:rPr>
            </w:pPr>
            <w:r>
              <w:t>Struktura postępowań eksmisyjnych w 2015 r.</w:t>
            </w:r>
          </w:p>
        </w:tc>
        <w:tc>
          <w:tcPr>
            <w:tcW w:w="644" w:type="dxa"/>
            <w:shd w:val="clear" w:color="auto" w:fill="auto"/>
          </w:tcPr>
          <w:p w:rsidR="000A2DF4" w:rsidRPr="00CD39FE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33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714BBD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0D3502">
              <w:rPr>
                <w:szCs w:val="23"/>
              </w:rPr>
              <w:t>1</w:t>
            </w:r>
            <w:r w:rsidR="004F5F11">
              <w:rPr>
                <w:szCs w:val="23"/>
              </w:rPr>
              <w:t>2</w:t>
            </w:r>
            <w:r w:rsidRPr="00DA03A3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605F54" w:rsidRDefault="000A2DF4">
            <w:pPr>
              <w:spacing w:before="60" w:after="60"/>
              <w:rPr>
                <w:szCs w:val="23"/>
              </w:rPr>
            </w:pPr>
            <w:r>
              <w:t>Struktura mieszkań poddanych remontom związanym z podwyższeniem standardu w 2015 r.</w:t>
            </w:r>
          </w:p>
        </w:tc>
        <w:tc>
          <w:tcPr>
            <w:tcW w:w="644" w:type="dxa"/>
            <w:shd w:val="clear" w:color="auto" w:fill="auto"/>
          </w:tcPr>
          <w:p w:rsidR="000A2DF4" w:rsidRPr="00B50D80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36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714BBD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0D3502">
              <w:rPr>
                <w:szCs w:val="23"/>
              </w:rPr>
              <w:t>1</w:t>
            </w:r>
            <w:r w:rsidR="004F5F11">
              <w:rPr>
                <w:szCs w:val="23"/>
              </w:rPr>
              <w:t>3</w:t>
            </w:r>
            <w:r w:rsidRPr="00DA03A3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4447F1" w:rsidRDefault="000A2DF4">
            <w:pPr>
              <w:spacing w:before="60" w:after="60"/>
              <w:rPr>
                <w:szCs w:val="23"/>
              </w:rPr>
            </w:pPr>
            <w:r>
              <w:t>Przeciętna wysokość dodatków mieszkaniowych wypłaconych w 2015 r. w układzie przestrzennym</w:t>
            </w:r>
          </w:p>
        </w:tc>
        <w:tc>
          <w:tcPr>
            <w:tcW w:w="644" w:type="dxa"/>
            <w:shd w:val="clear" w:color="auto" w:fill="auto"/>
          </w:tcPr>
          <w:p w:rsidR="000A2DF4" w:rsidRPr="00E46F87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37</w:t>
            </w:r>
          </w:p>
        </w:tc>
      </w:tr>
      <w:tr w:rsidR="000A2DF4" w:rsidRPr="000D3502" w:rsidTr="00A22038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0A2DF4" w:rsidRPr="00714BBD" w:rsidRDefault="000A2DF4" w:rsidP="00A22038">
            <w:pPr>
              <w:spacing w:before="60" w:after="60"/>
              <w:jc w:val="right"/>
              <w:rPr>
                <w:szCs w:val="23"/>
              </w:rPr>
            </w:pPr>
            <w:r w:rsidRPr="000D3502">
              <w:rPr>
                <w:szCs w:val="23"/>
              </w:rPr>
              <w:t>1</w:t>
            </w:r>
            <w:r w:rsidR="004F5F11">
              <w:rPr>
                <w:szCs w:val="23"/>
              </w:rPr>
              <w:t>4</w:t>
            </w:r>
            <w:r w:rsidRPr="00DA03A3">
              <w:rPr>
                <w:szCs w:val="23"/>
              </w:rPr>
              <w:t>.</w:t>
            </w:r>
          </w:p>
        </w:tc>
        <w:tc>
          <w:tcPr>
            <w:tcW w:w="8428" w:type="dxa"/>
            <w:tcBorders>
              <w:left w:val="nil"/>
            </w:tcBorders>
            <w:shd w:val="clear" w:color="auto" w:fill="auto"/>
          </w:tcPr>
          <w:p w:rsidR="000A2DF4" w:rsidRPr="004447F1" w:rsidRDefault="000A2DF4">
            <w:pPr>
              <w:spacing w:before="60" w:after="60"/>
              <w:rPr>
                <w:szCs w:val="23"/>
              </w:rPr>
            </w:pPr>
            <w:r>
              <w:t>Grunty przekazane inwestorom pod budownictwo mieszkaniowe w układzie przestrzennym w 2015 r.</w:t>
            </w:r>
          </w:p>
        </w:tc>
        <w:tc>
          <w:tcPr>
            <w:tcW w:w="644" w:type="dxa"/>
            <w:shd w:val="clear" w:color="auto" w:fill="auto"/>
          </w:tcPr>
          <w:p w:rsidR="000A2DF4" w:rsidRPr="00E46F87" w:rsidRDefault="000A2DF4">
            <w:pPr>
              <w:spacing w:before="60" w:after="60"/>
              <w:rPr>
                <w:szCs w:val="23"/>
              </w:rPr>
            </w:pPr>
            <w:r>
              <w:rPr>
                <w:szCs w:val="23"/>
              </w:rPr>
              <w:t>39</w:t>
            </w:r>
          </w:p>
        </w:tc>
      </w:tr>
    </w:tbl>
    <w:p w:rsidR="000A2DF4" w:rsidRPr="00A74033" w:rsidRDefault="000A2DF4" w:rsidP="00674AD9">
      <w:pPr>
        <w:spacing w:line="360" w:lineRule="auto"/>
      </w:pPr>
    </w:p>
    <w:sectPr w:rsidR="000A2DF4" w:rsidRPr="00A74033" w:rsidSect="00BE2FAF">
      <w:headerReference w:type="even" r:id="rId39"/>
      <w:headerReference w:type="default" r:id="rId40"/>
      <w:footerReference w:type="even" r:id="rId41"/>
      <w:footerReference w:type="default" r:id="rId42"/>
      <w:pgSz w:w="11907" w:h="16840" w:code="9"/>
      <w:pgMar w:top="1247" w:right="1021" w:bottom="1247" w:left="1021" w:header="56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CBE" w:rsidRDefault="003B5CBE">
      <w:r>
        <w:separator/>
      </w:r>
    </w:p>
  </w:endnote>
  <w:endnote w:type="continuationSeparator" w:id="0">
    <w:p w:rsidR="003B5CBE" w:rsidRDefault="003B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BE" w:rsidRDefault="003B5CBE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BE" w:rsidRDefault="003B5CBE" w:rsidP="008E524F">
    <w:pPr>
      <w:pStyle w:val="Stopka"/>
      <w:pBdr>
        <w:top w:val="none" w:sz="0" w:space="0" w:color="auto"/>
      </w:pBdr>
      <w:ind w:right="360" w:firstLine="360"/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FE6404">
      <w:rPr>
        <w:rStyle w:val="Numerstrony"/>
        <w:noProof/>
      </w:rPr>
      <w:t>21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CBE" w:rsidRDefault="003B5CBE">
      <w:r>
        <w:separator/>
      </w:r>
    </w:p>
  </w:footnote>
  <w:footnote w:type="continuationSeparator" w:id="0">
    <w:p w:rsidR="003B5CBE" w:rsidRDefault="003B5CBE">
      <w:r>
        <w:continuationSeparator/>
      </w:r>
    </w:p>
  </w:footnote>
  <w:footnote w:id="1">
    <w:p w:rsidR="003B5CBE" w:rsidRDefault="003B5CBE" w:rsidP="0006147D">
      <w:pPr>
        <w:pStyle w:val="Tekstprzypisudolnego"/>
      </w:pPr>
      <w:r>
        <w:rPr>
          <w:rStyle w:val="Odwoanieprzypisudolnego"/>
        </w:rPr>
        <w:footnoteRef/>
      </w:r>
      <w:r>
        <w:t xml:space="preserve"> Dane dotyczące pozycji „ogółem” i „poza wspólnotami mieszkaniowymi” podaje się na podstawie bilansów zasobów mieszkaniowych, pozostałe informacje – na podstawie badania cyklicznego, przeprowadzonego co 2 lata</w:t>
      </w:r>
    </w:p>
  </w:footnote>
  <w:footnote w:id="2">
    <w:p w:rsidR="003B5CBE" w:rsidRPr="00FC12FA" w:rsidRDefault="003B5CBE" w:rsidP="0006147D">
      <w:pPr>
        <w:pStyle w:val="Tekstprzypisudolnego"/>
      </w:pPr>
      <w:r w:rsidRPr="00FC12FA">
        <w:rPr>
          <w:rStyle w:val="Odwoanieprzypisudolnego"/>
        </w:rPr>
        <w:footnoteRef/>
      </w:r>
      <w:r w:rsidRPr="00FC12FA">
        <w:t xml:space="preserve"> Łącznie z innymi podmiotami, patrz uwagi ogólne, str. 12</w:t>
      </w:r>
    </w:p>
  </w:footnote>
  <w:footnote w:id="3">
    <w:p w:rsidR="003B5CBE" w:rsidRPr="0074692E" w:rsidRDefault="003B5CBE" w:rsidP="0006147D">
      <w:pPr>
        <w:pStyle w:val="Tekstprzypisudolnego"/>
      </w:pPr>
      <w:r w:rsidRPr="00E528A6">
        <w:t>W niniejszej publikacji (w części tabelarycznej) prezentowane są dane odnośnie podstawowych form własności, tj.</w:t>
      </w:r>
      <w:r>
        <w:t> </w:t>
      </w:r>
      <w:r w:rsidRPr="00E528A6">
        <w:t>mieszkań będących własnością gmin (mieszkania komunalne), spółdzielni mieszkan</w:t>
      </w:r>
      <w:r>
        <w:t>iowych</w:t>
      </w:r>
      <w:r w:rsidRPr="00E528A6">
        <w:t>, Skarbu Państwa, zakładów pracy, towarzystw budownictwa społecznego (</w:t>
      </w:r>
      <w:r w:rsidRPr="009178FE">
        <w:t xml:space="preserve">TBS), innych podmiotów </w:t>
      </w:r>
      <w:r w:rsidRPr="00E528A6">
        <w:t xml:space="preserve">oraz </w:t>
      </w:r>
      <w:r>
        <w:t xml:space="preserve">mieszkań osób fizycznych </w:t>
      </w:r>
      <w:r>
        <w:br/>
        <w:t xml:space="preserve">w budynkach objętych </w:t>
      </w:r>
      <w:r w:rsidRPr="0074692E">
        <w:t xml:space="preserve">wspólnotami mieszkaniowymi. </w:t>
      </w:r>
    </w:p>
  </w:footnote>
  <w:footnote w:id="4">
    <w:p w:rsidR="003B5CBE" w:rsidRPr="00BE7F90" w:rsidRDefault="003B5CBE" w:rsidP="000A2DF4">
      <w:pPr>
        <w:pStyle w:val="Tekstprzypisudolnego"/>
      </w:pPr>
      <w:r w:rsidRPr="00BE7F90">
        <w:t>Patrz Uwagi Metodyczne str. 12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BE" w:rsidRDefault="003B5CBE">
    <w:pPr>
      <w:pStyle w:val="Nagwek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BE" w:rsidRDefault="003B5CBE">
    <w:pPr>
      <w:pStyle w:val="Nagwek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77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D7EA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F8D3A5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22581"/>
    <w:multiLevelType w:val="multilevel"/>
    <w:tmpl w:val="E7206246"/>
    <w:lvl w:ilvl="0">
      <w:start w:val="1"/>
      <w:numFmt w:val="bullet"/>
      <w:lvlText w:val="­"/>
      <w:lvlJc w:val="left"/>
      <w:pPr>
        <w:tabs>
          <w:tab w:val="num" w:pos="1004"/>
        </w:tabs>
        <w:ind w:left="1004" w:hanging="284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73E3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807D6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A381E46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B000AE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</w:abstractNum>
  <w:abstractNum w:abstractNumId="8" w15:restartNumberingAfterBreak="0">
    <w:nsid w:val="1F926AB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D001B8"/>
    <w:multiLevelType w:val="hybridMultilevel"/>
    <w:tmpl w:val="48D45F60"/>
    <w:lvl w:ilvl="0" w:tplc="63DC6002">
      <w:start w:val="1"/>
      <w:numFmt w:val="decimal"/>
      <w:pStyle w:val="Tekstprzypisudolnego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C62E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92130D"/>
    <w:multiLevelType w:val="hybridMultilevel"/>
    <w:tmpl w:val="0574A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8478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A83260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360B7E8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CF243B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021703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A9204B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0744665"/>
    <w:multiLevelType w:val="singleLevel"/>
    <w:tmpl w:val="B5AAC8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41AC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37D2AED"/>
    <w:multiLevelType w:val="multilevel"/>
    <w:tmpl w:val="4D6A5ECA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1304" w:hanging="1304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40920F5"/>
    <w:multiLevelType w:val="hybridMultilevel"/>
    <w:tmpl w:val="C3B2F8B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5310B0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74948E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24" w15:restartNumberingAfterBreak="0">
    <w:nsid w:val="5CF728F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FCD0F26"/>
    <w:multiLevelType w:val="singleLevel"/>
    <w:tmpl w:val="9FEEEF1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DBE683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DEF362E"/>
    <w:multiLevelType w:val="hybridMultilevel"/>
    <w:tmpl w:val="04023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845D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3A97A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7"/>
  </w:num>
  <w:num w:numId="3">
    <w:abstractNumId w:val="14"/>
  </w:num>
  <w:num w:numId="4">
    <w:abstractNumId w:val="7"/>
  </w:num>
  <w:num w:numId="5">
    <w:abstractNumId w:val="12"/>
  </w:num>
  <w:num w:numId="6">
    <w:abstractNumId w:val="16"/>
  </w:num>
  <w:num w:numId="7">
    <w:abstractNumId w:val="13"/>
  </w:num>
  <w:num w:numId="8">
    <w:abstractNumId w:val="1"/>
  </w:num>
  <w:num w:numId="9">
    <w:abstractNumId w:val="23"/>
  </w:num>
  <w:num w:numId="10">
    <w:abstractNumId w:val="19"/>
  </w:num>
  <w:num w:numId="11">
    <w:abstractNumId w:val="3"/>
  </w:num>
  <w:num w:numId="12">
    <w:abstractNumId w:val="18"/>
  </w:num>
  <w:num w:numId="13">
    <w:abstractNumId w:val="4"/>
  </w:num>
  <w:num w:numId="14">
    <w:abstractNumId w:val="15"/>
  </w:num>
  <w:num w:numId="15">
    <w:abstractNumId w:val="8"/>
  </w:num>
  <w:num w:numId="16">
    <w:abstractNumId w:val="10"/>
  </w:num>
  <w:num w:numId="17">
    <w:abstractNumId w:val="2"/>
  </w:num>
  <w:num w:numId="18">
    <w:abstractNumId w:val="24"/>
  </w:num>
  <w:num w:numId="19">
    <w:abstractNumId w:val="0"/>
  </w:num>
  <w:num w:numId="20">
    <w:abstractNumId w:val="26"/>
  </w:num>
  <w:num w:numId="21">
    <w:abstractNumId w:val="22"/>
  </w:num>
  <w:num w:numId="22">
    <w:abstractNumId w:val="28"/>
  </w:num>
  <w:num w:numId="23">
    <w:abstractNumId w:val="29"/>
  </w:num>
  <w:num w:numId="24">
    <w:abstractNumId w:val="25"/>
  </w:num>
  <w:num w:numId="25">
    <w:abstractNumId w:val="6"/>
  </w:num>
  <w:num w:numId="26">
    <w:abstractNumId w:val="5"/>
  </w:num>
  <w:num w:numId="27">
    <w:abstractNumId w:val="21"/>
  </w:num>
  <w:num w:numId="28">
    <w:abstractNumId w:val="27"/>
  </w:num>
  <w:num w:numId="29">
    <w:abstractNumId w:val="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activeWritingStyle w:appName="MSWord" w:lang="pl-PL" w:vendorID="12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94"/>
    <w:rsid w:val="00001BDE"/>
    <w:rsid w:val="00001BF5"/>
    <w:rsid w:val="00002F35"/>
    <w:rsid w:val="0000416E"/>
    <w:rsid w:val="000043F6"/>
    <w:rsid w:val="000048E0"/>
    <w:rsid w:val="00005720"/>
    <w:rsid w:val="00007C47"/>
    <w:rsid w:val="0001040C"/>
    <w:rsid w:val="0001098D"/>
    <w:rsid w:val="000118BD"/>
    <w:rsid w:val="0001222A"/>
    <w:rsid w:val="00012293"/>
    <w:rsid w:val="0001722F"/>
    <w:rsid w:val="00020B35"/>
    <w:rsid w:val="00022A69"/>
    <w:rsid w:val="00022ACA"/>
    <w:rsid w:val="000232BA"/>
    <w:rsid w:val="0002360A"/>
    <w:rsid w:val="00024B44"/>
    <w:rsid w:val="000258FB"/>
    <w:rsid w:val="000260B1"/>
    <w:rsid w:val="00030346"/>
    <w:rsid w:val="00034C9E"/>
    <w:rsid w:val="00036DD6"/>
    <w:rsid w:val="00037060"/>
    <w:rsid w:val="00042444"/>
    <w:rsid w:val="000471FF"/>
    <w:rsid w:val="0005175A"/>
    <w:rsid w:val="00057F50"/>
    <w:rsid w:val="00060586"/>
    <w:rsid w:val="00060D28"/>
    <w:rsid w:val="0006147D"/>
    <w:rsid w:val="00061D2D"/>
    <w:rsid w:val="00066254"/>
    <w:rsid w:val="0006794A"/>
    <w:rsid w:val="00070EC7"/>
    <w:rsid w:val="00073698"/>
    <w:rsid w:val="00074338"/>
    <w:rsid w:val="00080F8B"/>
    <w:rsid w:val="00083D07"/>
    <w:rsid w:val="00083FE6"/>
    <w:rsid w:val="0008551E"/>
    <w:rsid w:val="00086FF2"/>
    <w:rsid w:val="00090811"/>
    <w:rsid w:val="00095AA5"/>
    <w:rsid w:val="000A0BB5"/>
    <w:rsid w:val="000A20E5"/>
    <w:rsid w:val="000A2DF4"/>
    <w:rsid w:val="000A4A33"/>
    <w:rsid w:val="000A6F70"/>
    <w:rsid w:val="000A7712"/>
    <w:rsid w:val="000A79CB"/>
    <w:rsid w:val="000B1F6F"/>
    <w:rsid w:val="000C24ED"/>
    <w:rsid w:val="000C56F1"/>
    <w:rsid w:val="000C5968"/>
    <w:rsid w:val="000C5A4E"/>
    <w:rsid w:val="000C6779"/>
    <w:rsid w:val="000C6801"/>
    <w:rsid w:val="000C69E7"/>
    <w:rsid w:val="000C6A21"/>
    <w:rsid w:val="000D0E49"/>
    <w:rsid w:val="000D1433"/>
    <w:rsid w:val="000D165D"/>
    <w:rsid w:val="000D19CE"/>
    <w:rsid w:val="000E1A72"/>
    <w:rsid w:val="000E22BC"/>
    <w:rsid w:val="000E2619"/>
    <w:rsid w:val="000E5FD1"/>
    <w:rsid w:val="000E7847"/>
    <w:rsid w:val="000F2EC1"/>
    <w:rsid w:val="000F4098"/>
    <w:rsid w:val="001001CF"/>
    <w:rsid w:val="00100633"/>
    <w:rsid w:val="00100EB6"/>
    <w:rsid w:val="0010231F"/>
    <w:rsid w:val="00103269"/>
    <w:rsid w:val="001049A5"/>
    <w:rsid w:val="00104A77"/>
    <w:rsid w:val="00107650"/>
    <w:rsid w:val="0011050C"/>
    <w:rsid w:val="00110A7E"/>
    <w:rsid w:val="00112040"/>
    <w:rsid w:val="00112859"/>
    <w:rsid w:val="00114317"/>
    <w:rsid w:val="00114D26"/>
    <w:rsid w:val="001172F2"/>
    <w:rsid w:val="00122A8B"/>
    <w:rsid w:val="001234C8"/>
    <w:rsid w:val="0012403D"/>
    <w:rsid w:val="00124C4C"/>
    <w:rsid w:val="0012549E"/>
    <w:rsid w:val="00126247"/>
    <w:rsid w:val="0013165A"/>
    <w:rsid w:val="00131C7D"/>
    <w:rsid w:val="001328D2"/>
    <w:rsid w:val="001335ED"/>
    <w:rsid w:val="00134EB5"/>
    <w:rsid w:val="00135CC9"/>
    <w:rsid w:val="00142BAA"/>
    <w:rsid w:val="00142FFB"/>
    <w:rsid w:val="00144273"/>
    <w:rsid w:val="00144528"/>
    <w:rsid w:val="00145C77"/>
    <w:rsid w:val="0014708B"/>
    <w:rsid w:val="00152278"/>
    <w:rsid w:val="0015316B"/>
    <w:rsid w:val="00153682"/>
    <w:rsid w:val="00153E4D"/>
    <w:rsid w:val="0015491C"/>
    <w:rsid w:val="00154A55"/>
    <w:rsid w:val="00155A6C"/>
    <w:rsid w:val="00156622"/>
    <w:rsid w:val="0015717F"/>
    <w:rsid w:val="0015788E"/>
    <w:rsid w:val="00163ECB"/>
    <w:rsid w:val="001678CC"/>
    <w:rsid w:val="00170887"/>
    <w:rsid w:val="00173AFA"/>
    <w:rsid w:val="001762D7"/>
    <w:rsid w:val="00177D48"/>
    <w:rsid w:val="0018022C"/>
    <w:rsid w:val="001809BB"/>
    <w:rsid w:val="00185A19"/>
    <w:rsid w:val="00186563"/>
    <w:rsid w:val="0018705A"/>
    <w:rsid w:val="00187A1E"/>
    <w:rsid w:val="001906FF"/>
    <w:rsid w:val="00190B67"/>
    <w:rsid w:val="00195712"/>
    <w:rsid w:val="00196F16"/>
    <w:rsid w:val="0019770D"/>
    <w:rsid w:val="001A0F33"/>
    <w:rsid w:val="001A3044"/>
    <w:rsid w:val="001A439C"/>
    <w:rsid w:val="001B127B"/>
    <w:rsid w:val="001B2168"/>
    <w:rsid w:val="001B3845"/>
    <w:rsid w:val="001B5890"/>
    <w:rsid w:val="001B5E67"/>
    <w:rsid w:val="001C12BD"/>
    <w:rsid w:val="001C36F4"/>
    <w:rsid w:val="001C47F4"/>
    <w:rsid w:val="001C55C9"/>
    <w:rsid w:val="001C7BC4"/>
    <w:rsid w:val="001D0B66"/>
    <w:rsid w:val="001D134D"/>
    <w:rsid w:val="001D4D89"/>
    <w:rsid w:val="001D6F41"/>
    <w:rsid w:val="001D7261"/>
    <w:rsid w:val="001E0E70"/>
    <w:rsid w:val="001E120B"/>
    <w:rsid w:val="001E21EB"/>
    <w:rsid w:val="001E380C"/>
    <w:rsid w:val="001E456C"/>
    <w:rsid w:val="001E66DA"/>
    <w:rsid w:val="001F075C"/>
    <w:rsid w:val="001F1196"/>
    <w:rsid w:val="001F11B6"/>
    <w:rsid w:val="001F5058"/>
    <w:rsid w:val="001F5224"/>
    <w:rsid w:val="001F713E"/>
    <w:rsid w:val="002038DE"/>
    <w:rsid w:val="00205A7F"/>
    <w:rsid w:val="00205E10"/>
    <w:rsid w:val="0020615A"/>
    <w:rsid w:val="0021034C"/>
    <w:rsid w:val="002106D2"/>
    <w:rsid w:val="002107A1"/>
    <w:rsid w:val="002108C3"/>
    <w:rsid w:val="00210B8A"/>
    <w:rsid w:val="0021169E"/>
    <w:rsid w:val="002121BA"/>
    <w:rsid w:val="00213D26"/>
    <w:rsid w:val="0021428F"/>
    <w:rsid w:val="00215703"/>
    <w:rsid w:val="00215767"/>
    <w:rsid w:val="0021621F"/>
    <w:rsid w:val="002238D9"/>
    <w:rsid w:val="00224E0E"/>
    <w:rsid w:val="002250ED"/>
    <w:rsid w:val="00226215"/>
    <w:rsid w:val="00236622"/>
    <w:rsid w:val="00240CD5"/>
    <w:rsid w:val="00241E16"/>
    <w:rsid w:val="00243913"/>
    <w:rsid w:val="0025195A"/>
    <w:rsid w:val="00251B37"/>
    <w:rsid w:val="00251EB2"/>
    <w:rsid w:val="00252EFA"/>
    <w:rsid w:val="00253652"/>
    <w:rsid w:val="002549F9"/>
    <w:rsid w:val="00254DED"/>
    <w:rsid w:val="00254F20"/>
    <w:rsid w:val="002551B3"/>
    <w:rsid w:val="00256F28"/>
    <w:rsid w:val="00257047"/>
    <w:rsid w:val="002572B7"/>
    <w:rsid w:val="00260047"/>
    <w:rsid w:val="00260F54"/>
    <w:rsid w:val="002632B2"/>
    <w:rsid w:val="00263C98"/>
    <w:rsid w:val="00265DA9"/>
    <w:rsid w:val="0026636A"/>
    <w:rsid w:val="00266766"/>
    <w:rsid w:val="00266FB4"/>
    <w:rsid w:val="0026775B"/>
    <w:rsid w:val="00270110"/>
    <w:rsid w:val="00270906"/>
    <w:rsid w:val="00270C0C"/>
    <w:rsid w:val="00272E9F"/>
    <w:rsid w:val="00272FB7"/>
    <w:rsid w:val="0027473E"/>
    <w:rsid w:val="0027736A"/>
    <w:rsid w:val="0028185D"/>
    <w:rsid w:val="00282C74"/>
    <w:rsid w:val="00285369"/>
    <w:rsid w:val="00286F1E"/>
    <w:rsid w:val="0029248F"/>
    <w:rsid w:val="002A15CF"/>
    <w:rsid w:val="002A19A8"/>
    <w:rsid w:val="002A74F1"/>
    <w:rsid w:val="002A7F8A"/>
    <w:rsid w:val="002B0933"/>
    <w:rsid w:val="002B3344"/>
    <w:rsid w:val="002B49DB"/>
    <w:rsid w:val="002B7C6E"/>
    <w:rsid w:val="002C467B"/>
    <w:rsid w:val="002D1D69"/>
    <w:rsid w:val="002D2F63"/>
    <w:rsid w:val="002D428B"/>
    <w:rsid w:val="002D49FD"/>
    <w:rsid w:val="002D590B"/>
    <w:rsid w:val="002D5A76"/>
    <w:rsid w:val="002D5C02"/>
    <w:rsid w:val="002D6174"/>
    <w:rsid w:val="002D656B"/>
    <w:rsid w:val="002E09A2"/>
    <w:rsid w:val="002E4BAB"/>
    <w:rsid w:val="002E5E44"/>
    <w:rsid w:val="002E63D5"/>
    <w:rsid w:val="002E70AA"/>
    <w:rsid w:val="002F1959"/>
    <w:rsid w:val="002F34CB"/>
    <w:rsid w:val="002F49A0"/>
    <w:rsid w:val="002F4BF5"/>
    <w:rsid w:val="002F54D2"/>
    <w:rsid w:val="002F5632"/>
    <w:rsid w:val="002F5A51"/>
    <w:rsid w:val="002F7294"/>
    <w:rsid w:val="002F7B0C"/>
    <w:rsid w:val="003002C3"/>
    <w:rsid w:val="003007E1"/>
    <w:rsid w:val="00301612"/>
    <w:rsid w:val="00302226"/>
    <w:rsid w:val="003027DD"/>
    <w:rsid w:val="00302D0F"/>
    <w:rsid w:val="00303B1B"/>
    <w:rsid w:val="00305D3D"/>
    <w:rsid w:val="00307799"/>
    <w:rsid w:val="0031047E"/>
    <w:rsid w:val="00310A4C"/>
    <w:rsid w:val="003140C0"/>
    <w:rsid w:val="003154E9"/>
    <w:rsid w:val="00316513"/>
    <w:rsid w:val="00316A84"/>
    <w:rsid w:val="00316FB5"/>
    <w:rsid w:val="003201F9"/>
    <w:rsid w:val="00321681"/>
    <w:rsid w:val="00321EA9"/>
    <w:rsid w:val="00323037"/>
    <w:rsid w:val="00323067"/>
    <w:rsid w:val="003233F9"/>
    <w:rsid w:val="00326EAD"/>
    <w:rsid w:val="00331D0B"/>
    <w:rsid w:val="00331DDE"/>
    <w:rsid w:val="00336640"/>
    <w:rsid w:val="00336B9D"/>
    <w:rsid w:val="00337065"/>
    <w:rsid w:val="003400D2"/>
    <w:rsid w:val="003404EA"/>
    <w:rsid w:val="00341107"/>
    <w:rsid w:val="003413EE"/>
    <w:rsid w:val="00344879"/>
    <w:rsid w:val="003454B7"/>
    <w:rsid w:val="00345B6D"/>
    <w:rsid w:val="00350BAA"/>
    <w:rsid w:val="00351351"/>
    <w:rsid w:val="00351CFD"/>
    <w:rsid w:val="00352C0F"/>
    <w:rsid w:val="00353E07"/>
    <w:rsid w:val="00353F32"/>
    <w:rsid w:val="00355C3F"/>
    <w:rsid w:val="003572F9"/>
    <w:rsid w:val="00362468"/>
    <w:rsid w:val="00363C7A"/>
    <w:rsid w:val="00364DAD"/>
    <w:rsid w:val="00366CB0"/>
    <w:rsid w:val="00371084"/>
    <w:rsid w:val="00371D8E"/>
    <w:rsid w:val="00371EBD"/>
    <w:rsid w:val="003720B2"/>
    <w:rsid w:val="003727AF"/>
    <w:rsid w:val="0037323F"/>
    <w:rsid w:val="0037332E"/>
    <w:rsid w:val="00374499"/>
    <w:rsid w:val="00374F51"/>
    <w:rsid w:val="00376229"/>
    <w:rsid w:val="003772A1"/>
    <w:rsid w:val="00377937"/>
    <w:rsid w:val="003813D7"/>
    <w:rsid w:val="00381D19"/>
    <w:rsid w:val="00383643"/>
    <w:rsid w:val="00384532"/>
    <w:rsid w:val="00384F8E"/>
    <w:rsid w:val="003851A1"/>
    <w:rsid w:val="00385232"/>
    <w:rsid w:val="003902E0"/>
    <w:rsid w:val="00391CDB"/>
    <w:rsid w:val="003934A4"/>
    <w:rsid w:val="00393DA2"/>
    <w:rsid w:val="00396F10"/>
    <w:rsid w:val="003A0B48"/>
    <w:rsid w:val="003A3574"/>
    <w:rsid w:val="003A4776"/>
    <w:rsid w:val="003A633A"/>
    <w:rsid w:val="003B01DB"/>
    <w:rsid w:val="003B0F25"/>
    <w:rsid w:val="003B18CB"/>
    <w:rsid w:val="003B2709"/>
    <w:rsid w:val="003B51D2"/>
    <w:rsid w:val="003B5AC2"/>
    <w:rsid w:val="003B5CBE"/>
    <w:rsid w:val="003B5EBE"/>
    <w:rsid w:val="003B7B78"/>
    <w:rsid w:val="003C1115"/>
    <w:rsid w:val="003C1DC4"/>
    <w:rsid w:val="003C258D"/>
    <w:rsid w:val="003C26C6"/>
    <w:rsid w:val="003C285F"/>
    <w:rsid w:val="003C7807"/>
    <w:rsid w:val="003D0E9A"/>
    <w:rsid w:val="003D2941"/>
    <w:rsid w:val="003D5CF3"/>
    <w:rsid w:val="003D5F2A"/>
    <w:rsid w:val="003E1377"/>
    <w:rsid w:val="003E1586"/>
    <w:rsid w:val="003E409C"/>
    <w:rsid w:val="003E4197"/>
    <w:rsid w:val="003E69F3"/>
    <w:rsid w:val="003F2607"/>
    <w:rsid w:val="003F3140"/>
    <w:rsid w:val="00401099"/>
    <w:rsid w:val="0040127A"/>
    <w:rsid w:val="0040626D"/>
    <w:rsid w:val="00406E38"/>
    <w:rsid w:val="00410082"/>
    <w:rsid w:val="00412F4F"/>
    <w:rsid w:val="00414ECE"/>
    <w:rsid w:val="0042039E"/>
    <w:rsid w:val="004217E8"/>
    <w:rsid w:val="00422DFD"/>
    <w:rsid w:val="00423059"/>
    <w:rsid w:val="00424052"/>
    <w:rsid w:val="0042592B"/>
    <w:rsid w:val="00426633"/>
    <w:rsid w:val="00427338"/>
    <w:rsid w:val="00431E81"/>
    <w:rsid w:val="00433DBC"/>
    <w:rsid w:val="00435921"/>
    <w:rsid w:val="004363BF"/>
    <w:rsid w:val="00437E45"/>
    <w:rsid w:val="00440EF6"/>
    <w:rsid w:val="004416A2"/>
    <w:rsid w:val="00441BB4"/>
    <w:rsid w:val="00447C19"/>
    <w:rsid w:val="004516CE"/>
    <w:rsid w:val="004517A3"/>
    <w:rsid w:val="00451AF2"/>
    <w:rsid w:val="0045214C"/>
    <w:rsid w:val="004525CA"/>
    <w:rsid w:val="00454B3F"/>
    <w:rsid w:val="004552F6"/>
    <w:rsid w:val="004570EC"/>
    <w:rsid w:val="00460403"/>
    <w:rsid w:val="00463540"/>
    <w:rsid w:val="00463A6C"/>
    <w:rsid w:val="00463D42"/>
    <w:rsid w:val="0046742D"/>
    <w:rsid w:val="00470794"/>
    <w:rsid w:val="00470E6C"/>
    <w:rsid w:val="00473F3A"/>
    <w:rsid w:val="004743F3"/>
    <w:rsid w:val="00475288"/>
    <w:rsid w:val="004759ED"/>
    <w:rsid w:val="00477295"/>
    <w:rsid w:val="00477A21"/>
    <w:rsid w:val="00477C21"/>
    <w:rsid w:val="00480453"/>
    <w:rsid w:val="004809AE"/>
    <w:rsid w:val="00483ADD"/>
    <w:rsid w:val="00485BF2"/>
    <w:rsid w:val="00490B9C"/>
    <w:rsid w:val="00493A6D"/>
    <w:rsid w:val="004945AB"/>
    <w:rsid w:val="00496A0D"/>
    <w:rsid w:val="00496B5F"/>
    <w:rsid w:val="004A2D9B"/>
    <w:rsid w:val="004A4A43"/>
    <w:rsid w:val="004A7210"/>
    <w:rsid w:val="004A7DDE"/>
    <w:rsid w:val="004B1D11"/>
    <w:rsid w:val="004B2836"/>
    <w:rsid w:val="004B3AF3"/>
    <w:rsid w:val="004B4248"/>
    <w:rsid w:val="004B431A"/>
    <w:rsid w:val="004B5722"/>
    <w:rsid w:val="004C0174"/>
    <w:rsid w:val="004C1E0E"/>
    <w:rsid w:val="004C31B5"/>
    <w:rsid w:val="004C40C0"/>
    <w:rsid w:val="004C7A73"/>
    <w:rsid w:val="004C7CCC"/>
    <w:rsid w:val="004D14C8"/>
    <w:rsid w:val="004E0336"/>
    <w:rsid w:val="004E14A1"/>
    <w:rsid w:val="004E14EF"/>
    <w:rsid w:val="004E3DD3"/>
    <w:rsid w:val="004E4C41"/>
    <w:rsid w:val="004F12EC"/>
    <w:rsid w:val="004F1310"/>
    <w:rsid w:val="004F2522"/>
    <w:rsid w:val="004F596F"/>
    <w:rsid w:val="004F5ABF"/>
    <w:rsid w:val="004F5F11"/>
    <w:rsid w:val="004F60A8"/>
    <w:rsid w:val="00500283"/>
    <w:rsid w:val="00502B01"/>
    <w:rsid w:val="00505B39"/>
    <w:rsid w:val="00506F76"/>
    <w:rsid w:val="005101C4"/>
    <w:rsid w:val="00510415"/>
    <w:rsid w:val="00513FB6"/>
    <w:rsid w:val="005149F9"/>
    <w:rsid w:val="00514CCB"/>
    <w:rsid w:val="005170CE"/>
    <w:rsid w:val="00517AEF"/>
    <w:rsid w:val="005213D8"/>
    <w:rsid w:val="00522C7B"/>
    <w:rsid w:val="0052336D"/>
    <w:rsid w:val="005255F5"/>
    <w:rsid w:val="00525B5A"/>
    <w:rsid w:val="005264A0"/>
    <w:rsid w:val="0052679F"/>
    <w:rsid w:val="005268AB"/>
    <w:rsid w:val="00526D21"/>
    <w:rsid w:val="00527F28"/>
    <w:rsid w:val="0053041F"/>
    <w:rsid w:val="005319BA"/>
    <w:rsid w:val="00534FAF"/>
    <w:rsid w:val="00536784"/>
    <w:rsid w:val="00536C12"/>
    <w:rsid w:val="005371E3"/>
    <w:rsid w:val="00537412"/>
    <w:rsid w:val="0054111D"/>
    <w:rsid w:val="00541B7E"/>
    <w:rsid w:val="00544012"/>
    <w:rsid w:val="005441E3"/>
    <w:rsid w:val="005455C1"/>
    <w:rsid w:val="00545C18"/>
    <w:rsid w:val="00546709"/>
    <w:rsid w:val="005500A7"/>
    <w:rsid w:val="00551418"/>
    <w:rsid w:val="0055463E"/>
    <w:rsid w:val="00555BAA"/>
    <w:rsid w:val="00562FF4"/>
    <w:rsid w:val="005661CB"/>
    <w:rsid w:val="005717F7"/>
    <w:rsid w:val="005718F9"/>
    <w:rsid w:val="00571CFB"/>
    <w:rsid w:val="005751F6"/>
    <w:rsid w:val="00577520"/>
    <w:rsid w:val="00580189"/>
    <w:rsid w:val="005802FF"/>
    <w:rsid w:val="0058087F"/>
    <w:rsid w:val="00586837"/>
    <w:rsid w:val="00587847"/>
    <w:rsid w:val="00587958"/>
    <w:rsid w:val="0059177A"/>
    <w:rsid w:val="005A3D5B"/>
    <w:rsid w:val="005A3F0C"/>
    <w:rsid w:val="005A3FD4"/>
    <w:rsid w:val="005A58C6"/>
    <w:rsid w:val="005A72E2"/>
    <w:rsid w:val="005B0057"/>
    <w:rsid w:val="005B0AAA"/>
    <w:rsid w:val="005B153D"/>
    <w:rsid w:val="005B172A"/>
    <w:rsid w:val="005B1F01"/>
    <w:rsid w:val="005B3FC5"/>
    <w:rsid w:val="005B42F5"/>
    <w:rsid w:val="005B4A64"/>
    <w:rsid w:val="005B624B"/>
    <w:rsid w:val="005C0E4D"/>
    <w:rsid w:val="005C1EFA"/>
    <w:rsid w:val="005C25D0"/>
    <w:rsid w:val="005C3A23"/>
    <w:rsid w:val="005C4156"/>
    <w:rsid w:val="005C72C6"/>
    <w:rsid w:val="005D4093"/>
    <w:rsid w:val="005D4137"/>
    <w:rsid w:val="005D5A9E"/>
    <w:rsid w:val="005D6332"/>
    <w:rsid w:val="005D6486"/>
    <w:rsid w:val="005D65DB"/>
    <w:rsid w:val="005D687B"/>
    <w:rsid w:val="005D69B2"/>
    <w:rsid w:val="005D6BFB"/>
    <w:rsid w:val="005E01AE"/>
    <w:rsid w:val="005E0D88"/>
    <w:rsid w:val="005E19CC"/>
    <w:rsid w:val="005E298A"/>
    <w:rsid w:val="005E4CDA"/>
    <w:rsid w:val="005E6151"/>
    <w:rsid w:val="005E6AD0"/>
    <w:rsid w:val="005F0A9A"/>
    <w:rsid w:val="005F1656"/>
    <w:rsid w:val="005F1662"/>
    <w:rsid w:val="005F26F8"/>
    <w:rsid w:val="005F3AE5"/>
    <w:rsid w:val="005F4398"/>
    <w:rsid w:val="005F4CE7"/>
    <w:rsid w:val="00600C45"/>
    <w:rsid w:val="0060313B"/>
    <w:rsid w:val="0060500F"/>
    <w:rsid w:val="00605A50"/>
    <w:rsid w:val="0061077D"/>
    <w:rsid w:val="00611C72"/>
    <w:rsid w:val="00612D7B"/>
    <w:rsid w:val="0061311D"/>
    <w:rsid w:val="00615F77"/>
    <w:rsid w:val="00616F88"/>
    <w:rsid w:val="00617F41"/>
    <w:rsid w:val="00621D45"/>
    <w:rsid w:val="00622A6D"/>
    <w:rsid w:val="00627449"/>
    <w:rsid w:val="00627D52"/>
    <w:rsid w:val="0063048F"/>
    <w:rsid w:val="006326B4"/>
    <w:rsid w:val="006334B9"/>
    <w:rsid w:val="0063447C"/>
    <w:rsid w:val="00634F3D"/>
    <w:rsid w:val="0063646E"/>
    <w:rsid w:val="0064018E"/>
    <w:rsid w:val="00643728"/>
    <w:rsid w:val="00643830"/>
    <w:rsid w:val="00643DE3"/>
    <w:rsid w:val="0064414D"/>
    <w:rsid w:val="00644AC3"/>
    <w:rsid w:val="00646516"/>
    <w:rsid w:val="0065015F"/>
    <w:rsid w:val="00650D66"/>
    <w:rsid w:val="006519D4"/>
    <w:rsid w:val="00655AC6"/>
    <w:rsid w:val="00656421"/>
    <w:rsid w:val="006564F1"/>
    <w:rsid w:val="00661E32"/>
    <w:rsid w:val="006632E6"/>
    <w:rsid w:val="00665B4E"/>
    <w:rsid w:val="00670C3B"/>
    <w:rsid w:val="00673FC3"/>
    <w:rsid w:val="0067431B"/>
    <w:rsid w:val="00674AD9"/>
    <w:rsid w:val="00677116"/>
    <w:rsid w:val="0068138C"/>
    <w:rsid w:val="00681394"/>
    <w:rsid w:val="00686296"/>
    <w:rsid w:val="00686D6B"/>
    <w:rsid w:val="0069115D"/>
    <w:rsid w:val="00692591"/>
    <w:rsid w:val="00694343"/>
    <w:rsid w:val="00694632"/>
    <w:rsid w:val="00694ECA"/>
    <w:rsid w:val="0069556F"/>
    <w:rsid w:val="00696187"/>
    <w:rsid w:val="006968FA"/>
    <w:rsid w:val="00697AA1"/>
    <w:rsid w:val="006A0719"/>
    <w:rsid w:val="006A0AB7"/>
    <w:rsid w:val="006A1914"/>
    <w:rsid w:val="006A21B6"/>
    <w:rsid w:val="006A2C6C"/>
    <w:rsid w:val="006A39BB"/>
    <w:rsid w:val="006A3EAF"/>
    <w:rsid w:val="006A5113"/>
    <w:rsid w:val="006A54B9"/>
    <w:rsid w:val="006A6A31"/>
    <w:rsid w:val="006A6E0C"/>
    <w:rsid w:val="006B000E"/>
    <w:rsid w:val="006B1E92"/>
    <w:rsid w:val="006B2799"/>
    <w:rsid w:val="006B5AFB"/>
    <w:rsid w:val="006B5B9D"/>
    <w:rsid w:val="006B72C7"/>
    <w:rsid w:val="006B7B4C"/>
    <w:rsid w:val="006C09F8"/>
    <w:rsid w:val="006C2296"/>
    <w:rsid w:val="006C3204"/>
    <w:rsid w:val="006C45A2"/>
    <w:rsid w:val="006C4EF9"/>
    <w:rsid w:val="006C536C"/>
    <w:rsid w:val="006C61DD"/>
    <w:rsid w:val="006C7D63"/>
    <w:rsid w:val="006D0B59"/>
    <w:rsid w:val="006D2146"/>
    <w:rsid w:val="006D5E8B"/>
    <w:rsid w:val="006D6B37"/>
    <w:rsid w:val="006D6E81"/>
    <w:rsid w:val="006D7F8D"/>
    <w:rsid w:val="006E2890"/>
    <w:rsid w:val="006E529C"/>
    <w:rsid w:val="006F079A"/>
    <w:rsid w:val="006F3347"/>
    <w:rsid w:val="006F3657"/>
    <w:rsid w:val="006F5D1B"/>
    <w:rsid w:val="006F61DE"/>
    <w:rsid w:val="006F676A"/>
    <w:rsid w:val="00701BE8"/>
    <w:rsid w:val="00702510"/>
    <w:rsid w:val="0071430E"/>
    <w:rsid w:val="00715CAF"/>
    <w:rsid w:val="00716A29"/>
    <w:rsid w:val="00717994"/>
    <w:rsid w:val="00720A22"/>
    <w:rsid w:val="00722420"/>
    <w:rsid w:val="0072276D"/>
    <w:rsid w:val="00722ED2"/>
    <w:rsid w:val="00722EE1"/>
    <w:rsid w:val="00723535"/>
    <w:rsid w:val="007249AB"/>
    <w:rsid w:val="00724D89"/>
    <w:rsid w:val="00726997"/>
    <w:rsid w:val="00726FE6"/>
    <w:rsid w:val="00727824"/>
    <w:rsid w:val="00731A7F"/>
    <w:rsid w:val="007333D1"/>
    <w:rsid w:val="007346F4"/>
    <w:rsid w:val="00735D84"/>
    <w:rsid w:val="0073719B"/>
    <w:rsid w:val="00740C57"/>
    <w:rsid w:val="0074421C"/>
    <w:rsid w:val="00744C45"/>
    <w:rsid w:val="007459D7"/>
    <w:rsid w:val="0074692E"/>
    <w:rsid w:val="007537A4"/>
    <w:rsid w:val="00756302"/>
    <w:rsid w:val="00763D37"/>
    <w:rsid w:val="0077146E"/>
    <w:rsid w:val="0077157F"/>
    <w:rsid w:val="007740B3"/>
    <w:rsid w:val="007769CF"/>
    <w:rsid w:val="0078229E"/>
    <w:rsid w:val="0078473D"/>
    <w:rsid w:val="007862D0"/>
    <w:rsid w:val="0078664F"/>
    <w:rsid w:val="00787E7B"/>
    <w:rsid w:val="007903DB"/>
    <w:rsid w:val="007915FC"/>
    <w:rsid w:val="007929AD"/>
    <w:rsid w:val="00792B27"/>
    <w:rsid w:val="007932DB"/>
    <w:rsid w:val="00795AE4"/>
    <w:rsid w:val="00796666"/>
    <w:rsid w:val="00796A5B"/>
    <w:rsid w:val="00797E8F"/>
    <w:rsid w:val="007A0393"/>
    <w:rsid w:val="007A05B6"/>
    <w:rsid w:val="007A7D83"/>
    <w:rsid w:val="007B295D"/>
    <w:rsid w:val="007B3B12"/>
    <w:rsid w:val="007B46E9"/>
    <w:rsid w:val="007B4976"/>
    <w:rsid w:val="007B5BBC"/>
    <w:rsid w:val="007B6656"/>
    <w:rsid w:val="007B750D"/>
    <w:rsid w:val="007B76A5"/>
    <w:rsid w:val="007C108B"/>
    <w:rsid w:val="007C39A2"/>
    <w:rsid w:val="007C39F9"/>
    <w:rsid w:val="007C4B27"/>
    <w:rsid w:val="007C5D91"/>
    <w:rsid w:val="007C662D"/>
    <w:rsid w:val="007C6BB9"/>
    <w:rsid w:val="007C6CFD"/>
    <w:rsid w:val="007C753D"/>
    <w:rsid w:val="007D09F4"/>
    <w:rsid w:val="007D0BD6"/>
    <w:rsid w:val="007D0DD0"/>
    <w:rsid w:val="007D2BF0"/>
    <w:rsid w:val="007D4E75"/>
    <w:rsid w:val="007D5066"/>
    <w:rsid w:val="007D5C0C"/>
    <w:rsid w:val="007E0D86"/>
    <w:rsid w:val="007E16CE"/>
    <w:rsid w:val="007F19E0"/>
    <w:rsid w:val="007F42FF"/>
    <w:rsid w:val="007F47F0"/>
    <w:rsid w:val="007F5657"/>
    <w:rsid w:val="007F5C53"/>
    <w:rsid w:val="007F6B05"/>
    <w:rsid w:val="007F7AA3"/>
    <w:rsid w:val="0080067A"/>
    <w:rsid w:val="0080425D"/>
    <w:rsid w:val="00807C14"/>
    <w:rsid w:val="00810764"/>
    <w:rsid w:val="008117A8"/>
    <w:rsid w:val="00811853"/>
    <w:rsid w:val="00812A25"/>
    <w:rsid w:val="00813704"/>
    <w:rsid w:val="00814EF1"/>
    <w:rsid w:val="00815A23"/>
    <w:rsid w:val="008166D3"/>
    <w:rsid w:val="00822390"/>
    <w:rsid w:val="00824B36"/>
    <w:rsid w:val="00825E10"/>
    <w:rsid w:val="008300BA"/>
    <w:rsid w:val="0083135B"/>
    <w:rsid w:val="00831FE3"/>
    <w:rsid w:val="00836BD5"/>
    <w:rsid w:val="00837B8F"/>
    <w:rsid w:val="00840404"/>
    <w:rsid w:val="008406AC"/>
    <w:rsid w:val="008419B2"/>
    <w:rsid w:val="00841F8E"/>
    <w:rsid w:val="00843BC8"/>
    <w:rsid w:val="00846CB9"/>
    <w:rsid w:val="00846E0C"/>
    <w:rsid w:val="008538BC"/>
    <w:rsid w:val="0085397E"/>
    <w:rsid w:val="00854996"/>
    <w:rsid w:val="0085517B"/>
    <w:rsid w:val="0085629A"/>
    <w:rsid w:val="00856822"/>
    <w:rsid w:val="008572DE"/>
    <w:rsid w:val="008622F8"/>
    <w:rsid w:val="00862895"/>
    <w:rsid w:val="0086357A"/>
    <w:rsid w:val="00866BBB"/>
    <w:rsid w:val="0087005C"/>
    <w:rsid w:val="008704E5"/>
    <w:rsid w:val="008715D4"/>
    <w:rsid w:val="008717CF"/>
    <w:rsid w:val="00871971"/>
    <w:rsid w:val="00871BA3"/>
    <w:rsid w:val="00871D98"/>
    <w:rsid w:val="008720C8"/>
    <w:rsid w:val="00873C2C"/>
    <w:rsid w:val="00876608"/>
    <w:rsid w:val="00880F03"/>
    <w:rsid w:val="00882F00"/>
    <w:rsid w:val="00883816"/>
    <w:rsid w:val="0089081E"/>
    <w:rsid w:val="0089136F"/>
    <w:rsid w:val="00892374"/>
    <w:rsid w:val="00894D04"/>
    <w:rsid w:val="00897878"/>
    <w:rsid w:val="008A017F"/>
    <w:rsid w:val="008A1A87"/>
    <w:rsid w:val="008A1B09"/>
    <w:rsid w:val="008A66E7"/>
    <w:rsid w:val="008A709D"/>
    <w:rsid w:val="008A7EA7"/>
    <w:rsid w:val="008B0EA8"/>
    <w:rsid w:val="008B4C2F"/>
    <w:rsid w:val="008B5286"/>
    <w:rsid w:val="008B545F"/>
    <w:rsid w:val="008B5A96"/>
    <w:rsid w:val="008B75F3"/>
    <w:rsid w:val="008C1BEF"/>
    <w:rsid w:val="008C2D7D"/>
    <w:rsid w:val="008C2F8B"/>
    <w:rsid w:val="008C3071"/>
    <w:rsid w:val="008C4C95"/>
    <w:rsid w:val="008C514F"/>
    <w:rsid w:val="008C69EB"/>
    <w:rsid w:val="008C7487"/>
    <w:rsid w:val="008D04B8"/>
    <w:rsid w:val="008D0624"/>
    <w:rsid w:val="008D1BCF"/>
    <w:rsid w:val="008D33B0"/>
    <w:rsid w:val="008E0C99"/>
    <w:rsid w:val="008E1260"/>
    <w:rsid w:val="008E1A78"/>
    <w:rsid w:val="008E3B46"/>
    <w:rsid w:val="008E524F"/>
    <w:rsid w:val="008E62F5"/>
    <w:rsid w:val="008E78FD"/>
    <w:rsid w:val="008E79FE"/>
    <w:rsid w:val="008E7C8A"/>
    <w:rsid w:val="008E7E0C"/>
    <w:rsid w:val="008F218D"/>
    <w:rsid w:val="008F25F0"/>
    <w:rsid w:val="008F6883"/>
    <w:rsid w:val="008F68B8"/>
    <w:rsid w:val="008F7A4A"/>
    <w:rsid w:val="0090499E"/>
    <w:rsid w:val="00906AD5"/>
    <w:rsid w:val="00906B7B"/>
    <w:rsid w:val="00906FF1"/>
    <w:rsid w:val="009120E7"/>
    <w:rsid w:val="009178FE"/>
    <w:rsid w:val="00920D3F"/>
    <w:rsid w:val="009216CA"/>
    <w:rsid w:val="00922D4B"/>
    <w:rsid w:val="00924C67"/>
    <w:rsid w:val="00925E0B"/>
    <w:rsid w:val="009310E3"/>
    <w:rsid w:val="0093279B"/>
    <w:rsid w:val="0093705E"/>
    <w:rsid w:val="0094223D"/>
    <w:rsid w:val="0094240C"/>
    <w:rsid w:val="00945060"/>
    <w:rsid w:val="00945F72"/>
    <w:rsid w:val="009472B7"/>
    <w:rsid w:val="00947515"/>
    <w:rsid w:val="00952860"/>
    <w:rsid w:val="00952A81"/>
    <w:rsid w:val="009551E1"/>
    <w:rsid w:val="00955D33"/>
    <w:rsid w:val="009561FC"/>
    <w:rsid w:val="0095787A"/>
    <w:rsid w:val="009620F1"/>
    <w:rsid w:val="00962739"/>
    <w:rsid w:val="00967024"/>
    <w:rsid w:val="00970265"/>
    <w:rsid w:val="00971003"/>
    <w:rsid w:val="00972040"/>
    <w:rsid w:val="00972FE3"/>
    <w:rsid w:val="00973436"/>
    <w:rsid w:val="00975272"/>
    <w:rsid w:val="00975F42"/>
    <w:rsid w:val="00976136"/>
    <w:rsid w:val="009764F0"/>
    <w:rsid w:val="00976836"/>
    <w:rsid w:val="00980047"/>
    <w:rsid w:val="00980C4F"/>
    <w:rsid w:val="00981F95"/>
    <w:rsid w:val="0098298B"/>
    <w:rsid w:val="009837BC"/>
    <w:rsid w:val="00983CAA"/>
    <w:rsid w:val="00984031"/>
    <w:rsid w:val="009843C5"/>
    <w:rsid w:val="00987B53"/>
    <w:rsid w:val="00990285"/>
    <w:rsid w:val="0099153B"/>
    <w:rsid w:val="00991DF7"/>
    <w:rsid w:val="00992585"/>
    <w:rsid w:val="0099499A"/>
    <w:rsid w:val="00996FFD"/>
    <w:rsid w:val="009975BE"/>
    <w:rsid w:val="009A0802"/>
    <w:rsid w:val="009A0EB8"/>
    <w:rsid w:val="009A2132"/>
    <w:rsid w:val="009A223E"/>
    <w:rsid w:val="009A3B77"/>
    <w:rsid w:val="009A5FC3"/>
    <w:rsid w:val="009A6A2E"/>
    <w:rsid w:val="009A7301"/>
    <w:rsid w:val="009B20A4"/>
    <w:rsid w:val="009B2281"/>
    <w:rsid w:val="009B354E"/>
    <w:rsid w:val="009C20D0"/>
    <w:rsid w:val="009C39C2"/>
    <w:rsid w:val="009C450D"/>
    <w:rsid w:val="009C4E10"/>
    <w:rsid w:val="009C6371"/>
    <w:rsid w:val="009C6D14"/>
    <w:rsid w:val="009C7230"/>
    <w:rsid w:val="009D14E4"/>
    <w:rsid w:val="009D1809"/>
    <w:rsid w:val="009D2980"/>
    <w:rsid w:val="009D2D5E"/>
    <w:rsid w:val="009D3066"/>
    <w:rsid w:val="009D3504"/>
    <w:rsid w:val="009D3A8D"/>
    <w:rsid w:val="009D4422"/>
    <w:rsid w:val="009D5F39"/>
    <w:rsid w:val="009D6554"/>
    <w:rsid w:val="009D688C"/>
    <w:rsid w:val="009D7C96"/>
    <w:rsid w:val="009E0E83"/>
    <w:rsid w:val="009E1B82"/>
    <w:rsid w:val="009E29DB"/>
    <w:rsid w:val="009E36F8"/>
    <w:rsid w:val="009E3F98"/>
    <w:rsid w:val="009E4343"/>
    <w:rsid w:val="009E4C6B"/>
    <w:rsid w:val="009E4FF5"/>
    <w:rsid w:val="009E5540"/>
    <w:rsid w:val="009F1C31"/>
    <w:rsid w:val="009F2C25"/>
    <w:rsid w:val="009F73CA"/>
    <w:rsid w:val="009F75A8"/>
    <w:rsid w:val="00A00AE9"/>
    <w:rsid w:val="00A0199B"/>
    <w:rsid w:val="00A019DE"/>
    <w:rsid w:val="00A03846"/>
    <w:rsid w:val="00A0678E"/>
    <w:rsid w:val="00A07951"/>
    <w:rsid w:val="00A07F20"/>
    <w:rsid w:val="00A112E9"/>
    <w:rsid w:val="00A13B50"/>
    <w:rsid w:val="00A14A02"/>
    <w:rsid w:val="00A15282"/>
    <w:rsid w:val="00A200D3"/>
    <w:rsid w:val="00A2037C"/>
    <w:rsid w:val="00A22038"/>
    <w:rsid w:val="00A2226B"/>
    <w:rsid w:val="00A226C7"/>
    <w:rsid w:val="00A25767"/>
    <w:rsid w:val="00A3008F"/>
    <w:rsid w:val="00A3183E"/>
    <w:rsid w:val="00A31A2C"/>
    <w:rsid w:val="00A328F9"/>
    <w:rsid w:val="00A33589"/>
    <w:rsid w:val="00A35A2C"/>
    <w:rsid w:val="00A40BC5"/>
    <w:rsid w:val="00A43D8D"/>
    <w:rsid w:val="00A43F55"/>
    <w:rsid w:val="00A45560"/>
    <w:rsid w:val="00A462C2"/>
    <w:rsid w:val="00A50693"/>
    <w:rsid w:val="00A5073A"/>
    <w:rsid w:val="00A550A3"/>
    <w:rsid w:val="00A55479"/>
    <w:rsid w:val="00A564E8"/>
    <w:rsid w:val="00A5778E"/>
    <w:rsid w:val="00A616B9"/>
    <w:rsid w:val="00A62078"/>
    <w:rsid w:val="00A62FE2"/>
    <w:rsid w:val="00A65D20"/>
    <w:rsid w:val="00A677A2"/>
    <w:rsid w:val="00A71E3E"/>
    <w:rsid w:val="00A74033"/>
    <w:rsid w:val="00A76EA1"/>
    <w:rsid w:val="00A77AB6"/>
    <w:rsid w:val="00A8580B"/>
    <w:rsid w:val="00A8770F"/>
    <w:rsid w:val="00A9215B"/>
    <w:rsid w:val="00A939CD"/>
    <w:rsid w:val="00A957D1"/>
    <w:rsid w:val="00A95D26"/>
    <w:rsid w:val="00A96122"/>
    <w:rsid w:val="00AA0DFF"/>
    <w:rsid w:val="00AA2B88"/>
    <w:rsid w:val="00AA455B"/>
    <w:rsid w:val="00AA54B5"/>
    <w:rsid w:val="00AA7C02"/>
    <w:rsid w:val="00AB1C85"/>
    <w:rsid w:val="00AB2EF1"/>
    <w:rsid w:val="00AB765C"/>
    <w:rsid w:val="00AB788D"/>
    <w:rsid w:val="00AC3B2A"/>
    <w:rsid w:val="00AC3C16"/>
    <w:rsid w:val="00AC51FB"/>
    <w:rsid w:val="00AD127A"/>
    <w:rsid w:val="00AD49B4"/>
    <w:rsid w:val="00AD4C94"/>
    <w:rsid w:val="00AE0E82"/>
    <w:rsid w:val="00AE11AA"/>
    <w:rsid w:val="00AE15C5"/>
    <w:rsid w:val="00AE1767"/>
    <w:rsid w:val="00AE1877"/>
    <w:rsid w:val="00AE204D"/>
    <w:rsid w:val="00AE2116"/>
    <w:rsid w:val="00AE3312"/>
    <w:rsid w:val="00AE3401"/>
    <w:rsid w:val="00AE3FB9"/>
    <w:rsid w:val="00AE670D"/>
    <w:rsid w:val="00AE7A83"/>
    <w:rsid w:val="00AF0030"/>
    <w:rsid w:val="00AF1327"/>
    <w:rsid w:val="00AF172F"/>
    <w:rsid w:val="00AF28DF"/>
    <w:rsid w:val="00AF2ECA"/>
    <w:rsid w:val="00AF41E9"/>
    <w:rsid w:val="00B00892"/>
    <w:rsid w:val="00B02833"/>
    <w:rsid w:val="00B0351A"/>
    <w:rsid w:val="00B036D2"/>
    <w:rsid w:val="00B0614D"/>
    <w:rsid w:val="00B06EF9"/>
    <w:rsid w:val="00B07FB4"/>
    <w:rsid w:val="00B116A2"/>
    <w:rsid w:val="00B12D04"/>
    <w:rsid w:val="00B14BF6"/>
    <w:rsid w:val="00B16AA6"/>
    <w:rsid w:val="00B16CDC"/>
    <w:rsid w:val="00B2417F"/>
    <w:rsid w:val="00B2478A"/>
    <w:rsid w:val="00B25D4A"/>
    <w:rsid w:val="00B25F14"/>
    <w:rsid w:val="00B25FA4"/>
    <w:rsid w:val="00B26E07"/>
    <w:rsid w:val="00B26E90"/>
    <w:rsid w:val="00B27BD6"/>
    <w:rsid w:val="00B27BF7"/>
    <w:rsid w:val="00B36A3F"/>
    <w:rsid w:val="00B37E1F"/>
    <w:rsid w:val="00B40206"/>
    <w:rsid w:val="00B4145B"/>
    <w:rsid w:val="00B41DBB"/>
    <w:rsid w:val="00B42826"/>
    <w:rsid w:val="00B42B90"/>
    <w:rsid w:val="00B42FBF"/>
    <w:rsid w:val="00B444D4"/>
    <w:rsid w:val="00B44D31"/>
    <w:rsid w:val="00B45870"/>
    <w:rsid w:val="00B477A2"/>
    <w:rsid w:val="00B47B4D"/>
    <w:rsid w:val="00B51899"/>
    <w:rsid w:val="00B528A5"/>
    <w:rsid w:val="00B55C9F"/>
    <w:rsid w:val="00B5704F"/>
    <w:rsid w:val="00B604E4"/>
    <w:rsid w:val="00B6157C"/>
    <w:rsid w:val="00B639A8"/>
    <w:rsid w:val="00B651E3"/>
    <w:rsid w:val="00B65BA4"/>
    <w:rsid w:val="00B7017F"/>
    <w:rsid w:val="00B725F2"/>
    <w:rsid w:val="00B729F5"/>
    <w:rsid w:val="00B74F17"/>
    <w:rsid w:val="00B764C1"/>
    <w:rsid w:val="00B771D0"/>
    <w:rsid w:val="00B779A2"/>
    <w:rsid w:val="00B77EE8"/>
    <w:rsid w:val="00B80EE7"/>
    <w:rsid w:val="00B81788"/>
    <w:rsid w:val="00B81BEF"/>
    <w:rsid w:val="00B83C94"/>
    <w:rsid w:val="00B845D0"/>
    <w:rsid w:val="00B873A0"/>
    <w:rsid w:val="00B9363C"/>
    <w:rsid w:val="00B94C02"/>
    <w:rsid w:val="00B94D55"/>
    <w:rsid w:val="00B94F55"/>
    <w:rsid w:val="00B9720D"/>
    <w:rsid w:val="00B97E4B"/>
    <w:rsid w:val="00BA157C"/>
    <w:rsid w:val="00BA211C"/>
    <w:rsid w:val="00BA3163"/>
    <w:rsid w:val="00BA3A20"/>
    <w:rsid w:val="00BA4445"/>
    <w:rsid w:val="00BA5E51"/>
    <w:rsid w:val="00BA6F19"/>
    <w:rsid w:val="00BB45D6"/>
    <w:rsid w:val="00BB5BFA"/>
    <w:rsid w:val="00BC01A5"/>
    <w:rsid w:val="00BC19A9"/>
    <w:rsid w:val="00BC208A"/>
    <w:rsid w:val="00BC4082"/>
    <w:rsid w:val="00BC5A81"/>
    <w:rsid w:val="00BC6E28"/>
    <w:rsid w:val="00BC751A"/>
    <w:rsid w:val="00BC7ED0"/>
    <w:rsid w:val="00BD1AC7"/>
    <w:rsid w:val="00BD2231"/>
    <w:rsid w:val="00BD2829"/>
    <w:rsid w:val="00BD2857"/>
    <w:rsid w:val="00BD37D8"/>
    <w:rsid w:val="00BD4966"/>
    <w:rsid w:val="00BD5062"/>
    <w:rsid w:val="00BD731F"/>
    <w:rsid w:val="00BD7B4C"/>
    <w:rsid w:val="00BE1AE1"/>
    <w:rsid w:val="00BE2FAF"/>
    <w:rsid w:val="00BE59AD"/>
    <w:rsid w:val="00BE6517"/>
    <w:rsid w:val="00BE7740"/>
    <w:rsid w:val="00BE7F90"/>
    <w:rsid w:val="00BF2661"/>
    <w:rsid w:val="00BF26A6"/>
    <w:rsid w:val="00BF4304"/>
    <w:rsid w:val="00BF512D"/>
    <w:rsid w:val="00BF6C79"/>
    <w:rsid w:val="00BF6DF3"/>
    <w:rsid w:val="00C063C3"/>
    <w:rsid w:val="00C14AB1"/>
    <w:rsid w:val="00C15505"/>
    <w:rsid w:val="00C15663"/>
    <w:rsid w:val="00C16157"/>
    <w:rsid w:val="00C16352"/>
    <w:rsid w:val="00C20A0D"/>
    <w:rsid w:val="00C20B2B"/>
    <w:rsid w:val="00C2294C"/>
    <w:rsid w:val="00C22FB1"/>
    <w:rsid w:val="00C23099"/>
    <w:rsid w:val="00C238E2"/>
    <w:rsid w:val="00C26E01"/>
    <w:rsid w:val="00C26ED5"/>
    <w:rsid w:val="00C30390"/>
    <w:rsid w:val="00C32812"/>
    <w:rsid w:val="00C3312B"/>
    <w:rsid w:val="00C340C5"/>
    <w:rsid w:val="00C3412B"/>
    <w:rsid w:val="00C362A1"/>
    <w:rsid w:val="00C402B2"/>
    <w:rsid w:val="00C40425"/>
    <w:rsid w:val="00C457E9"/>
    <w:rsid w:val="00C46B2A"/>
    <w:rsid w:val="00C46D24"/>
    <w:rsid w:val="00C505BE"/>
    <w:rsid w:val="00C50651"/>
    <w:rsid w:val="00C50FF6"/>
    <w:rsid w:val="00C605F6"/>
    <w:rsid w:val="00C6213A"/>
    <w:rsid w:val="00C628A1"/>
    <w:rsid w:val="00C64AD5"/>
    <w:rsid w:val="00C64DFE"/>
    <w:rsid w:val="00C65B81"/>
    <w:rsid w:val="00C6608F"/>
    <w:rsid w:val="00C66624"/>
    <w:rsid w:val="00C73C29"/>
    <w:rsid w:val="00C75367"/>
    <w:rsid w:val="00C76BEF"/>
    <w:rsid w:val="00C76C38"/>
    <w:rsid w:val="00C81472"/>
    <w:rsid w:val="00C82033"/>
    <w:rsid w:val="00C821FB"/>
    <w:rsid w:val="00C8227A"/>
    <w:rsid w:val="00C840E2"/>
    <w:rsid w:val="00C93048"/>
    <w:rsid w:val="00C966CD"/>
    <w:rsid w:val="00C9691E"/>
    <w:rsid w:val="00C969F0"/>
    <w:rsid w:val="00C97401"/>
    <w:rsid w:val="00CA0C49"/>
    <w:rsid w:val="00CA28FA"/>
    <w:rsid w:val="00CA2FD8"/>
    <w:rsid w:val="00CA449B"/>
    <w:rsid w:val="00CA5E34"/>
    <w:rsid w:val="00CA64CE"/>
    <w:rsid w:val="00CB0395"/>
    <w:rsid w:val="00CB21A0"/>
    <w:rsid w:val="00CB2967"/>
    <w:rsid w:val="00CB3591"/>
    <w:rsid w:val="00CB3BF3"/>
    <w:rsid w:val="00CB3E48"/>
    <w:rsid w:val="00CB7C17"/>
    <w:rsid w:val="00CC0071"/>
    <w:rsid w:val="00CC133E"/>
    <w:rsid w:val="00CC16E7"/>
    <w:rsid w:val="00CC28C5"/>
    <w:rsid w:val="00CC3038"/>
    <w:rsid w:val="00CC49E3"/>
    <w:rsid w:val="00CC55DB"/>
    <w:rsid w:val="00CD0943"/>
    <w:rsid w:val="00CD2202"/>
    <w:rsid w:val="00CD5502"/>
    <w:rsid w:val="00CD70B9"/>
    <w:rsid w:val="00CE2748"/>
    <w:rsid w:val="00CE3FAF"/>
    <w:rsid w:val="00CE6E8B"/>
    <w:rsid w:val="00CE708C"/>
    <w:rsid w:val="00CE7ADE"/>
    <w:rsid w:val="00CF13C5"/>
    <w:rsid w:val="00CF458C"/>
    <w:rsid w:val="00CF58FE"/>
    <w:rsid w:val="00CF7E16"/>
    <w:rsid w:val="00D01869"/>
    <w:rsid w:val="00D01C62"/>
    <w:rsid w:val="00D055E3"/>
    <w:rsid w:val="00D06A81"/>
    <w:rsid w:val="00D0761C"/>
    <w:rsid w:val="00D11C2B"/>
    <w:rsid w:val="00D12758"/>
    <w:rsid w:val="00D1293B"/>
    <w:rsid w:val="00D13F0A"/>
    <w:rsid w:val="00D14C2B"/>
    <w:rsid w:val="00D14CD3"/>
    <w:rsid w:val="00D16090"/>
    <w:rsid w:val="00D16FAB"/>
    <w:rsid w:val="00D17A2B"/>
    <w:rsid w:val="00D20EA1"/>
    <w:rsid w:val="00D23C84"/>
    <w:rsid w:val="00D23D7E"/>
    <w:rsid w:val="00D240B3"/>
    <w:rsid w:val="00D24452"/>
    <w:rsid w:val="00D246C4"/>
    <w:rsid w:val="00D24F27"/>
    <w:rsid w:val="00D40665"/>
    <w:rsid w:val="00D416CF"/>
    <w:rsid w:val="00D46977"/>
    <w:rsid w:val="00D479F8"/>
    <w:rsid w:val="00D53DDC"/>
    <w:rsid w:val="00D54BC9"/>
    <w:rsid w:val="00D5616E"/>
    <w:rsid w:val="00D602CA"/>
    <w:rsid w:val="00D60449"/>
    <w:rsid w:val="00D61F40"/>
    <w:rsid w:val="00D62207"/>
    <w:rsid w:val="00D6695B"/>
    <w:rsid w:val="00D70646"/>
    <w:rsid w:val="00D71BB7"/>
    <w:rsid w:val="00D7277C"/>
    <w:rsid w:val="00D74CFA"/>
    <w:rsid w:val="00D75E30"/>
    <w:rsid w:val="00D761AF"/>
    <w:rsid w:val="00D77CF9"/>
    <w:rsid w:val="00D77F94"/>
    <w:rsid w:val="00D81807"/>
    <w:rsid w:val="00D81F59"/>
    <w:rsid w:val="00D83242"/>
    <w:rsid w:val="00D844DF"/>
    <w:rsid w:val="00D84B02"/>
    <w:rsid w:val="00D85ECB"/>
    <w:rsid w:val="00D90E61"/>
    <w:rsid w:val="00D90E74"/>
    <w:rsid w:val="00D91FBE"/>
    <w:rsid w:val="00D93D76"/>
    <w:rsid w:val="00D94F2B"/>
    <w:rsid w:val="00D96346"/>
    <w:rsid w:val="00D96669"/>
    <w:rsid w:val="00D96D85"/>
    <w:rsid w:val="00DA0627"/>
    <w:rsid w:val="00DA4AC2"/>
    <w:rsid w:val="00DA590A"/>
    <w:rsid w:val="00DA5E5F"/>
    <w:rsid w:val="00DB061B"/>
    <w:rsid w:val="00DB332F"/>
    <w:rsid w:val="00DB43AF"/>
    <w:rsid w:val="00DB4A20"/>
    <w:rsid w:val="00DB7685"/>
    <w:rsid w:val="00DB7AB3"/>
    <w:rsid w:val="00DC386A"/>
    <w:rsid w:val="00DC5EAC"/>
    <w:rsid w:val="00DC6AA7"/>
    <w:rsid w:val="00DC6DE3"/>
    <w:rsid w:val="00DD0A34"/>
    <w:rsid w:val="00DD1CAF"/>
    <w:rsid w:val="00DD1EF6"/>
    <w:rsid w:val="00DD362C"/>
    <w:rsid w:val="00DD36DF"/>
    <w:rsid w:val="00DD3D2D"/>
    <w:rsid w:val="00DD4FC6"/>
    <w:rsid w:val="00DD5E86"/>
    <w:rsid w:val="00DD6AAC"/>
    <w:rsid w:val="00DD6D4A"/>
    <w:rsid w:val="00DE0F55"/>
    <w:rsid w:val="00DE5576"/>
    <w:rsid w:val="00DE5AC0"/>
    <w:rsid w:val="00DE637D"/>
    <w:rsid w:val="00DE6D2B"/>
    <w:rsid w:val="00DE7475"/>
    <w:rsid w:val="00DE7A28"/>
    <w:rsid w:val="00DF04BE"/>
    <w:rsid w:val="00DF31A5"/>
    <w:rsid w:val="00DF38D4"/>
    <w:rsid w:val="00DF5535"/>
    <w:rsid w:val="00DF748A"/>
    <w:rsid w:val="00E01047"/>
    <w:rsid w:val="00E0703F"/>
    <w:rsid w:val="00E07772"/>
    <w:rsid w:val="00E10E7E"/>
    <w:rsid w:val="00E10F1F"/>
    <w:rsid w:val="00E1248F"/>
    <w:rsid w:val="00E14B5C"/>
    <w:rsid w:val="00E16F77"/>
    <w:rsid w:val="00E17E69"/>
    <w:rsid w:val="00E2166A"/>
    <w:rsid w:val="00E23052"/>
    <w:rsid w:val="00E230A7"/>
    <w:rsid w:val="00E24125"/>
    <w:rsid w:val="00E24EEB"/>
    <w:rsid w:val="00E25EED"/>
    <w:rsid w:val="00E30165"/>
    <w:rsid w:val="00E30C67"/>
    <w:rsid w:val="00E319B9"/>
    <w:rsid w:val="00E31F93"/>
    <w:rsid w:val="00E31FE7"/>
    <w:rsid w:val="00E32D61"/>
    <w:rsid w:val="00E40F91"/>
    <w:rsid w:val="00E41216"/>
    <w:rsid w:val="00E42330"/>
    <w:rsid w:val="00E43BCC"/>
    <w:rsid w:val="00E43DC7"/>
    <w:rsid w:val="00E440A8"/>
    <w:rsid w:val="00E44E98"/>
    <w:rsid w:val="00E461A1"/>
    <w:rsid w:val="00E47073"/>
    <w:rsid w:val="00E47CBE"/>
    <w:rsid w:val="00E47DBA"/>
    <w:rsid w:val="00E52C53"/>
    <w:rsid w:val="00E53764"/>
    <w:rsid w:val="00E54E0F"/>
    <w:rsid w:val="00E57047"/>
    <w:rsid w:val="00E60115"/>
    <w:rsid w:val="00E613CB"/>
    <w:rsid w:val="00E623B2"/>
    <w:rsid w:val="00E62F8B"/>
    <w:rsid w:val="00E63EDA"/>
    <w:rsid w:val="00E645C2"/>
    <w:rsid w:val="00E64DD4"/>
    <w:rsid w:val="00E65C88"/>
    <w:rsid w:val="00E660C5"/>
    <w:rsid w:val="00E70897"/>
    <w:rsid w:val="00E71AF6"/>
    <w:rsid w:val="00E73780"/>
    <w:rsid w:val="00E74A6F"/>
    <w:rsid w:val="00E75059"/>
    <w:rsid w:val="00E7613A"/>
    <w:rsid w:val="00E81460"/>
    <w:rsid w:val="00E81C3D"/>
    <w:rsid w:val="00E8262E"/>
    <w:rsid w:val="00E833DF"/>
    <w:rsid w:val="00E8456E"/>
    <w:rsid w:val="00E866D0"/>
    <w:rsid w:val="00E87AF1"/>
    <w:rsid w:val="00E90275"/>
    <w:rsid w:val="00E9178F"/>
    <w:rsid w:val="00E92480"/>
    <w:rsid w:val="00E92809"/>
    <w:rsid w:val="00E92E01"/>
    <w:rsid w:val="00E94C0C"/>
    <w:rsid w:val="00E97470"/>
    <w:rsid w:val="00EA1248"/>
    <w:rsid w:val="00EA43A7"/>
    <w:rsid w:val="00EA4A35"/>
    <w:rsid w:val="00EA637A"/>
    <w:rsid w:val="00EA794C"/>
    <w:rsid w:val="00EA7C29"/>
    <w:rsid w:val="00EB3ECB"/>
    <w:rsid w:val="00EC07CB"/>
    <w:rsid w:val="00EC08FD"/>
    <w:rsid w:val="00EC0CC3"/>
    <w:rsid w:val="00EC1429"/>
    <w:rsid w:val="00EC2E26"/>
    <w:rsid w:val="00EC3067"/>
    <w:rsid w:val="00EC43F2"/>
    <w:rsid w:val="00EC5AB2"/>
    <w:rsid w:val="00ED0BE0"/>
    <w:rsid w:val="00ED0DBD"/>
    <w:rsid w:val="00ED1112"/>
    <w:rsid w:val="00ED203E"/>
    <w:rsid w:val="00ED25C6"/>
    <w:rsid w:val="00ED32AF"/>
    <w:rsid w:val="00ED3447"/>
    <w:rsid w:val="00ED35A3"/>
    <w:rsid w:val="00ED5561"/>
    <w:rsid w:val="00ED6CB2"/>
    <w:rsid w:val="00ED6E8F"/>
    <w:rsid w:val="00EE1044"/>
    <w:rsid w:val="00EE1ED6"/>
    <w:rsid w:val="00EE3468"/>
    <w:rsid w:val="00EE3ECA"/>
    <w:rsid w:val="00EE476E"/>
    <w:rsid w:val="00EE6285"/>
    <w:rsid w:val="00EE6C03"/>
    <w:rsid w:val="00EE787B"/>
    <w:rsid w:val="00EF2E09"/>
    <w:rsid w:val="00EF3380"/>
    <w:rsid w:val="00EF3C9C"/>
    <w:rsid w:val="00EF4007"/>
    <w:rsid w:val="00EF4091"/>
    <w:rsid w:val="00EF6C29"/>
    <w:rsid w:val="00EF7B8B"/>
    <w:rsid w:val="00F02EB1"/>
    <w:rsid w:val="00F03B39"/>
    <w:rsid w:val="00F03F02"/>
    <w:rsid w:val="00F05F48"/>
    <w:rsid w:val="00F0694E"/>
    <w:rsid w:val="00F1273D"/>
    <w:rsid w:val="00F13E6A"/>
    <w:rsid w:val="00F144C8"/>
    <w:rsid w:val="00F1511D"/>
    <w:rsid w:val="00F17D58"/>
    <w:rsid w:val="00F17F6B"/>
    <w:rsid w:val="00F27509"/>
    <w:rsid w:val="00F27EAC"/>
    <w:rsid w:val="00F3069D"/>
    <w:rsid w:val="00F316A4"/>
    <w:rsid w:val="00F321EA"/>
    <w:rsid w:val="00F3243A"/>
    <w:rsid w:val="00F328A5"/>
    <w:rsid w:val="00F328D8"/>
    <w:rsid w:val="00F3491D"/>
    <w:rsid w:val="00F34EFF"/>
    <w:rsid w:val="00F35770"/>
    <w:rsid w:val="00F37F88"/>
    <w:rsid w:val="00F413E1"/>
    <w:rsid w:val="00F422D5"/>
    <w:rsid w:val="00F43B3D"/>
    <w:rsid w:val="00F43F56"/>
    <w:rsid w:val="00F4494C"/>
    <w:rsid w:val="00F473B7"/>
    <w:rsid w:val="00F509D7"/>
    <w:rsid w:val="00F52F44"/>
    <w:rsid w:val="00F549B6"/>
    <w:rsid w:val="00F57C0D"/>
    <w:rsid w:val="00F62ABD"/>
    <w:rsid w:val="00F6564F"/>
    <w:rsid w:val="00F65CA0"/>
    <w:rsid w:val="00F66494"/>
    <w:rsid w:val="00F71369"/>
    <w:rsid w:val="00F7167F"/>
    <w:rsid w:val="00F71E22"/>
    <w:rsid w:val="00F72590"/>
    <w:rsid w:val="00F74DD8"/>
    <w:rsid w:val="00F7582B"/>
    <w:rsid w:val="00F77082"/>
    <w:rsid w:val="00F80489"/>
    <w:rsid w:val="00F80F09"/>
    <w:rsid w:val="00F82831"/>
    <w:rsid w:val="00F828D1"/>
    <w:rsid w:val="00F8352F"/>
    <w:rsid w:val="00F837AC"/>
    <w:rsid w:val="00F86E46"/>
    <w:rsid w:val="00F878B7"/>
    <w:rsid w:val="00F87AD5"/>
    <w:rsid w:val="00F906E6"/>
    <w:rsid w:val="00F91FAE"/>
    <w:rsid w:val="00F92B87"/>
    <w:rsid w:val="00F9306F"/>
    <w:rsid w:val="00F942F9"/>
    <w:rsid w:val="00F9481C"/>
    <w:rsid w:val="00F96855"/>
    <w:rsid w:val="00F97F41"/>
    <w:rsid w:val="00FA0163"/>
    <w:rsid w:val="00FA2B55"/>
    <w:rsid w:val="00FA3DBD"/>
    <w:rsid w:val="00FA466B"/>
    <w:rsid w:val="00FA46AD"/>
    <w:rsid w:val="00FA656F"/>
    <w:rsid w:val="00FB0446"/>
    <w:rsid w:val="00FB22EE"/>
    <w:rsid w:val="00FB2ADF"/>
    <w:rsid w:val="00FB2FBE"/>
    <w:rsid w:val="00FC12FA"/>
    <w:rsid w:val="00FC4B2D"/>
    <w:rsid w:val="00FC5543"/>
    <w:rsid w:val="00FC69B7"/>
    <w:rsid w:val="00FC7C0D"/>
    <w:rsid w:val="00FD1518"/>
    <w:rsid w:val="00FD4933"/>
    <w:rsid w:val="00FD6436"/>
    <w:rsid w:val="00FE0466"/>
    <w:rsid w:val="00FE5407"/>
    <w:rsid w:val="00FE6404"/>
    <w:rsid w:val="00FE668C"/>
    <w:rsid w:val="00FF5A63"/>
    <w:rsid w:val="00FF5CEF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docId w15:val="{41E4B512-8946-4378-A60C-E6D8FC41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numPr>
        <w:numId w:val="1"/>
      </w:numPr>
      <w:spacing w:before="360" w:after="240" w:line="360" w:lineRule="auto"/>
      <w:jc w:val="both"/>
      <w:outlineLvl w:val="0"/>
    </w:pPr>
    <w:rPr>
      <w:b/>
      <w:caps/>
      <w:kern w:val="28"/>
      <w:sz w:val="2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46B2A"/>
    <w:pPr>
      <w:widowControl w:val="0"/>
      <w:numPr>
        <w:numId w:val="29"/>
      </w:numPr>
      <w:spacing w:after="120"/>
      <w:ind w:left="284" w:hanging="284"/>
      <w:jc w:val="both"/>
    </w:pPr>
    <w:rPr>
      <w:sz w:val="20"/>
    </w:rPr>
  </w:style>
  <w:style w:type="paragraph" w:styleId="Tytu">
    <w:name w:val="Title"/>
    <w:basedOn w:val="Normalny"/>
    <w:link w:val="TytuZnak"/>
    <w:qFormat/>
    <w:pPr>
      <w:widowControl w:val="0"/>
      <w:jc w:val="center"/>
    </w:pPr>
    <w:rPr>
      <w:rFonts w:ascii="Arial" w:hAnsi="Arial"/>
      <w:b/>
      <w:spacing w:val="100"/>
      <w:sz w:val="36"/>
    </w:rPr>
  </w:style>
  <w:style w:type="paragraph" w:styleId="Nagwek">
    <w:name w:val="header"/>
    <w:basedOn w:val="Normalny"/>
    <w:link w:val="NagwekZnak"/>
    <w:pPr>
      <w:widowControl w:val="0"/>
      <w:tabs>
        <w:tab w:val="center" w:pos="4536"/>
        <w:tab w:val="right" w:pos="9072"/>
      </w:tabs>
      <w:spacing w:after="120" w:line="360" w:lineRule="auto"/>
      <w:jc w:val="both"/>
    </w:pPr>
    <w:rPr>
      <w:rFonts w:ascii="Arial" w:hAnsi="Arial"/>
      <w:sz w:val="22"/>
    </w:rPr>
  </w:style>
  <w:style w:type="paragraph" w:styleId="Stopka">
    <w:name w:val="footer"/>
    <w:basedOn w:val="Normalny"/>
    <w:link w:val="StopkaZnak"/>
    <w:pPr>
      <w:widowControl w:val="0"/>
      <w:pBdr>
        <w:top w:val="single" w:sz="6" w:space="1" w:color="auto"/>
      </w:pBdr>
      <w:tabs>
        <w:tab w:val="center" w:pos="4536"/>
        <w:tab w:val="right" w:pos="9072"/>
      </w:tabs>
      <w:spacing w:after="120" w:line="360" w:lineRule="auto"/>
      <w:jc w:val="both"/>
    </w:pPr>
    <w:rPr>
      <w:sz w:val="16"/>
    </w:rPr>
  </w:style>
  <w:style w:type="character" w:styleId="Numerstrony">
    <w:name w:val="page number"/>
    <w:rPr>
      <w:rFonts w:ascii="Times New Roman" w:hAnsi="Times New Roman"/>
      <w:sz w:val="20"/>
    </w:rPr>
  </w:style>
  <w:style w:type="paragraph" w:styleId="Tekstpodstawowy2">
    <w:name w:val="Body Text 2"/>
    <w:basedOn w:val="Normalny"/>
    <w:link w:val="Tekstpodstawowy2Znak"/>
    <w:rsid w:val="00381D19"/>
    <w:pPr>
      <w:spacing w:after="120" w:line="480" w:lineRule="auto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Pr>
      <w:b/>
      <w:vertAlign w:val="superscript"/>
    </w:rPr>
  </w:style>
  <w:style w:type="paragraph" w:styleId="Tekstpodstawowywcity">
    <w:name w:val="Body Text Indent"/>
    <w:basedOn w:val="Normalny"/>
    <w:pPr>
      <w:widowControl w:val="0"/>
      <w:tabs>
        <w:tab w:val="left" w:pos="1134"/>
      </w:tabs>
      <w:spacing w:after="120" w:line="360" w:lineRule="auto"/>
      <w:ind w:left="1134"/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pPr>
      <w:widowControl w:val="0"/>
      <w:spacing w:after="120"/>
      <w:jc w:val="both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a">
    <w:name w:val="a"/>
    <w:basedOn w:val="Normalny"/>
    <w:rsid w:val="0026636A"/>
    <w:pPr>
      <w:spacing w:before="120"/>
      <w:ind w:left="851"/>
      <w:jc w:val="both"/>
    </w:pPr>
    <w:rPr>
      <w:sz w:val="22"/>
      <w:lang w:val="en-US"/>
    </w:rPr>
  </w:style>
  <w:style w:type="paragraph" w:styleId="Tekstpodstawowywcity2">
    <w:name w:val="Body Text Indent 2"/>
    <w:basedOn w:val="Normalny"/>
    <w:rsid w:val="00FC5543"/>
    <w:pPr>
      <w:spacing w:after="120" w:line="480" w:lineRule="auto"/>
      <w:ind w:left="283"/>
    </w:pPr>
  </w:style>
  <w:style w:type="table" w:styleId="Tabela-Siatka">
    <w:name w:val="Table Grid"/>
    <w:basedOn w:val="Standardowy"/>
    <w:rsid w:val="006C3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F80F09"/>
    <w:pPr>
      <w:shd w:val="clear" w:color="auto" w:fill="000080"/>
    </w:pPr>
    <w:rPr>
      <w:rFonts w:ascii="Tahoma" w:hAnsi="Tahoma" w:cs="Tahoma"/>
      <w:sz w:val="20"/>
    </w:rPr>
  </w:style>
  <w:style w:type="paragraph" w:styleId="Tekstpodstawowy3">
    <w:name w:val="Body Text 3"/>
    <w:basedOn w:val="Normalny"/>
    <w:link w:val="Tekstpodstawowy3Znak"/>
    <w:rsid w:val="00A40BC5"/>
    <w:pPr>
      <w:spacing w:after="120"/>
    </w:pPr>
    <w:rPr>
      <w:sz w:val="16"/>
      <w:szCs w:val="16"/>
    </w:rPr>
  </w:style>
  <w:style w:type="paragraph" w:styleId="Legenda">
    <w:name w:val="caption"/>
    <w:basedOn w:val="Normalny"/>
    <w:next w:val="Normalny"/>
    <w:qFormat/>
    <w:rsid w:val="008720C8"/>
    <w:pPr>
      <w:spacing w:before="360" w:line="360" w:lineRule="exact"/>
      <w:jc w:val="both"/>
    </w:pPr>
    <w:rPr>
      <w:b/>
      <w:i/>
      <w:lang w:val="en-US"/>
    </w:rPr>
  </w:style>
  <w:style w:type="character" w:styleId="Odwoaniedokomentarza">
    <w:name w:val="annotation reference"/>
    <w:semiHidden/>
    <w:rsid w:val="00270110"/>
    <w:rPr>
      <w:sz w:val="16"/>
      <w:szCs w:val="16"/>
    </w:rPr>
  </w:style>
  <w:style w:type="paragraph" w:styleId="Tekstkomentarza">
    <w:name w:val="annotation text"/>
    <w:basedOn w:val="Normalny"/>
    <w:semiHidden/>
    <w:rsid w:val="0027011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270110"/>
    <w:rPr>
      <w:b/>
      <w:bCs/>
    </w:rPr>
  </w:style>
  <w:style w:type="character" w:customStyle="1" w:styleId="TekstpodstawowyZnak">
    <w:name w:val="Tekst podstawowy Znak"/>
    <w:link w:val="Tekstpodstawowy"/>
    <w:rsid w:val="0064414D"/>
    <w:rPr>
      <w:sz w:val="24"/>
      <w:szCs w:val="24"/>
      <w:lang w:val="pl-PL" w:eastAsia="pl-PL" w:bidi="ar-SA"/>
    </w:rPr>
  </w:style>
  <w:style w:type="character" w:customStyle="1" w:styleId="Tekstpodstawowy2Znak">
    <w:name w:val="Tekst podstawowy 2 Znak"/>
    <w:link w:val="Tekstpodstawowy2"/>
    <w:rsid w:val="005A72E2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5A72E2"/>
    <w:rPr>
      <w:sz w:val="16"/>
      <w:szCs w:val="16"/>
    </w:rPr>
  </w:style>
  <w:style w:type="character" w:customStyle="1" w:styleId="Nagwek1Znak">
    <w:name w:val="Nagłówek 1 Znak"/>
    <w:link w:val="Nagwek1"/>
    <w:rsid w:val="00856822"/>
    <w:rPr>
      <w:b/>
      <w:caps/>
      <w:kern w:val="28"/>
      <w:sz w:val="2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46B2A"/>
  </w:style>
  <w:style w:type="character" w:customStyle="1" w:styleId="TytuZnak">
    <w:name w:val="Tytuł Znak"/>
    <w:link w:val="Tytu"/>
    <w:rsid w:val="00856822"/>
    <w:rPr>
      <w:rFonts w:ascii="Arial" w:hAnsi="Arial"/>
      <w:b/>
      <w:spacing w:val="100"/>
      <w:sz w:val="36"/>
    </w:rPr>
  </w:style>
  <w:style w:type="character" w:customStyle="1" w:styleId="NagwekZnak">
    <w:name w:val="Nagłówek Znak"/>
    <w:link w:val="Nagwek"/>
    <w:rsid w:val="00856822"/>
    <w:rPr>
      <w:rFonts w:ascii="Arial" w:hAnsi="Arial"/>
      <w:sz w:val="22"/>
    </w:rPr>
  </w:style>
  <w:style w:type="character" w:customStyle="1" w:styleId="StopkaZnak">
    <w:name w:val="Stopka Znak"/>
    <w:link w:val="Stopka"/>
    <w:rsid w:val="00856822"/>
    <w:rPr>
      <w:sz w:val="16"/>
    </w:rPr>
  </w:style>
  <w:style w:type="paragraph" w:customStyle="1" w:styleId="ZnakZnakZnak">
    <w:name w:val="Znak Znak Znak"/>
    <w:basedOn w:val="Normalny"/>
    <w:rsid w:val="008C2D7D"/>
  </w:style>
  <w:style w:type="paragraph" w:customStyle="1" w:styleId="ZnakZnak">
    <w:name w:val="Znak Znak"/>
    <w:basedOn w:val="Normalny"/>
    <w:rsid w:val="002D2F63"/>
  </w:style>
  <w:style w:type="character" w:styleId="Hipercze">
    <w:name w:val="Hyperlink"/>
    <w:basedOn w:val="Domylnaczcionkaakapitu"/>
    <w:uiPriority w:val="99"/>
    <w:unhideWhenUsed/>
    <w:rsid w:val="00104A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04A7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04A7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376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3764"/>
  </w:style>
  <w:style w:type="character" w:styleId="Odwoanieprzypisukocowego">
    <w:name w:val="endnote reference"/>
    <w:basedOn w:val="Domylnaczcionkaakapitu"/>
    <w:uiPriority w:val="99"/>
    <w:semiHidden/>
    <w:unhideWhenUsed/>
    <w:rsid w:val="00E53764"/>
    <w:rPr>
      <w:vertAlign w:val="superscript"/>
    </w:rPr>
  </w:style>
  <w:style w:type="paragraph" w:customStyle="1" w:styleId="GM1">
    <w:name w:val="GM 1"/>
    <w:basedOn w:val="Normalny"/>
    <w:link w:val="GM1Znak"/>
    <w:qFormat/>
    <w:rsid w:val="00EE787B"/>
    <w:pPr>
      <w:keepNext/>
      <w:widowControl w:val="0"/>
      <w:spacing w:before="120" w:after="240" w:line="360" w:lineRule="auto"/>
      <w:outlineLvl w:val="0"/>
    </w:pPr>
    <w:rPr>
      <w:i/>
      <w:caps/>
      <w:kern w:val="28"/>
    </w:rPr>
  </w:style>
  <w:style w:type="paragraph" w:customStyle="1" w:styleId="GM2">
    <w:name w:val="GM 2"/>
    <w:basedOn w:val="Normalny"/>
    <w:link w:val="GM2Znak"/>
    <w:qFormat/>
    <w:rsid w:val="00EE787B"/>
    <w:pPr>
      <w:tabs>
        <w:tab w:val="left" w:pos="0"/>
        <w:tab w:val="left" w:leader="dot" w:pos="7200"/>
        <w:tab w:val="right" w:pos="8640"/>
      </w:tabs>
    </w:pPr>
    <w:rPr>
      <w:b/>
      <w:sz w:val="32"/>
    </w:rPr>
  </w:style>
  <w:style w:type="character" w:customStyle="1" w:styleId="GM1Znak">
    <w:name w:val="GM 1 Znak"/>
    <w:basedOn w:val="Domylnaczcionkaakapitu"/>
    <w:link w:val="GM1"/>
    <w:rsid w:val="00EE787B"/>
    <w:rPr>
      <w:i/>
      <w:caps/>
      <w:kern w:val="28"/>
      <w:sz w:val="24"/>
      <w:szCs w:val="24"/>
    </w:rPr>
  </w:style>
  <w:style w:type="paragraph" w:customStyle="1" w:styleId="GM3">
    <w:name w:val="GM 3"/>
    <w:basedOn w:val="Normalny"/>
    <w:link w:val="GM3Znak"/>
    <w:qFormat/>
    <w:rsid w:val="00EE787B"/>
    <w:pPr>
      <w:tabs>
        <w:tab w:val="left" w:pos="0"/>
        <w:tab w:val="left" w:leader="dot" w:pos="7200"/>
        <w:tab w:val="right" w:pos="8640"/>
      </w:tabs>
    </w:pPr>
    <w:rPr>
      <w:b/>
      <w:sz w:val="28"/>
      <w:szCs w:val="28"/>
    </w:rPr>
  </w:style>
  <w:style w:type="character" w:customStyle="1" w:styleId="GM2Znak">
    <w:name w:val="GM 2 Znak"/>
    <w:basedOn w:val="Domylnaczcionkaakapitu"/>
    <w:link w:val="GM2"/>
    <w:rsid w:val="00EE787B"/>
    <w:rPr>
      <w:b/>
      <w:sz w:val="32"/>
    </w:rPr>
  </w:style>
  <w:style w:type="paragraph" w:customStyle="1" w:styleId="GM4">
    <w:name w:val="GM 4"/>
    <w:basedOn w:val="Normalny"/>
    <w:link w:val="GM4Znak"/>
    <w:qFormat/>
    <w:rsid w:val="00EE787B"/>
    <w:pPr>
      <w:spacing w:before="168" w:line="360" w:lineRule="exact"/>
      <w:jc w:val="center"/>
    </w:pPr>
    <w:rPr>
      <w:b/>
      <w:sz w:val="32"/>
    </w:rPr>
  </w:style>
  <w:style w:type="character" w:customStyle="1" w:styleId="GM3Znak">
    <w:name w:val="GM 3 Znak"/>
    <w:basedOn w:val="Domylnaczcionkaakapitu"/>
    <w:link w:val="GM3"/>
    <w:rsid w:val="00EE787B"/>
    <w:rPr>
      <w:b/>
      <w:sz w:val="28"/>
      <w:szCs w:val="28"/>
    </w:rPr>
  </w:style>
  <w:style w:type="paragraph" w:customStyle="1" w:styleId="GM5">
    <w:name w:val="GM 5"/>
    <w:basedOn w:val="Normalny"/>
    <w:link w:val="GM5Znak"/>
    <w:qFormat/>
    <w:rsid w:val="00EE787B"/>
    <w:pPr>
      <w:tabs>
        <w:tab w:val="left" w:pos="1974"/>
      </w:tabs>
      <w:spacing w:line="360" w:lineRule="exact"/>
    </w:pPr>
    <w:rPr>
      <w:b/>
      <w:sz w:val="28"/>
      <w:szCs w:val="28"/>
    </w:rPr>
  </w:style>
  <w:style w:type="character" w:customStyle="1" w:styleId="GM4Znak">
    <w:name w:val="GM 4 Znak"/>
    <w:basedOn w:val="Domylnaczcionkaakapitu"/>
    <w:link w:val="GM4"/>
    <w:rsid w:val="00EE787B"/>
    <w:rPr>
      <w:b/>
      <w:sz w:val="32"/>
    </w:rPr>
  </w:style>
  <w:style w:type="paragraph" w:styleId="Spistreci1">
    <w:name w:val="toc 1"/>
    <w:basedOn w:val="GM1"/>
    <w:next w:val="GM2"/>
    <w:autoRedefine/>
    <w:uiPriority w:val="39"/>
    <w:unhideWhenUsed/>
    <w:rsid w:val="00463D42"/>
    <w:pPr>
      <w:keepNext w:val="0"/>
      <w:widowControl/>
      <w:spacing w:after="120" w:line="480" w:lineRule="auto"/>
      <w:outlineLvl w:val="9"/>
    </w:pPr>
    <w:rPr>
      <w:bCs/>
      <w:i w:val="0"/>
      <w:caps w:val="0"/>
      <w:kern w:val="0"/>
    </w:rPr>
  </w:style>
  <w:style w:type="character" w:customStyle="1" w:styleId="GM5Znak">
    <w:name w:val="GM 5 Znak"/>
    <w:basedOn w:val="Domylnaczcionkaakapitu"/>
    <w:link w:val="GM5"/>
    <w:rsid w:val="00EE787B"/>
    <w:rPr>
      <w:b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DD1CAF"/>
    <w:pPr>
      <w:tabs>
        <w:tab w:val="right" w:leader="dot" w:pos="9855"/>
      </w:tabs>
      <w:spacing w:line="480" w:lineRule="auto"/>
    </w:pPr>
    <w:rPr>
      <w:rFonts w:asciiTheme="minorHAnsi" w:hAnsiTheme="minorHAnsi"/>
      <w:smallCaps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3727AF"/>
    <w:pPr>
      <w:tabs>
        <w:tab w:val="right" w:leader="dot" w:pos="9855"/>
      </w:tabs>
      <w:spacing w:line="480" w:lineRule="auto"/>
      <w:ind w:left="284"/>
    </w:pPr>
    <w:rPr>
      <w:iCs/>
      <w:noProof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3727AF"/>
    <w:pPr>
      <w:tabs>
        <w:tab w:val="right" w:leader="dot" w:pos="9855"/>
      </w:tabs>
      <w:spacing w:line="480" w:lineRule="auto"/>
      <w:ind w:left="426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3727AF"/>
    <w:pPr>
      <w:tabs>
        <w:tab w:val="right" w:leader="dot" w:pos="9855"/>
      </w:tabs>
      <w:spacing w:line="480" w:lineRule="auto"/>
      <w:ind w:left="709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5F0A9A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5F0A9A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5F0A9A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5F0A9A"/>
    <w:pPr>
      <w:ind w:left="1920"/>
    </w:pPr>
    <w:rPr>
      <w:rFonts w:asciiTheme="minorHAnsi" w:hAnsiTheme="minorHAns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4AD9"/>
    <w:pPr>
      <w:ind w:left="720"/>
      <w:contextualSpacing/>
    </w:pPr>
  </w:style>
  <w:style w:type="paragraph" w:customStyle="1" w:styleId="nag1">
    <w:name w:val="nag1"/>
    <w:qFormat/>
    <w:rsid w:val="00727824"/>
    <w:pPr>
      <w:suppressAutoHyphens/>
      <w:spacing w:before="120" w:after="120" w:line="314" w:lineRule="exact"/>
    </w:pPr>
    <w:rPr>
      <w:rFonts w:ascii="Times New (W1)" w:hAnsi="Times New (W1)" w:cs="Times New (W1)"/>
      <w:b/>
      <w:smallCaps/>
      <w:color w:val="000000"/>
      <w:sz w:val="22"/>
      <w:lang w:eastAsia="zh-CN"/>
    </w:rPr>
  </w:style>
  <w:style w:type="paragraph" w:customStyle="1" w:styleId="IK1">
    <w:name w:val="IK1"/>
    <w:basedOn w:val="Normalny"/>
    <w:qFormat/>
    <w:rsid w:val="003727AF"/>
    <w:pPr>
      <w:spacing w:before="120" w:after="120" w:line="314" w:lineRule="exact"/>
      <w:ind w:right="142"/>
      <w:jc w:val="both"/>
    </w:pPr>
    <w:rPr>
      <w:rFonts w:ascii="Times New (W1)" w:hAnsi="Times New (W1)"/>
      <w:b/>
      <w:smallCaps/>
      <w:color w:val="000000"/>
      <w:kern w:val="28"/>
      <w:sz w:val="22"/>
    </w:rPr>
  </w:style>
  <w:style w:type="paragraph" w:styleId="Spisilustracji">
    <w:name w:val="table of figures"/>
    <w:basedOn w:val="Normalny"/>
    <w:next w:val="Normalny"/>
    <w:uiPriority w:val="99"/>
    <w:unhideWhenUsed/>
    <w:rsid w:val="00A00AE9"/>
    <w:pPr>
      <w:framePr w:wrap="around" w:vAnchor="text" w:hAnchor="text" w:y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image" Target="media/image10.jpeg"/><Relationship Id="rId39" Type="http://schemas.openxmlformats.org/officeDocument/2006/relationships/header" Target="header1.xml"/><Relationship Id="rId21" Type="http://schemas.openxmlformats.org/officeDocument/2006/relationships/image" Target="media/image7.wmf"/><Relationship Id="rId34" Type="http://schemas.openxmlformats.org/officeDocument/2006/relationships/image" Target="media/image18.jpe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image" Target="media/image16.jpeg"/><Relationship Id="rId37" Type="http://schemas.openxmlformats.org/officeDocument/2006/relationships/image" Target="media/image21.jp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2.jpg"/><Relationship Id="rId36" Type="http://schemas.openxmlformats.org/officeDocument/2006/relationships/image" Target="media/image20.jpeg"/><Relationship Id="rId10" Type="http://schemas.openxmlformats.org/officeDocument/2006/relationships/hyperlink" Target="http://www.stat.gov.pl" TargetMode="External"/><Relationship Id="rId19" Type="http://schemas.openxmlformats.org/officeDocument/2006/relationships/image" Target="media/image6.wmf"/><Relationship Id="rId31" Type="http://schemas.openxmlformats.org/officeDocument/2006/relationships/image" Target="media/image1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tat.gov.pl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jp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jpg"/><Relationship Id="rId33" Type="http://schemas.openxmlformats.org/officeDocument/2006/relationships/image" Target="media/image17.jpg"/><Relationship Id="rId38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D3781-C936-472E-B346-2D2C1E3B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42</Pages>
  <Words>8268</Words>
  <Characters>56050</Characters>
  <Application>Microsoft Office Word</Application>
  <DocSecurity>0</DocSecurity>
  <Lines>467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Publ</vt:lpstr>
    </vt:vector>
  </TitlesOfParts>
  <Company>GUS</Company>
  <LinksUpToDate>false</LinksUpToDate>
  <CharactersWithSpaces>64190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</dc:title>
  <dc:creator>E.Knyszewska</dc:creator>
  <cp:lastModifiedBy>Adamczyk Izabella</cp:lastModifiedBy>
  <cp:revision>40</cp:revision>
  <cp:lastPrinted>2016-10-24T07:19:00Z</cp:lastPrinted>
  <dcterms:created xsi:type="dcterms:W3CDTF">2016-10-20T10:46:00Z</dcterms:created>
  <dcterms:modified xsi:type="dcterms:W3CDTF">2016-10-31T09:36:00Z</dcterms:modified>
</cp:coreProperties>
</file>