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6" w:rsidRDefault="003C69C6" w:rsidP="003007C6"/>
    <w:p w:rsidR="000C231B" w:rsidRDefault="000C231B" w:rsidP="000C231B">
      <w:pPr>
        <w:ind w:left="-567"/>
      </w:pPr>
    </w:p>
    <w:tbl>
      <w:tblPr>
        <w:tblpPr w:leftFromText="141" w:rightFromText="141" w:vertAnchor="page" w:horzAnchor="margin" w:tblpY="1069"/>
        <w:tblW w:w="1017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488"/>
        <w:gridCol w:w="106"/>
      </w:tblGrid>
      <w:tr w:rsidR="0089041A" w:rsidTr="0089041A">
        <w:trPr>
          <w:trHeight w:val="526"/>
        </w:trPr>
        <w:tc>
          <w:tcPr>
            <w:tcW w:w="1577" w:type="dxa"/>
            <w:shd w:val="clear" w:color="auto" w:fill="auto"/>
            <w:vAlign w:val="bottom"/>
          </w:tcPr>
          <w:p w:rsidR="0089041A" w:rsidRDefault="0089041A" w:rsidP="0089041A">
            <w:pPr>
              <w:spacing w:before="80"/>
              <w:ind w:left="113"/>
              <w:jc w:val="center"/>
            </w:pPr>
            <w:r w:rsidRPr="00681A50">
              <w:rPr>
                <w:noProof/>
                <w:lang w:eastAsia="pl-PL"/>
              </w:rPr>
              <w:drawing>
                <wp:inline distT="0" distB="0" distL="0" distR="0" wp14:anchorId="66D94681" wp14:editId="3872B907">
                  <wp:extent cx="636270" cy="54102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shd w:val="clear" w:color="auto" w:fill="auto"/>
          </w:tcPr>
          <w:p w:rsidR="0089041A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                  </w:t>
            </w:r>
          </w:p>
          <w:p w:rsidR="0089041A" w:rsidRPr="00C73E14" w:rsidRDefault="0089041A" w:rsidP="0089041A">
            <w:pPr>
              <w:spacing w:before="40"/>
              <w:rPr>
                <w:b/>
                <w:spacing w:val="-2"/>
                <w:kern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GŁÓWNY  URZĄD  STATYSTYCZNY                          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Warszawa, 2</w:t>
            </w:r>
            <w:r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1.03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6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 xml:space="preserve"> r.</w:t>
            </w:r>
          </w:p>
          <w:p w:rsidR="0089041A" w:rsidRDefault="0089041A" w:rsidP="0089041A">
            <w:pPr>
              <w:spacing w:before="40"/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Opracowanie sygnalne           </w:t>
            </w:r>
          </w:p>
          <w:p w:rsidR="0089041A" w:rsidRPr="00F40990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</w:t>
            </w:r>
          </w:p>
        </w:tc>
        <w:tc>
          <w:tcPr>
            <w:tcW w:w="106" w:type="dxa"/>
            <w:shd w:val="clear" w:color="auto" w:fill="auto"/>
          </w:tcPr>
          <w:p w:rsidR="0089041A" w:rsidRDefault="0089041A" w:rsidP="0089041A"/>
        </w:tc>
      </w:tr>
      <w:tr w:rsidR="0089041A" w:rsidRPr="00534390" w:rsidTr="0089041A">
        <w:trPr>
          <w:trHeight w:val="175"/>
        </w:trPr>
        <w:tc>
          <w:tcPr>
            <w:tcW w:w="10171" w:type="dxa"/>
            <w:gridSpan w:val="3"/>
            <w:shd w:val="clear" w:color="auto" w:fill="auto"/>
          </w:tcPr>
          <w:p w:rsidR="0089041A" w:rsidRDefault="0089041A" w:rsidP="0089041A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Wyniki finansowe przedsiębiorstw niefinansowych </w:t>
            </w:r>
          </w:p>
          <w:p w:rsidR="0089041A" w:rsidRPr="00534390" w:rsidRDefault="0089041A" w:rsidP="0089041A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>w 201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 r</w:t>
            </w:r>
            <w:r>
              <w:rPr>
                <w:rFonts w:ascii="Arial" w:hAnsi="Arial" w:cs="Arial"/>
                <w:b/>
                <w:sz w:val="32"/>
                <w:szCs w:val="32"/>
              </w:rPr>
              <w:t>oku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</w:tbl>
    <w:p w:rsidR="000C231B" w:rsidRDefault="000C231B" w:rsidP="000C231B"/>
    <w:p w:rsidR="000C231B" w:rsidRDefault="000C231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DB579E">
        <w:rPr>
          <w:rFonts w:ascii="Arial" w:hAnsi="Arial" w:cs="Arial"/>
          <w:sz w:val="22"/>
          <w:szCs w:val="22"/>
        </w:rPr>
        <w:t xml:space="preserve"> 2015 roku podstawowe w</w:t>
      </w:r>
      <w:r>
        <w:rPr>
          <w:rFonts w:ascii="Arial" w:hAnsi="Arial" w:cs="Arial"/>
          <w:sz w:val="22"/>
          <w:szCs w:val="22"/>
        </w:rPr>
        <w:t xml:space="preserve">yniki finansowe </w:t>
      </w:r>
      <w:r w:rsidRPr="002D636F">
        <w:rPr>
          <w:rFonts w:ascii="Arial" w:hAnsi="Arial" w:cs="Arial"/>
          <w:sz w:val="22"/>
          <w:szCs w:val="22"/>
        </w:rPr>
        <w:t>badan</w:t>
      </w:r>
      <w:r>
        <w:rPr>
          <w:rFonts w:ascii="Arial" w:hAnsi="Arial" w:cs="Arial"/>
          <w:sz w:val="22"/>
          <w:szCs w:val="22"/>
        </w:rPr>
        <w:t>ych</w:t>
      </w:r>
      <w:r w:rsidRPr="002D636F">
        <w:rPr>
          <w:rFonts w:ascii="Arial" w:hAnsi="Arial" w:cs="Arial"/>
          <w:sz w:val="22"/>
          <w:szCs w:val="22"/>
        </w:rPr>
        <w:t xml:space="preserve"> przedsiębiorstw¹ </w:t>
      </w:r>
      <w:r>
        <w:rPr>
          <w:rFonts w:ascii="Arial" w:hAnsi="Arial" w:cs="Arial"/>
          <w:sz w:val="22"/>
          <w:szCs w:val="22"/>
        </w:rPr>
        <w:t xml:space="preserve">były </w:t>
      </w:r>
      <w:r w:rsidR="00DB579E">
        <w:rPr>
          <w:rFonts w:ascii="Arial" w:hAnsi="Arial" w:cs="Arial"/>
          <w:sz w:val="22"/>
          <w:szCs w:val="22"/>
        </w:rPr>
        <w:t xml:space="preserve">wyższe </w:t>
      </w:r>
      <w:r w:rsidR="007C25EB">
        <w:rPr>
          <w:rFonts w:ascii="Arial" w:hAnsi="Arial" w:cs="Arial"/>
          <w:sz w:val="22"/>
          <w:szCs w:val="22"/>
        </w:rPr>
        <w:t>od </w:t>
      </w:r>
      <w:r w:rsidR="00DB579E">
        <w:rPr>
          <w:rFonts w:ascii="Arial" w:hAnsi="Arial" w:cs="Arial"/>
          <w:sz w:val="22"/>
          <w:szCs w:val="22"/>
        </w:rPr>
        <w:t>uzyskanych</w:t>
      </w:r>
      <w:r>
        <w:rPr>
          <w:rFonts w:ascii="Arial" w:hAnsi="Arial" w:cs="Arial"/>
          <w:sz w:val="22"/>
          <w:szCs w:val="22"/>
        </w:rPr>
        <w:t xml:space="preserve"> przed rokiem</w:t>
      </w:r>
      <w:r w:rsidRPr="002D63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021E7">
        <w:rPr>
          <w:rFonts w:ascii="Arial" w:hAnsi="Arial" w:cs="Arial"/>
          <w:sz w:val="22"/>
          <w:szCs w:val="22"/>
        </w:rPr>
        <w:t xml:space="preserve">Podstawowe wskaźniki ekonomiczno-finansowe ukształtowały </w:t>
      </w:r>
      <w:r w:rsidR="00A06395">
        <w:rPr>
          <w:rFonts w:ascii="Arial" w:hAnsi="Arial" w:cs="Arial"/>
          <w:sz w:val="22"/>
          <w:szCs w:val="22"/>
        </w:rPr>
        <w:t>się na </w:t>
      </w:r>
      <w:r w:rsidRPr="007021E7">
        <w:rPr>
          <w:rFonts w:ascii="Arial" w:hAnsi="Arial" w:cs="Arial"/>
          <w:sz w:val="22"/>
          <w:szCs w:val="22"/>
        </w:rPr>
        <w:t>poziomie odnotowanym przed rokiem</w:t>
      </w:r>
      <w:r w:rsidRPr="00C16C89">
        <w:rPr>
          <w:rFonts w:ascii="Arial" w:hAnsi="Arial" w:cs="Arial"/>
          <w:color w:val="FF0000"/>
          <w:sz w:val="22"/>
          <w:szCs w:val="22"/>
        </w:rPr>
        <w:t xml:space="preserve">. </w:t>
      </w:r>
      <w:r w:rsidRPr="007021E7">
        <w:rPr>
          <w:rFonts w:ascii="Arial" w:hAnsi="Arial" w:cs="Arial"/>
          <w:sz w:val="22"/>
          <w:szCs w:val="22"/>
        </w:rPr>
        <w:t>Wzrost nakładów inwestycyjnych zrealizow</w:t>
      </w:r>
      <w:r w:rsidR="00DB579E">
        <w:rPr>
          <w:rFonts w:ascii="Arial" w:hAnsi="Arial" w:cs="Arial"/>
          <w:sz w:val="22"/>
          <w:szCs w:val="22"/>
        </w:rPr>
        <w:t>anych w 2015 roku był niższy od</w:t>
      </w:r>
      <w:r w:rsidRPr="007021E7">
        <w:rPr>
          <w:rFonts w:ascii="Arial" w:hAnsi="Arial" w:cs="Arial"/>
          <w:sz w:val="22"/>
          <w:szCs w:val="22"/>
        </w:rPr>
        <w:t xml:space="preserve"> notowanego</w:t>
      </w:r>
      <w:r w:rsidR="00DB579E">
        <w:rPr>
          <w:rFonts w:ascii="Arial" w:hAnsi="Arial" w:cs="Arial"/>
          <w:sz w:val="22"/>
          <w:szCs w:val="22"/>
        </w:rPr>
        <w:t xml:space="preserve"> w 2014 roku</w:t>
      </w:r>
      <w:r w:rsidRPr="007021E7">
        <w:rPr>
          <w:rFonts w:ascii="Arial" w:hAnsi="Arial" w:cs="Arial"/>
          <w:sz w:val="22"/>
          <w:szCs w:val="22"/>
        </w:rPr>
        <w:t>.</w:t>
      </w:r>
    </w:p>
    <w:p w:rsidR="00A1210A" w:rsidRDefault="00A1210A" w:rsidP="000C23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7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1276"/>
        <w:gridCol w:w="1275"/>
        <w:gridCol w:w="1276"/>
      </w:tblGrid>
      <w:tr w:rsidR="00A1210A" w:rsidRPr="00DC1939" w:rsidTr="00C368DC">
        <w:trPr>
          <w:trHeight w:val="300"/>
          <w:jc w:val="center"/>
        </w:trPr>
        <w:tc>
          <w:tcPr>
            <w:tcW w:w="5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2014=100</w:t>
            </w:r>
          </w:p>
        </w:tc>
      </w:tr>
      <w:tr w:rsidR="00A1210A" w:rsidRPr="00DC1939" w:rsidTr="00C368DC">
        <w:trPr>
          <w:trHeight w:val="300"/>
          <w:jc w:val="center"/>
        </w:trPr>
        <w:tc>
          <w:tcPr>
            <w:tcW w:w="59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2 442 964,7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2 520 937,8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tym przychody ze sprzedaży produktów, towarów 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2 359 391,1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2 444 802,2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2 337 425,6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2 412 760,6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A1210A" w:rsidRPr="00DC1939" w:rsidTr="00C368DC">
        <w:trPr>
          <w:trHeight w:val="492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ind w:left="199" w:hanging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koszt własny sprzedanych  produktów oraz wartość sprzedanych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2 253 928,5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2 334 113,9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sprzedaży produktów, 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105 462,7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110 688,3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B5B1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pozostałej działalności operacyjnej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6 615,6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84,9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-6 539,2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-8 125,4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działalności gospodarczej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105 539,1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105 685,9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108 215,2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B5B1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90 158,6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91 541,1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115 546,0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25 387,4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28 944,1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114,0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%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Wskaźnik rentowności ze sprzedaży produktów, towarów i materiałów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x</w:t>
            </w:r>
          </w:p>
        </w:tc>
      </w:tr>
    </w:tbl>
    <w:p w:rsidR="001A2F5A" w:rsidRDefault="001A2F5A" w:rsidP="001A2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210A" w:rsidRDefault="001A2F5A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Przychody z całokształtu działalności były wyższe o </w:t>
      </w:r>
      <w:r>
        <w:rPr>
          <w:rFonts w:ascii="Arial" w:hAnsi="Arial" w:cs="Arial"/>
          <w:sz w:val="22"/>
          <w:szCs w:val="22"/>
        </w:rPr>
        <w:t>3,2</w:t>
      </w:r>
      <w:r w:rsidRPr="00F65C0E">
        <w:rPr>
          <w:rFonts w:ascii="Arial" w:hAnsi="Arial" w:cs="Arial"/>
          <w:sz w:val="22"/>
          <w:szCs w:val="22"/>
        </w:rPr>
        <w:t xml:space="preserve">% od osiągniętych rok wcześniej, </w:t>
      </w:r>
      <w:r>
        <w:rPr>
          <w:rFonts w:ascii="Arial" w:hAnsi="Arial" w:cs="Arial"/>
          <w:sz w:val="22"/>
          <w:szCs w:val="22"/>
        </w:rPr>
        <w:t>również</w:t>
      </w:r>
      <w:r w:rsidRPr="00F65C0E">
        <w:rPr>
          <w:rFonts w:ascii="Arial" w:hAnsi="Arial" w:cs="Arial"/>
          <w:sz w:val="22"/>
          <w:szCs w:val="22"/>
        </w:rPr>
        <w:t xml:space="preserve"> koszty ich uzyskania wzrosły o </w:t>
      </w:r>
      <w:r>
        <w:rPr>
          <w:rFonts w:ascii="Arial" w:hAnsi="Arial" w:cs="Arial"/>
          <w:sz w:val="22"/>
          <w:szCs w:val="22"/>
        </w:rPr>
        <w:t>3,2%. W rezultacie nie odnotowano zmiany wartości</w:t>
      </w:r>
      <w:r w:rsidRPr="00E86161">
        <w:rPr>
          <w:rFonts w:ascii="Arial" w:hAnsi="Arial" w:cs="Arial"/>
          <w:color w:val="FF0000"/>
          <w:sz w:val="22"/>
          <w:szCs w:val="22"/>
        </w:rPr>
        <w:t xml:space="preserve"> </w:t>
      </w:r>
      <w:r w:rsidRPr="00377A23">
        <w:rPr>
          <w:rFonts w:ascii="Arial" w:hAnsi="Arial" w:cs="Arial"/>
          <w:sz w:val="22"/>
          <w:szCs w:val="22"/>
        </w:rPr>
        <w:t>wskaźnika poziomu kosztów, który pozostał na poziomie 95,7%. Przychody netto ze sprzedaży produkt</w:t>
      </w:r>
      <w:r w:rsidRPr="00F65C0E">
        <w:rPr>
          <w:rFonts w:ascii="Arial" w:hAnsi="Arial" w:cs="Arial"/>
          <w:sz w:val="22"/>
          <w:szCs w:val="22"/>
        </w:rPr>
        <w:t>ów, towarów i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materiałów oraz koszty tej działalności </w:t>
      </w:r>
      <w:r>
        <w:rPr>
          <w:rFonts w:ascii="Arial" w:hAnsi="Arial" w:cs="Arial"/>
          <w:sz w:val="22"/>
          <w:szCs w:val="22"/>
        </w:rPr>
        <w:t>rosły w skali roku w tempie 3,6%.</w:t>
      </w:r>
    </w:p>
    <w:p w:rsidR="004236E2" w:rsidRDefault="001A3C5B" w:rsidP="00D7667F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lastRenderedPageBreak/>
        <w:t xml:space="preserve">Wynik finansowy ze sprzedaży produktów, towarów i materiałów wyniósł </w:t>
      </w:r>
      <w:r w:rsidR="00857F95">
        <w:rPr>
          <w:rFonts w:ascii="Arial" w:hAnsi="Arial" w:cs="Arial"/>
          <w:sz w:val="22"/>
          <w:szCs w:val="22"/>
        </w:rPr>
        <w:t>110,7 </w:t>
      </w:r>
      <w:r w:rsidR="00EB5B11">
        <w:rPr>
          <w:rFonts w:ascii="Arial" w:hAnsi="Arial" w:cs="Arial"/>
          <w:sz w:val="22"/>
          <w:szCs w:val="22"/>
        </w:rPr>
        <w:t>mld zł i był wy</w:t>
      </w:r>
      <w:r w:rsidRPr="00F65C0E">
        <w:rPr>
          <w:rFonts w:ascii="Arial" w:hAnsi="Arial" w:cs="Arial"/>
          <w:sz w:val="22"/>
          <w:szCs w:val="22"/>
        </w:rPr>
        <w:t>ższy o</w:t>
      </w:r>
      <w:r>
        <w:rPr>
          <w:rFonts w:ascii="Arial" w:hAnsi="Arial" w:cs="Arial"/>
          <w:sz w:val="22"/>
          <w:szCs w:val="22"/>
        </w:rPr>
        <w:t> 5,0</w:t>
      </w:r>
      <w:r w:rsidRPr="00F65C0E">
        <w:rPr>
          <w:rFonts w:ascii="Arial" w:hAnsi="Arial" w:cs="Arial"/>
          <w:sz w:val="22"/>
          <w:szCs w:val="22"/>
        </w:rPr>
        <w:t xml:space="preserve">% niż rok wcześniej. Wynik na pozostałej działalności operacyjnej ukształtował się na poziomie </w:t>
      </w:r>
      <w:r>
        <w:rPr>
          <w:rFonts w:ascii="Arial" w:hAnsi="Arial" w:cs="Arial"/>
          <w:sz w:val="22"/>
          <w:szCs w:val="22"/>
        </w:rPr>
        <w:t>5,6</w:t>
      </w:r>
      <w:r w:rsidRPr="00A63206">
        <w:rPr>
          <w:rFonts w:ascii="Arial" w:hAnsi="Arial" w:cs="Arial"/>
          <w:sz w:val="22"/>
          <w:szCs w:val="22"/>
        </w:rPr>
        <w:t xml:space="preserve"> mld zł i był niższy o </w:t>
      </w:r>
      <w:r>
        <w:rPr>
          <w:rFonts w:ascii="Arial" w:hAnsi="Arial" w:cs="Arial"/>
          <w:sz w:val="22"/>
          <w:szCs w:val="22"/>
        </w:rPr>
        <w:t>1</w:t>
      </w:r>
      <w:r w:rsidRPr="00A632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Pr="00A63206">
        <w:rPr>
          <w:rFonts w:ascii="Arial" w:hAnsi="Arial" w:cs="Arial"/>
          <w:sz w:val="22"/>
          <w:szCs w:val="22"/>
        </w:rPr>
        <w:t xml:space="preserve"> mld zł niż przed rokiem. Zanotowano po</w:t>
      </w:r>
      <w:r>
        <w:rPr>
          <w:rFonts w:ascii="Arial" w:hAnsi="Arial" w:cs="Arial"/>
          <w:sz w:val="22"/>
          <w:szCs w:val="22"/>
        </w:rPr>
        <w:t>gorszenie</w:t>
      </w:r>
      <w:r w:rsidRPr="00A63206">
        <w:rPr>
          <w:rFonts w:ascii="Arial" w:hAnsi="Arial" w:cs="Arial"/>
          <w:sz w:val="22"/>
          <w:szCs w:val="22"/>
        </w:rPr>
        <w:t xml:space="preserve"> wyniku na operacjach finansowych (</w:t>
      </w:r>
      <w:r>
        <w:rPr>
          <w:rFonts w:ascii="Arial" w:hAnsi="Arial" w:cs="Arial"/>
          <w:sz w:val="22"/>
          <w:szCs w:val="22"/>
        </w:rPr>
        <w:t>minus 8</w:t>
      </w:r>
      <w:r w:rsidRPr="00A632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Pr="00A63206">
        <w:rPr>
          <w:rFonts w:ascii="Arial" w:hAnsi="Arial" w:cs="Arial"/>
          <w:sz w:val="22"/>
          <w:szCs w:val="22"/>
        </w:rPr>
        <w:t xml:space="preserve"> mld zł wobec minus </w:t>
      </w:r>
      <w:r>
        <w:rPr>
          <w:rFonts w:ascii="Arial" w:hAnsi="Arial" w:cs="Arial"/>
          <w:sz w:val="22"/>
          <w:szCs w:val="22"/>
        </w:rPr>
        <w:t>6,5</w:t>
      </w:r>
      <w:r w:rsidRPr="00A63206">
        <w:rPr>
          <w:rFonts w:ascii="Arial" w:hAnsi="Arial" w:cs="Arial"/>
          <w:sz w:val="22"/>
          <w:szCs w:val="22"/>
        </w:rPr>
        <w:t xml:space="preserve"> mld zł </w:t>
      </w:r>
      <w:r>
        <w:rPr>
          <w:rFonts w:ascii="Arial" w:hAnsi="Arial" w:cs="Arial"/>
          <w:sz w:val="22"/>
          <w:szCs w:val="22"/>
        </w:rPr>
        <w:t>przed</w:t>
      </w:r>
      <w:r w:rsidRPr="00A63206">
        <w:rPr>
          <w:rFonts w:ascii="Arial" w:hAnsi="Arial" w:cs="Arial"/>
          <w:sz w:val="22"/>
          <w:szCs w:val="22"/>
        </w:rPr>
        <w:t xml:space="preserve"> rokiem</w:t>
      </w:r>
      <w:r w:rsidRPr="00666B74">
        <w:rPr>
          <w:rFonts w:ascii="Arial" w:hAnsi="Arial" w:cs="Arial"/>
          <w:sz w:val="22"/>
          <w:szCs w:val="22"/>
        </w:rPr>
        <w:t>),</w:t>
      </w:r>
      <w:r w:rsidRPr="00666B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666B74">
        <w:rPr>
          <w:rFonts w:ascii="Arial" w:hAnsi="Arial" w:cs="Arial"/>
          <w:sz w:val="22"/>
          <w:szCs w:val="22"/>
        </w:rPr>
        <w:t>co było następstwem szybszego spadku przychodów na operacjach finansowych (o 15,7%) w stosunku do spadku kosztów tych operacji (o 10,3%).</w:t>
      </w:r>
    </w:p>
    <w:p w:rsidR="001A3C5B" w:rsidRDefault="001A3C5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Wynik finansowy brutto wyniósł </w:t>
      </w:r>
      <w:r>
        <w:rPr>
          <w:rFonts w:ascii="Arial" w:hAnsi="Arial" w:cs="Arial"/>
          <w:sz w:val="22"/>
          <w:szCs w:val="22"/>
        </w:rPr>
        <w:t>108,2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>
        <w:rPr>
          <w:rFonts w:ascii="Arial" w:hAnsi="Arial" w:cs="Arial"/>
          <w:sz w:val="22"/>
          <w:szCs w:val="22"/>
        </w:rPr>
        <w:t>105,7</w:t>
      </w:r>
      <w:r w:rsidRPr="00F65C0E">
        <w:rPr>
          <w:rFonts w:ascii="Arial" w:hAnsi="Arial" w:cs="Arial"/>
          <w:sz w:val="22"/>
          <w:szCs w:val="22"/>
        </w:rPr>
        <w:t xml:space="preserve"> mld zł przed rokiem, a jego obciążenia ukształtowały się na </w:t>
      </w:r>
      <w:r>
        <w:rPr>
          <w:rFonts w:ascii="Arial" w:hAnsi="Arial" w:cs="Arial"/>
          <w:sz w:val="22"/>
          <w:szCs w:val="22"/>
        </w:rPr>
        <w:t>poziomie 16,7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>
        <w:rPr>
          <w:rFonts w:ascii="Arial" w:hAnsi="Arial" w:cs="Arial"/>
          <w:sz w:val="22"/>
          <w:szCs w:val="22"/>
        </w:rPr>
        <w:t>15,5</w:t>
      </w:r>
      <w:r w:rsidRPr="00F65C0E">
        <w:rPr>
          <w:rFonts w:ascii="Arial" w:hAnsi="Arial" w:cs="Arial"/>
          <w:sz w:val="22"/>
          <w:szCs w:val="22"/>
        </w:rPr>
        <w:t xml:space="preserve"> mld zł.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Wynik finansowy netto wyniósł </w:t>
      </w:r>
      <w:r>
        <w:rPr>
          <w:rFonts w:ascii="Arial" w:hAnsi="Arial" w:cs="Arial"/>
          <w:sz w:val="22"/>
          <w:szCs w:val="22"/>
        </w:rPr>
        <w:t>91,5</w:t>
      </w:r>
      <w:r w:rsidRPr="00F65C0E">
        <w:rPr>
          <w:rFonts w:ascii="Arial" w:hAnsi="Arial" w:cs="Arial"/>
          <w:sz w:val="22"/>
          <w:szCs w:val="22"/>
        </w:rPr>
        <w:t xml:space="preserve"> mld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zł i był </w:t>
      </w:r>
      <w:r>
        <w:rPr>
          <w:rFonts w:ascii="Arial" w:hAnsi="Arial" w:cs="Arial"/>
          <w:sz w:val="22"/>
          <w:szCs w:val="22"/>
        </w:rPr>
        <w:t>wyższy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1,5</w:t>
      </w:r>
      <w:r w:rsidRPr="00F65C0E">
        <w:rPr>
          <w:rFonts w:ascii="Arial" w:hAnsi="Arial" w:cs="Arial"/>
          <w:sz w:val="22"/>
          <w:szCs w:val="22"/>
        </w:rPr>
        <w:t>% niż przed rokiem.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Zysk netto wyniósł </w:t>
      </w:r>
      <w:r>
        <w:rPr>
          <w:rFonts w:ascii="Arial" w:hAnsi="Arial" w:cs="Arial"/>
          <w:sz w:val="22"/>
          <w:szCs w:val="22"/>
        </w:rPr>
        <w:t>120,5</w:t>
      </w:r>
      <w:r w:rsidRPr="00F65C0E">
        <w:rPr>
          <w:rFonts w:ascii="Arial" w:hAnsi="Arial" w:cs="Arial"/>
          <w:sz w:val="22"/>
          <w:szCs w:val="22"/>
        </w:rPr>
        <w:t xml:space="preserve"> mld zł i był wyższy o </w:t>
      </w:r>
      <w:r>
        <w:rPr>
          <w:rFonts w:ascii="Arial" w:hAnsi="Arial" w:cs="Arial"/>
          <w:sz w:val="22"/>
          <w:szCs w:val="22"/>
        </w:rPr>
        <w:t>4,3</w:t>
      </w:r>
      <w:r w:rsidRPr="00F65C0E">
        <w:rPr>
          <w:rFonts w:ascii="Arial" w:hAnsi="Arial" w:cs="Arial"/>
          <w:sz w:val="22"/>
          <w:szCs w:val="22"/>
        </w:rPr>
        <w:t>% od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uzyskanego przed rokiem, a strata netto wyniosła </w:t>
      </w:r>
      <w:r>
        <w:rPr>
          <w:rFonts w:ascii="Arial" w:hAnsi="Arial" w:cs="Arial"/>
          <w:sz w:val="22"/>
          <w:szCs w:val="22"/>
        </w:rPr>
        <w:t>28,9</w:t>
      </w:r>
      <w:r w:rsidRPr="00F65C0E">
        <w:rPr>
          <w:rFonts w:ascii="Arial" w:hAnsi="Arial" w:cs="Arial"/>
          <w:sz w:val="22"/>
          <w:szCs w:val="22"/>
        </w:rPr>
        <w:t xml:space="preserve"> mld zł i </w:t>
      </w:r>
      <w:r>
        <w:rPr>
          <w:rFonts w:ascii="Arial" w:hAnsi="Arial" w:cs="Arial"/>
          <w:sz w:val="22"/>
          <w:szCs w:val="22"/>
        </w:rPr>
        <w:t>zwiększyła się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14,0</w:t>
      </w:r>
      <w:r w:rsidRPr="00F65C0E">
        <w:rPr>
          <w:rFonts w:ascii="Arial" w:hAnsi="Arial" w:cs="Arial"/>
          <w:sz w:val="22"/>
          <w:szCs w:val="22"/>
        </w:rPr>
        <w:t>%.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2D60C1">
        <w:rPr>
          <w:rFonts w:ascii="Arial" w:hAnsi="Arial" w:cs="Arial"/>
          <w:sz w:val="22"/>
          <w:szCs w:val="22"/>
        </w:rPr>
        <w:t xml:space="preserve">Zysk netto wykazało </w:t>
      </w:r>
      <w:r>
        <w:rPr>
          <w:rFonts w:ascii="Arial" w:hAnsi="Arial" w:cs="Arial"/>
          <w:sz w:val="22"/>
          <w:szCs w:val="22"/>
        </w:rPr>
        <w:t>82,8</w:t>
      </w:r>
      <w:r w:rsidRPr="002D60C1">
        <w:rPr>
          <w:rFonts w:ascii="Arial" w:hAnsi="Arial" w:cs="Arial"/>
          <w:sz w:val="22"/>
          <w:szCs w:val="22"/>
        </w:rPr>
        <w:t xml:space="preserve">% ogółu przedsiębiorstw (wobec </w:t>
      </w:r>
      <w:r>
        <w:rPr>
          <w:rFonts w:ascii="Arial" w:hAnsi="Arial" w:cs="Arial"/>
          <w:sz w:val="22"/>
          <w:szCs w:val="22"/>
        </w:rPr>
        <w:t>81,6</w:t>
      </w:r>
      <w:r w:rsidRPr="002D60C1">
        <w:rPr>
          <w:rFonts w:ascii="Arial" w:hAnsi="Arial" w:cs="Arial"/>
          <w:sz w:val="22"/>
          <w:szCs w:val="22"/>
        </w:rPr>
        <w:t xml:space="preserve">% przed rokiem), a uzyskane przez nie przychody stanowiły </w:t>
      </w:r>
      <w:r>
        <w:rPr>
          <w:rFonts w:ascii="Arial" w:hAnsi="Arial" w:cs="Arial"/>
          <w:sz w:val="22"/>
          <w:szCs w:val="22"/>
        </w:rPr>
        <w:t>85,6</w:t>
      </w:r>
      <w:r w:rsidRPr="002D60C1">
        <w:rPr>
          <w:rFonts w:ascii="Arial" w:hAnsi="Arial" w:cs="Arial"/>
          <w:sz w:val="22"/>
          <w:szCs w:val="22"/>
        </w:rPr>
        <w:t xml:space="preserve">% </w:t>
      </w:r>
      <w:r w:rsidRPr="00007F3E">
        <w:rPr>
          <w:rFonts w:ascii="Arial" w:hAnsi="Arial" w:cs="Arial"/>
          <w:sz w:val="22"/>
          <w:szCs w:val="22"/>
        </w:rPr>
        <w:t xml:space="preserve">przychodów z całokształtu działalności badanych przedsiębiorstw (wobec </w:t>
      </w:r>
      <w:r>
        <w:rPr>
          <w:rFonts w:ascii="Arial" w:hAnsi="Arial" w:cs="Arial"/>
          <w:sz w:val="22"/>
          <w:szCs w:val="22"/>
        </w:rPr>
        <w:t>82,1</w:t>
      </w:r>
      <w:r w:rsidRPr="00007F3E">
        <w:rPr>
          <w:rFonts w:ascii="Arial" w:hAnsi="Arial" w:cs="Arial"/>
          <w:sz w:val="22"/>
          <w:szCs w:val="22"/>
        </w:rPr>
        <w:t>% przed rokiem). W przetwórstwie przemysłowym zysk netto odnotowało 8</w:t>
      </w:r>
      <w:r>
        <w:rPr>
          <w:rFonts w:ascii="Arial" w:hAnsi="Arial" w:cs="Arial"/>
          <w:sz w:val="22"/>
          <w:szCs w:val="22"/>
        </w:rPr>
        <w:t>4</w:t>
      </w:r>
      <w:r w:rsidRPr="00007F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</w:t>
      </w:r>
      <w:r w:rsidRPr="00007F3E">
        <w:rPr>
          <w:rFonts w:ascii="Arial" w:hAnsi="Arial" w:cs="Arial"/>
          <w:sz w:val="22"/>
          <w:szCs w:val="22"/>
        </w:rPr>
        <w:t>% jednostek (przed rokiem 8</w:t>
      </w:r>
      <w:r>
        <w:rPr>
          <w:rFonts w:ascii="Arial" w:hAnsi="Arial" w:cs="Arial"/>
          <w:sz w:val="22"/>
          <w:szCs w:val="22"/>
        </w:rPr>
        <w:t>4</w:t>
      </w:r>
      <w:r w:rsidRPr="00007F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Pr="00007F3E">
        <w:rPr>
          <w:rFonts w:ascii="Arial" w:hAnsi="Arial" w:cs="Arial"/>
          <w:sz w:val="22"/>
          <w:szCs w:val="22"/>
        </w:rPr>
        <w:t xml:space="preserve">%), a udział uzyskanych przez nie przychodów w przychodach wszystkich podmiotów tej sekcji wyniósł </w:t>
      </w:r>
      <w:r>
        <w:rPr>
          <w:rFonts w:ascii="Arial" w:hAnsi="Arial" w:cs="Arial"/>
          <w:sz w:val="22"/>
          <w:szCs w:val="22"/>
        </w:rPr>
        <w:t>91,3</w:t>
      </w:r>
      <w:r w:rsidRPr="00007F3E">
        <w:rPr>
          <w:rFonts w:ascii="Arial" w:hAnsi="Arial" w:cs="Arial"/>
          <w:sz w:val="22"/>
          <w:szCs w:val="22"/>
        </w:rPr>
        <w:t>% (wobec odpowiednio 7</w:t>
      </w:r>
      <w:r>
        <w:rPr>
          <w:rFonts w:ascii="Arial" w:hAnsi="Arial" w:cs="Arial"/>
          <w:sz w:val="22"/>
          <w:szCs w:val="22"/>
        </w:rPr>
        <w:t>8,1</w:t>
      </w:r>
      <w:r w:rsidRPr="00007F3E">
        <w:rPr>
          <w:rFonts w:ascii="Arial" w:hAnsi="Arial" w:cs="Arial"/>
          <w:sz w:val="22"/>
          <w:szCs w:val="22"/>
        </w:rPr>
        <w:t>% przed rokiem).</w:t>
      </w:r>
    </w:p>
    <w:p w:rsidR="00064362" w:rsidRDefault="00064362" w:rsidP="00064362">
      <w:pPr>
        <w:spacing w:line="276" w:lineRule="auto"/>
        <w:jc w:val="both"/>
      </w:pPr>
    </w:p>
    <w:p w:rsidR="00064362" w:rsidRDefault="00AD2E0F" w:rsidP="00064362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4B203560" wp14:editId="4FE9DEDF">
            <wp:extent cx="6300000" cy="3169920"/>
            <wp:effectExtent l="0" t="0" r="5715" b="1143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4362" w:rsidRDefault="00064362" w:rsidP="00064362">
      <w:pPr>
        <w:spacing w:line="276" w:lineRule="auto"/>
        <w:jc w:val="both"/>
      </w:pPr>
    </w:p>
    <w:p w:rsidR="00242A24" w:rsidRDefault="004E1A8F" w:rsidP="00700F62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Dla ogółu przedsiębiorstw wskaźnik poziomu kosztów z całokształtu działalności wyniósł </w:t>
      </w:r>
      <w:r>
        <w:rPr>
          <w:rFonts w:ascii="Arial" w:hAnsi="Arial" w:cs="Arial"/>
          <w:sz w:val="22"/>
          <w:szCs w:val="22"/>
        </w:rPr>
        <w:t>podobnie jak przed rokiem 95,7</w:t>
      </w:r>
      <w:r w:rsidRPr="00F65C0E">
        <w:rPr>
          <w:rFonts w:ascii="Arial" w:hAnsi="Arial" w:cs="Arial"/>
          <w:sz w:val="22"/>
          <w:szCs w:val="22"/>
        </w:rPr>
        <w:t xml:space="preserve">%, </w:t>
      </w:r>
      <w:r w:rsidRPr="00E034D3">
        <w:rPr>
          <w:rFonts w:ascii="Arial" w:hAnsi="Arial" w:cs="Arial"/>
          <w:sz w:val="22"/>
          <w:szCs w:val="22"/>
        </w:rPr>
        <w:t xml:space="preserve">wskaźnik rentowności ze sprzedaży produktów, towarów i materiałów oraz wskaźnik rentowności obrotu brutto nie uległy zmianie kształtując się </w:t>
      </w:r>
      <w:r w:rsidR="00396D72">
        <w:rPr>
          <w:rFonts w:ascii="Arial" w:hAnsi="Arial" w:cs="Arial"/>
          <w:sz w:val="22"/>
          <w:szCs w:val="22"/>
        </w:rPr>
        <w:t>odpowiednio na poziomie</w:t>
      </w:r>
      <w:r w:rsidR="00115D84">
        <w:rPr>
          <w:rFonts w:ascii="Arial" w:hAnsi="Arial" w:cs="Arial"/>
          <w:sz w:val="22"/>
          <w:szCs w:val="22"/>
        </w:rPr>
        <w:t> 4,5% i </w:t>
      </w:r>
      <w:r w:rsidRPr="00E034D3">
        <w:rPr>
          <w:rFonts w:ascii="Arial" w:hAnsi="Arial" w:cs="Arial"/>
          <w:sz w:val="22"/>
          <w:szCs w:val="22"/>
        </w:rPr>
        <w:t xml:space="preserve">4,3%, wskaźnik rentowności obrotu netto zmniejszył się o 0,1 </w:t>
      </w:r>
      <w:proofErr w:type="spellStart"/>
      <w:r w:rsidRPr="00E034D3">
        <w:rPr>
          <w:rFonts w:ascii="Arial" w:hAnsi="Arial" w:cs="Arial"/>
          <w:sz w:val="22"/>
          <w:szCs w:val="22"/>
        </w:rPr>
        <w:t>p.proc</w:t>
      </w:r>
      <w:proofErr w:type="spellEnd"/>
      <w:r w:rsidRPr="00E034D3">
        <w:rPr>
          <w:rFonts w:ascii="Arial" w:hAnsi="Arial" w:cs="Arial"/>
          <w:sz w:val="22"/>
          <w:szCs w:val="22"/>
        </w:rPr>
        <w:t xml:space="preserve">. do 3,6%. Poprawę wskaźnika rentowności obrotu netto odnotowano m.in. w budownictwie (z </w:t>
      </w:r>
      <w:r w:rsidR="00115D84">
        <w:rPr>
          <w:rFonts w:ascii="Arial" w:hAnsi="Arial" w:cs="Arial"/>
          <w:sz w:val="22"/>
          <w:szCs w:val="22"/>
        </w:rPr>
        <w:t>2,7% do 6,6%), zakwaterowaniu i </w:t>
      </w:r>
      <w:r w:rsidRPr="00E034D3">
        <w:rPr>
          <w:rFonts w:ascii="Arial" w:hAnsi="Arial" w:cs="Arial"/>
          <w:sz w:val="22"/>
          <w:szCs w:val="22"/>
        </w:rPr>
        <w:t>usługach gastronomicznych (z 4,0% do 7,0%), obsłudze rynku nieruchomości (z 5,3% do 6,7%), transporcie i gospodarce magazynowej (z 2,2% do 3,4%)</w:t>
      </w:r>
      <w:r w:rsidR="001F6E98">
        <w:rPr>
          <w:rFonts w:ascii="Arial" w:hAnsi="Arial" w:cs="Arial"/>
          <w:sz w:val="22"/>
          <w:szCs w:val="22"/>
        </w:rPr>
        <w:t>, przetwórstwie przemysłowym (z 3,6% do 4,7%)</w:t>
      </w:r>
      <w:r w:rsidRPr="00E034D3">
        <w:rPr>
          <w:rFonts w:ascii="Arial" w:hAnsi="Arial" w:cs="Arial"/>
          <w:sz w:val="22"/>
          <w:szCs w:val="22"/>
        </w:rPr>
        <w:t xml:space="preserve"> oraz w dostawie wody; gospodarowaniu ściekami i odpadami; rekultywacji (z 5,2% do 6,1</w:t>
      </w:r>
      <w:r w:rsidRPr="00213FD9">
        <w:rPr>
          <w:rFonts w:ascii="Arial" w:hAnsi="Arial" w:cs="Arial"/>
          <w:sz w:val="22"/>
          <w:szCs w:val="22"/>
        </w:rPr>
        <w:t>%). Najsilniejsze osłabienie wskaźnika rentowności obrotu n</w:t>
      </w:r>
      <w:r w:rsidR="001F6E98">
        <w:rPr>
          <w:rFonts w:ascii="Arial" w:hAnsi="Arial" w:cs="Arial"/>
          <w:sz w:val="22"/>
          <w:szCs w:val="22"/>
        </w:rPr>
        <w:t>etto odnotowano w wytwarzaniu i </w:t>
      </w:r>
      <w:r w:rsidRPr="00213FD9">
        <w:rPr>
          <w:rFonts w:ascii="Arial" w:hAnsi="Arial" w:cs="Arial"/>
          <w:sz w:val="22"/>
          <w:szCs w:val="22"/>
        </w:rPr>
        <w:t>zaopatrywaniu w energię</w:t>
      </w:r>
      <w:r w:rsidR="00115D84">
        <w:rPr>
          <w:rFonts w:ascii="Arial" w:hAnsi="Arial" w:cs="Arial"/>
          <w:sz w:val="22"/>
          <w:szCs w:val="22"/>
        </w:rPr>
        <w:t xml:space="preserve"> elektryczną, gaz, parę wodną i </w:t>
      </w:r>
      <w:r w:rsidRPr="00213FD9">
        <w:rPr>
          <w:rFonts w:ascii="Arial" w:hAnsi="Arial" w:cs="Arial"/>
          <w:sz w:val="22"/>
          <w:szCs w:val="22"/>
        </w:rPr>
        <w:t>gorącą wodę (z 10,7% do 2,4%), górnictwie i wydobywaniu (z 1,5% do minus 3,1%) oraz w działalności profesjona</w:t>
      </w:r>
      <w:r w:rsidR="00594AEF">
        <w:rPr>
          <w:rFonts w:ascii="Arial" w:hAnsi="Arial" w:cs="Arial"/>
          <w:sz w:val="22"/>
          <w:szCs w:val="22"/>
        </w:rPr>
        <w:t>lnej, naukowej i technicznej (z </w:t>
      </w:r>
      <w:r w:rsidRPr="00213FD9">
        <w:rPr>
          <w:rFonts w:ascii="Arial" w:hAnsi="Arial" w:cs="Arial"/>
          <w:sz w:val="22"/>
          <w:szCs w:val="22"/>
        </w:rPr>
        <w:t>8,1% do 5,6%).</w:t>
      </w:r>
    </w:p>
    <w:p w:rsidR="00731589" w:rsidRPr="00515AEB" w:rsidRDefault="00242A24" w:rsidP="00515AE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t>Wskaźnik płynności finansowej I stopnia wyniósł 38,3% (38,9% przed rokiem), a płynności finansowej II stopnia 101,0% (102,5%). Wskaźnik płynności I stopnia powyżej 20% uzyskało 51,4% przedsiębiorstw (wobec 49,4% przed rokiem). Wskaźnik płynności II stopnia w przedziale od 100% do 130% odnotowało 12,0% badanych przedsiębiorstw (wobec 11,9% przed rokiem).</w:t>
      </w:r>
    </w:p>
    <w:p w:rsidR="00731589" w:rsidRDefault="00C005E5" w:rsidP="00064362">
      <w:pPr>
        <w:spacing w:line="276" w:lineRule="auto"/>
        <w:jc w:val="both"/>
      </w:pPr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72DEB8EC" wp14:editId="0326B6B7">
            <wp:extent cx="6300000" cy="4191000"/>
            <wp:effectExtent l="0" t="0" r="571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064362" w:rsidRDefault="00064362" w:rsidP="00064362">
      <w:pPr>
        <w:spacing w:line="276" w:lineRule="auto"/>
        <w:jc w:val="both"/>
      </w:pPr>
    </w:p>
    <w:p w:rsidR="00064362" w:rsidRDefault="00504F29" w:rsidP="00504F29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760DF">
        <w:rPr>
          <w:rFonts w:ascii="Arial" w:hAnsi="Arial" w:cs="Arial"/>
          <w:sz w:val="22"/>
          <w:szCs w:val="22"/>
        </w:rPr>
        <w:t xml:space="preserve">W strukturze rodzajowej kosztów ogółem zwiększył się udział amortyzacji (o 0,7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 xml:space="preserve">.), kosztów usług obcych (o 0,5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 xml:space="preserve">.) oraz kosztów wynagrodzeń (o 0,2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.). Zmniejszył się udział zużycia materiałów (o 1,2 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 xml:space="preserve">.) oraz podatków i opłat (o 0,1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.). Udział kosztów zużycia energii, ubezpieczeń społecznych i innych świadczeń oraz pozostałych kosz</w:t>
      </w:r>
      <w:r w:rsidR="0028518D">
        <w:rPr>
          <w:rFonts w:ascii="Arial" w:hAnsi="Arial" w:cs="Arial"/>
          <w:sz w:val="22"/>
          <w:szCs w:val="22"/>
        </w:rPr>
        <w:t>tów rodzajowych utrzymał się na </w:t>
      </w:r>
      <w:r w:rsidRPr="003760DF">
        <w:rPr>
          <w:rFonts w:ascii="Arial" w:hAnsi="Arial" w:cs="Arial"/>
          <w:sz w:val="22"/>
          <w:szCs w:val="22"/>
        </w:rPr>
        <w:t>poziomie sprzed roku</w:t>
      </w:r>
      <w:r>
        <w:rPr>
          <w:rFonts w:ascii="Arial" w:hAnsi="Arial" w:cs="Arial"/>
          <w:sz w:val="22"/>
          <w:szCs w:val="22"/>
        </w:rPr>
        <w:t>.</w:t>
      </w:r>
    </w:p>
    <w:p w:rsidR="00504F29" w:rsidRDefault="00504F29" w:rsidP="000643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4F29" w:rsidRPr="00E06CEF" w:rsidRDefault="00251959" w:rsidP="00E06C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166BFF5F" wp14:editId="5AD29378">
            <wp:extent cx="6300000" cy="3911602"/>
            <wp:effectExtent l="0" t="0" r="5715" b="1270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362" w:rsidRDefault="00FC0F75" w:rsidP="00875530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lastRenderedPageBreak/>
        <w:t>Z grupy przedsiębiorstw objętych badaniem 51,4% wykazało w 2015 roku sprzedaż na eksport (51,1% rok wcześniej). Poziom sprzedaży eksportowej był o 3,7% wyższy niż w 2014 roku. Udział sprzedaży na eksport w przychodach netto ze sprzedaży produktów, towarów i materiałów ogółu badanych podmiotów utrzymał się na tym samym poziomie i wyniósł 23,7%. Spośród jednostek eksportujących, zysk netto wykazało 85,3% przedsiębiorstw wobec 84,6% przed rokiem. Podstawowe relacje ekonomiczno-finansowe tej grupy przedsi</w:t>
      </w:r>
      <w:r w:rsidR="008E532B">
        <w:rPr>
          <w:rFonts w:ascii="Arial" w:hAnsi="Arial" w:cs="Arial"/>
          <w:sz w:val="22"/>
          <w:szCs w:val="22"/>
        </w:rPr>
        <w:t>ębiorstw uległy pogorszeniu i</w:t>
      </w:r>
      <w:r w:rsidRPr="00213FD9">
        <w:rPr>
          <w:rFonts w:ascii="Arial" w:hAnsi="Arial" w:cs="Arial"/>
          <w:sz w:val="22"/>
          <w:szCs w:val="22"/>
        </w:rPr>
        <w:t xml:space="preserve"> były nieznacznie gorsze niż dla ogółu badanych przedsiębiorstw</w:t>
      </w:r>
      <w:r>
        <w:rPr>
          <w:rFonts w:ascii="Arial" w:hAnsi="Arial" w:cs="Arial"/>
          <w:sz w:val="22"/>
          <w:szCs w:val="22"/>
        </w:rPr>
        <w:t>.</w:t>
      </w:r>
    </w:p>
    <w:p w:rsidR="00FC0F75" w:rsidRDefault="00FC0F75" w:rsidP="00875530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875FB2">
        <w:rPr>
          <w:rFonts w:ascii="Arial" w:hAnsi="Arial" w:cs="Arial"/>
          <w:b/>
          <w:sz w:val="22"/>
          <w:szCs w:val="22"/>
        </w:rPr>
        <w:t>W 2015 roku nakłady ogółem badanych przedsiębiorstw wyniosły 136,5 mld zł i były (w cenach stałych) o 11,9% wyższe niż przed rokiem</w:t>
      </w:r>
      <w:r w:rsidRPr="00867C5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w 2014 roku od</w:t>
      </w:r>
      <w:r w:rsidRPr="00867C55">
        <w:rPr>
          <w:rFonts w:ascii="Arial" w:hAnsi="Arial" w:cs="Arial"/>
          <w:sz w:val="22"/>
          <w:szCs w:val="22"/>
        </w:rPr>
        <w:t xml:space="preserve">notowano wzrost o </w:t>
      </w:r>
      <w:r>
        <w:rPr>
          <w:rFonts w:ascii="Arial" w:hAnsi="Arial" w:cs="Arial"/>
          <w:sz w:val="22"/>
          <w:szCs w:val="22"/>
        </w:rPr>
        <w:t>16,9</w:t>
      </w:r>
      <w:r w:rsidRPr="00E5362D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, po 3 kwartałach 2015 r. wzrost o 12,3%</w:t>
      </w:r>
      <w:r w:rsidRPr="00E5362D">
        <w:rPr>
          <w:rFonts w:ascii="Arial" w:hAnsi="Arial" w:cs="Arial"/>
          <w:sz w:val="22"/>
          <w:szCs w:val="22"/>
        </w:rPr>
        <w:t>).</w:t>
      </w:r>
      <w:r w:rsidRPr="00867C55">
        <w:rPr>
          <w:rFonts w:ascii="Arial" w:hAnsi="Arial" w:cs="Arial"/>
          <w:sz w:val="22"/>
          <w:szCs w:val="22"/>
        </w:rPr>
        <w:t xml:space="preserve"> Nakłady na budyn</w:t>
      </w:r>
      <w:r>
        <w:rPr>
          <w:rFonts w:ascii="Arial" w:hAnsi="Arial" w:cs="Arial"/>
          <w:sz w:val="22"/>
          <w:szCs w:val="22"/>
        </w:rPr>
        <w:t xml:space="preserve">ki i budowle </w:t>
      </w:r>
      <w:r w:rsidRPr="009753E5">
        <w:rPr>
          <w:rFonts w:ascii="Arial" w:hAnsi="Arial" w:cs="Arial"/>
          <w:sz w:val="22"/>
          <w:szCs w:val="22"/>
        </w:rPr>
        <w:t>zwiększyły się o 1</w:t>
      </w:r>
      <w:r>
        <w:rPr>
          <w:rFonts w:ascii="Arial" w:hAnsi="Arial" w:cs="Arial"/>
          <w:sz w:val="22"/>
          <w:szCs w:val="22"/>
        </w:rPr>
        <w:t>0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Pr="009753E5">
        <w:rPr>
          <w:rFonts w:ascii="Arial" w:hAnsi="Arial" w:cs="Arial"/>
          <w:sz w:val="22"/>
          <w:szCs w:val="22"/>
        </w:rPr>
        <w:t>%, natomiast na maszyny, urządzenia techniczne</w:t>
      </w:r>
      <w:r>
        <w:rPr>
          <w:rFonts w:ascii="Arial" w:hAnsi="Arial" w:cs="Arial"/>
          <w:sz w:val="22"/>
          <w:szCs w:val="22"/>
        </w:rPr>
        <w:t>,</w:t>
      </w:r>
      <w:r w:rsidRPr="009753E5">
        <w:rPr>
          <w:rFonts w:ascii="Arial" w:hAnsi="Arial" w:cs="Arial"/>
          <w:sz w:val="22"/>
          <w:szCs w:val="22"/>
        </w:rPr>
        <w:t xml:space="preserve"> narzędzia oraz środki transportu wzrosły o 1</w:t>
      </w:r>
      <w:r>
        <w:rPr>
          <w:rFonts w:ascii="Arial" w:hAnsi="Arial" w:cs="Arial"/>
          <w:sz w:val="22"/>
          <w:szCs w:val="22"/>
        </w:rPr>
        <w:t>3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Pr="009753E5">
        <w:rPr>
          <w:rFonts w:ascii="Arial" w:hAnsi="Arial" w:cs="Arial"/>
          <w:sz w:val="22"/>
          <w:szCs w:val="22"/>
        </w:rPr>
        <w:t>%. Udział zakupów w nakładach ogółem wyniósł 5</w:t>
      </w:r>
      <w:r>
        <w:rPr>
          <w:rFonts w:ascii="Arial" w:hAnsi="Arial" w:cs="Arial"/>
          <w:sz w:val="22"/>
          <w:szCs w:val="22"/>
        </w:rPr>
        <w:t>9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Pr="009753E5">
        <w:rPr>
          <w:rFonts w:ascii="Arial" w:hAnsi="Arial" w:cs="Arial"/>
          <w:sz w:val="22"/>
          <w:szCs w:val="22"/>
        </w:rPr>
        <w:t>% (przed rokiem 5</w:t>
      </w:r>
      <w:r>
        <w:rPr>
          <w:rFonts w:ascii="Arial" w:hAnsi="Arial" w:cs="Arial"/>
          <w:sz w:val="22"/>
          <w:szCs w:val="22"/>
        </w:rPr>
        <w:t>7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</w:t>
      </w:r>
      <w:r w:rsidRPr="009753E5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)</w:t>
      </w:r>
      <w:r w:rsidR="00CF4059">
        <w:rPr>
          <w:rFonts w:ascii="Arial" w:hAnsi="Arial" w:cs="Arial"/>
          <w:sz w:val="22"/>
          <w:szCs w:val="22"/>
        </w:rPr>
        <w:t>.</w:t>
      </w:r>
    </w:p>
    <w:p w:rsidR="00CF4059" w:rsidRDefault="00CF4059" w:rsidP="00FC0F75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9753E5">
        <w:rPr>
          <w:rFonts w:ascii="Arial" w:hAnsi="Arial" w:cs="Arial"/>
          <w:sz w:val="22"/>
          <w:szCs w:val="22"/>
        </w:rPr>
        <w:t xml:space="preserve">Największy wzrost nakładów (w cenach bieżących) wystąpił  m.in. w budownictwie (o </w:t>
      </w:r>
      <w:r>
        <w:rPr>
          <w:rFonts w:ascii="Arial" w:hAnsi="Arial" w:cs="Arial"/>
          <w:sz w:val="22"/>
          <w:szCs w:val="22"/>
        </w:rPr>
        <w:t>41,4</w:t>
      </w:r>
      <w:r w:rsidRPr="009753E5">
        <w:rPr>
          <w:rFonts w:ascii="Arial" w:hAnsi="Arial" w:cs="Arial"/>
          <w:sz w:val="22"/>
          <w:szCs w:val="22"/>
        </w:rPr>
        <w:t xml:space="preserve">% wobec wzrostu przed rokiem o </w:t>
      </w:r>
      <w:r>
        <w:rPr>
          <w:rFonts w:ascii="Arial" w:hAnsi="Arial" w:cs="Arial"/>
          <w:sz w:val="22"/>
          <w:szCs w:val="22"/>
        </w:rPr>
        <w:t>16,7</w:t>
      </w:r>
      <w:r w:rsidRPr="009753E5">
        <w:rPr>
          <w:rFonts w:ascii="Arial" w:hAnsi="Arial" w:cs="Arial"/>
          <w:sz w:val="22"/>
          <w:szCs w:val="22"/>
        </w:rPr>
        <w:t xml:space="preserve">%), wytwarzaniu i zaopatrywaniu w energię elektryczną, gaz, parę wodną i gorącą wodę (o </w:t>
      </w:r>
      <w:r>
        <w:rPr>
          <w:rFonts w:ascii="Arial" w:hAnsi="Arial" w:cs="Arial"/>
          <w:sz w:val="22"/>
          <w:szCs w:val="22"/>
        </w:rPr>
        <w:t>27,4</w:t>
      </w:r>
      <w:r w:rsidRPr="009753E5">
        <w:rPr>
          <w:rFonts w:ascii="Arial" w:hAnsi="Arial" w:cs="Arial"/>
          <w:sz w:val="22"/>
          <w:szCs w:val="22"/>
        </w:rPr>
        <w:t xml:space="preserve">%, wobec wzrostu o </w:t>
      </w:r>
      <w:r>
        <w:rPr>
          <w:rFonts w:ascii="Arial" w:hAnsi="Arial" w:cs="Arial"/>
          <w:sz w:val="22"/>
          <w:szCs w:val="22"/>
        </w:rPr>
        <w:t>22,2</w:t>
      </w:r>
      <w:r w:rsidRPr="009753E5">
        <w:rPr>
          <w:rFonts w:ascii="Arial" w:hAnsi="Arial" w:cs="Arial"/>
          <w:sz w:val="22"/>
          <w:szCs w:val="22"/>
        </w:rPr>
        <w:t>%), przetwórstwie przemysłowym (o 1</w:t>
      </w:r>
      <w:r>
        <w:rPr>
          <w:rFonts w:ascii="Arial" w:hAnsi="Arial" w:cs="Arial"/>
          <w:sz w:val="22"/>
          <w:szCs w:val="22"/>
        </w:rPr>
        <w:t>4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Pr="009753E5">
        <w:rPr>
          <w:rFonts w:ascii="Arial" w:hAnsi="Arial" w:cs="Arial"/>
          <w:sz w:val="22"/>
          <w:szCs w:val="22"/>
        </w:rPr>
        <w:t>% wobec wzrostu o 1</w:t>
      </w:r>
      <w:r>
        <w:rPr>
          <w:rFonts w:ascii="Arial" w:hAnsi="Arial" w:cs="Arial"/>
          <w:sz w:val="22"/>
          <w:szCs w:val="22"/>
        </w:rPr>
        <w:t>7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</w:t>
      </w:r>
      <w:r w:rsidRPr="009753E5">
        <w:rPr>
          <w:rFonts w:ascii="Arial" w:hAnsi="Arial" w:cs="Arial"/>
          <w:sz w:val="22"/>
          <w:szCs w:val="22"/>
        </w:rPr>
        <w:t>%), dostawie wody; gospodarowaniu ściekami i odpadami; rekultywacji (</w:t>
      </w:r>
      <w:r>
        <w:rPr>
          <w:rFonts w:ascii="Arial" w:hAnsi="Arial" w:cs="Arial"/>
          <w:sz w:val="22"/>
          <w:szCs w:val="22"/>
        </w:rPr>
        <w:t>o 9,3% wobec wzrostu o 28,4%).</w:t>
      </w:r>
      <w:r w:rsidRPr="009753E5">
        <w:rPr>
          <w:rFonts w:ascii="Arial" w:hAnsi="Arial" w:cs="Arial"/>
          <w:sz w:val="22"/>
          <w:szCs w:val="22"/>
        </w:rPr>
        <w:t xml:space="preserve"> Obniżył</w:t>
      </w:r>
      <w:r w:rsidR="00875FB2">
        <w:rPr>
          <w:rFonts w:ascii="Arial" w:hAnsi="Arial" w:cs="Arial"/>
          <w:sz w:val="22"/>
          <w:szCs w:val="22"/>
        </w:rPr>
        <w:t>y się natomiast nakłady m.in. w</w:t>
      </w:r>
      <w:r w:rsidRPr="009753E5">
        <w:rPr>
          <w:rFonts w:ascii="Arial" w:hAnsi="Arial" w:cs="Arial"/>
          <w:sz w:val="22"/>
          <w:szCs w:val="22"/>
        </w:rPr>
        <w:t xml:space="preserve"> górnictwie i wydobywaniu (o </w:t>
      </w:r>
      <w:r>
        <w:rPr>
          <w:rFonts w:ascii="Arial" w:hAnsi="Arial" w:cs="Arial"/>
          <w:sz w:val="22"/>
          <w:szCs w:val="22"/>
        </w:rPr>
        <w:t>22,5</w:t>
      </w:r>
      <w:r w:rsidRPr="009753E5">
        <w:rPr>
          <w:rFonts w:ascii="Arial" w:hAnsi="Arial" w:cs="Arial"/>
          <w:sz w:val="22"/>
          <w:szCs w:val="22"/>
        </w:rPr>
        <w:t xml:space="preserve">% wobec </w:t>
      </w:r>
      <w:r>
        <w:rPr>
          <w:rFonts w:ascii="Arial" w:hAnsi="Arial" w:cs="Arial"/>
          <w:sz w:val="22"/>
          <w:szCs w:val="22"/>
        </w:rPr>
        <w:t>wzrostu</w:t>
      </w:r>
      <w:r w:rsidRPr="009753E5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4,4</w:t>
      </w:r>
      <w:r w:rsidRPr="009753E5">
        <w:rPr>
          <w:rFonts w:ascii="Arial" w:hAnsi="Arial" w:cs="Arial"/>
          <w:sz w:val="22"/>
          <w:szCs w:val="22"/>
        </w:rPr>
        <w:t xml:space="preserve">%) oraz handlu; naprawie pojazdów samochodowych (o </w:t>
      </w:r>
      <w:r>
        <w:rPr>
          <w:rFonts w:ascii="Arial" w:hAnsi="Arial" w:cs="Arial"/>
          <w:sz w:val="22"/>
          <w:szCs w:val="22"/>
        </w:rPr>
        <w:t>2,2</w:t>
      </w:r>
      <w:r w:rsidRPr="009753E5">
        <w:rPr>
          <w:rFonts w:ascii="Arial" w:hAnsi="Arial" w:cs="Arial"/>
          <w:sz w:val="22"/>
          <w:szCs w:val="22"/>
        </w:rPr>
        <w:t xml:space="preserve">% wobec wzrostu o </w:t>
      </w:r>
      <w:r>
        <w:rPr>
          <w:rFonts w:ascii="Arial" w:hAnsi="Arial" w:cs="Arial"/>
          <w:sz w:val="22"/>
          <w:szCs w:val="22"/>
        </w:rPr>
        <w:t>2,3</w:t>
      </w:r>
      <w:r w:rsidRPr="009753E5">
        <w:rPr>
          <w:rFonts w:ascii="Arial" w:hAnsi="Arial" w:cs="Arial"/>
          <w:sz w:val="22"/>
          <w:szCs w:val="22"/>
        </w:rPr>
        <w:t>%).</w:t>
      </w:r>
    </w:p>
    <w:p w:rsidR="004F41AA" w:rsidRDefault="004F41AA" w:rsidP="00FC0F75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CB23BE" w:rsidRDefault="00522F86" w:rsidP="004F41AA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4ED178C0" wp14:editId="3254830B">
            <wp:extent cx="6300470" cy="3565525"/>
            <wp:effectExtent l="0" t="0" r="5080" b="1587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23BE" w:rsidRDefault="00CB23BE" w:rsidP="00064362">
      <w:pPr>
        <w:spacing w:line="276" w:lineRule="auto"/>
        <w:jc w:val="both"/>
      </w:pPr>
    </w:p>
    <w:p w:rsidR="003D100A" w:rsidRDefault="003D100A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7C52">
        <w:rPr>
          <w:rFonts w:ascii="Arial" w:hAnsi="Arial" w:cs="Arial"/>
          <w:vertAlign w:val="superscript"/>
        </w:rPr>
        <w:t>¹</w:t>
      </w:r>
      <w:r w:rsidRPr="00C65431">
        <w:rPr>
          <w:rFonts w:ascii="Arial" w:hAnsi="Arial" w:cs="Arial"/>
          <w:sz w:val="16"/>
          <w:szCs w:val="16"/>
        </w:rPr>
        <w:t xml:space="preserve">Dane prezentowane w niniejszym opracowaniu </w:t>
      </w:r>
      <w:r w:rsidRPr="003760DF">
        <w:rPr>
          <w:rFonts w:ascii="Arial" w:hAnsi="Arial" w:cs="Arial"/>
          <w:sz w:val="16"/>
          <w:szCs w:val="16"/>
        </w:rPr>
        <w:t>dotyczą 17 194</w:t>
      </w:r>
      <w:r>
        <w:rPr>
          <w:rFonts w:ascii="Arial" w:hAnsi="Arial" w:cs="Arial"/>
          <w:sz w:val="16"/>
          <w:szCs w:val="16"/>
        </w:rPr>
        <w:t xml:space="preserve"> </w:t>
      </w:r>
      <w:r w:rsidRPr="00C65431">
        <w:rPr>
          <w:rFonts w:ascii="Arial" w:hAnsi="Arial" w:cs="Arial"/>
          <w:sz w:val="16"/>
          <w:szCs w:val="16"/>
        </w:rPr>
        <w:t>podmiotów gospodarczych prowadzących księgi rachunkowe, w których liczba pracujących wynosi 50 i więcej osób. Dane nie obejmują rolnictwa, leśnictwa, łowiectwa i rybactwa, działalności finansowej i</w:t>
      </w:r>
      <w:r>
        <w:rPr>
          <w:rFonts w:ascii="Arial" w:hAnsi="Arial" w:cs="Arial"/>
          <w:sz w:val="16"/>
          <w:szCs w:val="16"/>
        </w:rPr>
        <w:t> </w:t>
      </w:r>
      <w:r w:rsidRPr="00C65431">
        <w:rPr>
          <w:rFonts w:ascii="Arial" w:hAnsi="Arial" w:cs="Arial"/>
          <w:sz w:val="16"/>
          <w:szCs w:val="16"/>
        </w:rPr>
        <w:t>ubezpieczeniowej. Dane prezentowane są według Polskiej Klasyfikacji Działalności (PKD 2007).</w:t>
      </w:r>
    </w:p>
    <w:p w:rsidR="00011206" w:rsidRPr="00C65431" w:rsidRDefault="00011206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9"/>
      </w:tblGrid>
      <w:tr w:rsidR="003758EA" w:rsidRPr="00875FB2" w:rsidTr="003758EA">
        <w:trPr>
          <w:jc w:val="center"/>
        </w:trPr>
        <w:tc>
          <w:tcPr>
            <w:tcW w:w="5031" w:type="dxa"/>
            <w:shd w:val="clear" w:color="auto" w:fill="auto"/>
          </w:tcPr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Opracowanie merytoryczne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Departament Przedsiębiorstw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Jerzy Bajorek                 Tel. 22 608 3342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Lucyna Słomska            Tel. 22 608 3565</w:t>
            </w:r>
          </w:p>
        </w:tc>
        <w:tc>
          <w:tcPr>
            <w:tcW w:w="5031" w:type="dxa"/>
            <w:shd w:val="clear" w:color="auto" w:fill="auto"/>
          </w:tcPr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Rozpowszechnianie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Rzecznik Prasowy GUS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 xml:space="preserve">Artur </w:t>
            </w:r>
            <w:proofErr w:type="spellStart"/>
            <w:r w:rsidRPr="00C65431">
              <w:rPr>
                <w:rFonts w:ascii="Arial" w:hAnsi="Arial" w:cs="Arial"/>
                <w:sz w:val="16"/>
                <w:szCs w:val="16"/>
              </w:rPr>
              <w:t>Satora</w:t>
            </w:r>
            <w:proofErr w:type="spellEnd"/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431">
              <w:rPr>
                <w:rFonts w:ascii="Arial" w:hAnsi="Arial" w:cs="Arial"/>
                <w:sz w:val="16"/>
                <w:szCs w:val="16"/>
                <w:lang w:val="en-US"/>
              </w:rPr>
              <w:t>Tel. 22 608 3475, 22 608 3009</w:t>
            </w:r>
          </w:p>
          <w:p w:rsidR="003758EA" w:rsidRPr="00BE2F48" w:rsidRDefault="003758EA" w:rsidP="00F55D6B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431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 w:rsidRPr="00C65431">
                <w:rPr>
                  <w:rStyle w:val="Hipercze"/>
                  <w:rFonts w:ascii="Arial" w:hAnsi="Arial" w:cs="Arial"/>
                  <w:sz w:val="16"/>
                  <w:szCs w:val="16"/>
                  <w:lang w:val="en-US"/>
                </w:rPr>
                <w:t>rzecznik@stat.gov.pl</w:t>
              </w:r>
            </w:hyperlink>
          </w:p>
        </w:tc>
      </w:tr>
    </w:tbl>
    <w:p w:rsidR="00011206" w:rsidRPr="00715C47" w:rsidRDefault="00011206" w:rsidP="00011206">
      <w:pPr>
        <w:spacing w:before="120"/>
        <w:jc w:val="center"/>
        <w:rPr>
          <w:rFonts w:ascii="Arial" w:hAnsi="Arial" w:cs="Arial"/>
          <w:b/>
          <w:i/>
          <w:sz w:val="16"/>
          <w:szCs w:val="16"/>
          <w:lang w:val="de-DE"/>
        </w:rPr>
      </w:pPr>
      <w:r w:rsidRPr="00715C47">
        <w:rPr>
          <w:rFonts w:ascii="Arial" w:hAnsi="Arial" w:cs="Arial"/>
          <w:sz w:val="16"/>
          <w:szCs w:val="16"/>
        </w:rPr>
        <w:t xml:space="preserve">Więcej na: </w:t>
      </w:r>
      <w:hyperlink r:id="rId10" w:history="1">
        <w:r w:rsidRPr="00715C47">
          <w:rPr>
            <w:rStyle w:val="Hipercze"/>
            <w:rFonts w:ascii="Arial" w:hAnsi="Arial" w:cs="Arial"/>
            <w:sz w:val="16"/>
            <w:szCs w:val="16"/>
          </w:rPr>
          <w:t>http://stat.gov.pl/obszary-tematyczne/podmioty-gospodarcze-wyniki-finansowe/</w:t>
        </w:r>
      </w:hyperlink>
    </w:p>
    <w:p w:rsidR="00064362" w:rsidRPr="00011206" w:rsidRDefault="00064362" w:rsidP="00064362">
      <w:pPr>
        <w:spacing w:line="276" w:lineRule="auto"/>
        <w:jc w:val="both"/>
      </w:pPr>
    </w:p>
    <w:sectPr w:rsidR="00064362" w:rsidRPr="00011206" w:rsidSect="00E06CEF">
      <w:pgSz w:w="11906" w:h="16838"/>
      <w:pgMar w:top="851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2"/>
    <w:rsid w:val="00011206"/>
    <w:rsid w:val="00030A9E"/>
    <w:rsid w:val="00064362"/>
    <w:rsid w:val="000C231B"/>
    <w:rsid w:val="00115D84"/>
    <w:rsid w:val="001A2F5A"/>
    <w:rsid w:val="001A3C5B"/>
    <w:rsid w:val="001F6E98"/>
    <w:rsid w:val="002416F9"/>
    <w:rsid w:val="00242A24"/>
    <w:rsid w:val="00251959"/>
    <w:rsid w:val="0028518D"/>
    <w:rsid w:val="002E255A"/>
    <w:rsid w:val="003007C6"/>
    <w:rsid w:val="003758EA"/>
    <w:rsid w:val="00396D72"/>
    <w:rsid w:val="003C69C6"/>
    <w:rsid w:val="003D100A"/>
    <w:rsid w:val="004236E2"/>
    <w:rsid w:val="004C18C1"/>
    <w:rsid w:val="004E1A8F"/>
    <w:rsid w:val="004F41AA"/>
    <w:rsid w:val="00504F29"/>
    <w:rsid w:val="00515AEB"/>
    <w:rsid w:val="00522F86"/>
    <w:rsid w:val="00594AEF"/>
    <w:rsid w:val="005D7C35"/>
    <w:rsid w:val="00625659"/>
    <w:rsid w:val="006673C7"/>
    <w:rsid w:val="00700F62"/>
    <w:rsid w:val="00731589"/>
    <w:rsid w:val="007707B6"/>
    <w:rsid w:val="007C25EB"/>
    <w:rsid w:val="00857F95"/>
    <w:rsid w:val="00875530"/>
    <w:rsid w:val="00875FB2"/>
    <w:rsid w:val="0089041A"/>
    <w:rsid w:val="008B06C3"/>
    <w:rsid w:val="008E532B"/>
    <w:rsid w:val="009E3C97"/>
    <w:rsid w:val="009F505F"/>
    <w:rsid w:val="00A06395"/>
    <w:rsid w:val="00A1210A"/>
    <w:rsid w:val="00AD2E0F"/>
    <w:rsid w:val="00BE2F48"/>
    <w:rsid w:val="00C005E5"/>
    <w:rsid w:val="00C368DC"/>
    <w:rsid w:val="00C74564"/>
    <w:rsid w:val="00CB23BE"/>
    <w:rsid w:val="00CF4059"/>
    <w:rsid w:val="00D7667F"/>
    <w:rsid w:val="00DB579E"/>
    <w:rsid w:val="00DB6412"/>
    <w:rsid w:val="00E06CEF"/>
    <w:rsid w:val="00EB3068"/>
    <w:rsid w:val="00EB5B11"/>
    <w:rsid w:val="00F55D6B"/>
    <w:rsid w:val="00FB1D1A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8EA3-1DC9-4BB7-B7B0-A0FDD20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5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://stat.gov.pl/obszary-tematyczne/podmioty-gospodarcze-wyniki-finansowe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200">
                <a:solidFill>
                  <a:schemeClr val="tx1"/>
                </a:solidFill>
              </a:rPr>
              <a:t>Wynik finansowy netto w latach 2000-2015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Arkusz1!$C$22</c:f>
              <c:strCache>
                <c:ptCount val="1"/>
                <c:pt idx="0">
                  <c:v>Wynik finansowy netto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Arkusz1!$D$21:$S$21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Arkusz1!$D$22:$S$22</c:f>
              <c:numCache>
                <c:formatCode>General</c:formatCode>
                <c:ptCount val="16"/>
                <c:pt idx="0">
                  <c:v>6217.1</c:v>
                </c:pt>
                <c:pt idx="1">
                  <c:v>-2553.3000000000002</c:v>
                </c:pt>
                <c:pt idx="2">
                  <c:v>-1959.5</c:v>
                </c:pt>
                <c:pt idx="3">
                  <c:v>17987.400000000001</c:v>
                </c:pt>
                <c:pt idx="4">
                  <c:v>60700.9</c:v>
                </c:pt>
                <c:pt idx="5">
                  <c:v>51409.7</c:v>
                </c:pt>
                <c:pt idx="6">
                  <c:v>69796.800000000003</c:v>
                </c:pt>
                <c:pt idx="7">
                  <c:v>86248.7</c:v>
                </c:pt>
                <c:pt idx="8">
                  <c:v>62996.4</c:v>
                </c:pt>
                <c:pt idx="9">
                  <c:v>78865.399999999994</c:v>
                </c:pt>
                <c:pt idx="10">
                  <c:v>89445.5</c:v>
                </c:pt>
                <c:pt idx="11">
                  <c:v>103950.3</c:v>
                </c:pt>
                <c:pt idx="12">
                  <c:v>82116.899999999994</c:v>
                </c:pt>
                <c:pt idx="13">
                  <c:v>92107.4</c:v>
                </c:pt>
                <c:pt idx="14">
                  <c:v>90158.6</c:v>
                </c:pt>
                <c:pt idx="15">
                  <c:v>91541.1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83694032"/>
        <c:axId val="283694592"/>
      </c:barChart>
      <c:lineChart>
        <c:grouping val="standard"/>
        <c:varyColors val="0"/>
        <c:ser>
          <c:idx val="1"/>
          <c:order val="1"/>
          <c:tx>
            <c:strRef>
              <c:f>Arkusz1!$C$23</c:f>
              <c:strCache>
                <c:ptCount val="1"/>
                <c:pt idx="0">
                  <c:v>Wskaźnik rentowności obrotu netto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Arkusz1!$D$21:$S$21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Arkusz1!$D$23:$S$23</c:f>
              <c:numCache>
                <c:formatCode>General</c:formatCode>
                <c:ptCount val="16"/>
                <c:pt idx="0">
                  <c:v>0.7</c:v>
                </c:pt>
                <c:pt idx="1">
                  <c:v>-0.3</c:v>
                </c:pt>
                <c:pt idx="2">
                  <c:v>-0.2</c:v>
                </c:pt>
                <c:pt idx="3">
                  <c:v>1.7</c:v>
                </c:pt>
                <c:pt idx="4">
                  <c:v>4.8</c:v>
                </c:pt>
                <c:pt idx="5">
                  <c:v>3.9</c:v>
                </c:pt>
                <c:pt idx="6">
                  <c:v>4.7</c:v>
                </c:pt>
                <c:pt idx="7">
                  <c:v>5</c:v>
                </c:pt>
                <c:pt idx="8">
                  <c:v>3.3</c:v>
                </c:pt>
                <c:pt idx="9">
                  <c:v>4.0999999999999996</c:v>
                </c:pt>
                <c:pt idx="10">
                  <c:v>4.4000000000000004</c:v>
                </c:pt>
                <c:pt idx="11">
                  <c:v>4.5</c:v>
                </c:pt>
                <c:pt idx="12">
                  <c:v>3.4</c:v>
                </c:pt>
                <c:pt idx="13">
                  <c:v>3.8</c:v>
                </c:pt>
                <c:pt idx="14">
                  <c:v>3.7</c:v>
                </c:pt>
                <c:pt idx="15">
                  <c:v>3.6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Arkusz1!$C$24</c:f>
              <c:strCache>
                <c:ptCount val="1"/>
                <c:pt idx="0">
                  <c:v>Wskaźnik rentowności sprzedaży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Arkusz1!$D$21:$S$21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Arkusz1!$D$24:$S$24</c:f>
              <c:numCache>
                <c:formatCode>General</c:formatCode>
                <c:ptCount val="16"/>
                <c:pt idx="0">
                  <c:v>3</c:v>
                </c:pt>
                <c:pt idx="1">
                  <c:v>2.6</c:v>
                </c:pt>
                <c:pt idx="2">
                  <c:v>3.3</c:v>
                </c:pt>
                <c:pt idx="3">
                  <c:v>4.4000000000000004</c:v>
                </c:pt>
                <c:pt idx="4">
                  <c:v>5.9</c:v>
                </c:pt>
                <c:pt idx="5">
                  <c:v>5.3</c:v>
                </c:pt>
                <c:pt idx="6">
                  <c:v>5.5</c:v>
                </c:pt>
                <c:pt idx="7">
                  <c:v>5.6</c:v>
                </c:pt>
                <c:pt idx="8">
                  <c:v>5</c:v>
                </c:pt>
                <c:pt idx="9">
                  <c:v>5</c:v>
                </c:pt>
                <c:pt idx="10">
                  <c:v>5.2</c:v>
                </c:pt>
                <c:pt idx="11">
                  <c:v>5.3</c:v>
                </c:pt>
                <c:pt idx="12">
                  <c:v>4.3</c:v>
                </c:pt>
                <c:pt idx="13">
                  <c:v>4.3</c:v>
                </c:pt>
                <c:pt idx="14">
                  <c:v>4.5</c:v>
                </c:pt>
                <c:pt idx="15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763456"/>
        <c:axId val="283762896"/>
      </c:lineChart>
      <c:catAx>
        <c:axId val="2836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83694592"/>
        <c:crosses val="autoZero"/>
        <c:auto val="1"/>
        <c:lblAlgn val="ctr"/>
        <c:lblOffset val="100"/>
        <c:noMultiLvlLbl val="0"/>
      </c:catAx>
      <c:valAx>
        <c:axId val="28369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83694032"/>
        <c:crosses val="autoZero"/>
        <c:crossBetween val="between"/>
      </c:valAx>
      <c:valAx>
        <c:axId val="28376289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83763456"/>
        <c:crosses val="max"/>
        <c:crossBetween val="between"/>
      </c:valAx>
      <c:catAx>
        <c:axId val="283763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837628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416027110535237E-2"/>
          <c:y val="0.91568620028265701"/>
          <c:w val="0.9"/>
          <c:h val="6.76086462749848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3723568100315E-2"/>
          <c:y val="0.10703577593341373"/>
          <c:w val="0.93793195978298238"/>
          <c:h val="0.46409595142070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Arkusz2!$B$4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Arkusz2!$C$4:$Z$4</c:f>
              <c:numCache>
                <c:formatCode>#,##0.0</c:formatCode>
                <c:ptCount val="24"/>
                <c:pt idx="0">
                  <c:v>4</c:v>
                </c:pt>
                <c:pt idx="1">
                  <c:v>4.4000000000000004</c:v>
                </c:pt>
                <c:pt idx="2">
                  <c:v>4.5999999999999996</c:v>
                </c:pt>
                <c:pt idx="3">
                  <c:v>4.4000000000000004</c:v>
                </c:pt>
                <c:pt idx="4">
                  <c:v>4.3</c:v>
                </c:pt>
                <c:pt idx="5">
                  <c:v>5.2</c:v>
                </c:pt>
                <c:pt idx="6">
                  <c:v>4.7</c:v>
                </c:pt>
                <c:pt idx="7">
                  <c:v>4.5</c:v>
                </c:pt>
                <c:pt idx="8">
                  <c:v>4.0999999999999996</c:v>
                </c:pt>
                <c:pt idx="9">
                  <c:v>4</c:v>
                </c:pt>
                <c:pt idx="10">
                  <c:v>3.8</c:v>
                </c:pt>
                <c:pt idx="11">
                  <c:v>3.4</c:v>
                </c:pt>
                <c:pt idx="12">
                  <c:v>3.2</c:v>
                </c:pt>
                <c:pt idx="13">
                  <c:v>4</c:v>
                </c:pt>
                <c:pt idx="14">
                  <c:v>4</c:v>
                </c:pt>
                <c:pt idx="15">
                  <c:v>3.8</c:v>
                </c:pt>
                <c:pt idx="16">
                  <c:v>3.8</c:v>
                </c:pt>
                <c:pt idx="17">
                  <c:v>3.9</c:v>
                </c:pt>
                <c:pt idx="18">
                  <c:v>4.2</c:v>
                </c:pt>
                <c:pt idx="19">
                  <c:v>3.7</c:v>
                </c:pt>
                <c:pt idx="20">
                  <c:v>3.9</c:v>
                </c:pt>
                <c:pt idx="21">
                  <c:v>4.5</c:v>
                </c:pt>
                <c:pt idx="22" formatCode="General">
                  <c:v>3.9</c:v>
                </c:pt>
                <c:pt idx="23" formatCode="General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814672"/>
        <c:axId val="271815232"/>
      </c:barChart>
      <c:lineChart>
        <c:grouping val="standard"/>
        <c:varyColors val="0"/>
        <c:ser>
          <c:idx val="1"/>
          <c:order val="1"/>
          <c:tx>
            <c:strRef>
              <c:f>Arkusz2!$B$5</c:f>
              <c:strCache>
                <c:ptCount val="1"/>
                <c:pt idx="0">
                  <c:v>Górnictwo i wydobywanie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Arkusz2!$C$5:$Z$5</c:f>
              <c:numCache>
                <c:formatCode>#,##0.0</c:formatCode>
                <c:ptCount val="24"/>
                <c:pt idx="0">
                  <c:v>8.8000000000000007</c:v>
                </c:pt>
                <c:pt idx="1">
                  <c:v>12.1</c:v>
                </c:pt>
                <c:pt idx="2">
                  <c:v>13.1</c:v>
                </c:pt>
                <c:pt idx="3">
                  <c:v>13.1</c:v>
                </c:pt>
                <c:pt idx="4">
                  <c:v>19</c:v>
                </c:pt>
                <c:pt idx="5">
                  <c:v>21.8</c:v>
                </c:pt>
                <c:pt idx="6">
                  <c:v>22.4</c:v>
                </c:pt>
                <c:pt idx="7">
                  <c:v>23.6</c:v>
                </c:pt>
                <c:pt idx="8">
                  <c:v>15.4</c:v>
                </c:pt>
                <c:pt idx="9">
                  <c:v>14.7</c:v>
                </c:pt>
                <c:pt idx="10">
                  <c:v>12.9</c:v>
                </c:pt>
                <c:pt idx="11">
                  <c:v>10.7</c:v>
                </c:pt>
                <c:pt idx="12">
                  <c:v>8.1</c:v>
                </c:pt>
                <c:pt idx="13">
                  <c:v>5.8</c:v>
                </c:pt>
                <c:pt idx="14">
                  <c:v>5.4</c:v>
                </c:pt>
                <c:pt idx="15">
                  <c:v>6.2</c:v>
                </c:pt>
                <c:pt idx="16">
                  <c:v>2.7</c:v>
                </c:pt>
                <c:pt idx="17">
                  <c:v>1.8</c:v>
                </c:pt>
                <c:pt idx="18">
                  <c:v>3.3</c:v>
                </c:pt>
                <c:pt idx="19">
                  <c:v>1.5</c:v>
                </c:pt>
                <c:pt idx="20">
                  <c:v>-2.2000000000000002</c:v>
                </c:pt>
                <c:pt idx="21">
                  <c:v>-0.7</c:v>
                </c:pt>
                <c:pt idx="22" formatCode="General">
                  <c:v>-0.9</c:v>
                </c:pt>
                <c:pt idx="23" formatCode="General">
                  <c:v>-3.1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Arkusz2!$B$6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Arkusz2!$C$6:$Z$6</c:f>
              <c:numCache>
                <c:formatCode>#,##0.0</c:formatCode>
                <c:ptCount val="24"/>
                <c:pt idx="0">
                  <c:v>4</c:v>
                </c:pt>
                <c:pt idx="1">
                  <c:v>4.0999999999999996</c:v>
                </c:pt>
                <c:pt idx="2">
                  <c:v>4.7</c:v>
                </c:pt>
                <c:pt idx="3">
                  <c:v>4.3</c:v>
                </c:pt>
                <c:pt idx="4">
                  <c:v>4.5999999999999996</c:v>
                </c:pt>
                <c:pt idx="5">
                  <c:v>5</c:v>
                </c:pt>
                <c:pt idx="6">
                  <c:v>4.3</c:v>
                </c:pt>
                <c:pt idx="7">
                  <c:v>4.0999999999999996</c:v>
                </c:pt>
                <c:pt idx="8">
                  <c:v>4.7</c:v>
                </c:pt>
                <c:pt idx="9">
                  <c:v>4.4000000000000004</c:v>
                </c:pt>
                <c:pt idx="10">
                  <c:v>4.3</c:v>
                </c:pt>
                <c:pt idx="11">
                  <c:v>3.8</c:v>
                </c:pt>
                <c:pt idx="12">
                  <c:v>3.6</c:v>
                </c:pt>
                <c:pt idx="13">
                  <c:v>4.0999999999999996</c:v>
                </c:pt>
                <c:pt idx="14">
                  <c:v>4.4000000000000004</c:v>
                </c:pt>
                <c:pt idx="15">
                  <c:v>4.0999999999999996</c:v>
                </c:pt>
                <c:pt idx="16">
                  <c:v>4.8</c:v>
                </c:pt>
                <c:pt idx="17">
                  <c:v>4</c:v>
                </c:pt>
                <c:pt idx="18">
                  <c:v>4.2</c:v>
                </c:pt>
                <c:pt idx="19">
                  <c:v>3.6</c:v>
                </c:pt>
                <c:pt idx="20">
                  <c:v>4.9000000000000004</c:v>
                </c:pt>
                <c:pt idx="21">
                  <c:v>5.2</c:v>
                </c:pt>
                <c:pt idx="22" formatCode="General">
                  <c:v>4.9000000000000004</c:v>
                </c:pt>
                <c:pt idx="23" formatCode="General">
                  <c:v>4.7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Arkusz2!$B$7</c:f>
              <c:strCache>
                <c:ptCount val="1"/>
                <c:pt idx="0">
                  <c:v>Wytwarzanie i zaopatrywanie w energię elektryczną,
gaz, parę wodną i gorącą wodę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Arkusz2!$C$7:$Z$7</c:f>
              <c:numCache>
                <c:formatCode>#,##0.0</c:formatCode>
                <c:ptCount val="24"/>
                <c:pt idx="0">
                  <c:v>10.4</c:v>
                </c:pt>
                <c:pt idx="1">
                  <c:v>8.6</c:v>
                </c:pt>
                <c:pt idx="2">
                  <c:v>9.9</c:v>
                </c:pt>
                <c:pt idx="3">
                  <c:v>9.3000000000000007</c:v>
                </c:pt>
                <c:pt idx="4">
                  <c:v>10.7</c:v>
                </c:pt>
                <c:pt idx="5">
                  <c:v>13.1</c:v>
                </c:pt>
                <c:pt idx="6">
                  <c:v>11.2</c:v>
                </c:pt>
                <c:pt idx="7">
                  <c:v>10.3</c:v>
                </c:pt>
                <c:pt idx="8">
                  <c:v>8.6</c:v>
                </c:pt>
                <c:pt idx="9">
                  <c:v>9.6</c:v>
                </c:pt>
                <c:pt idx="10">
                  <c:v>8.3000000000000007</c:v>
                </c:pt>
                <c:pt idx="11">
                  <c:v>7.5</c:v>
                </c:pt>
                <c:pt idx="12">
                  <c:v>9.8000000000000007</c:v>
                </c:pt>
                <c:pt idx="13">
                  <c:v>13.2</c:v>
                </c:pt>
                <c:pt idx="14">
                  <c:v>11.5</c:v>
                </c:pt>
                <c:pt idx="15">
                  <c:v>8.8000000000000007</c:v>
                </c:pt>
                <c:pt idx="16">
                  <c:v>9.1999999999999993</c:v>
                </c:pt>
                <c:pt idx="17">
                  <c:v>12.4</c:v>
                </c:pt>
                <c:pt idx="18">
                  <c:v>12.8</c:v>
                </c:pt>
                <c:pt idx="19">
                  <c:v>10.7</c:v>
                </c:pt>
                <c:pt idx="20">
                  <c:v>9.1</c:v>
                </c:pt>
                <c:pt idx="21">
                  <c:v>12</c:v>
                </c:pt>
                <c:pt idx="22" formatCode="General">
                  <c:v>5.0999999999999996</c:v>
                </c:pt>
                <c:pt idx="23" formatCode="General">
                  <c:v>2.4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Arkusz2!$B$8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Arkusz2!$C$8:$Z$8</c:f>
              <c:numCache>
                <c:formatCode>#,##0.0</c:formatCode>
                <c:ptCount val="24"/>
                <c:pt idx="0">
                  <c:v>0.2</c:v>
                </c:pt>
                <c:pt idx="1">
                  <c:v>3.2</c:v>
                </c:pt>
                <c:pt idx="2">
                  <c:v>3.9</c:v>
                </c:pt>
                <c:pt idx="3">
                  <c:v>4.2</c:v>
                </c:pt>
                <c:pt idx="4">
                  <c:v>-1.6</c:v>
                </c:pt>
                <c:pt idx="5">
                  <c:v>1.5</c:v>
                </c:pt>
                <c:pt idx="6">
                  <c:v>2.2000000000000002</c:v>
                </c:pt>
                <c:pt idx="7">
                  <c:v>2.2999999999999998</c:v>
                </c:pt>
                <c:pt idx="8">
                  <c:v>-1</c:v>
                </c:pt>
                <c:pt idx="9">
                  <c:v>-1.9</c:v>
                </c:pt>
                <c:pt idx="10">
                  <c:v>-1</c:v>
                </c:pt>
                <c:pt idx="11">
                  <c:v>-0.5</c:v>
                </c:pt>
                <c:pt idx="12">
                  <c:v>-3.3</c:v>
                </c:pt>
                <c:pt idx="13">
                  <c:v>-0.1</c:v>
                </c:pt>
                <c:pt idx="14">
                  <c:v>0.3</c:v>
                </c:pt>
                <c:pt idx="15">
                  <c:v>0.9</c:v>
                </c:pt>
                <c:pt idx="16">
                  <c:v>-0.8</c:v>
                </c:pt>
                <c:pt idx="17">
                  <c:v>0.7</c:v>
                </c:pt>
                <c:pt idx="18">
                  <c:v>2.2999999999999998</c:v>
                </c:pt>
                <c:pt idx="19">
                  <c:v>2.7</c:v>
                </c:pt>
                <c:pt idx="20">
                  <c:v>2</c:v>
                </c:pt>
                <c:pt idx="21">
                  <c:v>2.7</c:v>
                </c:pt>
                <c:pt idx="22" formatCode="General">
                  <c:v>3.2</c:v>
                </c:pt>
                <c:pt idx="23" formatCode="General">
                  <c:v>6.6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Arkusz2!$B$9</c:f>
              <c:strCache>
                <c:ptCount val="1"/>
                <c:pt idx="0">
                  <c:v>Handel; naprawa pojazdów samochodowych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Arkusz2!$C$9:$Z$9</c:f>
              <c:numCache>
                <c:formatCode>#,##0.0</c:formatCode>
                <c:ptCount val="24"/>
                <c:pt idx="0">
                  <c:v>1.4</c:v>
                </c:pt>
                <c:pt idx="1">
                  <c:v>1.5</c:v>
                </c:pt>
                <c:pt idx="2">
                  <c:v>1.9</c:v>
                </c:pt>
                <c:pt idx="3">
                  <c:v>2.2000000000000002</c:v>
                </c:pt>
                <c:pt idx="4">
                  <c:v>1.2</c:v>
                </c:pt>
                <c:pt idx="5">
                  <c:v>1.6</c:v>
                </c:pt>
                <c:pt idx="6">
                  <c:v>1.7</c:v>
                </c:pt>
                <c:pt idx="7">
                  <c:v>1.8</c:v>
                </c:pt>
                <c:pt idx="8">
                  <c:v>1.1000000000000001</c:v>
                </c:pt>
                <c:pt idx="9">
                  <c:v>1.3</c:v>
                </c:pt>
                <c:pt idx="10">
                  <c:v>1.3</c:v>
                </c:pt>
                <c:pt idx="11">
                  <c:v>1.4</c:v>
                </c:pt>
                <c:pt idx="12">
                  <c:v>0.7</c:v>
                </c:pt>
                <c:pt idx="13">
                  <c:v>1.3</c:v>
                </c:pt>
                <c:pt idx="14">
                  <c:v>1.3</c:v>
                </c:pt>
                <c:pt idx="15">
                  <c:v>1.8</c:v>
                </c:pt>
                <c:pt idx="16">
                  <c:v>0.9</c:v>
                </c:pt>
                <c:pt idx="17">
                  <c:v>1.5</c:v>
                </c:pt>
                <c:pt idx="18">
                  <c:v>1.5</c:v>
                </c:pt>
                <c:pt idx="19">
                  <c:v>1.9</c:v>
                </c:pt>
                <c:pt idx="20">
                  <c:v>1</c:v>
                </c:pt>
                <c:pt idx="21">
                  <c:v>1.5</c:v>
                </c:pt>
                <c:pt idx="22" formatCode="General">
                  <c:v>1.8</c:v>
                </c:pt>
                <c:pt idx="23" formatCode="General">
                  <c:v>1.9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Arkusz2!$B$10</c:f>
              <c:strCache>
                <c:ptCount val="1"/>
                <c:pt idx="0">
                  <c:v>Transport i gospodarka magazynowa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Arkusz2!$C$10:$Z$10</c:f>
              <c:numCache>
                <c:formatCode>#,##0.0</c:formatCode>
                <c:ptCount val="24"/>
                <c:pt idx="0">
                  <c:v>2.1</c:v>
                </c:pt>
                <c:pt idx="1">
                  <c:v>2.2000000000000002</c:v>
                </c:pt>
                <c:pt idx="2">
                  <c:v>2.9</c:v>
                </c:pt>
                <c:pt idx="3">
                  <c:v>1.6</c:v>
                </c:pt>
                <c:pt idx="4">
                  <c:v>3.7</c:v>
                </c:pt>
                <c:pt idx="5">
                  <c:v>4.0999999999999996</c:v>
                </c:pt>
                <c:pt idx="6">
                  <c:v>3.6</c:v>
                </c:pt>
                <c:pt idx="7">
                  <c:v>1.7</c:v>
                </c:pt>
                <c:pt idx="8">
                  <c:v>2.2999999999999998</c:v>
                </c:pt>
                <c:pt idx="9">
                  <c:v>2.9</c:v>
                </c:pt>
                <c:pt idx="10">
                  <c:v>3.2</c:v>
                </c:pt>
                <c:pt idx="11">
                  <c:v>1.7</c:v>
                </c:pt>
                <c:pt idx="12">
                  <c:v>0.7</c:v>
                </c:pt>
                <c:pt idx="13">
                  <c:v>2.2000000000000002</c:v>
                </c:pt>
                <c:pt idx="14">
                  <c:v>2.6</c:v>
                </c:pt>
                <c:pt idx="15">
                  <c:v>2.2999999999999998</c:v>
                </c:pt>
                <c:pt idx="16">
                  <c:v>2.2999999999999998</c:v>
                </c:pt>
                <c:pt idx="17">
                  <c:v>3.3</c:v>
                </c:pt>
                <c:pt idx="18">
                  <c:v>3.5</c:v>
                </c:pt>
                <c:pt idx="19">
                  <c:v>2.2000000000000002</c:v>
                </c:pt>
                <c:pt idx="20">
                  <c:v>3.7</c:v>
                </c:pt>
                <c:pt idx="21">
                  <c:v>3.8</c:v>
                </c:pt>
                <c:pt idx="22" formatCode="General">
                  <c:v>4.7</c:v>
                </c:pt>
                <c:pt idx="23" formatCode="General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814672"/>
        <c:axId val="271815232"/>
      </c:lineChart>
      <c:catAx>
        <c:axId val="27181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71815232"/>
        <c:crosses val="autoZero"/>
        <c:auto val="0"/>
        <c:lblAlgn val="ctr"/>
        <c:lblOffset val="100"/>
        <c:noMultiLvlLbl val="0"/>
      </c:catAx>
      <c:valAx>
        <c:axId val="271815232"/>
        <c:scaling>
          <c:orientation val="minMax"/>
          <c:max val="2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7181467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317460317460321E-3"/>
          <c:y val="0.71939322357432589"/>
          <c:w val="0.99188079365079362"/>
          <c:h val="0.27657361011691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Struktura rodzajowa kosztów</a:t>
            </a:r>
            <a:r>
              <a:rPr lang="pl-PL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w 2015 roku</a:t>
            </a:r>
            <a:endParaRPr lang="en-US" sz="12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4240038737337219"/>
          <c:y val="3.2888178348942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843626745704019"/>
          <c:y val="0.27430693532250366"/>
          <c:w val="0.35051680101470273"/>
          <c:h val="0.64670681388166185"/>
        </c:manualLayout>
      </c:layout>
      <c:pieChart>
        <c:varyColors val="1"/>
        <c:ser>
          <c:idx val="0"/>
          <c:order val="0"/>
          <c:spPr>
            <a:effectLst/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3.4517334793424545E-2"/>
                  <c:y val="-0.189677821237337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84EC8A3-36F5-4664-9297-028F9162F91C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(-1,2)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0.1091287674616700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5731091540004001E-2"/>
                  <c:y val="-1.06560573728841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3F7D107-F1C6-44A6-9AF9-946FC2BA35A4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(0,0)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9.734400706689587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1.9455252918287938E-2"/>
                  <c:y val="-1.75853474680200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E3E5D4C-C634-4B08-A585-DFA8C09B53F9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 baseline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(+0,5)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18349905960514E-2"/>
                      <c:h val="9.421028713963228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9034768419731279E-3"/>
                  <c:y val="-1.98932649018669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4F43D84A-B737-49D3-A87E-685ACF2EE328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16631893964181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1.8200865973716382E-2"/>
                  <c:y val="3.60913111682864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577DCB0-A6D2-49B9-B1CD-969BCF623782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(+0,7)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93053926185674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1.9455252918287938E-2"/>
                  <c:y val="-4.91588259340581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274A01B2-8D31-423E-960D-C44EF6CD8A8B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26987109227133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4.7069160286180446E-2"/>
                  <c:y val="-9.178305542559453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C29B416-DA44-4D4E-9944-E85249D1E023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(0,0)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48231533817153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4.1313060631935988E-2"/>
                  <c:y val="-2.86772118000330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322D60E-5D34-4FC2-9669-EB5B670EB54D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(0,0)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314787800738231E-2"/>
                      <c:h val="0.1029234192514478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'II kw 2015'!$M$23:$M$30</c:f>
              <c:strCache>
                <c:ptCount val="8"/>
                <c:pt idx="0">
                  <c:v>  Zużycie materiałów</c:v>
                </c:pt>
                <c:pt idx="1">
                  <c:v>  Zużycie energii</c:v>
                </c:pt>
                <c:pt idx="2">
                  <c:v>  Usługi obce</c:v>
                </c:pt>
                <c:pt idx="3">
                  <c:v>  Wynagrodzenia</c:v>
                </c:pt>
                <c:pt idx="4">
                  <c:v>  Amortyzacja</c:v>
                </c:pt>
                <c:pt idx="5">
                  <c:v>  Podatki i opłaty</c:v>
                </c:pt>
                <c:pt idx="6">
                  <c:v>  Ubezpieczenia społeczne i inne świadczenia</c:v>
                </c:pt>
                <c:pt idx="7">
                  <c:v>  Pozostałe koszty rodzajowe</c:v>
                </c:pt>
              </c:strCache>
            </c:strRef>
          </c:cat>
          <c:val>
            <c:numRef>
              <c:f>'II kw 2015'!$N$23:$N$30</c:f>
              <c:numCache>
                <c:formatCode>#,##0.0</c:formatCode>
                <c:ptCount val="8"/>
                <c:pt idx="0">
                  <c:v>665683.80000000005</c:v>
                </c:pt>
                <c:pt idx="1">
                  <c:v>40660.199999999997</c:v>
                </c:pt>
                <c:pt idx="2">
                  <c:v>358522.7</c:v>
                </c:pt>
                <c:pt idx="3">
                  <c:v>226172.7</c:v>
                </c:pt>
                <c:pt idx="4">
                  <c:v>95384.5</c:v>
                </c:pt>
                <c:pt idx="5">
                  <c:v>84308.5</c:v>
                </c:pt>
                <c:pt idx="6">
                  <c:v>52512.2</c:v>
                </c:pt>
                <c:pt idx="7">
                  <c:v>44130.6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64430289942639"/>
          <c:y val="0.17262943761873467"/>
          <c:w val="0.30892193251765893"/>
          <c:h val="0.64985863927330212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200"/>
              <a:t>Dynamika nakładów inwestycyjnych na środki trwałe </a:t>
            </a:r>
          </a:p>
          <a:p>
            <a:pPr>
              <a:defRPr/>
            </a:pPr>
            <a:r>
              <a:rPr lang="pl-PL" sz="900"/>
              <a:t>wzrost/spadek w stosunku do analogicznego okresu roku poprzedniego w %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013260982826585E-2"/>
          <c:y val="0.16224846894138234"/>
          <c:w val="0.9140986824212517"/>
          <c:h val="0.56315987076418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Arkusz2!$B$13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Arkusz2!$C$13:$Z$13</c:f>
              <c:numCache>
                <c:formatCode>General</c:formatCode>
                <c:ptCount val="24"/>
                <c:pt idx="0">
                  <c:v>-19.700000000000003</c:v>
                </c:pt>
                <c:pt idx="1">
                  <c:v>-17.599999999999994</c:v>
                </c:pt>
                <c:pt idx="2">
                  <c:v>-13.799999999999997</c:v>
                </c:pt>
                <c:pt idx="3">
                  <c:v>-3.0999999999999943</c:v>
                </c:pt>
                <c:pt idx="4">
                  <c:v>2.7999999999999972</c:v>
                </c:pt>
                <c:pt idx="5">
                  <c:v>9</c:v>
                </c:pt>
                <c:pt idx="6">
                  <c:v>12.099999999999994</c:v>
                </c:pt>
                <c:pt idx="7">
                  <c:v>10.799999999999997</c:v>
                </c:pt>
                <c:pt idx="8">
                  <c:v>12.299999999999997</c:v>
                </c:pt>
                <c:pt idx="9">
                  <c:v>7.5999999999999943</c:v>
                </c:pt>
                <c:pt idx="10">
                  <c:v>4.4000000000000057</c:v>
                </c:pt>
                <c:pt idx="11">
                  <c:v>-0.90000000000000568</c:v>
                </c:pt>
                <c:pt idx="12">
                  <c:v>-1.7000000000000028</c:v>
                </c:pt>
                <c:pt idx="13">
                  <c:v>0.20000000000000284</c:v>
                </c:pt>
                <c:pt idx="14">
                  <c:v>2.2000000000000028</c:v>
                </c:pt>
                <c:pt idx="15">
                  <c:v>6.0999999999999943</c:v>
                </c:pt>
                <c:pt idx="16">
                  <c:v>16.299999999999997</c:v>
                </c:pt>
                <c:pt idx="17">
                  <c:v>14.400000000000006</c:v>
                </c:pt>
                <c:pt idx="18">
                  <c:v>15</c:v>
                </c:pt>
                <c:pt idx="19" formatCode="#,##0.0">
                  <c:v>16.900000000000006</c:v>
                </c:pt>
                <c:pt idx="20" formatCode="#,##0.0">
                  <c:v>15.400000000000006</c:v>
                </c:pt>
                <c:pt idx="21" formatCode="#,##0.0">
                  <c:v>10.900000000000006</c:v>
                </c:pt>
                <c:pt idx="22" formatCode="#,##0.0">
                  <c:v>12.299999999999997</c:v>
                </c:pt>
                <c:pt idx="23" formatCode="#,##0.0">
                  <c:v>11.900000000000006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559440"/>
        <c:axId val="283560000"/>
      </c:barChart>
      <c:lineChart>
        <c:grouping val="standard"/>
        <c:varyColors val="0"/>
        <c:ser>
          <c:idx val="1"/>
          <c:order val="1"/>
          <c:tx>
            <c:strRef>
              <c:f>Arkusz2!$B$14</c:f>
              <c:strCache>
                <c:ptCount val="1"/>
                <c:pt idx="0">
                  <c:v>Budynki i budowle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Arkusz2!$C$14:$Z$14</c:f>
              <c:numCache>
                <c:formatCode>General</c:formatCode>
                <c:ptCount val="24"/>
                <c:pt idx="0">
                  <c:v>-17.799999999999997</c:v>
                </c:pt>
                <c:pt idx="1">
                  <c:v>-20.799999999999997</c:v>
                </c:pt>
                <c:pt idx="2">
                  <c:v>-13.700000000000003</c:v>
                </c:pt>
                <c:pt idx="3">
                  <c:v>-3.5</c:v>
                </c:pt>
                <c:pt idx="4">
                  <c:v>-9.4000000000000057</c:v>
                </c:pt>
                <c:pt idx="5">
                  <c:v>4.7000000000000028</c:v>
                </c:pt>
                <c:pt idx="6">
                  <c:v>3.5</c:v>
                </c:pt>
                <c:pt idx="7">
                  <c:v>3.0999999999999943</c:v>
                </c:pt>
                <c:pt idx="8">
                  <c:v>11.299999999999997</c:v>
                </c:pt>
                <c:pt idx="9">
                  <c:v>10.099999999999994</c:v>
                </c:pt>
                <c:pt idx="10">
                  <c:v>10.299999999999997</c:v>
                </c:pt>
                <c:pt idx="11">
                  <c:v>3.4000000000000057</c:v>
                </c:pt>
                <c:pt idx="12">
                  <c:v>5.7000000000000028</c:v>
                </c:pt>
                <c:pt idx="13">
                  <c:v>0.59999999999999432</c:v>
                </c:pt>
                <c:pt idx="14">
                  <c:v>3.0999999999999943</c:v>
                </c:pt>
                <c:pt idx="15">
                  <c:v>8.2000000000000028</c:v>
                </c:pt>
                <c:pt idx="16">
                  <c:v>15.099999999999994</c:v>
                </c:pt>
                <c:pt idx="17">
                  <c:v>15.599999999999994</c:v>
                </c:pt>
                <c:pt idx="18">
                  <c:v>14.799999999999997</c:v>
                </c:pt>
                <c:pt idx="19" formatCode="#,##0.0">
                  <c:v>15.299999999999997</c:v>
                </c:pt>
                <c:pt idx="20" formatCode="#,##0.0">
                  <c:v>15.900000000000006</c:v>
                </c:pt>
                <c:pt idx="21" formatCode="#,##0.0">
                  <c:v>14.099999999999994</c:v>
                </c:pt>
                <c:pt idx="22" formatCode="#,##0.0">
                  <c:v>13.700000000000003</c:v>
                </c:pt>
                <c:pt idx="23" formatCode="#,##0.0">
                  <c:v>10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Arkusz2!$B$15</c:f>
              <c:strCache>
                <c:ptCount val="1"/>
                <c:pt idx="0">
                  <c:v>Maszyny i urządzenia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Arkusz2!$C$15:$Z$15</c:f>
              <c:numCache>
                <c:formatCode>General</c:formatCode>
                <c:ptCount val="24"/>
                <c:pt idx="0">
                  <c:v>-24</c:v>
                </c:pt>
                <c:pt idx="1">
                  <c:v>-21.799999999999997</c:v>
                </c:pt>
                <c:pt idx="2">
                  <c:v>-19.099999999999994</c:v>
                </c:pt>
                <c:pt idx="3">
                  <c:v>-8.5999999999999943</c:v>
                </c:pt>
                <c:pt idx="4">
                  <c:v>7.0999999999999943</c:v>
                </c:pt>
                <c:pt idx="5">
                  <c:v>10.700000000000003</c:v>
                </c:pt>
                <c:pt idx="6">
                  <c:v>15</c:v>
                </c:pt>
                <c:pt idx="7">
                  <c:v>15.099999999999994</c:v>
                </c:pt>
                <c:pt idx="8">
                  <c:v>10.799999999999997</c:v>
                </c:pt>
                <c:pt idx="9">
                  <c:v>6.5</c:v>
                </c:pt>
                <c:pt idx="10">
                  <c:v>3.5</c:v>
                </c:pt>
                <c:pt idx="11">
                  <c:v>-1.5999999999999943</c:v>
                </c:pt>
                <c:pt idx="12">
                  <c:v>-1.7999999999999972</c:v>
                </c:pt>
                <c:pt idx="13">
                  <c:v>-0.79999999999999716</c:v>
                </c:pt>
                <c:pt idx="14">
                  <c:v>9.9999999999994316E-2</c:v>
                </c:pt>
                <c:pt idx="15">
                  <c:v>4</c:v>
                </c:pt>
                <c:pt idx="16">
                  <c:v>9.9000000000000057</c:v>
                </c:pt>
                <c:pt idx="17">
                  <c:v>9.9000000000000057</c:v>
                </c:pt>
                <c:pt idx="18">
                  <c:v>12.799999999999997</c:v>
                </c:pt>
                <c:pt idx="19" formatCode="#,##0.0">
                  <c:v>15.200000000000003</c:v>
                </c:pt>
                <c:pt idx="20" formatCode="#,##0.0">
                  <c:v>19.799999999999997</c:v>
                </c:pt>
                <c:pt idx="21" formatCode="#,##0.0">
                  <c:v>10.900000000000006</c:v>
                </c:pt>
                <c:pt idx="22" formatCode="#,##0.0">
                  <c:v>13.200000000000003</c:v>
                </c:pt>
                <c:pt idx="23" formatCode="#,##0.0">
                  <c:v>11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Arkusz2!$B$16</c:f>
              <c:strCache>
                <c:ptCount val="1"/>
                <c:pt idx="0">
                  <c:v>Środki transportu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</c:lvl>
              </c:multiLvlStrCache>
            </c:multiLvlStrRef>
          </c:cat>
          <c:val>
            <c:numRef>
              <c:f>Arkusz2!$C$16:$Z$16</c:f>
              <c:numCache>
                <c:formatCode>General</c:formatCode>
                <c:ptCount val="24"/>
                <c:pt idx="0">
                  <c:v>-3.4000000000000057</c:v>
                </c:pt>
                <c:pt idx="1">
                  <c:v>24.299999999999997</c:v>
                </c:pt>
                <c:pt idx="2">
                  <c:v>20.599999999999994</c:v>
                </c:pt>
                <c:pt idx="3">
                  <c:v>29.400000000000006</c:v>
                </c:pt>
                <c:pt idx="4">
                  <c:v>27.400000000000006</c:v>
                </c:pt>
                <c:pt idx="5">
                  <c:v>16.400000000000006</c:v>
                </c:pt>
                <c:pt idx="6">
                  <c:v>30.900000000000006</c:v>
                </c:pt>
                <c:pt idx="7">
                  <c:v>22.400000000000006</c:v>
                </c:pt>
                <c:pt idx="8">
                  <c:v>20.299999999999997</c:v>
                </c:pt>
                <c:pt idx="9">
                  <c:v>4.4000000000000057</c:v>
                </c:pt>
                <c:pt idx="10">
                  <c:v>-9.2999999999999972</c:v>
                </c:pt>
                <c:pt idx="11">
                  <c:v>-12.200000000000003</c:v>
                </c:pt>
                <c:pt idx="12">
                  <c:v>-18.700000000000003</c:v>
                </c:pt>
                <c:pt idx="13">
                  <c:v>3</c:v>
                </c:pt>
                <c:pt idx="14">
                  <c:v>7.7999999999999972</c:v>
                </c:pt>
                <c:pt idx="15">
                  <c:v>7.7999999999999972</c:v>
                </c:pt>
                <c:pt idx="16">
                  <c:v>46.599999999999994</c:v>
                </c:pt>
                <c:pt idx="17">
                  <c:v>22.5</c:v>
                </c:pt>
                <c:pt idx="18">
                  <c:v>19.099999999999994</c:v>
                </c:pt>
                <c:pt idx="19" formatCode="#,##0.0">
                  <c:v>24</c:v>
                </c:pt>
                <c:pt idx="20" formatCode="#,##0.0">
                  <c:v>-5.4000000000000057</c:v>
                </c:pt>
                <c:pt idx="21" formatCode="#,##0.0">
                  <c:v>9.9999999999994316E-2</c:v>
                </c:pt>
                <c:pt idx="22" formatCode="#,##0.0">
                  <c:v>3</c:v>
                </c:pt>
                <c:pt idx="23" formatCode="#,##0.0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559440"/>
        <c:axId val="283560000"/>
      </c:lineChart>
      <c:catAx>
        <c:axId val="28355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283560000"/>
        <c:crosses val="autoZero"/>
        <c:auto val="1"/>
        <c:lblAlgn val="ctr"/>
        <c:lblOffset val="100"/>
        <c:noMultiLvlLbl val="0"/>
      </c:catAx>
      <c:valAx>
        <c:axId val="283560000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w %</a:t>
                </a:r>
              </a:p>
            </c:rich>
          </c:tx>
          <c:layout>
            <c:manualLayout>
              <c:xMode val="edge"/>
              <c:yMode val="edge"/>
              <c:x val="2.2887964276533147E-2"/>
              <c:y val="7.1518403949506329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283559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0169810242885299"/>
          <c:y val="0.91867917551972678"/>
          <c:w val="0.7954244383297312"/>
          <c:h val="5.7541505228513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0.02152</cdr:x>
      <cdr:y>0.05769</cdr:y>
    </cdr:from>
    <cdr:to>
      <cdr:x>0.07342</cdr:x>
      <cdr:y>0.13942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9540" y="182880"/>
          <a:ext cx="31242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0.01451</cdr:x>
      <cdr:y>0.03125</cdr:y>
    </cdr:from>
    <cdr:to>
      <cdr:x>0.11451</cdr:x>
      <cdr:y>0.11057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1440" y="99067"/>
          <a:ext cx="630000" cy="2514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w mln zł</a:t>
          </a:r>
        </a:p>
      </cdr:txBody>
    </cdr:sp>
  </cdr:relSizeAnchor>
  <cdr:relSizeAnchor xmlns:cdr="http://schemas.openxmlformats.org/drawingml/2006/chartDrawing">
    <cdr:from>
      <cdr:x>0.93375</cdr:x>
      <cdr:y>0.04086</cdr:y>
    </cdr:from>
    <cdr:to>
      <cdr:x>0.99907</cdr:x>
      <cdr:y>0.11058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5882641" y="129530"/>
          <a:ext cx="411479" cy="220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0.02592</cdr:y>
    </cdr:from>
    <cdr:to>
      <cdr:x>0.06531</cdr:x>
      <cdr:y>0.08764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87896"/>
          <a:ext cx="411453" cy="20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  <cdr:relSizeAnchor xmlns:cdr="http://schemas.openxmlformats.org/drawingml/2006/chartDrawing">
    <cdr:from>
      <cdr:x>0.05443</cdr:x>
      <cdr:y>0.01349</cdr:y>
    </cdr:from>
    <cdr:to>
      <cdr:x>0.98455</cdr:x>
      <cdr:y>0.11461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42900" y="56537"/>
          <a:ext cx="5859603" cy="423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Wskaźnik rentowności obrotu</a:t>
          </a:r>
          <a:r>
            <a:rPr lang="pl-PL" sz="12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netto w latach 2010-2015</a:t>
          </a:r>
          <a:endParaRPr lang="pl-PL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0.30283</cdr:x>
      <cdr:y>0.19533</cdr:y>
    </cdr:from>
    <cdr:to>
      <cdr:x>0.3573</cdr:x>
      <cdr:y>0.23178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53565" y="653416"/>
          <a:ext cx="3333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0.15033</cdr:x>
      <cdr:y>0.32574</cdr:y>
    </cdr:from>
    <cdr:to>
      <cdr:x>0.1939</cdr:x>
      <cdr:y>0.3713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20115" y="1089660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0.15867</cdr:x>
      <cdr:y>0.29282</cdr:y>
    </cdr:from>
    <cdr:to>
      <cdr:x>0.18972</cdr:x>
      <cdr:y>0.3208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605915" y="1794511"/>
          <a:ext cx="31432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0.20949</cdr:x>
      <cdr:y>0.18713</cdr:y>
    </cdr:from>
    <cdr:to>
      <cdr:x>0.24995</cdr:x>
      <cdr:y>0.21666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120265" y="1146811"/>
          <a:ext cx="4095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0.5827</cdr:x>
      <cdr:y>0.873</cdr:y>
    </cdr:from>
    <cdr:to>
      <cdr:x>0.94686</cdr:x>
      <cdr:y>0.94747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3671010" y="3407437"/>
          <a:ext cx="2294178" cy="290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pl-PL" sz="900" u="sng" baseline="22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+</a:t>
          </a:r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) Zmiany do 2014 r. w p. proc.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Pasiak Karol</dc:creator>
  <cp:keywords/>
  <dc:description/>
  <cp:lastModifiedBy>Pasiak Karol</cp:lastModifiedBy>
  <cp:revision>65</cp:revision>
  <dcterms:created xsi:type="dcterms:W3CDTF">2016-03-21T07:54:00Z</dcterms:created>
  <dcterms:modified xsi:type="dcterms:W3CDTF">2016-03-21T10:09:00Z</dcterms:modified>
</cp:coreProperties>
</file>