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4609FF" w:rsidRPr="00845F1D" w:rsidRDefault="00A9117E" w:rsidP="000931FA">
      <w:pPr>
        <w:pStyle w:val="Nagwek10"/>
        <w:tabs>
          <w:tab w:val="left" w:pos="4820"/>
          <w:tab w:val="left" w:pos="8080"/>
        </w:tabs>
        <w:spacing w:before="0" w:after="720"/>
        <w:ind w:right="2381"/>
        <w:rPr>
          <w:spacing w:val="-4"/>
          <w:shd w:val="clear" w:color="auto" w:fill="FFFFFF"/>
        </w:rPr>
      </w:pPr>
      <w:r w:rsidRPr="0029182F">
        <w:rPr>
          <w:noProof/>
          <w:spacing w:val="-4"/>
          <w:lang w:eastAsia="pl-PL"/>
        </w:rPr>
        <mc:AlternateContent>
          <mc:Choice Requires="wps">
            <w:drawing>
              <wp:anchor distT="0" distB="0" distL="114300" distR="114300" simplePos="0" relativeHeight="252441088" behindDoc="1" locked="0" layoutInCell="1" allowOverlap="1" wp14:anchorId="366E6B9D" wp14:editId="4523249A">
                <wp:simplePos x="0" y="0"/>
                <wp:positionH relativeFrom="margin">
                  <wp:posOffset>-103517</wp:posOffset>
                </wp:positionH>
                <wp:positionV relativeFrom="paragraph">
                  <wp:posOffset>900717</wp:posOffset>
                </wp:positionV>
                <wp:extent cx="6798623" cy="7254815"/>
                <wp:effectExtent l="0" t="0" r="2540" b="3810"/>
                <wp:wrapNone/>
                <wp:docPr id="1" name="Prostokąt 1" descr="Podstawowe informacje dotyczące wielkości, kierunków zmian i tendencji obserwowanych w styczniu br. w różnych obszarach kształtujących sytuację społeczno-&#10;-gospodarczą województwa wielkopolskiego"/>
                <wp:cNvGraphicFramePr/>
                <a:graphic xmlns:a="http://schemas.openxmlformats.org/drawingml/2006/main">
                  <a:graphicData uri="http://schemas.microsoft.com/office/word/2010/wordprocessingShape">
                    <wps:wsp>
                      <wps:cNvSpPr/>
                      <wps:spPr>
                        <a:xfrm>
                          <a:off x="0" y="0"/>
                          <a:ext cx="6798623" cy="725481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84427" w:rsidRDefault="00484427" w:rsidP="00CB047A"/>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6E6B9D" id="Prostokąt 1" o:spid="_x0000_s1026" alt="Podstawowe informacje dotyczące wielkości, kierunków zmian i tendencji obserwowanych w styczniu br. w różnych obszarach kształtujących sytuację społeczno-&#10;-gospodarczą województwa wielkopolskiego" style="position:absolute;margin-left:-8.15pt;margin-top:70.9pt;width:535.3pt;height:571.25pt;z-index:-250875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" fillcolor="#f2f2f2 [3052]" stroked="f" strokeweight="1pt">
                <v:textbox>
                  <w:txbxContent>
                    <w:p w:rsidR="00484427" w:rsidRDefault="00484427" w:rsidP="00CB047A"/>
                  </w:txbxContent>
                </v:textbox>
                <w10:wrap anchorx="margin"/>
              </v:rect>
            </w:pict>
          </mc:Fallback>
        </mc:AlternateContent>
      </w:r>
      <w:r w:rsidR="004609FF" w:rsidRPr="00845F1D">
        <w:rPr>
          <w:spacing w:val="-4"/>
          <w:shd w:val="clear" w:color="auto" w:fill="FFFFFF"/>
        </w:rPr>
        <w:t>Komunikat o sytuacji społeczno-gospodarczej</w:t>
      </w:r>
      <w:r w:rsidR="004609FF" w:rsidRPr="00845F1D">
        <w:rPr>
          <w:spacing w:val="-4"/>
          <w:shd w:val="clear" w:color="auto" w:fill="FFFFFF"/>
        </w:rPr>
        <w:br/>
        <w:t xml:space="preserve">województwa wielkopolskiego </w:t>
      </w:r>
      <w:r w:rsidR="00565236">
        <w:rPr>
          <w:spacing w:val="-4"/>
          <w:shd w:val="clear" w:color="auto" w:fill="FFFFFF"/>
        </w:rPr>
        <w:t xml:space="preserve">w </w:t>
      </w:r>
      <w:r w:rsidR="002516AE">
        <w:rPr>
          <w:spacing w:val="-4"/>
          <w:shd w:val="clear" w:color="auto" w:fill="FFFFFF"/>
        </w:rPr>
        <w:t>lutym</w:t>
      </w:r>
      <w:r w:rsidR="00AF43F9">
        <w:rPr>
          <w:spacing w:val="-4"/>
          <w:shd w:val="clear" w:color="auto" w:fill="FFFFFF"/>
        </w:rPr>
        <w:t xml:space="preserve"> </w:t>
      </w:r>
      <w:r w:rsidR="00071ED9">
        <w:rPr>
          <w:spacing w:val="-4"/>
          <w:shd w:val="clear" w:color="auto" w:fill="FFFFFF"/>
        </w:rPr>
        <w:t>202</w:t>
      </w:r>
      <w:r w:rsidR="00B9519A">
        <w:rPr>
          <w:spacing w:val="-4"/>
          <w:shd w:val="clear" w:color="auto" w:fill="FFFFFF"/>
        </w:rPr>
        <w:t>5</w:t>
      </w:r>
      <w:r w:rsidR="00071ED9">
        <w:rPr>
          <w:spacing w:val="-4"/>
          <w:shd w:val="clear" w:color="auto" w:fill="FFFFFF"/>
        </w:rPr>
        <w:t xml:space="preserve"> r.</w:t>
      </w:r>
    </w:p>
    <w:p w:rsidR="00A956C5" w:rsidRDefault="00A956C5" w:rsidP="002A3082">
      <w:pPr>
        <w:pStyle w:val="krop1"/>
        <w:spacing w:after="80"/>
      </w:pPr>
      <w:r w:rsidRPr="007B5B8D">
        <w:t xml:space="preserve">Na rynku pracy odnotowano </w:t>
      </w:r>
      <w:r>
        <w:t>wzrost</w:t>
      </w:r>
      <w:r w:rsidRPr="007B5B8D">
        <w:t xml:space="preserve"> przeciętnego zatrudnienia w sektorze przedsiębiorstw w stosunku do analogicznego okresu poprzedniego roku</w:t>
      </w:r>
      <w:r>
        <w:t xml:space="preserve"> o 0,8%</w:t>
      </w:r>
      <w:r w:rsidRPr="00733BDF">
        <w:t xml:space="preserve"> (</w:t>
      </w:r>
      <w:r>
        <w:t xml:space="preserve">podobnie jak </w:t>
      </w:r>
      <w:r w:rsidRPr="00733BDF">
        <w:t xml:space="preserve">w </w:t>
      </w:r>
      <w:r>
        <w:t>styczniu br.</w:t>
      </w:r>
      <w:r w:rsidRPr="00733BDF">
        <w:t>).</w:t>
      </w:r>
    </w:p>
    <w:p w:rsidR="00A956C5" w:rsidRPr="007B5B8D" w:rsidRDefault="00A956C5" w:rsidP="002A3082">
      <w:pPr>
        <w:pStyle w:val="krop1"/>
        <w:spacing w:after="80"/>
      </w:pPr>
      <w:r w:rsidRPr="00C44168">
        <w:t xml:space="preserve">Stopa bezrobocia </w:t>
      </w:r>
      <w:r w:rsidRPr="007B5B8D">
        <w:t xml:space="preserve">rejestrowanego wyniosła </w:t>
      </w:r>
      <w:r>
        <w:t>3,3</w:t>
      </w:r>
      <w:r w:rsidRPr="007B5B8D">
        <w:t xml:space="preserve">%, </w:t>
      </w:r>
      <w:r>
        <w:t xml:space="preserve">tj. podobnie jak niż </w:t>
      </w:r>
      <w:r w:rsidRPr="00BB1AB6">
        <w:t>przed miesiącem</w:t>
      </w:r>
      <w:r>
        <w:t xml:space="preserve"> i przed rokiem.</w:t>
      </w:r>
      <w:r w:rsidRPr="007B5B8D">
        <w:t xml:space="preserve"> Wielkopolskie wciąż wyróżnia się najniższą stopą bezrobocia, kształtującą się </w:t>
      </w:r>
      <w:r>
        <w:t xml:space="preserve">o </w:t>
      </w:r>
      <w:r w:rsidRPr="007B5B8D">
        <w:t>2,</w:t>
      </w:r>
      <w:r>
        <w:t xml:space="preserve">1 </w:t>
      </w:r>
      <w:r w:rsidRPr="007B5B8D">
        <w:t>p.proc. poniżej przeciętn</w:t>
      </w:r>
      <w:r>
        <w:t>ego poziomu w </w:t>
      </w:r>
      <w:r w:rsidRPr="007B5B8D">
        <w:t>kraju.</w:t>
      </w:r>
    </w:p>
    <w:p w:rsidR="00A956C5" w:rsidRDefault="00A956C5" w:rsidP="002A3082">
      <w:pPr>
        <w:pStyle w:val="krop1"/>
        <w:spacing w:after="80"/>
      </w:pPr>
      <w:r w:rsidRPr="007B5B8D">
        <w:t xml:space="preserve">Przeciętne miesięczne wynagrodzenie brutto w sektorze przedsiębiorstw utrzymało tendencję wzrostową w skali roku, </w:t>
      </w:r>
      <w:r>
        <w:t>a</w:t>
      </w:r>
      <w:r w:rsidRPr="007B5B8D">
        <w:t xml:space="preserve"> wzrost notowany </w:t>
      </w:r>
      <w:r>
        <w:t>w lutym</w:t>
      </w:r>
      <w:r w:rsidRPr="007B5B8D">
        <w:t xml:space="preserve"> </w:t>
      </w:r>
      <w:r>
        <w:t xml:space="preserve">br. </w:t>
      </w:r>
      <w:r w:rsidRPr="007B5B8D">
        <w:t xml:space="preserve">był </w:t>
      </w:r>
      <w:r>
        <w:t>większy</w:t>
      </w:r>
      <w:r w:rsidRPr="007B5B8D">
        <w:t xml:space="preserve"> niż przed miesiącem i wyniósł </w:t>
      </w:r>
      <w:r>
        <w:t>9,2</w:t>
      </w:r>
      <w:r w:rsidRPr="007B5B8D">
        <w:t xml:space="preserve">% (wobec </w:t>
      </w:r>
      <w:r w:rsidRPr="006A2203">
        <w:t>8,4</w:t>
      </w:r>
      <w:r w:rsidRPr="007B5B8D">
        <w:t xml:space="preserve">% </w:t>
      </w:r>
      <w:r>
        <w:t xml:space="preserve">w styczniu </w:t>
      </w:r>
      <w:r w:rsidR="00377746">
        <w:t>br.</w:t>
      </w:r>
      <w:r w:rsidRPr="007B5B8D">
        <w:t xml:space="preserve">). </w:t>
      </w:r>
    </w:p>
    <w:p w:rsidR="00A956C5" w:rsidRPr="00D421EE" w:rsidRDefault="00A956C5" w:rsidP="002A3082">
      <w:pPr>
        <w:pStyle w:val="krop1"/>
        <w:spacing w:after="80"/>
      </w:pPr>
      <w:r w:rsidRPr="00986073">
        <w:t xml:space="preserve">W 4 kwartale </w:t>
      </w:r>
      <w:r w:rsidR="002A3082">
        <w:t xml:space="preserve">2024 r. </w:t>
      </w:r>
      <w:r w:rsidRPr="00986073">
        <w:t xml:space="preserve">wzrost cen towarów i usług konsumpcyjnych w skali roku wyniósł 5,3% i był najwyższy w całym 2024 r. W porównaniu z </w:t>
      </w:r>
      <w:r w:rsidR="002A3082">
        <w:t xml:space="preserve">3 </w:t>
      </w:r>
      <w:r w:rsidR="00EC1DB9">
        <w:t xml:space="preserve">kwartałem </w:t>
      </w:r>
      <w:r w:rsidR="00377746">
        <w:t xml:space="preserve">2024 r. </w:t>
      </w:r>
      <w:r w:rsidRPr="00986073">
        <w:t xml:space="preserve">najbardziej przyśpieszyło tempo wzrostu cen </w:t>
      </w:r>
      <w:r w:rsidR="002A3082">
        <w:t xml:space="preserve">związanych ze zdrowiem, </w:t>
      </w:r>
      <w:r w:rsidR="002A3082" w:rsidRPr="002A3082">
        <w:t>a</w:t>
      </w:r>
      <w:r w:rsidR="002A3082">
        <w:t> </w:t>
      </w:r>
      <w:r w:rsidRPr="002A3082">
        <w:t>także</w:t>
      </w:r>
      <w:r w:rsidRPr="00D421EE">
        <w:t xml:space="preserve"> edukacją.</w:t>
      </w:r>
    </w:p>
    <w:p w:rsidR="00A956C5" w:rsidRPr="00D421EE" w:rsidRDefault="00986073" w:rsidP="002A3082">
      <w:pPr>
        <w:pStyle w:val="krop1"/>
        <w:spacing w:after="80"/>
      </w:pPr>
      <w:r w:rsidRPr="00D421EE">
        <w:t>W porównaniu z poprzednim miesiącem w skupie odnotowano wzrost cen produktów rolnych pochodzenia roślinnego (oprócz pszenicy) oraz zwierzęcego (z wyjątkiem mleka). Wśród produktów notowanych na wolnym rynku wzrosła cena jedynie ziaren jęczmienia. W skali roku wzrost cen objął większość produktów objętych obserwacją, oprócz ziemniaków i żywca wieprzowego w skupie. Na targowiskach obserwowano spadek cen, z wyjątkiem żyta i jęczmienia.</w:t>
      </w:r>
    </w:p>
    <w:p w:rsidR="00A956C5" w:rsidRDefault="00986073" w:rsidP="002A3082">
      <w:pPr>
        <w:pStyle w:val="krop1"/>
        <w:spacing w:after="80"/>
      </w:pPr>
      <w:r w:rsidRPr="00413FED">
        <w:t xml:space="preserve">W stosunku do poprzedniego miesiąca w skupie odnotowano wzrost podaży ziarna zbóż, a spadek produktów pochodzenia zwierzęcego. Mniejsze niż w lutym ub. roku były dostawy wszystkich badanych </w:t>
      </w:r>
      <w:r>
        <w:t xml:space="preserve">podstawowych </w:t>
      </w:r>
      <w:r w:rsidRPr="00413FED">
        <w:t>produktów</w:t>
      </w:r>
      <w:r>
        <w:t xml:space="preserve"> rolnych</w:t>
      </w:r>
      <w:r w:rsidRPr="00413FED">
        <w:t>.</w:t>
      </w:r>
    </w:p>
    <w:p w:rsidR="00A956C5" w:rsidRPr="007B5B8D" w:rsidRDefault="00A956C5" w:rsidP="002A3082">
      <w:pPr>
        <w:pStyle w:val="krop1"/>
        <w:spacing w:after="80"/>
      </w:pPr>
      <w:r>
        <w:t>W</w:t>
      </w:r>
      <w:r w:rsidRPr="007B5B8D">
        <w:t>artość produkcji sprzedanej przemysłu</w:t>
      </w:r>
      <w:r>
        <w:t>,</w:t>
      </w:r>
      <w:r w:rsidRPr="007B5B8D">
        <w:t xml:space="preserve"> licząc w cenach stałych</w:t>
      </w:r>
      <w:r>
        <w:t>,</w:t>
      </w:r>
      <w:r w:rsidR="00825764">
        <w:t xml:space="preserve"> </w:t>
      </w:r>
      <w:r w:rsidRPr="007B5B8D">
        <w:t xml:space="preserve">w porównaniu </w:t>
      </w:r>
      <w:r>
        <w:t xml:space="preserve">z </w:t>
      </w:r>
      <w:r w:rsidRPr="007B5B8D">
        <w:t>poprzedni</w:t>
      </w:r>
      <w:r>
        <w:t>m</w:t>
      </w:r>
      <w:r w:rsidRPr="007B5B8D">
        <w:t xml:space="preserve"> miesiąc</w:t>
      </w:r>
      <w:r>
        <w:t>em</w:t>
      </w:r>
      <w:r w:rsidR="00AA48DA" w:rsidRPr="00AA48DA">
        <w:t xml:space="preserve"> </w:t>
      </w:r>
      <w:r w:rsidR="00AA48DA">
        <w:t>wzrosła</w:t>
      </w:r>
      <w:r>
        <w:t xml:space="preserve"> o </w:t>
      </w:r>
      <w:r w:rsidR="00825764">
        <w:t>0,6</w:t>
      </w:r>
      <w:r>
        <w:t>%,</w:t>
      </w:r>
      <w:r w:rsidRPr="00F750C1">
        <w:t xml:space="preserve"> </w:t>
      </w:r>
      <w:r>
        <w:t>a</w:t>
      </w:r>
      <w:r w:rsidR="00825764">
        <w:t>le</w:t>
      </w:r>
      <w:r>
        <w:t xml:space="preserve"> </w:t>
      </w:r>
      <w:r w:rsidRPr="007B5B8D">
        <w:t xml:space="preserve">w skali roku </w:t>
      </w:r>
      <w:r w:rsidR="00825764">
        <w:t>obniżyła się</w:t>
      </w:r>
      <w:r w:rsidR="00825764" w:rsidRPr="007B5B8D">
        <w:t xml:space="preserve"> </w:t>
      </w:r>
      <w:r w:rsidRPr="007B5B8D">
        <w:t xml:space="preserve">o </w:t>
      </w:r>
      <w:r>
        <w:t>0,1</w:t>
      </w:r>
      <w:r w:rsidRPr="007B5B8D">
        <w:t>% (</w:t>
      </w:r>
      <w:r>
        <w:t xml:space="preserve">w styczniu </w:t>
      </w:r>
      <w:r w:rsidR="00825764">
        <w:t>br.</w:t>
      </w:r>
      <w:r w:rsidRPr="007B5B8D">
        <w:t xml:space="preserve"> </w:t>
      </w:r>
      <w:r>
        <w:t xml:space="preserve">odnotowano wzrost </w:t>
      </w:r>
      <w:r w:rsidRPr="007B5B8D">
        <w:t>wartości sprzedaży</w:t>
      </w:r>
      <w:r>
        <w:t xml:space="preserve">, który wyniósł </w:t>
      </w:r>
      <w:r w:rsidR="00825764">
        <w:t>7,3</w:t>
      </w:r>
      <w:r w:rsidRPr="007B5B8D">
        <w:t>%</w:t>
      </w:r>
      <w:r w:rsidR="00825764">
        <w:t xml:space="preserve"> w </w:t>
      </w:r>
      <w:r>
        <w:t>ujęciu miesięcznym</w:t>
      </w:r>
      <w:r w:rsidRPr="007B5B8D">
        <w:t xml:space="preserve"> </w:t>
      </w:r>
      <w:r>
        <w:t>i 0,</w:t>
      </w:r>
      <w:r w:rsidR="00825764">
        <w:t>2</w:t>
      </w:r>
      <w:r>
        <w:t xml:space="preserve">% </w:t>
      </w:r>
      <w:r w:rsidRPr="007B5B8D">
        <w:t>w stosunku rocznym).</w:t>
      </w:r>
      <w:r w:rsidR="00825764">
        <w:t xml:space="preserve"> </w:t>
      </w:r>
    </w:p>
    <w:p w:rsidR="00A956C5" w:rsidRDefault="00A956C5" w:rsidP="002A3082">
      <w:pPr>
        <w:pStyle w:val="krop1"/>
        <w:spacing w:after="80"/>
      </w:pPr>
      <w:r w:rsidRPr="007B5B8D">
        <w:t>Wartość produkcji budowlano-montażowej z</w:t>
      </w:r>
      <w:r>
        <w:t>mniej</w:t>
      </w:r>
      <w:r w:rsidRPr="007B5B8D">
        <w:t xml:space="preserve">szyła się o </w:t>
      </w:r>
      <w:r>
        <w:t>14,5</w:t>
      </w:r>
      <w:r w:rsidRPr="007B5B8D">
        <w:t xml:space="preserve">% w porównaniu </w:t>
      </w:r>
      <w:r>
        <w:t>ze styczniem br., ale wzrosła</w:t>
      </w:r>
      <w:r w:rsidR="00323F5E">
        <w:t xml:space="preserve"> o </w:t>
      </w:r>
      <w:r>
        <w:t>8,5</w:t>
      </w:r>
      <w:r w:rsidRPr="007B5B8D">
        <w:t>% w</w:t>
      </w:r>
      <w:r>
        <w:t> </w:t>
      </w:r>
      <w:r w:rsidRPr="007B5B8D">
        <w:t xml:space="preserve">odniesieniu do </w:t>
      </w:r>
      <w:r>
        <w:t>lutego</w:t>
      </w:r>
      <w:r w:rsidRPr="007B5B8D">
        <w:t xml:space="preserve"> </w:t>
      </w:r>
      <w:r>
        <w:t>ub. roku</w:t>
      </w:r>
      <w:r w:rsidRPr="007B5B8D">
        <w:t xml:space="preserve"> (</w:t>
      </w:r>
      <w:r>
        <w:t>w styczniu br.</w:t>
      </w:r>
      <w:r w:rsidRPr="007B5B8D">
        <w:t xml:space="preserve"> </w:t>
      </w:r>
      <w:r>
        <w:t>obserwowano</w:t>
      </w:r>
      <w:r w:rsidRPr="00963B49">
        <w:t xml:space="preserve"> </w:t>
      </w:r>
      <w:r>
        <w:t>spadek</w:t>
      </w:r>
      <w:r w:rsidRPr="007B5B8D">
        <w:t xml:space="preserve"> wartości produkcji budowlano-</w:t>
      </w:r>
      <w:r w:rsidR="002A3082">
        <w:br/>
        <w:t>-</w:t>
      </w:r>
      <w:r w:rsidRPr="007B5B8D">
        <w:t>montażowej</w:t>
      </w:r>
      <w:r>
        <w:t xml:space="preserve"> o </w:t>
      </w:r>
      <w:r w:rsidRPr="00963B49">
        <w:t>57,2</w:t>
      </w:r>
      <w:r>
        <w:t xml:space="preserve">% </w:t>
      </w:r>
      <w:r w:rsidRPr="007B5B8D">
        <w:t>w</w:t>
      </w:r>
      <w:r>
        <w:t xml:space="preserve"> skali</w:t>
      </w:r>
      <w:r w:rsidRPr="007B5B8D">
        <w:t xml:space="preserve"> miesi</w:t>
      </w:r>
      <w:r>
        <w:t xml:space="preserve">ąca, a </w:t>
      </w:r>
      <w:r w:rsidRPr="007B5B8D">
        <w:t>wzrost</w:t>
      </w:r>
      <w:r>
        <w:t xml:space="preserve"> o </w:t>
      </w:r>
      <w:r w:rsidRPr="00963B49">
        <w:t xml:space="preserve">28,8% </w:t>
      </w:r>
      <w:r w:rsidRPr="007B5B8D">
        <w:t xml:space="preserve">w </w:t>
      </w:r>
      <w:r>
        <w:t>ujęciu</w:t>
      </w:r>
      <w:r w:rsidRPr="007B5B8D">
        <w:t xml:space="preserve"> ro</w:t>
      </w:r>
      <w:r>
        <w:t>cznym</w:t>
      </w:r>
      <w:r w:rsidR="00AD3BDF">
        <w:t>)</w:t>
      </w:r>
      <w:r>
        <w:t xml:space="preserve">. </w:t>
      </w:r>
    </w:p>
    <w:p w:rsidR="00A956C5" w:rsidRDefault="00A956C5" w:rsidP="002A3082">
      <w:pPr>
        <w:pStyle w:val="krop1"/>
        <w:spacing w:after="80"/>
      </w:pPr>
      <w:r>
        <w:t>W lutym</w:t>
      </w:r>
      <w:r w:rsidRPr="007B5B8D">
        <w:t xml:space="preserve"> </w:t>
      </w:r>
      <w:r>
        <w:t>br.</w:t>
      </w:r>
      <w:r w:rsidRPr="007B5B8D">
        <w:t xml:space="preserve"> </w:t>
      </w:r>
      <w:r>
        <w:t>d</w:t>
      </w:r>
      <w:r w:rsidRPr="007B5B8D">
        <w:t xml:space="preserve">o użytkowania oddano o </w:t>
      </w:r>
      <w:r w:rsidRPr="00ED61F5">
        <w:t>24,7</w:t>
      </w:r>
      <w:r w:rsidRPr="007B5B8D">
        <w:t xml:space="preserve">% </w:t>
      </w:r>
      <w:r>
        <w:t>więcej</w:t>
      </w:r>
      <w:r w:rsidRPr="007B5B8D">
        <w:t xml:space="preserve"> mieszkań niż </w:t>
      </w:r>
      <w:r>
        <w:t>rok wcześniej.</w:t>
      </w:r>
      <w:r w:rsidRPr="007B5B8D">
        <w:t xml:space="preserve"> </w:t>
      </w:r>
      <w:r>
        <w:t>Mniejsza była natomiast liczba</w:t>
      </w:r>
      <w:r w:rsidRPr="007B5B8D">
        <w:t xml:space="preserve"> mieszkań, na których budowę wy</w:t>
      </w:r>
      <w:r>
        <w:t>dano pozwolenia</w:t>
      </w:r>
      <w:r w:rsidRPr="007B5B8D">
        <w:t xml:space="preserve"> lub dokonano zgłosze</w:t>
      </w:r>
      <w:r>
        <w:t xml:space="preserve">nia </w:t>
      </w:r>
      <w:r w:rsidRPr="007B5B8D">
        <w:t xml:space="preserve">z projektem budowlanym </w:t>
      </w:r>
      <w:r>
        <w:t>oraz liczba nowo rozpoczętych inwes</w:t>
      </w:r>
      <w:r w:rsidRPr="007B5B8D">
        <w:t>tycji mieszkaniowych (</w:t>
      </w:r>
      <w:r>
        <w:t xml:space="preserve">odpowiednio </w:t>
      </w:r>
      <w:r w:rsidRPr="007B5B8D">
        <w:t xml:space="preserve">o </w:t>
      </w:r>
      <w:r>
        <w:t xml:space="preserve">18,9% i </w:t>
      </w:r>
      <w:r w:rsidR="002A3082">
        <w:t xml:space="preserve">o </w:t>
      </w:r>
      <w:r>
        <w:t xml:space="preserve">21,1%). </w:t>
      </w:r>
    </w:p>
    <w:p w:rsidR="00A956C5" w:rsidRPr="007B5B8D" w:rsidRDefault="00532B85" w:rsidP="002A3082">
      <w:pPr>
        <w:pStyle w:val="krop1"/>
        <w:spacing w:after="80"/>
      </w:pPr>
      <w:r w:rsidRPr="00532B85">
        <w:t xml:space="preserve">W lutym br. sprzedaż detaliczna była o </w:t>
      </w:r>
      <w:r w:rsidR="00F938ED">
        <w:t>2,4</w:t>
      </w:r>
      <w:r w:rsidRPr="00532B85">
        <w:t xml:space="preserve">% niższa niż przed rokiem (wobec wzrostu o </w:t>
      </w:r>
      <w:r w:rsidR="00F938ED">
        <w:t>7,3</w:t>
      </w:r>
      <w:r w:rsidRPr="00532B85">
        <w:t>% w poprzednim miesiącu)</w:t>
      </w:r>
      <w:r w:rsidR="00F938ED" w:rsidRPr="007B5B8D">
        <w:t>.</w:t>
      </w:r>
    </w:p>
    <w:p w:rsidR="00A956C5" w:rsidRPr="00986073" w:rsidRDefault="00A956C5" w:rsidP="002A3082">
      <w:pPr>
        <w:pStyle w:val="krop1"/>
        <w:spacing w:after="80"/>
      </w:pPr>
      <w:r w:rsidRPr="00986073">
        <w:t>Wartość sprzedaży hurtowej jednostek handlowych ogółem w lutym br. zwiększyła się o 15,7% w ujęciu rocznym. W grupie przedsiębiorstw handlu hurtowego wzrost ten wyniósł 25,5%. Przed miesiącem przedsiębiorstwa te w skali roku wykazały większy wzrost, odpowiednio o 23,2% i o 27,5%.</w:t>
      </w:r>
    </w:p>
    <w:p w:rsidR="00A956C5" w:rsidRPr="00986073" w:rsidRDefault="00A956C5" w:rsidP="002A3082">
      <w:pPr>
        <w:pStyle w:val="krop1"/>
        <w:spacing w:after="80"/>
      </w:pPr>
      <w:r w:rsidRPr="00986073">
        <w:t>W 202</w:t>
      </w:r>
      <w:r w:rsidR="007A1622">
        <w:t>4</w:t>
      </w:r>
      <w:r w:rsidRPr="00986073">
        <w:t xml:space="preserve"> r. przedsiębiorstwa niefinansowe uzyskały </w:t>
      </w:r>
      <w:r w:rsidR="007A1622">
        <w:t>gorsze</w:t>
      </w:r>
      <w:r w:rsidRPr="00986073">
        <w:t xml:space="preserve"> wyniki finansowe niż rok wcześniej. </w:t>
      </w:r>
      <w:r w:rsidR="007A1622">
        <w:t>Mniej k</w:t>
      </w:r>
      <w:r w:rsidRPr="00986073">
        <w:t xml:space="preserve">orzystnie kształtowały się też podstawowe wskaźniki ekonomiczno-finansowe. </w:t>
      </w:r>
    </w:p>
    <w:p w:rsidR="00A956C5" w:rsidRPr="00986073" w:rsidRDefault="00A956C5" w:rsidP="002A3082">
      <w:pPr>
        <w:pStyle w:val="krop1"/>
        <w:spacing w:after="80"/>
      </w:pPr>
      <w:r w:rsidRPr="00986073">
        <w:t>Przedsiębiorstwa mające siedzibę na terenie województwa wielkopolskiego w 202</w:t>
      </w:r>
      <w:r w:rsidR="007A1622">
        <w:t>4</w:t>
      </w:r>
      <w:r w:rsidRPr="00986073">
        <w:t xml:space="preserve"> r. poniosły nakłady inwestycyjne w kwocie </w:t>
      </w:r>
      <w:r w:rsidR="007A1622">
        <w:t>mniejszej od</w:t>
      </w:r>
      <w:r w:rsidRPr="00986073">
        <w:t xml:space="preserve"> zainwestowan</w:t>
      </w:r>
      <w:r w:rsidR="007A1622">
        <w:t>ej rok wcześniej</w:t>
      </w:r>
      <w:r w:rsidRPr="00986073">
        <w:t xml:space="preserve">. Rozpoczęto więcej nowych zadań inwestycyjnych niż w 2023 r., ale o mniejszej łącznej wartości kosztorysowej. </w:t>
      </w:r>
    </w:p>
    <w:p w:rsidR="00A956C5" w:rsidRDefault="00A956C5" w:rsidP="002A3082">
      <w:pPr>
        <w:pStyle w:val="krop1"/>
        <w:spacing w:after="80"/>
      </w:pPr>
      <w:r w:rsidRPr="00986073">
        <w:t>W końcu lutego br. w rejestrze REGON dla województwa wielkopolskiego zawieszoną działalność miało 74,4</w:t>
      </w:r>
      <w:r>
        <w:t xml:space="preserve"> </w:t>
      </w:r>
      <w:r w:rsidRPr="007B5B8D">
        <w:t xml:space="preserve">tys. podmiotów, o </w:t>
      </w:r>
      <w:r>
        <w:t>0,5</w:t>
      </w:r>
      <w:r w:rsidRPr="007B5B8D">
        <w:t>% więcej niż w poprzednim miesiącu.</w:t>
      </w:r>
    </w:p>
    <w:p w:rsidR="00A956C5" w:rsidRDefault="00DF719D" w:rsidP="00323F5E">
      <w:pPr>
        <w:pStyle w:val="krop1"/>
        <w:spacing w:before="40" w:after="0"/>
      </w:pPr>
      <w:r w:rsidRPr="00DF719D">
        <w:rPr>
          <w:rFonts w:eastAsia="Calibri"/>
          <w:bCs w:val="0"/>
          <w:spacing w:val="0"/>
          <w:szCs w:val="22"/>
          <w:lang w:eastAsia="en-US"/>
        </w:rPr>
        <w:t>W marcu br. w większości badanych obszarów gospodarki oceny koniunktury formułowane przez przedsiębiorców są korzystne. Najbardziej optymistyczne nastroje gospodarcze panują wśród jednostek zajmujących się handlem detalicznym. Największe pogorszenie opinii zarejestrowano wśród podmiotów zajmujących się zakwaterowaniem i gastronomią.</w:t>
      </w:r>
    </w:p>
    <w:p w:rsidR="00A956C5" w:rsidRPr="007B5B8D" w:rsidRDefault="00A956C5" w:rsidP="00A956C5">
      <w:pPr>
        <w:pStyle w:val="krop1"/>
        <w:numPr>
          <w:ilvl w:val="0"/>
          <w:numId w:val="0"/>
        </w:numPr>
        <w:ind w:left="568"/>
      </w:pPr>
    </w:p>
    <w:p w:rsidR="00082FFD" w:rsidRPr="00082FFD" w:rsidRDefault="00082FFD" w:rsidP="00A956C5">
      <w:pPr>
        <w:pStyle w:val="krop1"/>
        <w:rPr>
          <w:shd w:val="clear" w:color="auto" w:fill="FFFFFF"/>
        </w:rPr>
        <w:sectPr w:rsidR="00082FFD" w:rsidRPr="00082FFD" w:rsidSect="0022458A">
          <w:footerReference w:type="default" r:id="rId12"/>
          <w:headerReference w:type="first" r:id="rId13"/>
          <w:footerReference w:type="first" r:id="rId14"/>
          <w:pgSz w:w="11906" w:h="16838"/>
          <w:pgMar w:top="720" w:right="720" w:bottom="720" w:left="720" w:header="284" w:footer="284" w:gutter="0"/>
          <w:cols w:space="708"/>
          <w:titlePg/>
          <w:docGrid w:linePitch="360"/>
        </w:sectPr>
      </w:pPr>
    </w:p>
    <w:bookmarkStart w:id="1" w:name="_Toc80797445" w:displacedByCustomXml="next"/>
    <w:bookmarkStart w:id="2" w:name="_Toc75352155" w:displacedByCustomXml="next"/>
    <w:bookmarkStart w:id="3" w:name="_Toc83279884" w:displacedByCustomXml="next"/>
    <w:bookmarkStart w:id="4" w:name="_Toc64884824" w:displacedByCustomXml="next"/>
    <w:sdt>
      <w:sdtPr>
        <w:rPr>
          <w:rFonts w:ascii="Fira Sans" w:hAnsi="Fira Sans"/>
          <w:bCs/>
          <w:noProof/>
          <w:color w:val="auto"/>
          <w:sz w:val="19"/>
          <w:szCs w:val="22"/>
          <w:shd w:val="clear" w:color="auto" w:fill="auto"/>
          <w:lang w:eastAsia="en-US"/>
        </w:rPr>
        <w:id w:val="-439070962"/>
        <w:docPartObj>
          <w:docPartGallery w:val="Table of Contents"/>
          <w:docPartUnique/>
        </w:docPartObj>
      </w:sdtPr>
      <w:sdtEndPr>
        <w:rPr>
          <w:b/>
          <w:bCs w:val="0"/>
        </w:rPr>
      </w:sdtEndPr>
      <w:sdtContent>
        <w:p w:rsidR="000153D7" w:rsidRDefault="000153D7" w:rsidP="004278F3">
          <w:pPr>
            <w:pStyle w:val="podt1"/>
          </w:pPr>
          <w:r>
            <w:t>Spis treści</w:t>
          </w:r>
          <w:bookmarkEnd w:id="3"/>
          <w:bookmarkEnd w:id="2"/>
          <w:bookmarkEnd w:id="1"/>
        </w:p>
        <w:p w:rsidR="00B73E56" w:rsidRDefault="000153D7">
          <w:pPr>
            <w:pStyle w:val="Spistreci1"/>
            <w:rPr>
              <w:rFonts w:asciiTheme="minorHAnsi" w:eastAsiaTheme="minorEastAsia" w:hAnsiTheme="minorHAnsi"/>
              <w:sz w:val="22"/>
              <w:lang w:eastAsia="pl-PL"/>
            </w:rPr>
          </w:pPr>
          <w:r>
            <w:rPr>
              <w:b/>
              <w:bCs/>
            </w:rPr>
            <w:fldChar w:fldCharType="begin"/>
          </w:r>
          <w:r>
            <w:rPr>
              <w:b/>
              <w:bCs/>
            </w:rPr>
            <w:instrText xml:space="preserve"> TOC \o "1-3" \h \z \u </w:instrText>
          </w:r>
          <w:r>
            <w:rPr>
              <w:b/>
              <w:bCs/>
            </w:rPr>
            <w:fldChar w:fldCharType="separate"/>
          </w:r>
          <w:hyperlink w:anchor="_Toc193459757" w:history="1">
            <w:r w:rsidR="00B73E56" w:rsidRPr="00CC61D8">
              <w:rPr>
                <w:rStyle w:val="Hipercze"/>
              </w:rPr>
              <w:t>Rynek pracy</w:t>
            </w:r>
            <w:r w:rsidR="00B73E56">
              <w:rPr>
                <w:webHidden/>
              </w:rPr>
              <w:tab/>
            </w:r>
            <w:r w:rsidR="00B73E56">
              <w:rPr>
                <w:webHidden/>
              </w:rPr>
              <w:fldChar w:fldCharType="begin"/>
            </w:r>
            <w:r w:rsidR="00B73E56">
              <w:rPr>
                <w:webHidden/>
              </w:rPr>
              <w:instrText xml:space="preserve"> PAGEREF _Toc193459757 \h </w:instrText>
            </w:r>
            <w:r w:rsidR="00B73E56">
              <w:rPr>
                <w:webHidden/>
              </w:rPr>
            </w:r>
            <w:r w:rsidR="00B73E56">
              <w:rPr>
                <w:webHidden/>
              </w:rPr>
              <w:fldChar w:fldCharType="separate"/>
            </w:r>
            <w:r w:rsidR="003F5924">
              <w:rPr>
                <w:webHidden/>
              </w:rPr>
              <w:t>4</w:t>
            </w:r>
            <w:r w:rsidR="00B73E56">
              <w:rPr>
                <w:webHidden/>
              </w:rPr>
              <w:fldChar w:fldCharType="end"/>
            </w:r>
          </w:hyperlink>
        </w:p>
        <w:p w:rsidR="00B73E56" w:rsidRDefault="003F5924">
          <w:pPr>
            <w:pStyle w:val="Spistreci1"/>
            <w:rPr>
              <w:rFonts w:asciiTheme="minorHAnsi" w:eastAsiaTheme="minorEastAsia" w:hAnsiTheme="minorHAnsi"/>
              <w:sz w:val="22"/>
              <w:lang w:eastAsia="pl-PL"/>
            </w:rPr>
          </w:pPr>
          <w:hyperlink w:anchor="_Toc193459758" w:history="1">
            <w:r w:rsidR="00B73E56" w:rsidRPr="00CC61D8">
              <w:rPr>
                <w:rStyle w:val="Hipercze"/>
              </w:rPr>
              <w:t>Wynagrodzenia</w:t>
            </w:r>
            <w:r w:rsidR="00B73E56">
              <w:rPr>
                <w:webHidden/>
              </w:rPr>
              <w:tab/>
            </w:r>
            <w:r w:rsidR="00B73E56">
              <w:rPr>
                <w:webHidden/>
              </w:rPr>
              <w:fldChar w:fldCharType="begin"/>
            </w:r>
            <w:r w:rsidR="00B73E56">
              <w:rPr>
                <w:webHidden/>
              </w:rPr>
              <w:instrText xml:space="preserve"> PAGEREF _Toc193459758 \h </w:instrText>
            </w:r>
            <w:r w:rsidR="00B73E56">
              <w:rPr>
                <w:webHidden/>
              </w:rPr>
            </w:r>
            <w:r w:rsidR="00B73E56">
              <w:rPr>
                <w:webHidden/>
              </w:rPr>
              <w:fldChar w:fldCharType="separate"/>
            </w:r>
            <w:r>
              <w:rPr>
                <w:webHidden/>
              </w:rPr>
              <w:t>7</w:t>
            </w:r>
            <w:r w:rsidR="00B73E56">
              <w:rPr>
                <w:webHidden/>
              </w:rPr>
              <w:fldChar w:fldCharType="end"/>
            </w:r>
          </w:hyperlink>
        </w:p>
        <w:p w:rsidR="00B73E56" w:rsidRDefault="003F5924">
          <w:pPr>
            <w:pStyle w:val="Spistreci1"/>
            <w:rPr>
              <w:rFonts w:asciiTheme="minorHAnsi" w:eastAsiaTheme="minorEastAsia" w:hAnsiTheme="minorHAnsi"/>
              <w:sz w:val="22"/>
              <w:lang w:eastAsia="pl-PL"/>
            </w:rPr>
          </w:pPr>
          <w:hyperlink w:anchor="_Toc193459759" w:history="1">
            <w:r w:rsidR="00B73E56" w:rsidRPr="00CC61D8">
              <w:rPr>
                <w:rStyle w:val="Hipercze"/>
              </w:rPr>
              <w:t>Ceny</w:t>
            </w:r>
            <w:r w:rsidR="00B73E56">
              <w:rPr>
                <w:webHidden/>
              </w:rPr>
              <w:tab/>
            </w:r>
            <w:r w:rsidR="00B73E56">
              <w:rPr>
                <w:webHidden/>
              </w:rPr>
              <w:fldChar w:fldCharType="begin"/>
            </w:r>
            <w:r w:rsidR="00B73E56">
              <w:rPr>
                <w:webHidden/>
              </w:rPr>
              <w:instrText xml:space="preserve"> PAGEREF _Toc193459759 \h </w:instrText>
            </w:r>
            <w:r w:rsidR="00B73E56">
              <w:rPr>
                <w:webHidden/>
              </w:rPr>
            </w:r>
            <w:r w:rsidR="00B73E56">
              <w:rPr>
                <w:webHidden/>
              </w:rPr>
              <w:fldChar w:fldCharType="separate"/>
            </w:r>
            <w:r>
              <w:rPr>
                <w:webHidden/>
              </w:rPr>
              <w:t>9</w:t>
            </w:r>
            <w:r w:rsidR="00B73E56">
              <w:rPr>
                <w:webHidden/>
              </w:rPr>
              <w:fldChar w:fldCharType="end"/>
            </w:r>
          </w:hyperlink>
        </w:p>
        <w:p w:rsidR="00B73E56" w:rsidRDefault="003F5924">
          <w:pPr>
            <w:pStyle w:val="Spistreci1"/>
            <w:rPr>
              <w:rFonts w:asciiTheme="minorHAnsi" w:eastAsiaTheme="minorEastAsia" w:hAnsiTheme="minorHAnsi"/>
              <w:sz w:val="22"/>
              <w:lang w:eastAsia="pl-PL"/>
            </w:rPr>
          </w:pPr>
          <w:hyperlink w:anchor="_Toc193459760" w:history="1">
            <w:r w:rsidR="00B73E56" w:rsidRPr="00CC61D8">
              <w:rPr>
                <w:rStyle w:val="Hipercze"/>
              </w:rPr>
              <w:t>Rolnictwo</w:t>
            </w:r>
            <w:r w:rsidR="00B73E56">
              <w:rPr>
                <w:webHidden/>
              </w:rPr>
              <w:tab/>
            </w:r>
            <w:r w:rsidR="00B73E56">
              <w:rPr>
                <w:webHidden/>
              </w:rPr>
              <w:fldChar w:fldCharType="begin"/>
            </w:r>
            <w:r w:rsidR="00B73E56">
              <w:rPr>
                <w:webHidden/>
              </w:rPr>
              <w:instrText xml:space="preserve"> PAGEREF _Toc193459760 \h </w:instrText>
            </w:r>
            <w:r w:rsidR="00B73E56">
              <w:rPr>
                <w:webHidden/>
              </w:rPr>
            </w:r>
            <w:r w:rsidR="00B73E56">
              <w:rPr>
                <w:webHidden/>
              </w:rPr>
              <w:fldChar w:fldCharType="separate"/>
            </w:r>
            <w:r>
              <w:rPr>
                <w:webHidden/>
              </w:rPr>
              <w:t>9</w:t>
            </w:r>
            <w:r w:rsidR="00B73E56">
              <w:rPr>
                <w:webHidden/>
              </w:rPr>
              <w:fldChar w:fldCharType="end"/>
            </w:r>
          </w:hyperlink>
        </w:p>
        <w:p w:rsidR="00B73E56" w:rsidRDefault="003F5924">
          <w:pPr>
            <w:pStyle w:val="Spistreci1"/>
            <w:rPr>
              <w:rFonts w:asciiTheme="minorHAnsi" w:eastAsiaTheme="minorEastAsia" w:hAnsiTheme="minorHAnsi"/>
              <w:sz w:val="22"/>
              <w:lang w:eastAsia="pl-PL"/>
            </w:rPr>
          </w:pPr>
          <w:hyperlink w:anchor="_Toc193459761" w:history="1">
            <w:r w:rsidR="00B73E56" w:rsidRPr="00CC61D8">
              <w:rPr>
                <w:rStyle w:val="Hipercze"/>
              </w:rPr>
              <w:t>Przemysł i budownictwo</w:t>
            </w:r>
            <w:r w:rsidR="00B73E56">
              <w:rPr>
                <w:webHidden/>
              </w:rPr>
              <w:tab/>
            </w:r>
            <w:r w:rsidR="00B73E56">
              <w:rPr>
                <w:webHidden/>
              </w:rPr>
              <w:fldChar w:fldCharType="begin"/>
            </w:r>
            <w:r w:rsidR="00B73E56">
              <w:rPr>
                <w:webHidden/>
              </w:rPr>
              <w:instrText xml:space="preserve"> PAGEREF _Toc193459761 \h </w:instrText>
            </w:r>
            <w:r w:rsidR="00B73E56">
              <w:rPr>
                <w:webHidden/>
              </w:rPr>
            </w:r>
            <w:r w:rsidR="00B73E56">
              <w:rPr>
                <w:webHidden/>
              </w:rPr>
              <w:fldChar w:fldCharType="separate"/>
            </w:r>
            <w:r>
              <w:rPr>
                <w:webHidden/>
              </w:rPr>
              <w:t>9</w:t>
            </w:r>
            <w:r w:rsidR="00B73E56">
              <w:rPr>
                <w:webHidden/>
              </w:rPr>
              <w:fldChar w:fldCharType="end"/>
            </w:r>
          </w:hyperlink>
        </w:p>
        <w:p w:rsidR="00B73E56" w:rsidRDefault="003F5924">
          <w:pPr>
            <w:pStyle w:val="Spistreci1"/>
            <w:rPr>
              <w:rFonts w:asciiTheme="minorHAnsi" w:eastAsiaTheme="minorEastAsia" w:hAnsiTheme="minorHAnsi"/>
              <w:sz w:val="22"/>
              <w:lang w:eastAsia="pl-PL"/>
            </w:rPr>
          </w:pPr>
          <w:hyperlink w:anchor="_Toc193459762" w:history="1">
            <w:r w:rsidR="00B73E56" w:rsidRPr="00CC61D8">
              <w:rPr>
                <w:rStyle w:val="Hipercze"/>
              </w:rPr>
              <w:t>Budownictwo mieszkaniowe</w:t>
            </w:r>
            <w:r w:rsidR="00B73E56">
              <w:rPr>
                <w:webHidden/>
              </w:rPr>
              <w:tab/>
            </w:r>
            <w:r w:rsidR="00B73E56">
              <w:rPr>
                <w:webHidden/>
              </w:rPr>
              <w:fldChar w:fldCharType="begin"/>
            </w:r>
            <w:r w:rsidR="00B73E56">
              <w:rPr>
                <w:webHidden/>
              </w:rPr>
              <w:instrText xml:space="preserve"> PAGEREF _Toc193459762 \h </w:instrText>
            </w:r>
            <w:r w:rsidR="00B73E56">
              <w:rPr>
                <w:webHidden/>
              </w:rPr>
            </w:r>
            <w:r w:rsidR="00B73E56">
              <w:rPr>
                <w:webHidden/>
              </w:rPr>
              <w:fldChar w:fldCharType="separate"/>
            </w:r>
            <w:r>
              <w:rPr>
                <w:webHidden/>
              </w:rPr>
              <w:t>14</w:t>
            </w:r>
            <w:r w:rsidR="00B73E56">
              <w:rPr>
                <w:webHidden/>
              </w:rPr>
              <w:fldChar w:fldCharType="end"/>
            </w:r>
          </w:hyperlink>
        </w:p>
        <w:p w:rsidR="00B73E56" w:rsidRDefault="003F5924">
          <w:pPr>
            <w:pStyle w:val="Spistreci1"/>
            <w:rPr>
              <w:rFonts w:asciiTheme="minorHAnsi" w:eastAsiaTheme="minorEastAsia" w:hAnsiTheme="minorHAnsi"/>
              <w:sz w:val="22"/>
              <w:lang w:eastAsia="pl-PL"/>
            </w:rPr>
          </w:pPr>
          <w:hyperlink w:anchor="_Toc193459763" w:history="1">
            <w:r w:rsidR="00B73E56" w:rsidRPr="00CC61D8">
              <w:rPr>
                <w:rStyle w:val="Hipercze"/>
              </w:rPr>
              <w:t>Rynek wewnętrzny</w:t>
            </w:r>
            <w:r w:rsidR="00B73E56">
              <w:rPr>
                <w:webHidden/>
              </w:rPr>
              <w:tab/>
            </w:r>
            <w:r w:rsidR="00B73E56">
              <w:rPr>
                <w:webHidden/>
              </w:rPr>
              <w:fldChar w:fldCharType="begin"/>
            </w:r>
            <w:r w:rsidR="00B73E56">
              <w:rPr>
                <w:webHidden/>
              </w:rPr>
              <w:instrText xml:space="preserve"> PAGEREF _Toc193459763 \h </w:instrText>
            </w:r>
            <w:r w:rsidR="00B73E56">
              <w:rPr>
                <w:webHidden/>
              </w:rPr>
            </w:r>
            <w:r w:rsidR="00B73E56">
              <w:rPr>
                <w:webHidden/>
              </w:rPr>
              <w:fldChar w:fldCharType="separate"/>
            </w:r>
            <w:r>
              <w:rPr>
                <w:webHidden/>
              </w:rPr>
              <w:t>17</w:t>
            </w:r>
            <w:r w:rsidR="00B73E56">
              <w:rPr>
                <w:webHidden/>
              </w:rPr>
              <w:fldChar w:fldCharType="end"/>
            </w:r>
          </w:hyperlink>
        </w:p>
        <w:p w:rsidR="00B73E56" w:rsidRDefault="003F5924">
          <w:pPr>
            <w:pStyle w:val="Spistreci1"/>
            <w:rPr>
              <w:rFonts w:asciiTheme="minorHAnsi" w:eastAsiaTheme="minorEastAsia" w:hAnsiTheme="minorHAnsi"/>
              <w:sz w:val="22"/>
              <w:lang w:eastAsia="pl-PL"/>
            </w:rPr>
          </w:pPr>
          <w:hyperlink w:anchor="_Toc193459764" w:history="1">
            <w:r w:rsidR="00B73E56" w:rsidRPr="00CC61D8">
              <w:rPr>
                <w:rStyle w:val="Hipercze"/>
              </w:rPr>
              <w:t>Wyniki finansowe przedsiębiorstw</w:t>
            </w:r>
            <w:r w:rsidR="00B73E56">
              <w:rPr>
                <w:webHidden/>
              </w:rPr>
              <w:tab/>
            </w:r>
            <w:r w:rsidR="00B73E56">
              <w:rPr>
                <w:webHidden/>
              </w:rPr>
              <w:fldChar w:fldCharType="begin"/>
            </w:r>
            <w:r w:rsidR="00B73E56">
              <w:rPr>
                <w:webHidden/>
              </w:rPr>
              <w:instrText xml:space="preserve"> PAGEREF _Toc193459764 \h </w:instrText>
            </w:r>
            <w:r w:rsidR="00B73E56">
              <w:rPr>
                <w:webHidden/>
              </w:rPr>
            </w:r>
            <w:r w:rsidR="00B73E56">
              <w:rPr>
                <w:webHidden/>
              </w:rPr>
              <w:fldChar w:fldCharType="separate"/>
            </w:r>
            <w:r>
              <w:rPr>
                <w:webHidden/>
              </w:rPr>
              <w:t>18</w:t>
            </w:r>
            <w:r w:rsidR="00B73E56">
              <w:rPr>
                <w:webHidden/>
              </w:rPr>
              <w:fldChar w:fldCharType="end"/>
            </w:r>
          </w:hyperlink>
        </w:p>
        <w:p w:rsidR="00B73E56" w:rsidRDefault="003F5924">
          <w:pPr>
            <w:pStyle w:val="Spistreci1"/>
            <w:rPr>
              <w:rFonts w:asciiTheme="minorHAnsi" w:eastAsiaTheme="minorEastAsia" w:hAnsiTheme="minorHAnsi"/>
              <w:sz w:val="22"/>
              <w:lang w:eastAsia="pl-PL"/>
            </w:rPr>
          </w:pPr>
          <w:hyperlink w:anchor="_Toc193459765" w:history="1">
            <w:r w:rsidR="00B73E56" w:rsidRPr="00CC61D8">
              <w:rPr>
                <w:rStyle w:val="Hipercze"/>
              </w:rPr>
              <w:t>Nakłady inwestycyjne</w:t>
            </w:r>
            <w:r w:rsidR="00B73E56">
              <w:rPr>
                <w:webHidden/>
              </w:rPr>
              <w:tab/>
            </w:r>
            <w:r w:rsidR="00B73E56">
              <w:rPr>
                <w:webHidden/>
              </w:rPr>
              <w:fldChar w:fldCharType="begin"/>
            </w:r>
            <w:r w:rsidR="00B73E56">
              <w:rPr>
                <w:webHidden/>
              </w:rPr>
              <w:instrText xml:space="preserve"> PAGEREF _Toc193459765 \h </w:instrText>
            </w:r>
            <w:r w:rsidR="00B73E56">
              <w:rPr>
                <w:webHidden/>
              </w:rPr>
            </w:r>
            <w:r w:rsidR="00B73E56">
              <w:rPr>
                <w:webHidden/>
              </w:rPr>
              <w:fldChar w:fldCharType="separate"/>
            </w:r>
            <w:r>
              <w:rPr>
                <w:webHidden/>
              </w:rPr>
              <w:t>20</w:t>
            </w:r>
            <w:r w:rsidR="00B73E56">
              <w:rPr>
                <w:webHidden/>
              </w:rPr>
              <w:fldChar w:fldCharType="end"/>
            </w:r>
          </w:hyperlink>
        </w:p>
        <w:p w:rsidR="00B73E56" w:rsidRDefault="003F5924">
          <w:pPr>
            <w:pStyle w:val="Spistreci1"/>
            <w:rPr>
              <w:rFonts w:asciiTheme="minorHAnsi" w:eastAsiaTheme="minorEastAsia" w:hAnsiTheme="minorHAnsi"/>
              <w:sz w:val="22"/>
              <w:lang w:eastAsia="pl-PL"/>
            </w:rPr>
          </w:pPr>
          <w:hyperlink w:anchor="_Toc193459766" w:history="1">
            <w:r w:rsidR="00B73E56" w:rsidRPr="00CC61D8">
              <w:rPr>
                <w:rStyle w:val="Hipercze"/>
              </w:rPr>
              <w:t>Podmioty gospodarki narodowej</w:t>
            </w:r>
            <w:r w:rsidR="00B73E56">
              <w:rPr>
                <w:webHidden/>
              </w:rPr>
              <w:tab/>
            </w:r>
            <w:r w:rsidR="00B73E56">
              <w:rPr>
                <w:webHidden/>
              </w:rPr>
              <w:fldChar w:fldCharType="begin"/>
            </w:r>
            <w:r w:rsidR="00B73E56">
              <w:rPr>
                <w:webHidden/>
              </w:rPr>
              <w:instrText xml:space="preserve"> PAGEREF _Toc193459766 \h </w:instrText>
            </w:r>
            <w:r w:rsidR="00B73E56">
              <w:rPr>
                <w:webHidden/>
              </w:rPr>
            </w:r>
            <w:r w:rsidR="00B73E56">
              <w:rPr>
                <w:webHidden/>
              </w:rPr>
              <w:fldChar w:fldCharType="separate"/>
            </w:r>
            <w:r>
              <w:rPr>
                <w:webHidden/>
              </w:rPr>
              <w:t>21</w:t>
            </w:r>
            <w:r w:rsidR="00B73E56">
              <w:rPr>
                <w:webHidden/>
              </w:rPr>
              <w:fldChar w:fldCharType="end"/>
            </w:r>
          </w:hyperlink>
        </w:p>
        <w:p w:rsidR="00B73E56" w:rsidRDefault="003F5924">
          <w:pPr>
            <w:pStyle w:val="Spistreci1"/>
            <w:rPr>
              <w:rFonts w:asciiTheme="minorHAnsi" w:eastAsiaTheme="minorEastAsia" w:hAnsiTheme="minorHAnsi"/>
              <w:sz w:val="22"/>
              <w:lang w:eastAsia="pl-PL"/>
            </w:rPr>
          </w:pPr>
          <w:hyperlink w:anchor="_Toc193459767" w:history="1">
            <w:r w:rsidR="00B73E56" w:rsidRPr="00CC61D8">
              <w:rPr>
                <w:rStyle w:val="Hipercze"/>
              </w:rPr>
              <w:t>Koniunktura gospodarcza</w:t>
            </w:r>
            <w:r w:rsidR="00B73E56">
              <w:rPr>
                <w:webHidden/>
              </w:rPr>
              <w:tab/>
            </w:r>
            <w:r w:rsidR="00B73E56">
              <w:rPr>
                <w:webHidden/>
              </w:rPr>
              <w:fldChar w:fldCharType="begin"/>
            </w:r>
            <w:r w:rsidR="00B73E56">
              <w:rPr>
                <w:webHidden/>
              </w:rPr>
              <w:instrText xml:space="preserve"> PAGEREF _Toc193459767 \h </w:instrText>
            </w:r>
            <w:r w:rsidR="00B73E56">
              <w:rPr>
                <w:webHidden/>
              </w:rPr>
            </w:r>
            <w:r w:rsidR="00B73E56">
              <w:rPr>
                <w:webHidden/>
              </w:rPr>
              <w:fldChar w:fldCharType="separate"/>
            </w:r>
            <w:r>
              <w:rPr>
                <w:webHidden/>
              </w:rPr>
              <w:t>23</w:t>
            </w:r>
            <w:r w:rsidR="00B73E56">
              <w:rPr>
                <w:webHidden/>
              </w:rPr>
              <w:fldChar w:fldCharType="end"/>
            </w:r>
          </w:hyperlink>
        </w:p>
        <w:p w:rsidR="000153D7" w:rsidRDefault="000153D7" w:rsidP="004B72E9">
          <w:pPr>
            <w:pStyle w:val="Spistreci1"/>
          </w:pPr>
          <w:r>
            <w:rPr>
              <w:b/>
              <w:bCs/>
            </w:rPr>
            <w:fldChar w:fldCharType="end"/>
          </w:r>
          <w:hyperlink w:anchor="_Toc106715768" w:history="1">
            <w:r w:rsidR="0010608B" w:rsidRPr="0010608B">
              <w:rPr>
                <w:rStyle w:val="Hipercze"/>
                <w:color w:val="auto"/>
                <w:u w:val="none"/>
              </w:rPr>
              <w:t>Wybrane dane o województwie wielkopolskim</w:t>
            </w:r>
            <w:r w:rsidR="0010608B" w:rsidRPr="0010608B">
              <w:rPr>
                <w:webHidden/>
              </w:rPr>
              <w:tab/>
            </w:r>
            <w:r w:rsidR="00E116F9">
              <w:rPr>
                <w:webHidden/>
              </w:rPr>
              <w:t>2</w:t>
            </w:r>
          </w:hyperlink>
          <w:r w:rsidR="00C1116B">
            <w:t>7</w:t>
          </w:r>
        </w:p>
      </w:sdtContent>
    </w:sdt>
    <w:p w:rsidR="00FC015D" w:rsidRPr="0010330E" w:rsidRDefault="00770B00" w:rsidP="0014096A">
      <w:pPr>
        <w:pStyle w:val="podt1"/>
      </w:pPr>
      <w:r w:rsidRPr="0010330E">
        <w:t>Uwagi ogólne</w:t>
      </w:r>
      <w:bookmarkEnd w:id="4"/>
    </w:p>
    <w:p w:rsidR="00ED083F" w:rsidRPr="008E7E8E" w:rsidRDefault="00ED083F" w:rsidP="00ED083F">
      <w:pPr>
        <w:pStyle w:val="tekstuwagi"/>
        <w:rPr>
          <w:shd w:val="clear" w:color="auto" w:fill="FFFFFF"/>
        </w:rPr>
      </w:pPr>
      <w:r w:rsidRPr="008E7E8E">
        <w:rPr>
          <w:shd w:val="clear" w:color="auto" w:fill="FFFFFF"/>
        </w:rPr>
        <w:t>Prezentowane w Komunikacie dane:</w:t>
      </w:r>
    </w:p>
    <w:p w:rsidR="00ED083F" w:rsidRDefault="00ED083F" w:rsidP="00ED083F">
      <w:pPr>
        <w:pStyle w:val="Tekstwypunktowany"/>
      </w:pPr>
      <w:r w:rsidRPr="008F520F">
        <w:t>o zatrudnieniu, wynagrodzeniach oraz o produkcji sprzedanej przemysłu i budownictwa, produkcji budowlano-</w:t>
      </w:r>
      <w:r>
        <w:br/>
        <w:t>-</w:t>
      </w:r>
      <w:r w:rsidRPr="008F520F">
        <w:t>montażowej, a także o sprzedaży detalicznej i hurtowej towarów, dotyczą podmiotów gospodarczych, w których liczba pracujących przekracza 9,</w:t>
      </w:r>
    </w:p>
    <w:p w:rsidR="00ED083F" w:rsidRDefault="00ED083F" w:rsidP="00ED083F">
      <w:pPr>
        <w:pStyle w:val="Tekstwypunktowany"/>
      </w:pPr>
      <w:r w:rsidRPr="008F520F">
        <w:t>o sektorze przedsiębiorstw, dotyczą podmiotów prowadzących działalność gosp</w:t>
      </w:r>
      <w:r>
        <w:t>odarczą w zakresie: leśnictwa i </w:t>
      </w:r>
      <w:r w:rsidRPr="008F520F">
        <w:t>pozyskiwania drewna; rybołówstwa w wodach morskich; górnictwa i wydobywania; przetwórstwa przemysłowego; wytwarzania i zaopatrywania w energię elektryczną, gaz, parę wodną, gorącą wodę i powietrze do układów klimatyzacyjnych; dostawy wody; gospodarowania ściekami i odpadami oraz działalności związanej z rekultywacją; budownictwa; handlu hurtowego i detalicznego; naprawy pojazdów samochodowych, włączając motocykle; transportu i gospodarki magazynowej; działalności związanej z zakwaterowaniem i usługami gastronomicznymi; informacji i komunikacji; działalności związanej z obsługą rynku nieruchomości; działalności prawniczej, rachunkowo-księgowej i doradztwa podatkowego, działalności firm centralnych (head o</w:t>
      </w:r>
      <w:r>
        <w:t>ffices); doradztwa związanego z </w:t>
      </w:r>
      <w:r w:rsidRPr="008F520F">
        <w:t>zarządzaniem; działalności w zakresie architektury i inżynierii; badań i analiz technic</w:t>
      </w:r>
      <w:r>
        <w:t xml:space="preserve">znych; reklamy, badania rynku i </w:t>
      </w:r>
      <w:r w:rsidRPr="008F520F">
        <w:t>opinii publicznej; pozostałej działalności profesjonalnej, naukowej i technicznej; działalności w zakresie usług administrowania i działalności wspierającej; działalności związanej z kulturą, rozrywką i rekreacją; naprawy i konserwacji komputerów i artykułów użytku osobistego i domowego; pozostałej indywidualnej działalności usługowej,</w:t>
      </w:r>
    </w:p>
    <w:p w:rsidR="00ED083F" w:rsidRPr="008F520F" w:rsidRDefault="00ED083F" w:rsidP="00ED083F">
      <w:pPr>
        <w:pStyle w:val="Tekstwypunktowany"/>
      </w:pPr>
      <w:r w:rsidRPr="008F520F">
        <w:t>o skupie produktów rolnych, obejmują skup od producentów z terenu województwa; ceny podano bez podatku VAT,</w:t>
      </w:r>
    </w:p>
    <w:p w:rsidR="00ED083F" w:rsidRPr="008F520F" w:rsidRDefault="00ED083F" w:rsidP="00ED083F">
      <w:pPr>
        <w:pStyle w:val="Tekstwypunktowany"/>
      </w:pPr>
      <w:r w:rsidRPr="008F520F">
        <w:t>o wynikach finansowych przedsiębiorstw oraz nakładach inwestycyjnych, dotyczą podmiotów gospodarczych prowadzących księgi rachunkowe (z wyjątkiem przedsiębiorstw rolnictwa, leśnictwa, łowiectwa i rybactwa, działalności finansowej i ubezpieczeniowej oraz szkół wyższych), w których liczba pracujących przekracza 49.</w:t>
      </w:r>
    </w:p>
    <w:p w:rsidR="00ED083F" w:rsidRDefault="00ED083F" w:rsidP="00ED083F">
      <w:pPr>
        <w:pStyle w:val="tekstuwagi"/>
        <w:rPr>
          <w:shd w:val="clear" w:color="auto" w:fill="FFFFFF"/>
        </w:rPr>
      </w:pPr>
      <w:r w:rsidRPr="00F97F66">
        <w:rPr>
          <w:shd w:val="clear" w:color="auto" w:fill="FFFFFF"/>
        </w:rPr>
        <w:t>Dane w ujęciu wartościowym wyrażone są w cenach bieżących i stanowią podstawę dla obliczenia wskaźników struktury. Wskaźniki dynamiki zaprezentowano na podstawie wartości w cenach bieżących, z wyjątkiem przemysłu, dla którego wskaźniki dynamiki podano na podstawie wartości w cenach stałych (</w:t>
      </w:r>
      <w:r w:rsidRPr="00E86BF2">
        <w:rPr>
          <w:shd w:val="clear" w:color="auto" w:fill="FFFFFF"/>
        </w:rPr>
        <w:t>średnie ceny bieżące 2021 r.).</w:t>
      </w:r>
    </w:p>
    <w:p w:rsidR="00ED083F" w:rsidRDefault="00ED083F" w:rsidP="00ED083F">
      <w:pPr>
        <w:pStyle w:val="tekstuwagi"/>
        <w:rPr>
          <w:shd w:val="clear" w:color="auto" w:fill="FFFFFF"/>
        </w:rPr>
      </w:pPr>
      <w:r w:rsidRPr="00732B85">
        <w:rPr>
          <w:shd w:val="clear" w:color="auto" w:fill="FFFFFF"/>
        </w:rPr>
        <w:t>Liczby względne (wskaźniki, odsetki) wyliczono na podstawie danych bezwzględnych, wyrażonych z większą dokładnością niż podane w tekście i tablicach.</w:t>
      </w:r>
    </w:p>
    <w:p w:rsidR="002C60CF" w:rsidRDefault="00ED083F" w:rsidP="00ED083F">
      <w:pPr>
        <w:pStyle w:val="tekstuwagi"/>
        <w:spacing w:before="0" w:after="1560"/>
        <w:rPr>
          <w:shd w:val="clear" w:color="auto" w:fill="FFFFFF"/>
        </w:rPr>
      </w:pPr>
      <w:r w:rsidRPr="00732B85">
        <w:rPr>
          <w:shd w:val="clear" w:color="auto" w:fill="FFFFFF"/>
        </w:rPr>
        <w:t>Dane prezentuje się w układzie Polskiej Klasyfikacji Działalności – PKD 2007. W niniejszym komunikacie zastosowano skróty niektórych nazw poziomów klasyfikacyjnych; w tablicach i na wykresach skrócone nazwy zostały oznaczone znakiem „Δ”.</w:t>
      </w:r>
      <w:r w:rsidR="002C60CF">
        <w:rPr>
          <w:shd w:val="clear" w:color="auto" w:fill="FFFFFF"/>
        </w:rPr>
        <w:br w:type="page"/>
      </w:r>
    </w:p>
    <w:p w:rsidR="00FC015D" w:rsidRPr="00EC079C" w:rsidRDefault="00770B00" w:rsidP="0014096A">
      <w:pPr>
        <w:pStyle w:val="podt1"/>
      </w:pPr>
      <w:bookmarkStart w:id="5" w:name="_Toc64884825"/>
      <w:r w:rsidRPr="00EC079C">
        <w:lastRenderedPageBreak/>
        <w:t>Polska klasyfikacja działalności 2007 (PKD 2007)</w:t>
      </w:r>
      <w:bookmarkEnd w:id="5"/>
    </w:p>
    <w:tbl>
      <w:tblPr>
        <w:tblStyle w:val="Siatkatabelijasna"/>
        <w:tblW w:w="10467" w:type="dxa"/>
        <w:tblBorders>
          <w:top w:val="single" w:sz="12" w:space="0" w:color="001D77"/>
          <w:left w:val="none" w:sz="0" w:space="0" w:color="auto"/>
          <w:bottom w:val="single" w:sz="4" w:space="0" w:color="001D77"/>
          <w:right w:val="none" w:sz="0" w:space="0" w:color="auto"/>
          <w:insideH w:val="single" w:sz="4" w:space="0" w:color="001D77"/>
          <w:insideV w:val="single" w:sz="4" w:space="0" w:color="001D77"/>
        </w:tblBorders>
        <w:tblCellMar>
          <w:top w:w="57" w:type="dxa"/>
          <w:bottom w:w="57" w:type="dxa"/>
        </w:tblCellMar>
        <w:tblLook w:val="0020" w:firstRow="1" w:lastRow="0" w:firstColumn="0" w:lastColumn="0" w:noHBand="0" w:noVBand="0"/>
        <w:tblDescription w:val="Rozszerzenie skrótów PKD2007"/>
      </w:tblPr>
      <w:tblGrid>
        <w:gridCol w:w="3686"/>
        <w:gridCol w:w="6781"/>
      </w:tblGrid>
      <w:tr w:rsidR="00770B00" w:rsidRPr="00FA5128" w:rsidTr="009375E1">
        <w:trPr>
          <w:trHeight w:val="57"/>
          <w:tblHeader/>
        </w:trPr>
        <w:tc>
          <w:tcPr>
            <w:tcW w:w="3686" w:type="dxa"/>
            <w:tcBorders>
              <w:top w:val="nil"/>
              <w:bottom w:val="single" w:sz="4" w:space="0" w:color="auto"/>
              <w:right w:val="single" w:sz="4" w:space="0" w:color="522398"/>
            </w:tcBorders>
            <w:vAlign w:val="center"/>
          </w:tcPr>
          <w:p w:rsidR="00770B00" w:rsidRPr="008E6E02" w:rsidRDefault="00100C3D" w:rsidP="00004B69">
            <w:r w:rsidRPr="008E6E02">
              <w:t>S</w:t>
            </w:r>
            <w:r w:rsidR="00770B00" w:rsidRPr="008E6E02">
              <w:t>krót</w:t>
            </w:r>
          </w:p>
        </w:tc>
        <w:tc>
          <w:tcPr>
            <w:tcW w:w="6781" w:type="dxa"/>
            <w:tcBorders>
              <w:top w:val="nil"/>
              <w:left w:val="single" w:sz="4" w:space="0" w:color="522398"/>
              <w:bottom w:val="single" w:sz="4" w:space="0" w:color="auto"/>
            </w:tcBorders>
          </w:tcPr>
          <w:p w:rsidR="00770B00" w:rsidRPr="00EC7F1D" w:rsidRDefault="00EC7F1D" w:rsidP="00EC7F1D">
            <w:pPr>
              <w:tabs>
                <w:tab w:val="left" w:pos="979"/>
                <w:tab w:val="right" w:pos="5996"/>
              </w:tabs>
              <w:rPr>
                <w:rFonts w:cs="Arial"/>
                <w:color w:val="000000" w:themeColor="text1"/>
                <w:szCs w:val="19"/>
              </w:rPr>
            </w:pPr>
            <w:r w:rsidRPr="00EC7F1D">
              <w:rPr>
                <w:rFonts w:cs="Arial"/>
                <w:color w:val="000000" w:themeColor="text1"/>
                <w:szCs w:val="19"/>
              </w:rPr>
              <w:t>Pe</w:t>
            </w:r>
            <w:r>
              <w:rPr>
                <w:rFonts w:cs="Arial"/>
                <w:color w:val="000000" w:themeColor="text1"/>
                <w:szCs w:val="19"/>
              </w:rPr>
              <w:t>ł</w:t>
            </w:r>
            <w:r w:rsidRPr="00EC7F1D">
              <w:rPr>
                <w:rFonts w:cs="Arial"/>
                <w:color w:val="000000" w:themeColor="text1"/>
                <w:szCs w:val="19"/>
              </w:rPr>
              <w:t>na nazwa</w:t>
            </w:r>
          </w:p>
        </w:tc>
      </w:tr>
      <w:tr w:rsidR="00EC7F1D" w:rsidRPr="003B597A" w:rsidTr="003070FB">
        <w:trPr>
          <w:trHeight w:val="57"/>
        </w:trPr>
        <w:tc>
          <w:tcPr>
            <w:tcW w:w="10467" w:type="dxa"/>
            <w:gridSpan w:val="2"/>
            <w:tcBorders>
              <w:top w:val="single" w:sz="4" w:space="0" w:color="auto"/>
              <w:bottom w:val="single" w:sz="4" w:space="0" w:color="522398"/>
            </w:tcBorders>
            <w:vAlign w:val="center"/>
          </w:tcPr>
          <w:p w:rsidR="00EC7F1D" w:rsidRPr="00EC7F1D" w:rsidRDefault="00EC7F1D" w:rsidP="00EC7F1D">
            <w:pPr>
              <w:jc w:val="center"/>
              <w:rPr>
                <w:b/>
                <w:shd w:val="clear" w:color="auto" w:fill="FFFFFF"/>
              </w:rPr>
            </w:pPr>
            <w:r w:rsidRPr="00EC7F1D">
              <w:rPr>
                <w:b/>
                <w:szCs w:val="19"/>
                <w:shd w:val="clear" w:color="auto" w:fill="FFFFFF"/>
              </w:rPr>
              <w:t>Sekcje</w:t>
            </w:r>
          </w:p>
        </w:tc>
      </w:tr>
      <w:tr w:rsidR="00770B00" w:rsidRPr="003B597A" w:rsidTr="004E24AE">
        <w:trPr>
          <w:trHeight w:val="454"/>
        </w:trPr>
        <w:tc>
          <w:tcPr>
            <w:tcW w:w="3686" w:type="dxa"/>
            <w:tcBorders>
              <w:top w:val="single" w:sz="4" w:space="0" w:color="522398"/>
              <w:bottom w:val="single" w:sz="4" w:space="0" w:color="522398"/>
              <w:right w:val="single" w:sz="4" w:space="0" w:color="522398"/>
            </w:tcBorders>
            <w:vAlign w:val="center"/>
          </w:tcPr>
          <w:p w:rsidR="00770B00" w:rsidRPr="003B597A" w:rsidRDefault="003B597A" w:rsidP="004E24AE">
            <w:pPr>
              <w:pStyle w:val="skrt"/>
            </w:pPr>
            <w:r w:rsidRPr="003B597A">
              <w:t>Wytwarzanie i zaopatrywanie w energię elektryczną, gaz, parę wodną i gorącą wodę</w:t>
            </w:r>
          </w:p>
        </w:tc>
        <w:tc>
          <w:tcPr>
            <w:tcW w:w="6781" w:type="dxa"/>
            <w:tcBorders>
              <w:top w:val="single" w:sz="4" w:space="0" w:color="522398"/>
              <w:left w:val="single" w:sz="4" w:space="0" w:color="522398"/>
            </w:tcBorders>
          </w:tcPr>
          <w:p w:rsidR="00770B00" w:rsidRPr="0000727B" w:rsidRDefault="003B597A" w:rsidP="00756152">
            <w:pPr>
              <w:pStyle w:val="opis"/>
              <w:rPr>
                <w:rFonts w:cs="Arial"/>
                <w:color w:val="000000" w:themeColor="text1"/>
              </w:rPr>
            </w:pPr>
            <w:r w:rsidRPr="0000727B">
              <w:t>Wytwarzanie i zaopatrywanie w energię elektryczną, gaz, parę wodną,</w:t>
            </w:r>
            <w:r w:rsidR="0000727B">
              <w:t xml:space="preserve"> </w:t>
            </w:r>
            <w:r w:rsidRPr="0000727B">
              <w:t xml:space="preserve">gorącą wodę </w:t>
            </w:r>
            <w:r w:rsidR="0000727B">
              <w:br/>
            </w:r>
            <w:r w:rsidRPr="0000727B">
              <w:t>i powietrze do układów klimatyzacyjnych</w:t>
            </w:r>
          </w:p>
        </w:tc>
      </w:tr>
      <w:tr w:rsidR="00770B00" w:rsidRPr="003B597A" w:rsidTr="003070FB">
        <w:trPr>
          <w:trHeight w:val="57"/>
        </w:trPr>
        <w:tc>
          <w:tcPr>
            <w:tcW w:w="3686" w:type="dxa"/>
            <w:tcBorders>
              <w:top w:val="single" w:sz="4" w:space="0" w:color="522398"/>
              <w:right w:val="single" w:sz="4" w:space="0" w:color="522398"/>
            </w:tcBorders>
            <w:vAlign w:val="center"/>
          </w:tcPr>
          <w:p w:rsidR="00770B00" w:rsidRPr="00FA5128" w:rsidRDefault="003B597A" w:rsidP="004E24AE">
            <w:pPr>
              <w:pStyle w:val="skrt"/>
            </w:pPr>
            <w:r w:rsidRPr="003B597A">
              <w:t xml:space="preserve">Dostawa wody; gospodarowanie ściekami i </w:t>
            </w:r>
            <w:r w:rsidRPr="004E24AE">
              <w:t>odpadami</w:t>
            </w:r>
            <w:r w:rsidRPr="003B597A">
              <w:t>; rekultywacja</w:t>
            </w:r>
          </w:p>
        </w:tc>
        <w:tc>
          <w:tcPr>
            <w:tcW w:w="6781" w:type="dxa"/>
            <w:tcBorders>
              <w:left w:val="single" w:sz="4" w:space="0" w:color="522398"/>
            </w:tcBorders>
          </w:tcPr>
          <w:p w:rsidR="00770B00" w:rsidRPr="0000727B" w:rsidRDefault="003B597A" w:rsidP="00756152">
            <w:pPr>
              <w:pStyle w:val="opis"/>
            </w:pPr>
            <w:r w:rsidRPr="0000727B">
              <w:t xml:space="preserve">Dostawa wody; gospodarowanie ściekami i odpadami oraz działalność związana </w:t>
            </w:r>
            <w:r w:rsidR="0000727B">
              <w:br/>
            </w:r>
            <w:r w:rsidRPr="0000727B">
              <w:t>z rekultywacją</w:t>
            </w:r>
          </w:p>
        </w:tc>
      </w:tr>
      <w:tr w:rsidR="00770B00" w:rsidRPr="003B597A" w:rsidTr="003070FB">
        <w:trPr>
          <w:trHeight w:val="57"/>
        </w:trPr>
        <w:tc>
          <w:tcPr>
            <w:tcW w:w="3686" w:type="dxa"/>
            <w:tcBorders>
              <w:right w:val="single" w:sz="4" w:space="0" w:color="522398"/>
            </w:tcBorders>
            <w:vAlign w:val="center"/>
          </w:tcPr>
          <w:p w:rsidR="00770B00" w:rsidRPr="00FA5128" w:rsidRDefault="003B597A" w:rsidP="00324EA6">
            <w:pPr>
              <w:pStyle w:val="skrt"/>
            </w:pPr>
            <w:r w:rsidRPr="003B597A">
              <w:t>Handel; naprawa pojazdów samochodowych</w:t>
            </w:r>
          </w:p>
        </w:tc>
        <w:tc>
          <w:tcPr>
            <w:tcW w:w="6781" w:type="dxa"/>
            <w:tcBorders>
              <w:left w:val="single" w:sz="4" w:space="0" w:color="522398"/>
            </w:tcBorders>
          </w:tcPr>
          <w:p w:rsidR="00770B00" w:rsidRPr="0000727B" w:rsidRDefault="003B597A" w:rsidP="00756152">
            <w:pPr>
              <w:pStyle w:val="opis"/>
              <w:rPr>
                <w:rFonts w:cs="Arial"/>
                <w:color w:val="000000" w:themeColor="text1"/>
              </w:rPr>
            </w:pPr>
            <w:r w:rsidRPr="0000727B">
              <w:t>Handel hurtowy i detaliczny; naprawa pojazdów samochodowych, włączając motocykle</w:t>
            </w:r>
          </w:p>
        </w:tc>
      </w:tr>
      <w:tr w:rsidR="00770B00" w:rsidRPr="003B597A" w:rsidTr="003070FB">
        <w:trPr>
          <w:trHeight w:val="57"/>
        </w:trPr>
        <w:tc>
          <w:tcPr>
            <w:tcW w:w="3686" w:type="dxa"/>
            <w:tcBorders>
              <w:right w:val="single" w:sz="4" w:space="0" w:color="522398"/>
            </w:tcBorders>
            <w:vAlign w:val="center"/>
          </w:tcPr>
          <w:p w:rsidR="00770B00" w:rsidRPr="00FA5128" w:rsidRDefault="003B597A" w:rsidP="00324EA6">
            <w:pPr>
              <w:pStyle w:val="skrt"/>
            </w:pPr>
            <w:r w:rsidRPr="003B597A">
              <w:t>Zakwaterowanie i gastronomia</w:t>
            </w:r>
          </w:p>
        </w:tc>
        <w:tc>
          <w:tcPr>
            <w:tcW w:w="6781" w:type="dxa"/>
            <w:tcBorders>
              <w:left w:val="single" w:sz="4" w:space="0" w:color="522398"/>
            </w:tcBorders>
          </w:tcPr>
          <w:p w:rsidR="00770B00" w:rsidRPr="0000727B" w:rsidRDefault="003B597A" w:rsidP="00756152">
            <w:pPr>
              <w:pStyle w:val="opis"/>
              <w:rPr>
                <w:rFonts w:cs="Arial"/>
                <w:color w:val="000000" w:themeColor="text1"/>
              </w:rPr>
            </w:pPr>
            <w:r w:rsidRPr="0000727B">
              <w:t>Działalność związana z zakwaterowaniem i usługami gastronomicznymi</w:t>
            </w:r>
          </w:p>
        </w:tc>
      </w:tr>
      <w:tr w:rsidR="00770B00" w:rsidRPr="003B597A" w:rsidTr="003070FB">
        <w:trPr>
          <w:trHeight w:val="57"/>
        </w:trPr>
        <w:tc>
          <w:tcPr>
            <w:tcW w:w="3686" w:type="dxa"/>
            <w:tcBorders>
              <w:bottom w:val="single" w:sz="4" w:space="0" w:color="522398"/>
              <w:right w:val="single" w:sz="4" w:space="0" w:color="522398"/>
            </w:tcBorders>
            <w:vAlign w:val="center"/>
          </w:tcPr>
          <w:p w:rsidR="00770B00" w:rsidRPr="00FA5128" w:rsidRDefault="003B597A" w:rsidP="00324EA6">
            <w:pPr>
              <w:pStyle w:val="skrt"/>
            </w:pPr>
            <w:r w:rsidRPr="003B597A">
              <w:t>Obsługa rynku nieruchomości</w:t>
            </w:r>
          </w:p>
        </w:tc>
        <w:tc>
          <w:tcPr>
            <w:tcW w:w="6781" w:type="dxa"/>
            <w:tcBorders>
              <w:left w:val="single" w:sz="4" w:space="0" w:color="522398"/>
              <w:bottom w:val="single" w:sz="4" w:space="0" w:color="522398"/>
            </w:tcBorders>
          </w:tcPr>
          <w:p w:rsidR="00770B00" w:rsidRPr="0000727B" w:rsidRDefault="003B597A" w:rsidP="00756152">
            <w:pPr>
              <w:pStyle w:val="opis"/>
              <w:rPr>
                <w:rFonts w:cs="Arial"/>
                <w:color w:val="000000" w:themeColor="text1"/>
              </w:rPr>
            </w:pPr>
            <w:r w:rsidRPr="0000727B">
              <w:t>Działalność związana z obsługą rynku nieruchomości</w:t>
            </w:r>
          </w:p>
        </w:tc>
      </w:tr>
      <w:tr w:rsidR="00770B00" w:rsidRPr="003B597A" w:rsidTr="003070FB">
        <w:trPr>
          <w:trHeight w:val="57"/>
        </w:trPr>
        <w:tc>
          <w:tcPr>
            <w:tcW w:w="3686" w:type="dxa"/>
            <w:tcBorders>
              <w:top w:val="single" w:sz="4" w:space="0" w:color="522398"/>
              <w:bottom w:val="single" w:sz="4" w:space="0" w:color="522398"/>
              <w:right w:val="single" w:sz="4" w:space="0" w:color="522398"/>
            </w:tcBorders>
            <w:vAlign w:val="center"/>
          </w:tcPr>
          <w:p w:rsidR="00770B00" w:rsidRPr="00FA5128" w:rsidRDefault="003B597A" w:rsidP="00324EA6">
            <w:pPr>
              <w:pStyle w:val="skrt"/>
            </w:pPr>
            <w:r w:rsidRPr="003B597A">
              <w:t>Administrowanie i działalność wspierająca</w:t>
            </w:r>
          </w:p>
        </w:tc>
        <w:tc>
          <w:tcPr>
            <w:tcW w:w="6781" w:type="dxa"/>
            <w:tcBorders>
              <w:top w:val="single" w:sz="4" w:space="0" w:color="522398"/>
              <w:left w:val="single" w:sz="4" w:space="0" w:color="522398"/>
              <w:bottom w:val="single" w:sz="4" w:space="0" w:color="522398"/>
            </w:tcBorders>
          </w:tcPr>
          <w:p w:rsidR="00770B00" w:rsidRPr="0000727B" w:rsidRDefault="003B597A" w:rsidP="00756152">
            <w:pPr>
              <w:pStyle w:val="opis"/>
              <w:rPr>
                <w:rFonts w:cs="Arial"/>
                <w:color w:val="000000" w:themeColor="text1"/>
              </w:rPr>
            </w:pPr>
            <w:r w:rsidRPr="0000727B">
              <w:t>Działalność w zakresie usług administrowania i działalność wspierająca</w:t>
            </w:r>
          </w:p>
        </w:tc>
      </w:tr>
      <w:tr w:rsidR="00EC7F1D" w:rsidRPr="008E7E8E" w:rsidTr="003070FB">
        <w:trPr>
          <w:trHeight w:val="57"/>
        </w:trPr>
        <w:tc>
          <w:tcPr>
            <w:tcW w:w="10467" w:type="dxa"/>
            <w:gridSpan w:val="2"/>
            <w:tcBorders>
              <w:top w:val="single" w:sz="4" w:space="0" w:color="522398"/>
              <w:bottom w:val="single" w:sz="4" w:space="0" w:color="522398"/>
            </w:tcBorders>
            <w:vAlign w:val="center"/>
          </w:tcPr>
          <w:p w:rsidR="00EC7F1D" w:rsidRPr="00EC7F1D" w:rsidRDefault="00EC7F1D" w:rsidP="00EC7F1D">
            <w:pPr>
              <w:jc w:val="center"/>
              <w:rPr>
                <w:b/>
                <w:shd w:val="clear" w:color="auto" w:fill="FFFFFF"/>
                <w:lang w:val="en-GB"/>
              </w:rPr>
            </w:pPr>
            <w:r w:rsidRPr="00EC7F1D">
              <w:rPr>
                <w:b/>
                <w:color w:val="000000" w:themeColor="text1"/>
                <w:szCs w:val="19"/>
              </w:rPr>
              <w:t>Działy</w:t>
            </w:r>
          </w:p>
        </w:tc>
      </w:tr>
      <w:tr w:rsidR="00770B00" w:rsidRPr="00EC7F1D" w:rsidTr="003070FB">
        <w:trPr>
          <w:trHeight w:val="57"/>
        </w:trPr>
        <w:tc>
          <w:tcPr>
            <w:tcW w:w="3686" w:type="dxa"/>
            <w:tcBorders>
              <w:top w:val="single" w:sz="4" w:space="0" w:color="522398"/>
              <w:bottom w:val="single" w:sz="4" w:space="0" w:color="522398"/>
              <w:right w:val="single" w:sz="4" w:space="0" w:color="522398"/>
            </w:tcBorders>
            <w:vAlign w:val="center"/>
          </w:tcPr>
          <w:p w:rsidR="00770B00" w:rsidRPr="00FA5128" w:rsidRDefault="00EC7F1D" w:rsidP="00324EA6">
            <w:pPr>
              <w:pStyle w:val="skrt"/>
            </w:pPr>
            <w:r w:rsidRPr="00EC7F1D">
              <w:t>Produkcja skór i wyrobów skórzanych</w:t>
            </w:r>
          </w:p>
        </w:tc>
        <w:tc>
          <w:tcPr>
            <w:tcW w:w="6781" w:type="dxa"/>
            <w:tcBorders>
              <w:top w:val="single" w:sz="4" w:space="0" w:color="522398"/>
              <w:left w:val="single" w:sz="4" w:space="0" w:color="522398"/>
              <w:bottom w:val="single" w:sz="4" w:space="0" w:color="522398"/>
            </w:tcBorders>
          </w:tcPr>
          <w:p w:rsidR="00770B00" w:rsidRPr="0000727B" w:rsidRDefault="00EC7F1D" w:rsidP="00756152">
            <w:pPr>
              <w:pStyle w:val="opis"/>
              <w:rPr>
                <w:rFonts w:cs="Arial"/>
                <w:color w:val="000000" w:themeColor="text1"/>
              </w:rPr>
            </w:pPr>
            <w:r w:rsidRPr="0000727B">
              <w:t>Produkcja skór i wyrobów ze skór wyprawionych</w:t>
            </w:r>
          </w:p>
        </w:tc>
      </w:tr>
      <w:tr w:rsidR="00770B00" w:rsidRPr="00EC7F1D" w:rsidTr="003070FB">
        <w:trPr>
          <w:trHeight w:val="57"/>
        </w:trPr>
        <w:tc>
          <w:tcPr>
            <w:tcW w:w="3686" w:type="dxa"/>
            <w:tcBorders>
              <w:top w:val="single" w:sz="4" w:space="0" w:color="522398"/>
              <w:bottom w:val="single" w:sz="4" w:space="0" w:color="522398"/>
              <w:right w:val="single" w:sz="4" w:space="0" w:color="522398"/>
            </w:tcBorders>
            <w:vAlign w:val="center"/>
          </w:tcPr>
          <w:p w:rsidR="00770B00" w:rsidRPr="00FA5128" w:rsidRDefault="00EC7F1D" w:rsidP="00324EA6">
            <w:pPr>
              <w:pStyle w:val="skrt"/>
            </w:pPr>
            <w:r w:rsidRPr="00EC7F1D">
              <w:t xml:space="preserve">Produkcja wyrobów z drewna, korka, słomy </w:t>
            </w:r>
            <w:r w:rsidR="0000727B">
              <w:br/>
            </w:r>
            <w:r w:rsidRPr="00EC7F1D">
              <w:t>i wikliny</w:t>
            </w:r>
          </w:p>
        </w:tc>
        <w:tc>
          <w:tcPr>
            <w:tcW w:w="6781" w:type="dxa"/>
            <w:tcBorders>
              <w:top w:val="single" w:sz="4" w:space="0" w:color="522398"/>
              <w:left w:val="single" w:sz="4" w:space="0" w:color="522398"/>
              <w:bottom w:val="single" w:sz="4" w:space="0" w:color="522398"/>
            </w:tcBorders>
          </w:tcPr>
          <w:p w:rsidR="00770B00" w:rsidRPr="0000727B" w:rsidRDefault="00EC7F1D" w:rsidP="00756152">
            <w:pPr>
              <w:pStyle w:val="opis"/>
              <w:rPr>
                <w:rFonts w:eastAsiaTheme="majorEastAsia" w:cstheme="majorBidi"/>
                <w:color w:val="000000" w:themeColor="text1"/>
              </w:rPr>
            </w:pPr>
            <w:r w:rsidRPr="0000727B">
              <w:t>Produkcja wyrobów z drewna oraz korka, z wyłączeniem mebli; produkcja wyrobów ze słomy i materiałów używanych do wyplatania</w:t>
            </w:r>
          </w:p>
        </w:tc>
      </w:tr>
      <w:tr w:rsidR="00EC7F1D" w:rsidRPr="00EC7F1D" w:rsidTr="003070FB">
        <w:trPr>
          <w:trHeight w:val="57"/>
        </w:trPr>
        <w:tc>
          <w:tcPr>
            <w:tcW w:w="3686" w:type="dxa"/>
            <w:tcBorders>
              <w:top w:val="single" w:sz="4" w:space="0" w:color="522398"/>
              <w:bottom w:val="single" w:sz="4" w:space="0" w:color="522398"/>
              <w:right w:val="single" w:sz="4" w:space="0" w:color="522398"/>
            </w:tcBorders>
            <w:vAlign w:val="center"/>
          </w:tcPr>
          <w:p w:rsidR="00EC7F1D" w:rsidRPr="00EC7F1D" w:rsidRDefault="00EC7F1D" w:rsidP="002B57E2">
            <w:pPr>
              <w:pStyle w:val="skrt"/>
            </w:pPr>
            <w:r w:rsidRPr="00EC7F1D">
              <w:t>Produkcja wyrobów z metali</w:t>
            </w:r>
          </w:p>
        </w:tc>
        <w:tc>
          <w:tcPr>
            <w:tcW w:w="6781" w:type="dxa"/>
            <w:tcBorders>
              <w:top w:val="single" w:sz="4" w:space="0" w:color="522398"/>
              <w:left w:val="single" w:sz="4" w:space="0" w:color="522398"/>
              <w:bottom w:val="single" w:sz="4" w:space="0" w:color="522398"/>
            </w:tcBorders>
          </w:tcPr>
          <w:p w:rsidR="00EC7F1D" w:rsidRPr="0000727B" w:rsidRDefault="00EC7F1D" w:rsidP="00756152">
            <w:pPr>
              <w:pStyle w:val="opis"/>
            </w:pPr>
            <w:r w:rsidRPr="0000727B">
              <w:t>Produkcja metalowych wyrobów gotowych, z wyłączeniem maszyn i urządzeń</w:t>
            </w:r>
          </w:p>
        </w:tc>
      </w:tr>
      <w:tr w:rsidR="00EC7F1D" w:rsidRPr="00EC7F1D" w:rsidTr="003070FB">
        <w:trPr>
          <w:trHeight w:val="57"/>
        </w:trPr>
        <w:tc>
          <w:tcPr>
            <w:tcW w:w="3686" w:type="dxa"/>
            <w:tcBorders>
              <w:top w:val="single" w:sz="4" w:space="0" w:color="522398"/>
              <w:bottom w:val="single" w:sz="4" w:space="0" w:color="522398"/>
              <w:right w:val="single" w:sz="4" w:space="0" w:color="522398"/>
            </w:tcBorders>
            <w:vAlign w:val="center"/>
          </w:tcPr>
          <w:p w:rsidR="00EC7F1D" w:rsidRPr="00EC7F1D" w:rsidRDefault="00EC7F1D" w:rsidP="00324EA6">
            <w:pPr>
              <w:pStyle w:val="skrt"/>
            </w:pPr>
            <w:r w:rsidRPr="00EC7F1D">
              <w:t>Produkcja maszyn i urządzeń</w:t>
            </w:r>
          </w:p>
        </w:tc>
        <w:tc>
          <w:tcPr>
            <w:tcW w:w="6781" w:type="dxa"/>
            <w:tcBorders>
              <w:top w:val="single" w:sz="4" w:space="0" w:color="522398"/>
              <w:left w:val="single" w:sz="4" w:space="0" w:color="522398"/>
              <w:bottom w:val="single" w:sz="4" w:space="0" w:color="522398"/>
            </w:tcBorders>
          </w:tcPr>
          <w:p w:rsidR="00EC7F1D" w:rsidRPr="0000727B" w:rsidRDefault="00EC7F1D" w:rsidP="00756152">
            <w:pPr>
              <w:pStyle w:val="opis"/>
            </w:pPr>
            <w:r w:rsidRPr="0000727B">
              <w:t>Produkcja maszyn i urządzeń, gdzie indziej niesklasyfikowana</w:t>
            </w:r>
          </w:p>
        </w:tc>
      </w:tr>
      <w:tr w:rsidR="00EC7F1D" w:rsidRPr="00EC7F1D" w:rsidTr="003070FB">
        <w:trPr>
          <w:trHeight w:val="57"/>
        </w:trPr>
        <w:tc>
          <w:tcPr>
            <w:tcW w:w="3686" w:type="dxa"/>
            <w:tcBorders>
              <w:top w:val="single" w:sz="4" w:space="0" w:color="522398"/>
              <w:bottom w:val="single" w:sz="4" w:space="0" w:color="522398"/>
              <w:right w:val="single" w:sz="4" w:space="0" w:color="522398"/>
            </w:tcBorders>
            <w:vAlign w:val="center"/>
          </w:tcPr>
          <w:p w:rsidR="00EC7F1D" w:rsidRPr="00EC7F1D" w:rsidRDefault="00EC7F1D" w:rsidP="00324EA6">
            <w:pPr>
              <w:pStyle w:val="skrt"/>
            </w:pPr>
            <w:r w:rsidRPr="00EC7F1D">
              <w:t xml:space="preserve">Produkcja pojazdów samochodowych, przyczep </w:t>
            </w:r>
            <w:r>
              <w:br/>
            </w:r>
            <w:r w:rsidRPr="00EC7F1D">
              <w:t>i naczep</w:t>
            </w:r>
          </w:p>
        </w:tc>
        <w:tc>
          <w:tcPr>
            <w:tcW w:w="6781" w:type="dxa"/>
            <w:tcBorders>
              <w:top w:val="single" w:sz="4" w:space="0" w:color="522398"/>
              <w:left w:val="single" w:sz="4" w:space="0" w:color="522398"/>
              <w:bottom w:val="single" w:sz="4" w:space="0" w:color="522398"/>
            </w:tcBorders>
          </w:tcPr>
          <w:p w:rsidR="00EC7F1D" w:rsidRPr="0000727B" w:rsidRDefault="00EC7F1D" w:rsidP="00756152">
            <w:pPr>
              <w:pStyle w:val="opis"/>
            </w:pPr>
            <w:r w:rsidRPr="0000727B">
              <w:t>Produkcja pojazdów samochodowych, przyczep i naczep, z wyłączeniem motocykli</w:t>
            </w:r>
          </w:p>
        </w:tc>
      </w:tr>
      <w:tr w:rsidR="00EC7F1D" w:rsidRPr="00EC7F1D" w:rsidTr="003070FB">
        <w:trPr>
          <w:trHeight w:val="57"/>
        </w:trPr>
        <w:tc>
          <w:tcPr>
            <w:tcW w:w="3686" w:type="dxa"/>
            <w:tcBorders>
              <w:top w:val="single" w:sz="4" w:space="0" w:color="522398"/>
              <w:bottom w:val="single" w:sz="4" w:space="0" w:color="522398"/>
              <w:right w:val="single" w:sz="4" w:space="0" w:color="522398"/>
            </w:tcBorders>
            <w:vAlign w:val="center"/>
          </w:tcPr>
          <w:p w:rsidR="00EC7F1D" w:rsidRPr="00EC7F1D" w:rsidRDefault="00EC7F1D" w:rsidP="00324EA6">
            <w:pPr>
              <w:pStyle w:val="skrt"/>
            </w:pPr>
            <w:r w:rsidRPr="00EC7F1D">
              <w:t>Budowa budynków</w:t>
            </w:r>
          </w:p>
        </w:tc>
        <w:tc>
          <w:tcPr>
            <w:tcW w:w="6781" w:type="dxa"/>
            <w:tcBorders>
              <w:top w:val="single" w:sz="4" w:space="0" w:color="522398"/>
              <w:left w:val="single" w:sz="4" w:space="0" w:color="522398"/>
              <w:bottom w:val="single" w:sz="4" w:space="0" w:color="522398"/>
            </w:tcBorders>
          </w:tcPr>
          <w:p w:rsidR="00EC7F1D" w:rsidRPr="0000727B" w:rsidRDefault="00EC7F1D" w:rsidP="00756152">
            <w:pPr>
              <w:pStyle w:val="opis"/>
            </w:pPr>
            <w:r w:rsidRPr="0000727B">
              <w:t>Roboty budowlane związane ze wznoszeniem budynków</w:t>
            </w:r>
          </w:p>
        </w:tc>
      </w:tr>
      <w:tr w:rsidR="00EC7F1D" w:rsidRPr="00EC7F1D" w:rsidTr="003070FB">
        <w:trPr>
          <w:trHeight w:val="57"/>
        </w:trPr>
        <w:tc>
          <w:tcPr>
            <w:tcW w:w="3686" w:type="dxa"/>
            <w:tcBorders>
              <w:top w:val="single" w:sz="4" w:space="0" w:color="522398"/>
              <w:bottom w:val="single" w:sz="4" w:space="0" w:color="522398"/>
              <w:right w:val="single" w:sz="4" w:space="0" w:color="522398"/>
            </w:tcBorders>
            <w:vAlign w:val="center"/>
          </w:tcPr>
          <w:p w:rsidR="00EC7F1D" w:rsidRPr="00EC7F1D" w:rsidRDefault="00EC7F1D" w:rsidP="00324EA6">
            <w:pPr>
              <w:pStyle w:val="skrt"/>
            </w:pPr>
            <w:r w:rsidRPr="00EC7F1D">
              <w:t>Budowa obiektów inżynierii lądowej i wodnej</w:t>
            </w:r>
          </w:p>
        </w:tc>
        <w:tc>
          <w:tcPr>
            <w:tcW w:w="6781" w:type="dxa"/>
            <w:tcBorders>
              <w:top w:val="single" w:sz="4" w:space="0" w:color="522398"/>
              <w:left w:val="single" w:sz="4" w:space="0" w:color="522398"/>
              <w:bottom w:val="single" w:sz="4" w:space="0" w:color="522398"/>
            </w:tcBorders>
          </w:tcPr>
          <w:p w:rsidR="00EC7F1D" w:rsidRPr="0000727B" w:rsidRDefault="00F87366" w:rsidP="00756152">
            <w:pPr>
              <w:pStyle w:val="opis"/>
            </w:pPr>
            <w:r w:rsidRPr="0000727B">
              <w:t>Roboty związane z budową obiektów inżynierii lądowej i wodnej</w:t>
            </w:r>
          </w:p>
        </w:tc>
      </w:tr>
      <w:tr w:rsidR="00EC7F1D" w:rsidRPr="00EC7F1D" w:rsidTr="003070FB">
        <w:trPr>
          <w:trHeight w:val="57"/>
        </w:trPr>
        <w:tc>
          <w:tcPr>
            <w:tcW w:w="3686" w:type="dxa"/>
            <w:tcBorders>
              <w:top w:val="single" w:sz="4" w:space="0" w:color="522398"/>
              <w:bottom w:val="single" w:sz="4" w:space="0" w:color="522398"/>
              <w:right w:val="single" w:sz="4" w:space="0" w:color="522398"/>
            </w:tcBorders>
            <w:vAlign w:val="center"/>
          </w:tcPr>
          <w:p w:rsidR="00EC7F1D" w:rsidRPr="00EC7F1D" w:rsidRDefault="00F87366" w:rsidP="00324EA6">
            <w:pPr>
              <w:pStyle w:val="skrt"/>
            </w:pPr>
            <w:r w:rsidRPr="00F87366">
              <w:t>Handel hurtowy</w:t>
            </w:r>
          </w:p>
        </w:tc>
        <w:tc>
          <w:tcPr>
            <w:tcW w:w="6781" w:type="dxa"/>
            <w:tcBorders>
              <w:top w:val="single" w:sz="4" w:space="0" w:color="522398"/>
              <w:left w:val="single" w:sz="4" w:space="0" w:color="522398"/>
              <w:bottom w:val="single" w:sz="4" w:space="0" w:color="522398"/>
            </w:tcBorders>
          </w:tcPr>
          <w:p w:rsidR="00EC7F1D" w:rsidRPr="0000727B" w:rsidRDefault="00F87366" w:rsidP="00756152">
            <w:pPr>
              <w:pStyle w:val="opis"/>
            </w:pPr>
            <w:r w:rsidRPr="0000727B">
              <w:t>Handel hurtowy, z wyłączeniem handlu pojazdami samochodowymi</w:t>
            </w:r>
          </w:p>
        </w:tc>
      </w:tr>
      <w:tr w:rsidR="00EC7F1D" w:rsidRPr="00EC7F1D" w:rsidTr="004E24AE">
        <w:trPr>
          <w:trHeight w:val="275"/>
        </w:trPr>
        <w:tc>
          <w:tcPr>
            <w:tcW w:w="3686" w:type="dxa"/>
            <w:tcBorders>
              <w:top w:val="single" w:sz="4" w:space="0" w:color="522398"/>
              <w:bottom w:val="nil"/>
              <w:right w:val="single" w:sz="4" w:space="0" w:color="522398"/>
            </w:tcBorders>
            <w:vAlign w:val="center"/>
          </w:tcPr>
          <w:p w:rsidR="00EC7F1D" w:rsidRPr="00EC7F1D" w:rsidRDefault="00F87366" w:rsidP="00324EA6">
            <w:pPr>
              <w:pStyle w:val="skrt"/>
            </w:pPr>
            <w:r w:rsidRPr="00F87366">
              <w:t>Handel detaliczny</w:t>
            </w:r>
          </w:p>
        </w:tc>
        <w:tc>
          <w:tcPr>
            <w:tcW w:w="6781" w:type="dxa"/>
            <w:tcBorders>
              <w:top w:val="single" w:sz="4" w:space="0" w:color="522398"/>
              <w:left w:val="single" w:sz="4" w:space="0" w:color="522398"/>
              <w:bottom w:val="nil"/>
            </w:tcBorders>
          </w:tcPr>
          <w:p w:rsidR="00EC7F1D" w:rsidRPr="0000727B" w:rsidRDefault="00F87366" w:rsidP="00756152">
            <w:pPr>
              <w:pStyle w:val="opis"/>
            </w:pPr>
            <w:r w:rsidRPr="0000727B">
              <w:t>Handel detaliczny, z wyłączeniem handlu detalicznego pojazdami samochodowymi</w:t>
            </w:r>
          </w:p>
        </w:tc>
      </w:tr>
    </w:tbl>
    <w:p w:rsidR="00770B00" w:rsidRPr="003439F1" w:rsidRDefault="00770B00" w:rsidP="0014096A">
      <w:pPr>
        <w:pStyle w:val="podt1"/>
      </w:pPr>
      <w:bookmarkStart w:id="6" w:name="_Toc64884826"/>
      <w:r w:rsidRPr="003439F1">
        <w:t>Objaśnienia znaków umownych</w:t>
      </w:r>
      <w:bookmarkEnd w:id="6"/>
    </w:p>
    <w:tbl>
      <w:tblPr>
        <w:tblStyle w:val="Siatkatabelijasna"/>
        <w:tblW w:w="5000" w:type="pct"/>
        <w:tblBorders>
          <w:top w:val="single" w:sz="12" w:space="0" w:color="001D77"/>
          <w:left w:val="none" w:sz="0" w:space="0" w:color="auto"/>
          <w:bottom w:val="single" w:sz="4" w:space="0" w:color="001D77"/>
          <w:right w:val="none" w:sz="0" w:space="0" w:color="auto"/>
          <w:insideH w:val="single" w:sz="4" w:space="0" w:color="001D77"/>
          <w:insideV w:val="single" w:sz="4" w:space="0" w:color="001D77"/>
        </w:tblBorders>
        <w:tblCellMar>
          <w:top w:w="57" w:type="dxa"/>
          <w:bottom w:w="57" w:type="dxa"/>
        </w:tblCellMar>
        <w:tblLook w:val="0020" w:firstRow="1" w:lastRow="0" w:firstColumn="0" w:lastColumn="0" w:noHBand="0" w:noVBand="0"/>
        <w:tblCaption w:val="accessible"/>
      </w:tblPr>
      <w:tblGrid>
        <w:gridCol w:w="1945"/>
        <w:gridCol w:w="8534"/>
      </w:tblGrid>
      <w:tr w:rsidR="00BC55DB" w:rsidRPr="00FA5128" w:rsidTr="00C43428">
        <w:trPr>
          <w:trHeight w:val="57"/>
          <w:tblHeader/>
        </w:trPr>
        <w:tc>
          <w:tcPr>
            <w:tcW w:w="928" w:type="pct"/>
            <w:tcBorders>
              <w:top w:val="nil"/>
              <w:bottom w:val="single" w:sz="12" w:space="0" w:color="522398"/>
              <w:right w:val="single" w:sz="4" w:space="0" w:color="522398"/>
            </w:tcBorders>
            <w:vAlign w:val="bottom"/>
          </w:tcPr>
          <w:p w:rsidR="00BC55DB" w:rsidRPr="00BC55DB" w:rsidRDefault="00BC55DB" w:rsidP="00850632">
            <w:pPr>
              <w:rPr>
                <w:rFonts w:cs="Arial"/>
                <w:iCs/>
                <w:color w:val="000000"/>
                <w:sz w:val="18"/>
                <w:szCs w:val="18"/>
              </w:rPr>
            </w:pPr>
            <w:r>
              <w:rPr>
                <w:rFonts w:cs="Arial"/>
                <w:iCs/>
                <w:color w:val="000000"/>
                <w:sz w:val="18"/>
                <w:szCs w:val="18"/>
              </w:rPr>
              <w:t>Symbol</w:t>
            </w:r>
          </w:p>
        </w:tc>
        <w:tc>
          <w:tcPr>
            <w:tcW w:w="4072" w:type="pct"/>
            <w:tcBorders>
              <w:top w:val="nil"/>
              <w:left w:val="single" w:sz="4" w:space="0" w:color="522398"/>
              <w:bottom w:val="single" w:sz="12" w:space="0" w:color="522398"/>
            </w:tcBorders>
          </w:tcPr>
          <w:p w:rsidR="00BC55DB" w:rsidRPr="00850632" w:rsidRDefault="00BC55DB" w:rsidP="00850632">
            <w:pPr>
              <w:tabs>
                <w:tab w:val="left" w:pos="979"/>
                <w:tab w:val="right" w:pos="5996"/>
              </w:tabs>
              <w:rPr>
                <w:shd w:val="clear" w:color="auto" w:fill="FFFFFF"/>
              </w:rPr>
            </w:pPr>
            <w:r>
              <w:rPr>
                <w:shd w:val="clear" w:color="auto" w:fill="FFFFFF"/>
              </w:rPr>
              <w:t>Opis</w:t>
            </w:r>
          </w:p>
        </w:tc>
      </w:tr>
      <w:tr w:rsidR="00BC55DB" w:rsidRPr="00FA5128" w:rsidTr="00215481">
        <w:trPr>
          <w:trHeight w:val="57"/>
        </w:trPr>
        <w:tc>
          <w:tcPr>
            <w:tcW w:w="928" w:type="pct"/>
            <w:tcBorders>
              <w:top w:val="single" w:sz="12" w:space="0" w:color="522398"/>
              <w:bottom w:val="single" w:sz="4" w:space="0" w:color="522398"/>
              <w:right w:val="single" w:sz="4" w:space="0" w:color="522398"/>
            </w:tcBorders>
            <w:vAlign w:val="bottom"/>
          </w:tcPr>
          <w:p w:rsidR="00BC55DB" w:rsidRPr="0000727B" w:rsidRDefault="00BC55DB" w:rsidP="00324EA6">
            <w:pPr>
              <w:pStyle w:val="skrt"/>
            </w:pPr>
            <w:r w:rsidRPr="0000727B">
              <w:t>Kreska  (–)</w:t>
            </w:r>
          </w:p>
        </w:tc>
        <w:tc>
          <w:tcPr>
            <w:tcW w:w="4072" w:type="pct"/>
            <w:tcBorders>
              <w:top w:val="single" w:sz="12" w:space="0" w:color="522398"/>
              <w:left w:val="single" w:sz="4" w:space="0" w:color="522398"/>
              <w:bottom w:val="single" w:sz="4" w:space="0" w:color="522398"/>
            </w:tcBorders>
          </w:tcPr>
          <w:p w:rsidR="00BC55DB" w:rsidRPr="0026747F" w:rsidRDefault="0026747F" w:rsidP="0026747F">
            <w:pPr>
              <w:pStyle w:val="Boczek0"/>
              <w:rPr>
                <w:rFonts w:ascii="Fira Sans" w:hAnsi="Fira Sans"/>
                <w:sz w:val="16"/>
                <w:szCs w:val="16"/>
              </w:rPr>
            </w:pPr>
            <w:r w:rsidRPr="0026747F">
              <w:rPr>
                <w:rFonts w:ascii="Fira Sans" w:hAnsi="Fira Sans"/>
                <w:sz w:val="16"/>
                <w:szCs w:val="16"/>
              </w:rPr>
              <w:t>oznacza, że zjawisko nie wystąpiło</w:t>
            </w:r>
          </w:p>
        </w:tc>
      </w:tr>
      <w:tr w:rsidR="00BC55DB" w:rsidRPr="00A24B2E" w:rsidTr="00215481">
        <w:trPr>
          <w:trHeight w:val="57"/>
        </w:trPr>
        <w:tc>
          <w:tcPr>
            <w:tcW w:w="928" w:type="pct"/>
            <w:tcBorders>
              <w:top w:val="single" w:sz="4" w:space="0" w:color="522398"/>
              <w:right w:val="single" w:sz="4" w:space="0" w:color="522398"/>
            </w:tcBorders>
            <w:vAlign w:val="center"/>
          </w:tcPr>
          <w:p w:rsidR="00BC55DB" w:rsidRPr="0000727B" w:rsidRDefault="00BC55DB" w:rsidP="00324EA6">
            <w:pPr>
              <w:pStyle w:val="skrt"/>
            </w:pPr>
            <w:r w:rsidRPr="0000727B">
              <w:t>Kropka  (.)</w:t>
            </w:r>
          </w:p>
        </w:tc>
        <w:tc>
          <w:tcPr>
            <w:tcW w:w="4072" w:type="pct"/>
            <w:tcBorders>
              <w:top w:val="single" w:sz="4" w:space="0" w:color="522398"/>
              <w:left w:val="single" w:sz="4" w:space="0" w:color="522398"/>
            </w:tcBorders>
          </w:tcPr>
          <w:p w:rsidR="00BC55DB" w:rsidRPr="0026747F" w:rsidRDefault="0026747F" w:rsidP="0026747F">
            <w:pPr>
              <w:pStyle w:val="Boczek0"/>
              <w:rPr>
                <w:rFonts w:ascii="Fira Sans" w:hAnsi="Fira Sans"/>
                <w:sz w:val="16"/>
                <w:szCs w:val="16"/>
              </w:rPr>
            </w:pPr>
            <w:r w:rsidRPr="0026747F">
              <w:rPr>
                <w:rFonts w:ascii="Fira Sans" w:hAnsi="Fira Sans"/>
                <w:sz w:val="16"/>
                <w:szCs w:val="16"/>
              </w:rPr>
              <w:t>oznacza: brak informacji, konieczność zachowania tajemnicy statystycznej lub że wypełnienie pozycji jest niemożliwe albo niecelowe</w:t>
            </w:r>
          </w:p>
        </w:tc>
      </w:tr>
      <w:tr w:rsidR="00BC55DB" w:rsidRPr="00A24B2E" w:rsidTr="00215481">
        <w:trPr>
          <w:trHeight w:val="57"/>
        </w:trPr>
        <w:tc>
          <w:tcPr>
            <w:tcW w:w="928" w:type="pct"/>
            <w:tcBorders>
              <w:top w:val="single" w:sz="4" w:space="0" w:color="001D77"/>
              <w:right w:val="single" w:sz="4" w:space="0" w:color="522398"/>
            </w:tcBorders>
            <w:vAlign w:val="bottom"/>
          </w:tcPr>
          <w:p w:rsidR="00BC55DB" w:rsidRPr="0000727B" w:rsidRDefault="00BC55DB" w:rsidP="00324EA6">
            <w:pPr>
              <w:pStyle w:val="skrt"/>
            </w:pPr>
            <w:r w:rsidRPr="0000727B">
              <w:t>Znak  Δ</w:t>
            </w:r>
          </w:p>
        </w:tc>
        <w:tc>
          <w:tcPr>
            <w:tcW w:w="4072" w:type="pct"/>
            <w:tcBorders>
              <w:top w:val="single" w:sz="4" w:space="0" w:color="001D77"/>
              <w:left w:val="single" w:sz="4" w:space="0" w:color="522398"/>
            </w:tcBorders>
          </w:tcPr>
          <w:p w:rsidR="00BC55DB" w:rsidRPr="0000727B" w:rsidRDefault="00BC55DB" w:rsidP="00756152">
            <w:pPr>
              <w:pStyle w:val="opis"/>
              <w:rPr>
                <w:rFonts w:cs="Arial"/>
                <w:color w:val="000000" w:themeColor="text1"/>
              </w:rPr>
            </w:pPr>
            <w:r w:rsidRPr="0000727B">
              <w:t>oznacza, że nazwy zostały skrócone w stosunku do obowiązującej klasyfikacji</w:t>
            </w:r>
          </w:p>
        </w:tc>
      </w:tr>
      <w:tr w:rsidR="00BC55DB" w:rsidRPr="00A24B2E" w:rsidTr="00215481">
        <w:trPr>
          <w:trHeight w:val="57"/>
        </w:trPr>
        <w:tc>
          <w:tcPr>
            <w:tcW w:w="928" w:type="pct"/>
            <w:tcBorders>
              <w:top w:val="single" w:sz="4" w:space="0" w:color="001D77"/>
              <w:bottom w:val="single" w:sz="4" w:space="0" w:color="001D77"/>
              <w:right w:val="single" w:sz="4" w:space="0" w:color="522398"/>
            </w:tcBorders>
            <w:vAlign w:val="bottom"/>
          </w:tcPr>
          <w:p w:rsidR="00BC55DB" w:rsidRPr="0000727B" w:rsidRDefault="00BC55DB" w:rsidP="00324EA6">
            <w:pPr>
              <w:pStyle w:val="skrt"/>
            </w:pPr>
            <w:r w:rsidRPr="0000727B">
              <w:t xml:space="preserve">„W tym” </w:t>
            </w:r>
          </w:p>
        </w:tc>
        <w:tc>
          <w:tcPr>
            <w:tcW w:w="4072" w:type="pct"/>
            <w:tcBorders>
              <w:top w:val="single" w:sz="4" w:space="0" w:color="001D77"/>
              <w:left w:val="single" w:sz="4" w:space="0" w:color="522398"/>
              <w:bottom w:val="single" w:sz="4" w:space="0" w:color="001D77"/>
            </w:tcBorders>
          </w:tcPr>
          <w:p w:rsidR="00BC55DB" w:rsidRPr="0000727B" w:rsidRDefault="00BC55DB" w:rsidP="00756152">
            <w:pPr>
              <w:pStyle w:val="opis"/>
              <w:rPr>
                <w:rFonts w:cs="Arial"/>
                <w:color w:val="000000" w:themeColor="text1"/>
              </w:rPr>
            </w:pPr>
            <w:r w:rsidRPr="0000727B">
              <w:t xml:space="preserve">oznacza, że nie podaje się wszystkich składników sumy </w:t>
            </w:r>
          </w:p>
        </w:tc>
      </w:tr>
      <w:tr w:rsidR="00BC55DB" w:rsidRPr="00A24B2E" w:rsidTr="00215481">
        <w:trPr>
          <w:trHeight w:val="57"/>
        </w:trPr>
        <w:tc>
          <w:tcPr>
            <w:tcW w:w="928" w:type="pct"/>
            <w:tcBorders>
              <w:top w:val="single" w:sz="4" w:space="0" w:color="001D77"/>
              <w:bottom w:val="single" w:sz="4" w:space="0" w:color="001D77"/>
              <w:right w:val="single" w:sz="4" w:space="0" w:color="522398"/>
            </w:tcBorders>
            <w:vAlign w:val="center"/>
          </w:tcPr>
          <w:p w:rsidR="00BC55DB" w:rsidRPr="0000727B" w:rsidRDefault="00BC55DB" w:rsidP="00324EA6">
            <w:pPr>
              <w:pStyle w:val="skrt"/>
            </w:pPr>
            <w:r w:rsidRPr="0000727B">
              <w:t>Znak</w:t>
            </w:r>
            <w:r w:rsidR="008B63B2" w:rsidRPr="0000727B">
              <w:t xml:space="preserve">  </w:t>
            </w:r>
            <w:r w:rsidRPr="0000727B">
              <w:t>*</w:t>
            </w:r>
          </w:p>
        </w:tc>
        <w:tc>
          <w:tcPr>
            <w:tcW w:w="4072" w:type="pct"/>
            <w:tcBorders>
              <w:top w:val="single" w:sz="4" w:space="0" w:color="001D77"/>
              <w:left w:val="single" w:sz="4" w:space="0" w:color="522398"/>
              <w:bottom w:val="single" w:sz="4" w:space="0" w:color="001D77"/>
            </w:tcBorders>
          </w:tcPr>
          <w:p w:rsidR="00BC55DB" w:rsidRPr="0000727B" w:rsidRDefault="00BC55DB" w:rsidP="00756152">
            <w:pPr>
              <w:pStyle w:val="opis"/>
            </w:pPr>
            <w:r w:rsidRPr="0000727B">
              <w:t>oznacza, że dane zostały zmienione w</w:t>
            </w:r>
            <w:r w:rsidR="0026747F">
              <w:t xml:space="preserve"> stosunku do już opublikowanych</w:t>
            </w:r>
          </w:p>
        </w:tc>
      </w:tr>
      <w:tr w:rsidR="00BC55DB" w:rsidRPr="008E7E8E" w:rsidTr="00215481">
        <w:trPr>
          <w:trHeight w:val="57"/>
        </w:trPr>
        <w:tc>
          <w:tcPr>
            <w:tcW w:w="928" w:type="pct"/>
            <w:tcBorders>
              <w:top w:val="single" w:sz="4" w:space="0" w:color="001D77"/>
              <w:bottom w:val="nil"/>
              <w:right w:val="single" w:sz="4" w:space="0" w:color="522398"/>
            </w:tcBorders>
            <w:vAlign w:val="bottom"/>
          </w:tcPr>
          <w:p w:rsidR="00BC55DB" w:rsidRPr="0000727B" w:rsidRDefault="00BC55DB" w:rsidP="00324EA6">
            <w:pPr>
              <w:pStyle w:val="skrt"/>
            </w:pPr>
            <w:r w:rsidRPr="0000727B">
              <w:t>p.proc.</w:t>
            </w:r>
          </w:p>
        </w:tc>
        <w:tc>
          <w:tcPr>
            <w:tcW w:w="4072" w:type="pct"/>
            <w:tcBorders>
              <w:top w:val="single" w:sz="4" w:space="0" w:color="001D77"/>
              <w:left w:val="single" w:sz="4" w:space="0" w:color="522398"/>
              <w:bottom w:val="nil"/>
            </w:tcBorders>
          </w:tcPr>
          <w:p w:rsidR="00BC55DB" w:rsidRPr="0000727B" w:rsidRDefault="0026747F" w:rsidP="00756152">
            <w:pPr>
              <w:pStyle w:val="opis"/>
              <w:rPr>
                <w:lang w:val="en-GB"/>
              </w:rPr>
            </w:pPr>
            <w:r>
              <w:rPr>
                <w:lang w:val="en-GB"/>
              </w:rPr>
              <w:t>punkt procentowy</w:t>
            </w:r>
          </w:p>
        </w:tc>
      </w:tr>
    </w:tbl>
    <w:p w:rsidR="00770B00" w:rsidRDefault="00272F15" w:rsidP="00850140">
      <w:pPr>
        <w:pStyle w:val="tekstuwagi"/>
        <w:spacing w:before="240"/>
      </w:pPr>
      <w:r w:rsidRPr="00F67628">
        <w:t>Dane charakteryzujące województwo wielkopolskie można również znaleźć w publikacjach statystycznych wydawanych przez US w Poznaniu oraz w publikacjach ogólnopolskich GUS.</w:t>
      </w:r>
    </w:p>
    <w:p w:rsidR="008B63B2" w:rsidRPr="00272F15" w:rsidRDefault="00272F15" w:rsidP="0048479D">
      <w:pPr>
        <w:pStyle w:val="tekstuwagi"/>
        <w:rPr>
          <w:b/>
        </w:rPr>
      </w:pPr>
      <w:r w:rsidRPr="00F67628">
        <w:t>Prosimy o podanie źródła przy publikowaniu danych Urzędu Statystycznego.</w:t>
      </w:r>
    </w:p>
    <w:p w:rsidR="00E923A7" w:rsidRPr="00887EC6" w:rsidRDefault="00E923A7" w:rsidP="00E923A7">
      <w:pPr>
        <w:pStyle w:val="Nagwek1"/>
      </w:pPr>
      <w:bookmarkStart w:id="7" w:name="_Toc64884827"/>
      <w:bookmarkStart w:id="8" w:name="_Toc64884996"/>
      <w:bookmarkStart w:id="9" w:name="_Toc64891649"/>
      <w:bookmarkStart w:id="10" w:name="_Toc193459095"/>
      <w:bookmarkStart w:id="11" w:name="_Toc193459757"/>
      <w:r w:rsidRPr="00887EC6">
        <w:lastRenderedPageBreak/>
        <w:t>Rynek pracy</w:t>
      </w:r>
      <w:bookmarkEnd w:id="7"/>
      <w:bookmarkEnd w:id="8"/>
      <w:bookmarkEnd w:id="9"/>
      <w:bookmarkEnd w:id="10"/>
      <w:bookmarkEnd w:id="11"/>
    </w:p>
    <w:p w:rsidR="00E923A7" w:rsidRDefault="00E923A7" w:rsidP="00E923A7">
      <w:pPr>
        <w:pStyle w:val="tekst"/>
      </w:pPr>
      <w:r>
        <w:t xml:space="preserve">W lutym br. zanotowano wzrost przeciętnego miesięcznego zatrudnienia w sektorze przedsiębiorstw w odniesieniu do analogicznego okresu poprzedniego roku. </w:t>
      </w:r>
      <w:r w:rsidR="0087564A" w:rsidRPr="0087564A">
        <w:t>Na poziomie ubiegłorocznym kształtowała się stopa bezrobocia rejestrowanego. Ws</w:t>
      </w:r>
      <w:r w:rsidR="0087564A">
        <w:t>kaźnik ten pozostaje ciągle naj</w:t>
      </w:r>
      <w:r w:rsidR="0087564A" w:rsidRPr="0087564A">
        <w:t>niższy w kraju.</w:t>
      </w:r>
    </w:p>
    <w:p w:rsidR="00E923A7" w:rsidRDefault="00E923A7" w:rsidP="00E923A7">
      <w:pPr>
        <w:pStyle w:val="tekst"/>
      </w:pPr>
      <w:r w:rsidRPr="00384D57">
        <w:rPr>
          <w:b/>
        </w:rPr>
        <w:t>Przeciętne zatrudnienie</w:t>
      </w:r>
      <w:r w:rsidRPr="004B3B93">
        <w:t xml:space="preserve"> w sektorze przedsiębiorstw </w:t>
      </w:r>
      <w:r>
        <w:t>w lutym</w:t>
      </w:r>
      <w:r w:rsidRPr="004B3B93">
        <w:t xml:space="preserve"> </w:t>
      </w:r>
      <w:r>
        <w:t>br.</w:t>
      </w:r>
      <w:r w:rsidRPr="004B3B93">
        <w:t xml:space="preserve"> wyniosło </w:t>
      </w:r>
      <w:r>
        <w:t xml:space="preserve">862,9 </w:t>
      </w:r>
      <w:r w:rsidRPr="004B3B93">
        <w:t>tys. os</w:t>
      </w:r>
      <w:r>
        <w:t>ób, tj. o 0,1% więcej niż</w:t>
      </w:r>
      <w:r w:rsidRPr="004B3B93">
        <w:t xml:space="preserve"> przed miesiącem</w:t>
      </w:r>
      <w:r>
        <w:t xml:space="preserve"> i </w:t>
      </w:r>
      <w:r w:rsidRPr="004B3B93">
        <w:t xml:space="preserve">o </w:t>
      </w:r>
      <w:r>
        <w:t>0,8</w:t>
      </w:r>
      <w:r w:rsidRPr="004B3B93">
        <w:t xml:space="preserve">% </w:t>
      </w:r>
      <w:r>
        <w:t xml:space="preserve">więcej niż </w:t>
      </w:r>
      <w:r w:rsidRPr="004B3B93">
        <w:t>przed rokiem (</w:t>
      </w:r>
      <w:r>
        <w:t>w lutym</w:t>
      </w:r>
      <w:r w:rsidRPr="004B3B93">
        <w:t xml:space="preserve"> </w:t>
      </w:r>
      <w:r>
        <w:t>ub. roku</w:t>
      </w:r>
      <w:r w:rsidRPr="004B3B93">
        <w:t xml:space="preserve"> </w:t>
      </w:r>
      <w:r>
        <w:t xml:space="preserve">notowano wzrost </w:t>
      </w:r>
      <w:r w:rsidRPr="004B3B93">
        <w:t xml:space="preserve">zatrudnienia </w:t>
      </w:r>
      <w:r>
        <w:t xml:space="preserve">o 0,1% </w:t>
      </w:r>
      <w:r w:rsidRPr="004B3B93">
        <w:t>w ujęciu miesięcznym</w:t>
      </w:r>
      <w:r>
        <w:t>, ale spadek o 0,6</w:t>
      </w:r>
      <w:r w:rsidRPr="004B3B93">
        <w:t>%</w:t>
      </w:r>
      <w:r>
        <w:t xml:space="preserve"> </w:t>
      </w:r>
      <w:r w:rsidRPr="004B3B93">
        <w:t>w stosunku rocznym).</w:t>
      </w:r>
    </w:p>
    <w:p w:rsidR="00E923A7" w:rsidRDefault="00E923A7" w:rsidP="00E923A7">
      <w:pPr>
        <w:pStyle w:val="Tytultabeli"/>
      </w:pPr>
      <w:r w:rsidRPr="00CC7BE0">
        <w:t>Tablica 1.</w:t>
      </w:r>
      <w:r>
        <w:tab/>
      </w:r>
      <w:r w:rsidRPr="00CC7BE0">
        <w:t>Przeciętne zatrudnienie w sektorze przedsiębiorstw</w:t>
      </w:r>
      <w:r>
        <w:t xml:space="preserve"> </w:t>
      </w:r>
    </w:p>
    <w:tbl>
      <w:tblPr>
        <w:tblW w:w="0" w:type="auto"/>
        <w:jc w:val="center"/>
        <w:tblBorders>
          <w:insideH w:val="single" w:sz="4" w:space="0" w:color="001D77"/>
          <w:insideV w:val="single" w:sz="4" w:space="0" w:color="212492"/>
        </w:tblBorders>
        <w:tblLayout w:type="fixed"/>
        <w:tblCellMar>
          <w:top w:w="57" w:type="dxa"/>
          <w:bottom w:w="57" w:type="dxa"/>
        </w:tblCellMar>
        <w:tblLook w:val="0420" w:firstRow="1" w:lastRow="0" w:firstColumn="0" w:lastColumn="0" w:noHBand="0" w:noVBand="1"/>
        <w:tblDescription w:val="Tablica prezentuje poziom przeciętnego zatrudnienia w sektorze przedsiębiorstw w przekroju sekcji PKD, w miesiącu badawczym (luty &#10;br.) i w okresie narastającym (styczeń-luty br.) oraz jego dynamikę w odniesieniu do analogicznych okresów ub. roku. Dane do tablicy dostępne w pliku w formacie XLSX"/>
      </w:tblPr>
      <w:tblGrid>
        <w:gridCol w:w="4253"/>
        <w:gridCol w:w="1556"/>
        <w:gridCol w:w="1557"/>
        <w:gridCol w:w="1556"/>
        <w:gridCol w:w="1557"/>
      </w:tblGrid>
      <w:tr w:rsidR="00E923A7" w:rsidRPr="00E87892" w:rsidTr="00072CE1">
        <w:trPr>
          <w:trHeight w:val="57"/>
          <w:tblHeader/>
          <w:jc w:val="center"/>
        </w:trPr>
        <w:tc>
          <w:tcPr>
            <w:tcW w:w="4253" w:type="dxa"/>
            <w:vMerge w:val="restart"/>
            <w:tcBorders>
              <w:top w:val="nil"/>
              <w:bottom w:val="single" w:sz="4" w:space="0" w:color="522398"/>
              <w:right w:val="single" w:sz="4" w:space="0" w:color="522398"/>
            </w:tcBorders>
            <w:vAlign w:val="center"/>
          </w:tcPr>
          <w:p w:rsidR="00E923A7" w:rsidRPr="00823825" w:rsidRDefault="00E923A7" w:rsidP="00072CE1">
            <w:pPr>
              <w:pStyle w:val="glowka1"/>
            </w:pPr>
            <w:r w:rsidRPr="00823825">
              <w:t>Wyszczególnienie</w:t>
            </w:r>
          </w:p>
        </w:tc>
        <w:tc>
          <w:tcPr>
            <w:tcW w:w="3113" w:type="dxa"/>
            <w:gridSpan w:val="2"/>
            <w:tcBorders>
              <w:top w:val="nil"/>
              <w:bottom w:val="single" w:sz="4" w:space="0" w:color="522398"/>
              <w:right w:val="single" w:sz="4" w:space="0" w:color="522398"/>
            </w:tcBorders>
          </w:tcPr>
          <w:p w:rsidR="00E923A7" w:rsidRDefault="00E923A7" w:rsidP="00072CE1">
            <w:pPr>
              <w:pStyle w:val="glowka1"/>
            </w:pPr>
            <w:r>
              <w:t>02</w:t>
            </w:r>
            <w:r w:rsidRPr="00823825">
              <w:t xml:space="preserve"> 20</w:t>
            </w:r>
            <w:r>
              <w:t>25</w:t>
            </w:r>
          </w:p>
        </w:tc>
        <w:tc>
          <w:tcPr>
            <w:tcW w:w="3113" w:type="dxa"/>
            <w:gridSpan w:val="2"/>
            <w:tcBorders>
              <w:top w:val="nil"/>
              <w:left w:val="single" w:sz="4" w:space="0" w:color="522398"/>
              <w:bottom w:val="single" w:sz="4" w:space="0" w:color="522398"/>
            </w:tcBorders>
            <w:vAlign w:val="center"/>
          </w:tcPr>
          <w:p w:rsidR="00E923A7" w:rsidRPr="00823825" w:rsidRDefault="00E923A7" w:rsidP="00072CE1">
            <w:pPr>
              <w:pStyle w:val="glowka1"/>
            </w:pPr>
            <w:r>
              <w:t xml:space="preserve">01–02 </w:t>
            </w:r>
            <w:r w:rsidRPr="00823825">
              <w:t>20</w:t>
            </w:r>
            <w:r>
              <w:t>25</w:t>
            </w:r>
          </w:p>
        </w:tc>
      </w:tr>
      <w:tr w:rsidR="00E923A7" w:rsidRPr="00E87892" w:rsidTr="00072CE1">
        <w:trPr>
          <w:trHeight w:val="510"/>
          <w:tblHeader/>
          <w:jc w:val="center"/>
        </w:trPr>
        <w:tc>
          <w:tcPr>
            <w:tcW w:w="4253" w:type="dxa"/>
            <w:vMerge/>
            <w:tcBorders>
              <w:top w:val="single" w:sz="4" w:space="0" w:color="522398"/>
              <w:bottom w:val="single" w:sz="12" w:space="0" w:color="522398"/>
              <w:right w:val="single" w:sz="4" w:space="0" w:color="522398"/>
            </w:tcBorders>
            <w:vAlign w:val="center"/>
          </w:tcPr>
          <w:p w:rsidR="00E923A7" w:rsidRPr="00823825" w:rsidRDefault="00E923A7" w:rsidP="00072CE1">
            <w:pPr>
              <w:pStyle w:val="glowka1"/>
            </w:pPr>
          </w:p>
        </w:tc>
        <w:tc>
          <w:tcPr>
            <w:tcW w:w="1556" w:type="dxa"/>
            <w:tcBorders>
              <w:top w:val="single" w:sz="4" w:space="0" w:color="522398"/>
              <w:bottom w:val="single" w:sz="12" w:space="0" w:color="522398"/>
            </w:tcBorders>
            <w:vAlign w:val="center"/>
          </w:tcPr>
          <w:p w:rsidR="00E923A7" w:rsidRPr="00823825" w:rsidRDefault="00E923A7" w:rsidP="00072CE1">
            <w:pPr>
              <w:pStyle w:val="glowka1"/>
            </w:pPr>
            <w:r w:rsidRPr="00823825">
              <w:t>w tys.</w:t>
            </w:r>
          </w:p>
        </w:tc>
        <w:tc>
          <w:tcPr>
            <w:tcW w:w="1557" w:type="dxa"/>
            <w:tcBorders>
              <w:top w:val="single" w:sz="4" w:space="0" w:color="522398"/>
              <w:bottom w:val="single" w:sz="12" w:space="0" w:color="522398"/>
              <w:right w:val="single" w:sz="4" w:space="0" w:color="522398"/>
            </w:tcBorders>
            <w:vAlign w:val="center"/>
          </w:tcPr>
          <w:p w:rsidR="00E923A7" w:rsidRPr="00823825" w:rsidRDefault="00E923A7" w:rsidP="00072CE1">
            <w:pPr>
              <w:pStyle w:val="glowka1"/>
            </w:pPr>
            <w:r>
              <w:t>02</w:t>
            </w:r>
            <w:r w:rsidRPr="00823825">
              <w:t xml:space="preserve"> 20</w:t>
            </w:r>
            <w:r>
              <w:t>24</w:t>
            </w:r>
            <w:r w:rsidRPr="00823825">
              <w:t>=100</w:t>
            </w:r>
          </w:p>
        </w:tc>
        <w:tc>
          <w:tcPr>
            <w:tcW w:w="1556" w:type="dxa"/>
            <w:tcBorders>
              <w:top w:val="single" w:sz="4" w:space="0" w:color="522398"/>
              <w:left w:val="single" w:sz="4" w:space="0" w:color="522398"/>
              <w:bottom w:val="single" w:sz="12" w:space="0" w:color="522398"/>
              <w:right w:val="single" w:sz="4" w:space="0" w:color="522398"/>
            </w:tcBorders>
            <w:vAlign w:val="center"/>
          </w:tcPr>
          <w:p w:rsidR="00E923A7" w:rsidRPr="00823825" w:rsidRDefault="00E923A7" w:rsidP="00072CE1">
            <w:pPr>
              <w:pStyle w:val="glowka1"/>
            </w:pPr>
            <w:r w:rsidRPr="00823825">
              <w:t>w tys.</w:t>
            </w:r>
          </w:p>
        </w:tc>
        <w:tc>
          <w:tcPr>
            <w:tcW w:w="1557" w:type="dxa"/>
            <w:tcBorders>
              <w:top w:val="single" w:sz="4" w:space="0" w:color="522398"/>
              <w:left w:val="single" w:sz="4" w:space="0" w:color="522398"/>
              <w:bottom w:val="single" w:sz="12" w:space="0" w:color="522398"/>
            </w:tcBorders>
            <w:vAlign w:val="center"/>
          </w:tcPr>
          <w:p w:rsidR="00E923A7" w:rsidRPr="00823825" w:rsidRDefault="00E923A7" w:rsidP="00072CE1">
            <w:pPr>
              <w:pStyle w:val="glowka1"/>
            </w:pPr>
            <w:r>
              <w:t xml:space="preserve">01–02 </w:t>
            </w:r>
            <w:r w:rsidRPr="00823825">
              <w:t>20</w:t>
            </w:r>
            <w:r>
              <w:t>24</w:t>
            </w:r>
            <w:r w:rsidRPr="00823825">
              <w:t>=100</w:t>
            </w:r>
          </w:p>
        </w:tc>
      </w:tr>
      <w:tr w:rsidR="00E923A7" w:rsidRPr="00E87892" w:rsidTr="00072CE1">
        <w:trPr>
          <w:trHeight w:val="227"/>
          <w:jc w:val="center"/>
        </w:trPr>
        <w:tc>
          <w:tcPr>
            <w:tcW w:w="4253" w:type="dxa"/>
            <w:tcBorders>
              <w:top w:val="single" w:sz="12" w:space="0" w:color="522398"/>
              <w:bottom w:val="single" w:sz="4" w:space="0" w:color="522398"/>
              <w:right w:val="single" w:sz="4" w:space="0" w:color="522398"/>
            </w:tcBorders>
            <w:vAlign w:val="center"/>
          </w:tcPr>
          <w:p w:rsidR="00E923A7" w:rsidRPr="00823825" w:rsidRDefault="00E923A7" w:rsidP="00072CE1">
            <w:pPr>
              <w:pStyle w:val="bocz1t"/>
            </w:pPr>
            <w:r>
              <w:t>OGÓŁEM</w:t>
            </w:r>
          </w:p>
        </w:tc>
        <w:tc>
          <w:tcPr>
            <w:tcW w:w="1556" w:type="dxa"/>
            <w:tcBorders>
              <w:top w:val="single" w:sz="12" w:space="0" w:color="522398"/>
              <w:bottom w:val="single" w:sz="4" w:space="0" w:color="522398"/>
            </w:tcBorders>
          </w:tcPr>
          <w:p w:rsidR="00E923A7" w:rsidRPr="00581FE0" w:rsidRDefault="00E923A7" w:rsidP="00072CE1">
            <w:pPr>
              <w:pStyle w:val="tableteksttab"/>
              <w:rPr>
                <w:b/>
              </w:rPr>
            </w:pPr>
            <w:r w:rsidRPr="00581FE0">
              <w:rPr>
                <w:b/>
              </w:rPr>
              <w:t>862,9</w:t>
            </w:r>
          </w:p>
        </w:tc>
        <w:tc>
          <w:tcPr>
            <w:tcW w:w="1557" w:type="dxa"/>
            <w:tcBorders>
              <w:top w:val="single" w:sz="12" w:space="0" w:color="522398"/>
              <w:bottom w:val="single" w:sz="4" w:space="0" w:color="522398"/>
              <w:right w:val="single" w:sz="4" w:space="0" w:color="522398"/>
            </w:tcBorders>
          </w:tcPr>
          <w:p w:rsidR="00E923A7" w:rsidRPr="00581FE0" w:rsidRDefault="00E923A7" w:rsidP="00072CE1">
            <w:pPr>
              <w:pStyle w:val="tableteksttab"/>
              <w:rPr>
                <w:b/>
              </w:rPr>
            </w:pPr>
            <w:r w:rsidRPr="00581FE0">
              <w:rPr>
                <w:b/>
              </w:rPr>
              <w:t>100,8</w:t>
            </w:r>
          </w:p>
        </w:tc>
        <w:tc>
          <w:tcPr>
            <w:tcW w:w="1556" w:type="dxa"/>
            <w:tcBorders>
              <w:top w:val="single" w:sz="12" w:space="0" w:color="522398"/>
              <w:left w:val="single" w:sz="4" w:space="0" w:color="522398"/>
              <w:bottom w:val="single" w:sz="4" w:space="0" w:color="522398"/>
              <w:right w:val="single" w:sz="4" w:space="0" w:color="522398"/>
            </w:tcBorders>
          </w:tcPr>
          <w:p w:rsidR="00E923A7" w:rsidRPr="00581FE0" w:rsidRDefault="00E923A7" w:rsidP="00072CE1">
            <w:pPr>
              <w:pStyle w:val="tableteksttab"/>
              <w:rPr>
                <w:b/>
              </w:rPr>
            </w:pPr>
            <w:r w:rsidRPr="00581FE0">
              <w:rPr>
                <w:b/>
              </w:rPr>
              <w:t>861,5</w:t>
            </w:r>
          </w:p>
        </w:tc>
        <w:tc>
          <w:tcPr>
            <w:tcW w:w="1557" w:type="dxa"/>
            <w:tcBorders>
              <w:top w:val="single" w:sz="12" w:space="0" w:color="522398"/>
              <w:left w:val="single" w:sz="4" w:space="0" w:color="522398"/>
              <w:bottom w:val="single" w:sz="4" w:space="0" w:color="522398"/>
            </w:tcBorders>
          </w:tcPr>
          <w:p w:rsidR="00E923A7" w:rsidRPr="00581FE0" w:rsidRDefault="00E923A7" w:rsidP="00072CE1">
            <w:pPr>
              <w:pStyle w:val="tableteksttab"/>
              <w:rPr>
                <w:b/>
              </w:rPr>
            </w:pPr>
            <w:r w:rsidRPr="00581FE0">
              <w:rPr>
                <w:b/>
              </w:rPr>
              <w:t>100,6</w:t>
            </w:r>
          </w:p>
        </w:tc>
      </w:tr>
      <w:tr w:rsidR="00E923A7" w:rsidRPr="00E87892" w:rsidTr="00072CE1">
        <w:trPr>
          <w:trHeight w:val="227"/>
          <w:jc w:val="center"/>
        </w:trPr>
        <w:tc>
          <w:tcPr>
            <w:tcW w:w="4253" w:type="dxa"/>
            <w:tcBorders>
              <w:top w:val="single" w:sz="4" w:space="0" w:color="522398"/>
              <w:bottom w:val="single" w:sz="4" w:space="0" w:color="001D77"/>
            </w:tcBorders>
            <w:vAlign w:val="center"/>
          </w:tcPr>
          <w:p w:rsidR="00E923A7" w:rsidRPr="00823825" w:rsidRDefault="00E923A7" w:rsidP="00072CE1">
            <w:pPr>
              <w:pStyle w:val="boczekbez"/>
            </w:pPr>
            <w:r w:rsidRPr="00823825">
              <w:t>w tym:</w:t>
            </w:r>
          </w:p>
        </w:tc>
        <w:tc>
          <w:tcPr>
            <w:tcW w:w="1556" w:type="dxa"/>
            <w:tcBorders>
              <w:top w:val="single" w:sz="4" w:space="0" w:color="522398"/>
              <w:bottom w:val="single" w:sz="4" w:space="0" w:color="001D77"/>
            </w:tcBorders>
          </w:tcPr>
          <w:p w:rsidR="00E923A7" w:rsidRPr="00603403" w:rsidRDefault="00E923A7" w:rsidP="00072CE1">
            <w:pPr>
              <w:pStyle w:val="tableteksttab"/>
            </w:pPr>
          </w:p>
        </w:tc>
        <w:tc>
          <w:tcPr>
            <w:tcW w:w="1557" w:type="dxa"/>
            <w:tcBorders>
              <w:top w:val="single" w:sz="4" w:space="0" w:color="522398"/>
              <w:bottom w:val="single" w:sz="4" w:space="0" w:color="001D77"/>
            </w:tcBorders>
          </w:tcPr>
          <w:p w:rsidR="00E923A7" w:rsidRPr="00603403" w:rsidRDefault="00E923A7" w:rsidP="00072CE1">
            <w:pPr>
              <w:pStyle w:val="tableteksttab"/>
            </w:pPr>
          </w:p>
        </w:tc>
        <w:tc>
          <w:tcPr>
            <w:tcW w:w="1556" w:type="dxa"/>
            <w:tcBorders>
              <w:top w:val="single" w:sz="4" w:space="0" w:color="522398"/>
              <w:bottom w:val="single" w:sz="4" w:space="0" w:color="001D77"/>
            </w:tcBorders>
          </w:tcPr>
          <w:p w:rsidR="00E923A7" w:rsidRPr="00603403" w:rsidRDefault="00E923A7" w:rsidP="00072CE1">
            <w:pPr>
              <w:pStyle w:val="tableteksttab"/>
            </w:pPr>
          </w:p>
        </w:tc>
        <w:tc>
          <w:tcPr>
            <w:tcW w:w="1557" w:type="dxa"/>
            <w:tcBorders>
              <w:top w:val="single" w:sz="4" w:space="0" w:color="522398"/>
              <w:bottom w:val="single" w:sz="4" w:space="0" w:color="001D77"/>
            </w:tcBorders>
          </w:tcPr>
          <w:p w:rsidR="00E923A7" w:rsidRPr="00603403" w:rsidRDefault="00E923A7" w:rsidP="00072CE1">
            <w:pPr>
              <w:pStyle w:val="tableteksttab"/>
            </w:pPr>
          </w:p>
        </w:tc>
      </w:tr>
      <w:tr w:rsidR="00E923A7" w:rsidRPr="00E87892" w:rsidTr="00072CE1">
        <w:trPr>
          <w:trHeight w:val="227"/>
          <w:jc w:val="center"/>
        </w:trPr>
        <w:tc>
          <w:tcPr>
            <w:tcW w:w="4253" w:type="dxa"/>
            <w:tcBorders>
              <w:top w:val="single" w:sz="4" w:space="0" w:color="001D77"/>
            </w:tcBorders>
            <w:vAlign w:val="center"/>
          </w:tcPr>
          <w:p w:rsidR="00E923A7" w:rsidRPr="00823825" w:rsidRDefault="00E923A7" w:rsidP="00072CE1">
            <w:pPr>
              <w:pStyle w:val="boczek1"/>
              <w:rPr>
                <w:rStyle w:val="boczekZnak"/>
              </w:rPr>
            </w:pPr>
            <w:r w:rsidRPr="00823825">
              <w:t>Przemysł</w:t>
            </w:r>
          </w:p>
        </w:tc>
        <w:tc>
          <w:tcPr>
            <w:tcW w:w="1556" w:type="dxa"/>
            <w:tcBorders>
              <w:top w:val="single" w:sz="4" w:space="0" w:color="001D77"/>
            </w:tcBorders>
          </w:tcPr>
          <w:p w:rsidR="00E923A7" w:rsidRPr="00603403" w:rsidRDefault="00E923A7" w:rsidP="00072CE1">
            <w:pPr>
              <w:pStyle w:val="tableteksttab"/>
            </w:pPr>
            <w:r w:rsidRPr="00603403">
              <w:t>333,7</w:t>
            </w:r>
          </w:p>
        </w:tc>
        <w:tc>
          <w:tcPr>
            <w:tcW w:w="1557" w:type="dxa"/>
            <w:tcBorders>
              <w:top w:val="single" w:sz="4" w:space="0" w:color="001D77"/>
            </w:tcBorders>
          </w:tcPr>
          <w:p w:rsidR="00E923A7" w:rsidRPr="00603403" w:rsidRDefault="00E923A7" w:rsidP="00072CE1">
            <w:pPr>
              <w:pStyle w:val="tableteksttab"/>
            </w:pPr>
            <w:r w:rsidRPr="00603403">
              <w:t>99,0</w:t>
            </w:r>
          </w:p>
        </w:tc>
        <w:tc>
          <w:tcPr>
            <w:tcW w:w="1556" w:type="dxa"/>
            <w:tcBorders>
              <w:top w:val="single" w:sz="4" w:space="0" w:color="001D77"/>
            </w:tcBorders>
          </w:tcPr>
          <w:p w:rsidR="00E923A7" w:rsidRPr="00603403" w:rsidRDefault="00E923A7" w:rsidP="00072CE1">
            <w:pPr>
              <w:pStyle w:val="tableteksttab"/>
            </w:pPr>
            <w:r w:rsidRPr="00603403">
              <w:t>333,6</w:t>
            </w:r>
          </w:p>
        </w:tc>
        <w:tc>
          <w:tcPr>
            <w:tcW w:w="1557" w:type="dxa"/>
            <w:tcBorders>
              <w:top w:val="single" w:sz="4" w:space="0" w:color="001D77"/>
            </w:tcBorders>
          </w:tcPr>
          <w:p w:rsidR="00E923A7" w:rsidRPr="00603403" w:rsidRDefault="00E923A7" w:rsidP="00072CE1">
            <w:pPr>
              <w:pStyle w:val="tableteksttab"/>
            </w:pPr>
            <w:r w:rsidRPr="00603403">
              <w:t>99,0</w:t>
            </w:r>
          </w:p>
        </w:tc>
      </w:tr>
      <w:tr w:rsidR="00E923A7" w:rsidRPr="00E87892" w:rsidTr="00072CE1">
        <w:trPr>
          <w:trHeight w:val="227"/>
          <w:jc w:val="center"/>
        </w:trPr>
        <w:tc>
          <w:tcPr>
            <w:tcW w:w="4253" w:type="dxa"/>
            <w:vAlign w:val="center"/>
          </w:tcPr>
          <w:p w:rsidR="00E923A7" w:rsidRPr="00823825" w:rsidRDefault="00E923A7" w:rsidP="00072CE1">
            <w:pPr>
              <w:pStyle w:val="boczek2"/>
            </w:pPr>
            <w:r w:rsidRPr="00823825">
              <w:t>górnictwo i wydobywanie</w:t>
            </w:r>
          </w:p>
        </w:tc>
        <w:tc>
          <w:tcPr>
            <w:tcW w:w="1556" w:type="dxa"/>
          </w:tcPr>
          <w:p w:rsidR="00E923A7" w:rsidRPr="00603403" w:rsidRDefault="00E923A7" w:rsidP="00072CE1">
            <w:pPr>
              <w:pStyle w:val="tableteksttab"/>
            </w:pPr>
            <w:r w:rsidRPr="00603403">
              <w:t>3,4</w:t>
            </w:r>
          </w:p>
        </w:tc>
        <w:tc>
          <w:tcPr>
            <w:tcW w:w="1557" w:type="dxa"/>
          </w:tcPr>
          <w:p w:rsidR="00E923A7" w:rsidRPr="00603403" w:rsidRDefault="00E923A7" w:rsidP="00072CE1">
            <w:pPr>
              <w:pStyle w:val="tableteksttab"/>
            </w:pPr>
            <w:r w:rsidRPr="00603403">
              <w:t>94,7</w:t>
            </w:r>
          </w:p>
        </w:tc>
        <w:tc>
          <w:tcPr>
            <w:tcW w:w="1556" w:type="dxa"/>
          </w:tcPr>
          <w:p w:rsidR="00E923A7" w:rsidRPr="00603403" w:rsidRDefault="00E923A7" w:rsidP="00072CE1">
            <w:pPr>
              <w:pStyle w:val="tableteksttab"/>
            </w:pPr>
            <w:r w:rsidRPr="00603403">
              <w:t>3,4</w:t>
            </w:r>
          </w:p>
        </w:tc>
        <w:tc>
          <w:tcPr>
            <w:tcW w:w="1557" w:type="dxa"/>
          </w:tcPr>
          <w:p w:rsidR="00E923A7" w:rsidRPr="00603403" w:rsidRDefault="00E923A7" w:rsidP="00072CE1">
            <w:pPr>
              <w:pStyle w:val="tableteksttab"/>
            </w:pPr>
            <w:r w:rsidRPr="00603403">
              <w:t>94,9</w:t>
            </w:r>
          </w:p>
        </w:tc>
      </w:tr>
      <w:tr w:rsidR="00E923A7" w:rsidRPr="00E87892" w:rsidTr="00072CE1">
        <w:trPr>
          <w:trHeight w:val="227"/>
          <w:jc w:val="center"/>
        </w:trPr>
        <w:tc>
          <w:tcPr>
            <w:tcW w:w="4253" w:type="dxa"/>
            <w:vAlign w:val="center"/>
          </w:tcPr>
          <w:p w:rsidR="00E923A7" w:rsidRPr="00823825" w:rsidRDefault="00E923A7" w:rsidP="00072CE1">
            <w:pPr>
              <w:pStyle w:val="boczek2"/>
            </w:pPr>
            <w:r w:rsidRPr="00823825">
              <w:t>przetwórstwo przemysłowe</w:t>
            </w:r>
          </w:p>
        </w:tc>
        <w:tc>
          <w:tcPr>
            <w:tcW w:w="1556" w:type="dxa"/>
          </w:tcPr>
          <w:p w:rsidR="00E923A7" w:rsidRPr="00603403" w:rsidRDefault="00E923A7" w:rsidP="00072CE1">
            <w:pPr>
              <w:pStyle w:val="tableteksttab"/>
            </w:pPr>
            <w:r w:rsidRPr="00603403">
              <w:t>308,9</w:t>
            </w:r>
          </w:p>
        </w:tc>
        <w:tc>
          <w:tcPr>
            <w:tcW w:w="1557" w:type="dxa"/>
          </w:tcPr>
          <w:p w:rsidR="00E923A7" w:rsidRPr="00603403" w:rsidRDefault="00E923A7" w:rsidP="00072CE1">
            <w:pPr>
              <w:pStyle w:val="tableteksttab"/>
            </w:pPr>
            <w:r w:rsidRPr="00603403">
              <w:t>99,1</w:t>
            </w:r>
          </w:p>
        </w:tc>
        <w:tc>
          <w:tcPr>
            <w:tcW w:w="1556" w:type="dxa"/>
          </w:tcPr>
          <w:p w:rsidR="00E923A7" w:rsidRPr="00603403" w:rsidRDefault="00E923A7" w:rsidP="00072CE1">
            <w:pPr>
              <w:pStyle w:val="tableteksttab"/>
            </w:pPr>
            <w:r w:rsidRPr="00603403">
              <w:t>308,7</w:t>
            </w:r>
          </w:p>
        </w:tc>
        <w:tc>
          <w:tcPr>
            <w:tcW w:w="1557" w:type="dxa"/>
          </w:tcPr>
          <w:p w:rsidR="00E923A7" w:rsidRPr="00603403" w:rsidRDefault="00E923A7" w:rsidP="00072CE1">
            <w:pPr>
              <w:pStyle w:val="tableteksttab"/>
            </w:pPr>
            <w:r w:rsidRPr="00603403">
              <w:t>99,0</w:t>
            </w:r>
          </w:p>
        </w:tc>
      </w:tr>
      <w:tr w:rsidR="00E923A7" w:rsidRPr="00E87892" w:rsidTr="00072CE1">
        <w:trPr>
          <w:trHeight w:val="227"/>
          <w:jc w:val="center"/>
        </w:trPr>
        <w:tc>
          <w:tcPr>
            <w:tcW w:w="4253" w:type="dxa"/>
            <w:vAlign w:val="bottom"/>
          </w:tcPr>
          <w:p w:rsidR="00E923A7" w:rsidRPr="00823825" w:rsidRDefault="00E923A7" w:rsidP="00072CE1">
            <w:pPr>
              <w:pStyle w:val="boczek2"/>
            </w:pPr>
            <w:r w:rsidRPr="00823825">
              <w:t>wytwarzanie i zaopatrywanie w energię elektryczną,</w:t>
            </w:r>
            <w:r>
              <w:t xml:space="preserve"> </w:t>
            </w:r>
            <w:r w:rsidRPr="00823825">
              <w:t>gaz, parę</w:t>
            </w:r>
            <w:r>
              <w:t xml:space="preserve"> </w:t>
            </w:r>
            <w:r w:rsidRPr="00823825">
              <w:t xml:space="preserve">wodną </w:t>
            </w:r>
            <w:r>
              <w:t xml:space="preserve">i </w:t>
            </w:r>
            <w:r w:rsidRPr="00823825">
              <w:t>gorącą wodę</w:t>
            </w:r>
            <w:bookmarkStart w:id="12" w:name="OLE_LINK1"/>
            <w:r w:rsidRPr="00823825">
              <w:rPr>
                <w:rFonts w:ascii="Symbol" w:hAnsi="Symbol"/>
                <w:vertAlign w:val="superscript"/>
              </w:rPr>
              <w:t></w:t>
            </w:r>
            <w:bookmarkEnd w:id="12"/>
          </w:p>
        </w:tc>
        <w:tc>
          <w:tcPr>
            <w:tcW w:w="1556" w:type="dxa"/>
          </w:tcPr>
          <w:p w:rsidR="00E923A7" w:rsidRPr="00603403" w:rsidRDefault="00E923A7" w:rsidP="00072CE1">
            <w:pPr>
              <w:pStyle w:val="tableteksttab"/>
            </w:pPr>
            <w:r>
              <w:br/>
            </w:r>
            <w:r w:rsidRPr="00603403">
              <w:t>7,9</w:t>
            </w:r>
          </w:p>
        </w:tc>
        <w:tc>
          <w:tcPr>
            <w:tcW w:w="1557" w:type="dxa"/>
          </w:tcPr>
          <w:p w:rsidR="00E923A7" w:rsidRPr="00603403" w:rsidRDefault="00E923A7" w:rsidP="00072CE1">
            <w:pPr>
              <w:pStyle w:val="tableteksttab"/>
            </w:pPr>
            <w:r>
              <w:br/>
            </w:r>
            <w:r w:rsidRPr="00603403">
              <w:t>101,5</w:t>
            </w:r>
          </w:p>
        </w:tc>
        <w:tc>
          <w:tcPr>
            <w:tcW w:w="1556" w:type="dxa"/>
          </w:tcPr>
          <w:p w:rsidR="00E923A7" w:rsidRPr="00603403" w:rsidRDefault="00E923A7" w:rsidP="00072CE1">
            <w:pPr>
              <w:pStyle w:val="tableteksttab"/>
            </w:pPr>
            <w:r>
              <w:br/>
            </w:r>
            <w:r w:rsidRPr="00603403">
              <w:t>7,9</w:t>
            </w:r>
          </w:p>
        </w:tc>
        <w:tc>
          <w:tcPr>
            <w:tcW w:w="1557" w:type="dxa"/>
          </w:tcPr>
          <w:p w:rsidR="00E923A7" w:rsidRPr="00603403" w:rsidRDefault="00E923A7" w:rsidP="00072CE1">
            <w:pPr>
              <w:pStyle w:val="tableteksttab"/>
            </w:pPr>
            <w:r>
              <w:br/>
            </w:r>
            <w:r w:rsidRPr="00603403">
              <w:t>101,6</w:t>
            </w:r>
          </w:p>
        </w:tc>
      </w:tr>
      <w:tr w:rsidR="00E923A7" w:rsidRPr="00E87892" w:rsidTr="00072CE1">
        <w:trPr>
          <w:trHeight w:val="227"/>
          <w:jc w:val="center"/>
        </w:trPr>
        <w:tc>
          <w:tcPr>
            <w:tcW w:w="4253" w:type="dxa"/>
            <w:vAlign w:val="bottom"/>
          </w:tcPr>
          <w:p w:rsidR="00E923A7" w:rsidRPr="00823825" w:rsidRDefault="00E923A7" w:rsidP="00072CE1">
            <w:pPr>
              <w:pStyle w:val="boczek2"/>
            </w:pPr>
            <w:r w:rsidRPr="00823825">
              <w:t>dostawa wody; gospodarowanie ściekami i odpada</w:t>
            </w:r>
            <w:r>
              <w:t>mi;</w:t>
            </w:r>
            <w:r w:rsidRPr="00823825">
              <w:t xml:space="preserve"> rekultywacja</w:t>
            </w:r>
            <w:r w:rsidRPr="00823825">
              <w:rPr>
                <w:rFonts w:ascii="Symbol" w:hAnsi="Symbol"/>
                <w:vertAlign w:val="superscript"/>
              </w:rPr>
              <w:t></w:t>
            </w:r>
          </w:p>
        </w:tc>
        <w:tc>
          <w:tcPr>
            <w:tcW w:w="1556" w:type="dxa"/>
          </w:tcPr>
          <w:p w:rsidR="00E923A7" w:rsidRPr="00603403" w:rsidRDefault="00E923A7" w:rsidP="00072CE1">
            <w:pPr>
              <w:pStyle w:val="tableteksttab"/>
            </w:pPr>
            <w:r>
              <w:br/>
            </w:r>
            <w:r w:rsidRPr="00603403">
              <w:t>13,6</w:t>
            </w:r>
          </w:p>
        </w:tc>
        <w:tc>
          <w:tcPr>
            <w:tcW w:w="1557" w:type="dxa"/>
          </w:tcPr>
          <w:p w:rsidR="00E923A7" w:rsidRPr="00603403" w:rsidRDefault="00E923A7" w:rsidP="00072CE1">
            <w:pPr>
              <w:pStyle w:val="tableteksttab"/>
            </w:pPr>
            <w:r>
              <w:br/>
            </w:r>
            <w:r w:rsidRPr="00603403">
              <w:t>97,2</w:t>
            </w:r>
          </w:p>
        </w:tc>
        <w:tc>
          <w:tcPr>
            <w:tcW w:w="1556" w:type="dxa"/>
          </w:tcPr>
          <w:p w:rsidR="00E923A7" w:rsidRPr="00603403" w:rsidRDefault="00E923A7" w:rsidP="00072CE1">
            <w:pPr>
              <w:pStyle w:val="tableteksttab"/>
            </w:pPr>
            <w:r>
              <w:br/>
            </w:r>
            <w:r w:rsidRPr="00603403">
              <w:t>13,6</w:t>
            </w:r>
          </w:p>
        </w:tc>
        <w:tc>
          <w:tcPr>
            <w:tcW w:w="1557" w:type="dxa"/>
          </w:tcPr>
          <w:p w:rsidR="00E923A7" w:rsidRPr="00603403" w:rsidRDefault="00E923A7" w:rsidP="00072CE1">
            <w:pPr>
              <w:pStyle w:val="tableteksttab"/>
            </w:pPr>
            <w:r>
              <w:br/>
            </w:r>
            <w:r w:rsidRPr="00603403">
              <w:t>97,3</w:t>
            </w:r>
          </w:p>
        </w:tc>
      </w:tr>
      <w:tr w:rsidR="00E923A7" w:rsidRPr="00E87892" w:rsidTr="00072CE1">
        <w:trPr>
          <w:trHeight w:val="227"/>
          <w:jc w:val="center"/>
        </w:trPr>
        <w:tc>
          <w:tcPr>
            <w:tcW w:w="4253" w:type="dxa"/>
            <w:vAlign w:val="center"/>
          </w:tcPr>
          <w:p w:rsidR="00E923A7" w:rsidRPr="00823825" w:rsidRDefault="00E923A7" w:rsidP="00072CE1">
            <w:pPr>
              <w:pStyle w:val="boczek1"/>
            </w:pPr>
            <w:r w:rsidRPr="00823825">
              <w:t>Budownictwo</w:t>
            </w:r>
          </w:p>
        </w:tc>
        <w:tc>
          <w:tcPr>
            <w:tcW w:w="1556" w:type="dxa"/>
          </w:tcPr>
          <w:p w:rsidR="00E923A7" w:rsidRPr="00603403" w:rsidRDefault="00E923A7" w:rsidP="00072CE1">
            <w:pPr>
              <w:pStyle w:val="tableteksttab"/>
            </w:pPr>
            <w:r w:rsidRPr="00603403">
              <w:t>40,6</w:t>
            </w:r>
          </w:p>
        </w:tc>
        <w:tc>
          <w:tcPr>
            <w:tcW w:w="1557" w:type="dxa"/>
          </w:tcPr>
          <w:p w:rsidR="00E923A7" w:rsidRPr="00603403" w:rsidRDefault="00E923A7" w:rsidP="00072CE1">
            <w:pPr>
              <w:pStyle w:val="tableteksttab"/>
            </w:pPr>
            <w:r w:rsidRPr="00603403">
              <w:t>100,8</w:t>
            </w:r>
          </w:p>
        </w:tc>
        <w:tc>
          <w:tcPr>
            <w:tcW w:w="1556" w:type="dxa"/>
          </w:tcPr>
          <w:p w:rsidR="00E923A7" w:rsidRPr="00603403" w:rsidRDefault="00E923A7" w:rsidP="00072CE1">
            <w:pPr>
              <w:pStyle w:val="tableteksttab"/>
            </w:pPr>
            <w:r w:rsidRPr="00603403">
              <w:t>40,6</w:t>
            </w:r>
          </w:p>
        </w:tc>
        <w:tc>
          <w:tcPr>
            <w:tcW w:w="1557" w:type="dxa"/>
          </w:tcPr>
          <w:p w:rsidR="00E923A7" w:rsidRPr="00603403" w:rsidRDefault="00E923A7" w:rsidP="00072CE1">
            <w:pPr>
              <w:pStyle w:val="tableteksttab"/>
            </w:pPr>
            <w:r w:rsidRPr="00603403">
              <w:t>100,9</w:t>
            </w:r>
          </w:p>
        </w:tc>
      </w:tr>
      <w:tr w:rsidR="00E923A7" w:rsidRPr="00E87892" w:rsidTr="00072CE1">
        <w:trPr>
          <w:trHeight w:val="227"/>
          <w:jc w:val="center"/>
        </w:trPr>
        <w:tc>
          <w:tcPr>
            <w:tcW w:w="4253" w:type="dxa"/>
            <w:vAlign w:val="center"/>
          </w:tcPr>
          <w:p w:rsidR="00E923A7" w:rsidRPr="00823825" w:rsidRDefault="00E923A7" w:rsidP="00072CE1">
            <w:pPr>
              <w:pStyle w:val="boczek1"/>
            </w:pPr>
            <w:r w:rsidRPr="00823825">
              <w:t>Ha</w:t>
            </w:r>
            <w:r>
              <w:t>ndel; naprawa pojazdów samochodow</w:t>
            </w:r>
            <w:r w:rsidRPr="00823825">
              <w:t>ych</w:t>
            </w:r>
            <w:r w:rsidRPr="00A8104B">
              <w:rPr>
                <w:rFonts w:ascii="Symbol" w:hAnsi="Symbol"/>
                <w:vertAlign w:val="superscript"/>
              </w:rPr>
              <w:t></w:t>
            </w:r>
          </w:p>
        </w:tc>
        <w:tc>
          <w:tcPr>
            <w:tcW w:w="1556" w:type="dxa"/>
          </w:tcPr>
          <w:p w:rsidR="00E923A7" w:rsidRPr="00603403" w:rsidRDefault="00E923A7" w:rsidP="00072CE1">
            <w:pPr>
              <w:pStyle w:val="tableteksttab"/>
            </w:pPr>
            <w:r w:rsidRPr="00603403">
              <w:t>301,1</w:t>
            </w:r>
          </w:p>
        </w:tc>
        <w:tc>
          <w:tcPr>
            <w:tcW w:w="1557" w:type="dxa"/>
          </w:tcPr>
          <w:p w:rsidR="00E923A7" w:rsidRPr="00603403" w:rsidRDefault="00E923A7" w:rsidP="00072CE1">
            <w:pPr>
              <w:pStyle w:val="tableteksttab"/>
            </w:pPr>
            <w:r w:rsidRPr="00603403">
              <w:t>102,6</w:t>
            </w:r>
          </w:p>
        </w:tc>
        <w:tc>
          <w:tcPr>
            <w:tcW w:w="1556" w:type="dxa"/>
          </w:tcPr>
          <w:p w:rsidR="00E923A7" w:rsidRPr="00603403" w:rsidRDefault="00E923A7" w:rsidP="00072CE1">
            <w:pPr>
              <w:pStyle w:val="tableteksttab"/>
            </w:pPr>
            <w:r w:rsidRPr="00603403">
              <w:t>300,3</w:t>
            </w:r>
          </w:p>
        </w:tc>
        <w:tc>
          <w:tcPr>
            <w:tcW w:w="1557" w:type="dxa"/>
          </w:tcPr>
          <w:p w:rsidR="00E923A7" w:rsidRPr="00603403" w:rsidRDefault="00E923A7" w:rsidP="00072CE1">
            <w:pPr>
              <w:pStyle w:val="tableteksttab"/>
            </w:pPr>
            <w:r w:rsidRPr="00603403">
              <w:t>102,2</w:t>
            </w:r>
          </w:p>
        </w:tc>
      </w:tr>
      <w:tr w:rsidR="00E923A7" w:rsidRPr="00E87892" w:rsidTr="00072CE1">
        <w:trPr>
          <w:trHeight w:val="227"/>
          <w:jc w:val="center"/>
        </w:trPr>
        <w:tc>
          <w:tcPr>
            <w:tcW w:w="4253" w:type="dxa"/>
            <w:vAlign w:val="center"/>
          </w:tcPr>
          <w:p w:rsidR="00E923A7" w:rsidRPr="00823825" w:rsidRDefault="00E923A7" w:rsidP="00072CE1">
            <w:pPr>
              <w:pStyle w:val="boczek1"/>
            </w:pPr>
            <w:r w:rsidRPr="00823825">
              <w:t>Transport i gospodarka magazynowa</w:t>
            </w:r>
          </w:p>
        </w:tc>
        <w:tc>
          <w:tcPr>
            <w:tcW w:w="1556" w:type="dxa"/>
          </w:tcPr>
          <w:p w:rsidR="00E923A7" w:rsidRPr="00603403" w:rsidRDefault="00E923A7" w:rsidP="00072CE1">
            <w:pPr>
              <w:pStyle w:val="tableteksttab"/>
            </w:pPr>
            <w:r w:rsidRPr="00603403">
              <w:t>92,6</w:t>
            </w:r>
          </w:p>
        </w:tc>
        <w:tc>
          <w:tcPr>
            <w:tcW w:w="1557" w:type="dxa"/>
          </w:tcPr>
          <w:p w:rsidR="00E923A7" w:rsidRPr="00603403" w:rsidRDefault="00E923A7" w:rsidP="00072CE1">
            <w:pPr>
              <w:pStyle w:val="tableteksttab"/>
            </w:pPr>
            <w:r w:rsidRPr="00603403">
              <w:t>101,7</w:t>
            </w:r>
          </w:p>
        </w:tc>
        <w:tc>
          <w:tcPr>
            <w:tcW w:w="1556" w:type="dxa"/>
          </w:tcPr>
          <w:p w:rsidR="00E923A7" w:rsidRPr="00603403" w:rsidRDefault="00E923A7" w:rsidP="00072CE1">
            <w:pPr>
              <w:pStyle w:val="tableteksttab"/>
            </w:pPr>
            <w:r w:rsidRPr="00603403">
              <w:t>92,4</w:t>
            </w:r>
          </w:p>
        </w:tc>
        <w:tc>
          <w:tcPr>
            <w:tcW w:w="1557" w:type="dxa"/>
          </w:tcPr>
          <w:p w:rsidR="00E923A7" w:rsidRPr="00603403" w:rsidRDefault="00E923A7" w:rsidP="00072CE1">
            <w:pPr>
              <w:pStyle w:val="tableteksttab"/>
            </w:pPr>
            <w:r w:rsidRPr="00603403">
              <w:t>101,7</w:t>
            </w:r>
          </w:p>
        </w:tc>
      </w:tr>
      <w:tr w:rsidR="00E923A7" w:rsidRPr="00E87892" w:rsidTr="00072CE1">
        <w:trPr>
          <w:trHeight w:val="227"/>
          <w:jc w:val="center"/>
        </w:trPr>
        <w:tc>
          <w:tcPr>
            <w:tcW w:w="4253" w:type="dxa"/>
            <w:tcBorders>
              <w:bottom w:val="single" w:sz="4" w:space="0" w:color="001D77"/>
            </w:tcBorders>
            <w:vAlign w:val="center"/>
          </w:tcPr>
          <w:p w:rsidR="00E923A7" w:rsidRPr="00823825" w:rsidRDefault="00E923A7" w:rsidP="00072CE1">
            <w:pPr>
              <w:pStyle w:val="boczek1"/>
            </w:pPr>
            <w:r w:rsidRPr="00823825">
              <w:t>Zakwaterowanie i gastronomia</w:t>
            </w:r>
            <w:r w:rsidRPr="00823825">
              <w:rPr>
                <w:rFonts w:ascii="Symbol" w:hAnsi="Symbol"/>
                <w:vertAlign w:val="superscript"/>
              </w:rPr>
              <w:t></w:t>
            </w:r>
          </w:p>
        </w:tc>
        <w:tc>
          <w:tcPr>
            <w:tcW w:w="1556" w:type="dxa"/>
            <w:tcBorders>
              <w:bottom w:val="single" w:sz="4" w:space="0" w:color="001D77"/>
            </w:tcBorders>
          </w:tcPr>
          <w:p w:rsidR="00E923A7" w:rsidRPr="00603403" w:rsidRDefault="00E923A7" w:rsidP="00072CE1">
            <w:pPr>
              <w:pStyle w:val="tableteksttab"/>
            </w:pPr>
            <w:r w:rsidRPr="00603403">
              <w:t>8,0</w:t>
            </w:r>
          </w:p>
        </w:tc>
        <w:tc>
          <w:tcPr>
            <w:tcW w:w="1557" w:type="dxa"/>
            <w:tcBorders>
              <w:bottom w:val="single" w:sz="4" w:space="0" w:color="001D77"/>
            </w:tcBorders>
          </w:tcPr>
          <w:p w:rsidR="00E923A7" w:rsidRPr="00603403" w:rsidRDefault="00E923A7" w:rsidP="00072CE1">
            <w:pPr>
              <w:pStyle w:val="tableteksttab"/>
            </w:pPr>
            <w:r w:rsidRPr="00603403">
              <w:t>106,9</w:t>
            </w:r>
          </w:p>
        </w:tc>
        <w:tc>
          <w:tcPr>
            <w:tcW w:w="1556" w:type="dxa"/>
            <w:tcBorders>
              <w:bottom w:val="single" w:sz="4" w:space="0" w:color="001D77"/>
            </w:tcBorders>
          </w:tcPr>
          <w:p w:rsidR="00E923A7" w:rsidRPr="00603403" w:rsidRDefault="00E923A7" w:rsidP="00072CE1">
            <w:pPr>
              <w:pStyle w:val="tableteksttab"/>
            </w:pPr>
            <w:r w:rsidRPr="00603403">
              <w:t>7,9</w:t>
            </w:r>
          </w:p>
        </w:tc>
        <w:tc>
          <w:tcPr>
            <w:tcW w:w="1557" w:type="dxa"/>
          </w:tcPr>
          <w:p w:rsidR="00E923A7" w:rsidRPr="00603403" w:rsidRDefault="00E923A7" w:rsidP="00072CE1">
            <w:pPr>
              <w:pStyle w:val="tableteksttab"/>
            </w:pPr>
            <w:r w:rsidRPr="00603403">
              <w:t>107,7</w:t>
            </w:r>
          </w:p>
        </w:tc>
      </w:tr>
      <w:tr w:rsidR="00E923A7" w:rsidRPr="00E87892" w:rsidTr="00072CE1">
        <w:trPr>
          <w:trHeight w:val="227"/>
          <w:jc w:val="center"/>
        </w:trPr>
        <w:tc>
          <w:tcPr>
            <w:tcW w:w="4253" w:type="dxa"/>
            <w:tcBorders>
              <w:top w:val="single" w:sz="4" w:space="0" w:color="001D77"/>
              <w:bottom w:val="single" w:sz="4" w:space="0" w:color="001D77"/>
            </w:tcBorders>
            <w:vAlign w:val="center"/>
          </w:tcPr>
          <w:p w:rsidR="00E923A7" w:rsidRPr="00823825" w:rsidRDefault="00E923A7" w:rsidP="00072CE1">
            <w:pPr>
              <w:pStyle w:val="boczek1"/>
            </w:pPr>
            <w:r w:rsidRPr="00823825">
              <w:t>Informacja i komunikacja</w:t>
            </w:r>
          </w:p>
        </w:tc>
        <w:tc>
          <w:tcPr>
            <w:tcW w:w="1556" w:type="dxa"/>
            <w:tcBorders>
              <w:top w:val="single" w:sz="4" w:space="0" w:color="001D77"/>
              <w:bottom w:val="single" w:sz="4" w:space="0" w:color="001D77"/>
            </w:tcBorders>
          </w:tcPr>
          <w:p w:rsidR="00E923A7" w:rsidRPr="00603403" w:rsidRDefault="00E923A7" w:rsidP="00072CE1">
            <w:pPr>
              <w:pStyle w:val="tableteksttab"/>
            </w:pPr>
            <w:r w:rsidRPr="00603403">
              <w:t>19,5</w:t>
            </w:r>
          </w:p>
        </w:tc>
        <w:tc>
          <w:tcPr>
            <w:tcW w:w="1557" w:type="dxa"/>
            <w:tcBorders>
              <w:top w:val="single" w:sz="4" w:space="0" w:color="001D77"/>
              <w:bottom w:val="single" w:sz="4" w:space="0" w:color="001D77"/>
            </w:tcBorders>
          </w:tcPr>
          <w:p w:rsidR="00E923A7" w:rsidRPr="00603403" w:rsidRDefault="00E923A7" w:rsidP="00072CE1">
            <w:pPr>
              <w:pStyle w:val="tableteksttab"/>
            </w:pPr>
            <w:r w:rsidRPr="00603403">
              <w:t>107,2</w:t>
            </w:r>
          </w:p>
        </w:tc>
        <w:tc>
          <w:tcPr>
            <w:tcW w:w="1556" w:type="dxa"/>
            <w:tcBorders>
              <w:top w:val="single" w:sz="4" w:space="0" w:color="001D77"/>
              <w:bottom w:val="single" w:sz="4" w:space="0" w:color="001D77"/>
            </w:tcBorders>
          </w:tcPr>
          <w:p w:rsidR="00E923A7" w:rsidRPr="00603403" w:rsidRDefault="00E923A7" w:rsidP="00072CE1">
            <w:pPr>
              <w:pStyle w:val="tableteksttab"/>
            </w:pPr>
            <w:r w:rsidRPr="00603403">
              <w:t>19,5</w:t>
            </w:r>
          </w:p>
        </w:tc>
        <w:tc>
          <w:tcPr>
            <w:tcW w:w="1557" w:type="dxa"/>
          </w:tcPr>
          <w:p w:rsidR="00E923A7" w:rsidRPr="00603403" w:rsidRDefault="00E923A7" w:rsidP="00072CE1">
            <w:pPr>
              <w:pStyle w:val="tableteksttab"/>
            </w:pPr>
            <w:r w:rsidRPr="00603403">
              <w:t>107,2</w:t>
            </w:r>
          </w:p>
        </w:tc>
      </w:tr>
      <w:tr w:rsidR="00E923A7" w:rsidRPr="00E87892" w:rsidTr="00072CE1">
        <w:trPr>
          <w:trHeight w:val="227"/>
          <w:jc w:val="center"/>
        </w:trPr>
        <w:tc>
          <w:tcPr>
            <w:tcW w:w="4253" w:type="dxa"/>
            <w:tcBorders>
              <w:top w:val="single" w:sz="4" w:space="0" w:color="001D77"/>
              <w:bottom w:val="single" w:sz="4" w:space="0" w:color="001D77"/>
            </w:tcBorders>
            <w:vAlign w:val="center"/>
          </w:tcPr>
          <w:p w:rsidR="00E923A7" w:rsidRPr="00823825" w:rsidRDefault="00E923A7" w:rsidP="00072CE1">
            <w:pPr>
              <w:pStyle w:val="boczek1"/>
            </w:pPr>
            <w:r w:rsidRPr="00823825">
              <w:t>Obsługa rynku nieruchomości</w:t>
            </w:r>
            <w:r w:rsidRPr="00823825">
              <w:rPr>
                <w:rFonts w:ascii="Symbol" w:hAnsi="Symbol"/>
                <w:vertAlign w:val="superscript"/>
              </w:rPr>
              <w:t></w:t>
            </w:r>
          </w:p>
        </w:tc>
        <w:tc>
          <w:tcPr>
            <w:tcW w:w="1556" w:type="dxa"/>
            <w:tcBorders>
              <w:top w:val="single" w:sz="4" w:space="0" w:color="001D77"/>
              <w:bottom w:val="single" w:sz="4" w:space="0" w:color="001D77"/>
            </w:tcBorders>
          </w:tcPr>
          <w:p w:rsidR="00E923A7" w:rsidRPr="00603403" w:rsidRDefault="00E923A7" w:rsidP="00072CE1">
            <w:pPr>
              <w:pStyle w:val="tableteksttab"/>
            </w:pPr>
            <w:r w:rsidRPr="00603403">
              <w:t>6,6</w:t>
            </w:r>
          </w:p>
        </w:tc>
        <w:tc>
          <w:tcPr>
            <w:tcW w:w="1557" w:type="dxa"/>
            <w:tcBorders>
              <w:top w:val="single" w:sz="4" w:space="0" w:color="001D77"/>
              <w:bottom w:val="single" w:sz="4" w:space="0" w:color="001D77"/>
            </w:tcBorders>
          </w:tcPr>
          <w:p w:rsidR="00E923A7" w:rsidRPr="00603403" w:rsidRDefault="00E923A7" w:rsidP="00072CE1">
            <w:pPr>
              <w:pStyle w:val="tableteksttab"/>
            </w:pPr>
            <w:r w:rsidRPr="00603403">
              <w:t>98,1</w:t>
            </w:r>
          </w:p>
        </w:tc>
        <w:tc>
          <w:tcPr>
            <w:tcW w:w="1556" w:type="dxa"/>
            <w:tcBorders>
              <w:top w:val="single" w:sz="4" w:space="0" w:color="001D77"/>
              <w:bottom w:val="single" w:sz="4" w:space="0" w:color="001D77"/>
            </w:tcBorders>
          </w:tcPr>
          <w:p w:rsidR="00E923A7" w:rsidRPr="00603403" w:rsidRDefault="00E923A7" w:rsidP="00072CE1">
            <w:pPr>
              <w:pStyle w:val="tableteksttab"/>
            </w:pPr>
            <w:r w:rsidRPr="00603403">
              <w:t>6,6</w:t>
            </w:r>
          </w:p>
        </w:tc>
        <w:tc>
          <w:tcPr>
            <w:tcW w:w="1557" w:type="dxa"/>
            <w:tcBorders>
              <w:bottom w:val="single" w:sz="4" w:space="0" w:color="001D77"/>
            </w:tcBorders>
          </w:tcPr>
          <w:p w:rsidR="00E923A7" w:rsidRPr="00603403" w:rsidRDefault="00E923A7" w:rsidP="00072CE1">
            <w:pPr>
              <w:pStyle w:val="tableteksttab"/>
            </w:pPr>
            <w:r w:rsidRPr="00603403">
              <w:t>98,3</w:t>
            </w:r>
          </w:p>
        </w:tc>
      </w:tr>
      <w:tr w:rsidR="00E923A7" w:rsidRPr="00E87892" w:rsidTr="00072CE1">
        <w:trPr>
          <w:trHeight w:val="227"/>
          <w:jc w:val="center"/>
        </w:trPr>
        <w:tc>
          <w:tcPr>
            <w:tcW w:w="4253" w:type="dxa"/>
            <w:tcBorders>
              <w:top w:val="single" w:sz="4" w:space="0" w:color="001D77"/>
              <w:bottom w:val="single" w:sz="4" w:space="0" w:color="001D77"/>
            </w:tcBorders>
            <w:vAlign w:val="center"/>
          </w:tcPr>
          <w:p w:rsidR="00E923A7" w:rsidRPr="00823825" w:rsidRDefault="00E923A7" w:rsidP="00072CE1">
            <w:pPr>
              <w:pStyle w:val="boczek1"/>
            </w:pPr>
            <w:r w:rsidRPr="00823825">
              <w:t>Działalność profesjonalna, naukowa i techniczna</w:t>
            </w:r>
            <w:r w:rsidRPr="0036212B">
              <w:rPr>
                <w:vertAlign w:val="superscript"/>
              </w:rPr>
              <w:t xml:space="preserve"> </w:t>
            </w:r>
            <w:r w:rsidRPr="00CD06A4">
              <w:rPr>
                <w:vertAlign w:val="superscript"/>
              </w:rPr>
              <w:t>a</w:t>
            </w:r>
          </w:p>
        </w:tc>
        <w:tc>
          <w:tcPr>
            <w:tcW w:w="1556" w:type="dxa"/>
            <w:tcBorders>
              <w:top w:val="single" w:sz="4" w:space="0" w:color="001D77"/>
              <w:bottom w:val="single" w:sz="4" w:space="0" w:color="001D77"/>
            </w:tcBorders>
          </w:tcPr>
          <w:p w:rsidR="00E923A7" w:rsidRPr="00603403" w:rsidRDefault="00E923A7" w:rsidP="00072CE1">
            <w:pPr>
              <w:pStyle w:val="tableteksttab"/>
            </w:pPr>
            <w:r w:rsidRPr="00603403">
              <w:t>19,9</w:t>
            </w:r>
          </w:p>
        </w:tc>
        <w:tc>
          <w:tcPr>
            <w:tcW w:w="1557" w:type="dxa"/>
            <w:tcBorders>
              <w:top w:val="single" w:sz="4" w:space="0" w:color="001D77"/>
              <w:bottom w:val="single" w:sz="4" w:space="0" w:color="001D77"/>
            </w:tcBorders>
          </w:tcPr>
          <w:p w:rsidR="00E923A7" w:rsidRPr="00603403" w:rsidRDefault="00E923A7" w:rsidP="00072CE1">
            <w:pPr>
              <w:pStyle w:val="tableteksttab"/>
            </w:pPr>
            <w:r w:rsidRPr="00603403">
              <w:t>92,9</w:t>
            </w:r>
          </w:p>
        </w:tc>
        <w:tc>
          <w:tcPr>
            <w:tcW w:w="1556" w:type="dxa"/>
            <w:tcBorders>
              <w:top w:val="single" w:sz="4" w:space="0" w:color="001D77"/>
              <w:bottom w:val="single" w:sz="4" w:space="0" w:color="001D77"/>
            </w:tcBorders>
          </w:tcPr>
          <w:p w:rsidR="00E923A7" w:rsidRPr="00603403" w:rsidRDefault="00E923A7" w:rsidP="00072CE1">
            <w:pPr>
              <w:pStyle w:val="tableteksttab"/>
            </w:pPr>
            <w:r w:rsidRPr="00603403">
              <w:t>19,9</w:t>
            </w:r>
          </w:p>
        </w:tc>
        <w:tc>
          <w:tcPr>
            <w:tcW w:w="1557" w:type="dxa"/>
            <w:tcBorders>
              <w:top w:val="single" w:sz="4" w:space="0" w:color="001D77"/>
              <w:bottom w:val="single" w:sz="4" w:space="0" w:color="001D77"/>
            </w:tcBorders>
          </w:tcPr>
          <w:p w:rsidR="00E923A7" w:rsidRPr="00603403" w:rsidRDefault="00E923A7" w:rsidP="00072CE1">
            <w:pPr>
              <w:pStyle w:val="tableteksttab"/>
            </w:pPr>
            <w:r w:rsidRPr="00603403">
              <w:t>93,0</w:t>
            </w:r>
          </w:p>
        </w:tc>
      </w:tr>
      <w:tr w:rsidR="00E923A7" w:rsidRPr="00E87892" w:rsidTr="00072CE1">
        <w:trPr>
          <w:trHeight w:val="227"/>
          <w:jc w:val="center"/>
        </w:trPr>
        <w:tc>
          <w:tcPr>
            <w:tcW w:w="4253" w:type="dxa"/>
            <w:tcBorders>
              <w:top w:val="single" w:sz="4" w:space="0" w:color="001D77"/>
              <w:bottom w:val="nil"/>
            </w:tcBorders>
            <w:vAlign w:val="center"/>
          </w:tcPr>
          <w:p w:rsidR="00E923A7" w:rsidRPr="00823825" w:rsidRDefault="00E923A7" w:rsidP="00072CE1">
            <w:pPr>
              <w:pStyle w:val="boczek1"/>
            </w:pPr>
            <w:r w:rsidRPr="00823825">
              <w:t>Administrowanie i działalność wspierająca</w:t>
            </w:r>
            <w:r w:rsidRPr="00823825">
              <w:rPr>
                <w:rFonts w:ascii="Symbol" w:hAnsi="Symbol"/>
                <w:vertAlign w:val="superscript"/>
              </w:rPr>
              <w:t></w:t>
            </w:r>
          </w:p>
        </w:tc>
        <w:tc>
          <w:tcPr>
            <w:tcW w:w="1556" w:type="dxa"/>
            <w:tcBorders>
              <w:top w:val="single" w:sz="4" w:space="0" w:color="001D77"/>
              <w:bottom w:val="nil"/>
            </w:tcBorders>
          </w:tcPr>
          <w:p w:rsidR="00E923A7" w:rsidRPr="00603403" w:rsidRDefault="00E923A7" w:rsidP="00072CE1">
            <w:pPr>
              <w:pStyle w:val="tableteksttab"/>
            </w:pPr>
            <w:r w:rsidRPr="00603403">
              <w:t>28,4</w:t>
            </w:r>
          </w:p>
        </w:tc>
        <w:tc>
          <w:tcPr>
            <w:tcW w:w="1557" w:type="dxa"/>
            <w:tcBorders>
              <w:top w:val="single" w:sz="4" w:space="0" w:color="001D77"/>
              <w:bottom w:val="nil"/>
            </w:tcBorders>
          </w:tcPr>
          <w:p w:rsidR="00E923A7" w:rsidRPr="00603403" w:rsidRDefault="00E923A7" w:rsidP="00072CE1">
            <w:pPr>
              <w:pStyle w:val="tableteksttab"/>
            </w:pPr>
            <w:r w:rsidRPr="00603403">
              <w:t>101,8</w:t>
            </w:r>
          </w:p>
        </w:tc>
        <w:tc>
          <w:tcPr>
            <w:tcW w:w="1556" w:type="dxa"/>
            <w:tcBorders>
              <w:top w:val="single" w:sz="4" w:space="0" w:color="001D77"/>
              <w:bottom w:val="nil"/>
            </w:tcBorders>
          </w:tcPr>
          <w:p w:rsidR="00E923A7" w:rsidRPr="00603403" w:rsidRDefault="00E923A7" w:rsidP="00072CE1">
            <w:pPr>
              <w:pStyle w:val="tableteksttab"/>
            </w:pPr>
            <w:r w:rsidRPr="00603403">
              <w:t>28,3</w:t>
            </w:r>
          </w:p>
        </w:tc>
        <w:tc>
          <w:tcPr>
            <w:tcW w:w="1557" w:type="dxa"/>
            <w:tcBorders>
              <w:top w:val="single" w:sz="4" w:space="0" w:color="001D77"/>
              <w:bottom w:val="nil"/>
            </w:tcBorders>
          </w:tcPr>
          <w:p w:rsidR="00E923A7" w:rsidRDefault="00E923A7" w:rsidP="00072CE1">
            <w:pPr>
              <w:pStyle w:val="tableteksttab"/>
            </w:pPr>
            <w:r w:rsidRPr="00603403">
              <w:t>101,3</w:t>
            </w:r>
          </w:p>
        </w:tc>
      </w:tr>
    </w:tbl>
    <w:p w:rsidR="00E923A7" w:rsidRPr="00F70B6C" w:rsidRDefault="00E923A7" w:rsidP="00E923A7">
      <w:pPr>
        <w:pStyle w:val="notka"/>
      </w:pPr>
      <w:r w:rsidRPr="00F70B6C">
        <w:t>a Nie obejmuje działów: Badania naukowe i prace rozwojowe oraz Działalność weterynaryjna.</w:t>
      </w:r>
    </w:p>
    <w:p w:rsidR="00E923A7" w:rsidRPr="003F5E54" w:rsidRDefault="00E923A7" w:rsidP="00E923A7">
      <w:pPr>
        <w:pStyle w:val="tekst"/>
        <w:rPr>
          <w:spacing w:val="-4"/>
          <w:szCs w:val="19"/>
        </w:rPr>
      </w:pPr>
      <w:r w:rsidRPr="002C272E">
        <w:rPr>
          <w:spacing w:val="-4"/>
          <w:szCs w:val="19"/>
        </w:rPr>
        <w:t>W porównaniu z lutym ub. roku największy wzrost zatrudnienia wystąpił w przedsięb</w:t>
      </w:r>
      <w:r>
        <w:rPr>
          <w:spacing w:val="-4"/>
          <w:szCs w:val="19"/>
        </w:rPr>
        <w:t>iorstwach zajmujących się informacją i </w:t>
      </w:r>
      <w:r w:rsidRPr="002C272E">
        <w:rPr>
          <w:spacing w:val="-4"/>
          <w:szCs w:val="19"/>
        </w:rPr>
        <w:t>komunikacją (o 7,2%), zakwaterowaniem i gastronomią (o 6,9%), handlem; naprawą pojazdów samochodowych (o 2,6%), administrowaniem i działalnością wspierającą (o 1,8%) oraz transportem i gospodarką magazynową (o 1,7%). Spadek zatrudnienia odnotowano w tym czasie m.in. w przedsiębiorstwach z sekcji:</w:t>
      </w:r>
      <w:r>
        <w:rPr>
          <w:spacing w:val="-4"/>
          <w:szCs w:val="19"/>
        </w:rPr>
        <w:t xml:space="preserve"> działalność profesjonalna, nau</w:t>
      </w:r>
      <w:r w:rsidRPr="002C272E">
        <w:rPr>
          <w:spacing w:val="-4"/>
          <w:szCs w:val="19"/>
        </w:rPr>
        <w:t xml:space="preserve">kowa i techniczna (o 7,1%), </w:t>
      </w:r>
      <w:r w:rsidRPr="00481D67">
        <w:rPr>
          <w:spacing w:val="-4"/>
          <w:szCs w:val="19"/>
        </w:rPr>
        <w:t xml:space="preserve">górnictwo i wydobywanie </w:t>
      </w:r>
      <w:r>
        <w:rPr>
          <w:spacing w:val="-4"/>
          <w:szCs w:val="19"/>
        </w:rPr>
        <w:t xml:space="preserve">(o 5,3%) oraz </w:t>
      </w:r>
      <w:r w:rsidRPr="002C272E">
        <w:rPr>
          <w:spacing w:val="-4"/>
          <w:szCs w:val="19"/>
        </w:rPr>
        <w:t xml:space="preserve">dostawa wody; gospodarowanie ściekami i </w:t>
      </w:r>
      <w:r>
        <w:rPr>
          <w:spacing w:val="-4"/>
          <w:szCs w:val="19"/>
        </w:rPr>
        <w:t>odpadami; rekultywacja (o 2,8%)</w:t>
      </w:r>
      <w:r w:rsidRPr="002C272E">
        <w:rPr>
          <w:spacing w:val="-4"/>
          <w:szCs w:val="19"/>
        </w:rPr>
        <w:t>.</w:t>
      </w:r>
      <w:r w:rsidRPr="00E13787">
        <w:rPr>
          <w:spacing w:val="-4"/>
          <w:szCs w:val="19"/>
        </w:rPr>
        <w:t xml:space="preserve"> </w:t>
      </w:r>
    </w:p>
    <w:p w:rsidR="00E923A7" w:rsidRDefault="00E923A7" w:rsidP="00E923A7">
      <w:pPr>
        <w:pStyle w:val="tekst"/>
        <w:rPr>
          <w:spacing w:val="-4"/>
          <w:szCs w:val="19"/>
        </w:rPr>
      </w:pPr>
      <w:r w:rsidRPr="002C272E">
        <w:rPr>
          <w:spacing w:val="-4"/>
          <w:szCs w:val="19"/>
        </w:rPr>
        <w:t>W strukturze zatrudnienia niezmiennie dominują dwie sekcje: przetwórstwo prz</w:t>
      </w:r>
      <w:r>
        <w:rPr>
          <w:spacing w:val="-4"/>
          <w:szCs w:val="19"/>
        </w:rPr>
        <w:t>emysłowe (35,8% ogółu zatrudnio</w:t>
      </w:r>
      <w:r w:rsidRPr="002C272E">
        <w:rPr>
          <w:spacing w:val="-4"/>
          <w:szCs w:val="19"/>
        </w:rPr>
        <w:t>nych w sektorze przedsiębiorstw) oraz handel; naprawa pojazdów samochodowych (</w:t>
      </w:r>
      <w:r>
        <w:rPr>
          <w:spacing w:val="-4"/>
          <w:szCs w:val="19"/>
        </w:rPr>
        <w:t>34,9%). Na poziomie działów naj</w:t>
      </w:r>
      <w:r w:rsidRPr="002C272E">
        <w:rPr>
          <w:spacing w:val="-4"/>
          <w:szCs w:val="19"/>
        </w:rPr>
        <w:t>większym zatrudnieniem wyróżniają się przedsiębiorstwa handlu detalicznego (24,</w:t>
      </w:r>
      <w:r>
        <w:rPr>
          <w:spacing w:val="-4"/>
          <w:szCs w:val="19"/>
        </w:rPr>
        <w:t>5% ogółu zatrudnionych) i hurto</w:t>
      </w:r>
      <w:r w:rsidRPr="002C272E">
        <w:rPr>
          <w:spacing w:val="-4"/>
          <w:szCs w:val="19"/>
        </w:rPr>
        <w:t>wego (8,9%), a ponadto jednostki związane z transportem lądowym i rurociągowym (6,5%) oraz podmioty zajmujące się produkcją artykułów spożywczych (5,9%) i mebli (5,3%).</w:t>
      </w:r>
    </w:p>
    <w:p w:rsidR="00E923A7" w:rsidRPr="00A02628" w:rsidRDefault="00E923A7" w:rsidP="00E923A7">
      <w:pPr>
        <w:pStyle w:val="tekst"/>
        <w:rPr>
          <w:szCs w:val="19"/>
        </w:rPr>
      </w:pPr>
      <w:r w:rsidRPr="002C272E">
        <w:t>W okresie styczeń-luty br. przeciętne zatrudnienie w sektorze przedsiębiorstw wyniosło 861,5 tys. osób i było o 0,6% większe niż w analogicznym okresie ub. roku (przed rokiem obserwowano spadek zatrudnienia, który wyniósł 0,6%). Od początku roku przeciętne zatrudnienie najbardziej zwiększyło się w sekcjach: zakwaterowanie i gastronomia (o 7,7%), inf</w:t>
      </w:r>
      <w:r w:rsidR="00A1744B">
        <w:t>ormacja i komunikacja (o 7,2%) oraz</w:t>
      </w:r>
      <w:r w:rsidRPr="002C272E">
        <w:t xml:space="preserve"> handel; naprawa pojazdów samochodowych (o 2,2%). Największy spadek zatrudnienia odnotowały przedsiębiorstwa zajmujące się działalnością profesjonalną, naukową i techniczną (o 7,0%)</w:t>
      </w:r>
      <w:r>
        <w:t xml:space="preserve">, </w:t>
      </w:r>
      <w:r w:rsidRPr="00481D67">
        <w:rPr>
          <w:spacing w:val="-4"/>
          <w:szCs w:val="19"/>
        </w:rPr>
        <w:t>górnictw</w:t>
      </w:r>
      <w:r>
        <w:rPr>
          <w:spacing w:val="-4"/>
          <w:szCs w:val="19"/>
        </w:rPr>
        <w:t>em</w:t>
      </w:r>
      <w:r w:rsidR="00A1744B">
        <w:rPr>
          <w:spacing w:val="-4"/>
          <w:szCs w:val="19"/>
        </w:rPr>
        <w:t xml:space="preserve"> i </w:t>
      </w:r>
      <w:r w:rsidRPr="00481D67">
        <w:rPr>
          <w:spacing w:val="-4"/>
          <w:szCs w:val="19"/>
        </w:rPr>
        <w:t>wydobywanie</w:t>
      </w:r>
      <w:r>
        <w:rPr>
          <w:spacing w:val="-4"/>
          <w:szCs w:val="19"/>
        </w:rPr>
        <w:t>m</w:t>
      </w:r>
      <w:r w:rsidRPr="00481D67">
        <w:rPr>
          <w:spacing w:val="-4"/>
          <w:szCs w:val="19"/>
        </w:rPr>
        <w:t xml:space="preserve"> </w:t>
      </w:r>
      <w:r>
        <w:rPr>
          <w:spacing w:val="-4"/>
          <w:szCs w:val="19"/>
        </w:rPr>
        <w:t>(o 5,1%)</w:t>
      </w:r>
      <w:r w:rsidRPr="002C272E">
        <w:t xml:space="preserve"> oraz dostawą wody; gospodarowanie ściekami i odpadami; rekultywacją (o 2,7%)</w:t>
      </w:r>
      <w:r>
        <w:rPr>
          <w:szCs w:val="19"/>
        </w:rPr>
        <w:t>.</w:t>
      </w:r>
    </w:p>
    <w:p w:rsidR="00E923A7" w:rsidRPr="003E68BA" w:rsidRDefault="00CB757E" w:rsidP="00E923A7">
      <w:pPr>
        <w:pStyle w:val="tytuwykresu"/>
        <w:rPr>
          <w:b w:val="0"/>
          <w:bCs/>
        </w:rPr>
      </w:pPr>
      <w:r w:rsidRPr="00CB757E">
        <w:rPr>
          <w:noProof/>
          <w:lang w:eastAsia="pl-PL"/>
        </w:rPr>
        <w:lastRenderedPageBreak/>
        <w:drawing>
          <wp:anchor distT="0" distB="0" distL="114300" distR="114300" simplePos="0" relativeHeight="252944896" behindDoc="0" locked="0" layoutInCell="1" allowOverlap="1">
            <wp:simplePos x="0" y="0"/>
            <wp:positionH relativeFrom="margin">
              <wp:align>center</wp:align>
            </wp:positionH>
            <wp:positionV relativeFrom="paragraph">
              <wp:posOffset>495705</wp:posOffset>
            </wp:positionV>
            <wp:extent cx="5940000" cy="2506599"/>
            <wp:effectExtent l="0" t="0" r="3810" b="8255"/>
            <wp:wrapTopAndBottom/>
            <wp:docPr id="12" name="Obraz 12" descr="Podwójny wykres liniowy (Polska i województwo wielkopolskie) ilustrujący dynamikę przeciętnego zatrudnienia w sektorze przedsiębiorstw, w odniesieniu do przeciętnej wartości miesięcznej z 2021 r., w poszczególnych miesiącach w latach 2022–2025 (oś pozioma). Oś pionowa wartości w zakresie od 101 do 106.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0000" cy="250659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23A7">
        <w:t>Wykres 1.</w:t>
      </w:r>
      <w:r w:rsidR="00E923A7" w:rsidRPr="00BA39CC">
        <w:tab/>
        <w:t xml:space="preserve">Przeciętne miesięczne zatrudnienie w sektorze </w:t>
      </w:r>
      <w:r w:rsidR="00E923A7" w:rsidRPr="00CC7BE0">
        <w:t>przedsiębiorstw</w:t>
      </w:r>
      <w:r w:rsidR="00E923A7" w:rsidRPr="00CC7BE0">
        <w:br/>
      </w:r>
      <w:r w:rsidR="00E923A7" w:rsidRPr="00CC7BE0">
        <w:tab/>
      </w:r>
      <w:r w:rsidR="00E923A7" w:rsidRPr="00CC7BE0">
        <w:rPr>
          <w:bCs/>
        </w:rPr>
        <w:t>(przeciętna miesięczna 20</w:t>
      </w:r>
      <w:r w:rsidR="00E923A7">
        <w:rPr>
          <w:bCs/>
        </w:rPr>
        <w:t>2</w:t>
      </w:r>
      <w:r w:rsidR="00E923A7" w:rsidRPr="00CC7BE0">
        <w:rPr>
          <w:bCs/>
        </w:rPr>
        <w:t>1=100)</w:t>
      </w:r>
      <w:r w:rsidR="00E923A7" w:rsidRPr="00A2394D">
        <w:rPr>
          <w:b w:val="0"/>
          <w:bCs/>
        </w:rPr>
        <w:t xml:space="preserve"> </w:t>
      </w:r>
    </w:p>
    <w:p w:rsidR="00E923A7" w:rsidRPr="005A3A01" w:rsidRDefault="00E923A7" w:rsidP="00E923A7">
      <w:pPr>
        <w:pStyle w:val="tekst"/>
        <w:spacing w:before="360"/>
        <w:rPr>
          <w:shd w:val="clear" w:color="auto" w:fill="FFFFFF"/>
        </w:rPr>
      </w:pPr>
      <w:r w:rsidRPr="00307AF8">
        <w:rPr>
          <w:shd w:val="clear" w:color="auto" w:fill="FFFFFF"/>
        </w:rPr>
        <w:t xml:space="preserve">W końcu </w:t>
      </w:r>
      <w:r>
        <w:rPr>
          <w:shd w:val="clear" w:color="auto" w:fill="FFFFFF"/>
        </w:rPr>
        <w:t>lutego</w:t>
      </w:r>
      <w:r w:rsidRPr="00307AF8">
        <w:rPr>
          <w:shd w:val="clear" w:color="auto" w:fill="FFFFFF"/>
        </w:rPr>
        <w:t xml:space="preserve"> br. </w:t>
      </w:r>
      <w:r w:rsidRPr="00307AF8">
        <w:rPr>
          <w:b/>
          <w:shd w:val="clear" w:color="auto" w:fill="FFFFFF"/>
        </w:rPr>
        <w:t>liczba bezrobotnych</w:t>
      </w:r>
      <w:r w:rsidRPr="00307AF8">
        <w:rPr>
          <w:shd w:val="clear" w:color="auto" w:fill="FFFFFF"/>
        </w:rPr>
        <w:t xml:space="preserve"> zarejestrowanych w urzędach pracy wyniosła </w:t>
      </w:r>
      <w:r>
        <w:rPr>
          <w:shd w:val="clear" w:color="auto" w:fill="FFFFFF"/>
        </w:rPr>
        <w:t>52,0</w:t>
      </w:r>
      <w:r w:rsidRPr="00307AF8">
        <w:rPr>
          <w:shd w:val="clear" w:color="auto" w:fill="FFFFFF"/>
        </w:rPr>
        <w:t xml:space="preserve"> tys., tj. o </w:t>
      </w:r>
      <w:r>
        <w:rPr>
          <w:shd w:val="clear" w:color="auto" w:fill="FFFFFF"/>
        </w:rPr>
        <w:t>1,0</w:t>
      </w:r>
      <w:r w:rsidRPr="00307AF8">
        <w:rPr>
          <w:shd w:val="clear" w:color="auto" w:fill="FFFFFF"/>
        </w:rPr>
        <w:t xml:space="preserve"> tys. (o </w:t>
      </w:r>
      <w:r>
        <w:rPr>
          <w:shd w:val="clear" w:color="auto" w:fill="FFFFFF"/>
        </w:rPr>
        <w:t>1,9</w:t>
      </w:r>
      <w:r w:rsidRPr="00307AF8">
        <w:rPr>
          <w:shd w:val="clear" w:color="auto" w:fill="FFFFFF"/>
        </w:rPr>
        <w:t>%) więcej niż w poprzednim miesiącu i o 0,</w:t>
      </w:r>
      <w:r>
        <w:rPr>
          <w:shd w:val="clear" w:color="auto" w:fill="FFFFFF"/>
        </w:rPr>
        <w:t>2 tys. (o 0,4</w:t>
      </w:r>
      <w:r w:rsidRPr="00307AF8">
        <w:rPr>
          <w:shd w:val="clear" w:color="auto" w:fill="FFFFFF"/>
        </w:rPr>
        <w:t xml:space="preserve">%) więcej </w:t>
      </w:r>
      <w:r w:rsidRPr="000B35C5">
        <w:rPr>
          <w:shd w:val="clear" w:color="auto" w:fill="FFFFFF"/>
        </w:rPr>
        <w:t xml:space="preserve">niż w </w:t>
      </w:r>
      <w:r>
        <w:rPr>
          <w:shd w:val="clear" w:color="auto" w:fill="FFFFFF"/>
        </w:rPr>
        <w:t>przed rokiem</w:t>
      </w:r>
      <w:r w:rsidRPr="000B35C5">
        <w:rPr>
          <w:shd w:val="clear" w:color="auto" w:fill="FFFFFF"/>
        </w:rPr>
        <w:t xml:space="preserve">. Kobiety stanowiły </w:t>
      </w:r>
      <w:r w:rsidRPr="00C96F1F">
        <w:rPr>
          <w:shd w:val="clear" w:color="auto" w:fill="FFFFFF"/>
        </w:rPr>
        <w:t>56,</w:t>
      </w:r>
      <w:r>
        <w:rPr>
          <w:shd w:val="clear" w:color="auto" w:fill="FFFFFF"/>
        </w:rPr>
        <w:t>4</w:t>
      </w:r>
      <w:r w:rsidRPr="000B35C5">
        <w:rPr>
          <w:shd w:val="clear" w:color="auto" w:fill="FFFFFF"/>
        </w:rPr>
        <w:t xml:space="preserve">% </w:t>
      </w:r>
      <w:r>
        <w:rPr>
          <w:shd w:val="clear" w:color="auto" w:fill="FFFFFF"/>
        </w:rPr>
        <w:t>ogółu zarejestrowanych bezrobot</w:t>
      </w:r>
      <w:r w:rsidRPr="000B35C5">
        <w:rPr>
          <w:shd w:val="clear" w:color="auto" w:fill="FFFFFF"/>
        </w:rPr>
        <w:t>nych (</w:t>
      </w:r>
      <w:r>
        <w:rPr>
          <w:shd w:val="clear" w:color="auto" w:fill="FFFFFF"/>
        </w:rPr>
        <w:t xml:space="preserve">wobec </w:t>
      </w:r>
      <w:r w:rsidRPr="00C96F1F">
        <w:rPr>
          <w:shd w:val="clear" w:color="auto" w:fill="FFFFFF"/>
        </w:rPr>
        <w:t>57,</w:t>
      </w:r>
      <w:r>
        <w:rPr>
          <w:shd w:val="clear" w:color="auto" w:fill="FFFFFF"/>
        </w:rPr>
        <w:t>4</w:t>
      </w:r>
      <w:r w:rsidRPr="000B35C5">
        <w:rPr>
          <w:shd w:val="clear" w:color="auto" w:fill="FFFFFF"/>
        </w:rPr>
        <w:t>%</w:t>
      </w:r>
      <w:r>
        <w:rPr>
          <w:shd w:val="clear" w:color="auto" w:fill="FFFFFF"/>
        </w:rPr>
        <w:t xml:space="preserve"> w końcu lutego ub. roku</w:t>
      </w:r>
      <w:r w:rsidRPr="000B35C5">
        <w:rPr>
          <w:shd w:val="clear" w:color="auto" w:fill="FFFFFF"/>
        </w:rPr>
        <w:t>)</w:t>
      </w:r>
      <w:r w:rsidRPr="005A3A01">
        <w:rPr>
          <w:shd w:val="clear" w:color="auto" w:fill="FFFFFF"/>
        </w:rPr>
        <w:t>.</w:t>
      </w:r>
    </w:p>
    <w:p w:rsidR="00E923A7" w:rsidRDefault="00E923A7" w:rsidP="00E923A7">
      <w:pPr>
        <w:pStyle w:val="Tytultabeli"/>
      </w:pPr>
      <w:r w:rsidRPr="00154B38">
        <w:t>Tablica 2.</w:t>
      </w:r>
      <w:r w:rsidRPr="00154B38">
        <w:tab/>
        <w:t xml:space="preserve">Liczba bezrobotnych i stopa bezrobocia </w:t>
      </w:r>
    </w:p>
    <w:tbl>
      <w:tblPr>
        <w:tblW w:w="0" w:type="auto"/>
        <w:jc w:val="center"/>
        <w:tblBorders>
          <w:insideH w:val="single" w:sz="4" w:space="0" w:color="001D77"/>
          <w:insideV w:val="single" w:sz="4" w:space="0" w:color="001D77"/>
        </w:tblBorders>
        <w:tblLayout w:type="fixed"/>
        <w:tblCellMar>
          <w:top w:w="28" w:type="dxa"/>
          <w:bottom w:w="28" w:type="dxa"/>
        </w:tblCellMar>
        <w:tblLook w:val="00A0" w:firstRow="1" w:lastRow="0" w:firstColumn="1" w:lastColumn="0" w:noHBand="0" w:noVBand="0"/>
        <w:tblDescription w:val="Tablica przedstawia podstawowe informacje z zakresu bezrobocia. Dane obejmują miesiąc badawczy (luty br.), miesiąc poprzedni i analogiczny miesiąc ub. roku. Dane do tablicy dostępne w pliku w formacie XLSX"/>
      </w:tblPr>
      <w:tblGrid>
        <w:gridCol w:w="5325"/>
        <w:gridCol w:w="1718"/>
        <w:gridCol w:w="1718"/>
        <w:gridCol w:w="1718"/>
      </w:tblGrid>
      <w:tr w:rsidR="00E923A7" w:rsidRPr="00307AF8" w:rsidTr="00072CE1">
        <w:trPr>
          <w:trHeight w:val="57"/>
          <w:tblHeader/>
          <w:jc w:val="center"/>
        </w:trPr>
        <w:tc>
          <w:tcPr>
            <w:tcW w:w="5325" w:type="dxa"/>
            <w:vMerge w:val="restart"/>
            <w:tcBorders>
              <w:top w:val="nil"/>
              <w:bottom w:val="single" w:sz="4" w:space="0" w:color="001D77"/>
              <w:right w:val="single" w:sz="4" w:space="0" w:color="7030A0"/>
            </w:tcBorders>
            <w:vAlign w:val="center"/>
          </w:tcPr>
          <w:p w:rsidR="00E923A7" w:rsidRPr="008F1C64" w:rsidRDefault="00E923A7" w:rsidP="00072CE1">
            <w:pPr>
              <w:pStyle w:val="glowka1"/>
            </w:pPr>
            <w:r w:rsidRPr="008F1C64">
              <w:t>Wyszczególnienie</w:t>
            </w:r>
          </w:p>
        </w:tc>
        <w:tc>
          <w:tcPr>
            <w:tcW w:w="1718" w:type="dxa"/>
            <w:tcBorders>
              <w:top w:val="nil"/>
              <w:left w:val="single" w:sz="4" w:space="0" w:color="7030A0"/>
              <w:bottom w:val="single" w:sz="4" w:space="0" w:color="001D77"/>
            </w:tcBorders>
            <w:vAlign w:val="center"/>
          </w:tcPr>
          <w:p w:rsidR="00E923A7" w:rsidRPr="00307AF8" w:rsidRDefault="00E923A7" w:rsidP="00072CE1">
            <w:pPr>
              <w:pStyle w:val="glowka1"/>
            </w:pPr>
            <w:r>
              <w:t>2024</w:t>
            </w:r>
          </w:p>
        </w:tc>
        <w:tc>
          <w:tcPr>
            <w:tcW w:w="3436" w:type="dxa"/>
            <w:gridSpan w:val="2"/>
            <w:tcBorders>
              <w:top w:val="nil"/>
              <w:left w:val="single" w:sz="4" w:space="0" w:color="7030A0"/>
              <w:bottom w:val="single" w:sz="4" w:space="0" w:color="001D77"/>
            </w:tcBorders>
            <w:vAlign w:val="center"/>
          </w:tcPr>
          <w:p w:rsidR="00E923A7" w:rsidRPr="00307AF8" w:rsidRDefault="00E923A7" w:rsidP="00072CE1">
            <w:pPr>
              <w:pStyle w:val="glowka1"/>
            </w:pPr>
            <w:r>
              <w:t>2025</w:t>
            </w:r>
          </w:p>
        </w:tc>
      </w:tr>
      <w:tr w:rsidR="00E923A7" w:rsidRPr="00092207" w:rsidTr="00072CE1">
        <w:trPr>
          <w:trHeight w:val="57"/>
          <w:jc w:val="center"/>
        </w:trPr>
        <w:tc>
          <w:tcPr>
            <w:tcW w:w="5325" w:type="dxa"/>
            <w:vMerge/>
            <w:tcBorders>
              <w:top w:val="single" w:sz="4" w:space="0" w:color="001D77"/>
              <w:bottom w:val="single" w:sz="12" w:space="0" w:color="522398"/>
              <w:right w:val="single" w:sz="4" w:space="0" w:color="7030A0"/>
            </w:tcBorders>
            <w:vAlign w:val="center"/>
          </w:tcPr>
          <w:p w:rsidR="00E923A7" w:rsidRPr="008F1C64" w:rsidRDefault="00E923A7" w:rsidP="00072CE1">
            <w:pPr>
              <w:pStyle w:val="glowka1"/>
            </w:pPr>
          </w:p>
        </w:tc>
        <w:tc>
          <w:tcPr>
            <w:tcW w:w="1718" w:type="dxa"/>
            <w:tcBorders>
              <w:top w:val="single" w:sz="4" w:space="0" w:color="001D77"/>
              <w:left w:val="single" w:sz="4" w:space="0" w:color="7030A0"/>
              <w:bottom w:val="single" w:sz="12" w:space="0" w:color="522398"/>
              <w:right w:val="single" w:sz="4" w:space="0" w:color="7030A0"/>
            </w:tcBorders>
            <w:vAlign w:val="center"/>
          </w:tcPr>
          <w:p w:rsidR="00E923A7" w:rsidRPr="008F1C64" w:rsidRDefault="00E923A7" w:rsidP="00072CE1">
            <w:pPr>
              <w:pStyle w:val="glowka1"/>
            </w:pPr>
            <w:r>
              <w:t>02</w:t>
            </w:r>
          </w:p>
        </w:tc>
        <w:tc>
          <w:tcPr>
            <w:tcW w:w="1718" w:type="dxa"/>
            <w:tcBorders>
              <w:top w:val="single" w:sz="4" w:space="0" w:color="001D77"/>
              <w:left w:val="single" w:sz="4" w:space="0" w:color="7030A0"/>
              <w:bottom w:val="single" w:sz="12" w:space="0" w:color="522398"/>
              <w:right w:val="single" w:sz="4" w:space="0" w:color="7030A0"/>
            </w:tcBorders>
            <w:vAlign w:val="center"/>
          </w:tcPr>
          <w:p w:rsidR="00E923A7" w:rsidRPr="00092207" w:rsidRDefault="00E923A7" w:rsidP="00072CE1">
            <w:pPr>
              <w:pStyle w:val="glowka1"/>
            </w:pPr>
            <w:r>
              <w:t>0</w:t>
            </w:r>
            <w:r w:rsidRPr="00092207">
              <w:t>1</w:t>
            </w:r>
          </w:p>
        </w:tc>
        <w:tc>
          <w:tcPr>
            <w:tcW w:w="1718" w:type="dxa"/>
            <w:tcBorders>
              <w:top w:val="single" w:sz="4" w:space="0" w:color="001D77"/>
              <w:left w:val="single" w:sz="4" w:space="0" w:color="7030A0"/>
              <w:bottom w:val="single" w:sz="12" w:space="0" w:color="522398"/>
            </w:tcBorders>
            <w:vAlign w:val="center"/>
          </w:tcPr>
          <w:p w:rsidR="00E923A7" w:rsidRPr="00092207" w:rsidRDefault="00E923A7" w:rsidP="00072CE1">
            <w:pPr>
              <w:pStyle w:val="glowka1"/>
            </w:pPr>
            <w:r w:rsidRPr="00092207">
              <w:t>0</w:t>
            </w:r>
            <w:r>
              <w:t>2</w:t>
            </w:r>
          </w:p>
        </w:tc>
      </w:tr>
      <w:tr w:rsidR="00E923A7" w:rsidTr="00072CE1">
        <w:trPr>
          <w:trHeight w:val="57"/>
          <w:jc w:val="center"/>
        </w:trPr>
        <w:tc>
          <w:tcPr>
            <w:tcW w:w="5325" w:type="dxa"/>
            <w:tcBorders>
              <w:top w:val="single" w:sz="12" w:space="0" w:color="522398"/>
              <w:bottom w:val="single" w:sz="4" w:space="0" w:color="522398"/>
              <w:right w:val="single" w:sz="4" w:space="0" w:color="7030A0"/>
            </w:tcBorders>
            <w:vAlign w:val="center"/>
          </w:tcPr>
          <w:p w:rsidR="00E923A7" w:rsidRPr="008F1C64" w:rsidRDefault="00E923A7" w:rsidP="00072CE1">
            <w:pPr>
              <w:pStyle w:val="boczek1"/>
            </w:pPr>
            <w:r w:rsidRPr="008F1C64">
              <w:t xml:space="preserve">Bezrobotni zarejestrowani (stan w końcu miesiąca) w tys. </w:t>
            </w:r>
            <w:r w:rsidRPr="008F1C64">
              <w:tab/>
            </w:r>
          </w:p>
        </w:tc>
        <w:tc>
          <w:tcPr>
            <w:tcW w:w="1718" w:type="dxa"/>
            <w:tcBorders>
              <w:top w:val="single" w:sz="12" w:space="0" w:color="522398"/>
              <w:left w:val="single" w:sz="4" w:space="0" w:color="7030A0"/>
              <w:bottom w:val="single" w:sz="4" w:space="0" w:color="522398"/>
              <w:right w:val="single" w:sz="4" w:space="0" w:color="7030A0"/>
            </w:tcBorders>
            <w:vAlign w:val="bottom"/>
          </w:tcPr>
          <w:p w:rsidR="00E923A7" w:rsidRDefault="00E923A7" w:rsidP="00072CE1">
            <w:pPr>
              <w:pStyle w:val="tableteksttab"/>
              <w:rPr>
                <w:sz w:val="24"/>
              </w:rPr>
            </w:pPr>
            <w:r>
              <w:t>51,8</w:t>
            </w:r>
          </w:p>
        </w:tc>
        <w:tc>
          <w:tcPr>
            <w:tcW w:w="1718" w:type="dxa"/>
            <w:tcBorders>
              <w:top w:val="single" w:sz="12" w:space="0" w:color="522398"/>
              <w:left w:val="single" w:sz="4" w:space="0" w:color="7030A0"/>
              <w:bottom w:val="single" w:sz="4" w:space="0" w:color="522398"/>
              <w:right w:val="single" w:sz="4" w:space="0" w:color="7030A0"/>
            </w:tcBorders>
            <w:vAlign w:val="center"/>
          </w:tcPr>
          <w:p w:rsidR="00E923A7" w:rsidRPr="000E3EF4" w:rsidRDefault="00E923A7" w:rsidP="00072CE1">
            <w:pPr>
              <w:pStyle w:val="tableteksttab"/>
            </w:pPr>
            <w:r>
              <w:t>51,0</w:t>
            </w:r>
          </w:p>
        </w:tc>
        <w:tc>
          <w:tcPr>
            <w:tcW w:w="1718" w:type="dxa"/>
            <w:tcBorders>
              <w:top w:val="single" w:sz="12" w:space="0" w:color="522398"/>
              <w:left w:val="single" w:sz="4" w:space="0" w:color="7030A0"/>
              <w:bottom w:val="single" w:sz="4" w:space="0" w:color="522398"/>
            </w:tcBorders>
            <w:vAlign w:val="bottom"/>
          </w:tcPr>
          <w:p w:rsidR="00E923A7" w:rsidRDefault="00E923A7" w:rsidP="00072CE1">
            <w:pPr>
              <w:pStyle w:val="tableteksttab"/>
              <w:rPr>
                <w:sz w:val="24"/>
              </w:rPr>
            </w:pPr>
            <w:r>
              <w:t>52,0</w:t>
            </w:r>
          </w:p>
        </w:tc>
      </w:tr>
      <w:tr w:rsidR="00E923A7" w:rsidRPr="001F7917" w:rsidTr="00072CE1">
        <w:trPr>
          <w:trHeight w:val="57"/>
          <w:jc w:val="center"/>
        </w:trPr>
        <w:tc>
          <w:tcPr>
            <w:tcW w:w="5325" w:type="dxa"/>
            <w:tcBorders>
              <w:top w:val="single" w:sz="4" w:space="0" w:color="522398"/>
              <w:bottom w:val="single" w:sz="4" w:space="0" w:color="522398"/>
              <w:right w:val="single" w:sz="4" w:space="0" w:color="7030A0"/>
            </w:tcBorders>
            <w:vAlign w:val="center"/>
          </w:tcPr>
          <w:p w:rsidR="00E923A7" w:rsidRPr="008F1C64" w:rsidRDefault="00E923A7" w:rsidP="00072CE1">
            <w:pPr>
              <w:pStyle w:val="boczek1"/>
            </w:pPr>
            <w:r w:rsidRPr="008F1C64">
              <w:t xml:space="preserve">Bezrobotni nowo zarejestrowani (w ciągu miesiąca) w tys. </w:t>
            </w:r>
            <w:r w:rsidRPr="008F1C64">
              <w:tab/>
            </w:r>
          </w:p>
        </w:tc>
        <w:tc>
          <w:tcPr>
            <w:tcW w:w="1718" w:type="dxa"/>
            <w:tcBorders>
              <w:top w:val="single" w:sz="4" w:space="0" w:color="522398"/>
              <w:left w:val="single" w:sz="4" w:space="0" w:color="7030A0"/>
              <w:bottom w:val="single" w:sz="4" w:space="0" w:color="522398"/>
              <w:right w:val="single" w:sz="4" w:space="0" w:color="7030A0"/>
            </w:tcBorders>
            <w:vAlign w:val="bottom"/>
          </w:tcPr>
          <w:p w:rsidR="00E923A7" w:rsidRPr="001F7917" w:rsidRDefault="00E923A7" w:rsidP="00072CE1">
            <w:pPr>
              <w:pStyle w:val="tableteksttab"/>
              <w:rPr>
                <w:b/>
              </w:rPr>
            </w:pPr>
            <w:r>
              <w:t>8,5</w:t>
            </w:r>
          </w:p>
        </w:tc>
        <w:tc>
          <w:tcPr>
            <w:tcW w:w="1718" w:type="dxa"/>
            <w:tcBorders>
              <w:top w:val="single" w:sz="4" w:space="0" w:color="522398"/>
              <w:left w:val="single" w:sz="4" w:space="0" w:color="7030A0"/>
              <w:bottom w:val="single" w:sz="4" w:space="0" w:color="522398"/>
              <w:right w:val="single" w:sz="4" w:space="0" w:color="7030A0"/>
            </w:tcBorders>
            <w:vAlign w:val="center"/>
          </w:tcPr>
          <w:p w:rsidR="00E923A7" w:rsidRPr="000E3EF4" w:rsidRDefault="00E923A7" w:rsidP="00072CE1">
            <w:pPr>
              <w:pStyle w:val="tableteksttab"/>
            </w:pPr>
            <w:r>
              <w:t>10,2</w:t>
            </w:r>
          </w:p>
        </w:tc>
        <w:tc>
          <w:tcPr>
            <w:tcW w:w="1718" w:type="dxa"/>
            <w:tcBorders>
              <w:top w:val="single" w:sz="4" w:space="0" w:color="522398"/>
              <w:left w:val="single" w:sz="4" w:space="0" w:color="7030A0"/>
              <w:bottom w:val="single" w:sz="4" w:space="0" w:color="522398"/>
            </w:tcBorders>
            <w:vAlign w:val="bottom"/>
          </w:tcPr>
          <w:p w:rsidR="00E923A7" w:rsidRPr="001F7917" w:rsidRDefault="00E923A7" w:rsidP="00072CE1">
            <w:pPr>
              <w:pStyle w:val="tableteksttab"/>
              <w:rPr>
                <w:b/>
              </w:rPr>
            </w:pPr>
            <w:r>
              <w:t>8,3</w:t>
            </w:r>
          </w:p>
        </w:tc>
      </w:tr>
      <w:tr w:rsidR="00E923A7" w:rsidRPr="001F7917" w:rsidTr="00072CE1">
        <w:trPr>
          <w:trHeight w:val="57"/>
          <w:jc w:val="center"/>
        </w:trPr>
        <w:tc>
          <w:tcPr>
            <w:tcW w:w="5325" w:type="dxa"/>
            <w:tcBorders>
              <w:top w:val="single" w:sz="4" w:space="0" w:color="522398"/>
              <w:bottom w:val="single" w:sz="4" w:space="0" w:color="522398"/>
              <w:right w:val="single" w:sz="4" w:space="0" w:color="7030A0"/>
            </w:tcBorders>
            <w:vAlign w:val="center"/>
          </w:tcPr>
          <w:p w:rsidR="00E923A7" w:rsidRPr="008F1C64" w:rsidRDefault="00E923A7" w:rsidP="00072CE1">
            <w:pPr>
              <w:pStyle w:val="boczek1"/>
            </w:pPr>
            <w:r w:rsidRPr="008F1C64">
              <w:t xml:space="preserve">Bezrobotni wyrejestrowani (w ciągu miesiąca) w tys. </w:t>
            </w:r>
            <w:r w:rsidRPr="008F1C64">
              <w:tab/>
            </w:r>
          </w:p>
        </w:tc>
        <w:tc>
          <w:tcPr>
            <w:tcW w:w="1718" w:type="dxa"/>
            <w:tcBorders>
              <w:top w:val="single" w:sz="4" w:space="0" w:color="522398"/>
              <w:left w:val="single" w:sz="4" w:space="0" w:color="7030A0"/>
              <w:bottom w:val="single" w:sz="4" w:space="0" w:color="522398"/>
              <w:right w:val="single" w:sz="4" w:space="0" w:color="7030A0"/>
            </w:tcBorders>
            <w:vAlign w:val="bottom"/>
          </w:tcPr>
          <w:p w:rsidR="00E923A7" w:rsidRPr="001F7917" w:rsidRDefault="00E923A7" w:rsidP="00072CE1">
            <w:pPr>
              <w:pStyle w:val="tableteksttab"/>
              <w:rPr>
                <w:b/>
              </w:rPr>
            </w:pPr>
            <w:r>
              <w:t>7,2</w:t>
            </w:r>
          </w:p>
        </w:tc>
        <w:tc>
          <w:tcPr>
            <w:tcW w:w="1718" w:type="dxa"/>
            <w:tcBorders>
              <w:top w:val="single" w:sz="4" w:space="0" w:color="522398"/>
              <w:left w:val="single" w:sz="4" w:space="0" w:color="7030A0"/>
              <w:bottom w:val="single" w:sz="4" w:space="0" w:color="522398"/>
              <w:right w:val="single" w:sz="4" w:space="0" w:color="7030A0"/>
            </w:tcBorders>
            <w:vAlign w:val="center"/>
          </w:tcPr>
          <w:p w:rsidR="00E923A7" w:rsidRPr="000E3EF4" w:rsidRDefault="00E923A7" w:rsidP="00072CE1">
            <w:pPr>
              <w:pStyle w:val="tableteksttab"/>
            </w:pPr>
            <w:r>
              <w:t>5,7</w:t>
            </w:r>
          </w:p>
        </w:tc>
        <w:tc>
          <w:tcPr>
            <w:tcW w:w="1718" w:type="dxa"/>
            <w:tcBorders>
              <w:top w:val="single" w:sz="4" w:space="0" w:color="522398"/>
              <w:left w:val="single" w:sz="4" w:space="0" w:color="7030A0"/>
              <w:bottom w:val="single" w:sz="4" w:space="0" w:color="522398"/>
            </w:tcBorders>
            <w:shd w:val="clear" w:color="auto" w:fill="auto"/>
            <w:vAlign w:val="bottom"/>
          </w:tcPr>
          <w:p w:rsidR="00E923A7" w:rsidRPr="001F7917" w:rsidRDefault="00E923A7" w:rsidP="00072CE1">
            <w:pPr>
              <w:pStyle w:val="tableteksttab"/>
              <w:rPr>
                <w:b/>
              </w:rPr>
            </w:pPr>
            <w:r>
              <w:t>7,3</w:t>
            </w:r>
          </w:p>
        </w:tc>
      </w:tr>
      <w:tr w:rsidR="00E923A7" w:rsidRPr="001F7917" w:rsidTr="00072CE1">
        <w:trPr>
          <w:trHeight w:val="57"/>
          <w:jc w:val="center"/>
        </w:trPr>
        <w:tc>
          <w:tcPr>
            <w:tcW w:w="5325" w:type="dxa"/>
            <w:tcBorders>
              <w:top w:val="single" w:sz="4" w:space="0" w:color="522398"/>
              <w:bottom w:val="nil"/>
              <w:right w:val="single" w:sz="4" w:space="0" w:color="7030A0"/>
            </w:tcBorders>
            <w:vAlign w:val="center"/>
          </w:tcPr>
          <w:p w:rsidR="00E923A7" w:rsidRPr="008F1C64" w:rsidRDefault="00E923A7" w:rsidP="00072CE1">
            <w:pPr>
              <w:pStyle w:val="boczek1"/>
            </w:pPr>
            <w:r w:rsidRPr="008F1C64">
              <w:t>Stopa bezrobocia rejestrowanego (stan w końcu miesią</w:t>
            </w:r>
            <w:r>
              <w:t>ca) w %</w:t>
            </w:r>
            <w:r w:rsidRPr="008F1C64">
              <w:tab/>
            </w:r>
          </w:p>
        </w:tc>
        <w:tc>
          <w:tcPr>
            <w:tcW w:w="1718" w:type="dxa"/>
            <w:tcBorders>
              <w:top w:val="single" w:sz="4" w:space="0" w:color="522398"/>
              <w:left w:val="single" w:sz="4" w:space="0" w:color="7030A0"/>
              <w:bottom w:val="nil"/>
              <w:right w:val="single" w:sz="4" w:space="0" w:color="7030A0"/>
            </w:tcBorders>
            <w:shd w:val="clear" w:color="auto" w:fill="FFFFFF"/>
            <w:vAlign w:val="center"/>
          </w:tcPr>
          <w:p w:rsidR="00E923A7" w:rsidRPr="001F7917" w:rsidRDefault="00E923A7" w:rsidP="00072CE1">
            <w:pPr>
              <w:pStyle w:val="tableteksttab"/>
              <w:rPr>
                <w:b/>
              </w:rPr>
            </w:pPr>
            <w:r>
              <w:t>3,3</w:t>
            </w:r>
          </w:p>
        </w:tc>
        <w:tc>
          <w:tcPr>
            <w:tcW w:w="1718" w:type="dxa"/>
            <w:tcBorders>
              <w:top w:val="single" w:sz="4" w:space="0" w:color="522398"/>
              <w:left w:val="single" w:sz="4" w:space="0" w:color="7030A0"/>
              <w:bottom w:val="nil"/>
              <w:right w:val="single" w:sz="4" w:space="0" w:color="7030A0"/>
            </w:tcBorders>
            <w:shd w:val="clear" w:color="auto" w:fill="FFFFFF"/>
            <w:vAlign w:val="center"/>
          </w:tcPr>
          <w:p w:rsidR="00E923A7" w:rsidRPr="000E3EF4" w:rsidRDefault="00E923A7" w:rsidP="00072CE1">
            <w:pPr>
              <w:pStyle w:val="tableteksttab"/>
            </w:pPr>
            <w:r>
              <w:t>3,3</w:t>
            </w:r>
          </w:p>
        </w:tc>
        <w:tc>
          <w:tcPr>
            <w:tcW w:w="1718" w:type="dxa"/>
            <w:tcBorders>
              <w:top w:val="single" w:sz="4" w:space="0" w:color="522398"/>
              <w:left w:val="single" w:sz="4" w:space="0" w:color="7030A0"/>
              <w:bottom w:val="nil"/>
            </w:tcBorders>
            <w:shd w:val="clear" w:color="auto" w:fill="auto"/>
            <w:vAlign w:val="center"/>
          </w:tcPr>
          <w:p w:rsidR="00E923A7" w:rsidRPr="001F7917" w:rsidRDefault="00E923A7" w:rsidP="00072CE1">
            <w:pPr>
              <w:pStyle w:val="tableteksttab"/>
              <w:rPr>
                <w:b/>
              </w:rPr>
            </w:pPr>
            <w:r>
              <w:t>3,3</w:t>
            </w:r>
          </w:p>
        </w:tc>
      </w:tr>
    </w:tbl>
    <w:p w:rsidR="00E923A7" w:rsidRDefault="00E923A7" w:rsidP="00E923A7">
      <w:pPr>
        <w:pStyle w:val="tekst"/>
        <w:spacing w:before="360"/>
      </w:pPr>
      <w:r w:rsidRPr="002E54D0">
        <w:rPr>
          <w:b/>
        </w:rPr>
        <w:t>Stopa bezrobocia rejestrowanego</w:t>
      </w:r>
      <w:r>
        <w:t xml:space="preserve"> w końcu lutego br. wyniosła 3,3% i była </w:t>
      </w:r>
      <w:r w:rsidRPr="00EE54A6">
        <w:t>najniższa w kraju (5,</w:t>
      </w:r>
      <w:r>
        <w:t>4</w:t>
      </w:r>
      <w:r w:rsidRPr="00EE54A6">
        <w:t xml:space="preserve">%). </w:t>
      </w:r>
      <w:r>
        <w:t>Zarówno w odniesieniu do poprzedniego miesiąca, jak i w porównaniu z ub. rokiem w</w:t>
      </w:r>
      <w:r w:rsidRPr="00D153B5">
        <w:t xml:space="preserve">skaźnik </w:t>
      </w:r>
      <w:r w:rsidRPr="003433A7">
        <w:t>pozostał bez zmian</w:t>
      </w:r>
      <w:r>
        <w:t>.</w:t>
      </w:r>
    </w:p>
    <w:p w:rsidR="00E923A7" w:rsidRDefault="00DC46F9" w:rsidP="00E923A7">
      <w:pPr>
        <w:pStyle w:val="tytuwykresu"/>
        <w:ind w:left="992" w:hanging="992"/>
        <w:rPr>
          <w:bCs/>
        </w:rPr>
      </w:pPr>
      <w:r w:rsidRPr="00CB757E">
        <w:rPr>
          <w:noProof/>
          <w:lang w:eastAsia="pl-PL"/>
        </w:rPr>
        <w:drawing>
          <wp:anchor distT="0" distB="0" distL="114300" distR="114300" simplePos="0" relativeHeight="252945920" behindDoc="0" locked="0" layoutInCell="1" allowOverlap="1">
            <wp:simplePos x="0" y="0"/>
            <wp:positionH relativeFrom="margin">
              <wp:align>center</wp:align>
            </wp:positionH>
            <wp:positionV relativeFrom="paragraph">
              <wp:posOffset>644795</wp:posOffset>
            </wp:positionV>
            <wp:extent cx="5940000" cy="2680625"/>
            <wp:effectExtent l="0" t="0" r="3810" b="5715"/>
            <wp:wrapTopAndBottom/>
            <wp:docPr id="13" name="Obraz 13" descr="Podwójny wykres liniowy (Polska i województwo wielkopolskie) prezentujący kształtowanie się stopy bezrobocia rejestrowanego w kolejnych miesiącach w latach 2022–2025 (oś pozioma). Oś pionowa wartości w zakresie od 2 do 6%.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0000" cy="2680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23A7">
        <w:t>Wykres 2.</w:t>
      </w:r>
      <w:r w:rsidR="00E923A7">
        <w:tab/>
      </w:r>
      <w:r w:rsidR="00E923A7" w:rsidRPr="006861A2">
        <w:t xml:space="preserve">Stopa bezrobocia </w:t>
      </w:r>
      <w:r w:rsidR="00E923A7">
        <w:t>rejestrowanego</w:t>
      </w:r>
      <w:r w:rsidR="00E923A7">
        <w:br/>
      </w:r>
      <w:r w:rsidR="00E923A7" w:rsidRPr="006861A2">
        <w:t>S</w:t>
      </w:r>
      <w:r w:rsidR="00E923A7" w:rsidRPr="006861A2">
        <w:rPr>
          <w:bCs/>
        </w:rPr>
        <w:t>tan w końcu miesiąca</w:t>
      </w:r>
    </w:p>
    <w:p w:rsidR="00E923A7" w:rsidRDefault="00DC46F9" w:rsidP="00E923A7">
      <w:pPr>
        <w:pStyle w:val="tytuwykresu"/>
      </w:pPr>
      <w:r w:rsidRPr="00DC46F9">
        <w:rPr>
          <w:noProof/>
          <w:lang w:eastAsia="pl-PL"/>
        </w:rPr>
        <w:lastRenderedPageBreak/>
        <w:drawing>
          <wp:anchor distT="0" distB="0" distL="114300" distR="114300" simplePos="0" relativeHeight="252946944" behindDoc="0" locked="0" layoutInCell="1" allowOverlap="1">
            <wp:simplePos x="0" y="0"/>
            <wp:positionH relativeFrom="column">
              <wp:posOffset>1060314</wp:posOffset>
            </wp:positionH>
            <wp:positionV relativeFrom="paragraph">
              <wp:posOffset>369651</wp:posOffset>
            </wp:positionV>
            <wp:extent cx="4320000" cy="4827835"/>
            <wp:effectExtent l="0" t="0" r="4445" b="0"/>
            <wp:wrapTopAndBottom/>
            <wp:docPr id="26" name="Obraz 26" descr="Kartogramy: większy – województwo wielkopolskie według powiatów, mniejszy – według podregionów, dotyczący stopy bezrobocia rejestrowanego. Cieniowanie – 5 przedziałów według poziomu wskaźnika. W etykietach nazwa powiatu/podregionu oraz wartość stopy bezrobocia w %. Dodatkowo wartości dla Polski (5,4%) i województwa wielkopolskiego (3,3%). Dane do mapy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20000" cy="48278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23A7" w:rsidRPr="0066467C">
        <w:t>Mapa 1.</w:t>
      </w:r>
      <w:r w:rsidR="00E923A7" w:rsidRPr="00C50D80">
        <w:tab/>
      </w:r>
      <w:r w:rsidR="00E923A7" w:rsidRPr="006242B5">
        <w:rPr>
          <w:color w:val="000000" w:themeColor="text1"/>
        </w:rPr>
        <w:t xml:space="preserve">Stopa bezrobocia rejestrowanego według powiatów i podregionów w </w:t>
      </w:r>
      <w:r w:rsidR="00E923A7">
        <w:rPr>
          <w:color w:val="000000" w:themeColor="text1"/>
        </w:rPr>
        <w:t>2025 r.</w:t>
      </w:r>
      <w:r w:rsidR="00E923A7" w:rsidRPr="006242B5">
        <w:rPr>
          <w:color w:val="000000" w:themeColor="text1"/>
          <w:sz w:val="18"/>
          <w:szCs w:val="18"/>
        </w:rPr>
        <w:br/>
      </w:r>
      <w:r w:rsidR="00E923A7" w:rsidRPr="006242B5">
        <w:rPr>
          <w:color w:val="000000" w:themeColor="text1"/>
        </w:rPr>
        <w:tab/>
        <w:t xml:space="preserve">Stan w końcu </w:t>
      </w:r>
      <w:r w:rsidR="00E923A7">
        <w:t>lutego</w:t>
      </w:r>
    </w:p>
    <w:p w:rsidR="00E923A7" w:rsidRPr="008F63F2" w:rsidRDefault="00E923A7" w:rsidP="00E923A7">
      <w:pPr>
        <w:pStyle w:val="tekst"/>
        <w:spacing w:before="360"/>
      </w:pPr>
      <w:r w:rsidRPr="008F63F2">
        <w:rPr>
          <w:spacing w:val="-2"/>
        </w:rPr>
        <w:t xml:space="preserve">Natężenie bezrobocia w województwie jest zróżnicowane terytorialnie. </w:t>
      </w:r>
      <w:r w:rsidRPr="008F63F2">
        <w:t xml:space="preserve">W końcu </w:t>
      </w:r>
      <w:r>
        <w:t>lutego</w:t>
      </w:r>
      <w:r w:rsidRPr="008F63F2">
        <w:t xml:space="preserve"> br. najwyższą stopę bezrobocia odnotowano w powiatach: </w:t>
      </w:r>
      <w:r w:rsidRPr="000110AD">
        <w:t>konińskim (</w:t>
      </w:r>
      <w:r w:rsidRPr="00B66B65">
        <w:t>9,3</w:t>
      </w:r>
      <w:r>
        <w:t>%),</w:t>
      </w:r>
      <w:r w:rsidRPr="000110AD">
        <w:t xml:space="preserve"> słupeckim </w:t>
      </w:r>
      <w:r>
        <w:t>(7,9%)</w:t>
      </w:r>
      <w:r w:rsidRPr="000110AD">
        <w:t xml:space="preserve"> </w:t>
      </w:r>
      <w:r>
        <w:t xml:space="preserve">i </w:t>
      </w:r>
      <w:r w:rsidRPr="000110AD">
        <w:t>chodzieskim</w:t>
      </w:r>
      <w:r>
        <w:t xml:space="preserve"> </w:t>
      </w:r>
      <w:r w:rsidRPr="000110AD">
        <w:t>(</w:t>
      </w:r>
      <w:r>
        <w:t>7,8%)</w:t>
      </w:r>
      <w:r w:rsidRPr="000110AD">
        <w:t>, natomiast najniższą w Poznaniu</w:t>
      </w:r>
      <w:r>
        <w:t xml:space="preserve"> i powiecie </w:t>
      </w:r>
      <w:r w:rsidRPr="000110AD">
        <w:t>poznańskim (</w:t>
      </w:r>
      <w:r>
        <w:t xml:space="preserve">w obu przypadkach </w:t>
      </w:r>
      <w:r w:rsidRPr="000110AD">
        <w:t>1,</w:t>
      </w:r>
      <w:r>
        <w:t>2</w:t>
      </w:r>
      <w:r w:rsidRPr="000110AD">
        <w:t>%)</w:t>
      </w:r>
      <w:r>
        <w:t xml:space="preserve"> oraz kępińskim </w:t>
      </w:r>
      <w:r w:rsidRPr="000110AD">
        <w:t>(</w:t>
      </w:r>
      <w:r>
        <w:t>1,6</w:t>
      </w:r>
      <w:r w:rsidRPr="000110AD">
        <w:t xml:space="preserve">%). </w:t>
      </w:r>
      <w:r w:rsidRPr="00FD0C31">
        <w:t>W porównaniu z poprzednim miesiącem</w:t>
      </w:r>
      <w:r>
        <w:t xml:space="preserve"> wzrost wskaźnika obserwowano w 13 z </w:t>
      </w:r>
      <w:r w:rsidRPr="00FD0C31">
        <w:t xml:space="preserve">35 powiatów (największy w </w:t>
      </w:r>
      <w:r>
        <w:t>międzychodzkim</w:t>
      </w:r>
      <w:r w:rsidRPr="00FD0C31">
        <w:t xml:space="preserve"> – o 0,</w:t>
      </w:r>
      <w:r>
        <w:t>4</w:t>
      </w:r>
      <w:r w:rsidRPr="00FD0C31">
        <w:t xml:space="preserve"> p.proc.), w 1</w:t>
      </w:r>
      <w:r>
        <w:t>4</w:t>
      </w:r>
      <w:r w:rsidRPr="00FD0C31">
        <w:t xml:space="preserve"> nie uległ on zmianie,</w:t>
      </w:r>
      <w:r>
        <w:br/>
      </w:r>
      <w:r w:rsidRPr="00FD0C31">
        <w:t xml:space="preserve">a w </w:t>
      </w:r>
      <w:r>
        <w:t xml:space="preserve">8 </w:t>
      </w:r>
      <w:r w:rsidRPr="00FD0C31">
        <w:t>odnotowano spadek (</w:t>
      </w:r>
      <w:r>
        <w:t xml:space="preserve">największy w chodzieskim i złotowskim </w:t>
      </w:r>
      <w:r w:rsidRPr="00FD0C31">
        <w:t xml:space="preserve">– </w:t>
      </w:r>
      <w:r>
        <w:t>p</w:t>
      </w:r>
      <w:r w:rsidRPr="00FD0C31">
        <w:t>o 0,</w:t>
      </w:r>
      <w:r>
        <w:t>2</w:t>
      </w:r>
      <w:r w:rsidRPr="00FD0C31">
        <w:t xml:space="preserve"> p.proc.).</w:t>
      </w:r>
      <w:r>
        <w:t xml:space="preserve"> </w:t>
      </w:r>
      <w:r w:rsidRPr="0003643C">
        <w:t xml:space="preserve">W ciągu roku </w:t>
      </w:r>
      <w:r>
        <w:t xml:space="preserve">stopa </w:t>
      </w:r>
      <w:r w:rsidRPr="0003643C">
        <w:t>bezrobocia</w:t>
      </w:r>
      <w:r w:rsidRPr="00A96265">
        <w:t xml:space="preserve"> </w:t>
      </w:r>
      <w:r>
        <w:t>zwiększyła się w 13 powiatach</w:t>
      </w:r>
      <w:r w:rsidRPr="0003643C">
        <w:t xml:space="preserve"> </w:t>
      </w:r>
      <w:r>
        <w:t>(</w:t>
      </w:r>
      <w:r w:rsidRPr="0003643C">
        <w:t xml:space="preserve">najbardziej </w:t>
      </w:r>
      <w:r>
        <w:t xml:space="preserve">w kaliskim – o 0,4 </w:t>
      </w:r>
      <w:r w:rsidRPr="00802FBC">
        <w:t>p.proc.</w:t>
      </w:r>
      <w:r>
        <w:t>)</w:t>
      </w:r>
      <w:r w:rsidRPr="0003643C">
        <w:t xml:space="preserve">, </w:t>
      </w:r>
      <w:r>
        <w:t xml:space="preserve">w 7 </w:t>
      </w:r>
      <w:r w:rsidRPr="0003643C">
        <w:t>pozostał</w:t>
      </w:r>
      <w:r>
        <w:t>a</w:t>
      </w:r>
      <w:r w:rsidRPr="0003643C">
        <w:t xml:space="preserve"> na tym samym poziomie</w:t>
      </w:r>
      <w:r>
        <w:t xml:space="preserve">, a </w:t>
      </w:r>
      <w:r w:rsidRPr="0003643C">
        <w:t>zmniejszył</w:t>
      </w:r>
      <w:r>
        <w:t>a</w:t>
      </w:r>
      <w:r w:rsidRPr="0003643C">
        <w:t xml:space="preserve"> się w </w:t>
      </w:r>
      <w:r>
        <w:t xml:space="preserve">15 (najbardziej w tureckim i </w:t>
      </w:r>
      <w:r w:rsidRPr="008B4304">
        <w:t>wągrowiecki</w:t>
      </w:r>
      <w:r>
        <w:t xml:space="preserve">m – po 0,5 </w:t>
      </w:r>
      <w:r w:rsidRPr="00802FBC">
        <w:t>p.proc.</w:t>
      </w:r>
      <w:r>
        <w:t>)</w:t>
      </w:r>
      <w:r w:rsidRPr="0003643C">
        <w:t>.</w:t>
      </w:r>
    </w:p>
    <w:p w:rsidR="00E923A7" w:rsidRPr="00D0363C" w:rsidRDefault="00E923A7" w:rsidP="00E923A7">
      <w:pPr>
        <w:pStyle w:val="tekst"/>
      </w:pPr>
      <w:r>
        <w:t>W lutym</w:t>
      </w:r>
      <w:r w:rsidRPr="002678C0">
        <w:t xml:space="preserve"> </w:t>
      </w:r>
      <w:r>
        <w:t>br.</w:t>
      </w:r>
      <w:r w:rsidRPr="002678C0">
        <w:t xml:space="preserve"> w urzędach pracy </w:t>
      </w:r>
      <w:r w:rsidRPr="002678C0">
        <w:rPr>
          <w:b/>
        </w:rPr>
        <w:t>zarejestrowano</w:t>
      </w:r>
      <w:r w:rsidRPr="002678C0">
        <w:t xml:space="preserve"> </w:t>
      </w:r>
      <w:r w:rsidRPr="0001386F">
        <w:t xml:space="preserve">8,3 </w:t>
      </w:r>
      <w:r w:rsidRPr="00636E35">
        <w:t xml:space="preserve">tys. osób bezrobotnych, tj. o </w:t>
      </w:r>
      <w:r w:rsidRPr="0001386F">
        <w:t>18,0</w:t>
      </w:r>
      <w:r w:rsidRPr="00636E35">
        <w:t xml:space="preserve">% </w:t>
      </w:r>
      <w:r>
        <w:t>mniej niż przed miesiącem i o 2,3</w:t>
      </w:r>
      <w:r w:rsidRPr="00636E35">
        <w:t xml:space="preserve">% </w:t>
      </w:r>
      <w:r>
        <w:t xml:space="preserve">mniej </w:t>
      </w:r>
      <w:r w:rsidRPr="00636E35">
        <w:t xml:space="preserve">niż przed rokiem. Udział osób rejestrujących się po raz kolejny w ogólnej liczbie nowo zarejestrowanych </w:t>
      </w:r>
      <w:r>
        <w:t xml:space="preserve">obniżył się </w:t>
      </w:r>
      <w:r w:rsidRPr="006252B7">
        <w:t xml:space="preserve">o </w:t>
      </w:r>
      <w:r>
        <w:t xml:space="preserve">0,1 </w:t>
      </w:r>
      <w:r w:rsidRPr="006252B7">
        <w:t xml:space="preserve">p.proc. (do </w:t>
      </w:r>
      <w:r w:rsidRPr="0001386F">
        <w:t>73,3</w:t>
      </w:r>
      <w:r w:rsidRPr="00AE0B94">
        <w:t>%)</w:t>
      </w:r>
      <w:r w:rsidRPr="00636E35">
        <w:t xml:space="preserve">. </w:t>
      </w:r>
      <w:r>
        <w:t>Zmniejszył</w:t>
      </w:r>
      <w:r w:rsidRPr="00636E35">
        <w:t xml:space="preserve"> się</w:t>
      </w:r>
      <w:r>
        <w:t xml:space="preserve"> też odsetek osób dotychczas niepracujących (o 1,1 p.proc. do 8,7%), </w:t>
      </w:r>
      <w:r w:rsidRPr="00636E35">
        <w:t>abso</w:t>
      </w:r>
      <w:r>
        <w:t xml:space="preserve">lwentów (o 0,4 p.proc. do 8,4%) oraz </w:t>
      </w:r>
      <w:r w:rsidRPr="00636E35">
        <w:t xml:space="preserve">zwolnionych z przyczyn </w:t>
      </w:r>
      <w:r>
        <w:t xml:space="preserve">dotyczących zakładu pracy (o 0,2 </w:t>
      </w:r>
      <w:r w:rsidRPr="00636E35">
        <w:t xml:space="preserve">p.proc. do </w:t>
      </w:r>
      <w:r>
        <w:t>4,6</w:t>
      </w:r>
      <w:r w:rsidRPr="00636E35">
        <w:t>%)</w:t>
      </w:r>
      <w:r>
        <w:t>.</w:t>
      </w:r>
    </w:p>
    <w:p w:rsidR="00E923A7" w:rsidRDefault="00E923A7" w:rsidP="00E923A7">
      <w:pPr>
        <w:pStyle w:val="tekst"/>
      </w:pPr>
      <w:r>
        <w:t>Z</w:t>
      </w:r>
      <w:r w:rsidRPr="006F4D5B">
        <w:t xml:space="preserve"> </w:t>
      </w:r>
      <w:r w:rsidRPr="00D0363C">
        <w:t xml:space="preserve">ewidencji bezrobotnych </w:t>
      </w:r>
      <w:r>
        <w:t>w lutym</w:t>
      </w:r>
      <w:r w:rsidRPr="00D0363C">
        <w:t xml:space="preserve"> </w:t>
      </w:r>
      <w:r>
        <w:t>br.</w:t>
      </w:r>
      <w:r w:rsidRPr="00D0363C">
        <w:t xml:space="preserve"> </w:t>
      </w:r>
      <w:r w:rsidRPr="00D0363C">
        <w:rPr>
          <w:b/>
        </w:rPr>
        <w:t>wyrejestrowano</w:t>
      </w:r>
      <w:r w:rsidRPr="00D0363C">
        <w:t xml:space="preserve"> </w:t>
      </w:r>
      <w:r>
        <w:t>7,3</w:t>
      </w:r>
      <w:r w:rsidRPr="000B35C5">
        <w:t xml:space="preserve"> tys. osób, tj. o </w:t>
      </w:r>
      <w:r w:rsidRPr="00672446">
        <w:t>27,8</w:t>
      </w:r>
      <w:r w:rsidRPr="000B35C5">
        <w:t xml:space="preserve">% </w:t>
      </w:r>
      <w:r>
        <w:t xml:space="preserve">więcej niż przed miesiącem i o </w:t>
      </w:r>
      <w:r w:rsidRPr="00672446">
        <w:t>2,4</w:t>
      </w:r>
      <w:r w:rsidRPr="000B35C5">
        <w:t xml:space="preserve">% </w:t>
      </w:r>
      <w:r>
        <w:t>więcej</w:t>
      </w:r>
      <w:r w:rsidRPr="000B35C5">
        <w:t xml:space="preserve"> niż </w:t>
      </w:r>
      <w:r>
        <w:t>przed rokiem</w:t>
      </w:r>
      <w:r w:rsidRPr="000B35C5">
        <w:t>. Z tytułu podjęcia pracy z rejestru bezrobotnych wyłączono</w:t>
      </w:r>
      <w:r>
        <w:t xml:space="preserve"> </w:t>
      </w:r>
      <w:r w:rsidRPr="00672446">
        <w:t xml:space="preserve">3,9 </w:t>
      </w:r>
      <w:r w:rsidRPr="000B35C5">
        <w:t>tys. osób</w:t>
      </w:r>
      <w:r>
        <w:t xml:space="preserve"> (przed rokiem 3,7 tys.), a </w:t>
      </w:r>
      <w:r w:rsidRPr="00FC10CE">
        <w:t xml:space="preserve">ich udział wśród ogółu wyrejestrowanych </w:t>
      </w:r>
      <w:r>
        <w:t xml:space="preserve">zwiększył się </w:t>
      </w:r>
      <w:r w:rsidRPr="00B22A87">
        <w:t xml:space="preserve">o </w:t>
      </w:r>
      <w:r>
        <w:t>2,5</w:t>
      </w:r>
      <w:r w:rsidRPr="00B22A87">
        <w:t xml:space="preserve"> </w:t>
      </w:r>
      <w:r w:rsidRPr="000B35C5">
        <w:t xml:space="preserve">p.proc. (do </w:t>
      </w:r>
      <w:r w:rsidRPr="00672446">
        <w:t xml:space="preserve">53,6 </w:t>
      </w:r>
      <w:r w:rsidRPr="000B35C5">
        <w:t>%).</w:t>
      </w:r>
      <w:r>
        <w:t xml:space="preserve"> Zwiększ</w:t>
      </w:r>
      <w:r w:rsidRPr="000B35C5">
        <w:t>ył się</w:t>
      </w:r>
      <w:r>
        <w:t xml:space="preserve"> również </w:t>
      </w:r>
      <w:r w:rsidRPr="000B35C5">
        <w:t>odsetek</w:t>
      </w:r>
      <w:r>
        <w:t xml:space="preserve"> bezrobotnych wyłączonych z ewidencji z powodu rozpoczęcia szkolenia</w:t>
      </w:r>
      <w:r w:rsidRPr="000B35C5">
        <w:t xml:space="preserve"> lub staż</w:t>
      </w:r>
      <w:r>
        <w:t xml:space="preserve">u u pracodawców (o 0,6 </w:t>
      </w:r>
      <w:r w:rsidRPr="000B35C5">
        <w:t xml:space="preserve">p.proc. do </w:t>
      </w:r>
      <w:r>
        <w:t>12,7</w:t>
      </w:r>
      <w:r w:rsidRPr="000B35C5">
        <w:t>%)</w:t>
      </w:r>
      <w:r>
        <w:t xml:space="preserve">. Obniżył się natomiast udział </w:t>
      </w:r>
      <w:r w:rsidR="008610CA" w:rsidRPr="008610CA">
        <w:t>bezrobotnych wyrejestrowanych</w:t>
      </w:r>
      <w:r w:rsidR="008610CA">
        <w:t xml:space="preserve"> w wyniku </w:t>
      </w:r>
      <w:r w:rsidRPr="00FB5442">
        <w:t>niepotwierdz</w:t>
      </w:r>
      <w:r>
        <w:t xml:space="preserve">enia </w:t>
      </w:r>
      <w:r w:rsidRPr="00FB5442">
        <w:t xml:space="preserve">gotowości do podjęcia pracy (o </w:t>
      </w:r>
      <w:r>
        <w:t xml:space="preserve">1,5 </w:t>
      </w:r>
      <w:r w:rsidRPr="00FB5442">
        <w:t xml:space="preserve">p.proc. do </w:t>
      </w:r>
      <w:r w:rsidRPr="00672446">
        <w:t>15,7</w:t>
      </w:r>
      <w:r>
        <w:t xml:space="preserve">%), </w:t>
      </w:r>
      <w:r w:rsidRPr="00C47163">
        <w:t xml:space="preserve">odmowy bez uzasadnionej przyczyny przyjęcia propozycji </w:t>
      </w:r>
      <w:r w:rsidRPr="00F023E2">
        <w:t>odpowiedniej pracy lub innej formy pomocy</w:t>
      </w:r>
      <w:r>
        <w:t xml:space="preserve"> (</w:t>
      </w:r>
      <w:r w:rsidR="008610CA">
        <w:t>o 0,5 </w:t>
      </w:r>
      <w:r w:rsidRPr="00FB5442">
        <w:t xml:space="preserve">p.proc. do </w:t>
      </w:r>
      <w:r>
        <w:t xml:space="preserve">2,1%) oraz </w:t>
      </w:r>
      <w:r w:rsidRPr="00CC4811">
        <w:t>dobrowolnej rezygnacji ze statusu bezrobotnego</w:t>
      </w:r>
      <w:r>
        <w:t xml:space="preserve"> (o 0,4 p.proc. do 6,2</w:t>
      </w:r>
      <w:r w:rsidRPr="000B35C5">
        <w:t>%)</w:t>
      </w:r>
      <w:r>
        <w:t xml:space="preserve">. Na poziomie notowanym przed rokiem pozostał udział bezrobotnych wyrejestrowanych w wyniku </w:t>
      </w:r>
      <w:r w:rsidRPr="00CC4811">
        <w:t xml:space="preserve">osiągnięcia wieku emerytalnego </w:t>
      </w:r>
      <w:r>
        <w:t>(1,4</w:t>
      </w:r>
      <w:r w:rsidRPr="000B35C5">
        <w:t>%)</w:t>
      </w:r>
      <w:r>
        <w:t>.</w:t>
      </w:r>
    </w:p>
    <w:p w:rsidR="00E923A7" w:rsidRDefault="00E923A7" w:rsidP="00E923A7">
      <w:pPr>
        <w:pStyle w:val="tekst"/>
      </w:pPr>
      <w:r w:rsidRPr="00E02A8C">
        <w:t xml:space="preserve">W końcu </w:t>
      </w:r>
      <w:r>
        <w:t>lutego</w:t>
      </w:r>
      <w:r w:rsidRPr="00E02A8C">
        <w:t xml:space="preserve"> </w:t>
      </w:r>
      <w:r>
        <w:t>br.</w:t>
      </w:r>
      <w:r w:rsidRPr="00E02A8C">
        <w:t xml:space="preserve"> </w:t>
      </w:r>
      <w:r w:rsidRPr="00E02A8C">
        <w:rPr>
          <w:b/>
        </w:rPr>
        <w:t>bez prawa do zasiłku</w:t>
      </w:r>
      <w:r w:rsidRPr="00E02A8C">
        <w:t xml:space="preserve"> pozostawało </w:t>
      </w:r>
      <w:r w:rsidRPr="00F41D19">
        <w:t xml:space="preserve">43,0 </w:t>
      </w:r>
      <w:r w:rsidRPr="000B35C5">
        <w:t>tys. bezrobotnych, a ich udział w liczbie bezrobotnych ogółem wyniósł</w:t>
      </w:r>
      <w:r>
        <w:t xml:space="preserve"> </w:t>
      </w:r>
      <w:r w:rsidRPr="007A0F86">
        <w:t>82,</w:t>
      </w:r>
      <w:r>
        <w:t>7</w:t>
      </w:r>
      <w:r w:rsidRPr="000B35C5">
        <w:t>%</w:t>
      </w:r>
      <w:r>
        <w:t xml:space="preserve"> (przed rokiem </w:t>
      </w:r>
      <w:r w:rsidRPr="007A0F86">
        <w:t>82,</w:t>
      </w:r>
      <w:r>
        <w:t>8%)</w:t>
      </w:r>
      <w:r w:rsidRPr="000B35C5">
        <w:t>.</w:t>
      </w:r>
    </w:p>
    <w:p w:rsidR="00E923A7" w:rsidRDefault="00E923A7" w:rsidP="00E923A7">
      <w:pPr>
        <w:pStyle w:val="tekst"/>
      </w:pPr>
      <w:r w:rsidRPr="00650F9D">
        <w:t xml:space="preserve">Osoby będące w </w:t>
      </w:r>
      <w:r w:rsidRPr="00650F9D">
        <w:rPr>
          <w:b/>
        </w:rPr>
        <w:t>szczególnej sytuacji na rynku pracy</w:t>
      </w:r>
      <w:r w:rsidRPr="00650F9D">
        <w:t xml:space="preserve"> w końcu </w:t>
      </w:r>
      <w:r>
        <w:t>lutego</w:t>
      </w:r>
      <w:r w:rsidRPr="00650F9D">
        <w:t xml:space="preserve"> </w:t>
      </w:r>
      <w:r>
        <w:t>br.</w:t>
      </w:r>
      <w:r w:rsidRPr="00650F9D">
        <w:t xml:space="preserve"> stanowiły </w:t>
      </w:r>
      <w:r>
        <w:t>77,4</w:t>
      </w:r>
      <w:r w:rsidRPr="000B35C5">
        <w:t xml:space="preserve">% ogółu bezrobotnych (przed rokiem </w:t>
      </w:r>
      <w:r>
        <w:t>78,0</w:t>
      </w:r>
      <w:r w:rsidRPr="000B35C5">
        <w:t xml:space="preserve">%). Udział długotrwale bezrobotnych, stanowiących najbardziej liczną grupę wśród zarejestrowanych ogółem, </w:t>
      </w:r>
      <w:r>
        <w:lastRenderedPageBreak/>
        <w:t>w ciągu</w:t>
      </w:r>
      <w:r w:rsidRPr="000B35C5">
        <w:t xml:space="preserve"> roku </w:t>
      </w:r>
      <w:r>
        <w:t>wzrósł</w:t>
      </w:r>
      <w:r w:rsidRPr="000B35C5">
        <w:t xml:space="preserve"> o </w:t>
      </w:r>
      <w:r>
        <w:t xml:space="preserve">0,5 </w:t>
      </w:r>
      <w:r w:rsidRPr="000B35C5">
        <w:t xml:space="preserve">p.proc. i wyniósł </w:t>
      </w:r>
      <w:r>
        <w:t>36,7</w:t>
      </w:r>
      <w:r w:rsidRPr="000B35C5">
        <w:t xml:space="preserve">%. </w:t>
      </w:r>
      <w:r>
        <w:t>W</w:t>
      </w:r>
      <w:r w:rsidRPr="00D351EC">
        <w:t xml:space="preserve">zrósł </w:t>
      </w:r>
      <w:r>
        <w:t xml:space="preserve">również odsetek bezrobotnych </w:t>
      </w:r>
      <w:r w:rsidRPr="00F059EB">
        <w:t>powyżej 50 roku życia</w:t>
      </w:r>
      <w:r w:rsidR="00987F0B">
        <w:t xml:space="preserve"> </w:t>
      </w:r>
      <w:r w:rsidRPr="00F059EB">
        <w:t>(o</w:t>
      </w:r>
      <w:r w:rsidR="00987F0B">
        <w:t> </w:t>
      </w:r>
      <w:r w:rsidRPr="00F059EB">
        <w:t>0,</w:t>
      </w:r>
      <w:r>
        <w:t>5</w:t>
      </w:r>
      <w:r w:rsidR="00987F0B">
        <w:t> </w:t>
      </w:r>
      <w:r w:rsidRPr="00F059EB">
        <w:t xml:space="preserve">p.proc. do </w:t>
      </w:r>
      <w:r>
        <w:t>24,7</w:t>
      </w:r>
      <w:r w:rsidRPr="000B35C5">
        <w:t>%)</w:t>
      </w:r>
      <w:r>
        <w:t xml:space="preserve">, ale obniżył się udział </w:t>
      </w:r>
      <w:r w:rsidRPr="00524FAC">
        <w:t xml:space="preserve">posiadających co najmniej jedno dziecko do 6 roku życia (o </w:t>
      </w:r>
      <w:r w:rsidRPr="00F059EB">
        <w:t>1,</w:t>
      </w:r>
      <w:r>
        <w:t xml:space="preserve">5 </w:t>
      </w:r>
      <w:r w:rsidRPr="00524FAC">
        <w:t xml:space="preserve">p.proc. do </w:t>
      </w:r>
      <w:r>
        <w:t>15,5</w:t>
      </w:r>
      <w:r w:rsidRPr="00524FAC">
        <w:t>%)</w:t>
      </w:r>
      <w:r>
        <w:t>, niepełnosprawnych (o 1,5 p.proc. do 7,4</w:t>
      </w:r>
      <w:r w:rsidRPr="000B35C5">
        <w:t>%)</w:t>
      </w:r>
      <w:r>
        <w:t>,</w:t>
      </w:r>
      <w:r w:rsidRPr="00075F09">
        <w:t xml:space="preserve"> </w:t>
      </w:r>
      <w:r>
        <w:t>osób</w:t>
      </w:r>
      <w:r w:rsidRPr="008072EC">
        <w:t xml:space="preserve"> </w:t>
      </w:r>
      <w:r>
        <w:t xml:space="preserve">poniżej 30 </w:t>
      </w:r>
      <w:r w:rsidRPr="000B35C5">
        <w:t>roku życia</w:t>
      </w:r>
      <w:r>
        <w:t xml:space="preserve"> (o 0,6 p.proc. do 27,2%) oraz </w:t>
      </w:r>
      <w:r w:rsidRPr="000B35C5">
        <w:t>korzystających ze św</w:t>
      </w:r>
      <w:r>
        <w:t>iadczeń pomocy społecznej (o 0,1 p.proc. do 1,9</w:t>
      </w:r>
      <w:r w:rsidRPr="000B35C5">
        <w:t>%)</w:t>
      </w:r>
      <w:r>
        <w:t>.</w:t>
      </w:r>
    </w:p>
    <w:p w:rsidR="00E923A7" w:rsidRDefault="00E923A7" w:rsidP="00E923A7">
      <w:pPr>
        <w:pStyle w:val="tekst"/>
      </w:pPr>
      <w:r>
        <w:t>W lutym br.</w:t>
      </w:r>
      <w:r w:rsidRPr="00636E35">
        <w:t xml:space="preserve"> do urzędów pracy zgłoszono </w:t>
      </w:r>
      <w:r>
        <w:t xml:space="preserve">5,5 </w:t>
      </w:r>
      <w:r w:rsidRPr="00636E35">
        <w:t xml:space="preserve">tys. </w:t>
      </w:r>
      <w:r w:rsidRPr="002548E4">
        <w:rPr>
          <w:b/>
        </w:rPr>
        <w:t>ofert zatrudnienia</w:t>
      </w:r>
      <w:r w:rsidRPr="00887F9C">
        <w:t>,</w:t>
      </w:r>
      <w:r w:rsidRPr="00636E35">
        <w:t xml:space="preserve"> tj. </w:t>
      </w:r>
      <w:r>
        <w:t xml:space="preserve">o 0,5 tys. mniej </w:t>
      </w:r>
      <w:r w:rsidRPr="00636E35">
        <w:t xml:space="preserve">niż </w:t>
      </w:r>
      <w:r>
        <w:t>w przed miesiącem i o 1,2 tys.</w:t>
      </w:r>
      <w:r w:rsidRPr="00636E35">
        <w:t xml:space="preserve"> </w:t>
      </w:r>
      <w:r>
        <w:t>mniej</w:t>
      </w:r>
      <w:r w:rsidRPr="00636E35">
        <w:t xml:space="preserve"> niż przed rokiem. W końcu </w:t>
      </w:r>
      <w:r>
        <w:t>lutego br.</w:t>
      </w:r>
      <w:r w:rsidRPr="00636E35">
        <w:t xml:space="preserve"> na 1 ofertę pracy przypadało</w:t>
      </w:r>
      <w:r>
        <w:t xml:space="preserve">, podobnie jak </w:t>
      </w:r>
      <w:r w:rsidRPr="00636E35">
        <w:t>przed miesiącem</w:t>
      </w:r>
      <w:r>
        <w:t>, 13</w:t>
      </w:r>
      <w:r w:rsidRPr="00636E35">
        <w:t xml:space="preserve"> bezrobotnych (</w:t>
      </w:r>
      <w:r>
        <w:t>wobec 12 przed rokiem</w:t>
      </w:r>
      <w:r w:rsidRPr="00636E35">
        <w:t>).</w:t>
      </w:r>
    </w:p>
    <w:p w:rsidR="00E923A7" w:rsidRDefault="00DC46F9" w:rsidP="00E923A7">
      <w:pPr>
        <w:pStyle w:val="tytuwykresu"/>
        <w:spacing w:before="360"/>
        <w:rPr>
          <w:bCs/>
        </w:rPr>
      </w:pPr>
      <w:r w:rsidRPr="00DC46F9">
        <w:rPr>
          <w:noProof/>
          <w:lang w:eastAsia="pl-PL"/>
        </w:rPr>
        <w:drawing>
          <wp:anchor distT="0" distB="0" distL="114300" distR="114300" simplePos="0" relativeHeight="252947968" behindDoc="0" locked="0" layoutInCell="1" allowOverlap="1">
            <wp:simplePos x="0" y="0"/>
            <wp:positionH relativeFrom="margin">
              <wp:align>center</wp:align>
            </wp:positionH>
            <wp:positionV relativeFrom="paragraph">
              <wp:posOffset>551180</wp:posOffset>
            </wp:positionV>
            <wp:extent cx="5940000" cy="2188600"/>
            <wp:effectExtent l="0" t="0" r="3810" b="2540"/>
            <wp:wrapTopAndBottom/>
            <wp:docPr id="27" name="Obraz 27" descr="Wykres kolumnowy przedstawiający liczbę bezrobotnych przypadających na 1 ofertę pracy w poszczególnych miesiącach w latach 2022–2025 (oś pozioma). Oś pionowa – wartości z przedziału od 0 do 18.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0000" cy="2188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23A7">
        <w:t>Wykres 3</w:t>
      </w:r>
      <w:r w:rsidR="00E923A7" w:rsidRPr="00F77B0F">
        <w:t>.</w:t>
      </w:r>
      <w:r w:rsidR="00E923A7">
        <w:rPr>
          <w:shd w:val="clear" w:color="auto" w:fill="FFFFFF"/>
        </w:rPr>
        <w:tab/>
      </w:r>
      <w:r w:rsidR="00E923A7" w:rsidRPr="00F77B0F">
        <w:t>Be</w:t>
      </w:r>
      <w:r w:rsidR="00E923A7">
        <w:t>zrobotni na 1 ofertę pracy</w:t>
      </w:r>
      <w:r w:rsidR="00E923A7">
        <w:br/>
      </w:r>
      <w:r w:rsidR="00E923A7">
        <w:tab/>
      </w:r>
      <w:bookmarkStart w:id="13" w:name="_Toc64884828"/>
      <w:bookmarkStart w:id="14" w:name="_Toc64884997"/>
      <w:bookmarkStart w:id="15" w:name="_Toc64891650"/>
      <w:r w:rsidR="00E923A7">
        <w:rPr>
          <w:bCs/>
        </w:rPr>
        <w:t>Stan w końcu miesiąca</w:t>
      </w:r>
    </w:p>
    <w:p w:rsidR="00E923A7" w:rsidRPr="00A05813" w:rsidRDefault="00E923A7" w:rsidP="00E923A7">
      <w:pPr>
        <w:pStyle w:val="tekst"/>
        <w:spacing w:before="360"/>
        <w:rPr>
          <w:bCs/>
        </w:rPr>
      </w:pPr>
      <w:r w:rsidRPr="00726CF9">
        <w:rPr>
          <w:shd w:val="clear" w:color="auto" w:fill="FFFFFF"/>
        </w:rPr>
        <w:t xml:space="preserve">Z danych urzędów pracy wynika, że według stanu w końcu </w:t>
      </w:r>
      <w:r>
        <w:rPr>
          <w:shd w:val="clear" w:color="auto" w:fill="FFFFFF"/>
        </w:rPr>
        <w:t>lutego</w:t>
      </w:r>
      <w:r w:rsidRPr="00726CF9">
        <w:rPr>
          <w:shd w:val="clear" w:color="auto" w:fill="FFFFFF"/>
        </w:rPr>
        <w:t xml:space="preserve"> </w:t>
      </w:r>
      <w:r>
        <w:rPr>
          <w:shd w:val="clear" w:color="auto" w:fill="FFFFFF"/>
        </w:rPr>
        <w:t>br.</w:t>
      </w:r>
      <w:r w:rsidRPr="00726CF9">
        <w:rPr>
          <w:shd w:val="clear" w:color="auto" w:fill="FFFFFF"/>
        </w:rPr>
        <w:t xml:space="preserve"> </w:t>
      </w:r>
      <w:r>
        <w:rPr>
          <w:shd w:val="clear" w:color="auto" w:fill="FFFFFF"/>
        </w:rPr>
        <w:t>14</w:t>
      </w:r>
      <w:r w:rsidRPr="000B35C5">
        <w:rPr>
          <w:shd w:val="clear" w:color="auto" w:fill="FFFFFF"/>
        </w:rPr>
        <w:t xml:space="preserve"> zakład</w:t>
      </w:r>
      <w:r>
        <w:rPr>
          <w:shd w:val="clear" w:color="auto" w:fill="FFFFFF"/>
        </w:rPr>
        <w:t>ów</w:t>
      </w:r>
      <w:r w:rsidRPr="000B35C5">
        <w:rPr>
          <w:shd w:val="clear" w:color="auto" w:fill="FFFFFF"/>
        </w:rPr>
        <w:t xml:space="preserve"> pracy zapow</w:t>
      </w:r>
      <w:r>
        <w:rPr>
          <w:shd w:val="clear" w:color="auto" w:fill="FFFFFF"/>
        </w:rPr>
        <w:t>ia</w:t>
      </w:r>
      <w:r w:rsidRPr="000B35C5">
        <w:rPr>
          <w:shd w:val="clear" w:color="auto" w:fill="FFFFFF"/>
        </w:rPr>
        <w:t>d</w:t>
      </w:r>
      <w:r>
        <w:rPr>
          <w:shd w:val="clear" w:color="auto" w:fill="FFFFFF"/>
        </w:rPr>
        <w:t>ało</w:t>
      </w:r>
      <w:r w:rsidRPr="000B35C5">
        <w:rPr>
          <w:shd w:val="clear" w:color="auto" w:fill="FFFFFF"/>
        </w:rPr>
        <w:t xml:space="preserve"> zwo</w:t>
      </w:r>
      <w:r>
        <w:rPr>
          <w:shd w:val="clear" w:color="auto" w:fill="FFFFFF"/>
        </w:rPr>
        <w:t>lnienie w najbliższym czasie 3,2</w:t>
      </w:r>
      <w:r w:rsidRPr="000B35C5">
        <w:rPr>
          <w:shd w:val="clear" w:color="auto" w:fill="FFFFFF"/>
        </w:rPr>
        <w:t xml:space="preserve"> tys. pracowników (przed rokiem odpowiednio </w:t>
      </w:r>
      <w:r>
        <w:rPr>
          <w:shd w:val="clear" w:color="auto" w:fill="FFFFFF"/>
        </w:rPr>
        <w:t>14</w:t>
      </w:r>
      <w:r w:rsidRPr="000B35C5">
        <w:rPr>
          <w:shd w:val="clear" w:color="auto" w:fill="FFFFFF"/>
        </w:rPr>
        <w:t xml:space="preserve"> zakład</w:t>
      </w:r>
      <w:r>
        <w:rPr>
          <w:shd w:val="clear" w:color="auto" w:fill="FFFFFF"/>
        </w:rPr>
        <w:t>ów</w:t>
      </w:r>
      <w:r w:rsidRPr="000B35C5">
        <w:rPr>
          <w:shd w:val="clear" w:color="auto" w:fill="FFFFFF"/>
        </w:rPr>
        <w:t xml:space="preserve">, </w:t>
      </w:r>
      <w:r>
        <w:rPr>
          <w:shd w:val="clear" w:color="auto" w:fill="FFFFFF"/>
        </w:rPr>
        <w:t>1,2</w:t>
      </w:r>
      <w:r w:rsidRPr="000B35C5">
        <w:rPr>
          <w:shd w:val="clear" w:color="auto" w:fill="FFFFFF"/>
        </w:rPr>
        <w:t xml:space="preserve"> </w:t>
      </w:r>
      <w:r>
        <w:rPr>
          <w:shd w:val="clear" w:color="auto" w:fill="FFFFFF"/>
        </w:rPr>
        <w:t>tys. pracowników).</w:t>
      </w:r>
    </w:p>
    <w:p w:rsidR="00E923A7" w:rsidRPr="00343E06" w:rsidRDefault="00E923A7" w:rsidP="00E923A7">
      <w:pPr>
        <w:pStyle w:val="Nagwek1"/>
      </w:pPr>
      <w:bookmarkStart w:id="16" w:name="_Toc193459096"/>
      <w:bookmarkStart w:id="17" w:name="_Toc193459758"/>
      <w:r w:rsidRPr="00343E06">
        <w:t>Wynagrodzenia</w:t>
      </w:r>
      <w:bookmarkEnd w:id="13"/>
      <w:bookmarkEnd w:id="14"/>
      <w:bookmarkEnd w:id="15"/>
      <w:bookmarkEnd w:id="16"/>
      <w:bookmarkEnd w:id="17"/>
    </w:p>
    <w:p w:rsidR="00E923A7" w:rsidRDefault="00E923A7" w:rsidP="00E923A7">
      <w:pPr>
        <w:pStyle w:val="tekst"/>
      </w:pPr>
      <w:r w:rsidRPr="00EF5660">
        <w:rPr>
          <w:b/>
        </w:rPr>
        <w:t xml:space="preserve">Przeciętne miesięczne wynagrodzenie brutto </w:t>
      </w:r>
      <w:r w:rsidRPr="00EF5660">
        <w:t xml:space="preserve">w sektorze przedsiębiorstw </w:t>
      </w:r>
      <w:r>
        <w:t>w lutym</w:t>
      </w:r>
      <w:r w:rsidRPr="00EF5660">
        <w:t xml:space="preserve"> </w:t>
      </w:r>
      <w:r>
        <w:t>br.</w:t>
      </w:r>
      <w:r w:rsidRPr="00EF5660">
        <w:t xml:space="preserve"> wyniosło </w:t>
      </w:r>
      <w:r w:rsidRPr="004D397A">
        <w:t>7749,16</w:t>
      </w:r>
      <w:r>
        <w:t xml:space="preserve"> zł, co oznacza wzrost </w:t>
      </w:r>
      <w:r w:rsidRPr="00EF5660">
        <w:t xml:space="preserve">o </w:t>
      </w:r>
      <w:r>
        <w:t>1,0</w:t>
      </w:r>
      <w:r w:rsidRPr="00EF5660">
        <w:t>%</w:t>
      </w:r>
      <w:r>
        <w:t xml:space="preserve"> w skali miesiąca i </w:t>
      </w:r>
      <w:r w:rsidRPr="00EF5660">
        <w:t xml:space="preserve">o </w:t>
      </w:r>
      <w:r>
        <w:t>9,2</w:t>
      </w:r>
      <w:r w:rsidRPr="00EF5660">
        <w:t xml:space="preserve">% w </w:t>
      </w:r>
      <w:r>
        <w:t xml:space="preserve">ciągu roku </w:t>
      </w:r>
      <w:r w:rsidRPr="00EF5660">
        <w:t>(pr</w:t>
      </w:r>
      <w:r>
        <w:t>zed rokiem poziom wynagrodzeń w </w:t>
      </w:r>
      <w:r w:rsidRPr="00EF5660">
        <w:t>ujęciu miesięcznym</w:t>
      </w:r>
      <w:r>
        <w:t xml:space="preserve"> podniósł się</w:t>
      </w:r>
      <w:r w:rsidRPr="00EF5660">
        <w:t xml:space="preserve"> </w:t>
      </w:r>
      <w:r>
        <w:t>o 0,3</w:t>
      </w:r>
      <w:r w:rsidRPr="00EF5660">
        <w:t>%</w:t>
      </w:r>
      <w:r>
        <w:t xml:space="preserve">, a </w:t>
      </w:r>
      <w:r w:rsidRPr="00EF5660">
        <w:t>w stosunku rocznym</w:t>
      </w:r>
      <w:r>
        <w:t xml:space="preserve"> o</w:t>
      </w:r>
      <w:r w:rsidRPr="00EF5660">
        <w:t xml:space="preserve"> </w:t>
      </w:r>
      <w:r w:rsidRPr="004D397A">
        <w:t>11,8</w:t>
      </w:r>
      <w:r w:rsidRPr="00EF5660">
        <w:t>%).</w:t>
      </w:r>
    </w:p>
    <w:p w:rsidR="00E923A7" w:rsidRDefault="00DC46F9" w:rsidP="00E923A7">
      <w:pPr>
        <w:pStyle w:val="tytuwykresu"/>
        <w:spacing w:before="360"/>
        <w:ind w:left="958" w:hanging="958"/>
        <w:rPr>
          <w:b w:val="0"/>
          <w:bCs/>
          <w:szCs w:val="19"/>
        </w:rPr>
      </w:pPr>
      <w:r w:rsidRPr="00DC46F9">
        <w:rPr>
          <w:noProof/>
          <w:lang w:eastAsia="pl-PL"/>
        </w:rPr>
        <w:drawing>
          <wp:anchor distT="0" distB="0" distL="114300" distR="114300" simplePos="0" relativeHeight="252948992" behindDoc="0" locked="0" layoutInCell="1" allowOverlap="1">
            <wp:simplePos x="0" y="0"/>
            <wp:positionH relativeFrom="margin">
              <wp:align>center</wp:align>
            </wp:positionH>
            <wp:positionV relativeFrom="paragraph">
              <wp:posOffset>625692</wp:posOffset>
            </wp:positionV>
            <wp:extent cx="6012000" cy="2493753"/>
            <wp:effectExtent l="0" t="0" r="8255" b="1905"/>
            <wp:wrapTopAndBottom/>
            <wp:docPr id="30" name="Obraz 30" descr="Podwójny wykres liniowy (Polska i województwo wielkopolskie) ilustrujący dynamikę przeciętnego miesięcznego wynagrodzenia brutto w sektorze przedsiębiorstw, w odniesieniu do przeciętnej wartości miesięcznej z 2021 r., w poszczególnych miesiącach w latach 2022–2025 (oś pozioma). Oś pionowa wartości w zakresie od 100 do 150.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12000" cy="249375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23A7">
        <w:t>W</w:t>
      </w:r>
      <w:r w:rsidR="00E923A7" w:rsidRPr="003F192B">
        <w:t>ykres</w:t>
      </w:r>
      <w:r w:rsidR="00E923A7">
        <w:t xml:space="preserve"> 4.</w:t>
      </w:r>
      <w:r w:rsidR="00E923A7">
        <w:tab/>
        <w:t xml:space="preserve">Przeciętne miesięczne </w:t>
      </w:r>
      <w:r w:rsidR="00E923A7" w:rsidRPr="00D05741">
        <w:t>wynagro</w:t>
      </w:r>
      <w:r w:rsidR="00E923A7">
        <w:t xml:space="preserve">dzenie brutto </w:t>
      </w:r>
      <w:r w:rsidR="00E923A7" w:rsidRPr="00D05741">
        <w:t>w sektorze przedsiębiorstw</w:t>
      </w:r>
      <w:r w:rsidR="00E923A7">
        <w:br/>
      </w:r>
      <w:r w:rsidR="00E923A7" w:rsidRPr="003C2B8D">
        <w:rPr>
          <w:bCs/>
          <w:szCs w:val="19"/>
        </w:rPr>
        <w:t>(przeciętna miesięczna 20</w:t>
      </w:r>
      <w:r w:rsidR="00E923A7">
        <w:rPr>
          <w:bCs/>
          <w:szCs w:val="19"/>
        </w:rPr>
        <w:t>2</w:t>
      </w:r>
      <w:r w:rsidR="00E923A7" w:rsidRPr="003C2B8D">
        <w:rPr>
          <w:bCs/>
          <w:szCs w:val="19"/>
        </w:rPr>
        <w:t>1=100)</w:t>
      </w:r>
      <w:r w:rsidR="00E923A7" w:rsidRPr="007F73D2">
        <w:rPr>
          <w:b w:val="0"/>
          <w:bCs/>
          <w:szCs w:val="19"/>
        </w:rPr>
        <w:t xml:space="preserve"> </w:t>
      </w:r>
    </w:p>
    <w:p w:rsidR="00E923A7" w:rsidRPr="002F2C79" w:rsidRDefault="00E923A7" w:rsidP="00E923A7">
      <w:pPr>
        <w:pStyle w:val="Tytultabeli"/>
        <w:spacing w:before="600"/>
      </w:pPr>
      <w:r>
        <w:lastRenderedPageBreak/>
        <w:t>Tablica 3.</w:t>
      </w:r>
      <w:r>
        <w:tab/>
      </w:r>
      <w:r w:rsidRPr="002F2C79">
        <w:t xml:space="preserve">Przeciętne miesięczne wynagrodzenie brutto w sektorze przedsiębiorstw </w:t>
      </w:r>
    </w:p>
    <w:tbl>
      <w:tblPr>
        <w:tblW w:w="0" w:type="auto"/>
        <w:jc w:val="center"/>
        <w:tblBorders>
          <w:top w:val="single" w:sz="4" w:space="0" w:color="522398"/>
          <w:insideH w:val="single" w:sz="4" w:space="0" w:color="522398"/>
          <w:insideV w:val="single" w:sz="4" w:space="0" w:color="522398"/>
        </w:tblBorders>
        <w:tblLayout w:type="fixed"/>
        <w:tblCellMar>
          <w:top w:w="28" w:type="dxa"/>
          <w:bottom w:w="28" w:type="dxa"/>
        </w:tblCellMar>
        <w:tblLook w:val="04A0" w:firstRow="1" w:lastRow="0" w:firstColumn="1" w:lastColumn="0" w:noHBand="0" w:noVBand="1"/>
        <w:tblDescription w:val="Tablica przedstawia przeciętne miesięczne wynagrodzenie brutto w sektorze przedsiębiorstw w miesiącu badawczym (luty br.) i w okresie narastającym (styczeń-luty) oraz jego dynamikę w odniesieniu do analogicznych okresów ub. roku, w przekroju sekcji PKD. Dane do tablicy dostępne w pliku w formacie XLSX "/>
      </w:tblPr>
      <w:tblGrid>
        <w:gridCol w:w="4253"/>
        <w:gridCol w:w="1556"/>
        <w:gridCol w:w="1557"/>
        <w:gridCol w:w="1556"/>
        <w:gridCol w:w="1557"/>
      </w:tblGrid>
      <w:tr w:rsidR="00E923A7" w:rsidRPr="00E87892" w:rsidTr="00072CE1">
        <w:trPr>
          <w:trHeight w:val="57"/>
          <w:tblHeader/>
          <w:jc w:val="center"/>
        </w:trPr>
        <w:tc>
          <w:tcPr>
            <w:tcW w:w="4253" w:type="dxa"/>
            <w:vMerge w:val="restart"/>
            <w:tcBorders>
              <w:top w:val="nil"/>
              <w:bottom w:val="single" w:sz="4" w:space="0" w:color="522398"/>
            </w:tcBorders>
            <w:vAlign w:val="center"/>
          </w:tcPr>
          <w:p w:rsidR="00E923A7" w:rsidRPr="000163F1" w:rsidRDefault="00E923A7" w:rsidP="00072CE1">
            <w:pPr>
              <w:pStyle w:val="glowka1"/>
            </w:pPr>
            <w:r w:rsidRPr="000163F1">
              <w:t>Wyszczególnienie</w:t>
            </w:r>
          </w:p>
        </w:tc>
        <w:tc>
          <w:tcPr>
            <w:tcW w:w="3113" w:type="dxa"/>
            <w:gridSpan w:val="2"/>
            <w:tcBorders>
              <w:top w:val="nil"/>
              <w:bottom w:val="single" w:sz="4" w:space="0" w:color="522398"/>
            </w:tcBorders>
          </w:tcPr>
          <w:p w:rsidR="00E923A7" w:rsidRDefault="00E923A7" w:rsidP="00072CE1">
            <w:pPr>
              <w:pStyle w:val="glowka1"/>
            </w:pPr>
            <w:r>
              <w:t>02 2025</w:t>
            </w:r>
          </w:p>
        </w:tc>
        <w:tc>
          <w:tcPr>
            <w:tcW w:w="3113" w:type="dxa"/>
            <w:gridSpan w:val="2"/>
            <w:tcBorders>
              <w:top w:val="nil"/>
              <w:bottom w:val="single" w:sz="4" w:space="0" w:color="522398"/>
            </w:tcBorders>
            <w:vAlign w:val="center"/>
          </w:tcPr>
          <w:p w:rsidR="00E923A7" w:rsidRPr="000163F1" w:rsidRDefault="00E923A7" w:rsidP="00072CE1">
            <w:pPr>
              <w:pStyle w:val="glowka1"/>
            </w:pPr>
            <w:r>
              <w:t>01–02 2025</w:t>
            </w:r>
          </w:p>
        </w:tc>
      </w:tr>
      <w:tr w:rsidR="00E923A7" w:rsidRPr="00E87892" w:rsidTr="00072CE1">
        <w:trPr>
          <w:trHeight w:val="57"/>
          <w:tblHeader/>
          <w:jc w:val="center"/>
        </w:trPr>
        <w:tc>
          <w:tcPr>
            <w:tcW w:w="4253" w:type="dxa"/>
            <w:vMerge/>
            <w:tcBorders>
              <w:top w:val="single" w:sz="4" w:space="0" w:color="522398"/>
              <w:bottom w:val="single" w:sz="12" w:space="0" w:color="522398"/>
            </w:tcBorders>
            <w:vAlign w:val="center"/>
          </w:tcPr>
          <w:p w:rsidR="00E923A7" w:rsidRPr="000163F1" w:rsidRDefault="00E923A7" w:rsidP="00072CE1">
            <w:pPr>
              <w:pStyle w:val="glowka1"/>
            </w:pPr>
          </w:p>
        </w:tc>
        <w:tc>
          <w:tcPr>
            <w:tcW w:w="1556" w:type="dxa"/>
            <w:tcBorders>
              <w:top w:val="single" w:sz="4" w:space="0" w:color="522398"/>
              <w:bottom w:val="single" w:sz="12" w:space="0" w:color="522398"/>
            </w:tcBorders>
          </w:tcPr>
          <w:p w:rsidR="00E923A7" w:rsidRPr="000163F1" w:rsidRDefault="00E923A7" w:rsidP="00072CE1">
            <w:pPr>
              <w:pStyle w:val="glowka1"/>
            </w:pPr>
            <w:r w:rsidRPr="000163F1">
              <w:t>w zł</w:t>
            </w:r>
          </w:p>
        </w:tc>
        <w:tc>
          <w:tcPr>
            <w:tcW w:w="1557" w:type="dxa"/>
            <w:tcBorders>
              <w:top w:val="single" w:sz="4" w:space="0" w:color="522398"/>
              <w:bottom w:val="single" w:sz="12" w:space="0" w:color="522398"/>
            </w:tcBorders>
          </w:tcPr>
          <w:p w:rsidR="00E923A7" w:rsidRPr="000163F1" w:rsidRDefault="00E923A7" w:rsidP="00072CE1">
            <w:pPr>
              <w:pStyle w:val="glowka1"/>
            </w:pPr>
            <w:r>
              <w:t>02 2024=100</w:t>
            </w:r>
          </w:p>
        </w:tc>
        <w:tc>
          <w:tcPr>
            <w:tcW w:w="1556" w:type="dxa"/>
            <w:tcBorders>
              <w:top w:val="single" w:sz="4" w:space="0" w:color="522398"/>
              <w:bottom w:val="single" w:sz="12" w:space="0" w:color="522398"/>
            </w:tcBorders>
            <w:vAlign w:val="center"/>
          </w:tcPr>
          <w:p w:rsidR="00E923A7" w:rsidRPr="000163F1" w:rsidRDefault="00E923A7" w:rsidP="00072CE1">
            <w:pPr>
              <w:pStyle w:val="glowka1"/>
            </w:pPr>
            <w:r w:rsidRPr="000163F1">
              <w:t>w zł</w:t>
            </w:r>
          </w:p>
        </w:tc>
        <w:tc>
          <w:tcPr>
            <w:tcW w:w="1557" w:type="dxa"/>
            <w:tcBorders>
              <w:top w:val="single" w:sz="4" w:space="0" w:color="522398"/>
              <w:bottom w:val="single" w:sz="12" w:space="0" w:color="522398"/>
            </w:tcBorders>
            <w:vAlign w:val="center"/>
          </w:tcPr>
          <w:p w:rsidR="00E923A7" w:rsidRPr="000163F1" w:rsidRDefault="00E923A7" w:rsidP="00072CE1">
            <w:pPr>
              <w:pStyle w:val="glowka1"/>
            </w:pPr>
            <w:r>
              <w:t>01–02 2024=100</w:t>
            </w:r>
          </w:p>
        </w:tc>
      </w:tr>
      <w:tr w:rsidR="00E923A7" w:rsidRPr="00E87892" w:rsidTr="00072CE1">
        <w:trPr>
          <w:trHeight w:val="57"/>
          <w:tblHeader/>
          <w:jc w:val="center"/>
        </w:trPr>
        <w:tc>
          <w:tcPr>
            <w:tcW w:w="4253" w:type="dxa"/>
            <w:tcBorders>
              <w:top w:val="single" w:sz="12" w:space="0" w:color="522398"/>
              <w:bottom w:val="single" w:sz="4" w:space="0" w:color="522398"/>
            </w:tcBorders>
            <w:vAlign w:val="center"/>
          </w:tcPr>
          <w:p w:rsidR="00E923A7" w:rsidRPr="000163F1" w:rsidRDefault="00E923A7" w:rsidP="00072CE1">
            <w:pPr>
              <w:pStyle w:val="bocz1t"/>
            </w:pPr>
            <w:r>
              <w:t>Ogółe</w:t>
            </w:r>
            <w:r w:rsidRPr="000163F1">
              <w:t>m</w:t>
            </w:r>
          </w:p>
        </w:tc>
        <w:tc>
          <w:tcPr>
            <w:tcW w:w="1556" w:type="dxa"/>
            <w:tcBorders>
              <w:top w:val="single" w:sz="12" w:space="0" w:color="522398"/>
              <w:bottom w:val="single" w:sz="4" w:space="0" w:color="522398"/>
            </w:tcBorders>
            <w:vAlign w:val="bottom"/>
          </w:tcPr>
          <w:p w:rsidR="00E923A7" w:rsidRPr="00681816" w:rsidRDefault="00E923A7" w:rsidP="00072CE1">
            <w:pPr>
              <w:pStyle w:val="tableteksttab"/>
              <w:rPr>
                <w:b/>
              </w:rPr>
            </w:pPr>
            <w:r w:rsidRPr="00681816">
              <w:rPr>
                <w:b/>
              </w:rPr>
              <w:t>7749,16</w:t>
            </w:r>
          </w:p>
        </w:tc>
        <w:tc>
          <w:tcPr>
            <w:tcW w:w="1557" w:type="dxa"/>
            <w:tcBorders>
              <w:top w:val="single" w:sz="12" w:space="0" w:color="522398"/>
              <w:bottom w:val="single" w:sz="4" w:space="0" w:color="522398"/>
            </w:tcBorders>
            <w:vAlign w:val="bottom"/>
          </w:tcPr>
          <w:p w:rsidR="00E923A7" w:rsidRPr="00681816" w:rsidRDefault="00E923A7" w:rsidP="00072CE1">
            <w:pPr>
              <w:pStyle w:val="tableteksttab"/>
              <w:rPr>
                <w:b/>
              </w:rPr>
            </w:pPr>
            <w:r w:rsidRPr="00681816">
              <w:rPr>
                <w:b/>
              </w:rPr>
              <w:t>109,2</w:t>
            </w:r>
          </w:p>
        </w:tc>
        <w:tc>
          <w:tcPr>
            <w:tcW w:w="1556" w:type="dxa"/>
            <w:tcBorders>
              <w:top w:val="single" w:sz="12" w:space="0" w:color="522398"/>
              <w:bottom w:val="single" w:sz="4" w:space="0" w:color="522398"/>
            </w:tcBorders>
            <w:vAlign w:val="bottom"/>
          </w:tcPr>
          <w:p w:rsidR="00E923A7" w:rsidRPr="00681816" w:rsidRDefault="00E923A7" w:rsidP="00072CE1">
            <w:pPr>
              <w:pStyle w:val="tableteksttab"/>
              <w:rPr>
                <w:b/>
              </w:rPr>
            </w:pPr>
            <w:r w:rsidRPr="00681816">
              <w:rPr>
                <w:b/>
              </w:rPr>
              <w:t>7729,67</w:t>
            </w:r>
          </w:p>
        </w:tc>
        <w:tc>
          <w:tcPr>
            <w:tcW w:w="1557" w:type="dxa"/>
            <w:tcBorders>
              <w:top w:val="single" w:sz="12" w:space="0" w:color="522398"/>
              <w:bottom w:val="single" w:sz="4" w:space="0" w:color="522398"/>
            </w:tcBorders>
            <w:vAlign w:val="bottom"/>
          </w:tcPr>
          <w:p w:rsidR="00E923A7" w:rsidRPr="00681816" w:rsidRDefault="00E923A7" w:rsidP="00072CE1">
            <w:pPr>
              <w:pStyle w:val="tableteksttab"/>
              <w:rPr>
                <w:b/>
                <w:sz w:val="24"/>
                <w:szCs w:val="24"/>
              </w:rPr>
            </w:pPr>
            <w:r w:rsidRPr="00681816">
              <w:rPr>
                <w:b/>
              </w:rPr>
              <w:t>109,2</w:t>
            </w:r>
          </w:p>
        </w:tc>
      </w:tr>
      <w:tr w:rsidR="00E923A7" w:rsidRPr="00E87892" w:rsidTr="00072CE1">
        <w:trPr>
          <w:trHeight w:val="57"/>
          <w:jc w:val="center"/>
        </w:trPr>
        <w:tc>
          <w:tcPr>
            <w:tcW w:w="4253" w:type="dxa"/>
            <w:tcBorders>
              <w:bottom w:val="single" w:sz="4" w:space="0" w:color="522398"/>
            </w:tcBorders>
            <w:vAlign w:val="center"/>
          </w:tcPr>
          <w:p w:rsidR="00E923A7" w:rsidRPr="000163F1" w:rsidRDefault="00E923A7" w:rsidP="00072CE1">
            <w:pPr>
              <w:pStyle w:val="boczekbez"/>
            </w:pPr>
            <w:r w:rsidRPr="000163F1">
              <w:t>w tym:</w:t>
            </w:r>
          </w:p>
        </w:tc>
        <w:tc>
          <w:tcPr>
            <w:tcW w:w="1556" w:type="dxa"/>
            <w:tcBorders>
              <w:bottom w:val="single" w:sz="4" w:space="0" w:color="522398"/>
            </w:tcBorders>
            <w:vAlign w:val="bottom"/>
          </w:tcPr>
          <w:p w:rsidR="00E923A7" w:rsidRDefault="00E923A7" w:rsidP="00072CE1">
            <w:pPr>
              <w:pStyle w:val="tableteksttab"/>
            </w:pPr>
          </w:p>
        </w:tc>
        <w:tc>
          <w:tcPr>
            <w:tcW w:w="1557" w:type="dxa"/>
            <w:tcBorders>
              <w:bottom w:val="single" w:sz="4" w:space="0" w:color="522398"/>
            </w:tcBorders>
            <w:vAlign w:val="bottom"/>
          </w:tcPr>
          <w:p w:rsidR="00E923A7" w:rsidRDefault="00E923A7" w:rsidP="00072CE1">
            <w:pPr>
              <w:pStyle w:val="tableteksttab"/>
              <w:rPr>
                <w:sz w:val="20"/>
                <w:szCs w:val="20"/>
              </w:rPr>
            </w:pPr>
          </w:p>
        </w:tc>
        <w:tc>
          <w:tcPr>
            <w:tcW w:w="1556" w:type="dxa"/>
            <w:tcBorders>
              <w:bottom w:val="single" w:sz="4" w:space="0" w:color="522398"/>
            </w:tcBorders>
            <w:vAlign w:val="bottom"/>
          </w:tcPr>
          <w:p w:rsidR="00E923A7" w:rsidRDefault="00E923A7" w:rsidP="00072CE1">
            <w:pPr>
              <w:pStyle w:val="tableteksttab"/>
              <w:rPr>
                <w:sz w:val="20"/>
                <w:szCs w:val="20"/>
              </w:rPr>
            </w:pPr>
          </w:p>
        </w:tc>
        <w:tc>
          <w:tcPr>
            <w:tcW w:w="1557" w:type="dxa"/>
            <w:tcBorders>
              <w:bottom w:val="single" w:sz="4" w:space="0" w:color="522398"/>
            </w:tcBorders>
            <w:vAlign w:val="bottom"/>
          </w:tcPr>
          <w:p w:rsidR="00E923A7" w:rsidRDefault="00E923A7" w:rsidP="00072CE1">
            <w:pPr>
              <w:pStyle w:val="tableteksttab"/>
              <w:rPr>
                <w:sz w:val="20"/>
                <w:szCs w:val="20"/>
              </w:rPr>
            </w:pPr>
          </w:p>
        </w:tc>
      </w:tr>
      <w:tr w:rsidR="00E923A7" w:rsidRPr="00E87892" w:rsidTr="00072CE1">
        <w:trPr>
          <w:trHeight w:val="57"/>
          <w:jc w:val="center"/>
        </w:trPr>
        <w:tc>
          <w:tcPr>
            <w:tcW w:w="4253" w:type="dxa"/>
            <w:tcBorders>
              <w:bottom w:val="single" w:sz="4" w:space="0" w:color="522398"/>
            </w:tcBorders>
            <w:vAlign w:val="center"/>
          </w:tcPr>
          <w:p w:rsidR="00E923A7" w:rsidRPr="000163F1" w:rsidRDefault="00E923A7" w:rsidP="00072CE1">
            <w:pPr>
              <w:pStyle w:val="boczek1"/>
              <w:rPr>
                <w:rStyle w:val="boczekZnak"/>
              </w:rPr>
            </w:pPr>
            <w:r>
              <w:t>Przemysł</w:t>
            </w:r>
          </w:p>
        </w:tc>
        <w:tc>
          <w:tcPr>
            <w:tcW w:w="1556" w:type="dxa"/>
            <w:tcBorders>
              <w:bottom w:val="single" w:sz="4" w:space="0" w:color="522398"/>
            </w:tcBorders>
            <w:vAlign w:val="bottom"/>
          </w:tcPr>
          <w:p w:rsidR="00E923A7" w:rsidRDefault="00E923A7" w:rsidP="00072CE1">
            <w:pPr>
              <w:pStyle w:val="tableteksttab"/>
            </w:pPr>
            <w:r>
              <w:t>7949,51</w:t>
            </w:r>
          </w:p>
        </w:tc>
        <w:tc>
          <w:tcPr>
            <w:tcW w:w="1557" w:type="dxa"/>
            <w:tcBorders>
              <w:bottom w:val="single" w:sz="4" w:space="0" w:color="522398"/>
            </w:tcBorders>
            <w:vAlign w:val="bottom"/>
          </w:tcPr>
          <w:p w:rsidR="00E923A7" w:rsidRDefault="00E923A7" w:rsidP="00072CE1">
            <w:pPr>
              <w:pStyle w:val="tableteksttab"/>
            </w:pPr>
            <w:r>
              <w:t>110,5</w:t>
            </w:r>
          </w:p>
        </w:tc>
        <w:tc>
          <w:tcPr>
            <w:tcW w:w="1556" w:type="dxa"/>
            <w:tcBorders>
              <w:bottom w:val="single" w:sz="4" w:space="0" w:color="522398"/>
            </w:tcBorders>
            <w:vAlign w:val="bottom"/>
          </w:tcPr>
          <w:p w:rsidR="00E923A7" w:rsidRDefault="00E923A7" w:rsidP="00072CE1">
            <w:pPr>
              <w:pStyle w:val="tableteksttab"/>
            </w:pPr>
            <w:r>
              <w:t>7969,72</w:t>
            </w:r>
          </w:p>
        </w:tc>
        <w:tc>
          <w:tcPr>
            <w:tcW w:w="1557" w:type="dxa"/>
            <w:tcBorders>
              <w:bottom w:val="single" w:sz="4" w:space="0" w:color="522398"/>
            </w:tcBorders>
            <w:vAlign w:val="bottom"/>
          </w:tcPr>
          <w:p w:rsidR="00E923A7" w:rsidRDefault="00E923A7" w:rsidP="00072CE1">
            <w:pPr>
              <w:pStyle w:val="tableteksttab"/>
              <w:rPr>
                <w:sz w:val="24"/>
                <w:szCs w:val="24"/>
              </w:rPr>
            </w:pPr>
            <w:r>
              <w:t>110,4</w:t>
            </w:r>
          </w:p>
        </w:tc>
      </w:tr>
      <w:tr w:rsidR="00E923A7" w:rsidRPr="00E87892" w:rsidTr="00072CE1">
        <w:trPr>
          <w:trHeight w:val="57"/>
          <w:jc w:val="center"/>
        </w:trPr>
        <w:tc>
          <w:tcPr>
            <w:tcW w:w="4253" w:type="dxa"/>
            <w:tcBorders>
              <w:top w:val="single" w:sz="4" w:space="0" w:color="522398"/>
            </w:tcBorders>
            <w:vAlign w:val="center"/>
          </w:tcPr>
          <w:p w:rsidR="00E923A7" w:rsidRPr="000163F1" w:rsidRDefault="00E923A7" w:rsidP="00072CE1">
            <w:pPr>
              <w:pStyle w:val="boczek2"/>
            </w:pPr>
            <w:r>
              <w:t>górnictwo i wydobywanie</w:t>
            </w:r>
          </w:p>
        </w:tc>
        <w:tc>
          <w:tcPr>
            <w:tcW w:w="1556" w:type="dxa"/>
            <w:tcBorders>
              <w:top w:val="single" w:sz="4" w:space="0" w:color="522398"/>
            </w:tcBorders>
            <w:vAlign w:val="bottom"/>
          </w:tcPr>
          <w:p w:rsidR="00E923A7" w:rsidRDefault="00E923A7" w:rsidP="00072CE1">
            <w:pPr>
              <w:pStyle w:val="tableteksttab"/>
            </w:pPr>
            <w:r>
              <w:t>8213,79</w:t>
            </w:r>
          </w:p>
        </w:tc>
        <w:tc>
          <w:tcPr>
            <w:tcW w:w="1557" w:type="dxa"/>
            <w:tcBorders>
              <w:top w:val="single" w:sz="4" w:space="0" w:color="522398"/>
            </w:tcBorders>
            <w:vAlign w:val="bottom"/>
          </w:tcPr>
          <w:p w:rsidR="00E923A7" w:rsidRDefault="00E923A7" w:rsidP="00072CE1">
            <w:pPr>
              <w:pStyle w:val="tableteksttab"/>
            </w:pPr>
            <w:r>
              <w:t>83,6</w:t>
            </w:r>
          </w:p>
        </w:tc>
        <w:tc>
          <w:tcPr>
            <w:tcW w:w="1556" w:type="dxa"/>
            <w:tcBorders>
              <w:top w:val="single" w:sz="4" w:space="0" w:color="522398"/>
            </w:tcBorders>
            <w:vAlign w:val="bottom"/>
          </w:tcPr>
          <w:p w:rsidR="00E923A7" w:rsidRDefault="00E923A7" w:rsidP="00072CE1">
            <w:pPr>
              <w:pStyle w:val="tableteksttab"/>
            </w:pPr>
            <w:r>
              <w:t>8574,66</w:t>
            </w:r>
          </w:p>
        </w:tc>
        <w:tc>
          <w:tcPr>
            <w:tcW w:w="1557" w:type="dxa"/>
            <w:tcBorders>
              <w:top w:val="single" w:sz="4" w:space="0" w:color="522398"/>
            </w:tcBorders>
            <w:vAlign w:val="bottom"/>
          </w:tcPr>
          <w:p w:rsidR="00E923A7" w:rsidRDefault="00E923A7" w:rsidP="00072CE1">
            <w:pPr>
              <w:pStyle w:val="tableteksttab"/>
              <w:rPr>
                <w:sz w:val="24"/>
                <w:szCs w:val="24"/>
              </w:rPr>
            </w:pPr>
            <w:r>
              <w:t>88,0</w:t>
            </w:r>
          </w:p>
        </w:tc>
      </w:tr>
      <w:tr w:rsidR="00E923A7" w:rsidRPr="00E87892" w:rsidTr="00072CE1">
        <w:trPr>
          <w:trHeight w:val="57"/>
          <w:jc w:val="center"/>
        </w:trPr>
        <w:tc>
          <w:tcPr>
            <w:tcW w:w="4253" w:type="dxa"/>
            <w:vAlign w:val="center"/>
          </w:tcPr>
          <w:p w:rsidR="00E923A7" w:rsidRPr="000163F1" w:rsidRDefault="00E923A7" w:rsidP="00072CE1">
            <w:pPr>
              <w:pStyle w:val="boczek2"/>
            </w:pPr>
            <w:r>
              <w:t>przetwórstwo przemysłowe</w:t>
            </w:r>
          </w:p>
        </w:tc>
        <w:tc>
          <w:tcPr>
            <w:tcW w:w="1556" w:type="dxa"/>
            <w:vAlign w:val="bottom"/>
          </w:tcPr>
          <w:p w:rsidR="00E923A7" w:rsidRDefault="00E923A7" w:rsidP="00072CE1">
            <w:pPr>
              <w:pStyle w:val="tableteksttab"/>
            </w:pPr>
            <w:r>
              <w:t>7696,18</w:t>
            </w:r>
          </w:p>
        </w:tc>
        <w:tc>
          <w:tcPr>
            <w:tcW w:w="1557" w:type="dxa"/>
            <w:vAlign w:val="bottom"/>
          </w:tcPr>
          <w:p w:rsidR="00E923A7" w:rsidRDefault="00E923A7" w:rsidP="00072CE1">
            <w:pPr>
              <w:pStyle w:val="tableteksttab"/>
            </w:pPr>
            <w:r>
              <w:t>108,4</w:t>
            </w:r>
          </w:p>
        </w:tc>
        <w:tc>
          <w:tcPr>
            <w:tcW w:w="1556" w:type="dxa"/>
            <w:vAlign w:val="bottom"/>
          </w:tcPr>
          <w:p w:rsidR="00E923A7" w:rsidRDefault="00E923A7" w:rsidP="00072CE1">
            <w:pPr>
              <w:pStyle w:val="tableteksttab"/>
            </w:pPr>
            <w:r>
              <w:t>7816,67</w:t>
            </w:r>
          </w:p>
        </w:tc>
        <w:tc>
          <w:tcPr>
            <w:tcW w:w="1557" w:type="dxa"/>
            <w:vAlign w:val="bottom"/>
          </w:tcPr>
          <w:p w:rsidR="00E923A7" w:rsidRDefault="00E923A7" w:rsidP="00072CE1">
            <w:pPr>
              <w:pStyle w:val="tableteksttab"/>
              <w:rPr>
                <w:sz w:val="24"/>
                <w:szCs w:val="24"/>
              </w:rPr>
            </w:pPr>
            <w:r>
              <w:t>109,6</w:t>
            </w:r>
          </w:p>
        </w:tc>
      </w:tr>
      <w:tr w:rsidR="00E923A7" w:rsidRPr="00E87892" w:rsidTr="00072CE1">
        <w:trPr>
          <w:trHeight w:val="57"/>
          <w:jc w:val="center"/>
        </w:trPr>
        <w:tc>
          <w:tcPr>
            <w:tcW w:w="4253" w:type="dxa"/>
            <w:vAlign w:val="bottom"/>
          </w:tcPr>
          <w:p w:rsidR="00E923A7" w:rsidRPr="000163F1" w:rsidRDefault="00E923A7" w:rsidP="00072CE1">
            <w:pPr>
              <w:pStyle w:val="boczek2"/>
            </w:pPr>
            <w:r w:rsidRPr="000163F1">
              <w:t>wytwarzanie i zaopatrywanie w energię elektryczną,</w:t>
            </w:r>
            <w:r>
              <w:t xml:space="preserve"> </w:t>
            </w:r>
            <w:r w:rsidRPr="000163F1">
              <w:t>gaz, parę wodną i gorącą wodę</w:t>
            </w:r>
            <w:r w:rsidRPr="000163F1">
              <w:rPr>
                <w:rFonts w:ascii="Symbol" w:hAnsi="Symbol"/>
                <w:vertAlign w:val="superscript"/>
              </w:rPr>
              <w:t></w:t>
            </w:r>
          </w:p>
        </w:tc>
        <w:tc>
          <w:tcPr>
            <w:tcW w:w="1556" w:type="dxa"/>
            <w:vAlign w:val="bottom"/>
          </w:tcPr>
          <w:p w:rsidR="00E923A7" w:rsidRDefault="00E923A7" w:rsidP="00072CE1">
            <w:pPr>
              <w:pStyle w:val="tableteksttab"/>
            </w:pPr>
            <w:r>
              <w:t>18795,86</w:t>
            </w:r>
          </w:p>
        </w:tc>
        <w:tc>
          <w:tcPr>
            <w:tcW w:w="1557" w:type="dxa"/>
            <w:vAlign w:val="bottom"/>
          </w:tcPr>
          <w:p w:rsidR="00E923A7" w:rsidRDefault="00E923A7" w:rsidP="00072CE1">
            <w:pPr>
              <w:pStyle w:val="tableteksttab"/>
            </w:pPr>
            <w:r>
              <w:t>175,6</w:t>
            </w:r>
          </w:p>
        </w:tc>
        <w:tc>
          <w:tcPr>
            <w:tcW w:w="1556" w:type="dxa"/>
            <w:vAlign w:val="bottom"/>
          </w:tcPr>
          <w:p w:rsidR="00E923A7" w:rsidRDefault="00E923A7" w:rsidP="00072CE1">
            <w:pPr>
              <w:pStyle w:val="tableteksttab"/>
            </w:pPr>
            <w:r>
              <w:t>14617,83</w:t>
            </w:r>
          </w:p>
        </w:tc>
        <w:tc>
          <w:tcPr>
            <w:tcW w:w="1557" w:type="dxa"/>
            <w:vAlign w:val="bottom"/>
          </w:tcPr>
          <w:p w:rsidR="00E923A7" w:rsidRDefault="00E923A7" w:rsidP="00072CE1">
            <w:pPr>
              <w:pStyle w:val="tableteksttab"/>
              <w:rPr>
                <w:sz w:val="24"/>
                <w:szCs w:val="24"/>
              </w:rPr>
            </w:pPr>
            <w:r>
              <w:t>140,2</w:t>
            </w:r>
          </w:p>
        </w:tc>
      </w:tr>
      <w:tr w:rsidR="00E923A7" w:rsidRPr="00E87892" w:rsidTr="00072CE1">
        <w:trPr>
          <w:trHeight w:val="57"/>
          <w:jc w:val="center"/>
        </w:trPr>
        <w:tc>
          <w:tcPr>
            <w:tcW w:w="4253" w:type="dxa"/>
            <w:vAlign w:val="bottom"/>
          </w:tcPr>
          <w:p w:rsidR="00E923A7" w:rsidRPr="000163F1" w:rsidRDefault="00E923A7" w:rsidP="00072CE1">
            <w:pPr>
              <w:pStyle w:val="boczek2"/>
            </w:pPr>
            <w:r w:rsidRPr="000163F1">
              <w:t>dostawa wody; gospodarowanie ściekami i odpadami; rekultywacja</w:t>
            </w:r>
            <w:r w:rsidRPr="000163F1">
              <w:rPr>
                <w:rFonts w:ascii="Symbol" w:hAnsi="Symbol"/>
                <w:vertAlign w:val="superscript"/>
              </w:rPr>
              <w:t></w:t>
            </w:r>
          </w:p>
        </w:tc>
        <w:tc>
          <w:tcPr>
            <w:tcW w:w="1556" w:type="dxa"/>
            <w:vAlign w:val="bottom"/>
          </w:tcPr>
          <w:p w:rsidR="00E923A7" w:rsidRDefault="00E923A7" w:rsidP="00072CE1">
            <w:pPr>
              <w:pStyle w:val="tableteksttab"/>
            </w:pPr>
            <w:r>
              <w:t>7377,84</w:t>
            </w:r>
          </w:p>
        </w:tc>
        <w:tc>
          <w:tcPr>
            <w:tcW w:w="1557" w:type="dxa"/>
            <w:vAlign w:val="bottom"/>
          </w:tcPr>
          <w:p w:rsidR="00E923A7" w:rsidRDefault="00E923A7" w:rsidP="00072CE1">
            <w:pPr>
              <w:pStyle w:val="tableteksttab"/>
            </w:pPr>
            <w:r>
              <w:t>110,2</w:t>
            </w:r>
          </w:p>
        </w:tc>
        <w:tc>
          <w:tcPr>
            <w:tcW w:w="1556" w:type="dxa"/>
            <w:vAlign w:val="bottom"/>
          </w:tcPr>
          <w:p w:rsidR="00E923A7" w:rsidRDefault="00E923A7" w:rsidP="00072CE1">
            <w:pPr>
              <w:pStyle w:val="tableteksttab"/>
            </w:pPr>
            <w:r>
              <w:t>7447,91</w:t>
            </w:r>
          </w:p>
        </w:tc>
        <w:tc>
          <w:tcPr>
            <w:tcW w:w="1557" w:type="dxa"/>
            <w:vAlign w:val="bottom"/>
          </w:tcPr>
          <w:p w:rsidR="00E923A7" w:rsidRDefault="00E923A7" w:rsidP="00072CE1">
            <w:pPr>
              <w:pStyle w:val="tableteksttab"/>
              <w:rPr>
                <w:sz w:val="24"/>
                <w:szCs w:val="24"/>
              </w:rPr>
            </w:pPr>
            <w:r>
              <w:t>109,8</w:t>
            </w:r>
          </w:p>
        </w:tc>
      </w:tr>
      <w:tr w:rsidR="00E923A7" w:rsidRPr="00E87892" w:rsidTr="00072CE1">
        <w:trPr>
          <w:trHeight w:val="57"/>
          <w:jc w:val="center"/>
        </w:trPr>
        <w:tc>
          <w:tcPr>
            <w:tcW w:w="4253" w:type="dxa"/>
            <w:vAlign w:val="center"/>
          </w:tcPr>
          <w:p w:rsidR="00E923A7" w:rsidRPr="000163F1" w:rsidRDefault="00E923A7" w:rsidP="00072CE1">
            <w:pPr>
              <w:pStyle w:val="boczek1"/>
            </w:pPr>
            <w:r>
              <w:t>Budownictwo</w:t>
            </w:r>
          </w:p>
        </w:tc>
        <w:tc>
          <w:tcPr>
            <w:tcW w:w="1556" w:type="dxa"/>
            <w:vAlign w:val="bottom"/>
          </w:tcPr>
          <w:p w:rsidR="00E923A7" w:rsidRDefault="00E923A7" w:rsidP="00072CE1">
            <w:pPr>
              <w:pStyle w:val="tableteksttab"/>
            </w:pPr>
            <w:r>
              <w:t>8044,67</w:t>
            </w:r>
          </w:p>
        </w:tc>
        <w:tc>
          <w:tcPr>
            <w:tcW w:w="1557" w:type="dxa"/>
            <w:vAlign w:val="bottom"/>
          </w:tcPr>
          <w:p w:rsidR="00E923A7" w:rsidRDefault="00E923A7" w:rsidP="00072CE1">
            <w:pPr>
              <w:pStyle w:val="tableteksttab"/>
            </w:pPr>
            <w:r>
              <w:t>111,6</w:t>
            </w:r>
          </w:p>
        </w:tc>
        <w:tc>
          <w:tcPr>
            <w:tcW w:w="1556" w:type="dxa"/>
            <w:vAlign w:val="bottom"/>
          </w:tcPr>
          <w:p w:rsidR="00E923A7" w:rsidRDefault="00E923A7" w:rsidP="00072CE1">
            <w:pPr>
              <w:pStyle w:val="tableteksttab"/>
            </w:pPr>
            <w:r>
              <w:t>7938,65</w:t>
            </w:r>
          </w:p>
        </w:tc>
        <w:tc>
          <w:tcPr>
            <w:tcW w:w="1557" w:type="dxa"/>
            <w:vAlign w:val="bottom"/>
          </w:tcPr>
          <w:p w:rsidR="00E923A7" w:rsidRDefault="00E923A7" w:rsidP="00072CE1">
            <w:pPr>
              <w:pStyle w:val="tableteksttab"/>
              <w:rPr>
                <w:sz w:val="24"/>
                <w:szCs w:val="24"/>
              </w:rPr>
            </w:pPr>
            <w:r>
              <w:t>111,3</w:t>
            </w:r>
          </w:p>
        </w:tc>
      </w:tr>
      <w:tr w:rsidR="00E923A7" w:rsidRPr="00E87892" w:rsidTr="00072CE1">
        <w:trPr>
          <w:trHeight w:val="57"/>
          <w:jc w:val="center"/>
        </w:trPr>
        <w:tc>
          <w:tcPr>
            <w:tcW w:w="4253" w:type="dxa"/>
            <w:vAlign w:val="center"/>
          </w:tcPr>
          <w:p w:rsidR="00E923A7" w:rsidRPr="000163F1" w:rsidRDefault="00E923A7" w:rsidP="00072CE1">
            <w:pPr>
              <w:pStyle w:val="boczek1"/>
            </w:pPr>
            <w:r w:rsidRPr="000163F1">
              <w:t>Handel; naprawa pojazdów samochodowych</w:t>
            </w:r>
            <w:r w:rsidRPr="000163F1">
              <w:rPr>
                <w:rFonts w:ascii="Symbol" w:hAnsi="Symbol"/>
                <w:vertAlign w:val="superscript"/>
              </w:rPr>
              <w:t></w:t>
            </w:r>
          </w:p>
        </w:tc>
        <w:tc>
          <w:tcPr>
            <w:tcW w:w="1556" w:type="dxa"/>
            <w:vAlign w:val="bottom"/>
          </w:tcPr>
          <w:p w:rsidR="00E923A7" w:rsidRDefault="00E923A7" w:rsidP="00072CE1">
            <w:pPr>
              <w:pStyle w:val="tableteksttab"/>
            </w:pPr>
            <w:r>
              <w:t>7003,97</w:t>
            </w:r>
          </w:p>
        </w:tc>
        <w:tc>
          <w:tcPr>
            <w:tcW w:w="1557" w:type="dxa"/>
            <w:vAlign w:val="bottom"/>
          </w:tcPr>
          <w:p w:rsidR="00E923A7" w:rsidRDefault="00E923A7" w:rsidP="00072CE1">
            <w:pPr>
              <w:pStyle w:val="tableteksttab"/>
            </w:pPr>
            <w:r>
              <w:t>107,4</w:t>
            </w:r>
          </w:p>
        </w:tc>
        <w:tc>
          <w:tcPr>
            <w:tcW w:w="1556" w:type="dxa"/>
            <w:vAlign w:val="bottom"/>
          </w:tcPr>
          <w:p w:rsidR="00E923A7" w:rsidRDefault="00E923A7" w:rsidP="00072CE1">
            <w:pPr>
              <w:pStyle w:val="tableteksttab"/>
            </w:pPr>
            <w:r>
              <w:t>6969,28</w:t>
            </w:r>
          </w:p>
        </w:tc>
        <w:tc>
          <w:tcPr>
            <w:tcW w:w="1557" w:type="dxa"/>
            <w:vAlign w:val="bottom"/>
          </w:tcPr>
          <w:p w:rsidR="00E923A7" w:rsidRDefault="00E923A7" w:rsidP="00072CE1">
            <w:pPr>
              <w:pStyle w:val="tableteksttab"/>
              <w:rPr>
                <w:sz w:val="24"/>
                <w:szCs w:val="24"/>
              </w:rPr>
            </w:pPr>
            <w:r>
              <w:t>107,6</w:t>
            </w:r>
          </w:p>
        </w:tc>
      </w:tr>
      <w:tr w:rsidR="00E923A7" w:rsidRPr="00E87892" w:rsidTr="00072CE1">
        <w:trPr>
          <w:trHeight w:val="57"/>
          <w:jc w:val="center"/>
        </w:trPr>
        <w:tc>
          <w:tcPr>
            <w:tcW w:w="4253" w:type="dxa"/>
            <w:vAlign w:val="center"/>
          </w:tcPr>
          <w:p w:rsidR="00E923A7" w:rsidRPr="000163F1" w:rsidRDefault="00E923A7" w:rsidP="00072CE1">
            <w:pPr>
              <w:pStyle w:val="boczek1"/>
            </w:pPr>
            <w:r w:rsidRPr="000163F1">
              <w:t>Tr</w:t>
            </w:r>
            <w:r>
              <w:t>ansport i gospodarka magazynowa</w:t>
            </w:r>
          </w:p>
        </w:tc>
        <w:tc>
          <w:tcPr>
            <w:tcW w:w="1556" w:type="dxa"/>
            <w:vAlign w:val="bottom"/>
          </w:tcPr>
          <w:p w:rsidR="00E923A7" w:rsidRDefault="00E923A7" w:rsidP="00072CE1">
            <w:pPr>
              <w:pStyle w:val="tableteksttab"/>
            </w:pPr>
            <w:r>
              <w:t>7711,33</w:t>
            </w:r>
          </w:p>
        </w:tc>
        <w:tc>
          <w:tcPr>
            <w:tcW w:w="1557" w:type="dxa"/>
            <w:vAlign w:val="bottom"/>
          </w:tcPr>
          <w:p w:rsidR="00E923A7" w:rsidRDefault="00E923A7" w:rsidP="00072CE1">
            <w:pPr>
              <w:pStyle w:val="tableteksttab"/>
            </w:pPr>
            <w:r>
              <w:t>102,8</w:t>
            </w:r>
          </w:p>
        </w:tc>
        <w:tc>
          <w:tcPr>
            <w:tcW w:w="1556" w:type="dxa"/>
            <w:vAlign w:val="bottom"/>
          </w:tcPr>
          <w:p w:rsidR="00E923A7" w:rsidRDefault="00E923A7" w:rsidP="00072CE1">
            <w:pPr>
              <w:pStyle w:val="tableteksttab"/>
            </w:pPr>
            <w:r>
              <w:t>7862,80</w:t>
            </w:r>
          </w:p>
        </w:tc>
        <w:tc>
          <w:tcPr>
            <w:tcW w:w="1557" w:type="dxa"/>
            <w:vAlign w:val="bottom"/>
          </w:tcPr>
          <w:p w:rsidR="00E923A7" w:rsidRDefault="00E923A7" w:rsidP="00072CE1">
            <w:pPr>
              <w:pStyle w:val="tableteksttab"/>
              <w:rPr>
                <w:sz w:val="24"/>
                <w:szCs w:val="24"/>
              </w:rPr>
            </w:pPr>
            <w:r>
              <w:t>105,7</w:t>
            </w:r>
          </w:p>
        </w:tc>
      </w:tr>
      <w:tr w:rsidR="00E923A7" w:rsidRPr="00E87892" w:rsidTr="00072CE1">
        <w:trPr>
          <w:trHeight w:val="57"/>
          <w:jc w:val="center"/>
        </w:trPr>
        <w:tc>
          <w:tcPr>
            <w:tcW w:w="4253" w:type="dxa"/>
            <w:vAlign w:val="center"/>
          </w:tcPr>
          <w:p w:rsidR="00E923A7" w:rsidRPr="000163F1" w:rsidRDefault="00E923A7" w:rsidP="00072CE1">
            <w:pPr>
              <w:pStyle w:val="boczek1"/>
            </w:pPr>
            <w:r w:rsidRPr="000163F1">
              <w:t>Zakwaterowanie i gastronomia</w:t>
            </w:r>
            <w:r w:rsidRPr="000163F1">
              <w:rPr>
                <w:rFonts w:ascii="Symbol" w:hAnsi="Symbol"/>
                <w:vertAlign w:val="superscript"/>
              </w:rPr>
              <w:t></w:t>
            </w:r>
          </w:p>
        </w:tc>
        <w:tc>
          <w:tcPr>
            <w:tcW w:w="1556" w:type="dxa"/>
            <w:vAlign w:val="bottom"/>
          </w:tcPr>
          <w:p w:rsidR="00E923A7" w:rsidRDefault="00E923A7" w:rsidP="00072CE1">
            <w:pPr>
              <w:pStyle w:val="tableteksttab"/>
            </w:pPr>
            <w:r>
              <w:t>5855,35</w:t>
            </w:r>
          </w:p>
        </w:tc>
        <w:tc>
          <w:tcPr>
            <w:tcW w:w="1557" w:type="dxa"/>
            <w:vAlign w:val="bottom"/>
          </w:tcPr>
          <w:p w:rsidR="00E923A7" w:rsidRDefault="00E923A7" w:rsidP="00072CE1">
            <w:pPr>
              <w:pStyle w:val="tableteksttab"/>
            </w:pPr>
            <w:r>
              <w:t>108,8</w:t>
            </w:r>
          </w:p>
        </w:tc>
        <w:tc>
          <w:tcPr>
            <w:tcW w:w="1556" w:type="dxa"/>
            <w:vAlign w:val="bottom"/>
          </w:tcPr>
          <w:p w:rsidR="00E923A7" w:rsidRDefault="00E923A7" w:rsidP="00072CE1">
            <w:pPr>
              <w:pStyle w:val="tableteksttab"/>
            </w:pPr>
            <w:r>
              <w:t>5794,48</w:t>
            </w:r>
          </w:p>
        </w:tc>
        <w:tc>
          <w:tcPr>
            <w:tcW w:w="1557" w:type="dxa"/>
            <w:vAlign w:val="bottom"/>
          </w:tcPr>
          <w:p w:rsidR="00E923A7" w:rsidRDefault="00E923A7" w:rsidP="00072CE1">
            <w:pPr>
              <w:pStyle w:val="tableteksttab"/>
              <w:rPr>
                <w:sz w:val="24"/>
                <w:szCs w:val="24"/>
              </w:rPr>
            </w:pPr>
            <w:r>
              <w:t>106,6</w:t>
            </w:r>
          </w:p>
        </w:tc>
      </w:tr>
      <w:tr w:rsidR="00E923A7" w:rsidRPr="00E87892" w:rsidTr="00072CE1">
        <w:trPr>
          <w:trHeight w:val="57"/>
          <w:jc w:val="center"/>
        </w:trPr>
        <w:tc>
          <w:tcPr>
            <w:tcW w:w="4253" w:type="dxa"/>
            <w:vAlign w:val="center"/>
          </w:tcPr>
          <w:p w:rsidR="00E923A7" w:rsidRPr="000163F1" w:rsidRDefault="00E923A7" w:rsidP="00072CE1">
            <w:pPr>
              <w:pStyle w:val="boczek1"/>
            </w:pPr>
            <w:r>
              <w:t>Informacja i komunikacja</w:t>
            </w:r>
          </w:p>
        </w:tc>
        <w:tc>
          <w:tcPr>
            <w:tcW w:w="1556" w:type="dxa"/>
            <w:vAlign w:val="bottom"/>
          </w:tcPr>
          <w:p w:rsidR="00E923A7" w:rsidRDefault="00E923A7" w:rsidP="00072CE1">
            <w:pPr>
              <w:pStyle w:val="tableteksttab"/>
            </w:pPr>
            <w:r>
              <w:t>13158,75</w:t>
            </w:r>
          </w:p>
        </w:tc>
        <w:tc>
          <w:tcPr>
            <w:tcW w:w="1557" w:type="dxa"/>
            <w:vAlign w:val="bottom"/>
          </w:tcPr>
          <w:p w:rsidR="00E923A7" w:rsidRDefault="00E923A7" w:rsidP="00072CE1">
            <w:pPr>
              <w:pStyle w:val="tableteksttab"/>
            </w:pPr>
            <w:r>
              <w:t>116,2</w:t>
            </w:r>
          </w:p>
        </w:tc>
        <w:tc>
          <w:tcPr>
            <w:tcW w:w="1556" w:type="dxa"/>
            <w:vAlign w:val="bottom"/>
          </w:tcPr>
          <w:p w:rsidR="00E923A7" w:rsidRDefault="00E923A7" w:rsidP="00072CE1">
            <w:pPr>
              <w:pStyle w:val="tableteksttab"/>
            </w:pPr>
            <w:r>
              <w:t>13148,29</w:t>
            </w:r>
          </w:p>
        </w:tc>
        <w:tc>
          <w:tcPr>
            <w:tcW w:w="1557" w:type="dxa"/>
            <w:vAlign w:val="bottom"/>
          </w:tcPr>
          <w:p w:rsidR="00E923A7" w:rsidRDefault="00E923A7" w:rsidP="00072CE1">
            <w:pPr>
              <w:pStyle w:val="tableteksttab"/>
              <w:rPr>
                <w:sz w:val="24"/>
                <w:szCs w:val="24"/>
              </w:rPr>
            </w:pPr>
            <w:r>
              <w:t>114,6</w:t>
            </w:r>
          </w:p>
        </w:tc>
      </w:tr>
      <w:tr w:rsidR="00E923A7" w:rsidRPr="00E87892" w:rsidTr="00072CE1">
        <w:trPr>
          <w:trHeight w:val="57"/>
          <w:jc w:val="center"/>
        </w:trPr>
        <w:tc>
          <w:tcPr>
            <w:tcW w:w="4253" w:type="dxa"/>
            <w:vAlign w:val="center"/>
          </w:tcPr>
          <w:p w:rsidR="00E923A7" w:rsidRPr="000163F1" w:rsidRDefault="00E923A7" w:rsidP="00072CE1">
            <w:pPr>
              <w:pStyle w:val="boczek1"/>
            </w:pPr>
            <w:r w:rsidRPr="000163F1">
              <w:t>Obsługa rynku nieruchomości</w:t>
            </w:r>
            <w:r w:rsidRPr="000163F1">
              <w:rPr>
                <w:rFonts w:ascii="Symbol" w:hAnsi="Symbol"/>
                <w:vertAlign w:val="superscript"/>
              </w:rPr>
              <w:t></w:t>
            </w:r>
          </w:p>
        </w:tc>
        <w:tc>
          <w:tcPr>
            <w:tcW w:w="1556" w:type="dxa"/>
            <w:vAlign w:val="bottom"/>
          </w:tcPr>
          <w:p w:rsidR="00E923A7" w:rsidRDefault="00E923A7" w:rsidP="00072CE1">
            <w:pPr>
              <w:pStyle w:val="tableteksttab"/>
            </w:pPr>
            <w:r>
              <w:t>8157,82</w:t>
            </w:r>
          </w:p>
        </w:tc>
        <w:tc>
          <w:tcPr>
            <w:tcW w:w="1557" w:type="dxa"/>
            <w:vAlign w:val="bottom"/>
          </w:tcPr>
          <w:p w:rsidR="00E923A7" w:rsidRDefault="00E923A7" w:rsidP="00072CE1">
            <w:pPr>
              <w:pStyle w:val="tableteksttab"/>
            </w:pPr>
            <w:r>
              <w:t>115,2</w:t>
            </w:r>
          </w:p>
        </w:tc>
        <w:tc>
          <w:tcPr>
            <w:tcW w:w="1556" w:type="dxa"/>
            <w:vAlign w:val="bottom"/>
          </w:tcPr>
          <w:p w:rsidR="00E923A7" w:rsidRDefault="00E923A7" w:rsidP="00072CE1">
            <w:pPr>
              <w:pStyle w:val="tableteksttab"/>
            </w:pPr>
            <w:r>
              <w:t>8108,33</w:t>
            </w:r>
          </w:p>
        </w:tc>
        <w:tc>
          <w:tcPr>
            <w:tcW w:w="1557" w:type="dxa"/>
            <w:vAlign w:val="bottom"/>
          </w:tcPr>
          <w:p w:rsidR="00E923A7" w:rsidRDefault="00E923A7" w:rsidP="00072CE1">
            <w:pPr>
              <w:pStyle w:val="tableteksttab"/>
              <w:rPr>
                <w:sz w:val="24"/>
                <w:szCs w:val="24"/>
              </w:rPr>
            </w:pPr>
            <w:r>
              <w:t>114,5</w:t>
            </w:r>
          </w:p>
        </w:tc>
      </w:tr>
      <w:tr w:rsidR="00E923A7" w:rsidRPr="00E87892" w:rsidTr="00072CE1">
        <w:trPr>
          <w:trHeight w:val="57"/>
          <w:jc w:val="center"/>
        </w:trPr>
        <w:tc>
          <w:tcPr>
            <w:tcW w:w="4253" w:type="dxa"/>
            <w:tcBorders>
              <w:bottom w:val="single" w:sz="4" w:space="0" w:color="522398"/>
            </w:tcBorders>
            <w:vAlign w:val="center"/>
          </w:tcPr>
          <w:p w:rsidR="00E923A7" w:rsidRPr="000163F1" w:rsidRDefault="00E923A7" w:rsidP="00072CE1">
            <w:pPr>
              <w:pStyle w:val="boczek1"/>
            </w:pPr>
            <w:r w:rsidRPr="000163F1">
              <w:t>Działalność profesjonalna, naukowa i techniczna</w:t>
            </w:r>
            <w:r w:rsidRPr="0036212B">
              <w:rPr>
                <w:vertAlign w:val="superscript"/>
              </w:rPr>
              <w:t xml:space="preserve"> a</w:t>
            </w:r>
          </w:p>
        </w:tc>
        <w:tc>
          <w:tcPr>
            <w:tcW w:w="1556" w:type="dxa"/>
            <w:tcBorders>
              <w:bottom w:val="single" w:sz="4" w:space="0" w:color="522398"/>
            </w:tcBorders>
            <w:vAlign w:val="bottom"/>
          </w:tcPr>
          <w:p w:rsidR="00E923A7" w:rsidRDefault="00E923A7" w:rsidP="00072CE1">
            <w:pPr>
              <w:pStyle w:val="tableteksttab"/>
            </w:pPr>
            <w:r>
              <w:t>10712,71</w:t>
            </w:r>
          </w:p>
        </w:tc>
        <w:tc>
          <w:tcPr>
            <w:tcW w:w="1557" w:type="dxa"/>
            <w:tcBorders>
              <w:bottom w:val="single" w:sz="4" w:space="0" w:color="522398"/>
            </w:tcBorders>
            <w:vAlign w:val="bottom"/>
          </w:tcPr>
          <w:p w:rsidR="00E923A7" w:rsidRDefault="00E923A7" w:rsidP="00072CE1">
            <w:pPr>
              <w:pStyle w:val="tableteksttab"/>
            </w:pPr>
            <w:r>
              <w:t>109,0</w:t>
            </w:r>
          </w:p>
        </w:tc>
        <w:tc>
          <w:tcPr>
            <w:tcW w:w="1556" w:type="dxa"/>
            <w:tcBorders>
              <w:bottom w:val="single" w:sz="4" w:space="0" w:color="522398"/>
            </w:tcBorders>
            <w:vAlign w:val="bottom"/>
          </w:tcPr>
          <w:p w:rsidR="00E923A7" w:rsidRDefault="00E923A7" w:rsidP="00072CE1">
            <w:pPr>
              <w:pStyle w:val="tableteksttab"/>
            </w:pPr>
            <w:r>
              <w:t>10150,60</w:t>
            </w:r>
          </w:p>
        </w:tc>
        <w:tc>
          <w:tcPr>
            <w:tcW w:w="1557" w:type="dxa"/>
            <w:tcBorders>
              <w:bottom w:val="single" w:sz="4" w:space="0" w:color="522398"/>
            </w:tcBorders>
            <w:vAlign w:val="bottom"/>
          </w:tcPr>
          <w:p w:rsidR="00E923A7" w:rsidRDefault="00E923A7" w:rsidP="00072CE1">
            <w:pPr>
              <w:pStyle w:val="tableteksttab"/>
              <w:rPr>
                <w:sz w:val="24"/>
                <w:szCs w:val="24"/>
              </w:rPr>
            </w:pPr>
            <w:r>
              <w:t>107,3</w:t>
            </w:r>
          </w:p>
        </w:tc>
      </w:tr>
      <w:tr w:rsidR="00E923A7" w:rsidRPr="00E87892" w:rsidTr="00072CE1">
        <w:trPr>
          <w:trHeight w:val="57"/>
          <w:jc w:val="center"/>
        </w:trPr>
        <w:tc>
          <w:tcPr>
            <w:tcW w:w="4253" w:type="dxa"/>
            <w:tcBorders>
              <w:bottom w:val="nil"/>
            </w:tcBorders>
            <w:vAlign w:val="center"/>
          </w:tcPr>
          <w:p w:rsidR="00E923A7" w:rsidRPr="000163F1" w:rsidRDefault="00E923A7" w:rsidP="00072CE1">
            <w:pPr>
              <w:pStyle w:val="boczek1"/>
            </w:pPr>
            <w:r w:rsidRPr="000163F1">
              <w:t>Administrowanie i działalność wspierająca</w:t>
            </w:r>
            <w:r w:rsidRPr="000163F1">
              <w:rPr>
                <w:rFonts w:ascii="Symbol" w:hAnsi="Symbol"/>
                <w:vertAlign w:val="superscript"/>
              </w:rPr>
              <w:t></w:t>
            </w:r>
          </w:p>
        </w:tc>
        <w:tc>
          <w:tcPr>
            <w:tcW w:w="1556" w:type="dxa"/>
            <w:tcBorders>
              <w:bottom w:val="nil"/>
            </w:tcBorders>
            <w:vAlign w:val="bottom"/>
          </w:tcPr>
          <w:p w:rsidR="00E923A7" w:rsidRDefault="00E923A7" w:rsidP="00072CE1">
            <w:pPr>
              <w:pStyle w:val="tableteksttab"/>
            </w:pPr>
            <w:r>
              <w:t>7404,37</w:t>
            </w:r>
          </w:p>
        </w:tc>
        <w:tc>
          <w:tcPr>
            <w:tcW w:w="1557" w:type="dxa"/>
            <w:tcBorders>
              <w:bottom w:val="nil"/>
            </w:tcBorders>
            <w:vAlign w:val="bottom"/>
          </w:tcPr>
          <w:p w:rsidR="00E923A7" w:rsidRDefault="00E923A7" w:rsidP="00072CE1">
            <w:pPr>
              <w:pStyle w:val="tableteksttab"/>
            </w:pPr>
            <w:r>
              <w:t>121,9</w:t>
            </w:r>
          </w:p>
        </w:tc>
        <w:tc>
          <w:tcPr>
            <w:tcW w:w="1556" w:type="dxa"/>
            <w:tcBorders>
              <w:bottom w:val="nil"/>
            </w:tcBorders>
            <w:vAlign w:val="bottom"/>
          </w:tcPr>
          <w:p w:rsidR="00E923A7" w:rsidRDefault="00E923A7" w:rsidP="00072CE1">
            <w:pPr>
              <w:pStyle w:val="tableteksttab"/>
            </w:pPr>
            <w:r>
              <w:t>7113,66</w:t>
            </w:r>
          </w:p>
        </w:tc>
        <w:tc>
          <w:tcPr>
            <w:tcW w:w="1557" w:type="dxa"/>
            <w:tcBorders>
              <w:bottom w:val="nil"/>
            </w:tcBorders>
            <w:vAlign w:val="bottom"/>
          </w:tcPr>
          <w:p w:rsidR="00E923A7" w:rsidRDefault="00E923A7" w:rsidP="00072CE1">
            <w:pPr>
              <w:pStyle w:val="tableteksttab"/>
              <w:rPr>
                <w:sz w:val="24"/>
                <w:szCs w:val="24"/>
              </w:rPr>
            </w:pPr>
            <w:r>
              <w:t>116,2</w:t>
            </w:r>
          </w:p>
        </w:tc>
      </w:tr>
    </w:tbl>
    <w:p w:rsidR="00E923A7" w:rsidRPr="00840CB9" w:rsidRDefault="00E923A7" w:rsidP="00E923A7">
      <w:pPr>
        <w:pStyle w:val="notka"/>
      </w:pPr>
      <w:r w:rsidRPr="004A40C8">
        <w:t xml:space="preserve">a </w:t>
      </w:r>
      <w:r w:rsidRPr="00840CB9">
        <w:t>Nie obejmuje działów: Badania naukowe i prace rozwojowe oraz Działalność weterynaryjna.</w:t>
      </w:r>
    </w:p>
    <w:p w:rsidR="00E923A7" w:rsidRDefault="00E923A7" w:rsidP="00E923A7">
      <w:pPr>
        <w:pStyle w:val="tekst"/>
        <w:spacing w:before="360"/>
      </w:pPr>
      <w:r w:rsidRPr="00BC031B">
        <w:t xml:space="preserve">Wzrost przeciętnych wynagrodzeń w porównaniu z </w:t>
      </w:r>
      <w:r w:rsidRPr="00B162D7">
        <w:t xml:space="preserve">lutym </w:t>
      </w:r>
      <w:r w:rsidRPr="00BC031B">
        <w:t xml:space="preserve">ub. roku obserwowano we wszystkich sekcjach sektora przedsiębiorstw, z wyjątkiem </w:t>
      </w:r>
      <w:r>
        <w:t>górnictwa</w:t>
      </w:r>
      <w:r w:rsidRPr="00BC031B">
        <w:t xml:space="preserve"> i wydo</w:t>
      </w:r>
      <w:r>
        <w:t>bywania</w:t>
      </w:r>
      <w:r w:rsidRPr="00BC031B">
        <w:t xml:space="preserve">, gdzie zanotowano spadek o </w:t>
      </w:r>
      <w:r>
        <w:t>16,4</w:t>
      </w:r>
      <w:r w:rsidRPr="00BC031B">
        <w:t>%. W skali roku przeciętne wynagrodzenie najbardzie</w:t>
      </w:r>
      <w:r>
        <w:t>j zwiększyło się w przedsiębior</w:t>
      </w:r>
      <w:r w:rsidRPr="00BC031B">
        <w:t>stwach zajmujących się</w:t>
      </w:r>
      <w:r w:rsidRPr="00CE08BE">
        <w:t xml:space="preserve"> wytwarzanie</w:t>
      </w:r>
      <w:r>
        <w:t>m</w:t>
      </w:r>
      <w:r w:rsidRPr="00CE08BE">
        <w:t xml:space="preserve"> i zaopatrywanie</w:t>
      </w:r>
      <w:r>
        <w:t>m</w:t>
      </w:r>
      <w:r w:rsidRPr="00CE08BE">
        <w:t xml:space="preserve"> w energię elektryczną, gaz, parę wodną i gorącą wodę</w:t>
      </w:r>
      <w:r>
        <w:t xml:space="preserve"> (o 75,6%), </w:t>
      </w:r>
      <w:r>
        <w:rPr>
          <w:spacing w:val="-4"/>
          <w:szCs w:val="19"/>
        </w:rPr>
        <w:t xml:space="preserve">administrowaniem i działalnością wspierającą (o </w:t>
      </w:r>
      <w:r w:rsidRPr="00CE08BE">
        <w:rPr>
          <w:spacing w:val="-4"/>
          <w:szCs w:val="19"/>
        </w:rPr>
        <w:t>21,9</w:t>
      </w:r>
      <w:r>
        <w:rPr>
          <w:spacing w:val="-4"/>
          <w:szCs w:val="19"/>
        </w:rPr>
        <w:t>%),</w:t>
      </w:r>
      <w:r w:rsidRPr="00CE08BE">
        <w:rPr>
          <w:spacing w:val="-4"/>
          <w:szCs w:val="19"/>
        </w:rPr>
        <w:t xml:space="preserve"> </w:t>
      </w:r>
      <w:r>
        <w:rPr>
          <w:spacing w:val="-4"/>
          <w:szCs w:val="19"/>
        </w:rPr>
        <w:t>informacją i komunikacją (o </w:t>
      </w:r>
      <w:r w:rsidRPr="00CE08BE">
        <w:rPr>
          <w:spacing w:val="-4"/>
          <w:szCs w:val="19"/>
        </w:rPr>
        <w:t>16,2</w:t>
      </w:r>
      <w:r>
        <w:rPr>
          <w:spacing w:val="-4"/>
          <w:szCs w:val="19"/>
        </w:rPr>
        <w:t>%)</w:t>
      </w:r>
      <w:r>
        <w:t xml:space="preserve">, obsługą rynku nieruchomości (o </w:t>
      </w:r>
      <w:r w:rsidRPr="00CE08BE">
        <w:t>15,2</w:t>
      </w:r>
      <w:r>
        <w:t>%) oraz</w:t>
      </w:r>
      <w:r w:rsidRPr="00BC031B">
        <w:t xml:space="preserve"> </w:t>
      </w:r>
      <w:r>
        <w:t xml:space="preserve">budownictwem (o </w:t>
      </w:r>
      <w:r w:rsidRPr="00CE08BE">
        <w:t>11,6</w:t>
      </w:r>
      <w:r>
        <w:t>%).</w:t>
      </w:r>
    </w:p>
    <w:p w:rsidR="00E923A7" w:rsidRPr="00316609" w:rsidRDefault="00E454FB" w:rsidP="00E923A7">
      <w:pPr>
        <w:pStyle w:val="tytuwykresu"/>
        <w:ind w:left="990" w:hanging="990"/>
      </w:pPr>
      <w:r w:rsidRPr="00E454FB">
        <w:rPr>
          <w:noProof/>
          <w:lang w:eastAsia="pl-PL"/>
        </w:rPr>
        <w:drawing>
          <wp:anchor distT="0" distB="0" distL="114300" distR="114300" simplePos="0" relativeHeight="252961280" behindDoc="0" locked="0" layoutInCell="1" allowOverlap="1">
            <wp:simplePos x="0" y="0"/>
            <wp:positionH relativeFrom="margin">
              <wp:align>center</wp:align>
            </wp:positionH>
            <wp:positionV relativeFrom="paragraph">
              <wp:posOffset>670750</wp:posOffset>
            </wp:positionV>
            <wp:extent cx="5579745" cy="3522980"/>
            <wp:effectExtent l="0" t="0" r="1905" b="1270"/>
            <wp:wrapTopAndBottom/>
            <wp:docPr id="5" name="Obraz 5" descr="Wykres słupkowy dwustronny. Oś pozioma – odchylenia względne przeciętnych miesięcznych wynagrodzeń brutto w wybranych sekcjach od przeciętnego wynagrodzenia w sektorze przedsiębiorstw; wartości z przedziału od -30 do 150%. Oś pionowa – sekcje PKD; sort według wielkości odchyleń.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79745" cy="3522980"/>
                    </a:xfrm>
                    <a:prstGeom prst="rect">
                      <a:avLst/>
                    </a:prstGeom>
                    <a:noFill/>
                    <a:ln>
                      <a:noFill/>
                    </a:ln>
                  </pic:spPr>
                </pic:pic>
              </a:graphicData>
            </a:graphic>
          </wp:anchor>
        </w:drawing>
      </w:r>
      <w:r w:rsidR="00E923A7" w:rsidRPr="00316609">
        <w:t>Wykres 5</w:t>
      </w:r>
      <w:r w:rsidR="00E923A7">
        <w:t>.</w:t>
      </w:r>
      <w:r w:rsidR="00E923A7">
        <w:tab/>
      </w:r>
      <w:r w:rsidR="00E923A7" w:rsidRPr="00316609">
        <w:t>Odchylenia względne przeciętnych miesięcznych wynagrodzeń brutto w sekcjach od</w:t>
      </w:r>
      <w:r w:rsidR="00E923A7">
        <w:t xml:space="preserve"> przeciętnego </w:t>
      </w:r>
      <w:r w:rsidR="00E923A7">
        <w:br/>
        <w:t xml:space="preserve">wynagrodzenia </w:t>
      </w:r>
      <w:r w:rsidR="00E923A7" w:rsidRPr="00316609">
        <w:t xml:space="preserve">w sektorze przedsiębiorstw </w:t>
      </w:r>
      <w:r w:rsidR="00E923A7">
        <w:t>w lutym</w:t>
      </w:r>
      <w:r w:rsidR="00E923A7" w:rsidRPr="00316609">
        <w:t xml:space="preserve"> </w:t>
      </w:r>
      <w:r w:rsidR="00E923A7">
        <w:t>2025 r.</w:t>
      </w:r>
      <w:r w:rsidR="00E923A7" w:rsidRPr="007F73D2">
        <w:rPr>
          <w:b w:val="0"/>
        </w:rPr>
        <w:t xml:space="preserve"> </w:t>
      </w:r>
    </w:p>
    <w:p w:rsidR="00E923A7" w:rsidRDefault="00E923A7" w:rsidP="00E923A7">
      <w:pPr>
        <w:pStyle w:val="tekst"/>
      </w:pPr>
      <w:r w:rsidRPr="00C25031">
        <w:lastRenderedPageBreak/>
        <w:t xml:space="preserve">Najwyższe wynagrodzenie </w:t>
      </w:r>
      <w:r>
        <w:t>w lutym</w:t>
      </w:r>
      <w:r w:rsidRPr="00C25031">
        <w:t xml:space="preserve"> </w:t>
      </w:r>
      <w:r>
        <w:t>br.</w:t>
      </w:r>
      <w:r w:rsidRPr="00C25031">
        <w:t xml:space="preserve"> otrzymali zatrudnieni w sekcjach: wytwarzanie</w:t>
      </w:r>
      <w:r>
        <w:t xml:space="preserve"> i zaopatrywanie w energię elek</w:t>
      </w:r>
      <w:r w:rsidRPr="00C25031">
        <w:t>tryczną, gaz, parę wodną i gorącą wodę (</w:t>
      </w:r>
      <w:r>
        <w:t>2,4-krotnie</w:t>
      </w:r>
      <w:r w:rsidRPr="00C25031">
        <w:t xml:space="preserve"> od przeciętnego miesięcznego wynagrodzenia w sektorze przedsiębiorstw</w:t>
      </w:r>
      <w:r>
        <w:t>),</w:t>
      </w:r>
      <w:r w:rsidRPr="00C25031">
        <w:t xml:space="preserve"> informacja i komunikacja</w:t>
      </w:r>
      <w:r w:rsidRPr="008B272E">
        <w:t xml:space="preserve"> </w:t>
      </w:r>
      <w:r w:rsidRPr="00C25031">
        <w:t>(</w:t>
      </w:r>
      <w:r>
        <w:t xml:space="preserve">o </w:t>
      </w:r>
      <w:r w:rsidRPr="008B272E">
        <w:t>69,8</w:t>
      </w:r>
      <w:r>
        <w:t xml:space="preserve">% </w:t>
      </w:r>
      <w:r w:rsidRPr="00C25031">
        <w:t>wyższe od średniej)</w:t>
      </w:r>
      <w:r>
        <w:t xml:space="preserve"> oraz </w:t>
      </w:r>
      <w:r w:rsidRPr="00FE601A">
        <w:t>działalność profesj</w:t>
      </w:r>
      <w:r>
        <w:t>onalna, naukowa i techniczna (o </w:t>
      </w:r>
      <w:r w:rsidRPr="008B272E">
        <w:t>38,2</w:t>
      </w:r>
      <w:r>
        <w:t>% wyższe od średniej)</w:t>
      </w:r>
      <w:r w:rsidRPr="00C25031">
        <w:t xml:space="preserve">. Wciąż </w:t>
      </w:r>
      <w:r>
        <w:t>n</w:t>
      </w:r>
      <w:r w:rsidRPr="00C25031">
        <w:t>ajniższy pozostaje poziom płac w jedn</w:t>
      </w:r>
      <w:r>
        <w:t>ostkach zajmujących się zakwaterowaniem i </w:t>
      </w:r>
      <w:r w:rsidRPr="00C25031">
        <w:t xml:space="preserve">gastronomią (o </w:t>
      </w:r>
      <w:r w:rsidRPr="00AE2064">
        <w:t>24,4</w:t>
      </w:r>
      <w:r w:rsidRPr="00C25031">
        <w:t>% poniżej przeciętnego wynagrodzenia w sektorze przedsiębiorstw).</w:t>
      </w:r>
    </w:p>
    <w:p w:rsidR="00E923A7" w:rsidRDefault="00E923A7" w:rsidP="00E923A7">
      <w:pPr>
        <w:pStyle w:val="tekst"/>
      </w:pPr>
      <w:r w:rsidRPr="00C827B7">
        <w:t xml:space="preserve">W okresie styczeń-luty br. przeciętne miesięczne wynagrodzenie brutto w sektorze przedsiębiorstw ukształtowało się na poziomie </w:t>
      </w:r>
      <w:r w:rsidRPr="001D0928">
        <w:t xml:space="preserve">7729,67 </w:t>
      </w:r>
      <w:r>
        <w:t>zł, tj. o 9,2</w:t>
      </w:r>
      <w:r w:rsidRPr="00C827B7">
        <w:t xml:space="preserve">% wyżej niż przed rokiem (w okresie styczeń-luty ub. roku roczny wzrost wynagrodzeń wyniósł </w:t>
      </w:r>
      <w:r>
        <w:t>12,0</w:t>
      </w:r>
      <w:r w:rsidRPr="00C827B7">
        <w:t xml:space="preserve">%). </w:t>
      </w:r>
      <w:r>
        <w:t xml:space="preserve">Spadek </w:t>
      </w:r>
      <w:r w:rsidRPr="00C827B7">
        <w:t>wynagrodze</w:t>
      </w:r>
      <w:r>
        <w:t xml:space="preserve">ń odnotowano jedynie w sekcji </w:t>
      </w:r>
      <w:r>
        <w:rPr>
          <w:szCs w:val="19"/>
        </w:rPr>
        <w:t>górnictwo</w:t>
      </w:r>
      <w:r w:rsidRPr="002607DA">
        <w:rPr>
          <w:szCs w:val="19"/>
        </w:rPr>
        <w:t xml:space="preserve"> i wydobywani</w:t>
      </w:r>
      <w:r>
        <w:rPr>
          <w:szCs w:val="19"/>
        </w:rPr>
        <w:t>e</w:t>
      </w:r>
      <w:r w:rsidRPr="002607DA">
        <w:rPr>
          <w:szCs w:val="19"/>
        </w:rPr>
        <w:t xml:space="preserve"> </w:t>
      </w:r>
      <w:r w:rsidRPr="00C827B7">
        <w:t xml:space="preserve">(o </w:t>
      </w:r>
      <w:r>
        <w:t>12,0</w:t>
      </w:r>
      <w:r w:rsidRPr="00C827B7">
        <w:t>%)</w:t>
      </w:r>
      <w:r>
        <w:t>. W pozostałych sekcjach</w:t>
      </w:r>
      <w:r w:rsidRPr="00C827B7">
        <w:t xml:space="preserve"> sektora przedsiębiorstw </w:t>
      </w:r>
      <w:r>
        <w:t>obserwowano wzrost p</w:t>
      </w:r>
      <w:r w:rsidRPr="00C827B7">
        <w:t>rzeciętn</w:t>
      </w:r>
      <w:r>
        <w:t>ych</w:t>
      </w:r>
      <w:r w:rsidR="00C326DF">
        <w:t xml:space="preserve"> </w:t>
      </w:r>
      <w:r w:rsidR="00907954">
        <w:t xml:space="preserve">miesięcznych </w:t>
      </w:r>
      <w:r w:rsidR="00C326DF" w:rsidRPr="00C326DF">
        <w:t>wynagrodzeń</w:t>
      </w:r>
      <w:r w:rsidR="00907954">
        <w:t xml:space="preserve"> brutto</w:t>
      </w:r>
      <w:r w:rsidR="00C326DF">
        <w:t>,</w:t>
      </w:r>
      <w:r>
        <w:t xml:space="preserve"> z tego największy w </w:t>
      </w:r>
      <w:r w:rsidRPr="00B26E2E">
        <w:t>wytwarzani</w:t>
      </w:r>
      <w:r>
        <w:t>u</w:t>
      </w:r>
      <w:r w:rsidRPr="00B26E2E">
        <w:t xml:space="preserve"> i zaopatrywani</w:t>
      </w:r>
      <w:r>
        <w:t>u</w:t>
      </w:r>
      <w:r w:rsidRPr="00B26E2E">
        <w:t xml:space="preserve"> w energię elektryczną, gaz, parę wodną i gorącą wodę </w:t>
      </w:r>
      <w:r>
        <w:t xml:space="preserve">(o 40,2%), </w:t>
      </w:r>
      <w:r>
        <w:rPr>
          <w:spacing w:val="-4"/>
          <w:szCs w:val="19"/>
        </w:rPr>
        <w:t xml:space="preserve">administrowaniu i działalności wspierającej (o 16,2%), informacji i komunikacji (o </w:t>
      </w:r>
      <w:r w:rsidRPr="002607DA">
        <w:rPr>
          <w:spacing w:val="-4"/>
          <w:szCs w:val="19"/>
        </w:rPr>
        <w:t>14,6</w:t>
      </w:r>
      <w:r>
        <w:rPr>
          <w:spacing w:val="-4"/>
          <w:szCs w:val="19"/>
        </w:rPr>
        <w:t xml:space="preserve">%), obsłudze rynku nieruchomości (o </w:t>
      </w:r>
      <w:r w:rsidRPr="002607DA">
        <w:rPr>
          <w:spacing w:val="-4"/>
          <w:szCs w:val="19"/>
        </w:rPr>
        <w:t>14,5</w:t>
      </w:r>
      <w:r>
        <w:rPr>
          <w:spacing w:val="-4"/>
          <w:szCs w:val="19"/>
        </w:rPr>
        <w:t xml:space="preserve">%) </w:t>
      </w:r>
      <w:r w:rsidR="00907954">
        <w:rPr>
          <w:spacing w:val="-4"/>
          <w:szCs w:val="19"/>
        </w:rPr>
        <w:t>oraz</w:t>
      </w:r>
      <w:r>
        <w:rPr>
          <w:spacing w:val="-4"/>
          <w:szCs w:val="19"/>
        </w:rPr>
        <w:t xml:space="preserve"> </w:t>
      </w:r>
      <w:r w:rsidR="00907954">
        <w:t>w budownictwie (o </w:t>
      </w:r>
      <w:r w:rsidRPr="002607DA">
        <w:t>11,3</w:t>
      </w:r>
      <w:r>
        <w:t>%).</w:t>
      </w:r>
    </w:p>
    <w:p w:rsidR="00E923A7" w:rsidRPr="000B35C5" w:rsidRDefault="00E923A7" w:rsidP="00E923A7">
      <w:pPr>
        <w:pStyle w:val="Nagwek1"/>
      </w:pPr>
      <w:bookmarkStart w:id="18" w:name="_Toc106715761"/>
      <w:bookmarkStart w:id="19" w:name="_Toc138399038"/>
      <w:bookmarkStart w:id="20" w:name="_Toc168996177"/>
      <w:bookmarkStart w:id="21" w:name="_Toc176517803"/>
      <w:bookmarkStart w:id="22" w:name="_Toc184889862"/>
      <w:bookmarkStart w:id="23" w:name="_Toc193459097"/>
      <w:bookmarkStart w:id="24" w:name="_Toc193459759"/>
      <w:r w:rsidRPr="00240D14">
        <w:t>Ceny</w:t>
      </w:r>
      <w:bookmarkEnd w:id="18"/>
      <w:bookmarkEnd w:id="19"/>
      <w:bookmarkEnd w:id="20"/>
      <w:bookmarkEnd w:id="21"/>
      <w:bookmarkEnd w:id="22"/>
      <w:bookmarkEnd w:id="23"/>
      <w:bookmarkEnd w:id="24"/>
    </w:p>
    <w:p w:rsidR="00E923A7" w:rsidRDefault="00E923A7" w:rsidP="00E923A7">
      <w:pPr>
        <w:rPr>
          <w:shd w:val="clear" w:color="auto" w:fill="FFFFFF"/>
        </w:rPr>
      </w:pPr>
      <w:r w:rsidRPr="005F5D6B">
        <w:rPr>
          <w:shd w:val="clear" w:color="auto" w:fill="FFFFFF"/>
        </w:rPr>
        <w:t xml:space="preserve">W </w:t>
      </w:r>
      <w:r>
        <w:rPr>
          <w:shd w:val="clear" w:color="auto" w:fill="FFFFFF"/>
        </w:rPr>
        <w:t xml:space="preserve">4 kwartale </w:t>
      </w:r>
      <w:r w:rsidR="00907954">
        <w:rPr>
          <w:shd w:val="clear" w:color="auto" w:fill="FFFFFF"/>
        </w:rPr>
        <w:t>2024 r.</w:t>
      </w:r>
      <w:r w:rsidRPr="006C1E90">
        <w:rPr>
          <w:shd w:val="clear" w:color="auto" w:fill="FFFFFF"/>
        </w:rPr>
        <w:t xml:space="preserve"> </w:t>
      </w:r>
      <w:r w:rsidRPr="005F5D6B">
        <w:rPr>
          <w:shd w:val="clear" w:color="auto" w:fill="FFFFFF"/>
        </w:rPr>
        <w:t xml:space="preserve">wzrost </w:t>
      </w:r>
      <w:r w:rsidRPr="005F5D6B">
        <w:rPr>
          <w:b/>
          <w:shd w:val="clear" w:color="auto" w:fill="FFFFFF"/>
        </w:rPr>
        <w:t>cen towarów i usług konsumpcyjnych</w:t>
      </w:r>
      <w:r w:rsidRPr="005F5D6B">
        <w:rPr>
          <w:shd w:val="clear" w:color="auto" w:fill="FFFFFF"/>
        </w:rPr>
        <w:t xml:space="preserve"> w skali roku był najwięk</w:t>
      </w:r>
      <w:r>
        <w:rPr>
          <w:shd w:val="clear" w:color="auto" w:fill="FFFFFF"/>
        </w:rPr>
        <w:t xml:space="preserve">szy od początku 2024 r. i </w:t>
      </w:r>
      <w:r w:rsidRPr="005F5D6B">
        <w:rPr>
          <w:shd w:val="clear" w:color="auto" w:fill="FFFFFF"/>
        </w:rPr>
        <w:t xml:space="preserve">wyniósł </w:t>
      </w:r>
      <w:r>
        <w:rPr>
          <w:shd w:val="clear" w:color="auto" w:fill="FFFFFF"/>
        </w:rPr>
        <w:t>5,3</w:t>
      </w:r>
      <w:r w:rsidRPr="005F5D6B">
        <w:rPr>
          <w:shd w:val="clear" w:color="auto" w:fill="FFFFFF"/>
        </w:rPr>
        <w:t xml:space="preserve">% wobec </w:t>
      </w:r>
      <w:r>
        <w:rPr>
          <w:shd w:val="clear" w:color="auto" w:fill="FFFFFF"/>
        </w:rPr>
        <w:t>4</w:t>
      </w:r>
      <w:r w:rsidRPr="005F5D6B">
        <w:rPr>
          <w:shd w:val="clear" w:color="auto" w:fill="FFFFFF"/>
        </w:rPr>
        <w:t>,</w:t>
      </w:r>
      <w:r>
        <w:rPr>
          <w:shd w:val="clear" w:color="auto" w:fill="FFFFFF"/>
        </w:rPr>
        <w:t>8</w:t>
      </w:r>
      <w:r w:rsidRPr="005F5D6B">
        <w:rPr>
          <w:shd w:val="clear" w:color="auto" w:fill="FFFFFF"/>
        </w:rPr>
        <w:t>%</w:t>
      </w:r>
      <w:r>
        <w:rPr>
          <w:shd w:val="clear" w:color="auto" w:fill="FFFFFF"/>
        </w:rPr>
        <w:t xml:space="preserve"> w kraju. Wskaźnik cen nadal był</w:t>
      </w:r>
      <w:r w:rsidRPr="005F5D6B">
        <w:rPr>
          <w:shd w:val="clear" w:color="auto" w:fill="FFFFFF"/>
        </w:rPr>
        <w:t xml:space="preserve"> </w:t>
      </w:r>
      <w:r>
        <w:rPr>
          <w:shd w:val="clear" w:color="auto" w:fill="FFFFFF"/>
        </w:rPr>
        <w:t>niższy niż</w:t>
      </w:r>
      <w:r w:rsidRPr="005F5D6B">
        <w:rPr>
          <w:shd w:val="clear" w:color="auto" w:fill="FFFFFF"/>
        </w:rPr>
        <w:t xml:space="preserve"> </w:t>
      </w:r>
      <w:r>
        <w:rPr>
          <w:shd w:val="clear" w:color="auto" w:fill="FFFFFF"/>
        </w:rPr>
        <w:t xml:space="preserve">przed </w:t>
      </w:r>
      <w:r w:rsidR="00907954">
        <w:rPr>
          <w:shd w:val="clear" w:color="auto" w:fill="FFFFFF"/>
        </w:rPr>
        <w:t xml:space="preserve">2023 </w:t>
      </w:r>
      <w:r>
        <w:rPr>
          <w:shd w:val="clear" w:color="auto" w:fill="FFFFFF"/>
        </w:rPr>
        <w:t>r</w:t>
      </w:r>
      <w:r w:rsidR="00907954">
        <w:rPr>
          <w:shd w:val="clear" w:color="auto" w:fill="FFFFFF"/>
        </w:rPr>
        <w:t xml:space="preserve">. </w:t>
      </w:r>
      <w:r w:rsidRPr="005F5D6B">
        <w:rPr>
          <w:shd w:val="clear" w:color="auto" w:fill="FFFFFF"/>
        </w:rPr>
        <w:t>(</w:t>
      </w:r>
      <w:r>
        <w:rPr>
          <w:shd w:val="clear" w:color="auto" w:fill="FFFFFF"/>
        </w:rPr>
        <w:t>odpowiednio 6,2</w:t>
      </w:r>
      <w:r w:rsidRPr="005F5D6B">
        <w:rPr>
          <w:shd w:val="clear" w:color="auto" w:fill="FFFFFF"/>
        </w:rPr>
        <w:t>%</w:t>
      </w:r>
      <w:r>
        <w:rPr>
          <w:shd w:val="clear" w:color="auto" w:fill="FFFFFF"/>
        </w:rPr>
        <w:t xml:space="preserve"> i 6,4</w:t>
      </w:r>
      <w:r w:rsidRPr="005F5D6B">
        <w:rPr>
          <w:shd w:val="clear" w:color="auto" w:fill="FFFFFF"/>
        </w:rPr>
        <w:t>%).</w:t>
      </w:r>
      <w:r>
        <w:rPr>
          <w:shd w:val="clear" w:color="auto" w:fill="FFFFFF"/>
        </w:rPr>
        <w:t xml:space="preserve"> </w:t>
      </w:r>
      <w:r w:rsidRPr="00A2279E">
        <w:rPr>
          <w:shd w:val="clear" w:color="auto" w:fill="FFFFFF"/>
        </w:rPr>
        <w:t xml:space="preserve">W </w:t>
      </w:r>
      <w:r>
        <w:rPr>
          <w:shd w:val="clear" w:color="auto" w:fill="FFFFFF"/>
        </w:rPr>
        <w:t xml:space="preserve">większości </w:t>
      </w:r>
      <w:r w:rsidRPr="00A2279E">
        <w:rPr>
          <w:shd w:val="clear" w:color="auto" w:fill="FFFFFF"/>
        </w:rPr>
        <w:t>grup to</w:t>
      </w:r>
      <w:r>
        <w:rPr>
          <w:shd w:val="clear" w:color="auto" w:fill="FFFFFF"/>
        </w:rPr>
        <w:t xml:space="preserve">warów i usług </w:t>
      </w:r>
      <w:r w:rsidRPr="00A2279E">
        <w:rPr>
          <w:shd w:val="clear" w:color="auto" w:fill="FFFFFF"/>
        </w:rPr>
        <w:t>wzrost cen był</w:t>
      </w:r>
      <w:r w:rsidR="00907954">
        <w:rPr>
          <w:shd w:val="clear" w:color="auto" w:fill="FFFFFF"/>
        </w:rPr>
        <w:t xml:space="preserve"> większy niż w 3 </w:t>
      </w:r>
      <w:r>
        <w:rPr>
          <w:shd w:val="clear" w:color="auto" w:fill="FFFFFF"/>
        </w:rPr>
        <w:t>kwartale</w:t>
      </w:r>
      <w:r w:rsidR="00907954">
        <w:rPr>
          <w:shd w:val="clear" w:color="auto" w:fill="FFFFFF"/>
        </w:rPr>
        <w:t xml:space="preserve"> 2024 r.</w:t>
      </w:r>
      <w:r>
        <w:rPr>
          <w:shd w:val="clear" w:color="auto" w:fill="FFFFFF"/>
        </w:rPr>
        <w:t>, a najbardziej p</w:t>
      </w:r>
      <w:r w:rsidRPr="005F5D6B">
        <w:rPr>
          <w:shd w:val="clear" w:color="auto" w:fill="FFFFFF"/>
        </w:rPr>
        <w:t>rzyspieszyła</w:t>
      </w:r>
      <w:r>
        <w:rPr>
          <w:shd w:val="clear" w:color="auto" w:fill="FFFFFF"/>
        </w:rPr>
        <w:t xml:space="preserve"> d</w:t>
      </w:r>
      <w:r w:rsidRPr="005F5D6B">
        <w:rPr>
          <w:shd w:val="clear" w:color="auto" w:fill="FFFFFF"/>
        </w:rPr>
        <w:t xml:space="preserve">ynamika cen </w:t>
      </w:r>
      <w:r>
        <w:rPr>
          <w:shd w:val="clear" w:color="auto" w:fill="FFFFFF"/>
        </w:rPr>
        <w:t xml:space="preserve">związanych ze zdrowiem, edukacją oraz </w:t>
      </w:r>
      <w:r w:rsidRPr="00C2390C">
        <w:rPr>
          <w:shd w:val="clear" w:color="auto" w:fill="FFFFFF"/>
        </w:rPr>
        <w:t>rekreacj</w:t>
      </w:r>
      <w:r>
        <w:rPr>
          <w:shd w:val="clear" w:color="auto" w:fill="FFFFFF"/>
        </w:rPr>
        <w:t>ą</w:t>
      </w:r>
      <w:r w:rsidRPr="00C2390C">
        <w:rPr>
          <w:shd w:val="clear" w:color="auto" w:fill="FFFFFF"/>
        </w:rPr>
        <w:t xml:space="preserve"> i kultur</w:t>
      </w:r>
      <w:r>
        <w:rPr>
          <w:shd w:val="clear" w:color="auto" w:fill="FFFFFF"/>
        </w:rPr>
        <w:t>ą. W porównaniu z analogicznym okresem 2023 r. w największym stopniu</w:t>
      </w:r>
      <w:r w:rsidRPr="008679D5">
        <w:rPr>
          <w:shd w:val="clear" w:color="auto" w:fill="FFFFFF"/>
        </w:rPr>
        <w:t xml:space="preserve"> </w:t>
      </w:r>
      <w:r>
        <w:rPr>
          <w:shd w:val="clear" w:color="auto" w:fill="FFFFFF"/>
        </w:rPr>
        <w:t>podrożały towary i usługi związane z edukacją (o 10,7%) oraz mieszkaniem (o 9,0%). Mniej natomiast płacono za odzież i obuwie (o 2,0%), a także towary i usługi związane z transportem (1,7%).</w:t>
      </w:r>
    </w:p>
    <w:p w:rsidR="00E923A7" w:rsidRPr="000B35C5" w:rsidRDefault="00E923A7" w:rsidP="00E923A7">
      <w:pPr>
        <w:pStyle w:val="Tytultabeli"/>
        <w:spacing w:before="360"/>
        <w:rPr>
          <w:shd w:val="clear" w:color="auto" w:fill="FFFFFF"/>
        </w:rPr>
      </w:pPr>
      <w:r w:rsidRPr="000B35C5">
        <w:rPr>
          <w:shd w:val="clear" w:color="auto" w:fill="FFFFFF"/>
        </w:rPr>
        <w:t xml:space="preserve">Tablica </w:t>
      </w:r>
      <w:r>
        <w:rPr>
          <w:shd w:val="clear" w:color="auto" w:fill="FFFFFF"/>
        </w:rPr>
        <w:t>4</w:t>
      </w:r>
      <w:r w:rsidRPr="000B35C5">
        <w:rPr>
          <w:shd w:val="clear" w:color="auto" w:fill="FFFFFF"/>
        </w:rPr>
        <w:t>.</w:t>
      </w:r>
      <w:r>
        <w:rPr>
          <w:shd w:val="clear" w:color="auto" w:fill="FFFFFF"/>
        </w:rPr>
        <w:t xml:space="preserve"> </w:t>
      </w:r>
      <w:r>
        <w:rPr>
          <w:shd w:val="clear" w:color="auto" w:fill="FFFFFF"/>
        </w:rPr>
        <w:tab/>
      </w:r>
      <w:r w:rsidRPr="000B35C5">
        <w:rPr>
          <w:shd w:val="clear" w:color="auto" w:fill="FFFFFF"/>
        </w:rPr>
        <w:t>Wskaźniki cen towarów i usług konsumpcyjnych</w:t>
      </w:r>
    </w:p>
    <w:tbl>
      <w:tblPr>
        <w:tblStyle w:val="Siatkatabelijasna"/>
        <w:tblpPr w:leftFromText="141" w:rightFromText="141" w:vertAnchor="text" w:horzAnchor="margin" w:tblpY="5"/>
        <w:tblW w:w="5000" w:type="pct"/>
        <w:tblBorders>
          <w:top w:val="none" w:sz="0" w:space="0" w:color="auto"/>
          <w:left w:val="none" w:sz="0" w:space="0" w:color="auto"/>
          <w:bottom w:val="none" w:sz="0" w:space="0" w:color="auto"/>
          <w:right w:val="none" w:sz="0" w:space="0" w:color="auto"/>
          <w:insideH w:val="single" w:sz="4" w:space="0" w:color="522398"/>
          <w:insideV w:val="single" w:sz="4" w:space="0" w:color="522398"/>
        </w:tblBorders>
        <w:tblCellMar>
          <w:top w:w="28" w:type="dxa"/>
          <w:bottom w:w="28" w:type="dxa"/>
        </w:tblCellMar>
        <w:tblLook w:val="0000" w:firstRow="0" w:lastRow="0" w:firstColumn="0" w:lastColumn="0" w:noHBand="0" w:noVBand="0"/>
        <w:tblDescription w:val="Tablica prezentuje wskaźniki cen towarów i usług konsumpcyjnych w 3 i 4 kwartale 2024 r. oraz w analogicznych kwartałach poprzedniego roku"/>
      </w:tblPr>
      <w:tblGrid>
        <w:gridCol w:w="3250"/>
        <w:gridCol w:w="1809"/>
        <w:gridCol w:w="1809"/>
        <w:gridCol w:w="1809"/>
        <w:gridCol w:w="1802"/>
      </w:tblGrid>
      <w:tr w:rsidR="00E923A7" w:rsidRPr="000B35C5" w:rsidTr="00072CE1">
        <w:trPr>
          <w:trHeight w:val="57"/>
          <w:tblHeader/>
        </w:trPr>
        <w:tc>
          <w:tcPr>
            <w:tcW w:w="1551" w:type="pct"/>
            <w:vMerge w:val="restart"/>
            <w:vAlign w:val="center"/>
          </w:tcPr>
          <w:p w:rsidR="00E923A7" w:rsidRPr="00626E21" w:rsidRDefault="00E923A7" w:rsidP="00072CE1">
            <w:pPr>
              <w:pStyle w:val="glowka1"/>
              <w:rPr>
                <w:b/>
                <w:bCs/>
              </w:rPr>
            </w:pPr>
            <w:r w:rsidRPr="00626E21">
              <w:t>Wyszczególnienie</w:t>
            </w:r>
          </w:p>
        </w:tc>
        <w:tc>
          <w:tcPr>
            <w:tcW w:w="1726" w:type="pct"/>
            <w:gridSpan w:val="2"/>
            <w:vAlign w:val="center"/>
          </w:tcPr>
          <w:p w:rsidR="00E923A7" w:rsidRPr="00626E21" w:rsidRDefault="00E923A7" w:rsidP="00072CE1">
            <w:pPr>
              <w:pStyle w:val="glowka1"/>
            </w:pPr>
            <w:r>
              <w:t>2023</w:t>
            </w:r>
          </w:p>
        </w:tc>
        <w:tc>
          <w:tcPr>
            <w:tcW w:w="1723" w:type="pct"/>
            <w:gridSpan w:val="2"/>
            <w:vAlign w:val="center"/>
          </w:tcPr>
          <w:p w:rsidR="00E923A7" w:rsidRPr="00626E21" w:rsidRDefault="00E923A7" w:rsidP="00072CE1">
            <w:pPr>
              <w:pStyle w:val="glowka1"/>
            </w:pPr>
            <w:r>
              <w:t>2024</w:t>
            </w:r>
          </w:p>
        </w:tc>
      </w:tr>
      <w:tr w:rsidR="00E923A7" w:rsidRPr="000B35C5" w:rsidTr="00072CE1">
        <w:trPr>
          <w:trHeight w:val="57"/>
          <w:tblHeader/>
        </w:trPr>
        <w:tc>
          <w:tcPr>
            <w:tcW w:w="1551" w:type="pct"/>
            <w:vMerge/>
            <w:vAlign w:val="center"/>
          </w:tcPr>
          <w:p w:rsidR="00E923A7" w:rsidRPr="00626E21" w:rsidRDefault="00E923A7" w:rsidP="00072CE1">
            <w:pPr>
              <w:pStyle w:val="glowka1"/>
            </w:pPr>
          </w:p>
        </w:tc>
        <w:tc>
          <w:tcPr>
            <w:tcW w:w="863" w:type="pct"/>
            <w:vAlign w:val="center"/>
          </w:tcPr>
          <w:p w:rsidR="00E923A7" w:rsidRPr="00626E21" w:rsidRDefault="00907954" w:rsidP="00907954">
            <w:pPr>
              <w:pStyle w:val="glowka1"/>
            </w:pPr>
            <w:r>
              <w:t>03 kw.</w:t>
            </w:r>
          </w:p>
        </w:tc>
        <w:tc>
          <w:tcPr>
            <w:tcW w:w="863" w:type="pct"/>
            <w:vAlign w:val="center"/>
          </w:tcPr>
          <w:p w:rsidR="00E923A7" w:rsidRPr="00626E21" w:rsidRDefault="00907954" w:rsidP="00907954">
            <w:pPr>
              <w:pStyle w:val="glowka1"/>
            </w:pPr>
            <w:r>
              <w:t>04 kw.</w:t>
            </w:r>
          </w:p>
        </w:tc>
        <w:tc>
          <w:tcPr>
            <w:tcW w:w="863" w:type="pct"/>
            <w:vAlign w:val="center"/>
          </w:tcPr>
          <w:p w:rsidR="00E923A7" w:rsidRPr="00626E21" w:rsidRDefault="00907954" w:rsidP="00907954">
            <w:pPr>
              <w:pStyle w:val="glowka1"/>
            </w:pPr>
            <w:r>
              <w:t>03 kw.</w:t>
            </w:r>
          </w:p>
        </w:tc>
        <w:tc>
          <w:tcPr>
            <w:tcW w:w="860" w:type="pct"/>
            <w:vAlign w:val="center"/>
          </w:tcPr>
          <w:p w:rsidR="00E923A7" w:rsidRPr="00626E21" w:rsidRDefault="00907954" w:rsidP="00907954">
            <w:pPr>
              <w:pStyle w:val="glowka1"/>
            </w:pPr>
            <w:r>
              <w:t>04 kw.</w:t>
            </w:r>
          </w:p>
        </w:tc>
      </w:tr>
      <w:tr w:rsidR="00E923A7" w:rsidRPr="000B35C5" w:rsidTr="00072CE1">
        <w:trPr>
          <w:trHeight w:val="57"/>
          <w:tblHeader/>
        </w:trPr>
        <w:tc>
          <w:tcPr>
            <w:tcW w:w="1551" w:type="pct"/>
            <w:vMerge/>
            <w:tcBorders>
              <w:bottom w:val="single" w:sz="12" w:space="0" w:color="522398"/>
            </w:tcBorders>
            <w:vAlign w:val="center"/>
          </w:tcPr>
          <w:p w:rsidR="00E923A7" w:rsidRPr="00626E21" w:rsidRDefault="00E923A7" w:rsidP="00072CE1">
            <w:pPr>
              <w:pStyle w:val="glowka1"/>
            </w:pPr>
          </w:p>
        </w:tc>
        <w:tc>
          <w:tcPr>
            <w:tcW w:w="3449" w:type="pct"/>
            <w:gridSpan w:val="4"/>
            <w:tcBorders>
              <w:bottom w:val="single" w:sz="12" w:space="0" w:color="522398"/>
            </w:tcBorders>
            <w:vAlign w:val="center"/>
          </w:tcPr>
          <w:p w:rsidR="00E923A7" w:rsidRPr="00626E21" w:rsidRDefault="00E923A7" w:rsidP="00072CE1">
            <w:pPr>
              <w:pStyle w:val="glowka1"/>
            </w:pPr>
            <w:r w:rsidRPr="00626E21">
              <w:t>analogiczny okres roku poprzedniego = 100</w:t>
            </w:r>
          </w:p>
        </w:tc>
      </w:tr>
      <w:tr w:rsidR="00E923A7" w:rsidRPr="000B35C5" w:rsidTr="00072CE1">
        <w:trPr>
          <w:trHeight w:val="57"/>
        </w:trPr>
        <w:tc>
          <w:tcPr>
            <w:tcW w:w="1551" w:type="pct"/>
            <w:tcBorders>
              <w:top w:val="single" w:sz="12" w:space="0" w:color="522398"/>
              <w:bottom w:val="single" w:sz="4" w:space="0" w:color="522398"/>
            </w:tcBorders>
            <w:vAlign w:val="center"/>
          </w:tcPr>
          <w:p w:rsidR="00E923A7" w:rsidRPr="00941C08" w:rsidRDefault="00E923A7" w:rsidP="00072CE1">
            <w:pPr>
              <w:pStyle w:val="bocz1t"/>
              <w:rPr>
                <w:color w:val="000000" w:themeColor="text1"/>
              </w:rPr>
            </w:pPr>
            <w:r w:rsidRPr="00941C08">
              <w:t>Ogółem</w:t>
            </w:r>
          </w:p>
        </w:tc>
        <w:tc>
          <w:tcPr>
            <w:tcW w:w="863" w:type="pct"/>
            <w:tcBorders>
              <w:top w:val="single" w:sz="12" w:space="0" w:color="522398"/>
              <w:bottom w:val="single" w:sz="4" w:space="0" w:color="522398"/>
            </w:tcBorders>
          </w:tcPr>
          <w:p w:rsidR="00E923A7" w:rsidRPr="00130FEE" w:rsidRDefault="00E923A7" w:rsidP="00072CE1">
            <w:pPr>
              <w:pStyle w:val="tableteksttab"/>
              <w:rPr>
                <w:b/>
              </w:rPr>
            </w:pPr>
            <w:r w:rsidRPr="00130FEE">
              <w:rPr>
                <w:b/>
              </w:rPr>
              <w:t>109,6</w:t>
            </w:r>
          </w:p>
        </w:tc>
        <w:tc>
          <w:tcPr>
            <w:tcW w:w="863" w:type="pct"/>
            <w:tcBorders>
              <w:top w:val="single" w:sz="12" w:space="0" w:color="522398"/>
              <w:bottom w:val="single" w:sz="4" w:space="0" w:color="522398"/>
            </w:tcBorders>
          </w:tcPr>
          <w:p w:rsidR="00E923A7" w:rsidRPr="00130FEE" w:rsidRDefault="00E923A7" w:rsidP="00072CE1">
            <w:pPr>
              <w:pStyle w:val="tableteksttab"/>
              <w:rPr>
                <w:b/>
              </w:rPr>
            </w:pPr>
            <w:r w:rsidRPr="00130FEE">
              <w:rPr>
                <w:b/>
              </w:rPr>
              <w:t>106,2</w:t>
            </w:r>
          </w:p>
        </w:tc>
        <w:tc>
          <w:tcPr>
            <w:tcW w:w="863" w:type="pct"/>
            <w:tcBorders>
              <w:top w:val="single" w:sz="12" w:space="0" w:color="522398"/>
              <w:bottom w:val="single" w:sz="4" w:space="0" w:color="522398"/>
            </w:tcBorders>
          </w:tcPr>
          <w:p w:rsidR="00E923A7" w:rsidRPr="00130FEE" w:rsidRDefault="00E923A7" w:rsidP="00072CE1">
            <w:pPr>
              <w:pStyle w:val="tableteksttab"/>
              <w:rPr>
                <w:b/>
              </w:rPr>
            </w:pPr>
            <w:r w:rsidRPr="00130FEE">
              <w:rPr>
                <w:b/>
              </w:rPr>
              <w:t>105,0</w:t>
            </w:r>
          </w:p>
        </w:tc>
        <w:tc>
          <w:tcPr>
            <w:tcW w:w="860" w:type="pct"/>
            <w:tcBorders>
              <w:top w:val="single" w:sz="12" w:space="0" w:color="522398"/>
              <w:bottom w:val="single" w:sz="4" w:space="0" w:color="522398"/>
            </w:tcBorders>
          </w:tcPr>
          <w:p w:rsidR="00E923A7" w:rsidRPr="00130FEE" w:rsidRDefault="00E923A7" w:rsidP="00072CE1">
            <w:pPr>
              <w:pStyle w:val="tableteksttab"/>
              <w:rPr>
                <w:b/>
              </w:rPr>
            </w:pPr>
            <w:r w:rsidRPr="00130FEE">
              <w:rPr>
                <w:b/>
              </w:rPr>
              <w:t>105,3</w:t>
            </w:r>
          </w:p>
        </w:tc>
      </w:tr>
      <w:tr w:rsidR="00E923A7" w:rsidRPr="000B35C5" w:rsidTr="00072CE1">
        <w:trPr>
          <w:trHeight w:val="57"/>
        </w:trPr>
        <w:tc>
          <w:tcPr>
            <w:tcW w:w="1551" w:type="pct"/>
            <w:tcBorders>
              <w:top w:val="single" w:sz="4" w:space="0" w:color="522398"/>
            </w:tcBorders>
            <w:vAlign w:val="center"/>
          </w:tcPr>
          <w:p w:rsidR="00E923A7" w:rsidRPr="00941C08" w:rsidRDefault="00E923A7" w:rsidP="00072CE1">
            <w:pPr>
              <w:pStyle w:val="boczekbez"/>
            </w:pPr>
            <w:r w:rsidRPr="00941C08">
              <w:t>w tym:</w:t>
            </w:r>
          </w:p>
        </w:tc>
        <w:tc>
          <w:tcPr>
            <w:tcW w:w="863" w:type="pct"/>
            <w:tcBorders>
              <w:top w:val="single" w:sz="4" w:space="0" w:color="522398"/>
            </w:tcBorders>
          </w:tcPr>
          <w:p w:rsidR="00E923A7" w:rsidRPr="00CD044F" w:rsidRDefault="00E923A7" w:rsidP="00072CE1">
            <w:pPr>
              <w:pStyle w:val="tableteksttab"/>
            </w:pPr>
          </w:p>
        </w:tc>
        <w:tc>
          <w:tcPr>
            <w:tcW w:w="863" w:type="pct"/>
            <w:tcBorders>
              <w:top w:val="single" w:sz="4" w:space="0" w:color="522398"/>
            </w:tcBorders>
          </w:tcPr>
          <w:p w:rsidR="00E923A7" w:rsidRPr="00CD044F" w:rsidRDefault="00E923A7" w:rsidP="00072CE1">
            <w:pPr>
              <w:pStyle w:val="tableteksttab"/>
            </w:pPr>
          </w:p>
        </w:tc>
        <w:tc>
          <w:tcPr>
            <w:tcW w:w="863" w:type="pct"/>
            <w:tcBorders>
              <w:top w:val="single" w:sz="4" w:space="0" w:color="522398"/>
            </w:tcBorders>
          </w:tcPr>
          <w:p w:rsidR="00E923A7" w:rsidRPr="00CD044F" w:rsidRDefault="00E923A7" w:rsidP="00072CE1">
            <w:pPr>
              <w:pStyle w:val="tableteksttab"/>
            </w:pPr>
          </w:p>
        </w:tc>
        <w:tc>
          <w:tcPr>
            <w:tcW w:w="860" w:type="pct"/>
            <w:tcBorders>
              <w:top w:val="single" w:sz="4" w:space="0" w:color="522398"/>
            </w:tcBorders>
          </w:tcPr>
          <w:p w:rsidR="00E923A7" w:rsidRPr="00CD044F" w:rsidRDefault="00E923A7" w:rsidP="00072CE1">
            <w:pPr>
              <w:pStyle w:val="tableteksttab"/>
            </w:pPr>
          </w:p>
        </w:tc>
      </w:tr>
      <w:tr w:rsidR="00E923A7" w:rsidRPr="000B35C5" w:rsidTr="00072CE1">
        <w:trPr>
          <w:trHeight w:val="57"/>
        </w:trPr>
        <w:tc>
          <w:tcPr>
            <w:tcW w:w="1551" w:type="pct"/>
            <w:vAlign w:val="center"/>
          </w:tcPr>
          <w:p w:rsidR="00E923A7" w:rsidRPr="00941C08" w:rsidRDefault="00E923A7" w:rsidP="00072CE1">
            <w:pPr>
              <w:pStyle w:val="boczek1"/>
            </w:pPr>
            <w:r w:rsidRPr="00941C08">
              <w:t>Żywność i napoje bezalkoholowe</w:t>
            </w:r>
          </w:p>
        </w:tc>
        <w:tc>
          <w:tcPr>
            <w:tcW w:w="863" w:type="pct"/>
          </w:tcPr>
          <w:p w:rsidR="00E923A7" w:rsidRPr="00CD044F" w:rsidRDefault="00E923A7" w:rsidP="00072CE1">
            <w:pPr>
              <w:pStyle w:val="tableteksttab"/>
            </w:pPr>
            <w:r w:rsidRPr="00CD044F">
              <w:t>113,5</w:t>
            </w:r>
          </w:p>
        </w:tc>
        <w:tc>
          <w:tcPr>
            <w:tcW w:w="863" w:type="pct"/>
          </w:tcPr>
          <w:p w:rsidR="00E923A7" w:rsidRPr="00CD044F" w:rsidRDefault="00E923A7" w:rsidP="00072CE1">
            <w:pPr>
              <w:pStyle w:val="tableteksttab"/>
            </w:pPr>
            <w:r w:rsidRPr="00CD044F">
              <w:t>107,3</w:t>
            </w:r>
          </w:p>
        </w:tc>
        <w:tc>
          <w:tcPr>
            <w:tcW w:w="863" w:type="pct"/>
          </w:tcPr>
          <w:p w:rsidR="00E923A7" w:rsidRPr="00CD044F" w:rsidRDefault="00E923A7" w:rsidP="00072CE1">
            <w:pPr>
              <w:pStyle w:val="tableteksttab"/>
            </w:pPr>
            <w:r w:rsidRPr="00CD044F">
              <w:t>104,0</w:t>
            </w:r>
          </w:p>
        </w:tc>
        <w:tc>
          <w:tcPr>
            <w:tcW w:w="860" w:type="pct"/>
          </w:tcPr>
          <w:p w:rsidR="00E923A7" w:rsidRPr="00CD044F" w:rsidRDefault="00E923A7" w:rsidP="00072CE1">
            <w:pPr>
              <w:pStyle w:val="tableteksttab"/>
            </w:pPr>
            <w:r w:rsidRPr="00CD044F">
              <w:t>104,8</w:t>
            </w:r>
          </w:p>
        </w:tc>
      </w:tr>
      <w:tr w:rsidR="00E923A7" w:rsidRPr="000B35C5" w:rsidTr="00072CE1">
        <w:trPr>
          <w:trHeight w:val="57"/>
        </w:trPr>
        <w:tc>
          <w:tcPr>
            <w:tcW w:w="1551" w:type="pct"/>
            <w:vAlign w:val="center"/>
          </w:tcPr>
          <w:p w:rsidR="00E923A7" w:rsidRPr="00941C08" w:rsidRDefault="00E923A7" w:rsidP="00072CE1">
            <w:pPr>
              <w:pStyle w:val="boczek1"/>
            </w:pPr>
            <w:r w:rsidRPr="00941C08">
              <w:t>Napoje alkoholowe i wyroby tytoniowe</w:t>
            </w:r>
          </w:p>
        </w:tc>
        <w:tc>
          <w:tcPr>
            <w:tcW w:w="863" w:type="pct"/>
          </w:tcPr>
          <w:p w:rsidR="00E923A7" w:rsidRPr="00CD044F" w:rsidRDefault="00E923A7" w:rsidP="00072CE1">
            <w:pPr>
              <w:pStyle w:val="tableteksttab"/>
            </w:pPr>
            <w:r w:rsidRPr="00CD044F">
              <w:t>112,4</w:t>
            </w:r>
          </w:p>
        </w:tc>
        <w:tc>
          <w:tcPr>
            <w:tcW w:w="863" w:type="pct"/>
          </w:tcPr>
          <w:p w:rsidR="00E923A7" w:rsidRPr="00CD044F" w:rsidRDefault="00E923A7" w:rsidP="00072CE1">
            <w:pPr>
              <w:pStyle w:val="tableteksttab"/>
            </w:pPr>
            <w:r w:rsidRPr="00CD044F">
              <w:t>111,0</w:t>
            </w:r>
          </w:p>
        </w:tc>
        <w:tc>
          <w:tcPr>
            <w:tcW w:w="863" w:type="pct"/>
          </w:tcPr>
          <w:p w:rsidR="00E923A7" w:rsidRPr="00CD044F" w:rsidRDefault="00E923A7" w:rsidP="00072CE1">
            <w:pPr>
              <w:pStyle w:val="tableteksttab"/>
            </w:pPr>
            <w:r w:rsidRPr="00CD044F">
              <w:t>105,1</w:t>
            </w:r>
          </w:p>
        </w:tc>
        <w:tc>
          <w:tcPr>
            <w:tcW w:w="860" w:type="pct"/>
          </w:tcPr>
          <w:p w:rsidR="00E923A7" w:rsidRPr="00CD044F" w:rsidRDefault="00E923A7" w:rsidP="00072CE1">
            <w:pPr>
              <w:pStyle w:val="tableteksttab"/>
            </w:pPr>
            <w:r w:rsidRPr="00CD044F">
              <w:t>104,9</w:t>
            </w:r>
          </w:p>
        </w:tc>
      </w:tr>
      <w:tr w:rsidR="00E923A7" w:rsidRPr="000B35C5" w:rsidTr="00072CE1">
        <w:trPr>
          <w:trHeight w:val="57"/>
        </w:trPr>
        <w:tc>
          <w:tcPr>
            <w:tcW w:w="1551" w:type="pct"/>
            <w:vAlign w:val="center"/>
          </w:tcPr>
          <w:p w:rsidR="00E923A7" w:rsidRPr="00941C08" w:rsidRDefault="00E923A7" w:rsidP="00072CE1">
            <w:pPr>
              <w:pStyle w:val="boczek1"/>
            </w:pPr>
            <w:r w:rsidRPr="00941C08">
              <w:t>Odzież i obuwie</w:t>
            </w:r>
          </w:p>
        </w:tc>
        <w:tc>
          <w:tcPr>
            <w:tcW w:w="863" w:type="pct"/>
          </w:tcPr>
          <w:p w:rsidR="00E923A7" w:rsidRPr="00CD044F" w:rsidRDefault="00E923A7" w:rsidP="00072CE1">
            <w:pPr>
              <w:pStyle w:val="tableteksttab"/>
            </w:pPr>
            <w:r w:rsidRPr="00CD044F">
              <w:t>106,8</w:t>
            </w:r>
          </w:p>
        </w:tc>
        <w:tc>
          <w:tcPr>
            <w:tcW w:w="863" w:type="pct"/>
          </w:tcPr>
          <w:p w:rsidR="00E923A7" w:rsidRPr="00CD044F" w:rsidRDefault="00E923A7" w:rsidP="00072CE1">
            <w:pPr>
              <w:pStyle w:val="tableteksttab"/>
            </w:pPr>
            <w:r w:rsidRPr="00CD044F">
              <w:t>105,1</w:t>
            </w:r>
          </w:p>
        </w:tc>
        <w:tc>
          <w:tcPr>
            <w:tcW w:w="863" w:type="pct"/>
          </w:tcPr>
          <w:p w:rsidR="00E923A7" w:rsidRPr="00CD044F" w:rsidRDefault="00E923A7" w:rsidP="00072CE1">
            <w:pPr>
              <w:pStyle w:val="tableteksttab"/>
            </w:pPr>
            <w:r w:rsidRPr="00CD044F">
              <w:t>97,7</w:t>
            </w:r>
          </w:p>
        </w:tc>
        <w:tc>
          <w:tcPr>
            <w:tcW w:w="860" w:type="pct"/>
          </w:tcPr>
          <w:p w:rsidR="00E923A7" w:rsidRPr="00CD044F" w:rsidRDefault="00E923A7" w:rsidP="00072CE1">
            <w:pPr>
              <w:pStyle w:val="tableteksttab"/>
            </w:pPr>
            <w:r w:rsidRPr="00CD044F">
              <w:t>98,0</w:t>
            </w:r>
          </w:p>
        </w:tc>
      </w:tr>
      <w:tr w:rsidR="00E923A7" w:rsidRPr="000B35C5" w:rsidTr="00072CE1">
        <w:trPr>
          <w:trHeight w:val="57"/>
        </w:trPr>
        <w:tc>
          <w:tcPr>
            <w:tcW w:w="1551" w:type="pct"/>
            <w:vAlign w:val="center"/>
          </w:tcPr>
          <w:p w:rsidR="00E923A7" w:rsidRPr="00941C08" w:rsidRDefault="00E923A7" w:rsidP="00072CE1">
            <w:pPr>
              <w:pStyle w:val="boczek1"/>
              <w:rPr>
                <w:i/>
              </w:rPr>
            </w:pPr>
            <w:r w:rsidRPr="00941C08">
              <w:t>Mieszkanie</w:t>
            </w:r>
          </w:p>
        </w:tc>
        <w:tc>
          <w:tcPr>
            <w:tcW w:w="863" w:type="pct"/>
          </w:tcPr>
          <w:p w:rsidR="00E923A7" w:rsidRPr="00CD044F" w:rsidRDefault="00E923A7" w:rsidP="00072CE1">
            <w:pPr>
              <w:pStyle w:val="tableteksttab"/>
            </w:pPr>
            <w:r w:rsidRPr="00CD044F">
              <w:t>109,6</w:t>
            </w:r>
          </w:p>
        </w:tc>
        <w:tc>
          <w:tcPr>
            <w:tcW w:w="863" w:type="pct"/>
          </w:tcPr>
          <w:p w:rsidR="00E923A7" w:rsidRPr="00CD044F" w:rsidRDefault="00E923A7" w:rsidP="00072CE1">
            <w:pPr>
              <w:pStyle w:val="tableteksttab"/>
            </w:pPr>
            <w:r w:rsidRPr="00CD044F">
              <w:t>106,3</w:t>
            </w:r>
          </w:p>
        </w:tc>
        <w:tc>
          <w:tcPr>
            <w:tcW w:w="863" w:type="pct"/>
          </w:tcPr>
          <w:p w:rsidR="00E923A7" w:rsidRPr="00CD044F" w:rsidRDefault="00E923A7" w:rsidP="00072CE1">
            <w:pPr>
              <w:pStyle w:val="tableteksttab"/>
            </w:pPr>
            <w:r w:rsidRPr="00CD044F">
              <w:t>108,4</w:t>
            </w:r>
          </w:p>
        </w:tc>
        <w:tc>
          <w:tcPr>
            <w:tcW w:w="860" w:type="pct"/>
          </w:tcPr>
          <w:p w:rsidR="00E923A7" w:rsidRPr="00CD044F" w:rsidRDefault="00E923A7" w:rsidP="00072CE1">
            <w:pPr>
              <w:pStyle w:val="tableteksttab"/>
            </w:pPr>
            <w:r w:rsidRPr="00CD044F">
              <w:t>109,0</w:t>
            </w:r>
          </w:p>
        </w:tc>
      </w:tr>
      <w:tr w:rsidR="00E923A7" w:rsidRPr="000B35C5" w:rsidTr="00072CE1">
        <w:trPr>
          <w:trHeight w:val="57"/>
        </w:trPr>
        <w:tc>
          <w:tcPr>
            <w:tcW w:w="1551" w:type="pct"/>
            <w:vAlign w:val="center"/>
          </w:tcPr>
          <w:p w:rsidR="00E923A7" w:rsidRPr="00941C08" w:rsidRDefault="00E923A7" w:rsidP="00072CE1">
            <w:pPr>
              <w:pStyle w:val="boczek1"/>
            </w:pPr>
            <w:r w:rsidRPr="00941C08">
              <w:t>Zdrowie</w:t>
            </w:r>
          </w:p>
        </w:tc>
        <w:tc>
          <w:tcPr>
            <w:tcW w:w="863" w:type="pct"/>
          </w:tcPr>
          <w:p w:rsidR="00E923A7" w:rsidRPr="00CD044F" w:rsidRDefault="00E923A7" w:rsidP="00072CE1">
            <w:pPr>
              <w:pStyle w:val="tableteksttab"/>
            </w:pPr>
            <w:r w:rsidRPr="00CD044F">
              <w:t>108,6</w:t>
            </w:r>
          </w:p>
        </w:tc>
        <w:tc>
          <w:tcPr>
            <w:tcW w:w="863" w:type="pct"/>
          </w:tcPr>
          <w:p w:rsidR="00E923A7" w:rsidRPr="00CD044F" w:rsidRDefault="00E923A7" w:rsidP="00072CE1">
            <w:pPr>
              <w:pStyle w:val="tableteksttab"/>
            </w:pPr>
            <w:r w:rsidRPr="00CD044F">
              <w:t>105,2</w:t>
            </w:r>
          </w:p>
        </w:tc>
        <w:tc>
          <w:tcPr>
            <w:tcW w:w="863" w:type="pct"/>
          </w:tcPr>
          <w:p w:rsidR="00E923A7" w:rsidRPr="00CD044F" w:rsidRDefault="00E923A7" w:rsidP="00072CE1">
            <w:pPr>
              <w:pStyle w:val="tableteksttab"/>
            </w:pPr>
            <w:r w:rsidRPr="00CD044F">
              <w:t>104,2</w:t>
            </w:r>
          </w:p>
        </w:tc>
        <w:tc>
          <w:tcPr>
            <w:tcW w:w="860" w:type="pct"/>
          </w:tcPr>
          <w:p w:rsidR="00E923A7" w:rsidRPr="00CD044F" w:rsidRDefault="00E923A7" w:rsidP="00072CE1">
            <w:pPr>
              <w:pStyle w:val="tableteksttab"/>
            </w:pPr>
            <w:r w:rsidRPr="00CD044F">
              <w:t>105,7</w:t>
            </w:r>
          </w:p>
        </w:tc>
      </w:tr>
      <w:tr w:rsidR="00E923A7" w:rsidRPr="000B35C5" w:rsidTr="00072CE1">
        <w:trPr>
          <w:trHeight w:val="57"/>
        </w:trPr>
        <w:tc>
          <w:tcPr>
            <w:tcW w:w="1551" w:type="pct"/>
            <w:vAlign w:val="center"/>
          </w:tcPr>
          <w:p w:rsidR="00E923A7" w:rsidRPr="00941C08" w:rsidRDefault="00E923A7" w:rsidP="00072CE1">
            <w:pPr>
              <w:pStyle w:val="boczek1"/>
            </w:pPr>
            <w:r w:rsidRPr="00941C08">
              <w:t>Transport</w:t>
            </w:r>
          </w:p>
        </w:tc>
        <w:tc>
          <w:tcPr>
            <w:tcW w:w="863" w:type="pct"/>
          </w:tcPr>
          <w:p w:rsidR="00E923A7" w:rsidRPr="00CD044F" w:rsidRDefault="00E923A7" w:rsidP="00072CE1">
            <w:pPr>
              <w:pStyle w:val="tableteksttab"/>
            </w:pPr>
            <w:r w:rsidRPr="00CD044F">
              <w:t>93,4</w:t>
            </w:r>
          </w:p>
        </w:tc>
        <w:tc>
          <w:tcPr>
            <w:tcW w:w="863" w:type="pct"/>
          </w:tcPr>
          <w:p w:rsidR="00E923A7" w:rsidRPr="00CD044F" w:rsidRDefault="00E923A7" w:rsidP="00072CE1">
            <w:pPr>
              <w:pStyle w:val="tableteksttab"/>
            </w:pPr>
            <w:r w:rsidRPr="00CD044F">
              <w:t>93,5</w:t>
            </w:r>
          </w:p>
        </w:tc>
        <w:tc>
          <w:tcPr>
            <w:tcW w:w="863" w:type="pct"/>
          </w:tcPr>
          <w:p w:rsidR="00E923A7" w:rsidRPr="00CD044F" w:rsidRDefault="00E923A7" w:rsidP="00072CE1">
            <w:pPr>
              <w:pStyle w:val="tableteksttab"/>
            </w:pPr>
            <w:r w:rsidRPr="00CD044F">
              <w:t>100,4</w:t>
            </w:r>
          </w:p>
        </w:tc>
        <w:tc>
          <w:tcPr>
            <w:tcW w:w="860" w:type="pct"/>
          </w:tcPr>
          <w:p w:rsidR="00E923A7" w:rsidRPr="00CD044F" w:rsidRDefault="00E923A7" w:rsidP="00072CE1">
            <w:pPr>
              <w:pStyle w:val="tableteksttab"/>
            </w:pPr>
            <w:r w:rsidRPr="00CD044F">
              <w:t>98,3</w:t>
            </w:r>
          </w:p>
        </w:tc>
      </w:tr>
      <w:tr w:rsidR="00E923A7" w:rsidRPr="000B35C5" w:rsidTr="00072CE1">
        <w:trPr>
          <w:trHeight w:val="57"/>
        </w:trPr>
        <w:tc>
          <w:tcPr>
            <w:tcW w:w="1551" w:type="pct"/>
            <w:vAlign w:val="center"/>
          </w:tcPr>
          <w:p w:rsidR="00E923A7" w:rsidRPr="00941C08" w:rsidRDefault="00E923A7" w:rsidP="00072CE1">
            <w:pPr>
              <w:pStyle w:val="boczek1"/>
            </w:pPr>
            <w:r w:rsidRPr="00941C08">
              <w:t>Rekreacja i kultura</w:t>
            </w:r>
          </w:p>
        </w:tc>
        <w:tc>
          <w:tcPr>
            <w:tcW w:w="863" w:type="pct"/>
          </w:tcPr>
          <w:p w:rsidR="00E923A7" w:rsidRPr="00CD044F" w:rsidRDefault="00E923A7" w:rsidP="00072CE1">
            <w:pPr>
              <w:pStyle w:val="tableteksttab"/>
            </w:pPr>
            <w:r w:rsidRPr="00CD044F">
              <w:t>111,9</w:t>
            </w:r>
          </w:p>
        </w:tc>
        <w:tc>
          <w:tcPr>
            <w:tcW w:w="863" w:type="pct"/>
          </w:tcPr>
          <w:p w:rsidR="00E923A7" w:rsidRPr="00CD044F" w:rsidRDefault="00E923A7" w:rsidP="00072CE1">
            <w:pPr>
              <w:pStyle w:val="tableteksttab"/>
            </w:pPr>
            <w:r w:rsidRPr="00CD044F">
              <w:t>107,7</w:t>
            </w:r>
          </w:p>
        </w:tc>
        <w:tc>
          <w:tcPr>
            <w:tcW w:w="863" w:type="pct"/>
          </w:tcPr>
          <w:p w:rsidR="00E923A7" w:rsidRPr="00CD044F" w:rsidRDefault="00E923A7" w:rsidP="00072CE1">
            <w:pPr>
              <w:pStyle w:val="tableteksttab"/>
            </w:pPr>
            <w:r w:rsidRPr="00CD044F">
              <w:t>103,5</w:t>
            </w:r>
          </w:p>
        </w:tc>
        <w:tc>
          <w:tcPr>
            <w:tcW w:w="860" w:type="pct"/>
          </w:tcPr>
          <w:p w:rsidR="00E923A7" w:rsidRPr="00CD044F" w:rsidRDefault="00E923A7" w:rsidP="00072CE1">
            <w:pPr>
              <w:pStyle w:val="tableteksttab"/>
            </w:pPr>
            <w:r w:rsidRPr="00CD044F">
              <w:t>104,7</w:t>
            </w:r>
          </w:p>
        </w:tc>
      </w:tr>
      <w:tr w:rsidR="00E923A7" w:rsidRPr="000B35C5" w:rsidTr="00072CE1">
        <w:trPr>
          <w:trHeight w:val="57"/>
        </w:trPr>
        <w:tc>
          <w:tcPr>
            <w:tcW w:w="1551" w:type="pct"/>
            <w:vAlign w:val="center"/>
          </w:tcPr>
          <w:p w:rsidR="00E923A7" w:rsidRPr="00941C08" w:rsidRDefault="00E923A7" w:rsidP="00072CE1">
            <w:pPr>
              <w:pStyle w:val="boczek1"/>
            </w:pPr>
            <w:r w:rsidRPr="00941C08">
              <w:t>Edukacja</w:t>
            </w:r>
          </w:p>
        </w:tc>
        <w:tc>
          <w:tcPr>
            <w:tcW w:w="863" w:type="pct"/>
          </w:tcPr>
          <w:p w:rsidR="00E923A7" w:rsidRPr="00CD044F" w:rsidRDefault="00E923A7" w:rsidP="00072CE1">
            <w:pPr>
              <w:pStyle w:val="tableteksttab"/>
            </w:pPr>
            <w:r w:rsidRPr="00CD044F">
              <w:t>113,0</w:t>
            </w:r>
          </w:p>
        </w:tc>
        <w:tc>
          <w:tcPr>
            <w:tcW w:w="863" w:type="pct"/>
          </w:tcPr>
          <w:p w:rsidR="00E923A7" w:rsidRPr="00CD044F" w:rsidRDefault="00E923A7" w:rsidP="00072CE1">
            <w:pPr>
              <w:pStyle w:val="tableteksttab"/>
            </w:pPr>
            <w:r w:rsidRPr="00CD044F">
              <w:t>112,1</w:t>
            </w:r>
          </w:p>
        </w:tc>
        <w:tc>
          <w:tcPr>
            <w:tcW w:w="863" w:type="pct"/>
          </w:tcPr>
          <w:p w:rsidR="00E923A7" w:rsidRPr="00CD044F" w:rsidRDefault="00E923A7" w:rsidP="00072CE1">
            <w:pPr>
              <w:pStyle w:val="tableteksttab"/>
            </w:pPr>
            <w:r w:rsidRPr="00CD044F">
              <w:t>109,2</w:t>
            </w:r>
          </w:p>
        </w:tc>
        <w:tc>
          <w:tcPr>
            <w:tcW w:w="860" w:type="pct"/>
          </w:tcPr>
          <w:p w:rsidR="00E923A7" w:rsidRDefault="00E923A7" w:rsidP="00072CE1">
            <w:pPr>
              <w:pStyle w:val="tableteksttab"/>
            </w:pPr>
            <w:r w:rsidRPr="00CD044F">
              <w:t>110,7</w:t>
            </w:r>
          </w:p>
        </w:tc>
      </w:tr>
    </w:tbl>
    <w:p w:rsidR="00E923A7" w:rsidRDefault="00E923A7" w:rsidP="00E923A7">
      <w:pPr>
        <w:pStyle w:val="Nagwek1"/>
      </w:pPr>
      <w:bookmarkStart w:id="25" w:name="_Toc64884829"/>
      <w:bookmarkStart w:id="26" w:name="_Toc64884998"/>
      <w:bookmarkStart w:id="27" w:name="_Toc64891651"/>
      <w:bookmarkStart w:id="28" w:name="_Toc193459098"/>
      <w:bookmarkStart w:id="29" w:name="_Toc193459760"/>
      <w:r w:rsidRPr="00D46C9B">
        <w:t>Rolnictwo</w:t>
      </w:r>
      <w:bookmarkEnd w:id="25"/>
      <w:bookmarkEnd w:id="26"/>
      <w:bookmarkEnd w:id="27"/>
      <w:bookmarkEnd w:id="28"/>
      <w:bookmarkEnd w:id="29"/>
    </w:p>
    <w:p w:rsidR="00BC6BAA" w:rsidRDefault="00BC6BAA" w:rsidP="00BC6BAA">
      <w:pPr>
        <w:spacing w:before="0" w:after="0" w:line="240" w:lineRule="auto"/>
        <w:rPr>
          <w:rFonts w:ascii="Times New Roman" w:eastAsia="Fira Sans Light" w:hAnsi="Times New Roman" w:cs="Times New Roman"/>
          <w:sz w:val="24"/>
          <w:szCs w:val="24"/>
          <w:lang w:eastAsia="pl-PL"/>
        </w:rPr>
      </w:pPr>
      <w:bookmarkStart w:id="30" w:name="_Toc64884830"/>
      <w:bookmarkStart w:id="31" w:name="_Toc64884999"/>
      <w:bookmarkStart w:id="32" w:name="_Toc64891652"/>
      <w:bookmarkStart w:id="33" w:name="_Toc193459099"/>
      <w:bookmarkStart w:id="34" w:name="_Toc193459761"/>
      <w:r w:rsidRPr="00E643C3">
        <w:rPr>
          <w:rFonts w:eastAsia="Fira Sans Light" w:cs="Times New Roman"/>
          <w:spacing w:val="-4"/>
        </w:rPr>
        <w:t>W lutym br. średnia</w:t>
      </w:r>
      <w:r w:rsidRPr="00E643C3">
        <w:rPr>
          <w:rFonts w:eastAsia="Fira Sans Light" w:cs="Times New Roman"/>
          <w:spacing w:val="-4"/>
          <w:vertAlign w:val="superscript"/>
        </w:rPr>
        <w:footnoteReference w:id="1"/>
      </w:r>
      <w:r w:rsidRPr="00E643C3">
        <w:rPr>
          <w:rFonts w:eastAsia="Fira Sans Light" w:cs="Times New Roman"/>
          <w:spacing w:val="-4"/>
        </w:rPr>
        <w:t xml:space="preserve"> temperatura powietrza na obszarze województwa wielkopolskiego wyniosła -0,1°C, tj. o 6,4°C mniej niż przed rokiem i o 0,5°C poniżej normy z lat 1991–2020. Najwyższą, a także najniższą</w:t>
      </w:r>
      <w:r>
        <w:rPr>
          <w:rFonts w:eastAsia="Fira Sans Light" w:cs="Times New Roman"/>
          <w:spacing w:val="-4"/>
        </w:rPr>
        <w:t>,</w:t>
      </w:r>
      <w:r w:rsidRPr="00E643C3">
        <w:rPr>
          <w:rFonts w:eastAsia="Fira Sans Light" w:cs="Times New Roman"/>
          <w:spacing w:val="-4"/>
        </w:rPr>
        <w:t xml:space="preserve"> temperaturę dobową zarejestrowała stacja hydrologiczno-meteorologiczna w Lesznie (odpowiednio +12,4°C i -16,7°C). Najniższe wskazania temperatury przy gruncie odnotowano w Poznaniu (tj. -22,8°C), a ujemna temperatura minimalna przy gruncie utrzymywała się najdłużej w Lesznie i Pile (przez 25 dni). Średnia miesięczna suma opadów w lutym br. wyniosł</w:t>
      </w:r>
      <w:r w:rsidRPr="00A55E14">
        <w:rPr>
          <w:rFonts w:eastAsia="Fira Sans Light" w:cs="Times New Roman"/>
          <w:spacing w:val="-4"/>
        </w:rPr>
        <w:t>a 15,9 mm, co stanowiło</w:t>
      </w:r>
      <w:r w:rsidRPr="00E643C3">
        <w:rPr>
          <w:rFonts w:eastAsia="Fira Sans Light" w:cs="Times New Roman"/>
          <w:spacing w:val="-4"/>
        </w:rPr>
        <w:t xml:space="preserve"> </w:t>
      </w:r>
      <w:r>
        <w:rPr>
          <w:rFonts w:eastAsia="Fira Sans Light" w:cs="Times New Roman"/>
          <w:spacing w:val="-4"/>
        </w:rPr>
        <w:t>niewiele</w:t>
      </w:r>
      <w:r w:rsidRPr="00A55E14">
        <w:rPr>
          <w:rFonts w:eastAsia="Fira Sans Light" w:cs="Times New Roman"/>
          <w:spacing w:val="-4"/>
        </w:rPr>
        <w:t xml:space="preserve"> ponad połowę (tj. </w:t>
      </w:r>
      <w:r w:rsidRPr="00E643C3">
        <w:rPr>
          <w:rFonts w:eastAsia="Fira Sans Light" w:cs="Times New Roman"/>
          <w:spacing w:val="-4"/>
        </w:rPr>
        <w:t>54%</w:t>
      </w:r>
      <w:r w:rsidRPr="00A55E14">
        <w:rPr>
          <w:rFonts w:eastAsia="Fira Sans Light" w:cs="Times New Roman"/>
          <w:spacing w:val="-4"/>
        </w:rPr>
        <w:t>)</w:t>
      </w:r>
      <w:r w:rsidRPr="00E643C3">
        <w:rPr>
          <w:rFonts w:eastAsia="Fira Sans Light" w:cs="Times New Roman"/>
          <w:spacing w:val="-4"/>
        </w:rPr>
        <w:t xml:space="preserve"> </w:t>
      </w:r>
      <w:r w:rsidRPr="00E146A7">
        <w:rPr>
          <w:rFonts w:eastAsia="Fira Sans Light" w:cs="Times New Roman"/>
          <w:spacing w:val="-4"/>
        </w:rPr>
        <w:t xml:space="preserve">normy wieloletniej. Największe opady wystąpiły w Pile (24,4 mm, tj. 84% normy) i w Poznaniu (20,5 mm, tj. 67% normy), a liczba dni z opadem w tych miejscowościach była najwyższa </w:t>
      </w:r>
      <w:r w:rsidRPr="00537571">
        <w:rPr>
          <w:rFonts w:eastAsia="Fira Sans Light" w:cs="Times New Roman"/>
          <w:spacing w:val="-4"/>
        </w:rPr>
        <w:t xml:space="preserve">– </w:t>
      </w:r>
      <w:r w:rsidRPr="00E146A7">
        <w:rPr>
          <w:rFonts w:eastAsia="Fira Sans Light" w:cs="Times New Roman"/>
          <w:spacing w:val="-4"/>
        </w:rPr>
        <w:t>po 9. Natomiast najmniejszy opad obserwowano w Kaliszu (4,7</w:t>
      </w:r>
      <w:r>
        <w:rPr>
          <w:rFonts w:eastAsia="Fira Sans Light" w:cs="Times New Roman"/>
          <w:spacing w:val="-4"/>
        </w:rPr>
        <w:t xml:space="preserve"> mm, tj. 19</w:t>
      </w:r>
      <w:r w:rsidRPr="00E146A7">
        <w:rPr>
          <w:rFonts w:eastAsia="Fira Sans Light" w:cs="Times New Roman"/>
          <w:spacing w:val="-4"/>
        </w:rPr>
        <w:t>% średniej wieloletniej), gdzie również opady występowały najkrócej (4 dni</w:t>
      </w:r>
      <w:r w:rsidRPr="00D1291F">
        <w:rPr>
          <w:rFonts w:eastAsia="Fira Sans Light" w:cs="Times New Roman"/>
          <w:spacing w:val="-4"/>
        </w:rPr>
        <w:t xml:space="preserve">). Większe zróżnicowanie dotyczyło liczby dni z pokrywą śnieżną. Najdłużej pokrywa śnieżna utrzymywała się w Poznaniu – 10 dni, gdzie </w:t>
      </w:r>
      <w:r>
        <w:rPr>
          <w:rFonts w:eastAsia="Fira Sans Light" w:cs="Times New Roman"/>
          <w:spacing w:val="-4"/>
        </w:rPr>
        <w:t xml:space="preserve">osiągnęła </w:t>
      </w:r>
      <w:r w:rsidRPr="00D1291F">
        <w:rPr>
          <w:rFonts w:eastAsia="Fira Sans Light" w:cs="Times New Roman"/>
          <w:spacing w:val="-4"/>
        </w:rPr>
        <w:t xml:space="preserve">również maksymalną grubość </w:t>
      </w:r>
      <w:r>
        <w:rPr>
          <w:rFonts w:eastAsia="Fira Sans Light" w:cs="Times New Roman"/>
          <w:spacing w:val="-4"/>
        </w:rPr>
        <w:t xml:space="preserve">– </w:t>
      </w:r>
      <w:r w:rsidRPr="00D1291F">
        <w:rPr>
          <w:rFonts w:eastAsia="Fira Sans Light" w:cs="Times New Roman"/>
          <w:spacing w:val="-4"/>
        </w:rPr>
        <w:t xml:space="preserve">11 cm, podczas gdy </w:t>
      </w:r>
      <w:r>
        <w:rPr>
          <w:rFonts w:eastAsia="Fira Sans Light" w:cs="Times New Roman"/>
          <w:spacing w:val="-4"/>
        </w:rPr>
        <w:t xml:space="preserve">w </w:t>
      </w:r>
      <w:r w:rsidRPr="00D1291F">
        <w:rPr>
          <w:rFonts w:eastAsia="Fira Sans Light" w:cs="Times New Roman"/>
          <w:spacing w:val="-4"/>
        </w:rPr>
        <w:t>Pile zalegała zaledwie 1 dzień, a jej grubość nie przekroczyła 1 cm.</w:t>
      </w:r>
      <w:r w:rsidRPr="00E643C3">
        <w:rPr>
          <w:rFonts w:ascii="Times New Roman" w:eastAsia="Fira Sans Light" w:hAnsi="Times New Roman" w:cs="Times New Roman"/>
          <w:sz w:val="24"/>
          <w:szCs w:val="24"/>
          <w:lang w:eastAsia="pl-PL"/>
        </w:rPr>
        <w:t xml:space="preserve"> </w:t>
      </w:r>
    </w:p>
    <w:p w:rsidR="00BC6BAA" w:rsidRPr="00E643C3" w:rsidRDefault="00BC6BAA" w:rsidP="00BC6BAA">
      <w:pPr>
        <w:spacing w:line="240" w:lineRule="atLeast"/>
        <w:rPr>
          <w:rFonts w:ascii="Times New Roman" w:eastAsia="Fira Sans Light" w:hAnsi="Times New Roman" w:cs="Times New Roman"/>
          <w:sz w:val="24"/>
          <w:szCs w:val="24"/>
          <w:lang w:eastAsia="pl-PL"/>
        </w:rPr>
      </w:pPr>
      <w:r w:rsidRPr="00183830">
        <w:lastRenderedPageBreak/>
        <w:t>Pierwsza połowa lutego charakteryzowała się brakiem lub niewielką ilością opadów. W konsekwencji tego na polach zauważalna była sucha warstwa gleby na powierzchni. Okrywa śnieżna na polach pozwoliła przezimować roślinom uprawnym w dobrej kondycji, podczas ujemnych temperatur, które w nocy spadały znacznie poniżej 0°C. Jednak z powodu miejscowego braku śniegu, rośliny lokalnie przezimowały gorzej. W konsekwencji pojawiła się konieczność przesiania uszkodzonych upraw. Pomimo występującego przez kilka dni śniegu</w:t>
      </w:r>
      <w:r>
        <w:t>,</w:t>
      </w:r>
      <w:r w:rsidRPr="00183830">
        <w:t xml:space="preserve"> sytuacja hydrologiczna nadal jest trudna i może przełożyć się na poważne skutki w kolejnych miesiącach.</w:t>
      </w:r>
      <w:r>
        <w:t xml:space="preserve"> </w:t>
      </w:r>
      <w:r w:rsidRPr="00183830">
        <w:t xml:space="preserve">Jeśli aura w najbliższym czasie nie przyniesie znaczących opadów, plantacje </w:t>
      </w:r>
      <w:r>
        <w:t>i </w:t>
      </w:r>
      <w:r w:rsidRPr="00183830">
        <w:t>uprawy po zimie nie będą miały wystarczającej ilości wilgoci, aby móc się prawidłowo rozw</w:t>
      </w:r>
      <w:r>
        <w:t>ijać. Również wiosenne zasiewy</w:t>
      </w:r>
      <w:r w:rsidRPr="00183830">
        <w:t xml:space="preserve"> będą miały problemy ze wschodami, a dalej z wegetacją.</w:t>
      </w:r>
    </w:p>
    <w:p w:rsidR="00BC6BAA" w:rsidRPr="006057E3" w:rsidRDefault="00BC6BAA" w:rsidP="00BC6BAA">
      <w:pPr>
        <w:pStyle w:val="tekst"/>
        <w:rPr>
          <w:spacing w:val="-4"/>
        </w:rPr>
      </w:pPr>
      <w:r w:rsidRPr="00BE3826">
        <w:rPr>
          <w:spacing w:val="-4"/>
        </w:rPr>
        <w:t>W porównaniu z poprzednim miesiącem w lutym br. w skupie odnotowano wzrost cen podstawowych produktów</w:t>
      </w:r>
      <w:r>
        <w:rPr>
          <w:spacing w:val="-4"/>
        </w:rPr>
        <w:t xml:space="preserve"> rolnych pochodzenia roślinnego (</w:t>
      </w:r>
      <w:r w:rsidRPr="00BE3826">
        <w:rPr>
          <w:spacing w:val="-4"/>
        </w:rPr>
        <w:t>oprócz pszenicy</w:t>
      </w:r>
      <w:r>
        <w:rPr>
          <w:spacing w:val="-4"/>
        </w:rPr>
        <w:t>)</w:t>
      </w:r>
      <w:r w:rsidRPr="00BE3826">
        <w:rPr>
          <w:spacing w:val="-4"/>
        </w:rPr>
        <w:t xml:space="preserve">, a także </w:t>
      </w:r>
      <w:r>
        <w:rPr>
          <w:spacing w:val="-4"/>
        </w:rPr>
        <w:t>zwierzęcego (z wyjątkiem mleka</w:t>
      </w:r>
      <w:r w:rsidRPr="00E83F59">
        <w:rPr>
          <w:spacing w:val="-4"/>
        </w:rPr>
        <w:t>). W obrocie targowiskowym obniżyły się ceny badanych produktów, jedynie cena jęczmienia wzrosła. W skali roku w skupie zanotowano wzrost cen większości produktów rolnych objętych obserwacją (oprócz ziemniaków i żywca wieprzowego). Na wolnym rynku wzrosły ceny żyta i jęczmienia.</w:t>
      </w:r>
    </w:p>
    <w:p w:rsidR="00BC6BAA" w:rsidRPr="00881F13" w:rsidRDefault="00BC6BAA" w:rsidP="00BC6BAA">
      <w:pPr>
        <w:pStyle w:val="tekst"/>
        <w:rPr>
          <w:b/>
        </w:rPr>
      </w:pPr>
      <w:r w:rsidRPr="004450F5">
        <w:t xml:space="preserve">W okresie od lipca ub. roku do lutego br. </w:t>
      </w:r>
      <w:r w:rsidRPr="004450F5">
        <w:rPr>
          <w:b/>
        </w:rPr>
        <w:t>skup zbóż podstawowych</w:t>
      </w:r>
      <w:r w:rsidRPr="004450F5">
        <w:t xml:space="preserve"> (z mieszankami zbożowymi bez ziarna siewnego) od producentów z terenu województwa wielkopolskiego wyniósł łącznie 713,1 tys. ton, tj. o 23,7% mniej niż w analogicznym okresie poprzedniego roku. Podaż</w:t>
      </w:r>
      <w:r w:rsidRPr="004450F5">
        <w:rPr>
          <w:b/>
        </w:rPr>
        <w:t xml:space="preserve"> pszenicy</w:t>
      </w:r>
      <w:r w:rsidRPr="004450F5">
        <w:t xml:space="preserve"> w skali roku zmniejszyła się o 23,6%, a </w:t>
      </w:r>
      <w:r w:rsidRPr="004450F5">
        <w:rPr>
          <w:b/>
        </w:rPr>
        <w:t>żyta</w:t>
      </w:r>
      <w:r w:rsidRPr="004450F5">
        <w:t xml:space="preserve"> o 17,0%.</w:t>
      </w:r>
      <w:r w:rsidRPr="00983153">
        <w:t xml:space="preserve"> </w:t>
      </w:r>
    </w:p>
    <w:p w:rsidR="00BC6BAA" w:rsidRDefault="0042281A" w:rsidP="00BC6BAA">
      <w:pPr>
        <w:pStyle w:val="Tytultabeli"/>
        <w:spacing w:before="240"/>
      </w:pPr>
      <w:r>
        <w:t>Tablica 5</w:t>
      </w:r>
      <w:r w:rsidR="00BC6BAA">
        <w:t>.</w:t>
      </w:r>
      <w:r w:rsidR="00BC6BAA">
        <w:tab/>
      </w:r>
      <w:r w:rsidR="00BC6BAA" w:rsidRPr="004658DB">
        <w:t>Skup</w:t>
      </w:r>
      <w:r w:rsidR="00BC6BAA" w:rsidRPr="004658DB">
        <w:rPr>
          <w:vertAlign w:val="superscript"/>
        </w:rPr>
        <w:t xml:space="preserve"> </w:t>
      </w:r>
      <w:r w:rsidR="00BC6BAA" w:rsidRPr="00042C38">
        <w:rPr>
          <w:b w:val="0"/>
          <w:vertAlign w:val="superscript"/>
        </w:rPr>
        <w:t>a</w:t>
      </w:r>
      <w:r w:rsidR="00BC6BAA" w:rsidRPr="004658DB">
        <w:t xml:space="preserve"> </w:t>
      </w:r>
      <w:r w:rsidR="00BC6BAA" w:rsidRPr="00B9477F">
        <w:t>zbóż</w:t>
      </w:r>
      <w:r w:rsidR="00BC6BAA" w:rsidRPr="004658DB">
        <w:t xml:space="preserve"> </w:t>
      </w:r>
    </w:p>
    <w:tbl>
      <w:tblPr>
        <w:tblW w:w="5000" w:type="pct"/>
        <w:jc w:val="center"/>
        <w:tblBorders>
          <w:insideH w:val="single" w:sz="4" w:space="0" w:color="522398"/>
          <w:insideV w:val="single" w:sz="4" w:space="0" w:color="522398"/>
        </w:tblBorders>
        <w:tblCellMar>
          <w:top w:w="28" w:type="dxa"/>
          <w:bottom w:w="28" w:type="dxa"/>
        </w:tblCellMar>
        <w:tblLook w:val="04A0" w:firstRow="1" w:lastRow="0" w:firstColumn="1" w:lastColumn="0" w:noHBand="0" w:noVBand="1"/>
        <w:tblDescription w:val="Tablica przedstawia dane dotyczące skupu zbóż podstawowych w miesiącu badawczym (luty br.) i w okresie od lipca ub. roku do lutego br. oraz dynamikę skupu w relacji do poprzedniego miesiąca i okresów analogicznych poprzedniego roku. Dane do tablicy dostępne w pliku w formacie XLSX                                                                                                                                                                                                                                                                                                                                                                                                                                                                                                                                                                                                                                                                                                                                                                                                                                                                                                                                                                                                                                                                                                                                                                                                                                                                                                                                                                              "/>
      </w:tblPr>
      <w:tblGrid>
        <w:gridCol w:w="2836"/>
        <w:gridCol w:w="1559"/>
        <w:gridCol w:w="1754"/>
        <w:gridCol w:w="1444"/>
        <w:gridCol w:w="1442"/>
        <w:gridCol w:w="1444"/>
      </w:tblGrid>
      <w:tr w:rsidR="00BC6BAA" w:rsidRPr="003457E6" w:rsidTr="00EB0AC6">
        <w:trPr>
          <w:trHeight w:val="57"/>
          <w:jc w:val="center"/>
        </w:trPr>
        <w:tc>
          <w:tcPr>
            <w:tcW w:w="1353" w:type="pct"/>
            <w:vMerge w:val="restart"/>
            <w:tcBorders>
              <w:top w:val="nil"/>
              <w:bottom w:val="single" w:sz="4" w:space="0" w:color="522398"/>
            </w:tcBorders>
            <w:vAlign w:val="center"/>
          </w:tcPr>
          <w:p w:rsidR="00BC6BAA" w:rsidRPr="003457E6" w:rsidRDefault="00BC6BAA" w:rsidP="00EB0AC6">
            <w:pPr>
              <w:spacing w:before="0" w:after="0"/>
              <w:jc w:val="center"/>
              <w:rPr>
                <w:rFonts w:eastAsia="Times New Roman" w:cs="Times New Roman"/>
                <w:sz w:val="16"/>
                <w:szCs w:val="18"/>
                <w:lang w:eastAsia="pl-PL"/>
              </w:rPr>
            </w:pPr>
            <w:r w:rsidRPr="003457E6">
              <w:rPr>
                <w:rFonts w:eastAsia="Times New Roman" w:cs="Times New Roman"/>
                <w:sz w:val="16"/>
                <w:szCs w:val="18"/>
                <w:lang w:eastAsia="pl-PL"/>
              </w:rPr>
              <w:t>Wyszczególnienie</w:t>
            </w:r>
          </w:p>
        </w:tc>
        <w:tc>
          <w:tcPr>
            <w:tcW w:w="1581" w:type="pct"/>
            <w:gridSpan w:val="2"/>
            <w:tcBorders>
              <w:top w:val="nil"/>
              <w:bottom w:val="single" w:sz="4" w:space="0" w:color="522398"/>
            </w:tcBorders>
          </w:tcPr>
          <w:p w:rsidR="00BC6BAA" w:rsidRDefault="00BC6BAA" w:rsidP="00EB0AC6">
            <w:pPr>
              <w:spacing w:before="0" w:after="0"/>
              <w:jc w:val="center"/>
              <w:rPr>
                <w:rFonts w:eastAsia="Times New Roman" w:cs="Times New Roman"/>
                <w:sz w:val="16"/>
                <w:szCs w:val="18"/>
                <w:lang w:eastAsia="pl-PL"/>
              </w:rPr>
            </w:pPr>
            <w:r>
              <w:rPr>
                <w:rFonts w:eastAsia="Times New Roman" w:cs="Times New Roman"/>
                <w:sz w:val="16"/>
                <w:szCs w:val="18"/>
                <w:lang w:eastAsia="pl-PL"/>
              </w:rPr>
              <w:t>07 2024–02 2025</w:t>
            </w:r>
          </w:p>
        </w:tc>
        <w:tc>
          <w:tcPr>
            <w:tcW w:w="2066" w:type="pct"/>
            <w:gridSpan w:val="3"/>
            <w:tcBorders>
              <w:top w:val="nil"/>
              <w:bottom w:val="single" w:sz="4" w:space="0" w:color="522398"/>
            </w:tcBorders>
            <w:vAlign w:val="center"/>
          </w:tcPr>
          <w:p w:rsidR="00BC6BAA" w:rsidRPr="003457E6" w:rsidRDefault="00BC6BAA" w:rsidP="00EB0AC6">
            <w:pPr>
              <w:spacing w:before="0" w:after="0"/>
              <w:jc w:val="center"/>
              <w:rPr>
                <w:rFonts w:eastAsia="Times New Roman" w:cs="Times New Roman"/>
                <w:sz w:val="16"/>
                <w:szCs w:val="18"/>
                <w:lang w:eastAsia="pl-PL"/>
              </w:rPr>
            </w:pPr>
            <w:r>
              <w:rPr>
                <w:rFonts w:eastAsia="Times New Roman" w:cs="Times New Roman"/>
                <w:sz w:val="16"/>
                <w:szCs w:val="18"/>
                <w:lang w:eastAsia="pl-PL"/>
              </w:rPr>
              <w:t>02 2025</w:t>
            </w:r>
          </w:p>
        </w:tc>
      </w:tr>
      <w:tr w:rsidR="00BC6BAA" w:rsidRPr="003457E6" w:rsidTr="00EB0AC6">
        <w:trPr>
          <w:trHeight w:val="57"/>
          <w:jc w:val="center"/>
        </w:trPr>
        <w:tc>
          <w:tcPr>
            <w:tcW w:w="1353" w:type="pct"/>
            <w:vMerge/>
            <w:tcBorders>
              <w:top w:val="single" w:sz="4" w:space="0" w:color="522398"/>
              <w:bottom w:val="single" w:sz="12" w:space="0" w:color="522398"/>
            </w:tcBorders>
            <w:vAlign w:val="center"/>
          </w:tcPr>
          <w:p w:rsidR="00BC6BAA" w:rsidRPr="003457E6" w:rsidRDefault="00BC6BAA" w:rsidP="00EB0AC6">
            <w:pPr>
              <w:spacing w:before="0" w:after="0"/>
              <w:jc w:val="center"/>
              <w:rPr>
                <w:rFonts w:eastAsia="Times New Roman" w:cs="Times New Roman"/>
                <w:sz w:val="16"/>
                <w:szCs w:val="18"/>
                <w:lang w:eastAsia="pl-PL"/>
              </w:rPr>
            </w:pPr>
          </w:p>
        </w:tc>
        <w:tc>
          <w:tcPr>
            <w:tcW w:w="744" w:type="pct"/>
            <w:tcBorders>
              <w:top w:val="single" w:sz="4" w:space="0" w:color="522398"/>
              <w:bottom w:val="single" w:sz="12" w:space="0" w:color="522398"/>
            </w:tcBorders>
          </w:tcPr>
          <w:p w:rsidR="00BC6BAA" w:rsidRPr="003457E6" w:rsidRDefault="00BC6BAA" w:rsidP="00EB0AC6">
            <w:pPr>
              <w:spacing w:before="0" w:after="0"/>
              <w:jc w:val="center"/>
              <w:rPr>
                <w:rFonts w:eastAsia="Times New Roman" w:cs="Times New Roman"/>
                <w:sz w:val="16"/>
                <w:szCs w:val="18"/>
                <w:lang w:eastAsia="pl-PL"/>
              </w:rPr>
            </w:pPr>
            <w:r w:rsidRPr="003457E6">
              <w:rPr>
                <w:rFonts w:eastAsia="Times New Roman" w:cs="Times New Roman"/>
                <w:sz w:val="16"/>
                <w:szCs w:val="18"/>
                <w:lang w:eastAsia="pl-PL"/>
              </w:rPr>
              <w:t>w tys. t</w:t>
            </w:r>
          </w:p>
        </w:tc>
        <w:tc>
          <w:tcPr>
            <w:tcW w:w="837" w:type="pct"/>
            <w:tcBorders>
              <w:top w:val="single" w:sz="4" w:space="0" w:color="522398"/>
              <w:bottom w:val="single" w:sz="12" w:space="0" w:color="522398"/>
            </w:tcBorders>
          </w:tcPr>
          <w:p w:rsidR="00BC6BAA" w:rsidRPr="003457E6" w:rsidRDefault="00BC6BAA" w:rsidP="00EB0AC6">
            <w:pPr>
              <w:spacing w:before="0" w:after="0"/>
              <w:jc w:val="center"/>
              <w:rPr>
                <w:rFonts w:eastAsia="Times New Roman" w:cs="Times New Roman"/>
                <w:sz w:val="16"/>
                <w:szCs w:val="18"/>
                <w:lang w:eastAsia="pl-PL"/>
              </w:rPr>
            </w:pPr>
            <w:r>
              <w:rPr>
                <w:rFonts w:eastAsia="Times New Roman" w:cs="Times New Roman"/>
                <w:sz w:val="16"/>
                <w:szCs w:val="18"/>
                <w:lang w:eastAsia="pl-PL"/>
              </w:rPr>
              <w:t>07 2023–02</w:t>
            </w:r>
            <w:r w:rsidRPr="003457E6">
              <w:rPr>
                <w:rFonts w:eastAsia="Times New Roman" w:cs="Times New Roman"/>
                <w:sz w:val="16"/>
                <w:szCs w:val="18"/>
                <w:lang w:eastAsia="pl-PL"/>
              </w:rPr>
              <w:t xml:space="preserve"> </w:t>
            </w:r>
            <w:r>
              <w:rPr>
                <w:rFonts w:eastAsia="Times New Roman" w:cs="Times New Roman"/>
                <w:sz w:val="16"/>
                <w:szCs w:val="18"/>
                <w:lang w:eastAsia="pl-PL"/>
              </w:rPr>
              <w:t>2024</w:t>
            </w:r>
            <w:r w:rsidRPr="003457E6">
              <w:rPr>
                <w:rFonts w:eastAsia="Times New Roman" w:cs="Times New Roman"/>
                <w:sz w:val="16"/>
                <w:szCs w:val="18"/>
                <w:lang w:eastAsia="pl-PL"/>
              </w:rPr>
              <w:t>=100</w:t>
            </w:r>
          </w:p>
        </w:tc>
        <w:tc>
          <w:tcPr>
            <w:tcW w:w="689" w:type="pct"/>
            <w:tcBorders>
              <w:top w:val="single" w:sz="4" w:space="0" w:color="522398"/>
              <w:bottom w:val="single" w:sz="12" w:space="0" w:color="522398"/>
            </w:tcBorders>
            <w:vAlign w:val="center"/>
          </w:tcPr>
          <w:p w:rsidR="00BC6BAA" w:rsidRPr="003457E6" w:rsidRDefault="00BC6BAA" w:rsidP="00EB0AC6">
            <w:pPr>
              <w:spacing w:before="0" w:after="0"/>
              <w:jc w:val="center"/>
              <w:rPr>
                <w:rFonts w:eastAsia="Times New Roman" w:cs="Times New Roman"/>
                <w:sz w:val="16"/>
                <w:szCs w:val="18"/>
                <w:lang w:eastAsia="pl-PL"/>
              </w:rPr>
            </w:pPr>
            <w:r w:rsidRPr="003457E6">
              <w:rPr>
                <w:rFonts w:eastAsia="Times New Roman" w:cs="Times New Roman"/>
                <w:sz w:val="16"/>
                <w:szCs w:val="18"/>
                <w:lang w:eastAsia="pl-PL"/>
              </w:rPr>
              <w:t>w tys. t</w:t>
            </w:r>
          </w:p>
        </w:tc>
        <w:tc>
          <w:tcPr>
            <w:tcW w:w="688" w:type="pct"/>
            <w:tcBorders>
              <w:top w:val="single" w:sz="4" w:space="0" w:color="522398"/>
              <w:bottom w:val="single" w:sz="12" w:space="0" w:color="522398"/>
            </w:tcBorders>
            <w:vAlign w:val="center"/>
          </w:tcPr>
          <w:p w:rsidR="00BC6BAA" w:rsidRPr="003457E6" w:rsidRDefault="00BC6BAA" w:rsidP="00EB0AC6">
            <w:pPr>
              <w:spacing w:before="0" w:after="0"/>
              <w:jc w:val="center"/>
              <w:rPr>
                <w:rFonts w:eastAsia="Times New Roman" w:cs="Times New Roman"/>
                <w:sz w:val="16"/>
                <w:szCs w:val="18"/>
                <w:lang w:eastAsia="pl-PL"/>
              </w:rPr>
            </w:pPr>
            <w:r>
              <w:rPr>
                <w:rFonts w:eastAsia="Times New Roman" w:cs="Times New Roman"/>
                <w:sz w:val="16"/>
                <w:szCs w:val="18"/>
                <w:lang w:eastAsia="pl-PL"/>
              </w:rPr>
              <w:t>02</w:t>
            </w:r>
            <w:r w:rsidRPr="003457E6">
              <w:rPr>
                <w:rFonts w:eastAsia="Times New Roman" w:cs="Times New Roman"/>
                <w:sz w:val="16"/>
                <w:szCs w:val="18"/>
                <w:lang w:eastAsia="pl-PL"/>
              </w:rPr>
              <w:t xml:space="preserve"> </w:t>
            </w:r>
            <w:r>
              <w:rPr>
                <w:rFonts w:eastAsia="Times New Roman" w:cs="Times New Roman"/>
                <w:sz w:val="16"/>
                <w:szCs w:val="18"/>
                <w:lang w:eastAsia="pl-PL"/>
              </w:rPr>
              <w:t>2024</w:t>
            </w:r>
            <w:r w:rsidRPr="003457E6">
              <w:rPr>
                <w:rFonts w:eastAsia="Times New Roman" w:cs="Times New Roman"/>
                <w:sz w:val="16"/>
                <w:szCs w:val="18"/>
                <w:lang w:eastAsia="pl-PL"/>
              </w:rPr>
              <w:t>=100</w:t>
            </w:r>
          </w:p>
        </w:tc>
        <w:tc>
          <w:tcPr>
            <w:tcW w:w="689" w:type="pct"/>
            <w:tcBorders>
              <w:top w:val="single" w:sz="4" w:space="0" w:color="522398"/>
              <w:bottom w:val="single" w:sz="12" w:space="0" w:color="522398"/>
            </w:tcBorders>
            <w:vAlign w:val="center"/>
          </w:tcPr>
          <w:p w:rsidR="00BC6BAA" w:rsidRPr="003457E6" w:rsidRDefault="00BC6BAA" w:rsidP="00EB0AC6">
            <w:pPr>
              <w:spacing w:before="0" w:after="0"/>
              <w:jc w:val="center"/>
              <w:rPr>
                <w:rFonts w:eastAsia="Times New Roman" w:cs="Times New Roman"/>
                <w:sz w:val="16"/>
                <w:szCs w:val="18"/>
                <w:lang w:eastAsia="pl-PL"/>
              </w:rPr>
            </w:pPr>
            <w:r>
              <w:rPr>
                <w:rFonts w:eastAsia="Times New Roman" w:cs="Times New Roman"/>
                <w:sz w:val="16"/>
                <w:szCs w:val="18"/>
                <w:lang w:eastAsia="pl-PL"/>
              </w:rPr>
              <w:t>01 2025</w:t>
            </w:r>
            <w:r w:rsidRPr="003457E6">
              <w:rPr>
                <w:rFonts w:eastAsia="Times New Roman" w:cs="Times New Roman"/>
                <w:sz w:val="16"/>
                <w:szCs w:val="18"/>
                <w:lang w:eastAsia="pl-PL"/>
              </w:rPr>
              <w:t>=100</w:t>
            </w:r>
          </w:p>
        </w:tc>
      </w:tr>
      <w:tr w:rsidR="00BC6BAA" w:rsidRPr="000979CD" w:rsidTr="00EB0AC6">
        <w:trPr>
          <w:trHeight w:val="57"/>
          <w:jc w:val="center"/>
        </w:trPr>
        <w:tc>
          <w:tcPr>
            <w:tcW w:w="1353" w:type="pct"/>
            <w:tcBorders>
              <w:top w:val="single" w:sz="12" w:space="0" w:color="522398"/>
              <w:bottom w:val="single" w:sz="4" w:space="0" w:color="522398"/>
            </w:tcBorders>
            <w:vAlign w:val="center"/>
          </w:tcPr>
          <w:p w:rsidR="00BC6BAA" w:rsidRPr="003457E6" w:rsidRDefault="00BC6BAA" w:rsidP="00EB0AC6">
            <w:pPr>
              <w:tabs>
                <w:tab w:val="left" w:pos="5103"/>
              </w:tabs>
              <w:spacing w:before="0" w:after="0"/>
              <w:ind w:right="57"/>
              <w:rPr>
                <w:rFonts w:eastAsia="Times New Roman" w:cs="Times New Roman"/>
                <w:sz w:val="16"/>
                <w:szCs w:val="16"/>
                <w:lang w:eastAsia="pl-PL"/>
              </w:rPr>
            </w:pPr>
            <w:r w:rsidRPr="003457E6">
              <w:rPr>
                <w:rFonts w:eastAsia="Times New Roman" w:cs="Times New Roman"/>
                <w:sz w:val="16"/>
                <w:szCs w:val="16"/>
                <w:lang w:eastAsia="pl-PL"/>
              </w:rPr>
              <w:t>Ziarno zbóż podstawowych</w:t>
            </w:r>
            <w:r w:rsidRPr="003457E6">
              <w:rPr>
                <w:rFonts w:eastAsia="Times New Roman" w:cs="Times New Roman"/>
                <w:sz w:val="16"/>
                <w:szCs w:val="16"/>
                <w:vertAlign w:val="superscript"/>
                <w:lang w:eastAsia="pl-PL"/>
              </w:rPr>
              <w:t xml:space="preserve"> b</w:t>
            </w:r>
          </w:p>
        </w:tc>
        <w:tc>
          <w:tcPr>
            <w:tcW w:w="744" w:type="pct"/>
            <w:tcBorders>
              <w:top w:val="single" w:sz="12" w:space="0" w:color="522398"/>
              <w:bottom w:val="single" w:sz="4" w:space="0" w:color="522398"/>
            </w:tcBorders>
            <w:vAlign w:val="center"/>
          </w:tcPr>
          <w:p w:rsidR="00BC6BAA" w:rsidRPr="000979CD" w:rsidRDefault="00BC6BAA" w:rsidP="00EB0AC6">
            <w:pPr>
              <w:pStyle w:val="tableteksttab"/>
              <w:rPr>
                <w:highlight w:val="yellow"/>
              </w:rPr>
            </w:pPr>
            <w:r w:rsidRPr="0016521E">
              <w:t>713,1</w:t>
            </w:r>
          </w:p>
        </w:tc>
        <w:tc>
          <w:tcPr>
            <w:tcW w:w="837" w:type="pct"/>
            <w:tcBorders>
              <w:top w:val="single" w:sz="12" w:space="0" w:color="522398"/>
              <w:bottom w:val="single" w:sz="4" w:space="0" w:color="522398"/>
            </w:tcBorders>
            <w:vAlign w:val="center"/>
          </w:tcPr>
          <w:p w:rsidR="00BC6BAA" w:rsidRPr="000979CD" w:rsidRDefault="00BC6BAA" w:rsidP="00EB0AC6">
            <w:pPr>
              <w:pStyle w:val="tableteksttab"/>
              <w:rPr>
                <w:highlight w:val="yellow"/>
              </w:rPr>
            </w:pPr>
            <w:r w:rsidRPr="0016521E">
              <w:t>76,3</w:t>
            </w:r>
          </w:p>
        </w:tc>
        <w:tc>
          <w:tcPr>
            <w:tcW w:w="689" w:type="pct"/>
            <w:tcBorders>
              <w:top w:val="single" w:sz="12" w:space="0" w:color="522398"/>
              <w:bottom w:val="single" w:sz="4" w:space="0" w:color="522398"/>
            </w:tcBorders>
            <w:vAlign w:val="center"/>
          </w:tcPr>
          <w:p w:rsidR="00BC6BAA" w:rsidRPr="000979CD" w:rsidRDefault="00BC6BAA" w:rsidP="00EB0AC6">
            <w:pPr>
              <w:pStyle w:val="tableteksttab"/>
              <w:rPr>
                <w:highlight w:val="yellow"/>
              </w:rPr>
            </w:pPr>
            <w:r w:rsidRPr="003D443E">
              <w:t>66,2</w:t>
            </w:r>
          </w:p>
        </w:tc>
        <w:tc>
          <w:tcPr>
            <w:tcW w:w="688" w:type="pct"/>
            <w:tcBorders>
              <w:top w:val="single" w:sz="12" w:space="0" w:color="522398"/>
              <w:bottom w:val="single" w:sz="4" w:space="0" w:color="522398"/>
            </w:tcBorders>
            <w:vAlign w:val="center"/>
          </w:tcPr>
          <w:p w:rsidR="00BC6BAA" w:rsidRPr="000979CD" w:rsidRDefault="00BC6BAA" w:rsidP="00EB0AC6">
            <w:pPr>
              <w:pStyle w:val="tableteksttab"/>
              <w:rPr>
                <w:highlight w:val="yellow"/>
              </w:rPr>
            </w:pPr>
            <w:r w:rsidRPr="003D443E">
              <w:t>77,6</w:t>
            </w:r>
          </w:p>
        </w:tc>
        <w:tc>
          <w:tcPr>
            <w:tcW w:w="689" w:type="pct"/>
            <w:tcBorders>
              <w:top w:val="single" w:sz="12" w:space="0" w:color="522398"/>
              <w:bottom w:val="single" w:sz="4" w:space="0" w:color="522398"/>
            </w:tcBorders>
            <w:vAlign w:val="center"/>
          </w:tcPr>
          <w:p w:rsidR="00BC6BAA" w:rsidRPr="000979CD" w:rsidRDefault="00BC6BAA" w:rsidP="00EB0AC6">
            <w:pPr>
              <w:pStyle w:val="tableteksttab"/>
              <w:rPr>
                <w:highlight w:val="yellow"/>
              </w:rPr>
            </w:pPr>
            <w:r w:rsidRPr="003D443E">
              <w:t>111,6</w:t>
            </w:r>
          </w:p>
        </w:tc>
      </w:tr>
      <w:tr w:rsidR="00BC6BAA" w:rsidRPr="000979CD" w:rsidTr="00EB0AC6">
        <w:trPr>
          <w:trHeight w:val="57"/>
          <w:jc w:val="center"/>
        </w:trPr>
        <w:tc>
          <w:tcPr>
            <w:tcW w:w="1353" w:type="pct"/>
            <w:tcBorders>
              <w:top w:val="single" w:sz="4" w:space="0" w:color="522398"/>
            </w:tcBorders>
            <w:vAlign w:val="center"/>
          </w:tcPr>
          <w:p w:rsidR="00BC6BAA" w:rsidRPr="003457E6" w:rsidRDefault="00BC6BAA" w:rsidP="00EB0AC6">
            <w:pPr>
              <w:widowControl w:val="0"/>
              <w:tabs>
                <w:tab w:val="left" w:pos="340"/>
                <w:tab w:val="left" w:pos="567"/>
                <w:tab w:val="left" w:pos="1701"/>
                <w:tab w:val="left" w:pos="3402"/>
                <w:tab w:val="left" w:pos="5103"/>
              </w:tabs>
              <w:autoSpaceDE w:val="0"/>
              <w:autoSpaceDN w:val="0"/>
              <w:adjustRightInd w:val="0"/>
              <w:spacing w:before="0" w:after="0"/>
              <w:ind w:left="176"/>
              <w:rPr>
                <w:rFonts w:eastAsia="Times New Roman" w:cs="Times New Roman"/>
                <w:sz w:val="16"/>
                <w:szCs w:val="16"/>
                <w:lang w:eastAsia="pl-PL"/>
              </w:rPr>
            </w:pPr>
            <w:r w:rsidRPr="003457E6">
              <w:rPr>
                <w:rFonts w:eastAsia="Times New Roman" w:cs="Times New Roman"/>
                <w:sz w:val="16"/>
                <w:szCs w:val="16"/>
                <w:lang w:eastAsia="pl-PL"/>
              </w:rPr>
              <w:tab/>
              <w:t>w tym:</w:t>
            </w:r>
          </w:p>
        </w:tc>
        <w:tc>
          <w:tcPr>
            <w:tcW w:w="744" w:type="pct"/>
            <w:tcBorders>
              <w:top w:val="single" w:sz="4" w:space="0" w:color="522398"/>
            </w:tcBorders>
            <w:vAlign w:val="center"/>
          </w:tcPr>
          <w:p w:rsidR="00BC6BAA" w:rsidRPr="000979CD" w:rsidRDefault="00BC6BAA" w:rsidP="00EB0AC6">
            <w:pPr>
              <w:pStyle w:val="tableteksttab"/>
              <w:rPr>
                <w:highlight w:val="yellow"/>
              </w:rPr>
            </w:pPr>
          </w:p>
        </w:tc>
        <w:tc>
          <w:tcPr>
            <w:tcW w:w="837" w:type="pct"/>
            <w:tcBorders>
              <w:top w:val="single" w:sz="4" w:space="0" w:color="522398"/>
            </w:tcBorders>
            <w:vAlign w:val="center"/>
          </w:tcPr>
          <w:p w:rsidR="00BC6BAA" w:rsidRPr="000979CD" w:rsidRDefault="00BC6BAA" w:rsidP="00EB0AC6">
            <w:pPr>
              <w:pStyle w:val="tableteksttab"/>
              <w:rPr>
                <w:highlight w:val="yellow"/>
              </w:rPr>
            </w:pPr>
          </w:p>
        </w:tc>
        <w:tc>
          <w:tcPr>
            <w:tcW w:w="689" w:type="pct"/>
            <w:tcBorders>
              <w:top w:val="single" w:sz="4" w:space="0" w:color="522398"/>
            </w:tcBorders>
            <w:vAlign w:val="center"/>
          </w:tcPr>
          <w:p w:rsidR="00BC6BAA" w:rsidRPr="000979CD" w:rsidRDefault="00BC6BAA" w:rsidP="00EB0AC6">
            <w:pPr>
              <w:pStyle w:val="tableteksttab"/>
              <w:rPr>
                <w:highlight w:val="yellow"/>
              </w:rPr>
            </w:pPr>
          </w:p>
        </w:tc>
        <w:tc>
          <w:tcPr>
            <w:tcW w:w="688" w:type="pct"/>
            <w:tcBorders>
              <w:top w:val="single" w:sz="4" w:space="0" w:color="522398"/>
            </w:tcBorders>
            <w:vAlign w:val="center"/>
          </w:tcPr>
          <w:p w:rsidR="00BC6BAA" w:rsidRPr="000979CD" w:rsidRDefault="00BC6BAA" w:rsidP="00EB0AC6">
            <w:pPr>
              <w:pStyle w:val="tableteksttab"/>
              <w:rPr>
                <w:highlight w:val="yellow"/>
              </w:rPr>
            </w:pPr>
          </w:p>
        </w:tc>
        <w:tc>
          <w:tcPr>
            <w:tcW w:w="689" w:type="pct"/>
            <w:tcBorders>
              <w:top w:val="single" w:sz="4" w:space="0" w:color="522398"/>
            </w:tcBorders>
            <w:vAlign w:val="center"/>
          </w:tcPr>
          <w:p w:rsidR="00BC6BAA" w:rsidRPr="000979CD" w:rsidRDefault="00BC6BAA" w:rsidP="00EB0AC6">
            <w:pPr>
              <w:pStyle w:val="tableteksttab"/>
              <w:rPr>
                <w:highlight w:val="yellow"/>
              </w:rPr>
            </w:pPr>
          </w:p>
        </w:tc>
      </w:tr>
      <w:tr w:rsidR="00BC6BAA" w:rsidRPr="000979CD" w:rsidTr="00EB0AC6">
        <w:trPr>
          <w:trHeight w:val="57"/>
          <w:jc w:val="center"/>
        </w:trPr>
        <w:tc>
          <w:tcPr>
            <w:tcW w:w="1353" w:type="pct"/>
            <w:tcBorders>
              <w:bottom w:val="single" w:sz="4" w:space="0" w:color="522398"/>
            </w:tcBorders>
            <w:vAlign w:val="center"/>
          </w:tcPr>
          <w:p w:rsidR="00BC6BAA" w:rsidRPr="003457E6" w:rsidRDefault="00BC6BAA" w:rsidP="00EB0AC6">
            <w:pPr>
              <w:spacing w:before="0" w:after="0"/>
              <w:ind w:left="176"/>
              <w:rPr>
                <w:rFonts w:eastAsia="Times New Roman" w:cs="Times New Roman"/>
                <w:sz w:val="16"/>
                <w:szCs w:val="16"/>
                <w:lang w:eastAsia="pl-PL"/>
              </w:rPr>
            </w:pPr>
            <w:r w:rsidRPr="003457E6">
              <w:rPr>
                <w:rFonts w:eastAsia="Times New Roman" w:cs="Times New Roman"/>
                <w:sz w:val="16"/>
                <w:szCs w:val="16"/>
                <w:lang w:eastAsia="pl-PL"/>
              </w:rPr>
              <w:t xml:space="preserve">pszenica </w:t>
            </w:r>
            <w:r w:rsidRPr="003457E6">
              <w:rPr>
                <w:rFonts w:eastAsia="Times New Roman" w:cs="Times New Roman"/>
                <w:sz w:val="16"/>
                <w:szCs w:val="16"/>
                <w:lang w:eastAsia="pl-PL"/>
              </w:rPr>
              <w:tab/>
            </w:r>
          </w:p>
        </w:tc>
        <w:tc>
          <w:tcPr>
            <w:tcW w:w="744" w:type="pct"/>
            <w:tcBorders>
              <w:bottom w:val="single" w:sz="4" w:space="0" w:color="522398"/>
            </w:tcBorders>
            <w:vAlign w:val="center"/>
          </w:tcPr>
          <w:p w:rsidR="00BC6BAA" w:rsidRPr="000979CD" w:rsidRDefault="00BC6BAA" w:rsidP="00EB0AC6">
            <w:pPr>
              <w:pStyle w:val="tableteksttab"/>
              <w:rPr>
                <w:highlight w:val="yellow"/>
              </w:rPr>
            </w:pPr>
            <w:r w:rsidRPr="0016521E">
              <w:t>406,2</w:t>
            </w:r>
          </w:p>
        </w:tc>
        <w:tc>
          <w:tcPr>
            <w:tcW w:w="837" w:type="pct"/>
            <w:tcBorders>
              <w:bottom w:val="single" w:sz="4" w:space="0" w:color="522398"/>
            </w:tcBorders>
            <w:vAlign w:val="center"/>
          </w:tcPr>
          <w:p w:rsidR="00BC6BAA" w:rsidRPr="000979CD" w:rsidRDefault="00BC6BAA" w:rsidP="00EB0AC6">
            <w:pPr>
              <w:pStyle w:val="tableteksttab"/>
              <w:rPr>
                <w:highlight w:val="yellow"/>
              </w:rPr>
            </w:pPr>
            <w:r w:rsidRPr="0016521E">
              <w:t>76,4</w:t>
            </w:r>
          </w:p>
        </w:tc>
        <w:tc>
          <w:tcPr>
            <w:tcW w:w="689" w:type="pct"/>
            <w:tcBorders>
              <w:bottom w:val="single" w:sz="4" w:space="0" w:color="522398"/>
            </w:tcBorders>
            <w:vAlign w:val="center"/>
          </w:tcPr>
          <w:p w:rsidR="00BC6BAA" w:rsidRPr="000979CD" w:rsidRDefault="00BC6BAA" w:rsidP="00EB0AC6">
            <w:pPr>
              <w:pStyle w:val="tableteksttab"/>
              <w:rPr>
                <w:highlight w:val="yellow"/>
              </w:rPr>
            </w:pPr>
            <w:r w:rsidRPr="003D443E">
              <w:t>42,7</w:t>
            </w:r>
          </w:p>
        </w:tc>
        <w:tc>
          <w:tcPr>
            <w:tcW w:w="688" w:type="pct"/>
            <w:tcBorders>
              <w:bottom w:val="single" w:sz="4" w:space="0" w:color="522398"/>
            </w:tcBorders>
            <w:vAlign w:val="center"/>
          </w:tcPr>
          <w:p w:rsidR="00BC6BAA" w:rsidRPr="000979CD" w:rsidRDefault="00BC6BAA" w:rsidP="00EB0AC6">
            <w:pPr>
              <w:pStyle w:val="tableteksttab"/>
              <w:rPr>
                <w:highlight w:val="yellow"/>
              </w:rPr>
            </w:pPr>
            <w:r w:rsidRPr="003D443E">
              <w:t>70,9</w:t>
            </w:r>
          </w:p>
        </w:tc>
        <w:tc>
          <w:tcPr>
            <w:tcW w:w="689" w:type="pct"/>
            <w:tcBorders>
              <w:bottom w:val="single" w:sz="4" w:space="0" w:color="522398"/>
            </w:tcBorders>
            <w:vAlign w:val="center"/>
          </w:tcPr>
          <w:p w:rsidR="00BC6BAA" w:rsidRPr="000979CD" w:rsidRDefault="00BC6BAA" w:rsidP="00EB0AC6">
            <w:pPr>
              <w:pStyle w:val="tableteksttab"/>
              <w:rPr>
                <w:highlight w:val="yellow"/>
              </w:rPr>
            </w:pPr>
            <w:r w:rsidRPr="003D443E">
              <w:t>115,8</w:t>
            </w:r>
          </w:p>
        </w:tc>
      </w:tr>
      <w:tr w:rsidR="00BC6BAA" w:rsidRPr="000979CD" w:rsidTr="00EB0AC6">
        <w:trPr>
          <w:trHeight w:val="19"/>
          <w:jc w:val="center"/>
        </w:trPr>
        <w:tc>
          <w:tcPr>
            <w:tcW w:w="1353" w:type="pct"/>
            <w:tcBorders>
              <w:top w:val="single" w:sz="4" w:space="0" w:color="522398"/>
              <w:bottom w:val="nil"/>
            </w:tcBorders>
            <w:vAlign w:val="center"/>
          </w:tcPr>
          <w:p w:rsidR="00BC6BAA" w:rsidRPr="003457E6" w:rsidRDefault="00BC6BAA" w:rsidP="00EB0AC6">
            <w:pPr>
              <w:spacing w:before="0" w:after="0"/>
              <w:ind w:left="176"/>
              <w:rPr>
                <w:rFonts w:eastAsia="Times New Roman" w:cs="Times New Roman"/>
                <w:sz w:val="16"/>
                <w:szCs w:val="16"/>
                <w:lang w:eastAsia="pl-PL"/>
              </w:rPr>
            </w:pPr>
            <w:r w:rsidRPr="003457E6">
              <w:rPr>
                <w:rFonts w:eastAsia="Times New Roman" w:cs="Times New Roman"/>
                <w:sz w:val="16"/>
                <w:szCs w:val="16"/>
                <w:lang w:eastAsia="pl-PL"/>
              </w:rPr>
              <w:t>żyto</w:t>
            </w:r>
            <w:r w:rsidRPr="003457E6">
              <w:rPr>
                <w:rFonts w:eastAsia="Times New Roman" w:cs="Times New Roman"/>
                <w:sz w:val="16"/>
                <w:szCs w:val="16"/>
                <w:lang w:eastAsia="pl-PL"/>
              </w:rPr>
              <w:tab/>
            </w:r>
          </w:p>
        </w:tc>
        <w:tc>
          <w:tcPr>
            <w:tcW w:w="744" w:type="pct"/>
            <w:tcBorders>
              <w:top w:val="single" w:sz="4" w:space="0" w:color="522398"/>
              <w:bottom w:val="nil"/>
            </w:tcBorders>
            <w:vAlign w:val="center"/>
          </w:tcPr>
          <w:p w:rsidR="00BC6BAA" w:rsidRPr="000979CD" w:rsidRDefault="00BC6BAA" w:rsidP="00EB0AC6">
            <w:pPr>
              <w:pStyle w:val="tableteksttab"/>
              <w:rPr>
                <w:highlight w:val="yellow"/>
              </w:rPr>
            </w:pPr>
            <w:r w:rsidRPr="0016521E">
              <w:t>82,3</w:t>
            </w:r>
          </w:p>
        </w:tc>
        <w:tc>
          <w:tcPr>
            <w:tcW w:w="837" w:type="pct"/>
            <w:tcBorders>
              <w:top w:val="single" w:sz="4" w:space="0" w:color="522398"/>
              <w:bottom w:val="nil"/>
            </w:tcBorders>
            <w:vAlign w:val="center"/>
          </w:tcPr>
          <w:p w:rsidR="00BC6BAA" w:rsidRPr="000979CD" w:rsidRDefault="00BC6BAA" w:rsidP="00EB0AC6">
            <w:pPr>
              <w:pStyle w:val="tableteksttab"/>
              <w:rPr>
                <w:highlight w:val="yellow"/>
              </w:rPr>
            </w:pPr>
            <w:r w:rsidRPr="0016521E">
              <w:t>83,0</w:t>
            </w:r>
          </w:p>
        </w:tc>
        <w:tc>
          <w:tcPr>
            <w:tcW w:w="689" w:type="pct"/>
            <w:tcBorders>
              <w:top w:val="single" w:sz="4" w:space="0" w:color="522398"/>
              <w:bottom w:val="nil"/>
            </w:tcBorders>
            <w:vAlign w:val="center"/>
          </w:tcPr>
          <w:p w:rsidR="00BC6BAA" w:rsidRPr="000979CD" w:rsidRDefault="00BC6BAA" w:rsidP="00EB0AC6">
            <w:pPr>
              <w:pStyle w:val="tableteksttab"/>
              <w:rPr>
                <w:highlight w:val="yellow"/>
              </w:rPr>
            </w:pPr>
            <w:r w:rsidRPr="003D443E">
              <w:t>6,1</w:t>
            </w:r>
          </w:p>
        </w:tc>
        <w:tc>
          <w:tcPr>
            <w:tcW w:w="688" w:type="pct"/>
            <w:tcBorders>
              <w:top w:val="single" w:sz="4" w:space="0" w:color="522398"/>
              <w:bottom w:val="nil"/>
            </w:tcBorders>
            <w:vAlign w:val="center"/>
          </w:tcPr>
          <w:p w:rsidR="00BC6BAA" w:rsidRPr="000979CD" w:rsidRDefault="00BC6BAA" w:rsidP="00EB0AC6">
            <w:pPr>
              <w:pStyle w:val="tableteksttab"/>
              <w:rPr>
                <w:highlight w:val="yellow"/>
              </w:rPr>
            </w:pPr>
            <w:r w:rsidRPr="003D443E">
              <w:t>83,9</w:t>
            </w:r>
          </w:p>
        </w:tc>
        <w:tc>
          <w:tcPr>
            <w:tcW w:w="689" w:type="pct"/>
            <w:tcBorders>
              <w:top w:val="single" w:sz="4" w:space="0" w:color="522398"/>
              <w:bottom w:val="nil"/>
            </w:tcBorders>
            <w:vAlign w:val="center"/>
          </w:tcPr>
          <w:p w:rsidR="00BC6BAA" w:rsidRPr="000979CD" w:rsidRDefault="00BC6BAA" w:rsidP="00EB0AC6">
            <w:pPr>
              <w:pStyle w:val="tableteksttab"/>
              <w:rPr>
                <w:highlight w:val="yellow"/>
              </w:rPr>
            </w:pPr>
            <w:r w:rsidRPr="003D443E">
              <w:t>120,8</w:t>
            </w:r>
          </w:p>
        </w:tc>
      </w:tr>
    </w:tbl>
    <w:p w:rsidR="00BC6BAA" w:rsidRDefault="00BC6BAA" w:rsidP="00BC6BAA">
      <w:pPr>
        <w:pStyle w:val="notka"/>
      </w:pPr>
      <w:r w:rsidRPr="00E46186">
        <w:t xml:space="preserve">a </w:t>
      </w:r>
      <w:r>
        <w:t>W okresie 01–02 2025</w:t>
      </w:r>
      <w:r w:rsidRPr="00441CE0">
        <w:t xml:space="preserve"> r. bez skupu</w:t>
      </w:r>
      <w:r w:rsidRPr="0028591D">
        <w:t xml:space="preserve"> realizowanego przez osoby fizyczne. b Obejmuje: pszenicę, żyto, jęczmień, owies, pszenżyto; łącznie z mieszankami zbożowymi; bez ziarna siewnego.</w:t>
      </w:r>
    </w:p>
    <w:p w:rsidR="00BC6BAA" w:rsidRDefault="00BC6BAA" w:rsidP="00BC6BAA">
      <w:pPr>
        <w:pStyle w:val="tekst"/>
        <w:spacing w:before="360"/>
        <w:rPr>
          <w:spacing w:val="-4"/>
        </w:rPr>
      </w:pPr>
      <w:r w:rsidRPr="002642B8">
        <w:rPr>
          <w:spacing w:val="-4"/>
        </w:rPr>
        <w:t>W lutym br. skup zbóż podstawowych (z mieszankami zbożowymi bez ziarna siewnego) od producentów z terenu województwa wielkopolskiego wyniósł łącznie 66,2 tys. ton i zwiększył się o 11,6% w stosunku do poprzedniego miesiąca, ale jednocześnie w relacji do lutego ub. roku zmniejszył się o 22,4%. Podaż pszenicy w ciągu miesiąca wzrosła o 15,8%, natomiast w skali roku spadła o 29,1%. W przypadku żyta dostawy w porównaniu ze styczniem br. zwiększyły się o 20,8%, jednak w odniesieniu do lutego ub. roku zmniejszyły się o 16,1</w:t>
      </w:r>
      <w:r>
        <w:rPr>
          <w:spacing w:val="-4"/>
        </w:rPr>
        <w:t>%</w:t>
      </w:r>
      <w:r w:rsidRPr="002642B8">
        <w:rPr>
          <w:spacing w:val="-4"/>
        </w:rPr>
        <w:t>.</w:t>
      </w:r>
    </w:p>
    <w:p w:rsidR="00BC6BAA" w:rsidRDefault="00BC6BAA" w:rsidP="00BC6BAA">
      <w:pPr>
        <w:pStyle w:val="Tytultabeli"/>
        <w:spacing w:before="240"/>
      </w:pPr>
      <w:r>
        <w:t xml:space="preserve">Tablica </w:t>
      </w:r>
      <w:r w:rsidR="0042281A">
        <w:t>6</w:t>
      </w:r>
      <w:r>
        <w:t>.</w:t>
      </w:r>
      <w:r>
        <w:tab/>
      </w:r>
      <w:r w:rsidRPr="00840093">
        <w:t>Skup</w:t>
      </w:r>
      <w:r w:rsidRPr="006B6C2D">
        <w:rPr>
          <w:vertAlign w:val="superscript"/>
        </w:rPr>
        <w:t xml:space="preserve"> </w:t>
      </w:r>
      <w:r w:rsidRPr="00042C38">
        <w:rPr>
          <w:b w:val="0"/>
          <w:vertAlign w:val="superscript"/>
        </w:rPr>
        <w:t>a</w:t>
      </w:r>
      <w:r w:rsidRPr="00840093">
        <w:t xml:space="preserve"> podstawowych produktów zwierzęcych </w:t>
      </w:r>
    </w:p>
    <w:tbl>
      <w:tblPr>
        <w:tblW w:w="0" w:type="auto"/>
        <w:tblBorders>
          <w:insideH w:val="single" w:sz="4" w:space="0" w:color="522398"/>
          <w:insideV w:val="single" w:sz="4" w:space="0" w:color="522398"/>
        </w:tblBorders>
        <w:tblLayout w:type="fixed"/>
        <w:tblCellMar>
          <w:top w:w="17" w:type="dxa"/>
          <w:bottom w:w="28" w:type="dxa"/>
        </w:tblCellMar>
        <w:tblLook w:val="04A0" w:firstRow="1" w:lastRow="0" w:firstColumn="1" w:lastColumn="0" w:noHBand="0" w:noVBand="1"/>
        <w:tblCaption w:val=" "/>
        <w:tblDescription w:val="Tablica prezentuje dane dotyczące skupu podstawowych produktów zwierzęcych, tj. żywca rzeźnego oraz mleka, w miesiącu badawczym (luty br.) i w okresie narastającym (styczeń-luty br.), a także dynamikę skupu w stosunku do poprzedniego miesiąca i analogicznych okresów ub. roku. Dane do tablicy dostępne w pliku w formacie XLSX"/>
      </w:tblPr>
      <w:tblGrid>
        <w:gridCol w:w="2749"/>
        <w:gridCol w:w="1546"/>
        <w:gridCol w:w="1546"/>
        <w:gridCol w:w="1546"/>
        <w:gridCol w:w="1546"/>
        <w:gridCol w:w="1546"/>
      </w:tblGrid>
      <w:tr w:rsidR="00BC6BAA" w:rsidRPr="00327440" w:rsidTr="00EB0AC6">
        <w:trPr>
          <w:trHeight w:val="57"/>
          <w:tblHeader/>
        </w:trPr>
        <w:tc>
          <w:tcPr>
            <w:tcW w:w="2749" w:type="dxa"/>
            <w:vMerge w:val="restart"/>
            <w:tcBorders>
              <w:top w:val="nil"/>
              <w:bottom w:val="single" w:sz="4" w:space="0" w:color="522398"/>
            </w:tcBorders>
            <w:shd w:val="clear" w:color="auto" w:fill="auto"/>
            <w:vAlign w:val="center"/>
          </w:tcPr>
          <w:p w:rsidR="00BC6BAA" w:rsidRPr="00327440" w:rsidRDefault="00BC6BAA" w:rsidP="00EB0AC6">
            <w:pPr>
              <w:spacing w:before="0" w:after="0" w:line="220" w:lineRule="exact"/>
              <w:jc w:val="center"/>
              <w:rPr>
                <w:rFonts w:eastAsia="Times New Roman" w:cs="Times New Roman"/>
                <w:spacing w:val="-2"/>
                <w:sz w:val="16"/>
                <w:szCs w:val="18"/>
                <w:lang w:eastAsia="pl-PL"/>
              </w:rPr>
            </w:pPr>
            <w:r w:rsidRPr="00327440">
              <w:rPr>
                <w:rFonts w:eastAsia="Times New Roman" w:cs="Times New Roman"/>
                <w:sz w:val="16"/>
                <w:szCs w:val="18"/>
                <w:lang w:eastAsia="pl-PL"/>
              </w:rPr>
              <w:t>Wyszczególnienie</w:t>
            </w:r>
          </w:p>
        </w:tc>
        <w:tc>
          <w:tcPr>
            <w:tcW w:w="3092" w:type="dxa"/>
            <w:gridSpan w:val="2"/>
            <w:tcBorders>
              <w:top w:val="nil"/>
              <w:bottom w:val="single" w:sz="4" w:space="0" w:color="522398"/>
            </w:tcBorders>
          </w:tcPr>
          <w:p w:rsidR="00BC6BAA" w:rsidRPr="00327440" w:rsidRDefault="00BC6BAA" w:rsidP="00EB0AC6">
            <w:pPr>
              <w:spacing w:before="0" w:after="0" w:line="220" w:lineRule="exact"/>
              <w:jc w:val="center"/>
              <w:rPr>
                <w:rFonts w:eastAsia="Times New Roman" w:cs="Times New Roman"/>
                <w:sz w:val="16"/>
                <w:szCs w:val="18"/>
                <w:lang w:eastAsia="pl-PL"/>
              </w:rPr>
            </w:pPr>
            <w:r w:rsidRPr="00327440">
              <w:rPr>
                <w:rFonts w:eastAsia="Times New Roman" w:cs="Times New Roman"/>
                <w:sz w:val="16"/>
                <w:szCs w:val="18"/>
                <w:lang w:eastAsia="pl-PL"/>
              </w:rPr>
              <w:t>01–02 20</w:t>
            </w:r>
            <w:r>
              <w:rPr>
                <w:rFonts w:eastAsia="Times New Roman" w:cs="Times New Roman"/>
                <w:sz w:val="16"/>
                <w:szCs w:val="18"/>
                <w:lang w:eastAsia="pl-PL"/>
              </w:rPr>
              <w:t>25</w:t>
            </w:r>
          </w:p>
        </w:tc>
        <w:tc>
          <w:tcPr>
            <w:tcW w:w="4638" w:type="dxa"/>
            <w:gridSpan w:val="3"/>
            <w:tcBorders>
              <w:top w:val="nil"/>
              <w:bottom w:val="single" w:sz="4" w:space="0" w:color="522398"/>
            </w:tcBorders>
            <w:shd w:val="clear" w:color="auto" w:fill="auto"/>
            <w:vAlign w:val="center"/>
          </w:tcPr>
          <w:p w:rsidR="00BC6BAA" w:rsidRPr="00327440" w:rsidRDefault="00BC6BAA" w:rsidP="00EB0AC6">
            <w:pPr>
              <w:spacing w:before="0" w:after="0" w:line="220" w:lineRule="exact"/>
              <w:jc w:val="center"/>
              <w:rPr>
                <w:rFonts w:eastAsia="Times New Roman" w:cs="Times New Roman"/>
                <w:spacing w:val="-2"/>
                <w:sz w:val="16"/>
                <w:szCs w:val="18"/>
                <w:lang w:eastAsia="pl-PL"/>
              </w:rPr>
            </w:pPr>
            <w:r w:rsidRPr="00327440">
              <w:rPr>
                <w:rFonts w:eastAsia="Times New Roman" w:cs="Times New Roman"/>
                <w:sz w:val="16"/>
                <w:szCs w:val="18"/>
                <w:lang w:eastAsia="pl-PL"/>
              </w:rPr>
              <w:t>02 20</w:t>
            </w:r>
            <w:r>
              <w:rPr>
                <w:rFonts w:eastAsia="Times New Roman" w:cs="Times New Roman"/>
                <w:sz w:val="16"/>
                <w:szCs w:val="18"/>
                <w:lang w:eastAsia="pl-PL"/>
              </w:rPr>
              <w:t>25</w:t>
            </w:r>
          </w:p>
        </w:tc>
      </w:tr>
      <w:tr w:rsidR="00BC6BAA" w:rsidRPr="00327440" w:rsidTr="00EB0AC6">
        <w:trPr>
          <w:trHeight w:val="57"/>
          <w:tblHeader/>
        </w:trPr>
        <w:tc>
          <w:tcPr>
            <w:tcW w:w="2749" w:type="dxa"/>
            <w:vMerge/>
            <w:tcBorders>
              <w:top w:val="single" w:sz="4" w:space="0" w:color="522398"/>
              <w:bottom w:val="single" w:sz="12" w:space="0" w:color="522398"/>
            </w:tcBorders>
            <w:shd w:val="clear" w:color="auto" w:fill="auto"/>
          </w:tcPr>
          <w:p w:rsidR="00BC6BAA" w:rsidRPr="00327440" w:rsidRDefault="00BC6BAA" w:rsidP="00EB0AC6">
            <w:pPr>
              <w:spacing w:before="0" w:after="0" w:line="220" w:lineRule="exact"/>
              <w:jc w:val="center"/>
              <w:rPr>
                <w:rFonts w:eastAsia="Times New Roman" w:cs="Times New Roman"/>
                <w:sz w:val="16"/>
                <w:szCs w:val="18"/>
                <w:lang w:eastAsia="pl-PL"/>
              </w:rPr>
            </w:pPr>
          </w:p>
        </w:tc>
        <w:tc>
          <w:tcPr>
            <w:tcW w:w="1546" w:type="dxa"/>
            <w:tcBorders>
              <w:top w:val="single" w:sz="4" w:space="0" w:color="522398"/>
              <w:bottom w:val="single" w:sz="12" w:space="0" w:color="522398"/>
            </w:tcBorders>
          </w:tcPr>
          <w:p w:rsidR="00BC6BAA" w:rsidRPr="00327440" w:rsidRDefault="00BC6BAA" w:rsidP="00EB0AC6">
            <w:pPr>
              <w:spacing w:before="0" w:after="0" w:line="220" w:lineRule="exact"/>
              <w:jc w:val="center"/>
              <w:rPr>
                <w:rFonts w:eastAsia="Times New Roman" w:cs="Times New Roman"/>
                <w:sz w:val="16"/>
                <w:szCs w:val="18"/>
                <w:lang w:eastAsia="pl-PL"/>
              </w:rPr>
            </w:pPr>
            <w:r w:rsidRPr="00327440">
              <w:rPr>
                <w:rFonts w:eastAsia="Times New Roman" w:cs="Times New Roman"/>
                <w:sz w:val="16"/>
                <w:szCs w:val="18"/>
                <w:lang w:eastAsia="pl-PL"/>
              </w:rPr>
              <w:t>w tys. t</w:t>
            </w:r>
          </w:p>
        </w:tc>
        <w:tc>
          <w:tcPr>
            <w:tcW w:w="1546" w:type="dxa"/>
            <w:tcBorders>
              <w:top w:val="single" w:sz="4" w:space="0" w:color="522398"/>
              <w:bottom w:val="single" w:sz="12" w:space="0" w:color="522398"/>
            </w:tcBorders>
          </w:tcPr>
          <w:p w:rsidR="00BC6BAA" w:rsidRPr="00327440" w:rsidRDefault="00BC6BAA" w:rsidP="00EB0AC6">
            <w:pPr>
              <w:spacing w:before="0" w:after="0" w:line="220" w:lineRule="exact"/>
              <w:jc w:val="center"/>
              <w:rPr>
                <w:rFonts w:eastAsia="Times New Roman" w:cs="Times New Roman"/>
                <w:sz w:val="16"/>
                <w:szCs w:val="18"/>
                <w:lang w:eastAsia="pl-PL"/>
              </w:rPr>
            </w:pPr>
            <w:r w:rsidRPr="00327440">
              <w:rPr>
                <w:rFonts w:eastAsia="Times New Roman" w:cs="Times New Roman"/>
                <w:sz w:val="16"/>
                <w:szCs w:val="18"/>
                <w:lang w:eastAsia="pl-PL"/>
              </w:rPr>
              <w:t>01–02 20</w:t>
            </w:r>
            <w:r>
              <w:rPr>
                <w:rFonts w:eastAsia="Times New Roman" w:cs="Times New Roman"/>
                <w:sz w:val="16"/>
                <w:szCs w:val="18"/>
                <w:lang w:eastAsia="pl-PL"/>
              </w:rPr>
              <w:t>24</w:t>
            </w:r>
            <w:r w:rsidRPr="00327440">
              <w:rPr>
                <w:rFonts w:eastAsia="Times New Roman" w:cs="Times New Roman"/>
                <w:sz w:val="16"/>
                <w:szCs w:val="18"/>
                <w:lang w:eastAsia="pl-PL"/>
              </w:rPr>
              <w:t>=100</w:t>
            </w:r>
          </w:p>
        </w:tc>
        <w:tc>
          <w:tcPr>
            <w:tcW w:w="1546" w:type="dxa"/>
            <w:tcBorders>
              <w:top w:val="single" w:sz="4" w:space="0" w:color="522398"/>
              <w:bottom w:val="single" w:sz="12" w:space="0" w:color="522398"/>
            </w:tcBorders>
            <w:shd w:val="clear" w:color="auto" w:fill="auto"/>
            <w:vAlign w:val="center"/>
          </w:tcPr>
          <w:p w:rsidR="00BC6BAA" w:rsidRPr="00327440" w:rsidRDefault="00BC6BAA" w:rsidP="00EB0AC6">
            <w:pPr>
              <w:spacing w:before="0" w:after="0" w:line="220" w:lineRule="exact"/>
              <w:jc w:val="center"/>
              <w:rPr>
                <w:rFonts w:eastAsia="Times New Roman" w:cs="Times New Roman"/>
                <w:spacing w:val="-2"/>
                <w:sz w:val="16"/>
                <w:szCs w:val="18"/>
                <w:lang w:eastAsia="pl-PL"/>
              </w:rPr>
            </w:pPr>
            <w:r w:rsidRPr="00327440">
              <w:rPr>
                <w:rFonts w:eastAsia="Times New Roman" w:cs="Times New Roman"/>
                <w:sz w:val="16"/>
                <w:szCs w:val="18"/>
                <w:lang w:eastAsia="pl-PL"/>
              </w:rPr>
              <w:t>w tys. t</w:t>
            </w:r>
          </w:p>
        </w:tc>
        <w:tc>
          <w:tcPr>
            <w:tcW w:w="1546" w:type="dxa"/>
            <w:tcBorders>
              <w:top w:val="single" w:sz="4" w:space="0" w:color="522398"/>
              <w:bottom w:val="single" w:sz="12" w:space="0" w:color="522398"/>
            </w:tcBorders>
          </w:tcPr>
          <w:p w:rsidR="00BC6BAA" w:rsidRPr="00327440" w:rsidRDefault="00BC6BAA" w:rsidP="00EB0AC6">
            <w:pPr>
              <w:spacing w:before="0" w:after="0" w:line="220" w:lineRule="exact"/>
              <w:jc w:val="center"/>
              <w:rPr>
                <w:rFonts w:eastAsia="Times New Roman" w:cs="Times New Roman"/>
                <w:sz w:val="16"/>
                <w:szCs w:val="18"/>
                <w:lang w:eastAsia="pl-PL"/>
              </w:rPr>
            </w:pPr>
            <w:r w:rsidRPr="00327440">
              <w:rPr>
                <w:rFonts w:eastAsia="Times New Roman" w:cs="Times New Roman"/>
                <w:sz w:val="16"/>
                <w:szCs w:val="18"/>
                <w:lang w:eastAsia="pl-PL"/>
              </w:rPr>
              <w:t>02 202</w:t>
            </w:r>
            <w:r>
              <w:rPr>
                <w:rFonts w:eastAsia="Times New Roman" w:cs="Times New Roman"/>
                <w:sz w:val="16"/>
                <w:szCs w:val="18"/>
                <w:lang w:eastAsia="pl-PL"/>
              </w:rPr>
              <w:t>4</w:t>
            </w:r>
            <w:r w:rsidRPr="00327440">
              <w:rPr>
                <w:rFonts w:eastAsia="Times New Roman" w:cs="Times New Roman"/>
                <w:sz w:val="16"/>
                <w:szCs w:val="18"/>
                <w:lang w:eastAsia="pl-PL"/>
              </w:rPr>
              <w:t>=100</w:t>
            </w:r>
          </w:p>
        </w:tc>
        <w:tc>
          <w:tcPr>
            <w:tcW w:w="1546" w:type="dxa"/>
            <w:tcBorders>
              <w:top w:val="single" w:sz="4" w:space="0" w:color="522398"/>
              <w:bottom w:val="single" w:sz="12" w:space="0" w:color="522398"/>
            </w:tcBorders>
          </w:tcPr>
          <w:p w:rsidR="00BC6BAA" w:rsidRPr="00327440" w:rsidRDefault="00BC6BAA" w:rsidP="00EB0AC6">
            <w:pPr>
              <w:spacing w:before="0" w:after="0" w:line="220" w:lineRule="exact"/>
              <w:jc w:val="center"/>
              <w:rPr>
                <w:rFonts w:eastAsia="Times New Roman" w:cs="Times New Roman"/>
                <w:sz w:val="16"/>
                <w:szCs w:val="18"/>
                <w:lang w:eastAsia="pl-PL"/>
              </w:rPr>
            </w:pPr>
            <w:r w:rsidRPr="00327440">
              <w:rPr>
                <w:rFonts w:eastAsia="Times New Roman" w:cs="Times New Roman"/>
                <w:sz w:val="16"/>
                <w:szCs w:val="18"/>
                <w:lang w:eastAsia="pl-PL"/>
              </w:rPr>
              <w:t>01 20</w:t>
            </w:r>
            <w:r>
              <w:rPr>
                <w:rFonts w:eastAsia="Times New Roman" w:cs="Times New Roman"/>
                <w:sz w:val="16"/>
                <w:szCs w:val="18"/>
                <w:lang w:eastAsia="pl-PL"/>
              </w:rPr>
              <w:t>25</w:t>
            </w:r>
            <w:r w:rsidRPr="00327440">
              <w:rPr>
                <w:rFonts w:eastAsia="Times New Roman" w:cs="Times New Roman"/>
                <w:sz w:val="16"/>
                <w:szCs w:val="18"/>
                <w:lang w:eastAsia="pl-PL"/>
              </w:rPr>
              <w:t>=100</w:t>
            </w:r>
          </w:p>
        </w:tc>
      </w:tr>
      <w:tr w:rsidR="00BC6BAA" w:rsidRPr="00327440" w:rsidTr="00EB0AC6">
        <w:trPr>
          <w:trHeight w:val="57"/>
          <w:tblHeader/>
        </w:trPr>
        <w:tc>
          <w:tcPr>
            <w:tcW w:w="2749" w:type="dxa"/>
            <w:tcBorders>
              <w:top w:val="single" w:sz="12" w:space="0" w:color="522398"/>
            </w:tcBorders>
            <w:shd w:val="clear" w:color="auto" w:fill="auto"/>
            <w:vAlign w:val="center"/>
          </w:tcPr>
          <w:p w:rsidR="00BC6BAA" w:rsidRPr="00327440" w:rsidRDefault="00BC6BAA" w:rsidP="00EB0AC6">
            <w:pPr>
              <w:tabs>
                <w:tab w:val="left" w:pos="5103"/>
              </w:tabs>
              <w:spacing w:before="0" w:after="0"/>
              <w:rPr>
                <w:rFonts w:eastAsia="Times New Roman" w:cs="Times New Roman"/>
                <w:spacing w:val="-4"/>
                <w:sz w:val="16"/>
                <w:szCs w:val="16"/>
                <w:lang w:eastAsia="pl-PL"/>
              </w:rPr>
            </w:pPr>
            <w:r w:rsidRPr="00327440">
              <w:rPr>
                <w:rFonts w:eastAsia="Times New Roman" w:cs="Times New Roman"/>
                <w:spacing w:val="-4"/>
                <w:sz w:val="16"/>
                <w:szCs w:val="16"/>
                <w:lang w:eastAsia="pl-PL"/>
              </w:rPr>
              <w:t>Żywiec rzeźny</w:t>
            </w:r>
            <w:r w:rsidRPr="00327440">
              <w:rPr>
                <w:rFonts w:eastAsia="Times New Roman" w:cs="Times New Roman"/>
                <w:spacing w:val="-4"/>
                <w:sz w:val="16"/>
                <w:szCs w:val="16"/>
                <w:vertAlign w:val="superscript"/>
                <w:lang w:eastAsia="pl-PL"/>
              </w:rPr>
              <w:t xml:space="preserve"> b</w:t>
            </w:r>
          </w:p>
        </w:tc>
        <w:tc>
          <w:tcPr>
            <w:tcW w:w="1546" w:type="dxa"/>
            <w:tcBorders>
              <w:top w:val="single" w:sz="12" w:space="0" w:color="522398"/>
            </w:tcBorders>
            <w:vAlign w:val="center"/>
          </w:tcPr>
          <w:p w:rsidR="00BC6BAA" w:rsidRPr="00327440"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2B77DB">
              <w:rPr>
                <w:rFonts w:eastAsia="Arial Unicode MS" w:cs="Calibri"/>
                <w:bCs/>
                <w:iCs/>
                <w:color w:val="000000"/>
                <w:sz w:val="16"/>
                <w:lang w:eastAsia="pl-PL"/>
              </w:rPr>
              <w:t>127,7</w:t>
            </w:r>
          </w:p>
        </w:tc>
        <w:tc>
          <w:tcPr>
            <w:tcW w:w="1546" w:type="dxa"/>
            <w:tcBorders>
              <w:top w:val="single" w:sz="12" w:space="0" w:color="522398"/>
            </w:tcBorders>
            <w:vAlign w:val="center"/>
          </w:tcPr>
          <w:p w:rsidR="00BC6BAA" w:rsidRPr="00327440"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2B77DB">
              <w:rPr>
                <w:rFonts w:eastAsia="Arial Unicode MS" w:cs="Calibri"/>
                <w:bCs/>
                <w:iCs/>
                <w:color w:val="000000"/>
                <w:sz w:val="16"/>
                <w:lang w:eastAsia="pl-PL"/>
              </w:rPr>
              <w:t>97,5</w:t>
            </w:r>
          </w:p>
        </w:tc>
        <w:tc>
          <w:tcPr>
            <w:tcW w:w="1546" w:type="dxa"/>
            <w:tcBorders>
              <w:top w:val="single" w:sz="12" w:space="0" w:color="522398"/>
            </w:tcBorders>
            <w:shd w:val="clear" w:color="auto" w:fill="auto"/>
            <w:vAlign w:val="center"/>
          </w:tcPr>
          <w:p w:rsidR="00BC6BAA" w:rsidRPr="00327440"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2B77DB">
              <w:rPr>
                <w:rFonts w:eastAsia="Arial Unicode MS" w:cs="Calibri"/>
                <w:bCs/>
                <w:iCs/>
                <w:color w:val="000000"/>
                <w:sz w:val="16"/>
                <w:lang w:eastAsia="pl-PL"/>
              </w:rPr>
              <w:t>53,8</w:t>
            </w:r>
          </w:p>
        </w:tc>
        <w:tc>
          <w:tcPr>
            <w:tcW w:w="1546" w:type="dxa"/>
            <w:tcBorders>
              <w:top w:val="single" w:sz="12" w:space="0" w:color="522398"/>
            </w:tcBorders>
            <w:vAlign w:val="center"/>
          </w:tcPr>
          <w:p w:rsidR="00BC6BAA" w:rsidRPr="00327440"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2B77DB">
              <w:rPr>
                <w:rFonts w:eastAsia="Arial Unicode MS" w:cs="Calibri"/>
                <w:bCs/>
                <w:iCs/>
                <w:color w:val="000000"/>
                <w:sz w:val="16"/>
                <w:lang w:eastAsia="pl-PL"/>
              </w:rPr>
              <w:t>86,1</w:t>
            </w:r>
          </w:p>
        </w:tc>
        <w:tc>
          <w:tcPr>
            <w:tcW w:w="1546" w:type="dxa"/>
            <w:tcBorders>
              <w:top w:val="single" w:sz="12" w:space="0" w:color="522398"/>
            </w:tcBorders>
            <w:vAlign w:val="center"/>
          </w:tcPr>
          <w:p w:rsidR="00BC6BAA" w:rsidRPr="00327440"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2B77DB">
              <w:rPr>
                <w:rFonts w:eastAsia="Arial Unicode MS" w:cs="Calibri"/>
                <w:bCs/>
                <w:iCs/>
                <w:color w:val="000000"/>
                <w:sz w:val="16"/>
                <w:lang w:eastAsia="pl-PL"/>
              </w:rPr>
              <w:t>72,7</w:t>
            </w:r>
          </w:p>
        </w:tc>
      </w:tr>
      <w:tr w:rsidR="00BC6BAA" w:rsidRPr="00327440" w:rsidTr="00EB0AC6">
        <w:trPr>
          <w:trHeight w:val="57"/>
          <w:tblHeader/>
        </w:trPr>
        <w:tc>
          <w:tcPr>
            <w:tcW w:w="2749" w:type="dxa"/>
            <w:shd w:val="clear" w:color="auto" w:fill="auto"/>
            <w:vAlign w:val="center"/>
          </w:tcPr>
          <w:p w:rsidR="00BC6BAA" w:rsidRPr="00327440" w:rsidRDefault="00BC6BAA" w:rsidP="00EB0AC6">
            <w:pPr>
              <w:widowControl w:val="0"/>
              <w:tabs>
                <w:tab w:val="left" w:pos="340"/>
                <w:tab w:val="left" w:pos="567"/>
                <w:tab w:val="left" w:pos="1701"/>
                <w:tab w:val="left" w:pos="3402"/>
                <w:tab w:val="left" w:pos="5103"/>
              </w:tabs>
              <w:autoSpaceDE w:val="0"/>
              <w:autoSpaceDN w:val="0"/>
              <w:adjustRightInd w:val="0"/>
              <w:spacing w:before="0" w:after="0"/>
              <w:ind w:left="176"/>
              <w:rPr>
                <w:rFonts w:eastAsia="Times New Roman" w:cs="Times New Roman"/>
                <w:color w:val="000000"/>
                <w:sz w:val="16"/>
                <w:szCs w:val="16"/>
                <w:lang w:eastAsia="pl-PL"/>
              </w:rPr>
            </w:pPr>
            <w:r w:rsidRPr="00327440">
              <w:rPr>
                <w:rFonts w:eastAsia="Times New Roman" w:cs="Times New Roman"/>
                <w:color w:val="000000"/>
                <w:sz w:val="16"/>
                <w:szCs w:val="16"/>
                <w:lang w:eastAsia="pl-PL"/>
              </w:rPr>
              <w:tab/>
              <w:t>w tym:</w:t>
            </w:r>
          </w:p>
        </w:tc>
        <w:tc>
          <w:tcPr>
            <w:tcW w:w="1546" w:type="dxa"/>
            <w:vAlign w:val="center"/>
          </w:tcPr>
          <w:p w:rsidR="00BC6BAA" w:rsidRPr="00327440"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p>
        </w:tc>
        <w:tc>
          <w:tcPr>
            <w:tcW w:w="1546" w:type="dxa"/>
            <w:vAlign w:val="center"/>
          </w:tcPr>
          <w:p w:rsidR="00BC6BAA" w:rsidRPr="00327440"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p>
        </w:tc>
        <w:tc>
          <w:tcPr>
            <w:tcW w:w="1546" w:type="dxa"/>
            <w:shd w:val="clear" w:color="auto" w:fill="auto"/>
            <w:vAlign w:val="center"/>
          </w:tcPr>
          <w:p w:rsidR="00BC6BAA" w:rsidRPr="00327440"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p>
        </w:tc>
        <w:tc>
          <w:tcPr>
            <w:tcW w:w="1546" w:type="dxa"/>
            <w:vAlign w:val="center"/>
          </w:tcPr>
          <w:p w:rsidR="00BC6BAA" w:rsidRPr="00327440"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p>
        </w:tc>
        <w:tc>
          <w:tcPr>
            <w:tcW w:w="1546" w:type="dxa"/>
            <w:vAlign w:val="center"/>
          </w:tcPr>
          <w:p w:rsidR="00BC6BAA" w:rsidRPr="00327440"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p>
        </w:tc>
      </w:tr>
      <w:tr w:rsidR="00BC6BAA" w:rsidRPr="00327440" w:rsidTr="00EB0AC6">
        <w:trPr>
          <w:trHeight w:val="57"/>
          <w:tblHeader/>
        </w:trPr>
        <w:tc>
          <w:tcPr>
            <w:tcW w:w="2749" w:type="dxa"/>
            <w:shd w:val="clear" w:color="auto" w:fill="auto"/>
            <w:vAlign w:val="center"/>
          </w:tcPr>
          <w:p w:rsidR="00BC6BAA" w:rsidRPr="00327440" w:rsidRDefault="00BC6BAA" w:rsidP="00EB0AC6">
            <w:pPr>
              <w:spacing w:before="0" w:after="0"/>
              <w:ind w:left="176"/>
              <w:rPr>
                <w:rFonts w:eastAsia="Times New Roman" w:cs="Times New Roman"/>
                <w:spacing w:val="-4"/>
                <w:sz w:val="16"/>
                <w:szCs w:val="16"/>
                <w:lang w:eastAsia="pl-PL"/>
              </w:rPr>
            </w:pPr>
            <w:r w:rsidRPr="00327440">
              <w:rPr>
                <w:rFonts w:eastAsia="Times New Roman" w:cs="Times New Roman"/>
                <w:spacing w:val="-4"/>
                <w:sz w:val="16"/>
                <w:szCs w:val="16"/>
                <w:lang w:eastAsia="pl-PL"/>
              </w:rPr>
              <w:t>wołowy (z cielęcym)</w:t>
            </w:r>
            <w:r w:rsidRPr="00327440">
              <w:rPr>
                <w:rFonts w:eastAsia="Times New Roman" w:cs="Times New Roman"/>
                <w:spacing w:val="-4"/>
                <w:sz w:val="16"/>
                <w:szCs w:val="16"/>
                <w:lang w:eastAsia="pl-PL"/>
              </w:rPr>
              <w:tab/>
            </w:r>
          </w:p>
        </w:tc>
        <w:tc>
          <w:tcPr>
            <w:tcW w:w="1546" w:type="dxa"/>
            <w:vAlign w:val="center"/>
          </w:tcPr>
          <w:p w:rsidR="00BC6BAA" w:rsidRPr="00327440"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2B77DB">
              <w:rPr>
                <w:rFonts w:eastAsia="Arial Unicode MS" w:cs="Calibri"/>
                <w:bCs/>
                <w:iCs/>
                <w:color w:val="000000"/>
                <w:sz w:val="16"/>
                <w:lang w:eastAsia="pl-PL"/>
              </w:rPr>
              <w:t>13,1</w:t>
            </w:r>
          </w:p>
        </w:tc>
        <w:tc>
          <w:tcPr>
            <w:tcW w:w="1546" w:type="dxa"/>
            <w:vAlign w:val="center"/>
          </w:tcPr>
          <w:p w:rsidR="00BC6BAA" w:rsidRPr="00327440"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2B77DB">
              <w:rPr>
                <w:rFonts w:eastAsia="Arial Unicode MS" w:cs="Calibri"/>
                <w:bCs/>
                <w:iCs/>
                <w:color w:val="000000"/>
                <w:sz w:val="16"/>
                <w:lang w:eastAsia="pl-PL"/>
              </w:rPr>
              <w:t>91,1</w:t>
            </w:r>
          </w:p>
        </w:tc>
        <w:tc>
          <w:tcPr>
            <w:tcW w:w="1546" w:type="dxa"/>
            <w:shd w:val="clear" w:color="auto" w:fill="auto"/>
            <w:vAlign w:val="center"/>
          </w:tcPr>
          <w:p w:rsidR="00BC6BAA" w:rsidRPr="00327440"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2B77DB">
              <w:rPr>
                <w:rFonts w:eastAsia="Arial Unicode MS" w:cs="Calibri"/>
                <w:bCs/>
                <w:iCs/>
                <w:color w:val="000000"/>
                <w:sz w:val="16"/>
                <w:lang w:eastAsia="pl-PL"/>
              </w:rPr>
              <w:t>6,2</w:t>
            </w:r>
          </w:p>
        </w:tc>
        <w:tc>
          <w:tcPr>
            <w:tcW w:w="1546" w:type="dxa"/>
            <w:vAlign w:val="center"/>
          </w:tcPr>
          <w:p w:rsidR="00BC6BAA" w:rsidRPr="00327440"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2B77DB">
              <w:rPr>
                <w:rFonts w:eastAsia="Arial Unicode MS" w:cs="Calibri"/>
                <w:bCs/>
                <w:iCs/>
                <w:color w:val="000000"/>
                <w:sz w:val="16"/>
                <w:lang w:eastAsia="pl-PL"/>
              </w:rPr>
              <w:t>86,9</w:t>
            </w:r>
          </w:p>
        </w:tc>
        <w:tc>
          <w:tcPr>
            <w:tcW w:w="1546" w:type="dxa"/>
            <w:vAlign w:val="center"/>
          </w:tcPr>
          <w:p w:rsidR="00BC6BAA" w:rsidRPr="00327440"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2B77DB">
              <w:rPr>
                <w:rFonts w:eastAsia="Arial Unicode MS" w:cs="Calibri"/>
                <w:bCs/>
                <w:iCs/>
                <w:color w:val="000000"/>
                <w:sz w:val="16"/>
                <w:lang w:eastAsia="pl-PL"/>
              </w:rPr>
              <w:t>88,5</w:t>
            </w:r>
          </w:p>
        </w:tc>
      </w:tr>
      <w:tr w:rsidR="00BC6BAA" w:rsidRPr="00327440" w:rsidTr="00EB0AC6">
        <w:trPr>
          <w:trHeight w:val="57"/>
          <w:tblHeader/>
        </w:trPr>
        <w:tc>
          <w:tcPr>
            <w:tcW w:w="2749" w:type="dxa"/>
            <w:tcBorders>
              <w:bottom w:val="single" w:sz="4" w:space="0" w:color="522398"/>
            </w:tcBorders>
            <w:shd w:val="clear" w:color="auto" w:fill="auto"/>
            <w:vAlign w:val="center"/>
          </w:tcPr>
          <w:p w:rsidR="00BC6BAA" w:rsidRPr="00327440" w:rsidRDefault="00BC6BAA" w:rsidP="00EB0AC6">
            <w:pPr>
              <w:spacing w:before="0" w:after="0"/>
              <w:ind w:left="176"/>
              <w:rPr>
                <w:rFonts w:eastAsia="Times New Roman" w:cs="Times New Roman"/>
                <w:spacing w:val="-4"/>
                <w:sz w:val="16"/>
                <w:szCs w:val="16"/>
                <w:lang w:eastAsia="pl-PL"/>
              </w:rPr>
            </w:pPr>
            <w:r w:rsidRPr="00327440">
              <w:rPr>
                <w:rFonts w:eastAsia="Times New Roman" w:cs="Times New Roman"/>
                <w:spacing w:val="-4"/>
                <w:sz w:val="16"/>
                <w:szCs w:val="16"/>
                <w:lang w:eastAsia="pl-PL"/>
              </w:rPr>
              <w:t>wieprzowy</w:t>
            </w:r>
            <w:r w:rsidRPr="00327440">
              <w:rPr>
                <w:rFonts w:eastAsia="Times New Roman" w:cs="Times New Roman"/>
                <w:spacing w:val="-4"/>
                <w:sz w:val="16"/>
                <w:szCs w:val="16"/>
                <w:lang w:eastAsia="pl-PL"/>
              </w:rPr>
              <w:tab/>
            </w:r>
          </w:p>
        </w:tc>
        <w:tc>
          <w:tcPr>
            <w:tcW w:w="1546" w:type="dxa"/>
            <w:tcBorders>
              <w:bottom w:val="single" w:sz="4" w:space="0" w:color="522398"/>
            </w:tcBorders>
            <w:vAlign w:val="center"/>
          </w:tcPr>
          <w:p w:rsidR="00BC6BAA" w:rsidRPr="00327440"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2B77DB">
              <w:rPr>
                <w:rFonts w:eastAsia="Arial Unicode MS" w:cs="Calibri"/>
                <w:bCs/>
                <w:iCs/>
                <w:color w:val="000000"/>
                <w:sz w:val="16"/>
                <w:lang w:eastAsia="pl-PL"/>
              </w:rPr>
              <w:t>55,6</w:t>
            </w:r>
          </w:p>
        </w:tc>
        <w:tc>
          <w:tcPr>
            <w:tcW w:w="1546" w:type="dxa"/>
            <w:tcBorders>
              <w:bottom w:val="single" w:sz="4" w:space="0" w:color="522398"/>
            </w:tcBorders>
            <w:vAlign w:val="center"/>
          </w:tcPr>
          <w:p w:rsidR="00BC6BAA" w:rsidRPr="00327440"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2B77DB">
              <w:rPr>
                <w:rFonts w:eastAsia="Arial Unicode MS" w:cs="Calibri"/>
                <w:bCs/>
                <w:iCs/>
                <w:color w:val="000000"/>
                <w:sz w:val="16"/>
                <w:lang w:eastAsia="pl-PL"/>
              </w:rPr>
              <w:t>104,6</w:t>
            </w:r>
          </w:p>
        </w:tc>
        <w:tc>
          <w:tcPr>
            <w:tcW w:w="1546" w:type="dxa"/>
            <w:tcBorders>
              <w:bottom w:val="single" w:sz="4" w:space="0" w:color="522398"/>
            </w:tcBorders>
            <w:shd w:val="clear" w:color="auto" w:fill="auto"/>
            <w:vAlign w:val="center"/>
          </w:tcPr>
          <w:p w:rsidR="00BC6BAA" w:rsidRPr="00327440"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2B77DB">
              <w:rPr>
                <w:rFonts w:eastAsia="Arial Unicode MS" w:cs="Calibri"/>
                <w:bCs/>
                <w:iCs/>
                <w:color w:val="000000"/>
                <w:sz w:val="16"/>
                <w:lang w:eastAsia="pl-PL"/>
              </w:rPr>
              <w:t>23,9</w:t>
            </w:r>
          </w:p>
        </w:tc>
        <w:tc>
          <w:tcPr>
            <w:tcW w:w="1546" w:type="dxa"/>
            <w:tcBorders>
              <w:bottom w:val="single" w:sz="4" w:space="0" w:color="522398"/>
            </w:tcBorders>
            <w:vAlign w:val="center"/>
          </w:tcPr>
          <w:p w:rsidR="00BC6BAA" w:rsidRPr="00327440"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2B77DB">
              <w:rPr>
                <w:rFonts w:eastAsia="Arial Unicode MS" w:cs="Calibri"/>
                <w:bCs/>
                <w:iCs/>
                <w:color w:val="000000"/>
                <w:sz w:val="16"/>
                <w:lang w:eastAsia="pl-PL"/>
              </w:rPr>
              <w:t>96,1</w:t>
            </w:r>
          </w:p>
        </w:tc>
        <w:tc>
          <w:tcPr>
            <w:tcW w:w="1546" w:type="dxa"/>
            <w:tcBorders>
              <w:bottom w:val="single" w:sz="4" w:space="0" w:color="522398"/>
            </w:tcBorders>
            <w:vAlign w:val="center"/>
          </w:tcPr>
          <w:p w:rsidR="00BC6BAA" w:rsidRPr="00327440"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2B77DB">
              <w:rPr>
                <w:rFonts w:eastAsia="Arial Unicode MS" w:cs="Calibri"/>
                <w:bCs/>
                <w:iCs/>
                <w:color w:val="000000"/>
                <w:sz w:val="16"/>
                <w:lang w:eastAsia="pl-PL"/>
              </w:rPr>
              <w:t>75,8</w:t>
            </w:r>
          </w:p>
        </w:tc>
      </w:tr>
      <w:tr w:rsidR="00BC6BAA" w:rsidRPr="00327440" w:rsidTr="00EB0AC6">
        <w:trPr>
          <w:trHeight w:val="57"/>
          <w:tblHeader/>
        </w:trPr>
        <w:tc>
          <w:tcPr>
            <w:tcW w:w="2749" w:type="dxa"/>
            <w:tcBorders>
              <w:top w:val="single" w:sz="4" w:space="0" w:color="522398"/>
              <w:bottom w:val="single" w:sz="4" w:space="0" w:color="522398"/>
            </w:tcBorders>
            <w:shd w:val="clear" w:color="auto" w:fill="auto"/>
            <w:vAlign w:val="center"/>
          </w:tcPr>
          <w:p w:rsidR="00BC6BAA" w:rsidRPr="00327440" w:rsidRDefault="00BC6BAA" w:rsidP="00EB0AC6">
            <w:pPr>
              <w:spacing w:before="0" w:after="0"/>
              <w:ind w:left="176"/>
              <w:rPr>
                <w:rFonts w:eastAsia="Times New Roman" w:cs="Times New Roman"/>
                <w:spacing w:val="-4"/>
                <w:sz w:val="16"/>
                <w:szCs w:val="16"/>
                <w:lang w:eastAsia="pl-PL"/>
              </w:rPr>
            </w:pPr>
            <w:r w:rsidRPr="00327440">
              <w:rPr>
                <w:rFonts w:eastAsia="Times New Roman" w:cs="Times New Roman"/>
                <w:spacing w:val="-4"/>
                <w:sz w:val="16"/>
                <w:szCs w:val="16"/>
                <w:lang w:eastAsia="pl-PL"/>
              </w:rPr>
              <w:t>drobiowy</w:t>
            </w:r>
            <w:r w:rsidRPr="00327440">
              <w:rPr>
                <w:rFonts w:eastAsia="Times New Roman" w:cs="Times New Roman"/>
                <w:spacing w:val="-4"/>
                <w:sz w:val="16"/>
                <w:szCs w:val="16"/>
                <w:lang w:eastAsia="pl-PL"/>
              </w:rPr>
              <w:tab/>
            </w:r>
          </w:p>
        </w:tc>
        <w:tc>
          <w:tcPr>
            <w:tcW w:w="1546" w:type="dxa"/>
            <w:tcBorders>
              <w:top w:val="single" w:sz="4" w:space="0" w:color="522398"/>
              <w:bottom w:val="single" w:sz="4" w:space="0" w:color="522398"/>
            </w:tcBorders>
            <w:vAlign w:val="center"/>
          </w:tcPr>
          <w:p w:rsidR="00BC6BAA" w:rsidRPr="00327440"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2B77DB">
              <w:rPr>
                <w:rFonts w:eastAsia="Arial Unicode MS" w:cs="Calibri"/>
                <w:bCs/>
                <w:iCs/>
                <w:color w:val="000000"/>
                <w:sz w:val="16"/>
                <w:lang w:eastAsia="pl-PL"/>
              </w:rPr>
              <w:t>59,0</w:t>
            </w:r>
          </w:p>
        </w:tc>
        <w:tc>
          <w:tcPr>
            <w:tcW w:w="1546" w:type="dxa"/>
            <w:tcBorders>
              <w:top w:val="single" w:sz="4" w:space="0" w:color="522398"/>
              <w:bottom w:val="single" w:sz="4" w:space="0" w:color="522398"/>
            </w:tcBorders>
            <w:vAlign w:val="center"/>
          </w:tcPr>
          <w:p w:rsidR="00BC6BAA" w:rsidRPr="00327440"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2B77DB">
              <w:rPr>
                <w:rFonts w:eastAsia="Arial Unicode MS" w:cs="Calibri"/>
                <w:bCs/>
                <w:iCs/>
                <w:color w:val="000000"/>
                <w:sz w:val="16"/>
                <w:lang w:eastAsia="pl-PL"/>
              </w:rPr>
              <w:t>93,1</w:t>
            </w:r>
          </w:p>
        </w:tc>
        <w:tc>
          <w:tcPr>
            <w:tcW w:w="1546" w:type="dxa"/>
            <w:tcBorders>
              <w:top w:val="single" w:sz="4" w:space="0" w:color="522398"/>
              <w:bottom w:val="single" w:sz="4" w:space="0" w:color="522398"/>
            </w:tcBorders>
            <w:shd w:val="clear" w:color="auto" w:fill="auto"/>
            <w:vAlign w:val="center"/>
          </w:tcPr>
          <w:p w:rsidR="00BC6BAA" w:rsidRPr="00327440"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2B77DB">
              <w:rPr>
                <w:rFonts w:eastAsia="Arial Unicode MS" w:cs="Calibri"/>
                <w:bCs/>
                <w:iCs/>
                <w:color w:val="000000"/>
                <w:sz w:val="16"/>
                <w:lang w:eastAsia="pl-PL"/>
              </w:rPr>
              <w:t>23,6</w:t>
            </w:r>
          </w:p>
        </w:tc>
        <w:tc>
          <w:tcPr>
            <w:tcW w:w="1546" w:type="dxa"/>
            <w:tcBorders>
              <w:top w:val="single" w:sz="4" w:space="0" w:color="522398"/>
              <w:bottom w:val="single" w:sz="4" w:space="0" w:color="522398"/>
            </w:tcBorders>
            <w:vAlign w:val="center"/>
          </w:tcPr>
          <w:p w:rsidR="00BC6BAA" w:rsidRPr="00327440"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2B77DB">
              <w:rPr>
                <w:rFonts w:eastAsia="Arial Unicode MS" w:cs="Calibri"/>
                <w:bCs/>
                <w:iCs/>
                <w:color w:val="000000"/>
                <w:sz w:val="16"/>
                <w:lang w:eastAsia="pl-PL"/>
              </w:rPr>
              <w:t>77,7</w:t>
            </w:r>
          </w:p>
        </w:tc>
        <w:tc>
          <w:tcPr>
            <w:tcW w:w="1546" w:type="dxa"/>
            <w:tcBorders>
              <w:top w:val="single" w:sz="4" w:space="0" w:color="522398"/>
              <w:bottom w:val="single" w:sz="4" w:space="0" w:color="522398"/>
            </w:tcBorders>
            <w:vAlign w:val="center"/>
          </w:tcPr>
          <w:p w:rsidR="00BC6BAA" w:rsidRPr="00327440"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2B77DB">
              <w:rPr>
                <w:rFonts w:eastAsia="Arial Unicode MS" w:cs="Calibri"/>
                <w:bCs/>
                <w:iCs/>
                <w:color w:val="000000"/>
                <w:sz w:val="16"/>
                <w:lang w:eastAsia="pl-PL"/>
              </w:rPr>
              <w:t>66,8</w:t>
            </w:r>
          </w:p>
        </w:tc>
      </w:tr>
      <w:tr w:rsidR="00BC6BAA" w:rsidRPr="00327440" w:rsidTr="00EB0AC6">
        <w:trPr>
          <w:trHeight w:val="57"/>
          <w:tblHeader/>
        </w:trPr>
        <w:tc>
          <w:tcPr>
            <w:tcW w:w="2749" w:type="dxa"/>
            <w:tcBorders>
              <w:top w:val="single" w:sz="4" w:space="0" w:color="522398"/>
              <w:bottom w:val="nil"/>
            </w:tcBorders>
            <w:shd w:val="clear" w:color="auto" w:fill="auto"/>
            <w:vAlign w:val="center"/>
          </w:tcPr>
          <w:p w:rsidR="00BC6BAA" w:rsidRPr="00327440" w:rsidRDefault="00BC6BAA" w:rsidP="00EB0AC6">
            <w:pPr>
              <w:tabs>
                <w:tab w:val="left" w:pos="5103"/>
              </w:tabs>
              <w:spacing w:before="0" w:after="0"/>
              <w:rPr>
                <w:rFonts w:eastAsia="Times New Roman" w:cs="Times New Roman"/>
                <w:spacing w:val="-4"/>
                <w:sz w:val="16"/>
                <w:szCs w:val="16"/>
                <w:lang w:eastAsia="pl-PL"/>
              </w:rPr>
            </w:pPr>
            <w:r w:rsidRPr="00327440">
              <w:rPr>
                <w:rFonts w:eastAsia="Times New Roman" w:cs="Times New Roman"/>
                <w:spacing w:val="-4"/>
                <w:sz w:val="16"/>
                <w:szCs w:val="16"/>
                <w:lang w:eastAsia="pl-PL"/>
              </w:rPr>
              <w:t>Mleko</w:t>
            </w:r>
            <w:r w:rsidRPr="00327440">
              <w:rPr>
                <w:rFonts w:eastAsia="Times New Roman" w:cs="Times New Roman"/>
                <w:spacing w:val="-4"/>
                <w:sz w:val="16"/>
                <w:szCs w:val="16"/>
                <w:vertAlign w:val="superscript"/>
                <w:lang w:eastAsia="pl-PL"/>
              </w:rPr>
              <w:t xml:space="preserve"> </w:t>
            </w:r>
            <w:r w:rsidRPr="00327440">
              <w:rPr>
                <w:rFonts w:eastAsia="Times New Roman" w:cs="Times New Roman"/>
                <w:i/>
                <w:spacing w:val="-4"/>
                <w:sz w:val="16"/>
                <w:szCs w:val="16"/>
                <w:vertAlign w:val="superscript"/>
                <w:lang w:eastAsia="pl-PL"/>
              </w:rPr>
              <w:t>c</w:t>
            </w:r>
          </w:p>
        </w:tc>
        <w:tc>
          <w:tcPr>
            <w:tcW w:w="1546" w:type="dxa"/>
            <w:tcBorders>
              <w:top w:val="single" w:sz="4" w:space="0" w:color="522398"/>
              <w:bottom w:val="nil"/>
            </w:tcBorders>
            <w:vAlign w:val="center"/>
          </w:tcPr>
          <w:p w:rsidR="00BC6BAA" w:rsidRPr="00327440"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2B77DB">
              <w:rPr>
                <w:rFonts w:eastAsia="Arial Unicode MS" w:cs="Calibri"/>
                <w:bCs/>
                <w:iCs/>
                <w:color w:val="000000"/>
                <w:sz w:val="16"/>
                <w:lang w:eastAsia="pl-PL"/>
              </w:rPr>
              <w:t>396,3</w:t>
            </w:r>
          </w:p>
        </w:tc>
        <w:tc>
          <w:tcPr>
            <w:tcW w:w="1546" w:type="dxa"/>
            <w:tcBorders>
              <w:top w:val="single" w:sz="4" w:space="0" w:color="522398"/>
              <w:bottom w:val="nil"/>
            </w:tcBorders>
            <w:vAlign w:val="center"/>
          </w:tcPr>
          <w:p w:rsidR="00BC6BAA" w:rsidRPr="00327440"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2B77DB">
              <w:rPr>
                <w:rFonts w:eastAsia="Arial Unicode MS" w:cs="Calibri"/>
                <w:bCs/>
                <w:iCs/>
                <w:color w:val="000000"/>
                <w:sz w:val="16"/>
                <w:lang w:eastAsia="pl-PL"/>
              </w:rPr>
              <w:t>100,6</w:t>
            </w:r>
          </w:p>
        </w:tc>
        <w:tc>
          <w:tcPr>
            <w:tcW w:w="1546" w:type="dxa"/>
            <w:tcBorders>
              <w:top w:val="single" w:sz="4" w:space="0" w:color="522398"/>
              <w:bottom w:val="nil"/>
            </w:tcBorders>
            <w:shd w:val="clear" w:color="auto" w:fill="auto"/>
            <w:vAlign w:val="center"/>
          </w:tcPr>
          <w:p w:rsidR="00BC6BAA" w:rsidRPr="00327440"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2B77DB">
              <w:rPr>
                <w:rFonts w:eastAsia="Arial Unicode MS" w:cs="Calibri"/>
                <w:bCs/>
                <w:iCs/>
                <w:color w:val="000000"/>
                <w:sz w:val="16"/>
                <w:lang w:eastAsia="pl-PL"/>
              </w:rPr>
              <w:t>194,6</w:t>
            </w:r>
          </w:p>
        </w:tc>
        <w:tc>
          <w:tcPr>
            <w:tcW w:w="1546" w:type="dxa"/>
            <w:tcBorders>
              <w:top w:val="single" w:sz="4" w:space="0" w:color="522398"/>
              <w:bottom w:val="nil"/>
            </w:tcBorders>
            <w:vAlign w:val="center"/>
          </w:tcPr>
          <w:p w:rsidR="00BC6BAA" w:rsidRPr="00327440"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2B77DB">
              <w:rPr>
                <w:rFonts w:eastAsia="Arial Unicode MS" w:cs="Calibri"/>
                <w:bCs/>
                <w:iCs/>
                <w:color w:val="000000"/>
                <w:sz w:val="16"/>
                <w:lang w:eastAsia="pl-PL"/>
              </w:rPr>
              <w:t>98,5</w:t>
            </w:r>
          </w:p>
        </w:tc>
        <w:tc>
          <w:tcPr>
            <w:tcW w:w="1546" w:type="dxa"/>
            <w:tcBorders>
              <w:top w:val="single" w:sz="4" w:space="0" w:color="522398"/>
              <w:bottom w:val="nil"/>
            </w:tcBorders>
            <w:vAlign w:val="center"/>
          </w:tcPr>
          <w:p w:rsidR="00BC6BAA" w:rsidRPr="00327440"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2B77DB">
              <w:rPr>
                <w:rFonts w:eastAsia="Arial Unicode MS" w:cs="Calibri"/>
                <w:bCs/>
                <w:iCs/>
                <w:color w:val="000000"/>
                <w:sz w:val="16"/>
                <w:lang w:eastAsia="pl-PL"/>
              </w:rPr>
              <w:t>96,4</w:t>
            </w:r>
          </w:p>
        </w:tc>
      </w:tr>
    </w:tbl>
    <w:p w:rsidR="00BC6BAA" w:rsidRDefault="00BC6BAA" w:rsidP="00BC6BAA">
      <w:pPr>
        <w:pStyle w:val="notka"/>
      </w:pPr>
      <w:r w:rsidRPr="00F355D7">
        <w:t xml:space="preserve">a </w:t>
      </w:r>
      <w:r>
        <w:t>B</w:t>
      </w:r>
      <w:r w:rsidRPr="00EF1493">
        <w:t>ez</w:t>
      </w:r>
      <w:r w:rsidRPr="00F355D7">
        <w:t xml:space="preserve"> skupu realizowanego przez osoby fizyczne. b Obejmuje: bydło, cielęta, trzodę chlewną, owce, konie i drób; w przeliczeniu na mięso (łącznie z</w:t>
      </w:r>
      <w:r>
        <w:t xml:space="preserve"> </w:t>
      </w:r>
      <w:r w:rsidRPr="00F355D7">
        <w:t xml:space="preserve">tłuszczami), </w:t>
      </w:r>
      <w:r>
        <w:br/>
      </w:r>
      <w:r w:rsidRPr="00F355D7">
        <w:t>w</w:t>
      </w:r>
      <w:r>
        <w:t xml:space="preserve"> </w:t>
      </w:r>
      <w:r w:rsidRPr="00F355D7">
        <w:t>wadze poubojowej ciepłej. c W mln litrów.</w:t>
      </w:r>
    </w:p>
    <w:p w:rsidR="00BC6BAA" w:rsidRPr="002D294B" w:rsidRDefault="00BC6BAA" w:rsidP="00BC6BAA">
      <w:pPr>
        <w:pStyle w:val="tekst"/>
        <w:spacing w:before="360"/>
      </w:pPr>
      <w:r w:rsidRPr="00D55B0E">
        <w:t xml:space="preserve">W lutym br. </w:t>
      </w:r>
      <w:r w:rsidRPr="00D55B0E">
        <w:rPr>
          <w:b/>
        </w:rPr>
        <w:t>skup żywca rzeźnego</w:t>
      </w:r>
      <w:r w:rsidRPr="00D55B0E">
        <w:t xml:space="preserve"> (w wadze poubojowej ciepłej) wyniósł 53,8 tys. ton, tj. o 27,3% mniej niż przed miesiącem i o 13,9% mniej niż przed rokiem. Dostawy </w:t>
      </w:r>
      <w:r w:rsidRPr="00D55B0E">
        <w:rPr>
          <w:b/>
        </w:rPr>
        <w:t>drobiu rzeźnego</w:t>
      </w:r>
      <w:r w:rsidRPr="00D55B0E">
        <w:t xml:space="preserve"> zmniejszyły się najwięcej</w:t>
      </w:r>
      <w:r>
        <w:t>,</w:t>
      </w:r>
      <w:r w:rsidRPr="00D55B0E">
        <w:t xml:space="preserve"> zarówno w stosunku do stycznia br., jak i w skali roku (odpowiednio o 33,2% i o 22,3%). W przypadku </w:t>
      </w:r>
      <w:r w:rsidRPr="00D55B0E">
        <w:rPr>
          <w:b/>
        </w:rPr>
        <w:t>żywca wieprzowego</w:t>
      </w:r>
      <w:r w:rsidRPr="00D55B0E">
        <w:t xml:space="preserve"> spadek</w:t>
      </w:r>
      <w:r>
        <w:t xml:space="preserve"> podaży był trochę</w:t>
      </w:r>
      <w:r w:rsidRPr="00D55B0E">
        <w:t xml:space="preserve"> mniejszy i wyniósł odpowiednio 24,2% i 3,9%. Natomiast skup </w:t>
      </w:r>
      <w:r w:rsidRPr="00D55B0E">
        <w:rPr>
          <w:b/>
        </w:rPr>
        <w:t>żywca wołowego</w:t>
      </w:r>
      <w:r w:rsidRPr="00D55B0E">
        <w:t xml:space="preserve"> zmniejszył się o 11,5% w ujęciu miesięcznym, a w relacji do lutego ub. roku o 13,1%.</w:t>
      </w:r>
    </w:p>
    <w:p w:rsidR="00BC6BAA" w:rsidRPr="002D294B" w:rsidRDefault="00BC6BAA" w:rsidP="00F1634A">
      <w:pPr>
        <w:pStyle w:val="tekst"/>
        <w:spacing w:after="0"/>
      </w:pPr>
      <w:r w:rsidRPr="00EC3EB8">
        <w:t xml:space="preserve">Za </w:t>
      </w:r>
      <w:r w:rsidRPr="00EC3EB8">
        <w:rPr>
          <w:b/>
        </w:rPr>
        <w:t>ziarno zbóż podstawowych w skupie</w:t>
      </w:r>
      <w:r w:rsidRPr="00EC3EB8">
        <w:t xml:space="preserve"> w lutym br. płacono producentom średnio 86,72 zł za 1 dt, tj. o 0,4% więcej niż w poprzednim miesiącu i o 10,9% więcej niż przed rokiem. </w:t>
      </w:r>
      <w:r w:rsidRPr="00EC3EB8">
        <w:rPr>
          <w:b/>
        </w:rPr>
        <w:t>Cena skupu 1 dt pszenicy</w:t>
      </w:r>
      <w:r w:rsidRPr="00EC3EB8">
        <w:t xml:space="preserve"> wyniosła 91,20 zł i kształtowała się na p</w:t>
      </w:r>
      <w:r w:rsidRPr="00A27274">
        <w:t xml:space="preserve">oziomie niższym w porównaniu ze styczniem br. o 0,2%, ale wyższym o 10,9% w relacji do lutego ub. roku. Przeciętna </w:t>
      </w:r>
      <w:r w:rsidRPr="00A27274">
        <w:rPr>
          <w:b/>
        </w:rPr>
        <w:t>cena targowiskowa 1 dt pszenicy</w:t>
      </w:r>
      <w:r w:rsidRPr="00A27274">
        <w:t xml:space="preserve"> wynosiła 114,29 zł i była o 4,0% niższa o</w:t>
      </w:r>
      <w:r>
        <w:t xml:space="preserve">d notowanej przed miesiącem i jednocześnie </w:t>
      </w:r>
      <w:r>
        <w:lastRenderedPageBreak/>
        <w:t>o </w:t>
      </w:r>
      <w:r w:rsidRPr="00A27274">
        <w:t xml:space="preserve">6,7% niższa aniżeli w lutym ub. roku. </w:t>
      </w:r>
      <w:r w:rsidRPr="00EC3EB8">
        <w:t>Za</w:t>
      </w:r>
      <w:r w:rsidRPr="00EC3EB8">
        <w:rPr>
          <w:b/>
        </w:rPr>
        <w:t xml:space="preserve"> 1 dt żyta</w:t>
      </w:r>
      <w:r w:rsidRPr="00EC3EB8">
        <w:t xml:space="preserve"> </w:t>
      </w:r>
      <w:r w:rsidRPr="00EC3EB8">
        <w:rPr>
          <w:b/>
        </w:rPr>
        <w:t>w skupie</w:t>
      </w:r>
      <w:r w:rsidRPr="00EC3EB8">
        <w:t xml:space="preserve"> w lutym br. płacono 71,93 zł, tj. o 3,4% więcej niż w styczniu</w:t>
      </w:r>
      <w:r>
        <w:t> </w:t>
      </w:r>
      <w:r w:rsidRPr="00EC3EB8">
        <w:t xml:space="preserve">br. i o 23,2% więcej niż w analogicznym miesiącu ub. roku. </w:t>
      </w:r>
      <w:r w:rsidRPr="001B48CC">
        <w:t xml:space="preserve">Na </w:t>
      </w:r>
      <w:r w:rsidRPr="001B48CC">
        <w:rPr>
          <w:b/>
        </w:rPr>
        <w:t>targowiskach cena żyta</w:t>
      </w:r>
      <w:r w:rsidRPr="00A27274">
        <w:t xml:space="preserve"> kształtowała się na poziomie 98,00 zł za 1 dt, tj. o 0,2% ni</w:t>
      </w:r>
      <w:r>
        <w:t>żej niż przed miesiącem, ale</w:t>
      </w:r>
      <w:r w:rsidRPr="00A27274">
        <w:t xml:space="preserve"> o 8,9% wyżej niż przed rokiem.</w:t>
      </w:r>
      <w:r>
        <w:t xml:space="preserve"> </w:t>
      </w:r>
    </w:p>
    <w:p w:rsidR="00BC6BAA" w:rsidRPr="002D294B" w:rsidRDefault="0042281A" w:rsidP="00F1634A">
      <w:pPr>
        <w:pStyle w:val="Tytultabeli"/>
        <w:spacing w:before="240"/>
      </w:pPr>
      <w:r>
        <w:t>Tablica 7</w:t>
      </w:r>
      <w:r w:rsidR="00BC6BAA" w:rsidRPr="002D294B">
        <w:t>.</w:t>
      </w:r>
      <w:r w:rsidR="00BC6BAA" w:rsidRPr="002D294B">
        <w:tab/>
        <w:t xml:space="preserve">Przeciętne ceny podstawowych produktów rolnych </w:t>
      </w:r>
    </w:p>
    <w:tbl>
      <w:tblPr>
        <w:tblW w:w="5000" w:type="pct"/>
        <w:jc w:val="center"/>
        <w:tblBorders>
          <w:insideH w:val="single" w:sz="4" w:space="0" w:color="522398"/>
          <w:insideV w:val="single" w:sz="4" w:space="0" w:color="522398"/>
        </w:tblBorders>
        <w:tblCellMar>
          <w:top w:w="28" w:type="dxa"/>
          <w:bottom w:w="28" w:type="dxa"/>
        </w:tblCellMar>
        <w:tblLook w:val="04A0" w:firstRow="1" w:lastRow="0" w:firstColumn="1" w:lastColumn="0" w:noHBand="0" w:noVBand="1"/>
        <w:tblDescription w:val="Tablica prezentuje kształtowanie się przeciętnych cen podstawowych produktów rolnych w skupie i na targowiskach w miesiącu badawczym (luty br.) i w okresie narastającym (styczeń-luty br.) oraz ich dynamikę w odniesieniu do poprzedniego miesiąca i analogicznych okresów ub. roku.Dane do tablicy dostępne w pliku w formacie XLSX                                                                                                                                                                                                                                                                                                                                                               "/>
      </w:tblPr>
      <w:tblGrid>
        <w:gridCol w:w="1705"/>
        <w:gridCol w:w="875"/>
        <w:gridCol w:w="877"/>
        <w:gridCol w:w="879"/>
        <w:gridCol w:w="877"/>
        <w:gridCol w:w="877"/>
        <w:gridCol w:w="878"/>
        <w:gridCol w:w="878"/>
        <w:gridCol w:w="878"/>
        <w:gridCol w:w="878"/>
        <w:gridCol w:w="877"/>
      </w:tblGrid>
      <w:tr w:rsidR="00BC6BAA" w:rsidRPr="009144E4" w:rsidTr="00EB0AC6">
        <w:trPr>
          <w:trHeight w:val="57"/>
          <w:tblHeader/>
          <w:jc w:val="center"/>
        </w:trPr>
        <w:tc>
          <w:tcPr>
            <w:tcW w:w="814" w:type="pct"/>
            <w:vMerge w:val="restart"/>
            <w:tcBorders>
              <w:top w:val="nil"/>
              <w:bottom w:val="single" w:sz="4" w:space="0" w:color="522398"/>
            </w:tcBorders>
            <w:vAlign w:val="center"/>
          </w:tcPr>
          <w:p w:rsidR="00BC6BAA" w:rsidRPr="009144E4" w:rsidRDefault="00BC6BAA" w:rsidP="00EB0AC6">
            <w:pPr>
              <w:spacing w:before="0" w:after="0" w:line="220" w:lineRule="exact"/>
              <w:jc w:val="center"/>
              <w:rPr>
                <w:rFonts w:eastAsia="Times New Roman" w:cs="Times New Roman"/>
                <w:sz w:val="16"/>
                <w:szCs w:val="18"/>
                <w:lang w:eastAsia="pl-PL"/>
              </w:rPr>
            </w:pPr>
            <w:r w:rsidRPr="009144E4">
              <w:rPr>
                <w:rFonts w:eastAsia="Times New Roman" w:cs="Times New Roman"/>
                <w:sz w:val="16"/>
                <w:szCs w:val="18"/>
                <w:lang w:eastAsia="pl-PL"/>
              </w:rPr>
              <w:t>Wyszczególnienie</w:t>
            </w:r>
          </w:p>
        </w:tc>
        <w:tc>
          <w:tcPr>
            <w:tcW w:w="2095" w:type="pct"/>
            <w:gridSpan w:val="5"/>
            <w:tcBorders>
              <w:top w:val="nil"/>
              <w:bottom w:val="single" w:sz="4" w:space="0" w:color="522398"/>
            </w:tcBorders>
            <w:vAlign w:val="center"/>
          </w:tcPr>
          <w:p w:rsidR="00BC6BAA" w:rsidRPr="009144E4" w:rsidRDefault="00BC6BAA" w:rsidP="00EB0AC6">
            <w:pPr>
              <w:spacing w:before="0" w:after="0" w:line="220" w:lineRule="exact"/>
              <w:jc w:val="center"/>
              <w:rPr>
                <w:rFonts w:eastAsia="Times New Roman" w:cs="Times New Roman"/>
                <w:sz w:val="16"/>
                <w:szCs w:val="18"/>
                <w:lang w:eastAsia="pl-PL"/>
              </w:rPr>
            </w:pPr>
            <w:r w:rsidRPr="009144E4">
              <w:rPr>
                <w:rFonts w:eastAsia="Times New Roman" w:cs="Times New Roman"/>
                <w:sz w:val="16"/>
                <w:szCs w:val="18"/>
                <w:lang w:eastAsia="pl-PL"/>
              </w:rPr>
              <w:t>W skupie</w:t>
            </w:r>
          </w:p>
        </w:tc>
        <w:tc>
          <w:tcPr>
            <w:tcW w:w="2092" w:type="pct"/>
            <w:gridSpan w:val="5"/>
            <w:tcBorders>
              <w:top w:val="nil"/>
              <w:bottom w:val="single" w:sz="4" w:space="0" w:color="522398"/>
            </w:tcBorders>
            <w:vAlign w:val="center"/>
          </w:tcPr>
          <w:p w:rsidR="00BC6BAA" w:rsidRPr="009144E4" w:rsidRDefault="00BC6BAA" w:rsidP="00EB0AC6">
            <w:pPr>
              <w:spacing w:before="0" w:after="0" w:line="220" w:lineRule="exact"/>
              <w:jc w:val="center"/>
              <w:rPr>
                <w:rFonts w:eastAsia="Times New Roman" w:cs="Times New Roman"/>
                <w:sz w:val="16"/>
                <w:szCs w:val="18"/>
                <w:lang w:eastAsia="pl-PL"/>
              </w:rPr>
            </w:pPr>
            <w:r w:rsidRPr="009144E4">
              <w:rPr>
                <w:rFonts w:eastAsia="Times New Roman" w:cs="Times New Roman"/>
                <w:sz w:val="16"/>
                <w:szCs w:val="18"/>
                <w:lang w:eastAsia="pl-PL"/>
              </w:rPr>
              <w:t>Na targowiskach</w:t>
            </w:r>
          </w:p>
        </w:tc>
      </w:tr>
      <w:tr w:rsidR="00BC6BAA" w:rsidRPr="009144E4" w:rsidTr="00EB0AC6">
        <w:trPr>
          <w:trHeight w:val="57"/>
          <w:tblHeader/>
          <w:jc w:val="center"/>
        </w:trPr>
        <w:tc>
          <w:tcPr>
            <w:tcW w:w="814" w:type="pct"/>
            <w:vMerge/>
            <w:tcBorders>
              <w:top w:val="single" w:sz="4" w:space="0" w:color="522398"/>
              <w:bottom w:val="single" w:sz="4" w:space="0" w:color="522398"/>
            </w:tcBorders>
            <w:vAlign w:val="center"/>
          </w:tcPr>
          <w:p w:rsidR="00BC6BAA" w:rsidRPr="009144E4" w:rsidRDefault="00BC6BAA" w:rsidP="00EB0AC6">
            <w:pPr>
              <w:spacing w:before="0" w:after="0" w:line="220" w:lineRule="exact"/>
              <w:jc w:val="center"/>
              <w:rPr>
                <w:rFonts w:eastAsia="Times New Roman" w:cs="Times New Roman"/>
                <w:sz w:val="16"/>
                <w:szCs w:val="18"/>
                <w:lang w:eastAsia="pl-PL"/>
              </w:rPr>
            </w:pPr>
          </w:p>
        </w:tc>
        <w:tc>
          <w:tcPr>
            <w:tcW w:w="1257" w:type="pct"/>
            <w:gridSpan w:val="3"/>
            <w:tcBorders>
              <w:top w:val="single" w:sz="4" w:space="0" w:color="522398"/>
              <w:bottom w:val="single" w:sz="4" w:space="0" w:color="522398"/>
            </w:tcBorders>
            <w:vAlign w:val="center"/>
          </w:tcPr>
          <w:p w:rsidR="00BC6BAA" w:rsidRPr="009144E4" w:rsidRDefault="00BC6BAA" w:rsidP="00EB0AC6">
            <w:pPr>
              <w:spacing w:before="0" w:after="0" w:line="220" w:lineRule="exact"/>
              <w:jc w:val="center"/>
              <w:rPr>
                <w:rFonts w:eastAsia="Times New Roman" w:cs="Times New Roman"/>
                <w:sz w:val="16"/>
                <w:szCs w:val="18"/>
                <w:lang w:eastAsia="pl-PL"/>
              </w:rPr>
            </w:pPr>
            <w:r w:rsidRPr="009144E4">
              <w:rPr>
                <w:rFonts w:eastAsia="Times New Roman" w:cs="Times New Roman"/>
                <w:sz w:val="16"/>
                <w:szCs w:val="18"/>
                <w:lang w:eastAsia="pl-PL"/>
              </w:rPr>
              <w:t>02 20</w:t>
            </w:r>
            <w:r>
              <w:rPr>
                <w:rFonts w:eastAsia="Times New Roman" w:cs="Times New Roman"/>
                <w:sz w:val="16"/>
                <w:szCs w:val="18"/>
                <w:lang w:eastAsia="pl-PL"/>
              </w:rPr>
              <w:t>25</w:t>
            </w:r>
          </w:p>
        </w:tc>
        <w:tc>
          <w:tcPr>
            <w:tcW w:w="838" w:type="pct"/>
            <w:gridSpan w:val="2"/>
            <w:tcBorders>
              <w:top w:val="single" w:sz="4" w:space="0" w:color="522398"/>
              <w:bottom w:val="single" w:sz="4" w:space="0" w:color="522398"/>
            </w:tcBorders>
            <w:vAlign w:val="center"/>
          </w:tcPr>
          <w:p w:rsidR="00BC6BAA" w:rsidRPr="009144E4" w:rsidRDefault="00BC6BAA" w:rsidP="00EB0AC6">
            <w:pPr>
              <w:spacing w:before="0" w:after="0" w:line="220" w:lineRule="exact"/>
              <w:jc w:val="center"/>
              <w:rPr>
                <w:rFonts w:eastAsia="Times New Roman" w:cs="Times New Roman"/>
                <w:sz w:val="16"/>
                <w:szCs w:val="18"/>
                <w:lang w:eastAsia="pl-PL"/>
              </w:rPr>
            </w:pPr>
            <w:r>
              <w:rPr>
                <w:rFonts w:eastAsia="Times New Roman" w:cs="Times New Roman"/>
                <w:sz w:val="16"/>
                <w:szCs w:val="18"/>
                <w:lang w:eastAsia="pl-PL"/>
              </w:rPr>
              <w:t>01–02 2025</w:t>
            </w:r>
          </w:p>
        </w:tc>
        <w:tc>
          <w:tcPr>
            <w:tcW w:w="1257" w:type="pct"/>
            <w:gridSpan w:val="3"/>
            <w:tcBorders>
              <w:top w:val="single" w:sz="4" w:space="0" w:color="522398"/>
              <w:bottom w:val="single" w:sz="4" w:space="0" w:color="522398"/>
            </w:tcBorders>
            <w:vAlign w:val="center"/>
          </w:tcPr>
          <w:p w:rsidR="00BC6BAA" w:rsidRPr="009144E4" w:rsidRDefault="00BC6BAA" w:rsidP="00EB0AC6">
            <w:pPr>
              <w:spacing w:before="0" w:after="0" w:line="220" w:lineRule="exact"/>
              <w:jc w:val="center"/>
              <w:rPr>
                <w:rFonts w:eastAsia="Times New Roman" w:cs="Times New Roman"/>
                <w:sz w:val="16"/>
                <w:szCs w:val="18"/>
                <w:lang w:eastAsia="pl-PL"/>
              </w:rPr>
            </w:pPr>
            <w:r>
              <w:rPr>
                <w:rFonts w:eastAsia="Times New Roman" w:cs="Times New Roman"/>
                <w:sz w:val="16"/>
                <w:szCs w:val="18"/>
                <w:lang w:eastAsia="pl-PL"/>
              </w:rPr>
              <w:t>02 2025</w:t>
            </w:r>
          </w:p>
        </w:tc>
        <w:tc>
          <w:tcPr>
            <w:tcW w:w="835" w:type="pct"/>
            <w:gridSpan w:val="2"/>
            <w:tcBorders>
              <w:top w:val="single" w:sz="4" w:space="0" w:color="522398"/>
              <w:bottom w:val="single" w:sz="4" w:space="0" w:color="522398"/>
            </w:tcBorders>
            <w:vAlign w:val="center"/>
          </w:tcPr>
          <w:p w:rsidR="00BC6BAA" w:rsidRPr="009144E4" w:rsidRDefault="00BC6BAA" w:rsidP="00EB0AC6">
            <w:pPr>
              <w:spacing w:before="0" w:after="0" w:line="220" w:lineRule="exact"/>
              <w:jc w:val="center"/>
              <w:rPr>
                <w:rFonts w:eastAsia="Times New Roman" w:cs="Times New Roman"/>
                <w:sz w:val="16"/>
                <w:szCs w:val="18"/>
                <w:lang w:eastAsia="pl-PL"/>
              </w:rPr>
            </w:pPr>
            <w:r>
              <w:rPr>
                <w:rFonts w:eastAsia="Times New Roman" w:cs="Times New Roman"/>
                <w:sz w:val="16"/>
                <w:szCs w:val="18"/>
                <w:lang w:eastAsia="pl-PL"/>
              </w:rPr>
              <w:t>01–02 2025</w:t>
            </w:r>
          </w:p>
        </w:tc>
      </w:tr>
      <w:tr w:rsidR="00BC6BAA" w:rsidRPr="009144E4" w:rsidTr="00EB0AC6">
        <w:trPr>
          <w:trHeight w:val="57"/>
          <w:tblHeader/>
          <w:jc w:val="center"/>
        </w:trPr>
        <w:tc>
          <w:tcPr>
            <w:tcW w:w="814" w:type="pct"/>
            <w:vMerge/>
            <w:tcBorders>
              <w:top w:val="single" w:sz="4" w:space="0" w:color="522398"/>
              <w:bottom w:val="single" w:sz="12" w:space="0" w:color="522398"/>
            </w:tcBorders>
            <w:vAlign w:val="center"/>
          </w:tcPr>
          <w:p w:rsidR="00BC6BAA" w:rsidRPr="009144E4" w:rsidRDefault="00BC6BAA" w:rsidP="00EB0AC6">
            <w:pPr>
              <w:spacing w:before="0" w:after="0" w:line="220" w:lineRule="exact"/>
              <w:jc w:val="center"/>
              <w:rPr>
                <w:rFonts w:eastAsia="Times New Roman" w:cs="Times New Roman"/>
                <w:sz w:val="16"/>
                <w:szCs w:val="18"/>
                <w:lang w:eastAsia="pl-PL"/>
              </w:rPr>
            </w:pPr>
          </w:p>
        </w:tc>
        <w:tc>
          <w:tcPr>
            <w:tcW w:w="418" w:type="pct"/>
            <w:tcBorders>
              <w:top w:val="single" w:sz="4" w:space="0" w:color="522398"/>
              <w:bottom w:val="single" w:sz="12" w:space="0" w:color="522398"/>
            </w:tcBorders>
            <w:vAlign w:val="center"/>
          </w:tcPr>
          <w:p w:rsidR="00BC6BAA" w:rsidRPr="009144E4" w:rsidRDefault="00BC6BAA" w:rsidP="00EB0AC6">
            <w:pPr>
              <w:spacing w:before="0" w:after="0" w:line="220" w:lineRule="exact"/>
              <w:jc w:val="center"/>
              <w:rPr>
                <w:rFonts w:eastAsia="Times New Roman" w:cs="Times New Roman"/>
                <w:sz w:val="16"/>
                <w:szCs w:val="18"/>
                <w:lang w:eastAsia="pl-PL"/>
              </w:rPr>
            </w:pPr>
            <w:r w:rsidRPr="009144E4">
              <w:rPr>
                <w:rFonts w:eastAsia="Times New Roman" w:cs="Times New Roman"/>
                <w:sz w:val="16"/>
                <w:szCs w:val="18"/>
                <w:lang w:eastAsia="pl-PL"/>
              </w:rPr>
              <w:t>w zł</w:t>
            </w:r>
          </w:p>
        </w:tc>
        <w:tc>
          <w:tcPr>
            <w:tcW w:w="419" w:type="pct"/>
            <w:tcBorders>
              <w:top w:val="single" w:sz="4" w:space="0" w:color="522398"/>
              <w:bottom w:val="single" w:sz="12" w:space="0" w:color="522398"/>
            </w:tcBorders>
            <w:vAlign w:val="center"/>
          </w:tcPr>
          <w:p w:rsidR="00BC6BAA" w:rsidRPr="009144E4" w:rsidRDefault="00BC6BAA" w:rsidP="00EB0AC6">
            <w:pPr>
              <w:spacing w:before="0" w:after="0" w:line="220" w:lineRule="exact"/>
              <w:jc w:val="center"/>
              <w:rPr>
                <w:rFonts w:eastAsia="Times New Roman" w:cs="Times New Roman"/>
                <w:sz w:val="16"/>
                <w:szCs w:val="18"/>
                <w:lang w:eastAsia="pl-PL"/>
              </w:rPr>
            </w:pPr>
            <w:r w:rsidRPr="009144E4">
              <w:rPr>
                <w:rFonts w:eastAsia="Times New Roman" w:cs="Times New Roman"/>
                <w:sz w:val="16"/>
                <w:szCs w:val="18"/>
                <w:lang w:eastAsia="pl-PL"/>
              </w:rPr>
              <w:t>02 202</w:t>
            </w:r>
            <w:r>
              <w:rPr>
                <w:rFonts w:eastAsia="Times New Roman" w:cs="Times New Roman"/>
                <w:sz w:val="16"/>
                <w:szCs w:val="18"/>
                <w:lang w:eastAsia="pl-PL"/>
              </w:rPr>
              <w:t>4</w:t>
            </w:r>
            <w:r w:rsidRPr="009144E4">
              <w:rPr>
                <w:rFonts w:eastAsia="Times New Roman" w:cs="Times New Roman"/>
                <w:sz w:val="16"/>
                <w:szCs w:val="18"/>
                <w:lang w:eastAsia="pl-PL"/>
              </w:rPr>
              <w:t>=100</w:t>
            </w:r>
          </w:p>
        </w:tc>
        <w:tc>
          <w:tcPr>
            <w:tcW w:w="420" w:type="pct"/>
            <w:tcBorders>
              <w:top w:val="single" w:sz="4" w:space="0" w:color="522398"/>
              <w:bottom w:val="single" w:sz="12" w:space="0" w:color="522398"/>
            </w:tcBorders>
            <w:vAlign w:val="center"/>
          </w:tcPr>
          <w:p w:rsidR="00BC6BAA" w:rsidRPr="009144E4" w:rsidRDefault="00BC6BAA" w:rsidP="00EB0AC6">
            <w:pPr>
              <w:spacing w:before="0" w:after="0" w:line="220" w:lineRule="exact"/>
              <w:jc w:val="center"/>
              <w:rPr>
                <w:rFonts w:eastAsia="Times New Roman" w:cs="Times New Roman"/>
                <w:sz w:val="16"/>
                <w:szCs w:val="18"/>
                <w:lang w:eastAsia="pl-PL"/>
              </w:rPr>
            </w:pPr>
            <w:r>
              <w:rPr>
                <w:rFonts w:eastAsia="Times New Roman" w:cs="Times New Roman"/>
                <w:sz w:val="16"/>
                <w:szCs w:val="18"/>
                <w:lang w:eastAsia="pl-PL"/>
              </w:rPr>
              <w:t>01 2025</w:t>
            </w:r>
            <w:r w:rsidRPr="009144E4">
              <w:rPr>
                <w:rFonts w:eastAsia="Times New Roman" w:cs="Times New Roman"/>
                <w:sz w:val="16"/>
                <w:szCs w:val="18"/>
                <w:lang w:eastAsia="pl-PL"/>
              </w:rPr>
              <w:t>=100</w:t>
            </w:r>
          </w:p>
        </w:tc>
        <w:tc>
          <w:tcPr>
            <w:tcW w:w="419" w:type="pct"/>
            <w:tcBorders>
              <w:top w:val="single" w:sz="4" w:space="0" w:color="522398"/>
              <w:bottom w:val="single" w:sz="12" w:space="0" w:color="522398"/>
            </w:tcBorders>
            <w:vAlign w:val="center"/>
          </w:tcPr>
          <w:p w:rsidR="00BC6BAA" w:rsidRPr="009144E4" w:rsidRDefault="00BC6BAA" w:rsidP="00EB0AC6">
            <w:pPr>
              <w:spacing w:before="0" w:after="0" w:line="220" w:lineRule="exact"/>
              <w:jc w:val="center"/>
              <w:rPr>
                <w:rFonts w:eastAsia="Times New Roman" w:cs="Times New Roman"/>
                <w:sz w:val="16"/>
                <w:szCs w:val="18"/>
                <w:lang w:eastAsia="pl-PL"/>
              </w:rPr>
            </w:pPr>
            <w:r w:rsidRPr="009144E4">
              <w:rPr>
                <w:rFonts w:eastAsia="Times New Roman" w:cs="Times New Roman"/>
                <w:sz w:val="16"/>
                <w:szCs w:val="18"/>
                <w:lang w:eastAsia="pl-PL"/>
              </w:rPr>
              <w:t>w zł</w:t>
            </w:r>
          </w:p>
        </w:tc>
        <w:tc>
          <w:tcPr>
            <w:tcW w:w="419" w:type="pct"/>
            <w:tcBorders>
              <w:top w:val="single" w:sz="4" w:space="0" w:color="522398"/>
              <w:bottom w:val="single" w:sz="12" w:space="0" w:color="522398"/>
            </w:tcBorders>
            <w:vAlign w:val="center"/>
          </w:tcPr>
          <w:p w:rsidR="00BC6BAA" w:rsidRPr="009144E4" w:rsidRDefault="00BC6BAA" w:rsidP="00EB0AC6">
            <w:pPr>
              <w:spacing w:before="0" w:after="0" w:line="220" w:lineRule="exact"/>
              <w:jc w:val="center"/>
              <w:rPr>
                <w:rFonts w:eastAsia="Times New Roman" w:cs="Times New Roman"/>
                <w:sz w:val="16"/>
                <w:szCs w:val="18"/>
                <w:lang w:eastAsia="pl-PL"/>
              </w:rPr>
            </w:pPr>
            <w:r>
              <w:rPr>
                <w:rFonts w:eastAsia="Times New Roman" w:cs="Times New Roman"/>
                <w:sz w:val="16"/>
                <w:szCs w:val="18"/>
                <w:lang w:eastAsia="pl-PL"/>
              </w:rPr>
              <w:t>01–02 2024</w:t>
            </w:r>
            <w:r w:rsidRPr="009144E4">
              <w:rPr>
                <w:rFonts w:eastAsia="Times New Roman" w:cs="Times New Roman"/>
                <w:sz w:val="16"/>
                <w:szCs w:val="18"/>
                <w:lang w:eastAsia="pl-PL"/>
              </w:rPr>
              <w:t>=100</w:t>
            </w:r>
          </w:p>
        </w:tc>
        <w:tc>
          <w:tcPr>
            <w:tcW w:w="419" w:type="pct"/>
            <w:tcBorders>
              <w:top w:val="single" w:sz="4" w:space="0" w:color="522398"/>
              <w:bottom w:val="single" w:sz="12" w:space="0" w:color="522398"/>
            </w:tcBorders>
            <w:vAlign w:val="center"/>
          </w:tcPr>
          <w:p w:rsidR="00BC6BAA" w:rsidRPr="009144E4" w:rsidRDefault="00BC6BAA" w:rsidP="00EB0AC6">
            <w:pPr>
              <w:spacing w:before="0" w:after="0" w:line="220" w:lineRule="exact"/>
              <w:jc w:val="center"/>
              <w:rPr>
                <w:rFonts w:eastAsia="Times New Roman" w:cs="Times New Roman"/>
                <w:sz w:val="16"/>
                <w:szCs w:val="18"/>
                <w:lang w:eastAsia="pl-PL"/>
              </w:rPr>
            </w:pPr>
            <w:r w:rsidRPr="009144E4">
              <w:rPr>
                <w:rFonts w:eastAsia="Times New Roman" w:cs="Times New Roman"/>
                <w:sz w:val="16"/>
                <w:szCs w:val="18"/>
                <w:lang w:eastAsia="pl-PL"/>
              </w:rPr>
              <w:t>w zł</w:t>
            </w:r>
          </w:p>
        </w:tc>
        <w:tc>
          <w:tcPr>
            <w:tcW w:w="419" w:type="pct"/>
            <w:tcBorders>
              <w:top w:val="single" w:sz="4" w:space="0" w:color="522398"/>
              <w:bottom w:val="single" w:sz="12" w:space="0" w:color="522398"/>
            </w:tcBorders>
            <w:vAlign w:val="center"/>
          </w:tcPr>
          <w:p w:rsidR="00BC6BAA" w:rsidRPr="009144E4" w:rsidRDefault="00BC6BAA" w:rsidP="00EB0AC6">
            <w:pPr>
              <w:spacing w:before="0" w:after="0" w:line="220" w:lineRule="exact"/>
              <w:jc w:val="center"/>
              <w:rPr>
                <w:rFonts w:eastAsia="Times New Roman" w:cs="Times New Roman"/>
                <w:sz w:val="16"/>
                <w:szCs w:val="18"/>
                <w:lang w:eastAsia="pl-PL"/>
              </w:rPr>
            </w:pPr>
            <w:r>
              <w:rPr>
                <w:rFonts w:eastAsia="Times New Roman" w:cs="Times New Roman"/>
                <w:sz w:val="16"/>
                <w:szCs w:val="18"/>
                <w:lang w:eastAsia="pl-PL"/>
              </w:rPr>
              <w:t>02 2024</w:t>
            </w:r>
            <w:r w:rsidRPr="009144E4">
              <w:rPr>
                <w:rFonts w:eastAsia="Times New Roman" w:cs="Times New Roman"/>
                <w:sz w:val="16"/>
                <w:szCs w:val="18"/>
                <w:lang w:eastAsia="pl-PL"/>
              </w:rPr>
              <w:t>=100</w:t>
            </w:r>
          </w:p>
        </w:tc>
        <w:tc>
          <w:tcPr>
            <w:tcW w:w="419" w:type="pct"/>
            <w:tcBorders>
              <w:top w:val="single" w:sz="4" w:space="0" w:color="522398"/>
              <w:bottom w:val="single" w:sz="12" w:space="0" w:color="522398"/>
            </w:tcBorders>
            <w:vAlign w:val="center"/>
          </w:tcPr>
          <w:p w:rsidR="00BC6BAA" w:rsidRPr="009144E4" w:rsidRDefault="00BC6BAA" w:rsidP="00EB0AC6">
            <w:pPr>
              <w:spacing w:before="0" w:after="0" w:line="220" w:lineRule="exact"/>
              <w:jc w:val="center"/>
              <w:rPr>
                <w:rFonts w:eastAsia="Times New Roman" w:cs="Times New Roman"/>
                <w:sz w:val="16"/>
                <w:szCs w:val="18"/>
                <w:lang w:eastAsia="pl-PL"/>
              </w:rPr>
            </w:pPr>
            <w:r>
              <w:rPr>
                <w:rFonts w:eastAsia="Times New Roman" w:cs="Times New Roman"/>
                <w:sz w:val="16"/>
                <w:szCs w:val="18"/>
                <w:lang w:eastAsia="pl-PL"/>
              </w:rPr>
              <w:t>01 2025</w:t>
            </w:r>
            <w:r w:rsidRPr="009144E4">
              <w:rPr>
                <w:rFonts w:eastAsia="Times New Roman" w:cs="Times New Roman"/>
                <w:sz w:val="16"/>
                <w:szCs w:val="18"/>
                <w:lang w:eastAsia="pl-PL"/>
              </w:rPr>
              <w:t>=100</w:t>
            </w:r>
          </w:p>
        </w:tc>
        <w:tc>
          <w:tcPr>
            <w:tcW w:w="419" w:type="pct"/>
            <w:tcBorders>
              <w:top w:val="single" w:sz="4" w:space="0" w:color="522398"/>
              <w:bottom w:val="single" w:sz="12" w:space="0" w:color="522398"/>
            </w:tcBorders>
            <w:vAlign w:val="center"/>
          </w:tcPr>
          <w:p w:rsidR="00BC6BAA" w:rsidRPr="009144E4" w:rsidRDefault="00BC6BAA" w:rsidP="00EB0AC6">
            <w:pPr>
              <w:spacing w:before="0" w:after="0" w:line="220" w:lineRule="exact"/>
              <w:jc w:val="center"/>
              <w:rPr>
                <w:rFonts w:eastAsia="Times New Roman" w:cs="Times New Roman"/>
                <w:sz w:val="16"/>
                <w:szCs w:val="18"/>
                <w:lang w:eastAsia="pl-PL"/>
              </w:rPr>
            </w:pPr>
            <w:r w:rsidRPr="009144E4">
              <w:rPr>
                <w:rFonts w:eastAsia="Times New Roman" w:cs="Times New Roman"/>
                <w:sz w:val="16"/>
                <w:szCs w:val="18"/>
                <w:lang w:eastAsia="pl-PL"/>
              </w:rPr>
              <w:t>w zł</w:t>
            </w:r>
          </w:p>
        </w:tc>
        <w:tc>
          <w:tcPr>
            <w:tcW w:w="416" w:type="pct"/>
            <w:tcBorders>
              <w:top w:val="single" w:sz="4" w:space="0" w:color="522398"/>
              <w:bottom w:val="single" w:sz="12" w:space="0" w:color="522398"/>
            </w:tcBorders>
            <w:vAlign w:val="center"/>
          </w:tcPr>
          <w:p w:rsidR="00BC6BAA" w:rsidRPr="009144E4" w:rsidRDefault="00BC6BAA" w:rsidP="00EB0AC6">
            <w:pPr>
              <w:spacing w:before="0" w:after="0" w:line="220" w:lineRule="exact"/>
              <w:jc w:val="center"/>
              <w:rPr>
                <w:rFonts w:eastAsia="Times New Roman" w:cs="Times New Roman"/>
                <w:sz w:val="16"/>
                <w:szCs w:val="18"/>
                <w:lang w:eastAsia="pl-PL"/>
              </w:rPr>
            </w:pPr>
            <w:r>
              <w:rPr>
                <w:rFonts w:eastAsia="Times New Roman" w:cs="Times New Roman"/>
                <w:sz w:val="16"/>
                <w:szCs w:val="18"/>
                <w:lang w:eastAsia="pl-PL"/>
              </w:rPr>
              <w:t>01–02 2024</w:t>
            </w:r>
            <w:r w:rsidRPr="009144E4">
              <w:rPr>
                <w:rFonts w:eastAsia="Times New Roman" w:cs="Times New Roman"/>
                <w:sz w:val="16"/>
                <w:szCs w:val="18"/>
                <w:lang w:eastAsia="pl-PL"/>
              </w:rPr>
              <w:t>=100</w:t>
            </w:r>
          </w:p>
        </w:tc>
      </w:tr>
      <w:tr w:rsidR="00BC6BAA" w:rsidRPr="009144E4" w:rsidTr="00EB0AC6">
        <w:trPr>
          <w:trHeight w:val="57"/>
          <w:tblHeader/>
          <w:jc w:val="center"/>
        </w:trPr>
        <w:tc>
          <w:tcPr>
            <w:tcW w:w="814" w:type="pct"/>
            <w:tcBorders>
              <w:top w:val="single" w:sz="12" w:space="0" w:color="522398"/>
              <w:bottom w:val="single" w:sz="4" w:space="0" w:color="522398"/>
            </w:tcBorders>
            <w:vAlign w:val="center"/>
          </w:tcPr>
          <w:p w:rsidR="00BC6BAA" w:rsidRPr="009144E4" w:rsidRDefault="00BC6BAA" w:rsidP="00EB0AC6">
            <w:pPr>
              <w:tabs>
                <w:tab w:val="left" w:pos="5103"/>
              </w:tabs>
              <w:spacing w:before="0" w:after="0"/>
              <w:rPr>
                <w:rFonts w:eastAsia="Times New Roman" w:cs="Times New Roman"/>
                <w:spacing w:val="-4"/>
                <w:sz w:val="16"/>
                <w:szCs w:val="16"/>
                <w:lang w:eastAsia="pl-PL"/>
              </w:rPr>
            </w:pPr>
            <w:r w:rsidRPr="009144E4">
              <w:rPr>
                <w:rFonts w:eastAsia="Times New Roman" w:cs="Times New Roman"/>
                <w:spacing w:val="-4"/>
                <w:sz w:val="16"/>
                <w:szCs w:val="16"/>
                <w:lang w:eastAsia="pl-PL"/>
              </w:rPr>
              <w:t>Ziarno zbóż</w:t>
            </w:r>
            <w:r w:rsidRPr="009144E4">
              <w:rPr>
                <w:rFonts w:eastAsia="Times New Roman" w:cs="Times New Roman"/>
                <w:spacing w:val="-4"/>
                <w:sz w:val="16"/>
                <w:szCs w:val="16"/>
                <w:vertAlign w:val="superscript"/>
                <w:lang w:eastAsia="pl-PL"/>
              </w:rPr>
              <w:t xml:space="preserve"> a</w:t>
            </w:r>
            <w:r w:rsidRPr="009144E4">
              <w:rPr>
                <w:rFonts w:eastAsia="Times New Roman" w:cs="Times New Roman"/>
                <w:spacing w:val="-4"/>
                <w:sz w:val="16"/>
                <w:szCs w:val="16"/>
                <w:lang w:eastAsia="pl-PL"/>
              </w:rPr>
              <w:t xml:space="preserve"> za 1 dt:</w:t>
            </w:r>
          </w:p>
        </w:tc>
        <w:tc>
          <w:tcPr>
            <w:tcW w:w="418" w:type="pct"/>
            <w:tcBorders>
              <w:top w:val="single" w:sz="12" w:space="0" w:color="522398"/>
              <w:bottom w:val="single" w:sz="4" w:space="0" w:color="522398"/>
            </w:tcBorders>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lang w:eastAsia="pl-PL"/>
              </w:rPr>
            </w:pPr>
          </w:p>
        </w:tc>
        <w:tc>
          <w:tcPr>
            <w:tcW w:w="419" w:type="pct"/>
            <w:tcBorders>
              <w:top w:val="single" w:sz="12" w:space="0" w:color="522398"/>
              <w:bottom w:val="single" w:sz="4" w:space="0" w:color="522398"/>
            </w:tcBorders>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lang w:eastAsia="pl-PL"/>
              </w:rPr>
            </w:pPr>
          </w:p>
        </w:tc>
        <w:tc>
          <w:tcPr>
            <w:tcW w:w="420" w:type="pct"/>
            <w:tcBorders>
              <w:top w:val="single" w:sz="12" w:space="0" w:color="522398"/>
              <w:bottom w:val="single" w:sz="4" w:space="0" w:color="522398"/>
            </w:tcBorders>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lang w:eastAsia="pl-PL"/>
              </w:rPr>
            </w:pPr>
          </w:p>
        </w:tc>
        <w:tc>
          <w:tcPr>
            <w:tcW w:w="419" w:type="pct"/>
            <w:tcBorders>
              <w:top w:val="single" w:sz="12" w:space="0" w:color="522398"/>
              <w:bottom w:val="single" w:sz="4" w:space="0" w:color="522398"/>
            </w:tcBorders>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lang w:eastAsia="pl-PL"/>
              </w:rPr>
            </w:pPr>
          </w:p>
        </w:tc>
        <w:tc>
          <w:tcPr>
            <w:tcW w:w="419" w:type="pct"/>
            <w:tcBorders>
              <w:top w:val="single" w:sz="12" w:space="0" w:color="522398"/>
              <w:bottom w:val="single" w:sz="4" w:space="0" w:color="522398"/>
            </w:tcBorders>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lang w:eastAsia="pl-PL"/>
              </w:rPr>
            </w:pPr>
          </w:p>
        </w:tc>
        <w:tc>
          <w:tcPr>
            <w:tcW w:w="419" w:type="pct"/>
            <w:tcBorders>
              <w:top w:val="single" w:sz="12" w:space="0" w:color="522398"/>
              <w:bottom w:val="single" w:sz="4" w:space="0" w:color="522398"/>
            </w:tcBorders>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lang w:eastAsia="pl-PL"/>
              </w:rPr>
            </w:pPr>
          </w:p>
        </w:tc>
        <w:tc>
          <w:tcPr>
            <w:tcW w:w="419" w:type="pct"/>
            <w:tcBorders>
              <w:top w:val="single" w:sz="12" w:space="0" w:color="522398"/>
              <w:bottom w:val="single" w:sz="4" w:space="0" w:color="522398"/>
            </w:tcBorders>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lang w:eastAsia="pl-PL"/>
              </w:rPr>
            </w:pPr>
          </w:p>
        </w:tc>
        <w:tc>
          <w:tcPr>
            <w:tcW w:w="419" w:type="pct"/>
            <w:tcBorders>
              <w:top w:val="single" w:sz="12" w:space="0" w:color="522398"/>
              <w:bottom w:val="single" w:sz="4" w:space="0" w:color="522398"/>
            </w:tcBorders>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lang w:eastAsia="pl-PL"/>
              </w:rPr>
            </w:pPr>
          </w:p>
        </w:tc>
        <w:tc>
          <w:tcPr>
            <w:tcW w:w="419" w:type="pct"/>
            <w:tcBorders>
              <w:top w:val="single" w:sz="12" w:space="0" w:color="522398"/>
              <w:bottom w:val="single" w:sz="4" w:space="0" w:color="522398"/>
            </w:tcBorders>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lang w:eastAsia="pl-PL"/>
              </w:rPr>
            </w:pPr>
          </w:p>
        </w:tc>
        <w:tc>
          <w:tcPr>
            <w:tcW w:w="416" w:type="pct"/>
            <w:tcBorders>
              <w:top w:val="single" w:sz="12" w:space="0" w:color="522398"/>
              <w:bottom w:val="single" w:sz="4" w:space="0" w:color="522398"/>
            </w:tcBorders>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lang w:eastAsia="pl-PL"/>
              </w:rPr>
            </w:pPr>
          </w:p>
        </w:tc>
      </w:tr>
      <w:tr w:rsidR="00BC6BAA" w:rsidRPr="009144E4" w:rsidTr="00EB0AC6">
        <w:trPr>
          <w:trHeight w:val="57"/>
          <w:tblHeader/>
          <w:jc w:val="center"/>
        </w:trPr>
        <w:tc>
          <w:tcPr>
            <w:tcW w:w="814" w:type="pct"/>
            <w:tcBorders>
              <w:top w:val="single" w:sz="4" w:space="0" w:color="522398"/>
              <w:bottom w:val="single" w:sz="4" w:space="0" w:color="522398"/>
            </w:tcBorders>
            <w:vAlign w:val="center"/>
          </w:tcPr>
          <w:p w:rsidR="00BC6BAA" w:rsidRPr="009144E4" w:rsidRDefault="00BC6BAA" w:rsidP="00EB0AC6">
            <w:pPr>
              <w:spacing w:before="0" w:after="0"/>
              <w:ind w:left="176"/>
              <w:rPr>
                <w:rFonts w:eastAsia="Times New Roman" w:cs="Times New Roman"/>
                <w:spacing w:val="-4"/>
                <w:sz w:val="16"/>
                <w:szCs w:val="16"/>
                <w:lang w:eastAsia="pl-PL"/>
              </w:rPr>
            </w:pPr>
            <w:r w:rsidRPr="009144E4">
              <w:rPr>
                <w:rFonts w:eastAsia="Times New Roman" w:cs="Times New Roman"/>
                <w:spacing w:val="-4"/>
                <w:sz w:val="16"/>
                <w:szCs w:val="16"/>
                <w:lang w:eastAsia="pl-PL"/>
              </w:rPr>
              <w:t>pszenica</w:t>
            </w:r>
          </w:p>
        </w:tc>
        <w:tc>
          <w:tcPr>
            <w:tcW w:w="418" w:type="pct"/>
            <w:tcBorders>
              <w:top w:val="single" w:sz="4" w:space="0" w:color="522398"/>
              <w:bottom w:val="single" w:sz="4" w:space="0" w:color="522398"/>
            </w:tcBorders>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DC27DF">
              <w:rPr>
                <w:rFonts w:eastAsia="Arial Unicode MS" w:cs="Calibri"/>
                <w:bCs/>
                <w:iCs/>
                <w:color w:val="000000"/>
                <w:sz w:val="16"/>
                <w:lang w:eastAsia="pl-PL"/>
              </w:rPr>
              <w:t>91,20</w:t>
            </w:r>
          </w:p>
        </w:tc>
        <w:tc>
          <w:tcPr>
            <w:tcW w:w="419" w:type="pct"/>
            <w:tcBorders>
              <w:top w:val="single" w:sz="4" w:space="0" w:color="522398"/>
              <w:bottom w:val="single" w:sz="4" w:space="0" w:color="522398"/>
            </w:tcBorders>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DC27DF">
              <w:rPr>
                <w:rFonts w:eastAsia="Arial Unicode MS" w:cs="Calibri"/>
                <w:bCs/>
                <w:iCs/>
                <w:color w:val="000000"/>
                <w:sz w:val="16"/>
                <w:lang w:eastAsia="pl-PL"/>
              </w:rPr>
              <w:t>110,9</w:t>
            </w:r>
          </w:p>
        </w:tc>
        <w:tc>
          <w:tcPr>
            <w:tcW w:w="420" w:type="pct"/>
            <w:tcBorders>
              <w:top w:val="single" w:sz="4" w:space="0" w:color="522398"/>
              <w:bottom w:val="single" w:sz="4" w:space="0" w:color="522398"/>
            </w:tcBorders>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DC27DF">
              <w:rPr>
                <w:rFonts w:eastAsia="Arial Unicode MS" w:cs="Calibri"/>
                <w:bCs/>
                <w:iCs/>
                <w:color w:val="000000"/>
                <w:sz w:val="16"/>
                <w:lang w:eastAsia="pl-PL"/>
              </w:rPr>
              <w:t>99,8</w:t>
            </w:r>
          </w:p>
        </w:tc>
        <w:tc>
          <w:tcPr>
            <w:tcW w:w="419" w:type="pct"/>
            <w:tcBorders>
              <w:top w:val="single" w:sz="4" w:space="0" w:color="522398"/>
              <w:bottom w:val="single" w:sz="4" w:space="0" w:color="522398"/>
            </w:tcBorders>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DC27DF">
              <w:rPr>
                <w:rFonts w:eastAsia="Arial Unicode MS" w:cs="Calibri"/>
                <w:bCs/>
                <w:iCs/>
                <w:color w:val="000000"/>
                <w:sz w:val="16"/>
                <w:lang w:eastAsia="pl-PL"/>
              </w:rPr>
              <w:t>91,30</w:t>
            </w:r>
          </w:p>
        </w:tc>
        <w:tc>
          <w:tcPr>
            <w:tcW w:w="419" w:type="pct"/>
            <w:tcBorders>
              <w:top w:val="single" w:sz="4" w:space="0" w:color="522398"/>
              <w:bottom w:val="single" w:sz="4" w:space="0" w:color="522398"/>
            </w:tcBorders>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DC27DF">
              <w:rPr>
                <w:rFonts w:eastAsia="Arial Unicode MS" w:cs="Calibri"/>
                <w:bCs/>
                <w:iCs/>
                <w:color w:val="000000"/>
                <w:sz w:val="16"/>
                <w:lang w:eastAsia="pl-PL"/>
              </w:rPr>
              <w:t>108,5</w:t>
            </w:r>
          </w:p>
        </w:tc>
        <w:tc>
          <w:tcPr>
            <w:tcW w:w="419" w:type="pct"/>
            <w:tcBorders>
              <w:top w:val="single" w:sz="4" w:space="0" w:color="522398"/>
              <w:bottom w:val="single" w:sz="4" w:space="0" w:color="522398"/>
            </w:tcBorders>
            <w:vAlign w:val="center"/>
          </w:tcPr>
          <w:p w:rsidR="00BC6BAA" w:rsidRPr="00C73C1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cyan"/>
                <w:lang w:eastAsia="pl-PL"/>
              </w:rPr>
            </w:pPr>
            <w:r w:rsidRPr="00D42814">
              <w:rPr>
                <w:rFonts w:eastAsia="Arial Unicode MS" w:cs="Calibri"/>
                <w:bCs/>
                <w:iCs/>
                <w:color w:val="000000"/>
                <w:sz w:val="16"/>
                <w:lang w:eastAsia="pl-PL"/>
              </w:rPr>
              <w:t>114,29</w:t>
            </w:r>
          </w:p>
        </w:tc>
        <w:tc>
          <w:tcPr>
            <w:tcW w:w="419" w:type="pct"/>
            <w:tcBorders>
              <w:top w:val="single" w:sz="4" w:space="0" w:color="522398"/>
              <w:bottom w:val="single" w:sz="4" w:space="0" w:color="522398"/>
            </w:tcBorders>
            <w:vAlign w:val="center"/>
          </w:tcPr>
          <w:p w:rsidR="00BC6BAA" w:rsidRPr="00C73C1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cyan"/>
                <w:lang w:eastAsia="pl-PL"/>
              </w:rPr>
            </w:pPr>
            <w:r w:rsidRPr="00D42814">
              <w:rPr>
                <w:rFonts w:eastAsia="Arial Unicode MS" w:cs="Calibri"/>
                <w:bCs/>
                <w:iCs/>
                <w:color w:val="000000"/>
                <w:sz w:val="16"/>
                <w:lang w:eastAsia="pl-PL"/>
              </w:rPr>
              <w:t>93,3</w:t>
            </w:r>
          </w:p>
        </w:tc>
        <w:tc>
          <w:tcPr>
            <w:tcW w:w="419" w:type="pct"/>
            <w:tcBorders>
              <w:top w:val="single" w:sz="4" w:space="0" w:color="522398"/>
              <w:bottom w:val="single" w:sz="4" w:space="0" w:color="522398"/>
            </w:tcBorders>
            <w:vAlign w:val="center"/>
          </w:tcPr>
          <w:p w:rsidR="00BC6BAA" w:rsidRPr="00C73C1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cyan"/>
                <w:lang w:eastAsia="pl-PL"/>
              </w:rPr>
            </w:pPr>
            <w:r w:rsidRPr="00D42814">
              <w:rPr>
                <w:rFonts w:eastAsia="Arial Unicode MS" w:cs="Calibri"/>
                <w:bCs/>
                <w:iCs/>
                <w:color w:val="000000"/>
                <w:sz w:val="16"/>
                <w:lang w:eastAsia="pl-PL"/>
              </w:rPr>
              <w:t>96,0</w:t>
            </w:r>
          </w:p>
        </w:tc>
        <w:tc>
          <w:tcPr>
            <w:tcW w:w="419" w:type="pct"/>
            <w:tcBorders>
              <w:top w:val="single" w:sz="4" w:space="0" w:color="522398"/>
              <w:bottom w:val="single" w:sz="4" w:space="0" w:color="522398"/>
            </w:tcBorders>
            <w:vAlign w:val="center"/>
          </w:tcPr>
          <w:p w:rsidR="00BC6BAA" w:rsidRPr="00C73C1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cyan"/>
                <w:lang w:eastAsia="pl-PL"/>
              </w:rPr>
            </w:pPr>
            <w:r w:rsidRPr="00D42814">
              <w:rPr>
                <w:rFonts w:eastAsia="Arial Unicode MS" w:cs="Calibri"/>
                <w:bCs/>
                <w:iCs/>
                <w:color w:val="000000"/>
                <w:sz w:val="16"/>
                <w:lang w:eastAsia="pl-PL"/>
              </w:rPr>
              <w:t>116,67</w:t>
            </w:r>
          </w:p>
        </w:tc>
        <w:tc>
          <w:tcPr>
            <w:tcW w:w="416" w:type="pct"/>
            <w:tcBorders>
              <w:top w:val="single" w:sz="4" w:space="0" w:color="522398"/>
              <w:bottom w:val="single" w:sz="4" w:space="0" w:color="522398"/>
            </w:tcBorders>
            <w:vAlign w:val="center"/>
          </w:tcPr>
          <w:p w:rsidR="00BC6BAA" w:rsidRPr="00C73C1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cyan"/>
                <w:lang w:eastAsia="pl-PL"/>
              </w:rPr>
            </w:pPr>
            <w:r w:rsidRPr="00D42814">
              <w:rPr>
                <w:rFonts w:eastAsia="Arial Unicode MS" w:cs="Calibri"/>
                <w:bCs/>
                <w:iCs/>
                <w:color w:val="000000"/>
                <w:sz w:val="16"/>
                <w:lang w:eastAsia="pl-PL"/>
              </w:rPr>
              <w:t>95,5</w:t>
            </w:r>
          </w:p>
        </w:tc>
      </w:tr>
      <w:tr w:rsidR="00BC6BAA" w:rsidRPr="009144E4" w:rsidTr="00EB0AC6">
        <w:trPr>
          <w:trHeight w:val="57"/>
          <w:tblHeader/>
          <w:jc w:val="center"/>
        </w:trPr>
        <w:tc>
          <w:tcPr>
            <w:tcW w:w="814" w:type="pct"/>
            <w:tcBorders>
              <w:top w:val="single" w:sz="4" w:space="0" w:color="522398"/>
            </w:tcBorders>
            <w:vAlign w:val="center"/>
          </w:tcPr>
          <w:p w:rsidR="00BC6BAA" w:rsidRPr="009144E4" w:rsidRDefault="00BC6BAA" w:rsidP="00EB0AC6">
            <w:pPr>
              <w:spacing w:before="0" w:after="0"/>
              <w:ind w:left="176"/>
              <w:rPr>
                <w:rFonts w:eastAsia="Times New Roman" w:cs="Times New Roman"/>
                <w:spacing w:val="-4"/>
                <w:sz w:val="16"/>
                <w:szCs w:val="16"/>
                <w:lang w:eastAsia="pl-PL"/>
              </w:rPr>
            </w:pPr>
            <w:r w:rsidRPr="009144E4">
              <w:rPr>
                <w:rFonts w:eastAsia="Times New Roman" w:cs="Times New Roman"/>
                <w:spacing w:val="-4"/>
                <w:sz w:val="16"/>
                <w:szCs w:val="16"/>
                <w:lang w:eastAsia="pl-PL"/>
              </w:rPr>
              <w:t>żyto</w:t>
            </w:r>
          </w:p>
        </w:tc>
        <w:tc>
          <w:tcPr>
            <w:tcW w:w="418" w:type="pct"/>
            <w:tcBorders>
              <w:top w:val="single" w:sz="4" w:space="0" w:color="522398"/>
            </w:tcBorders>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DC27DF">
              <w:rPr>
                <w:rFonts w:eastAsia="Arial Unicode MS" w:cs="Calibri"/>
                <w:bCs/>
                <w:iCs/>
                <w:color w:val="000000"/>
                <w:sz w:val="16"/>
                <w:lang w:eastAsia="pl-PL"/>
              </w:rPr>
              <w:t>71,93</w:t>
            </w:r>
          </w:p>
        </w:tc>
        <w:tc>
          <w:tcPr>
            <w:tcW w:w="419" w:type="pct"/>
            <w:tcBorders>
              <w:top w:val="single" w:sz="4" w:space="0" w:color="522398"/>
            </w:tcBorders>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DC27DF">
              <w:rPr>
                <w:rFonts w:eastAsia="Arial Unicode MS" w:cs="Calibri"/>
                <w:bCs/>
                <w:iCs/>
                <w:color w:val="000000"/>
                <w:sz w:val="16"/>
                <w:lang w:eastAsia="pl-PL"/>
              </w:rPr>
              <w:t>123,2</w:t>
            </w:r>
          </w:p>
        </w:tc>
        <w:tc>
          <w:tcPr>
            <w:tcW w:w="420" w:type="pct"/>
            <w:tcBorders>
              <w:top w:val="single" w:sz="4" w:space="0" w:color="522398"/>
            </w:tcBorders>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DC27DF">
              <w:rPr>
                <w:rFonts w:eastAsia="Arial Unicode MS" w:cs="Calibri"/>
                <w:bCs/>
                <w:iCs/>
                <w:color w:val="000000"/>
                <w:sz w:val="16"/>
                <w:lang w:eastAsia="pl-PL"/>
              </w:rPr>
              <w:t>103,4</w:t>
            </w:r>
          </w:p>
        </w:tc>
        <w:tc>
          <w:tcPr>
            <w:tcW w:w="419" w:type="pct"/>
            <w:tcBorders>
              <w:top w:val="single" w:sz="4" w:space="0" w:color="522398"/>
            </w:tcBorders>
            <w:vAlign w:val="bottom"/>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DC27DF">
              <w:rPr>
                <w:rFonts w:eastAsia="Arial Unicode MS" w:cs="Calibri"/>
                <w:bCs/>
                <w:iCs/>
                <w:color w:val="000000"/>
                <w:sz w:val="16"/>
                <w:lang w:eastAsia="pl-PL"/>
              </w:rPr>
              <w:t>70,85</w:t>
            </w:r>
          </w:p>
        </w:tc>
        <w:tc>
          <w:tcPr>
            <w:tcW w:w="419" w:type="pct"/>
            <w:tcBorders>
              <w:top w:val="single" w:sz="4" w:space="0" w:color="522398"/>
            </w:tcBorders>
            <w:vAlign w:val="bottom"/>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DC27DF">
              <w:rPr>
                <w:rFonts w:eastAsia="Arial Unicode MS" w:cs="Calibri"/>
                <w:bCs/>
                <w:iCs/>
                <w:color w:val="000000"/>
                <w:sz w:val="16"/>
                <w:lang w:eastAsia="pl-PL"/>
              </w:rPr>
              <w:t>119,2</w:t>
            </w:r>
          </w:p>
        </w:tc>
        <w:tc>
          <w:tcPr>
            <w:tcW w:w="419" w:type="pct"/>
            <w:tcBorders>
              <w:top w:val="single" w:sz="4" w:space="0" w:color="522398"/>
            </w:tcBorders>
            <w:vAlign w:val="center"/>
          </w:tcPr>
          <w:p w:rsidR="00BC6BAA" w:rsidRPr="00C73C1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cyan"/>
                <w:lang w:eastAsia="pl-PL"/>
              </w:rPr>
            </w:pPr>
            <w:r w:rsidRPr="00D42814">
              <w:rPr>
                <w:rFonts w:eastAsia="Arial Unicode MS" w:cs="Calibri"/>
                <w:bCs/>
                <w:iCs/>
                <w:color w:val="000000"/>
                <w:sz w:val="16"/>
                <w:lang w:eastAsia="pl-PL"/>
              </w:rPr>
              <w:t>98,00</w:t>
            </w:r>
          </w:p>
        </w:tc>
        <w:tc>
          <w:tcPr>
            <w:tcW w:w="419" w:type="pct"/>
            <w:tcBorders>
              <w:top w:val="single" w:sz="4" w:space="0" w:color="522398"/>
            </w:tcBorders>
            <w:vAlign w:val="center"/>
          </w:tcPr>
          <w:p w:rsidR="00BC6BAA" w:rsidRPr="00C73C1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cyan"/>
                <w:lang w:eastAsia="pl-PL"/>
              </w:rPr>
            </w:pPr>
            <w:r w:rsidRPr="00D42814">
              <w:rPr>
                <w:rFonts w:eastAsia="Arial Unicode MS" w:cs="Calibri"/>
                <w:bCs/>
                <w:iCs/>
                <w:color w:val="000000"/>
                <w:sz w:val="16"/>
                <w:lang w:eastAsia="pl-PL"/>
              </w:rPr>
              <w:t>108,9</w:t>
            </w:r>
          </w:p>
        </w:tc>
        <w:tc>
          <w:tcPr>
            <w:tcW w:w="419" w:type="pct"/>
            <w:tcBorders>
              <w:top w:val="single" w:sz="4" w:space="0" w:color="522398"/>
            </w:tcBorders>
            <w:vAlign w:val="center"/>
          </w:tcPr>
          <w:p w:rsidR="00BC6BAA" w:rsidRPr="00C73C1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cyan"/>
                <w:lang w:eastAsia="pl-PL"/>
              </w:rPr>
            </w:pPr>
            <w:r w:rsidRPr="00D42814">
              <w:rPr>
                <w:rFonts w:eastAsia="Arial Unicode MS" w:cs="Calibri"/>
                <w:bCs/>
                <w:iCs/>
                <w:color w:val="000000"/>
                <w:sz w:val="16"/>
                <w:lang w:eastAsia="pl-PL"/>
              </w:rPr>
              <w:t>99,8</w:t>
            </w:r>
          </w:p>
        </w:tc>
        <w:tc>
          <w:tcPr>
            <w:tcW w:w="419" w:type="pct"/>
            <w:tcBorders>
              <w:top w:val="single" w:sz="4" w:space="0" w:color="522398"/>
            </w:tcBorders>
            <w:vAlign w:val="center"/>
          </w:tcPr>
          <w:p w:rsidR="00BC6BAA" w:rsidRPr="00C73C1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cyan"/>
                <w:lang w:eastAsia="pl-PL"/>
              </w:rPr>
            </w:pPr>
            <w:r w:rsidRPr="00D42814">
              <w:rPr>
                <w:rFonts w:eastAsia="Arial Unicode MS" w:cs="Calibri"/>
                <w:bCs/>
                <w:iCs/>
                <w:color w:val="000000"/>
                <w:sz w:val="16"/>
                <w:lang w:eastAsia="pl-PL"/>
              </w:rPr>
              <w:t>98,11</w:t>
            </w:r>
          </w:p>
        </w:tc>
        <w:tc>
          <w:tcPr>
            <w:tcW w:w="416" w:type="pct"/>
            <w:tcBorders>
              <w:top w:val="single" w:sz="4" w:space="0" w:color="522398"/>
            </w:tcBorders>
            <w:vAlign w:val="center"/>
          </w:tcPr>
          <w:p w:rsidR="00BC6BAA" w:rsidRPr="00C73C1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cyan"/>
                <w:lang w:eastAsia="pl-PL"/>
              </w:rPr>
            </w:pPr>
            <w:r w:rsidRPr="00D42814">
              <w:rPr>
                <w:rFonts w:eastAsia="Arial Unicode MS" w:cs="Calibri"/>
                <w:bCs/>
                <w:iCs/>
                <w:color w:val="000000"/>
                <w:sz w:val="16"/>
                <w:lang w:eastAsia="pl-PL"/>
              </w:rPr>
              <w:t>105,6</w:t>
            </w:r>
          </w:p>
        </w:tc>
      </w:tr>
      <w:tr w:rsidR="00BC6BAA" w:rsidRPr="009144E4" w:rsidTr="00EB0AC6">
        <w:trPr>
          <w:trHeight w:val="57"/>
          <w:tblHeader/>
          <w:jc w:val="center"/>
        </w:trPr>
        <w:tc>
          <w:tcPr>
            <w:tcW w:w="814" w:type="pct"/>
            <w:vAlign w:val="center"/>
          </w:tcPr>
          <w:p w:rsidR="00BC6BAA" w:rsidRPr="009144E4" w:rsidRDefault="00BC6BAA" w:rsidP="00EB0AC6">
            <w:pPr>
              <w:tabs>
                <w:tab w:val="left" w:pos="5103"/>
              </w:tabs>
              <w:spacing w:before="0" w:after="0"/>
              <w:rPr>
                <w:rFonts w:eastAsia="Times New Roman" w:cs="Times New Roman"/>
                <w:spacing w:val="-4"/>
                <w:sz w:val="16"/>
                <w:szCs w:val="16"/>
                <w:lang w:eastAsia="pl-PL"/>
              </w:rPr>
            </w:pPr>
            <w:r w:rsidRPr="009144E4">
              <w:rPr>
                <w:rFonts w:eastAsia="Times New Roman" w:cs="Times New Roman"/>
                <w:spacing w:val="-4"/>
                <w:sz w:val="16"/>
                <w:szCs w:val="16"/>
                <w:lang w:eastAsia="pl-PL"/>
              </w:rPr>
              <w:t>Ziemniaki</w:t>
            </w:r>
            <w:r w:rsidRPr="009144E4">
              <w:rPr>
                <w:rFonts w:eastAsia="Times New Roman" w:cs="Times New Roman"/>
                <w:spacing w:val="-4"/>
                <w:sz w:val="16"/>
                <w:szCs w:val="16"/>
                <w:vertAlign w:val="superscript"/>
                <w:lang w:eastAsia="pl-PL"/>
              </w:rPr>
              <w:t xml:space="preserve"> b</w:t>
            </w:r>
            <w:r w:rsidRPr="009144E4">
              <w:rPr>
                <w:rFonts w:eastAsia="Times New Roman" w:cs="Times New Roman"/>
                <w:spacing w:val="-4"/>
                <w:sz w:val="16"/>
                <w:szCs w:val="16"/>
                <w:lang w:eastAsia="pl-PL"/>
              </w:rPr>
              <w:t xml:space="preserve"> za 1 dt</w:t>
            </w:r>
          </w:p>
        </w:tc>
        <w:tc>
          <w:tcPr>
            <w:tcW w:w="418" w:type="pct"/>
            <w:shd w:val="clear" w:color="auto" w:fill="auto"/>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DC27DF">
              <w:rPr>
                <w:rFonts w:eastAsia="Arial Unicode MS" w:cs="Calibri"/>
                <w:bCs/>
                <w:iCs/>
                <w:color w:val="000000"/>
                <w:sz w:val="16"/>
                <w:lang w:eastAsia="pl-PL"/>
              </w:rPr>
              <w:t>157,28</w:t>
            </w:r>
          </w:p>
        </w:tc>
        <w:tc>
          <w:tcPr>
            <w:tcW w:w="419" w:type="pct"/>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DC27DF">
              <w:rPr>
                <w:rFonts w:eastAsia="Arial Unicode MS" w:cs="Calibri"/>
                <w:bCs/>
                <w:iCs/>
                <w:color w:val="000000"/>
                <w:sz w:val="16"/>
                <w:lang w:eastAsia="pl-PL"/>
              </w:rPr>
              <w:t>87,8</w:t>
            </w:r>
          </w:p>
        </w:tc>
        <w:tc>
          <w:tcPr>
            <w:tcW w:w="420" w:type="pct"/>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DC27DF">
              <w:rPr>
                <w:rFonts w:eastAsia="Arial Unicode MS" w:cs="Calibri"/>
                <w:bCs/>
                <w:iCs/>
                <w:color w:val="000000"/>
                <w:sz w:val="16"/>
                <w:lang w:eastAsia="pl-PL"/>
              </w:rPr>
              <w:t>104,6</w:t>
            </w:r>
          </w:p>
        </w:tc>
        <w:tc>
          <w:tcPr>
            <w:tcW w:w="419" w:type="pct"/>
            <w:vAlign w:val="bottom"/>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DC27DF">
              <w:rPr>
                <w:rFonts w:eastAsia="Arial Unicode MS" w:cs="Calibri"/>
                <w:bCs/>
                <w:iCs/>
                <w:color w:val="000000"/>
                <w:sz w:val="16"/>
                <w:lang w:eastAsia="pl-PL"/>
              </w:rPr>
              <w:t>153,34</w:t>
            </w:r>
          </w:p>
        </w:tc>
        <w:tc>
          <w:tcPr>
            <w:tcW w:w="419" w:type="pct"/>
            <w:vAlign w:val="bottom"/>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DC27DF">
              <w:rPr>
                <w:rFonts w:eastAsia="Arial Unicode MS" w:cs="Calibri"/>
                <w:bCs/>
                <w:iCs/>
                <w:color w:val="000000"/>
                <w:sz w:val="16"/>
                <w:lang w:eastAsia="pl-PL"/>
              </w:rPr>
              <w:t>89,4</w:t>
            </w:r>
          </w:p>
        </w:tc>
        <w:tc>
          <w:tcPr>
            <w:tcW w:w="419" w:type="pct"/>
            <w:shd w:val="clear" w:color="auto" w:fill="auto"/>
            <w:vAlign w:val="center"/>
          </w:tcPr>
          <w:p w:rsidR="00BC6BAA" w:rsidRPr="00C73C1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cyan"/>
                <w:lang w:eastAsia="pl-PL"/>
              </w:rPr>
            </w:pPr>
            <w:r w:rsidRPr="00D42814">
              <w:rPr>
                <w:rFonts w:eastAsia="Arial Unicode MS" w:cs="Calibri"/>
                <w:bCs/>
                <w:iCs/>
                <w:color w:val="000000"/>
                <w:sz w:val="16"/>
                <w:lang w:eastAsia="pl-PL"/>
              </w:rPr>
              <w:t>224,13</w:t>
            </w:r>
          </w:p>
        </w:tc>
        <w:tc>
          <w:tcPr>
            <w:tcW w:w="419" w:type="pct"/>
            <w:vAlign w:val="center"/>
          </w:tcPr>
          <w:p w:rsidR="00BC6BAA" w:rsidRPr="00C73C1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cyan"/>
                <w:lang w:eastAsia="pl-PL"/>
              </w:rPr>
            </w:pPr>
            <w:r w:rsidRPr="00D42814">
              <w:rPr>
                <w:rFonts w:eastAsia="Arial Unicode MS" w:cs="Calibri"/>
                <w:bCs/>
                <w:iCs/>
                <w:color w:val="000000"/>
                <w:sz w:val="16"/>
                <w:lang w:eastAsia="pl-PL"/>
              </w:rPr>
              <w:t>93,6</w:t>
            </w:r>
          </w:p>
        </w:tc>
        <w:tc>
          <w:tcPr>
            <w:tcW w:w="419" w:type="pct"/>
            <w:vAlign w:val="center"/>
          </w:tcPr>
          <w:p w:rsidR="00BC6BAA" w:rsidRPr="00C73C1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cyan"/>
                <w:lang w:eastAsia="pl-PL"/>
              </w:rPr>
            </w:pPr>
            <w:r w:rsidRPr="00D42814">
              <w:rPr>
                <w:rFonts w:eastAsia="Arial Unicode MS" w:cs="Calibri"/>
                <w:bCs/>
                <w:iCs/>
                <w:color w:val="000000"/>
                <w:sz w:val="16"/>
                <w:lang w:eastAsia="pl-PL"/>
              </w:rPr>
              <w:t>97,7</w:t>
            </w:r>
          </w:p>
        </w:tc>
        <w:tc>
          <w:tcPr>
            <w:tcW w:w="419" w:type="pct"/>
            <w:vAlign w:val="center"/>
          </w:tcPr>
          <w:p w:rsidR="00BC6BAA" w:rsidRPr="00C73C1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cyan"/>
                <w:lang w:eastAsia="pl-PL"/>
              </w:rPr>
            </w:pPr>
            <w:r w:rsidRPr="00D42814">
              <w:rPr>
                <w:rFonts w:eastAsia="Arial Unicode MS" w:cs="Calibri"/>
                <w:bCs/>
                <w:iCs/>
                <w:color w:val="000000"/>
                <w:sz w:val="16"/>
                <w:lang w:eastAsia="pl-PL"/>
              </w:rPr>
              <w:t>226,80</w:t>
            </w:r>
          </w:p>
        </w:tc>
        <w:tc>
          <w:tcPr>
            <w:tcW w:w="416" w:type="pct"/>
            <w:vAlign w:val="center"/>
          </w:tcPr>
          <w:p w:rsidR="00BC6BAA" w:rsidRPr="00C73C1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cyan"/>
                <w:lang w:eastAsia="pl-PL"/>
              </w:rPr>
            </w:pPr>
            <w:r w:rsidRPr="00D42814">
              <w:rPr>
                <w:rFonts w:eastAsia="Arial Unicode MS" w:cs="Calibri"/>
                <w:bCs/>
                <w:iCs/>
                <w:color w:val="000000"/>
                <w:sz w:val="16"/>
                <w:lang w:eastAsia="pl-PL"/>
              </w:rPr>
              <w:t>94,5</w:t>
            </w:r>
          </w:p>
        </w:tc>
      </w:tr>
      <w:tr w:rsidR="00BC6BAA" w:rsidRPr="009144E4" w:rsidTr="00EB0AC6">
        <w:trPr>
          <w:trHeight w:val="57"/>
          <w:tblHeader/>
          <w:jc w:val="center"/>
        </w:trPr>
        <w:tc>
          <w:tcPr>
            <w:tcW w:w="814" w:type="pct"/>
            <w:vAlign w:val="center"/>
          </w:tcPr>
          <w:p w:rsidR="00BC6BAA" w:rsidRPr="009144E4" w:rsidRDefault="00BC6BAA" w:rsidP="00EB0AC6">
            <w:pPr>
              <w:tabs>
                <w:tab w:val="left" w:pos="5103"/>
              </w:tabs>
              <w:spacing w:before="0" w:after="0"/>
              <w:rPr>
                <w:rFonts w:eastAsia="Times New Roman" w:cs="Times New Roman"/>
                <w:spacing w:val="-4"/>
                <w:sz w:val="16"/>
                <w:szCs w:val="16"/>
                <w:lang w:eastAsia="pl-PL"/>
              </w:rPr>
            </w:pPr>
            <w:r w:rsidRPr="009144E4">
              <w:rPr>
                <w:rFonts w:eastAsia="Times New Roman" w:cs="Times New Roman"/>
                <w:spacing w:val="-4"/>
                <w:sz w:val="16"/>
                <w:szCs w:val="16"/>
                <w:lang w:eastAsia="pl-PL"/>
              </w:rPr>
              <w:t>Żywiec rzeźny za 1 kg:</w:t>
            </w:r>
          </w:p>
        </w:tc>
        <w:tc>
          <w:tcPr>
            <w:tcW w:w="418" w:type="pct"/>
            <w:shd w:val="clear" w:color="auto" w:fill="auto"/>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p>
        </w:tc>
        <w:tc>
          <w:tcPr>
            <w:tcW w:w="419" w:type="pct"/>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p>
        </w:tc>
        <w:tc>
          <w:tcPr>
            <w:tcW w:w="420" w:type="pct"/>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p>
        </w:tc>
        <w:tc>
          <w:tcPr>
            <w:tcW w:w="419" w:type="pct"/>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p>
        </w:tc>
        <w:tc>
          <w:tcPr>
            <w:tcW w:w="419" w:type="pct"/>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p>
        </w:tc>
        <w:tc>
          <w:tcPr>
            <w:tcW w:w="419" w:type="pct"/>
            <w:shd w:val="clear" w:color="auto" w:fill="auto"/>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lang w:eastAsia="pl-PL"/>
              </w:rPr>
            </w:pPr>
          </w:p>
        </w:tc>
        <w:tc>
          <w:tcPr>
            <w:tcW w:w="419" w:type="pct"/>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lang w:eastAsia="pl-PL"/>
              </w:rPr>
            </w:pPr>
          </w:p>
        </w:tc>
        <w:tc>
          <w:tcPr>
            <w:tcW w:w="419" w:type="pct"/>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lang w:eastAsia="pl-PL"/>
              </w:rPr>
            </w:pPr>
          </w:p>
        </w:tc>
        <w:tc>
          <w:tcPr>
            <w:tcW w:w="419" w:type="pct"/>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lang w:eastAsia="pl-PL"/>
              </w:rPr>
            </w:pPr>
          </w:p>
        </w:tc>
        <w:tc>
          <w:tcPr>
            <w:tcW w:w="416" w:type="pct"/>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lang w:eastAsia="pl-PL"/>
              </w:rPr>
            </w:pPr>
          </w:p>
        </w:tc>
      </w:tr>
      <w:tr w:rsidR="00BC6BAA" w:rsidRPr="009144E4" w:rsidTr="00EB0AC6">
        <w:trPr>
          <w:trHeight w:val="57"/>
          <w:tblHeader/>
          <w:jc w:val="center"/>
        </w:trPr>
        <w:tc>
          <w:tcPr>
            <w:tcW w:w="814" w:type="pct"/>
            <w:vAlign w:val="center"/>
          </w:tcPr>
          <w:p w:rsidR="00BC6BAA" w:rsidRPr="009144E4" w:rsidRDefault="00BC6BAA" w:rsidP="00EB0AC6">
            <w:pPr>
              <w:spacing w:before="0" w:after="0"/>
              <w:ind w:left="176"/>
              <w:rPr>
                <w:rFonts w:eastAsia="Times New Roman" w:cs="Times New Roman"/>
                <w:spacing w:val="-4"/>
                <w:sz w:val="16"/>
                <w:szCs w:val="16"/>
                <w:lang w:eastAsia="pl-PL"/>
              </w:rPr>
            </w:pPr>
            <w:r w:rsidRPr="009144E4">
              <w:rPr>
                <w:rFonts w:eastAsia="Times New Roman" w:cs="Times New Roman"/>
                <w:spacing w:val="-4"/>
                <w:sz w:val="16"/>
                <w:szCs w:val="16"/>
                <w:lang w:eastAsia="pl-PL"/>
              </w:rPr>
              <w:t>bydło (bez cieląt)</w:t>
            </w:r>
          </w:p>
        </w:tc>
        <w:tc>
          <w:tcPr>
            <w:tcW w:w="418" w:type="pct"/>
            <w:shd w:val="clear" w:color="auto" w:fill="auto"/>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DC27DF">
              <w:rPr>
                <w:rFonts w:eastAsia="Arial Unicode MS" w:cs="Calibri"/>
                <w:bCs/>
                <w:iCs/>
                <w:color w:val="000000"/>
                <w:sz w:val="16"/>
                <w:lang w:eastAsia="pl-PL"/>
              </w:rPr>
              <w:t>11,82</w:t>
            </w:r>
          </w:p>
        </w:tc>
        <w:tc>
          <w:tcPr>
            <w:tcW w:w="419" w:type="pct"/>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DC27DF">
              <w:rPr>
                <w:rFonts w:eastAsia="Arial Unicode MS" w:cs="Calibri"/>
                <w:bCs/>
                <w:iCs/>
                <w:color w:val="000000"/>
                <w:sz w:val="16"/>
                <w:lang w:eastAsia="pl-PL"/>
              </w:rPr>
              <w:t>118,7</w:t>
            </w:r>
          </w:p>
        </w:tc>
        <w:tc>
          <w:tcPr>
            <w:tcW w:w="420" w:type="pct"/>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DC27DF">
              <w:rPr>
                <w:rFonts w:eastAsia="Arial Unicode MS" w:cs="Calibri"/>
                <w:bCs/>
                <w:iCs/>
                <w:color w:val="000000"/>
                <w:sz w:val="16"/>
                <w:lang w:eastAsia="pl-PL"/>
              </w:rPr>
              <w:t>106,7</w:t>
            </w:r>
          </w:p>
        </w:tc>
        <w:tc>
          <w:tcPr>
            <w:tcW w:w="419" w:type="pct"/>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DC27DF">
              <w:rPr>
                <w:rFonts w:eastAsia="Arial Unicode MS" w:cs="Calibri"/>
                <w:bCs/>
                <w:iCs/>
                <w:color w:val="000000"/>
                <w:sz w:val="16"/>
                <w:lang w:eastAsia="pl-PL"/>
              </w:rPr>
              <w:t>11,42</w:t>
            </w:r>
          </w:p>
        </w:tc>
        <w:tc>
          <w:tcPr>
            <w:tcW w:w="419" w:type="pct"/>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DC27DF">
              <w:rPr>
                <w:rFonts w:eastAsia="Arial Unicode MS" w:cs="Calibri"/>
                <w:bCs/>
                <w:iCs/>
                <w:color w:val="000000"/>
                <w:sz w:val="16"/>
                <w:lang w:eastAsia="pl-PL"/>
              </w:rPr>
              <w:t>114,8</w:t>
            </w:r>
          </w:p>
        </w:tc>
        <w:tc>
          <w:tcPr>
            <w:tcW w:w="419" w:type="pct"/>
            <w:shd w:val="clear" w:color="auto" w:fill="auto"/>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lang w:eastAsia="pl-PL"/>
              </w:rPr>
            </w:pPr>
            <w:r w:rsidRPr="009144E4">
              <w:rPr>
                <w:rFonts w:eastAsia="Arial Unicode MS" w:cs="Calibri"/>
                <w:bCs/>
                <w:iCs/>
                <w:color w:val="000000"/>
                <w:sz w:val="16"/>
                <w:lang w:eastAsia="pl-PL"/>
              </w:rPr>
              <w:t>.</w:t>
            </w:r>
          </w:p>
        </w:tc>
        <w:tc>
          <w:tcPr>
            <w:tcW w:w="419" w:type="pct"/>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lang w:eastAsia="pl-PL"/>
              </w:rPr>
            </w:pPr>
            <w:r w:rsidRPr="009144E4">
              <w:rPr>
                <w:rFonts w:eastAsia="Arial Unicode MS" w:cs="Calibri"/>
                <w:bCs/>
                <w:iCs/>
                <w:color w:val="000000"/>
                <w:sz w:val="16"/>
                <w:lang w:eastAsia="pl-PL"/>
              </w:rPr>
              <w:t>.</w:t>
            </w:r>
          </w:p>
        </w:tc>
        <w:tc>
          <w:tcPr>
            <w:tcW w:w="419" w:type="pct"/>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lang w:eastAsia="pl-PL"/>
              </w:rPr>
            </w:pPr>
            <w:r w:rsidRPr="009144E4">
              <w:rPr>
                <w:rFonts w:eastAsia="Arial Unicode MS" w:cs="Calibri"/>
                <w:bCs/>
                <w:iCs/>
                <w:color w:val="000000"/>
                <w:sz w:val="16"/>
                <w:lang w:eastAsia="pl-PL"/>
              </w:rPr>
              <w:t>.</w:t>
            </w:r>
          </w:p>
        </w:tc>
        <w:tc>
          <w:tcPr>
            <w:tcW w:w="419" w:type="pct"/>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lang w:eastAsia="pl-PL"/>
              </w:rPr>
            </w:pPr>
            <w:r w:rsidRPr="009144E4">
              <w:rPr>
                <w:rFonts w:eastAsia="Arial Unicode MS" w:cs="Calibri"/>
                <w:bCs/>
                <w:iCs/>
                <w:color w:val="000000"/>
                <w:sz w:val="16"/>
                <w:lang w:eastAsia="pl-PL"/>
              </w:rPr>
              <w:t>.</w:t>
            </w:r>
          </w:p>
        </w:tc>
        <w:tc>
          <w:tcPr>
            <w:tcW w:w="416" w:type="pct"/>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lang w:eastAsia="pl-PL"/>
              </w:rPr>
            </w:pPr>
            <w:r w:rsidRPr="009144E4">
              <w:rPr>
                <w:rFonts w:eastAsia="Arial Unicode MS" w:cs="Calibri"/>
                <w:bCs/>
                <w:iCs/>
                <w:color w:val="000000"/>
                <w:sz w:val="16"/>
                <w:lang w:eastAsia="pl-PL"/>
              </w:rPr>
              <w:t>.</w:t>
            </w:r>
          </w:p>
        </w:tc>
      </w:tr>
      <w:tr w:rsidR="00BC6BAA" w:rsidRPr="009144E4" w:rsidTr="00EB0AC6">
        <w:trPr>
          <w:trHeight w:val="57"/>
          <w:tblHeader/>
          <w:jc w:val="center"/>
        </w:trPr>
        <w:tc>
          <w:tcPr>
            <w:tcW w:w="814" w:type="pct"/>
            <w:vAlign w:val="center"/>
          </w:tcPr>
          <w:p w:rsidR="00BC6BAA" w:rsidRPr="009144E4" w:rsidRDefault="00BC6BAA" w:rsidP="00EB0AC6">
            <w:pPr>
              <w:spacing w:before="0" w:after="0"/>
              <w:ind w:left="176"/>
              <w:rPr>
                <w:rFonts w:eastAsia="Times New Roman" w:cs="Times New Roman"/>
                <w:spacing w:val="-4"/>
                <w:sz w:val="16"/>
                <w:szCs w:val="16"/>
                <w:lang w:eastAsia="pl-PL"/>
              </w:rPr>
            </w:pPr>
            <w:r w:rsidRPr="009144E4">
              <w:rPr>
                <w:rFonts w:eastAsia="Times New Roman" w:cs="Times New Roman"/>
                <w:spacing w:val="-4"/>
                <w:sz w:val="16"/>
                <w:szCs w:val="16"/>
                <w:lang w:eastAsia="pl-PL"/>
              </w:rPr>
              <w:t>trzoda chlewna</w:t>
            </w:r>
          </w:p>
        </w:tc>
        <w:tc>
          <w:tcPr>
            <w:tcW w:w="418" w:type="pct"/>
            <w:shd w:val="clear" w:color="auto" w:fill="auto"/>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DC27DF">
              <w:rPr>
                <w:rFonts w:eastAsia="Arial Unicode MS" w:cs="Calibri"/>
                <w:bCs/>
                <w:iCs/>
                <w:color w:val="000000"/>
                <w:sz w:val="16"/>
                <w:lang w:eastAsia="pl-PL"/>
              </w:rPr>
              <w:t>5,95</w:t>
            </w:r>
          </w:p>
        </w:tc>
        <w:tc>
          <w:tcPr>
            <w:tcW w:w="419" w:type="pct"/>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DC27DF">
              <w:rPr>
                <w:rFonts w:eastAsia="Arial Unicode MS" w:cs="Calibri"/>
                <w:bCs/>
                <w:iCs/>
                <w:color w:val="000000"/>
                <w:sz w:val="16"/>
                <w:lang w:eastAsia="pl-PL"/>
              </w:rPr>
              <w:t>80,2</w:t>
            </w:r>
          </w:p>
        </w:tc>
        <w:tc>
          <w:tcPr>
            <w:tcW w:w="420" w:type="pct"/>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DC27DF">
              <w:rPr>
                <w:rFonts w:eastAsia="Arial Unicode MS" w:cs="Calibri"/>
                <w:bCs/>
                <w:iCs/>
                <w:color w:val="000000"/>
                <w:sz w:val="16"/>
                <w:lang w:eastAsia="pl-PL"/>
              </w:rPr>
              <w:t>104,9</w:t>
            </w:r>
          </w:p>
        </w:tc>
        <w:tc>
          <w:tcPr>
            <w:tcW w:w="419" w:type="pct"/>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DC27DF">
              <w:rPr>
                <w:rFonts w:eastAsia="Arial Unicode MS" w:cs="Calibri"/>
                <w:bCs/>
                <w:iCs/>
                <w:color w:val="000000"/>
                <w:sz w:val="16"/>
                <w:lang w:eastAsia="pl-PL"/>
              </w:rPr>
              <w:t>5,80</w:t>
            </w:r>
          </w:p>
        </w:tc>
        <w:tc>
          <w:tcPr>
            <w:tcW w:w="419" w:type="pct"/>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DC27DF">
              <w:rPr>
                <w:rFonts w:eastAsia="Arial Unicode MS" w:cs="Calibri"/>
                <w:bCs/>
                <w:iCs/>
                <w:color w:val="000000"/>
                <w:sz w:val="16"/>
                <w:lang w:eastAsia="pl-PL"/>
              </w:rPr>
              <w:t>79,9</w:t>
            </w:r>
          </w:p>
        </w:tc>
        <w:tc>
          <w:tcPr>
            <w:tcW w:w="419" w:type="pct"/>
            <w:shd w:val="clear" w:color="auto" w:fill="auto"/>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lang w:eastAsia="pl-PL"/>
              </w:rPr>
            </w:pPr>
            <w:r w:rsidRPr="009144E4">
              <w:rPr>
                <w:rFonts w:eastAsia="Arial Unicode MS" w:cs="Calibri"/>
                <w:bCs/>
                <w:iCs/>
                <w:color w:val="000000"/>
                <w:sz w:val="16"/>
                <w:lang w:eastAsia="pl-PL"/>
              </w:rPr>
              <w:t>.</w:t>
            </w:r>
          </w:p>
        </w:tc>
        <w:tc>
          <w:tcPr>
            <w:tcW w:w="419" w:type="pct"/>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lang w:eastAsia="pl-PL"/>
              </w:rPr>
            </w:pPr>
            <w:r w:rsidRPr="009144E4">
              <w:rPr>
                <w:rFonts w:eastAsia="Arial Unicode MS" w:cs="Calibri"/>
                <w:bCs/>
                <w:iCs/>
                <w:color w:val="000000"/>
                <w:sz w:val="16"/>
                <w:lang w:eastAsia="pl-PL"/>
              </w:rPr>
              <w:t>.</w:t>
            </w:r>
          </w:p>
        </w:tc>
        <w:tc>
          <w:tcPr>
            <w:tcW w:w="419" w:type="pct"/>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lang w:eastAsia="pl-PL"/>
              </w:rPr>
            </w:pPr>
            <w:r w:rsidRPr="009144E4">
              <w:rPr>
                <w:rFonts w:eastAsia="Arial Unicode MS" w:cs="Calibri"/>
                <w:bCs/>
                <w:iCs/>
                <w:color w:val="000000"/>
                <w:sz w:val="16"/>
                <w:lang w:eastAsia="pl-PL"/>
              </w:rPr>
              <w:t>.</w:t>
            </w:r>
          </w:p>
        </w:tc>
        <w:tc>
          <w:tcPr>
            <w:tcW w:w="419" w:type="pct"/>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lang w:eastAsia="pl-PL"/>
              </w:rPr>
            </w:pPr>
            <w:r w:rsidRPr="009144E4">
              <w:rPr>
                <w:rFonts w:eastAsia="Arial Unicode MS" w:cs="Calibri"/>
                <w:bCs/>
                <w:iCs/>
                <w:color w:val="000000"/>
                <w:sz w:val="16"/>
                <w:lang w:eastAsia="pl-PL"/>
              </w:rPr>
              <w:t>.</w:t>
            </w:r>
          </w:p>
        </w:tc>
        <w:tc>
          <w:tcPr>
            <w:tcW w:w="416" w:type="pct"/>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lang w:eastAsia="pl-PL"/>
              </w:rPr>
            </w:pPr>
            <w:r w:rsidRPr="009144E4">
              <w:rPr>
                <w:rFonts w:eastAsia="Arial Unicode MS" w:cs="Calibri"/>
                <w:bCs/>
                <w:iCs/>
                <w:color w:val="000000"/>
                <w:sz w:val="16"/>
                <w:lang w:eastAsia="pl-PL"/>
              </w:rPr>
              <w:t>.</w:t>
            </w:r>
          </w:p>
        </w:tc>
      </w:tr>
      <w:tr w:rsidR="00BC6BAA" w:rsidRPr="009144E4" w:rsidTr="00EB0AC6">
        <w:trPr>
          <w:trHeight w:val="57"/>
          <w:tblHeader/>
          <w:jc w:val="center"/>
        </w:trPr>
        <w:tc>
          <w:tcPr>
            <w:tcW w:w="814" w:type="pct"/>
            <w:tcBorders>
              <w:bottom w:val="single" w:sz="4" w:space="0" w:color="522398"/>
            </w:tcBorders>
            <w:vAlign w:val="center"/>
          </w:tcPr>
          <w:p w:rsidR="00BC6BAA" w:rsidRPr="009144E4" w:rsidRDefault="00BC6BAA" w:rsidP="00EB0AC6">
            <w:pPr>
              <w:spacing w:before="0" w:after="0"/>
              <w:ind w:left="176"/>
              <w:rPr>
                <w:rFonts w:eastAsia="Times New Roman" w:cs="Times New Roman"/>
                <w:spacing w:val="-4"/>
                <w:sz w:val="16"/>
                <w:szCs w:val="16"/>
                <w:lang w:eastAsia="pl-PL"/>
              </w:rPr>
            </w:pPr>
            <w:r w:rsidRPr="009144E4">
              <w:rPr>
                <w:rFonts w:eastAsia="Times New Roman" w:cs="Times New Roman"/>
                <w:spacing w:val="-4"/>
                <w:sz w:val="16"/>
                <w:szCs w:val="16"/>
                <w:lang w:eastAsia="pl-PL"/>
              </w:rPr>
              <w:t>drób</w:t>
            </w:r>
          </w:p>
        </w:tc>
        <w:tc>
          <w:tcPr>
            <w:tcW w:w="418" w:type="pct"/>
            <w:tcBorders>
              <w:bottom w:val="single" w:sz="4" w:space="0" w:color="522398"/>
            </w:tcBorders>
            <w:shd w:val="clear" w:color="auto" w:fill="auto"/>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DC27DF">
              <w:rPr>
                <w:rFonts w:eastAsia="Arial Unicode MS" w:cs="Calibri"/>
                <w:bCs/>
                <w:iCs/>
                <w:color w:val="000000"/>
                <w:sz w:val="16"/>
                <w:lang w:eastAsia="pl-PL"/>
              </w:rPr>
              <w:t>5,63</w:t>
            </w:r>
          </w:p>
        </w:tc>
        <w:tc>
          <w:tcPr>
            <w:tcW w:w="419" w:type="pct"/>
            <w:tcBorders>
              <w:bottom w:val="single" w:sz="4" w:space="0" w:color="522398"/>
            </w:tcBorders>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DC27DF">
              <w:rPr>
                <w:rFonts w:eastAsia="Arial Unicode MS" w:cs="Calibri"/>
                <w:bCs/>
                <w:iCs/>
                <w:color w:val="000000"/>
                <w:sz w:val="16"/>
                <w:lang w:eastAsia="pl-PL"/>
              </w:rPr>
              <w:t>111,1</w:t>
            </w:r>
          </w:p>
        </w:tc>
        <w:tc>
          <w:tcPr>
            <w:tcW w:w="420" w:type="pct"/>
            <w:tcBorders>
              <w:bottom w:val="single" w:sz="4" w:space="0" w:color="522398"/>
            </w:tcBorders>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DC27DF">
              <w:rPr>
                <w:rFonts w:eastAsia="Arial Unicode MS" w:cs="Calibri"/>
                <w:bCs/>
                <w:iCs/>
                <w:color w:val="000000"/>
                <w:sz w:val="16"/>
                <w:lang w:eastAsia="pl-PL"/>
              </w:rPr>
              <w:t>102,7</w:t>
            </w:r>
          </w:p>
        </w:tc>
        <w:tc>
          <w:tcPr>
            <w:tcW w:w="419" w:type="pct"/>
            <w:tcBorders>
              <w:bottom w:val="single" w:sz="4" w:space="0" w:color="522398"/>
            </w:tcBorders>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DC27DF">
              <w:rPr>
                <w:rFonts w:eastAsia="Arial Unicode MS" w:cs="Calibri"/>
                <w:bCs/>
                <w:iCs/>
                <w:color w:val="000000"/>
                <w:sz w:val="16"/>
                <w:lang w:eastAsia="pl-PL"/>
              </w:rPr>
              <w:t>5,54</w:t>
            </w:r>
          </w:p>
        </w:tc>
        <w:tc>
          <w:tcPr>
            <w:tcW w:w="419" w:type="pct"/>
            <w:tcBorders>
              <w:bottom w:val="single" w:sz="4" w:space="0" w:color="522398"/>
            </w:tcBorders>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DC27DF">
              <w:rPr>
                <w:rFonts w:eastAsia="Arial Unicode MS" w:cs="Calibri"/>
                <w:bCs/>
                <w:iCs/>
                <w:color w:val="000000"/>
                <w:sz w:val="16"/>
                <w:lang w:eastAsia="pl-PL"/>
              </w:rPr>
              <w:t>109,1</w:t>
            </w:r>
          </w:p>
        </w:tc>
        <w:tc>
          <w:tcPr>
            <w:tcW w:w="419" w:type="pct"/>
            <w:tcBorders>
              <w:bottom w:val="single" w:sz="4" w:space="0" w:color="522398"/>
            </w:tcBorders>
            <w:shd w:val="clear" w:color="auto" w:fill="auto"/>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lang w:eastAsia="pl-PL"/>
              </w:rPr>
            </w:pPr>
            <w:r w:rsidRPr="009144E4">
              <w:rPr>
                <w:rFonts w:eastAsia="Arial Unicode MS" w:cs="Calibri"/>
                <w:bCs/>
                <w:iCs/>
                <w:color w:val="000000"/>
                <w:sz w:val="16"/>
                <w:lang w:eastAsia="pl-PL"/>
              </w:rPr>
              <w:t>.</w:t>
            </w:r>
          </w:p>
        </w:tc>
        <w:tc>
          <w:tcPr>
            <w:tcW w:w="419" w:type="pct"/>
            <w:tcBorders>
              <w:bottom w:val="single" w:sz="4" w:space="0" w:color="522398"/>
            </w:tcBorders>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lang w:eastAsia="pl-PL"/>
              </w:rPr>
            </w:pPr>
            <w:r w:rsidRPr="009144E4">
              <w:rPr>
                <w:rFonts w:eastAsia="Arial Unicode MS" w:cs="Calibri"/>
                <w:bCs/>
                <w:iCs/>
                <w:color w:val="000000"/>
                <w:sz w:val="16"/>
                <w:lang w:eastAsia="pl-PL"/>
              </w:rPr>
              <w:t>.</w:t>
            </w:r>
          </w:p>
        </w:tc>
        <w:tc>
          <w:tcPr>
            <w:tcW w:w="419" w:type="pct"/>
            <w:tcBorders>
              <w:bottom w:val="single" w:sz="4" w:space="0" w:color="522398"/>
            </w:tcBorders>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lang w:eastAsia="pl-PL"/>
              </w:rPr>
            </w:pPr>
            <w:r w:rsidRPr="009144E4">
              <w:rPr>
                <w:rFonts w:eastAsia="Arial Unicode MS" w:cs="Calibri"/>
                <w:bCs/>
                <w:iCs/>
                <w:color w:val="000000"/>
                <w:sz w:val="16"/>
                <w:lang w:eastAsia="pl-PL"/>
              </w:rPr>
              <w:t>.</w:t>
            </w:r>
          </w:p>
        </w:tc>
        <w:tc>
          <w:tcPr>
            <w:tcW w:w="419" w:type="pct"/>
            <w:tcBorders>
              <w:bottom w:val="single" w:sz="4" w:space="0" w:color="522398"/>
            </w:tcBorders>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lang w:eastAsia="pl-PL"/>
              </w:rPr>
            </w:pPr>
            <w:r w:rsidRPr="009144E4">
              <w:rPr>
                <w:rFonts w:eastAsia="Arial Unicode MS" w:cs="Calibri"/>
                <w:bCs/>
                <w:iCs/>
                <w:color w:val="000000"/>
                <w:sz w:val="16"/>
                <w:lang w:eastAsia="pl-PL"/>
              </w:rPr>
              <w:t>.</w:t>
            </w:r>
          </w:p>
        </w:tc>
        <w:tc>
          <w:tcPr>
            <w:tcW w:w="416" w:type="pct"/>
            <w:tcBorders>
              <w:bottom w:val="single" w:sz="4" w:space="0" w:color="522398"/>
            </w:tcBorders>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lang w:eastAsia="pl-PL"/>
              </w:rPr>
            </w:pPr>
            <w:r w:rsidRPr="009144E4">
              <w:rPr>
                <w:rFonts w:eastAsia="Arial Unicode MS" w:cs="Calibri"/>
                <w:bCs/>
                <w:iCs/>
                <w:color w:val="000000"/>
                <w:sz w:val="16"/>
                <w:lang w:eastAsia="pl-PL"/>
              </w:rPr>
              <w:t>.</w:t>
            </w:r>
          </w:p>
        </w:tc>
      </w:tr>
      <w:tr w:rsidR="00BC6BAA" w:rsidRPr="009144E4" w:rsidTr="00EB0AC6">
        <w:trPr>
          <w:trHeight w:val="57"/>
          <w:jc w:val="center"/>
        </w:trPr>
        <w:tc>
          <w:tcPr>
            <w:tcW w:w="814" w:type="pct"/>
            <w:tcBorders>
              <w:top w:val="single" w:sz="4" w:space="0" w:color="522398"/>
              <w:bottom w:val="nil"/>
            </w:tcBorders>
            <w:vAlign w:val="center"/>
          </w:tcPr>
          <w:p w:rsidR="00BC6BAA" w:rsidRPr="009144E4" w:rsidRDefault="00BC6BAA" w:rsidP="00EB0AC6">
            <w:pPr>
              <w:tabs>
                <w:tab w:val="left" w:pos="5103"/>
              </w:tabs>
              <w:spacing w:before="0" w:after="0"/>
              <w:rPr>
                <w:rFonts w:eastAsia="Times New Roman" w:cs="Times New Roman"/>
                <w:spacing w:val="-4"/>
                <w:sz w:val="16"/>
                <w:szCs w:val="16"/>
                <w:lang w:eastAsia="pl-PL"/>
              </w:rPr>
            </w:pPr>
            <w:r w:rsidRPr="009144E4">
              <w:rPr>
                <w:rFonts w:eastAsia="Times New Roman" w:cs="Times New Roman"/>
                <w:spacing w:val="-4"/>
                <w:sz w:val="16"/>
                <w:szCs w:val="16"/>
                <w:lang w:eastAsia="pl-PL"/>
              </w:rPr>
              <w:t>Mleko za 1 hl</w:t>
            </w:r>
          </w:p>
        </w:tc>
        <w:tc>
          <w:tcPr>
            <w:tcW w:w="418" w:type="pct"/>
            <w:tcBorders>
              <w:top w:val="single" w:sz="4" w:space="0" w:color="522398"/>
              <w:bottom w:val="nil"/>
            </w:tcBorders>
            <w:shd w:val="clear" w:color="auto" w:fill="auto"/>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DC27DF">
              <w:rPr>
                <w:rFonts w:eastAsia="Arial Unicode MS" w:cs="Calibri"/>
                <w:bCs/>
                <w:iCs/>
                <w:color w:val="000000"/>
                <w:sz w:val="16"/>
                <w:lang w:eastAsia="pl-PL"/>
              </w:rPr>
              <w:t>224,29</w:t>
            </w:r>
          </w:p>
        </w:tc>
        <w:tc>
          <w:tcPr>
            <w:tcW w:w="419" w:type="pct"/>
            <w:tcBorders>
              <w:top w:val="single" w:sz="4" w:space="0" w:color="522398"/>
              <w:bottom w:val="nil"/>
            </w:tcBorders>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DC27DF">
              <w:rPr>
                <w:rFonts w:eastAsia="Arial Unicode MS" w:cs="Calibri"/>
                <w:bCs/>
                <w:iCs/>
                <w:color w:val="000000"/>
                <w:sz w:val="16"/>
                <w:lang w:eastAsia="pl-PL"/>
              </w:rPr>
              <w:t>110,5</w:t>
            </w:r>
          </w:p>
        </w:tc>
        <w:tc>
          <w:tcPr>
            <w:tcW w:w="420" w:type="pct"/>
            <w:tcBorders>
              <w:top w:val="single" w:sz="4" w:space="0" w:color="522398"/>
              <w:bottom w:val="nil"/>
            </w:tcBorders>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DC27DF">
              <w:rPr>
                <w:rFonts w:eastAsia="Arial Unicode MS" w:cs="Calibri"/>
                <w:bCs/>
                <w:iCs/>
                <w:color w:val="000000"/>
                <w:sz w:val="16"/>
                <w:lang w:eastAsia="pl-PL"/>
              </w:rPr>
              <w:t>98,0</w:t>
            </w:r>
          </w:p>
        </w:tc>
        <w:tc>
          <w:tcPr>
            <w:tcW w:w="419" w:type="pct"/>
            <w:tcBorders>
              <w:top w:val="single" w:sz="4" w:space="0" w:color="522398"/>
              <w:bottom w:val="nil"/>
            </w:tcBorders>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DC27DF">
              <w:rPr>
                <w:rFonts w:eastAsia="Arial Unicode MS" w:cs="Calibri"/>
                <w:bCs/>
                <w:iCs/>
                <w:color w:val="000000"/>
                <w:sz w:val="16"/>
                <w:lang w:eastAsia="pl-PL"/>
              </w:rPr>
              <w:t>226,64</w:t>
            </w:r>
          </w:p>
        </w:tc>
        <w:tc>
          <w:tcPr>
            <w:tcW w:w="419" w:type="pct"/>
            <w:tcBorders>
              <w:top w:val="single" w:sz="4" w:space="0" w:color="522398"/>
              <w:bottom w:val="nil"/>
            </w:tcBorders>
            <w:vAlign w:val="center"/>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highlight w:val="yellow"/>
                <w:lang w:eastAsia="pl-PL"/>
              </w:rPr>
            </w:pPr>
            <w:r w:rsidRPr="00DC27DF">
              <w:rPr>
                <w:rFonts w:eastAsia="Arial Unicode MS" w:cs="Calibri"/>
                <w:bCs/>
                <w:iCs/>
                <w:color w:val="000000"/>
                <w:sz w:val="16"/>
                <w:lang w:eastAsia="pl-PL"/>
              </w:rPr>
              <w:t>111,2</w:t>
            </w:r>
          </w:p>
        </w:tc>
        <w:tc>
          <w:tcPr>
            <w:tcW w:w="419" w:type="pct"/>
            <w:tcBorders>
              <w:top w:val="single" w:sz="4" w:space="0" w:color="522398"/>
              <w:bottom w:val="nil"/>
            </w:tcBorders>
            <w:shd w:val="clear" w:color="auto" w:fill="auto"/>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lang w:eastAsia="pl-PL"/>
              </w:rPr>
            </w:pPr>
            <w:r w:rsidRPr="009144E4">
              <w:rPr>
                <w:rFonts w:eastAsia="Arial Unicode MS" w:cs="Calibri"/>
                <w:bCs/>
                <w:iCs/>
                <w:color w:val="000000"/>
                <w:sz w:val="16"/>
                <w:lang w:eastAsia="pl-PL"/>
              </w:rPr>
              <w:t>.</w:t>
            </w:r>
          </w:p>
        </w:tc>
        <w:tc>
          <w:tcPr>
            <w:tcW w:w="419" w:type="pct"/>
            <w:tcBorders>
              <w:top w:val="single" w:sz="4" w:space="0" w:color="522398"/>
              <w:bottom w:val="nil"/>
            </w:tcBorders>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lang w:eastAsia="pl-PL"/>
              </w:rPr>
            </w:pPr>
            <w:r w:rsidRPr="009144E4">
              <w:rPr>
                <w:rFonts w:eastAsia="Arial Unicode MS" w:cs="Calibri"/>
                <w:bCs/>
                <w:iCs/>
                <w:color w:val="000000"/>
                <w:sz w:val="16"/>
                <w:lang w:eastAsia="pl-PL"/>
              </w:rPr>
              <w:t>.</w:t>
            </w:r>
          </w:p>
        </w:tc>
        <w:tc>
          <w:tcPr>
            <w:tcW w:w="419" w:type="pct"/>
            <w:tcBorders>
              <w:top w:val="single" w:sz="4" w:space="0" w:color="522398"/>
              <w:bottom w:val="nil"/>
            </w:tcBorders>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lang w:eastAsia="pl-PL"/>
              </w:rPr>
            </w:pPr>
            <w:r w:rsidRPr="009144E4">
              <w:rPr>
                <w:rFonts w:eastAsia="Arial Unicode MS" w:cs="Calibri"/>
                <w:bCs/>
                <w:iCs/>
                <w:color w:val="000000"/>
                <w:sz w:val="16"/>
                <w:lang w:eastAsia="pl-PL"/>
              </w:rPr>
              <w:t>.</w:t>
            </w:r>
          </w:p>
        </w:tc>
        <w:tc>
          <w:tcPr>
            <w:tcW w:w="419" w:type="pct"/>
            <w:tcBorders>
              <w:top w:val="single" w:sz="4" w:space="0" w:color="522398"/>
              <w:bottom w:val="nil"/>
            </w:tcBorders>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lang w:eastAsia="pl-PL"/>
              </w:rPr>
            </w:pPr>
            <w:r w:rsidRPr="009144E4">
              <w:rPr>
                <w:rFonts w:eastAsia="Arial Unicode MS" w:cs="Calibri"/>
                <w:bCs/>
                <w:iCs/>
                <w:color w:val="000000"/>
                <w:sz w:val="16"/>
                <w:lang w:eastAsia="pl-PL"/>
              </w:rPr>
              <w:t>.</w:t>
            </w:r>
          </w:p>
        </w:tc>
        <w:tc>
          <w:tcPr>
            <w:tcW w:w="416" w:type="pct"/>
            <w:tcBorders>
              <w:top w:val="single" w:sz="4" w:space="0" w:color="522398"/>
              <w:bottom w:val="nil"/>
            </w:tcBorders>
          </w:tcPr>
          <w:p w:rsidR="00BC6BAA" w:rsidRPr="009144E4" w:rsidRDefault="00BC6BAA" w:rsidP="00EB0AC6">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rPr>
                <w:rFonts w:eastAsia="Arial Unicode MS" w:cs="Calibri"/>
                <w:bCs/>
                <w:iCs/>
                <w:color w:val="000000"/>
                <w:sz w:val="16"/>
                <w:lang w:eastAsia="pl-PL"/>
              </w:rPr>
            </w:pPr>
            <w:r w:rsidRPr="009144E4">
              <w:rPr>
                <w:rFonts w:eastAsia="Arial Unicode MS" w:cs="Calibri"/>
                <w:bCs/>
                <w:iCs/>
                <w:color w:val="000000"/>
                <w:sz w:val="16"/>
                <w:lang w:eastAsia="pl-PL"/>
              </w:rPr>
              <w:t>.</w:t>
            </w:r>
          </w:p>
        </w:tc>
      </w:tr>
    </w:tbl>
    <w:p w:rsidR="00BC6BAA" w:rsidRPr="00CA50F5" w:rsidRDefault="00BC6BAA" w:rsidP="00BC6BAA">
      <w:pPr>
        <w:pStyle w:val="notka"/>
      </w:pPr>
      <w:r>
        <w:t xml:space="preserve">a </w:t>
      </w:r>
      <w:r w:rsidRPr="008244FD">
        <w:t xml:space="preserve">W skupie bez ziarna siewnego. </w:t>
      </w:r>
      <w:r>
        <w:t>b</w:t>
      </w:r>
      <w:r w:rsidRPr="008244FD">
        <w:t xml:space="preserve"> Na targowiskach – jadalne późne.</w:t>
      </w:r>
    </w:p>
    <w:p w:rsidR="00BC6BAA" w:rsidRPr="002D294B" w:rsidRDefault="00BC6BAA" w:rsidP="00BC6BAA">
      <w:pPr>
        <w:pStyle w:val="tekst"/>
        <w:spacing w:before="360"/>
      </w:pPr>
      <w:r w:rsidRPr="00E43925">
        <w:t xml:space="preserve">Za </w:t>
      </w:r>
      <w:r w:rsidRPr="00E43925">
        <w:rPr>
          <w:b/>
        </w:rPr>
        <w:t>1 dt</w:t>
      </w:r>
      <w:r w:rsidRPr="00E43925">
        <w:t xml:space="preserve"> </w:t>
      </w:r>
      <w:r w:rsidRPr="00E43925">
        <w:rPr>
          <w:b/>
        </w:rPr>
        <w:t>jęczmienia w obrocie targowiskowym</w:t>
      </w:r>
      <w:r w:rsidRPr="00E43925">
        <w:t xml:space="preserve"> w lutym br. płacono 108,41 zł, tj. o 1,4% więcej niż w styczniu br. i o </w:t>
      </w:r>
      <w:r>
        <w:t>0</w:t>
      </w:r>
      <w:r w:rsidRPr="000C3B98">
        <w:t>,8</w:t>
      </w:r>
      <w:r w:rsidRPr="00E43925">
        <w:t xml:space="preserve">% </w:t>
      </w:r>
      <w:r>
        <w:t xml:space="preserve">więcej </w:t>
      </w:r>
      <w:r w:rsidRPr="00E43925">
        <w:t xml:space="preserve">niż rok wcześniej. Cena </w:t>
      </w:r>
      <w:r w:rsidRPr="00E43925">
        <w:rPr>
          <w:b/>
        </w:rPr>
        <w:t>owsa</w:t>
      </w:r>
      <w:r w:rsidRPr="00E43925">
        <w:t xml:space="preserve"> na wolnym rynku ukształtowała się na poziomie 109,74 zł za 1 dt i była niższa o 3,3% od notowanej przed miesiącem i o 5,5% niż w lutym ub. roku.</w:t>
      </w:r>
    </w:p>
    <w:p w:rsidR="00BC6BAA" w:rsidRDefault="00BC6BAA" w:rsidP="00BC6BAA">
      <w:pPr>
        <w:pStyle w:val="tekst"/>
      </w:pPr>
      <w:r w:rsidRPr="00DF4E94">
        <w:t xml:space="preserve">Średnia </w:t>
      </w:r>
      <w:r w:rsidRPr="00DF4E94">
        <w:rPr>
          <w:b/>
        </w:rPr>
        <w:t>cena ziemniaków w skupie</w:t>
      </w:r>
      <w:r w:rsidRPr="00DF4E94">
        <w:t xml:space="preserve"> w lutym br. wyniosła 157,28 zł za 1 dt i była o 4,6% wyższa od zanotowanej miesiąc wcześniej, ale o 12,2% niższa od ceny sprzed roku</w:t>
      </w:r>
      <w:r w:rsidRPr="008C3042">
        <w:t xml:space="preserve">. Na </w:t>
      </w:r>
      <w:r w:rsidRPr="008C3042">
        <w:rPr>
          <w:b/>
        </w:rPr>
        <w:t>targowiskach cena ziemniaków jadalnych późnych</w:t>
      </w:r>
      <w:r w:rsidRPr="008C3042">
        <w:t xml:space="preserve"> osiągnęła 224,13 zł za 1 dt, co oznacza spadek zarówno w stosunku do poprzedniego miesiąca, jak i w skali roku (odpowiednio o 2,3% i o 6,4%).</w:t>
      </w:r>
    </w:p>
    <w:p w:rsidR="00BC6BAA" w:rsidRDefault="00DC46F9" w:rsidP="00BC6BAA">
      <w:pPr>
        <w:pStyle w:val="tytuwykresu"/>
        <w:spacing w:before="240" w:after="120"/>
        <w:rPr>
          <w:bCs/>
          <w:szCs w:val="19"/>
        </w:rPr>
      </w:pPr>
      <w:r w:rsidRPr="00DC46F9">
        <w:rPr>
          <w:noProof/>
          <w:lang w:eastAsia="pl-PL"/>
        </w:rPr>
        <w:drawing>
          <wp:anchor distT="0" distB="180340" distL="114300" distR="114300" simplePos="0" relativeHeight="252951040" behindDoc="0" locked="0" layoutInCell="1" allowOverlap="1">
            <wp:simplePos x="0" y="0"/>
            <wp:positionH relativeFrom="column">
              <wp:posOffset>301220</wp:posOffset>
            </wp:positionH>
            <wp:positionV relativeFrom="paragraph">
              <wp:posOffset>423491</wp:posOffset>
            </wp:positionV>
            <wp:extent cx="5940000" cy="2599200"/>
            <wp:effectExtent l="0" t="0" r="3810" b="0"/>
            <wp:wrapTopAndBottom/>
            <wp:docPr id="34" name="Obraz 34" descr="Potrójny wykres liniowy (pszenica, żyto, ziemniaki) prezentujący kształtowanie się cen wybranych produktów roślinnych (w skupie i na wolnym rynku) w poszczególnych miesiącach w latach 2022–2025 (oś pozioma). Oś pionowa wartości w zakresie od 0 do 300 zł za 1 dt. Brak danych dotyczących cen targowiskowych ziemniaków w okresie styczeń-czerwiec 2021 r. jest wynikiem zawieszenia w tym okresie badania cen produktów rolnych na targowiskach w związku z COVID-19, natomiast w lipcu 2024 r. oznacza brak notowań w tym czasie dla ziemniaków jadalnych późnych.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0000" cy="2599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6BAA" w:rsidRPr="003F192B">
        <w:t>Wykres</w:t>
      </w:r>
      <w:r w:rsidR="00BC6BAA">
        <w:t xml:space="preserve"> 6.</w:t>
      </w:r>
      <w:r w:rsidR="00BC6BAA">
        <w:tab/>
      </w:r>
      <w:r w:rsidR="00BC6BAA" w:rsidRPr="005E3502">
        <w:t xml:space="preserve">Przeciętne ceny skupu </w:t>
      </w:r>
      <w:r w:rsidR="00BC6BAA" w:rsidRPr="00F9103D">
        <w:t xml:space="preserve">zbóż </w:t>
      </w:r>
      <w:r w:rsidR="00BC6BAA" w:rsidRPr="00F9103D">
        <w:rPr>
          <w:bCs/>
          <w:szCs w:val="19"/>
        </w:rPr>
        <w:t>i targowiskowe ceny ziemniaków</w:t>
      </w:r>
    </w:p>
    <w:p w:rsidR="00BC6BAA" w:rsidRPr="002D294B" w:rsidRDefault="00BC6BAA" w:rsidP="00BC6BAA">
      <w:pPr>
        <w:pStyle w:val="tekst"/>
      </w:pPr>
      <w:r w:rsidRPr="000D635F">
        <w:t xml:space="preserve">Cena </w:t>
      </w:r>
      <w:r w:rsidRPr="000D635F">
        <w:rPr>
          <w:b/>
        </w:rPr>
        <w:t>1</w:t>
      </w:r>
      <w:r w:rsidRPr="000D635F">
        <w:rPr>
          <w:b/>
          <w:kern w:val="18"/>
        </w:rPr>
        <w:t xml:space="preserve"> kg </w:t>
      </w:r>
      <w:r w:rsidRPr="000D635F">
        <w:rPr>
          <w:b/>
        </w:rPr>
        <w:t>żywca wołowego</w:t>
      </w:r>
      <w:r w:rsidRPr="000D635F">
        <w:t xml:space="preserve"> </w:t>
      </w:r>
      <w:r w:rsidRPr="000D635F">
        <w:rPr>
          <w:b/>
        </w:rPr>
        <w:t>w skupie</w:t>
      </w:r>
      <w:r w:rsidRPr="000D635F">
        <w:t xml:space="preserve"> w lutym br. ukształtowała się na poziomie 11,82 zł, tj. </w:t>
      </w:r>
      <w:r w:rsidRPr="00EE5F9D">
        <w:t xml:space="preserve">wyżej </w:t>
      </w:r>
      <w:r w:rsidRPr="000D635F">
        <w:t>o 6,7% niż przed miesią</w:t>
      </w:r>
      <w:r w:rsidRPr="007E0BC2">
        <w:t>cem i o 18,7</w:t>
      </w:r>
      <w:r>
        <w:t>%</w:t>
      </w:r>
      <w:r w:rsidRPr="007E0BC2">
        <w:t xml:space="preserve"> niż przed rokiem. Za </w:t>
      </w:r>
      <w:r w:rsidRPr="007E0BC2">
        <w:rPr>
          <w:b/>
        </w:rPr>
        <w:t xml:space="preserve">1 kg żywca wieprzowego </w:t>
      </w:r>
      <w:r w:rsidRPr="007E0BC2">
        <w:t xml:space="preserve">płacono w tym czasie 5,95 zł, tj. o 4,9% więcej niż w styczniu br., ale o 19,8% mniej niż w lutym ub. roku. Cena </w:t>
      </w:r>
      <w:r w:rsidRPr="007E0BC2">
        <w:rPr>
          <w:b/>
        </w:rPr>
        <w:t>żywca drobiowego</w:t>
      </w:r>
      <w:r w:rsidRPr="007E0BC2">
        <w:t xml:space="preserve"> w badanym miesiącu wyniosła 5,63 zł za 1 kg, co</w:t>
      </w:r>
      <w:r>
        <w:t xml:space="preserve"> zarówno</w:t>
      </w:r>
      <w:r w:rsidRPr="007E0BC2">
        <w:t xml:space="preserve"> w skali miesiąca</w:t>
      </w:r>
      <w:r>
        <w:t>, jak</w:t>
      </w:r>
      <w:r w:rsidRPr="007E0BC2">
        <w:t xml:space="preserve"> i roku oznacza wzrost </w:t>
      </w:r>
      <w:r>
        <w:t>(</w:t>
      </w:r>
      <w:r w:rsidRPr="007E0BC2">
        <w:t xml:space="preserve">odpowiednio o 2,7% i </w:t>
      </w:r>
      <w:r>
        <w:t xml:space="preserve">o </w:t>
      </w:r>
      <w:r w:rsidRPr="007E0BC2">
        <w:t>11,1%</w:t>
      </w:r>
      <w:r>
        <w:t>)</w:t>
      </w:r>
      <w:r w:rsidRPr="007E0BC2">
        <w:t>.</w:t>
      </w:r>
    </w:p>
    <w:p w:rsidR="00BC6BAA" w:rsidRPr="002D294B" w:rsidRDefault="00BC6BAA" w:rsidP="00BC6BAA">
      <w:pPr>
        <w:pStyle w:val="tekst"/>
      </w:pPr>
      <w:r w:rsidRPr="002D294B">
        <w:t xml:space="preserve">Cena 1 kg żywca wieprzowego w skupie w </w:t>
      </w:r>
      <w:r>
        <w:t>lutym</w:t>
      </w:r>
      <w:r w:rsidRPr="002D294B">
        <w:t xml:space="preserve"> br. równoważyła wartość </w:t>
      </w:r>
      <w:r w:rsidRPr="008F57E8">
        <w:t>8,3</w:t>
      </w:r>
      <w:r w:rsidRPr="002D294B">
        <w:t xml:space="preserve"> kg żyta w skupie (wobec </w:t>
      </w:r>
      <w:r>
        <w:t>8,2</w:t>
      </w:r>
      <w:r w:rsidRPr="002D294B">
        <w:t xml:space="preserve"> przed miesiącem i </w:t>
      </w:r>
      <w:r w:rsidRPr="008F57E8">
        <w:t>12,7</w:t>
      </w:r>
      <w:r w:rsidRPr="002D294B">
        <w:t xml:space="preserve"> przed rokiem</w:t>
      </w:r>
      <w:r w:rsidRPr="00494D36">
        <w:t xml:space="preserve">), natomiast </w:t>
      </w:r>
      <w:r w:rsidRPr="00494D36">
        <w:rPr>
          <w:b/>
        </w:rPr>
        <w:t>r</w:t>
      </w:r>
      <w:r w:rsidRPr="00494D36">
        <w:rPr>
          <w:b/>
          <w:bCs/>
        </w:rPr>
        <w:t>elacja cen skupu żywca wieprzowego do cen żyta na targowiskach</w:t>
      </w:r>
      <w:r w:rsidRPr="00494D36">
        <w:t xml:space="preserve"> wyniosła w tym czasie </w:t>
      </w:r>
      <w:r w:rsidRPr="00494D36">
        <w:lastRenderedPageBreak/>
        <w:t>6,1 (wobec 5,8 w styczniu</w:t>
      </w:r>
      <w:r>
        <w:t xml:space="preserve"> br.</w:t>
      </w:r>
      <w:r w:rsidRPr="00494D36">
        <w:t xml:space="preserve"> i 8,2 w lutym ub. roku), a do </w:t>
      </w:r>
      <w:r w:rsidRPr="00494D36">
        <w:rPr>
          <w:b/>
        </w:rPr>
        <w:t>cen targowiskowych jęczmienia</w:t>
      </w:r>
      <w:r w:rsidRPr="00494D36">
        <w:t xml:space="preserve"> – 5,5 (wobec odpowiednio 5,3</w:t>
      </w:r>
      <w:r>
        <w:t> i </w:t>
      </w:r>
      <w:r w:rsidRPr="00494D36">
        <w:t>6,9).</w:t>
      </w:r>
    </w:p>
    <w:p w:rsidR="00BC6BAA" w:rsidRPr="00667CB6" w:rsidRDefault="00DC46F9" w:rsidP="00BC6BAA">
      <w:pPr>
        <w:pStyle w:val="tytuwykresu"/>
        <w:spacing w:before="240" w:after="120"/>
      </w:pPr>
      <w:r w:rsidRPr="00DC46F9">
        <w:rPr>
          <w:noProof/>
          <w:lang w:eastAsia="pl-PL"/>
        </w:rPr>
        <w:drawing>
          <wp:anchor distT="0" distB="180340" distL="114300" distR="114300" simplePos="0" relativeHeight="252952064" behindDoc="0" locked="0" layoutInCell="1" allowOverlap="1">
            <wp:simplePos x="0" y="0"/>
            <wp:positionH relativeFrom="column">
              <wp:posOffset>174854</wp:posOffset>
            </wp:positionH>
            <wp:positionV relativeFrom="paragraph">
              <wp:posOffset>291465</wp:posOffset>
            </wp:positionV>
            <wp:extent cx="6120000" cy="2520000"/>
            <wp:effectExtent l="0" t="0" r="0" b="0"/>
            <wp:wrapTopAndBottom/>
            <wp:docPr id="37" name="Obraz 37" descr="Poczwórny wykres liniowy (bydło, trzoda chlewna, drób, mleko) ilustrujący kształtowanie się cen skupu wybranych produktów zwierzęcych w poszczególnych miesiącach w latach 2022–2025 (oś pozioma). Oś pionowa lewa (dla żywca rzeźnego) wartości z przedziału od 4,00 do 12,00 zł za 1 kg, oś pionowa prawa (dla mleka) – od 0,75 do 2,75 zł za 1 l.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0000" cy="25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6BAA">
        <w:t>W</w:t>
      </w:r>
      <w:r w:rsidR="00BC6BAA" w:rsidRPr="003F192B">
        <w:t>ykres</w:t>
      </w:r>
      <w:r w:rsidR="00BC6BAA">
        <w:t xml:space="preserve"> 7.</w:t>
      </w:r>
      <w:r w:rsidR="00BC6BAA">
        <w:tab/>
      </w:r>
      <w:r w:rsidR="00BC6BAA" w:rsidRPr="005E3502">
        <w:t>Przeciętne ceny skupu żywca rzeźnego i mleka</w:t>
      </w:r>
    </w:p>
    <w:p w:rsidR="00BC6BAA" w:rsidRPr="0071379D" w:rsidRDefault="00BC6BAA" w:rsidP="00BC6BAA">
      <w:pPr>
        <w:pStyle w:val="tekst"/>
      </w:pPr>
      <w:r w:rsidRPr="00021C99">
        <w:rPr>
          <w:b/>
        </w:rPr>
        <w:t>Skup mleka</w:t>
      </w:r>
      <w:r w:rsidRPr="00021C99">
        <w:t xml:space="preserve"> w </w:t>
      </w:r>
      <w:r>
        <w:t>lutym</w:t>
      </w:r>
      <w:r w:rsidRPr="00021C99">
        <w:t xml:space="preserve"> br. wyniósł </w:t>
      </w:r>
      <w:r w:rsidRPr="005026AF">
        <w:t>194,6</w:t>
      </w:r>
      <w:r w:rsidRPr="00021C99">
        <w:t xml:space="preserve"> m</w:t>
      </w:r>
      <w:r>
        <w:t>ln litrów, co oznacza, że był mniej</w:t>
      </w:r>
      <w:r w:rsidRPr="00021C99">
        <w:t xml:space="preserve">szy </w:t>
      </w:r>
      <w:r>
        <w:t xml:space="preserve">zarówno </w:t>
      </w:r>
      <w:r w:rsidRPr="00021C99">
        <w:t xml:space="preserve">od zanotowanego w </w:t>
      </w:r>
      <w:r>
        <w:t xml:space="preserve">styczniu br., jak i w lutym rok wcześniej (odpowiednio o </w:t>
      </w:r>
      <w:r w:rsidRPr="005026AF">
        <w:t>3,6</w:t>
      </w:r>
      <w:r>
        <w:t>% i o</w:t>
      </w:r>
      <w:r w:rsidRPr="005026AF">
        <w:t xml:space="preserve"> 1,5%). Za 1 hl tego produktu w skupie rolnicy uzyskali cenę 224,29 zł, tj. o 2,0% niższą od zanoto</w:t>
      </w:r>
      <w:r>
        <w:t>wanej w poprzednim miesiącu, ale</w:t>
      </w:r>
      <w:r w:rsidRPr="005026AF">
        <w:t xml:space="preserve"> o 10,5% wyższą niż w lutym ub. roku.</w:t>
      </w:r>
    </w:p>
    <w:p w:rsidR="00E923A7" w:rsidRPr="00667CB6" w:rsidRDefault="00E923A7" w:rsidP="00E923A7">
      <w:pPr>
        <w:pStyle w:val="Nagwek1"/>
      </w:pPr>
      <w:r w:rsidRPr="005F5E57">
        <w:t>Przemysł i budownictwo</w:t>
      </w:r>
      <w:bookmarkEnd w:id="30"/>
      <w:bookmarkEnd w:id="31"/>
      <w:bookmarkEnd w:id="32"/>
      <w:bookmarkEnd w:id="33"/>
      <w:bookmarkEnd w:id="34"/>
    </w:p>
    <w:p w:rsidR="00E923A7" w:rsidRPr="00D5416C" w:rsidRDefault="00E923A7" w:rsidP="00E923A7">
      <w:pPr>
        <w:pStyle w:val="tekst"/>
        <w:rPr>
          <w:szCs w:val="19"/>
        </w:rPr>
      </w:pPr>
      <w:r>
        <w:t>W lutym br.</w:t>
      </w:r>
      <w:r w:rsidRPr="00D5416C">
        <w:rPr>
          <w:szCs w:val="19"/>
        </w:rPr>
        <w:t xml:space="preserve"> wartość </w:t>
      </w:r>
      <w:r w:rsidRPr="00D5416C">
        <w:rPr>
          <w:b/>
          <w:szCs w:val="19"/>
        </w:rPr>
        <w:t>produkcji sprzedanej przemysłu</w:t>
      </w:r>
      <w:r w:rsidRPr="00D5416C">
        <w:rPr>
          <w:szCs w:val="19"/>
        </w:rPr>
        <w:t xml:space="preserve"> wyniosła </w:t>
      </w:r>
      <w:r w:rsidRPr="0048689B">
        <w:rPr>
          <w:szCs w:val="19"/>
        </w:rPr>
        <w:t>20819,2</w:t>
      </w:r>
      <w:r>
        <w:rPr>
          <w:szCs w:val="19"/>
        </w:rPr>
        <w:t xml:space="preserve"> </w:t>
      </w:r>
      <w:r w:rsidRPr="00D5416C">
        <w:rPr>
          <w:szCs w:val="19"/>
        </w:rPr>
        <w:t>mln zł (w cenach bieżących). Licząc w cenach stałych</w:t>
      </w:r>
      <w:r>
        <w:rPr>
          <w:szCs w:val="19"/>
        </w:rPr>
        <w:t xml:space="preserve"> </w:t>
      </w:r>
      <w:r w:rsidRPr="00D5416C">
        <w:rPr>
          <w:szCs w:val="19"/>
        </w:rPr>
        <w:t>oznacza to</w:t>
      </w:r>
      <w:r>
        <w:rPr>
          <w:szCs w:val="19"/>
        </w:rPr>
        <w:t xml:space="preserve"> wzrost sprzedaży </w:t>
      </w:r>
      <w:r w:rsidRPr="00D5416C">
        <w:rPr>
          <w:szCs w:val="19"/>
        </w:rPr>
        <w:t>w stosunku do poprzedniego miesiąca</w:t>
      </w:r>
      <w:r>
        <w:rPr>
          <w:szCs w:val="19"/>
        </w:rPr>
        <w:t xml:space="preserve"> – o 0,6%, natomiast </w:t>
      </w:r>
      <w:r w:rsidRPr="00D5416C">
        <w:rPr>
          <w:szCs w:val="19"/>
        </w:rPr>
        <w:t xml:space="preserve">w relacji </w:t>
      </w:r>
      <w:r>
        <w:rPr>
          <w:szCs w:val="19"/>
        </w:rPr>
        <w:t>do lutego ub. roku spadek</w:t>
      </w:r>
      <w:r w:rsidRPr="00D5416C">
        <w:rPr>
          <w:szCs w:val="19"/>
        </w:rPr>
        <w:t xml:space="preserve"> </w:t>
      </w:r>
      <w:r>
        <w:rPr>
          <w:szCs w:val="19"/>
        </w:rPr>
        <w:t xml:space="preserve">– o 0,1% </w:t>
      </w:r>
      <w:r w:rsidRPr="00D5416C">
        <w:rPr>
          <w:szCs w:val="19"/>
        </w:rPr>
        <w:t xml:space="preserve">(przed rokiem </w:t>
      </w:r>
      <w:r>
        <w:rPr>
          <w:szCs w:val="19"/>
        </w:rPr>
        <w:t>zanotowano wzrost sprzedaży w ujęciu miesięcznym – o 0,9% i w stosunku rocznym – o 5,7</w:t>
      </w:r>
      <w:r w:rsidRPr="00D5416C">
        <w:rPr>
          <w:szCs w:val="19"/>
        </w:rPr>
        <w:t>%).</w:t>
      </w:r>
    </w:p>
    <w:p w:rsidR="00E923A7" w:rsidRDefault="00DC46F9" w:rsidP="00E923A7">
      <w:pPr>
        <w:pStyle w:val="tytuwykresu"/>
        <w:spacing w:before="360" w:after="120"/>
      </w:pPr>
      <w:r w:rsidRPr="00DC46F9">
        <w:rPr>
          <w:noProof/>
          <w:lang w:eastAsia="pl-PL"/>
        </w:rPr>
        <w:drawing>
          <wp:anchor distT="0" distB="0" distL="114300" distR="114300" simplePos="0" relativeHeight="252953088" behindDoc="0" locked="0" layoutInCell="1" allowOverlap="1">
            <wp:simplePos x="0" y="0"/>
            <wp:positionH relativeFrom="column">
              <wp:posOffset>281940</wp:posOffset>
            </wp:positionH>
            <wp:positionV relativeFrom="paragraph">
              <wp:posOffset>633474</wp:posOffset>
            </wp:positionV>
            <wp:extent cx="5939790" cy="2425700"/>
            <wp:effectExtent l="0" t="0" r="3810" b="0"/>
            <wp:wrapTopAndBottom/>
            <wp:docPr id="38" name="Obraz 38" descr="Podwójny wykres liniowy (Polska i województwo wielkopolskie) ilustrujący dynamikę produkcji sprzedanej przemysłu (w cenach stałych 2021) w odniesieniu do przeciętnej wartości miesięcznej z 2021 r., w poszczególnych miesiącach w latach 2022–2025 (oś pozioma). Oś pionowa wartości w zakresie od 90 do 130.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39790" cy="2425700"/>
                    </a:xfrm>
                    <a:prstGeom prst="rect">
                      <a:avLst/>
                    </a:prstGeom>
                    <a:noFill/>
                    <a:ln>
                      <a:noFill/>
                    </a:ln>
                  </pic:spPr>
                </pic:pic>
              </a:graphicData>
            </a:graphic>
          </wp:anchor>
        </w:drawing>
      </w:r>
      <w:r w:rsidR="00E923A7" w:rsidRPr="003F192B">
        <w:t>Wykres</w:t>
      </w:r>
      <w:r w:rsidR="00E923A7">
        <w:t xml:space="preserve"> 8.</w:t>
      </w:r>
      <w:r w:rsidR="00E923A7">
        <w:tab/>
      </w:r>
      <w:r w:rsidR="00E923A7" w:rsidRPr="0041272B">
        <w:t xml:space="preserve">Produkcja sprzedana przemysłu </w:t>
      </w:r>
      <w:r w:rsidR="00E923A7" w:rsidRPr="0041272B">
        <w:br/>
      </w:r>
      <w:r w:rsidR="00E923A7" w:rsidRPr="0041272B">
        <w:tab/>
      </w:r>
      <w:r w:rsidR="00E923A7" w:rsidRPr="003C2B8D">
        <w:t xml:space="preserve">(ceny stałe; przeciętna miesięczna </w:t>
      </w:r>
      <w:r w:rsidR="00E923A7">
        <w:t>2021=</w:t>
      </w:r>
      <w:r w:rsidR="00E923A7" w:rsidRPr="003C2B8D">
        <w:t>100)</w:t>
      </w:r>
      <w:r w:rsidR="00E923A7" w:rsidRPr="007F73D2">
        <w:rPr>
          <w:b w:val="0"/>
        </w:rPr>
        <w:t xml:space="preserve"> </w:t>
      </w:r>
    </w:p>
    <w:p w:rsidR="00E923A7" w:rsidRDefault="00E923A7" w:rsidP="00E923A7">
      <w:pPr>
        <w:pStyle w:val="tekst"/>
        <w:spacing w:before="360"/>
      </w:pPr>
      <w:r w:rsidRPr="00D5416C">
        <w:t>W</w:t>
      </w:r>
      <w:r w:rsidRPr="006B3250">
        <w:t xml:space="preserve"> porównaniu </w:t>
      </w:r>
      <w:r>
        <w:t>z lutym ub. roku</w:t>
      </w:r>
      <w:r w:rsidRPr="006B3250">
        <w:t xml:space="preserve"> </w:t>
      </w:r>
      <w:r>
        <w:t>spadek</w:t>
      </w:r>
      <w:r w:rsidRPr="006B3250">
        <w:t xml:space="preserve"> sprzedaży produkcji </w:t>
      </w:r>
      <w:r>
        <w:t xml:space="preserve">przemysłowej </w:t>
      </w:r>
      <w:r w:rsidRPr="006B3250">
        <w:t>zanotowa</w:t>
      </w:r>
      <w:r>
        <w:t xml:space="preserve">no w 2 </w:t>
      </w:r>
      <w:r w:rsidRPr="006B3250">
        <w:t>sekcj</w:t>
      </w:r>
      <w:r>
        <w:t>ach:</w:t>
      </w:r>
      <w:r w:rsidRPr="006B3250">
        <w:t xml:space="preserve"> </w:t>
      </w:r>
      <w:r>
        <w:t>górnictw</w:t>
      </w:r>
      <w:r w:rsidR="00EC1DB9">
        <w:t>o</w:t>
      </w:r>
      <w:r>
        <w:t xml:space="preserve"> i </w:t>
      </w:r>
      <w:r w:rsidRPr="006B3250">
        <w:t>wydobywani</w:t>
      </w:r>
      <w:r w:rsidR="00EC1DB9">
        <w:t>e</w:t>
      </w:r>
      <w:r>
        <w:t xml:space="preserve"> – o </w:t>
      </w:r>
      <w:r w:rsidRPr="002B42A1">
        <w:t>45,2</w:t>
      </w:r>
      <w:r w:rsidRPr="006B3250">
        <w:t>%</w:t>
      </w:r>
      <w:r>
        <w:t xml:space="preserve"> oraz </w:t>
      </w:r>
      <w:r w:rsidRPr="006B3250">
        <w:t>dostaw</w:t>
      </w:r>
      <w:r w:rsidR="00EC1DB9">
        <w:t>a</w:t>
      </w:r>
      <w:r w:rsidRPr="006B3250">
        <w:t xml:space="preserve"> wody; gospodarowani</w:t>
      </w:r>
      <w:r w:rsidR="00EC1DB9">
        <w:t>e</w:t>
      </w:r>
      <w:r w:rsidRPr="006B3250">
        <w:t xml:space="preserve"> ściekami i odpadami; rekultywacj</w:t>
      </w:r>
      <w:r w:rsidR="00EC1DB9">
        <w:t>a</w:t>
      </w:r>
      <w:r w:rsidRPr="006B3250">
        <w:t xml:space="preserve"> – o </w:t>
      </w:r>
      <w:r>
        <w:t>0,3</w:t>
      </w:r>
      <w:r w:rsidRPr="006B3250">
        <w:t>%</w:t>
      </w:r>
      <w:r>
        <w:t>. Wzrost sprzedaży dotyczył przedsiębiorstw zajmujących się wytwarzaniem</w:t>
      </w:r>
      <w:r w:rsidRPr="006B3250">
        <w:t xml:space="preserve"> i zaopatrywani</w:t>
      </w:r>
      <w:r>
        <w:t>em</w:t>
      </w:r>
      <w:r w:rsidRPr="006B3250">
        <w:t xml:space="preserve"> w</w:t>
      </w:r>
      <w:r>
        <w:t> </w:t>
      </w:r>
      <w:r w:rsidRPr="006B3250">
        <w:t>energię elektryczną, gaz, parę wodną i gorącą wodę</w:t>
      </w:r>
      <w:r>
        <w:t xml:space="preserve"> –</w:t>
      </w:r>
      <w:r w:rsidRPr="005C6731">
        <w:t xml:space="preserve"> </w:t>
      </w:r>
      <w:r w:rsidRPr="006B3250">
        <w:t xml:space="preserve">o </w:t>
      </w:r>
      <w:r>
        <w:t>4,1</w:t>
      </w:r>
      <w:r w:rsidRPr="006B3250">
        <w:t>%</w:t>
      </w:r>
      <w:r>
        <w:t xml:space="preserve"> </w:t>
      </w:r>
      <w:r w:rsidR="00F1634A">
        <w:t>oraz</w:t>
      </w:r>
      <w:r w:rsidRPr="006B3250">
        <w:t xml:space="preserve"> przetwórstw</w:t>
      </w:r>
      <w:r w:rsidR="00E860D2">
        <w:t>em</w:t>
      </w:r>
      <w:r w:rsidRPr="006B3250">
        <w:t xml:space="preserve"> przemysłow</w:t>
      </w:r>
      <w:r>
        <w:t>ym</w:t>
      </w:r>
      <w:r w:rsidRPr="006B3250">
        <w:t xml:space="preserve"> – o </w:t>
      </w:r>
      <w:r>
        <w:t>0,1</w:t>
      </w:r>
      <w:r w:rsidRPr="006B3250">
        <w:t xml:space="preserve">%. </w:t>
      </w:r>
    </w:p>
    <w:p w:rsidR="00E923A7" w:rsidRDefault="00E923A7" w:rsidP="00E923A7">
      <w:pPr>
        <w:pStyle w:val="tekst"/>
      </w:pPr>
      <w:r w:rsidRPr="00B02053">
        <w:lastRenderedPageBreak/>
        <w:t xml:space="preserve">Na niższym poziomie klasyfikacji PKD </w:t>
      </w:r>
      <w:r>
        <w:t>spadek</w:t>
      </w:r>
      <w:r w:rsidRPr="00B02053">
        <w:t xml:space="preserve"> wartości sprzedaży odnotowa</w:t>
      </w:r>
      <w:r>
        <w:t xml:space="preserve">ło 14 </w:t>
      </w:r>
      <w:r w:rsidRPr="00B02053">
        <w:t>dział</w:t>
      </w:r>
      <w:r>
        <w:t>ów</w:t>
      </w:r>
      <w:r w:rsidRPr="00B02053">
        <w:t xml:space="preserve"> przemysłu. </w:t>
      </w:r>
      <w:r>
        <w:t>Sprzedaż obniżyła się m.in. w przedsiębiorstwach zajmujących się produkcją:</w:t>
      </w:r>
      <w:r w:rsidRPr="00B02053">
        <w:t xml:space="preserve"> </w:t>
      </w:r>
      <w:r w:rsidRPr="00C20CD4">
        <w:t>pojazdów samochodowych, przyczep i naczep</w:t>
      </w:r>
      <w:r>
        <w:t xml:space="preserve"> (o </w:t>
      </w:r>
      <w:r w:rsidRPr="00977646">
        <w:t>11,1</w:t>
      </w:r>
      <w:r>
        <w:t xml:space="preserve">%), </w:t>
      </w:r>
      <w:r w:rsidRPr="00C572B3">
        <w:t>urządzeń elektrycznych</w:t>
      </w:r>
      <w:r>
        <w:t xml:space="preserve"> (o </w:t>
      </w:r>
      <w:r w:rsidRPr="00977646">
        <w:t>8,8</w:t>
      </w:r>
      <w:r>
        <w:t xml:space="preserve">%), </w:t>
      </w:r>
      <w:r w:rsidRPr="00C20CD4">
        <w:t>wyro</w:t>
      </w:r>
      <w:r>
        <w:t>bów z gumy i tworzyw sztucznych (o 3,8%) oraz napojów (o 1,0%). Wzrost</w:t>
      </w:r>
      <w:r w:rsidRPr="00B02053">
        <w:t xml:space="preserve"> </w:t>
      </w:r>
      <w:r>
        <w:t>sprzedaży dotyczył</w:t>
      </w:r>
      <w:r w:rsidRPr="00B02053">
        <w:t xml:space="preserve"> </w:t>
      </w:r>
      <w:r>
        <w:t>pozostałych 18 działów,</w:t>
      </w:r>
      <w:r w:rsidRPr="00BB4454">
        <w:t xml:space="preserve"> </w:t>
      </w:r>
      <w:r>
        <w:t xml:space="preserve">w tym związanych z </w:t>
      </w:r>
      <w:r w:rsidRPr="00B02053">
        <w:t>produk</w:t>
      </w:r>
      <w:r>
        <w:t xml:space="preserve">cją: chemikaliów i </w:t>
      </w:r>
      <w:r w:rsidRPr="00C33F3C">
        <w:t>wyrobów chemicznych</w:t>
      </w:r>
      <w:r>
        <w:t xml:space="preserve"> (o </w:t>
      </w:r>
      <w:r w:rsidRPr="00977646">
        <w:t>22,4</w:t>
      </w:r>
      <w:r>
        <w:t>%),</w:t>
      </w:r>
      <w:r w:rsidRPr="00082A5C">
        <w:t xml:space="preserve"> </w:t>
      </w:r>
      <w:r>
        <w:t xml:space="preserve">wyrobów z </w:t>
      </w:r>
      <w:r w:rsidRPr="00B02053">
        <w:t>pozostałych mineralnych surowców niemetalicznych (o</w:t>
      </w:r>
      <w:r>
        <w:t xml:space="preserve"> </w:t>
      </w:r>
      <w:r w:rsidRPr="00977646">
        <w:t>14,0</w:t>
      </w:r>
      <w:r w:rsidRPr="00B02053">
        <w:t>%)</w:t>
      </w:r>
      <w:r>
        <w:t>,</w:t>
      </w:r>
      <w:r w:rsidRPr="00082A5C">
        <w:t xml:space="preserve"> </w:t>
      </w:r>
      <w:r w:rsidRPr="00B02053">
        <w:t>wyrobów z metali</w:t>
      </w:r>
      <w:r>
        <w:t xml:space="preserve"> (o </w:t>
      </w:r>
      <w:r w:rsidRPr="00977646">
        <w:t>7,1</w:t>
      </w:r>
      <w:r>
        <w:t xml:space="preserve">%) oraz artykułów spożywczych </w:t>
      </w:r>
      <w:r w:rsidRPr="00B02053">
        <w:t>(o</w:t>
      </w:r>
      <w:r>
        <w:t> </w:t>
      </w:r>
      <w:r w:rsidRPr="00977646">
        <w:t>4,9</w:t>
      </w:r>
      <w:r w:rsidRPr="00B02053">
        <w:t>%)</w:t>
      </w:r>
      <w:r>
        <w:t>.</w:t>
      </w:r>
    </w:p>
    <w:p w:rsidR="00E923A7" w:rsidRPr="00667CB6" w:rsidRDefault="00E923A7" w:rsidP="00E923A7">
      <w:pPr>
        <w:pStyle w:val="Tytultabeli"/>
        <w:spacing w:before="360"/>
      </w:pPr>
      <w:r>
        <w:t>Tablica 8.</w:t>
      </w:r>
      <w:r>
        <w:tab/>
      </w:r>
      <w:r w:rsidRPr="00667CB6">
        <w:t xml:space="preserve">Dynamika produkcji sprzedanej przemysłu (w cenach stałych) i jej struktura (w cenach bieżących) </w:t>
      </w:r>
    </w:p>
    <w:tbl>
      <w:tblPr>
        <w:tblW w:w="0" w:type="auto"/>
        <w:jc w:val="center"/>
        <w:tblBorders>
          <w:insideH w:val="single" w:sz="4" w:space="0" w:color="522398"/>
          <w:insideV w:val="single" w:sz="4" w:space="0" w:color="522398"/>
        </w:tblBorders>
        <w:tblLayout w:type="fixed"/>
        <w:tblCellMar>
          <w:top w:w="28" w:type="dxa"/>
          <w:bottom w:w="28" w:type="dxa"/>
        </w:tblCellMar>
        <w:tblLook w:val="04A0" w:firstRow="1" w:lastRow="0" w:firstColumn="1" w:lastColumn="0" w:noHBand="0" w:noVBand="1"/>
        <w:tblDescription w:val="Tablica przedstawia dynamikę produkcji sprzedanej przemysłu (w cenach stałych) oraz jej strukturę (w cenach bieżących) w wybranych działach przemysłu w miesiącu badawczym (luty br.) i w okresie narastającym (styczeń-luty br.) w odniesieniu do analogicznych okresów ub. roku. Dane do tablicy dostępne w pliku w formacie XLSX"/>
      </w:tblPr>
      <w:tblGrid>
        <w:gridCol w:w="4535"/>
        <w:gridCol w:w="1981"/>
        <w:gridCol w:w="1981"/>
        <w:gridCol w:w="1982"/>
      </w:tblGrid>
      <w:tr w:rsidR="00E923A7" w:rsidRPr="00E87892" w:rsidTr="00072CE1">
        <w:trPr>
          <w:trHeight w:val="57"/>
          <w:tblHeader/>
          <w:jc w:val="center"/>
        </w:trPr>
        <w:tc>
          <w:tcPr>
            <w:tcW w:w="4535" w:type="dxa"/>
            <w:vMerge w:val="restart"/>
            <w:tcBorders>
              <w:top w:val="nil"/>
            </w:tcBorders>
            <w:vAlign w:val="center"/>
          </w:tcPr>
          <w:p w:rsidR="00E923A7" w:rsidRPr="00C20CD4" w:rsidRDefault="00E923A7" w:rsidP="00072CE1">
            <w:pPr>
              <w:pStyle w:val="glowka1"/>
            </w:pPr>
            <w:r w:rsidRPr="00C20CD4">
              <w:t>Wyszczególnienie</w:t>
            </w:r>
          </w:p>
        </w:tc>
        <w:tc>
          <w:tcPr>
            <w:tcW w:w="1981" w:type="dxa"/>
            <w:tcBorders>
              <w:top w:val="nil"/>
              <w:bottom w:val="single" w:sz="4" w:space="0" w:color="522398"/>
            </w:tcBorders>
            <w:vAlign w:val="center"/>
          </w:tcPr>
          <w:p w:rsidR="00E923A7" w:rsidRPr="00FA1C2A" w:rsidRDefault="00E923A7" w:rsidP="00072CE1">
            <w:pPr>
              <w:pStyle w:val="glowka1"/>
            </w:pPr>
            <w:r>
              <w:t>02</w:t>
            </w:r>
            <w:r w:rsidRPr="00C20CD4">
              <w:t xml:space="preserve"> 20</w:t>
            </w:r>
            <w:r>
              <w:t>25</w:t>
            </w:r>
          </w:p>
        </w:tc>
        <w:tc>
          <w:tcPr>
            <w:tcW w:w="3963" w:type="dxa"/>
            <w:gridSpan w:val="2"/>
            <w:tcBorders>
              <w:top w:val="nil"/>
              <w:bottom w:val="single" w:sz="4" w:space="0" w:color="522398"/>
            </w:tcBorders>
            <w:vAlign w:val="center"/>
          </w:tcPr>
          <w:p w:rsidR="00E923A7" w:rsidRPr="00FA1C2A" w:rsidRDefault="00E923A7" w:rsidP="00072CE1">
            <w:pPr>
              <w:pStyle w:val="glowka1"/>
            </w:pPr>
            <w:r>
              <w:t>01–02 2025</w:t>
            </w:r>
          </w:p>
        </w:tc>
      </w:tr>
      <w:tr w:rsidR="00E923A7" w:rsidRPr="00E87892" w:rsidTr="00072CE1">
        <w:trPr>
          <w:trHeight w:val="57"/>
          <w:tblHeader/>
          <w:jc w:val="center"/>
        </w:trPr>
        <w:tc>
          <w:tcPr>
            <w:tcW w:w="4535" w:type="dxa"/>
            <w:vMerge/>
            <w:tcBorders>
              <w:bottom w:val="single" w:sz="12" w:space="0" w:color="522398"/>
            </w:tcBorders>
            <w:vAlign w:val="center"/>
          </w:tcPr>
          <w:p w:rsidR="00E923A7" w:rsidRPr="00C20CD4" w:rsidRDefault="00E923A7" w:rsidP="00072CE1">
            <w:pPr>
              <w:pStyle w:val="glowka1"/>
            </w:pPr>
          </w:p>
        </w:tc>
        <w:tc>
          <w:tcPr>
            <w:tcW w:w="3962" w:type="dxa"/>
            <w:gridSpan w:val="2"/>
            <w:tcBorders>
              <w:top w:val="single" w:sz="4" w:space="0" w:color="522398"/>
              <w:bottom w:val="single" w:sz="12" w:space="0" w:color="522398"/>
            </w:tcBorders>
            <w:vAlign w:val="center"/>
          </w:tcPr>
          <w:p w:rsidR="00E923A7" w:rsidRPr="00FA1C2A" w:rsidRDefault="00E923A7" w:rsidP="00072CE1">
            <w:pPr>
              <w:pStyle w:val="glowka1"/>
            </w:pPr>
            <w:r w:rsidRPr="00FA1C2A">
              <w:t xml:space="preserve">analogiczny okres </w:t>
            </w:r>
            <w:r>
              <w:br/>
            </w:r>
            <w:r w:rsidRPr="00FA1C2A">
              <w:t>roku poprzedniego = 100</w:t>
            </w:r>
          </w:p>
        </w:tc>
        <w:tc>
          <w:tcPr>
            <w:tcW w:w="1982" w:type="dxa"/>
            <w:tcBorders>
              <w:top w:val="single" w:sz="4" w:space="0" w:color="522398"/>
              <w:bottom w:val="single" w:sz="12" w:space="0" w:color="522398"/>
            </w:tcBorders>
            <w:vAlign w:val="center"/>
          </w:tcPr>
          <w:p w:rsidR="00E923A7" w:rsidRPr="00C20CD4" w:rsidRDefault="00E923A7" w:rsidP="00072CE1">
            <w:pPr>
              <w:pStyle w:val="glowka1"/>
            </w:pPr>
            <w:r w:rsidRPr="00FA1C2A">
              <w:t>w odsetkach</w:t>
            </w:r>
          </w:p>
        </w:tc>
      </w:tr>
      <w:tr w:rsidR="00E923A7" w:rsidRPr="00E87892" w:rsidTr="00072CE1">
        <w:trPr>
          <w:trHeight w:val="57"/>
          <w:jc w:val="center"/>
        </w:trPr>
        <w:tc>
          <w:tcPr>
            <w:tcW w:w="4535" w:type="dxa"/>
            <w:tcBorders>
              <w:top w:val="single" w:sz="12" w:space="0" w:color="522398"/>
              <w:bottom w:val="single" w:sz="4" w:space="0" w:color="522398"/>
            </w:tcBorders>
            <w:vAlign w:val="center"/>
          </w:tcPr>
          <w:p w:rsidR="00E923A7" w:rsidRPr="00C20CD4" w:rsidRDefault="00E923A7" w:rsidP="00072CE1">
            <w:pPr>
              <w:pStyle w:val="bocz1t"/>
            </w:pPr>
            <w:r w:rsidRPr="00B8430B">
              <w:t>Ogółem</w:t>
            </w:r>
          </w:p>
        </w:tc>
        <w:tc>
          <w:tcPr>
            <w:tcW w:w="1981" w:type="dxa"/>
            <w:tcBorders>
              <w:top w:val="single" w:sz="12" w:space="0" w:color="522398"/>
              <w:bottom w:val="single" w:sz="4" w:space="0" w:color="522398"/>
            </w:tcBorders>
          </w:tcPr>
          <w:p w:rsidR="00E923A7" w:rsidRPr="00CC79DD" w:rsidRDefault="00E923A7" w:rsidP="00072CE1">
            <w:pPr>
              <w:pStyle w:val="tableteksttab"/>
              <w:rPr>
                <w:b/>
              </w:rPr>
            </w:pPr>
            <w:r w:rsidRPr="00CC79DD">
              <w:rPr>
                <w:b/>
              </w:rPr>
              <w:t>99,9</w:t>
            </w:r>
          </w:p>
        </w:tc>
        <w:tc>
          <w:tcPr>
            <w:tcW w:w="1981" w:type="dxa"/>
            <w:tcBorders>
              <w:top w:val="single" w:sz="12" w:space="0" w:color="522398"/>
              <w:bottom w:val="single" w:sz="4" w:space="0" w:color="522398"/>
            </w:tcBorders>
          </w:tcPr>
          <w:p w:rsidR="00E923A7" w:rsidRPr="00CC79DD" w:rsidRDefault="00E923A7" w:rsidP="00072CE1">
            <w:pPr>
              <w:pStyle w:val="tableteksttab"/>
              <w:rPr>
                <w:b/>
              </w:rPr>
            </w:pPr>
            <w:r w:rsidRPr="00CC79DD">
              <w:rPr>
                <w:b/>
              </w:rPr>
              <w:t>100,3</w:t>
            </w:r>
          </w:p>
        </w:tc>
        <w:tc>
          <w:tcPr>
            <w:tcW w:w="1982" w:type="dxa"/>
            <w:tcBorders>
              <w:top w:val="single" w:sz="12" w:space="0" w:color="522398"/>
              <w:bottom w:val="single" w:sz="4" w:space="0" w:color="522398"/>
            </w:tcBorders>
          </w:tcPr>
          <w:p w:rsidR="00E923A7" w:rsidRPr="00CC79DD" w:rsidRDefault="00E923A7" w:rsidP="00072CE1">
            <w:pPr>
              <w:pStyle w:val="tableteksttab"/>
              <w:rPr>
                <w:b/>
              </w:rPr>
            </w:pPr>
            <w:r w:rsidRPr="00CC79DD">
              <w:rPr>
                <w:b/>
              </w:rPr>
              <w:t>100,0</w:t>
            </w:r>
          </w:p>
        </w:tc>
      </w:tr>
      <w:tr w:rsidR="00E923A7" w:rsidRPr="00E87892" w:rsidTr="00072CE1">
        <w:trPr>
          <w:trHeight w:val="57"/>
          <w:jc w:val="center"/>
        </w:trPr>
        <w:tc>
          <w:tcPr>
            <w:tcW w:w="4535" w:type="dxa"/>
            <w:tcBorders>
              <w:top w:val="single" w:sz="4" w:space="0" w:color="522398"/>
            </w:tcBorders>
            <w:vAlign w:val="center"/>
          </w:tcPr>
          <w:p w:rsidR="00E923A7" w:rsidRPr="00C20CD4" w:rsidRDefault="00E923A7" w:rsidP="00072CE1">
            <w:pPr>
              <w:pStyle w:val="boczekbez"/>
            </w:pPr>
            <w:r>
              <w:t>w tym:</w:t>
            </w:r>
          </w:p>
        </w:tc>
        <w:tc>
          <w:tcPr>
            <w:tcW w:w="1981" w:type="dxa"/>
            <w:tcBorders>
              <w:top w:val="single" w:sz="4" w:space="0" w:color="522398"/>
            </w:tcBorders>
          </w:tcPr>
          <w:p w:rsidR="00E923A7" w:rsidRPr="00B3600A" w:rsidRDefault="00E923A7" w:rsidP="00072CE1">
            <w:pPr>
              <w:pStyle w:val="tableteksttab"/>
            </w:pPr>
          </w:p>
        </w:tc>
        <w:tc>
          <w:tcPr>
            <w:tcW w:w="1981" w:type="dxa"/>
            <w:tcBorders>
              <w:top w:val="single" w:sz="4" w:space="0" w:color="522398"/>
            </w:tcBorders>
          </w:tcPr>
          <w:p w:rsidR="00E923A7" w:rsidRPr="00B3600A" w:rsidRDefault="00E923A7" w:rsidP="00072CE1">
            <w:pPr>
              <w:pStyle w:val="tableteksttab"/>
            </w:pPr>
          </w:p>
        </w:tc>
        <w:tc>
          <w:tcPr>
            <w:tcW w:w="1982" w:type="dxa"/>
            <w:tcBorders>
              <w:top w:val="single" w:sz="4" w:space="0" w:color="522398"/>
            </w:tcBorders>
          </w:tcPr>
          <w:p w:rsidR="00E923A7" w:rsidRPr="00B3600A" w:rsidRDefault="00E923A7" w:rsidP="00072CE1">
            <w:pPr>
              <w:pStyle w:val="tableteksttab"/>
            </w:pPr>
          </w:p>
        </w:tc>
      </w:tr>
      <w:tr w:rsidR="00E923A7" w:rsidRPr="00E87892" w:rsidTr="00072CE1">
        <w:trPr>
          <w:trHeight w:val="57"/>
          <w:jc w:val="center"/>
        </w:trPr>
        <w:tc>
          <w:tcPr>
            <w:tcW w:w="4535" w:type="dxa"/>
            <w:vAlign w:val="center"/>
          </w:tcPr>
          <w:p w:rsidR="00E923A7" w:rsidRPr="00C20CD4" w:rsidRDefault="00E923A7" w:rsidP="00072CE1">
            <w:pPr>
              <w:pStyle w:val="boczek1"/>
            </w:pPr>
            <w:r w:rsidRPr="00C20CD4">
              <w:t>Przetwórstwo przemysłowe</w:t>
            </w:r>
          </w:p>
        </w:tc>
        <w:tc>
          <w:tcPr>
            <w:tcW w:w="1981" w:type="dxa"/>
          </w:tcPr>
          <w:p w:rsidR="00E923A7" w:rsidRPr="00B3600A" w:rsidRDefault="00E923A7" w:rsidP="00072CE1">
            <w:pPr>
              <w:pStyle w:val="tableteksttab"/>
            </w:pPr>
            <w:r w:rsidRPr="00B3600A">
              <w:t>100,1</w:t>
            </w:r>
          </w:p>
        </w:tc>
        <w:tc>
          <w:tcPr>
            <w:tcW w:w="1981" w:type="dxa"/>
          </w:tcPr>
          <w:p w:rsidR="00E923A7" w:rsidRPr="00B3600A" w:rsidRDefault="00E923A7" w:rsidP="00072CE1">
            <w:pPr>
              <w:pStyle w:val="tableteksttab"/>
            </w:pPr>
            <w:r w:rsidRPr="00B3600A">
              <w:t>100,5</w:t>
            </w:r>
          </w:p>
        </w:tc>
        <w:tc>
          <w:tcPr>
            <w:tcW w:w="1982" w:type="dxa"/>
          </w:tcPr>
          <w:p w:rsidR="00E923A7" w:rsidRPr="00B3600A" w:rsidRDefault="00E923A7" w:rsidP="00072CE1">
            <w:pPr>
              <w:pStyle w:val="tableteksttab"/>
            </w:pPr>
            <w:r w:rsidRPr="00B3600A">
              <w:t>92,6</w:t>
            </w:r>
          </w:p>
        </w:tc>
      </w:tr>
      <w:tr w:rsidR="00E923A7" w:rsidRPr="00E87892" w:rsidTr="00072CE1">
        <w:trPr>
          <w:trHeight w:val="57"/>
          <w:jc w:val="center"/>
        </w:trPr>
        <w:tc>
          <w:tcPr>
            <w:tcW w:w="4535" w:type="dxa"/>
            <w:vAlign w:val="center"/>
          </w:tcPr>
          <w:p w:rsidR="00E923A7" w:rsidRPr="00C20CD4" w:rsidRDefault="00E923A7" w:rsidP="00072CE1">
            <w:pPr>
              <w:pStyle w:val="g6"/>
              <w:spacing w:line="240" w:lineRule="exact"/>
            </w:pPr>
            <w:r w:rsidRPr="00C20CD4">
              <w:t>w tym produkcja:</w:t>
            </w:r>
          </w:p>
        </w:tc>
        <w:tc>
          <w:tcPr>
            <w:tcW w:w="1981" w:type="dxa"/>
          </w:tcPr>
          <w:p w:rsidR="00E923A7" w:rsidRPr="00B3600A" w:rsidRDefault="00E923A7" w:rsidP="00072CE1">
            <w:pPr>
              <w:pStyle w:val="tableteksttab"/>
            </w:pPr>
          </w:p>
        </w:tc>
        <w:tc>
          <w:tcPr>
            <w:tcW w:w="1981" w:type="dxa"/>
          </w:tcPr>
          <w:p w:rsidR="00E923A7" w:rsidRPr="00B3600A" w:rsidRDefault="00E923A7" w:rsidP="00072CE1">
            <w:pPr>
              <w:pStyle w:val="tableteksttab"/>
            </w:pPr>
          </w:p>
        </w:tc>
        <w:tc>
          <w:tcPr>
            <w:tcW w:w="1982" w:type="dxa"/>
          </w:tcPr>
          <w:p w:rsidR="00E923A7" w:rsidRPr="00B3600A" w:rsidRDefault="00E923A7" w:rsidP="00072CE1">
            <w:pPr>
              <w:pStyle w:val="tableteksttab"/>
            </w:pPr>
          </w:p>
        </w:tc>
      </w:tr>
      <w:tr w:rsidR="00E923A7" w:rsidRPr="00E87892" w:rsidTr="00072CE1">
        <w:trPr>
          <w:trHeight w:val="57"/>
          <w:jc w:val="center"/>
        </w:trPr>
        <w:tc>
          <w:tcPr>
            <w:tcW w:w="4535" w:type="dxa"/>
            <w:vAlign w:val="center"/>
          </w:tcPr>
          <w:p w:rsidR="00E923A7" w:rsidRPr="00C20CD4" w:rsidRDefault="00E923A7" w:rsidP="00072CE1">
            <w:pPr>
              <w:pStyle w:val="boczek2"/>
            </w:pPr>
            <w:r>
              <w:t>artykułów spożywczych</w:t>
            </w:r>
          </w:p>
        </w:tc>
        <w:tc>
          <w:tcPr>
            <w:tcW w:w="1981" w:type="dxa"/>
          </w:tcPr>
          <w:p w:rsidR="00E923A7" w:rsidRPr="00B3600A" w:rsidRDefault="00E923A7" w:rsidP="00072CE1">
            <w:pPr>
              <w:pStyle w:val="tableteksttab"/>
            </w:pPr>
            <w:r w:rsidRPr="00B3600A">
              <w:t>104,9</w:t>
            </w:r>
          </w:p>
        </w:tc>
        <w:tc>
          <w:tcPr>
            <w:tcW w:w="1981" w:type="dxa"/>
          </w:tcPr>
          <w:p w:rsidR="00E923A7" w:rsidRPr="00B3600A" w:rsidRDefault="00E923A7" w:rsidP="00072CE1">
            <w:pPr>
              <w:pStyle w:val="tableteksttab"/>
            </w:pPr>
            <w:r w:rsidRPr="00B3600A">
              <w:t>107,5</w:t>
            </w:r>
          </w:p>
        </w:tc>
        <w:tc>
          <w:tcPr>
            <w:tcW w:w="1982" w:type="dxa"/>
          </w:tcPr>
          <w:p w:rsidR="00E923A7" w:rsidRPr="00B3600A" w:rsidRDefault="00E923A7" w:rsidP="00072CE1">
            <w:pPr>
              <w:pStyle w:val="tableteksttab"/>
            </w:pPr>
            <w:r w:rsidRPr="00B3600A">
              <w:t>23,5</w:t>
            </w:r>
          </w:p>
        </w:tc>
      </w:tr>
      <w:tr w:rsidR="00E923A7" w:rsidRPr="00E87892" w:rsidTr="00072CE1">
        <w:trPr>
          <w:trHeight w:val="57"/>
          <w:jc w:val="center"/>
        </w:trPr>
        <w:tc>
          <w:tcPr>
            <w:tcW w:w="4535" w:type="dxa"/>
            <w:vAlign w:val="center"/>
          </w:tcPr>
          <w:p w:rsidR="00E923A7" w:rsidRPr="00C20CD4" w:rsidRDefault="00E923A7" w:rsidP="00072CE1">
            <w:pPr>
              <w:pStyle w:val="boczek2"/>
            </w:pPr>
            <w:r>
              <w:t>napojów</w:t>
            </w:r>
          </w:p>
        </w:tc>
        <w:tc>
          <w:tcPr>
            <w:tcW w:w="1981" w:type="dxa"/>
          </w:tcPr>
          <w:p w:rsidR="00E923A7" w:rsidRPr="00B3600A" w:rsidRDefault="00E923A7" w:rsidP="00072CE1">
            <w:pPr>
              <w:pStyle w:val="tableteksttab"/>
            </w:pPr>
            <w:r w:rsidRPr="00B3600A">
              <w:t>99,0</w:t>
            </w:r>
          </w:p>
        </w:tc>
        <w:tc>
          <w:tcPr>
            <w:tcW w:w="1981" w:type="dxa"/>
          </w:tcPr>
          <w:p w:rsidR="00E923A7" w:rsidRPr="00B3600A" w:rsidRDefault="00E923A7" w:rsidP="00072CE1">
            <w:pPr>
              <w:pStyle w:val="tableteksttab"/>
            </w:pPr>
            <w:r w:rsidRPr="00B3600A">
              <w:t>96,9</w:t>
            </w:r>
          </w:p>
        </w:tc>
        <w:tc>
          <w:tcPr>
            <w:tcW w:w="1982" w:type="dxa"/>
          </w:tcPr>
          <w:p w:rsidR="00E923A7" w:rsidRPr="00B3600A" w:rsidRDefault="00E923A7" w:rsidP="00072CE1">
            <w:pPr>
              <w:pStyle w:val="tableteksttab"/>
            </w:pPr>
            <w:r w:rsidRPr="00B3600A">
              <w:t>2,3</w:t>
            </w:r>
          </w:p>
        </w:tc>
      </w:tr>
      <w:tr w:rsidR="00E923A7" w:rsidRPr="00E87892" w:rsidTr="00072CE1">
        <w:trPr>
          <w:trHeight w:val="57"/>
          <w:jc w:val="center"/>
        </w:trPr>
        <w:tc>
          <w:tcPr>
            <w:tcW w:w="4535" w:type="dxa"/>
            <w:vAlign w:val="center"/>
          </w:tcPr>
          <w:p w:rsidR="00E923A7" w:rsidRPr="00C20CD4" w:rsidRDefault="00E923A7" w:rsidP="00072CE1">
            <w:pPr>
              <w:pStyle w:val="boczek2"/>
            </w:pPr>
            <w:r w:rsidRPr="00C20CD4">
              <w:t>wyrobów z drewna, korka, słomy i wikliny</w:t>
            </w:r>
            <w:r w:rsidRPr="00C20CD4">
              <w:rPr>
                <w:rFonts w:ascii="Symbol" w:hAnsi="Symbol"/>
                <w:vertAlign w:val="superscript"/>
              </w:rPr>
              <w:t></w:t>
            </w:r>
          </w:p>
        </w:tc>
        <w:tc>
          <w:tcPr>
            <w:tcW w:w="1981" w:type="dxa"/>
          </w:tcPr>
          <w:p w:rsidR="00E923A7" w:rsidRPr="00B3600A" w:rsidRDefault="00E923A7" w:rsidP="00072CE1">
            <w:pPr>
              <w:pStyle w:val="tableteksttab"/>
            </w:pPr>
            <w:r w:rsidRPr="00B3600A">
              <w:t>99,3</w:t>
            </w:r>
          </w:p>
        </w:tc>
        <w:tc>
          <w:tcPr>
            <w:tcW w:w="1981" w:type="dxa"/>
          </w:tcPr>
          <w:p w:rsidR="00E923A7" w:rsidRPr="00B3600A" w:rsidRDefault="00E923A7" w:rsidP="00072CE1">
            <w:pPr>
              <w:pStyle w:val="tableteksttab"/>
            </w:pPr>
            <w:r w:rsidRPr="00B3600A">
              <w:t>101,2</w:t>
            </w:r>
          </w:p>
        </w:tc>
        <w:tc>
          <w:tcPr>
            <w:tcW w:w="1982" w:type="dxa"/>
          </w:tcPr>
          <w:p w:rsidR="00E923A7" w:rsidRPr="00B3600A" w:rsidRDefault="00E923A7" w:rsidP="00072CE1">
            <w:pPr>
              <w:pStyle w:val="tableteksttab"/>
            </w:pPr>
            <w:r w:rsidRPr="00B3600A">
              <w:t>3,1</w:t>
            </w:r>
          </w:p>
        </w:tc>
      </w:tr>
      <w:tr w:rsidR="00E923A7" w:rsidRPr="00E87892" w:rsidTr="00072CE1">
        <w:trPr>
          <w:trHeight w:val="57"/>
          <w:jc w:val="center"/>
        </w:trPr>
        <w:tc>
          <w:tcPr>
            <w:tcW w:w="4535" w:type="dxa"/>
            <w:vAlign w:val="center"/>
          </w:tcPr>
          <w:p w:rsidR="00E923A7" w:rsidRPr="00C20CD4" w:rsidRDefault="00E923A7" w:rsidP="00072CE1">
            <w:pPr>
              <w:pStyle w:val="boczek2"/>
            </w:pPr>
            <w:r>
              <w:t>papieru i wyrobów z papieru</w:t>
            </w:r>
          </w:p>
        </w:tc>
        <w:tc>
          <w:tcPr>
            <w:tcW w:w="1981" w:type="dxa"/>
          </w:tcPr>
          <w:p w:rsidR="00E923A7" w:rsidRPr="00B3600A" w:rsidRDefault="00E923A7" w:rsidP="00072CE1">
            <w:pPr>
              <w:pStyle w:val="tableteksttab"/>
            </w:pPr>
            <w:r w:rsidRPr="00B3600A">
              <w:t>99,9</w:t>
            </w:r>
          </w:p>
        </w:tc>
        <w:tc>
          <w:tcPr>
            <w:tcW w:w="1981" w:type="dxa"/>
          </w:tcPr>
          <w:p w:rsidR="00E923A7" w:rsidRPr="00B3600A" w:rsidRDefault="00E923A7" w:rsidP="00072CE1">
            <w:pPr>
              <w:pStyle w:val="tableteksttab"/>
            </w:pPr>
            <w:r w:rsidRPr="00B3600A">
              <w:t>101,5</w:t>
            </w:r>
          </w:p>
        </w:tc>
        <w:tc>
          <w:tcPr>
            <w:tcW w:w="1982" w:type="dxa"/>
          </w:tcPr>
          <w:p w:rsidR="00E923A7" w:rsidRPr="00B3600A" w:rsidRDefault="00E923A7" w:rsidP="00072CE1">
            <w:pPr>
              <w:pStyle w:val="tableteksttab"/>
            </w:pPr>
            <w:r w:rsidRPr="00B3600A">
              <w:t>4,2</w:t>
            </w:r>
          </w:p>
        </w:tc>
      </w:tr>
      <w:tr w:rsidR="00E923A7" w:rsidRPr="00E87892" w:rsidTr="00072CE1">
        <w:trPr>
          <w:trHeight w:val="57"/>
          <w:jc w:val="center"/>
        </w:trPr>
        <w:tc>
          <w:tcPr>
            <w:tcW w:w="4535" w:type="dxa"/>
            <w:vAlign w:val="center"/>
          </w:tcPr>
          <w:p w:rsidR="00E923A7" w:rsidRPr="00C20CD4" w:rsidRDefault="00E923A7" w:rsidP="00072CE1">
            <w:pPr>
              <w:pStyle w:val="boczek2"/>
            </w:pPr>
            <w:r w:rsidRPr="00C20CD4">
              <w:t>ch</w:t>
            </w:r>
            <w:r>
              <w:t>emikaliów i wyrobów chemicznych</w:t>
            </w:r>
          </w:p>
        </w:tc>
        <w:tc>
          <w:tcPr>
            <w:tcW w:w="1981" w:type="dxa"/>
          </w:tcPr>
          <w:p w:rsidR="00E923A7" w:rsidRPr="00B3600A" w:rsidRDefault="00E923A7" w:rsidP="00072CE1">
            <w:pPr>
              <w:pStyle w:val="tableteksttab"/>
            </w:pPr>
            <w:r w:rsidRPr="00B3600A">
              <w:t>122,4</w:t>
            </w:r>
          </w:p>
        </w:tc>
        <w:tc>
          <w:tcPr>
            <w:tcW w:w="1981" w:type="dxa"/>
          </w:tcPr>
          <w:p w:rsidR="00E923A7" w:rsidRPr="00B3600A" w:rsidRDefault="00E923A7" w:rsidP="00072CE1">
            <w:pPr>
              <w:pStyle w:val="tableteksttab"/>
            </w:pPr>
            <w:r w:rsidRPr="00B3600A">
              <w:t>126,1</w:t>
            </w:r>
          </w:p>
        </w:tc>
        <w:tc>
          <w:tcPr>
            <w:tcW w:w="1982" w:type="dxa"/>
          </w:tcPr>
          <w:p w:rsidR="00E923A7" w:rsidRPr="00B3600A" w:rsidRDefault="00E923A7" w:rsidP="00072CE1">
            <w:pPr>
              <w:pStyle w:val="tableteksttab"/>
            </w:pPr>
            <w:r w:rsidRPr="00B3600A">
              <w:t>4,1</w:t>
            </w:r>
          </w:p>
        </w:tc>
      </w:tr>
      <w:tr w:rsidR="00E923A7" w:rsidRPr="00E87892" w:rsidTr="00072CE1">
        <w:trPr>
          <w:trHeight w:val="57"/>
          <w:jc w:val="center"/>
        </w:trPr>
        <w:tc>
          <w:tcPr>
            <w:tcW w:w="4535" w:type="dxa"/>
            <w:vAlign w:val="center"/>
          </w:tcPr>
          <w:p w:rsidR="00E923A7" w:rsidRPr="00C20CD4" w:rsidRDefault="00E923A7" w:rsidP="00072CE1">
            <w:pPr>
              <w:pStyle w:val="boczek2"/>
            </w:pPr>
            <w:r w:rsidRPr="00C20CD4">
              <w:t>wyro</w:t>
            </w:r>
            <w:r>
              <w:t>bów z gumy i tworzyw sztucznych</w:t>
            </w:r>
          </w:p>
        </w:tc>
        <w:tc>
          <w:tcPr>
            <w:tcW w:w="1981" w:type="dxa"/>
          </w:tcPr>
          <w:p w:rsidR="00E923A7" w:rsidRPr="00B3600A" w:rsidRDefault="00E923A7" w:rsidP="00072CE1">
            <w:pPr>
              <w:pStyle w:val="tableteksttab"/>
            </w:pPr>
            <w:r w:rsidRPr="00B3600A">
              <w:t>96,2</w:t>
            </w:r>
          </w:p>
        </w:tc>
        <w:tc>
          <w:tcPr>
            <w:tcW w:w="1981" w:type="dxa"/>
          </w:tcPr>
          <w:p w:rsidR="00E923A7" w:rsidRPr="00B3600A" w:rsidRDefault="00E923A7" w:rsidP="00072CE1">
            <w:pPr>
              <w:pStyle w:val="tableteksttab"/>
            </w:pPr>
            <w:r w:rsidRPr="00B3600A">
              <w:t>98,1</w:t>
            </w:r>
          </w:p>
        </w:tc>
        <w:tc>
          <w:tcPr>
            <w:tcW w:w="1982" w:type="dxa"/>
          </w:tcPr>
          <w:p w:rsidR="00E923A7" w:rsidRPr="00B3600A" w:rsidRDefault="00E923A7" w:rsidP="00072CE1">
            <w:pPr>
              <w:pStyle w:val="tableteksttab"/>
            </w:pPr>
            <w:r w:rsidRPr="00B3600A">
              <w:t>6,2</w:t>
            </w:r>
          </w:p>
        </w:tc>
      </w:tr>
      <w:tr w:rsidR="00E923A7" w:rsidRPr="00E87892" w:rsidTr="00072CE1">
        <w:trPr>
          <w:trHeight w:val="57"/>
          <w:jc w:val="center"/>
        </w:trPr>
        <w:tc>
          <w:tcPr>
            <w:tcW w:w="4535" w:type="dxa"/>
            <w:vAlign w:val="bottom"/>
          </w:tcPr>
          <w:p w:rsidR="00E923A7" w:rsidRPr="00C20CD4" w:rsidRDefault="00E923A7" w:rsidP="00072CE1">
            <w:pPr>
              <w:pStyle w:val="boczek2"/>
            </w:pPr>
            <w:r w:rsidRPr="00C20CD4">
              <w:t>produkcja wyro</w:t>
            </w:r>
            <w:r>
              <w:t xml:space="preserve">bów z pozostałych mineralnych </w:t>
            </w:r>
            <w:r w:rsidRPr="00C20CD4">
              <w:t>surowców niemetalicznych</w:t>
            </w:r>
          </w:p>
        </w:tc>
        <w:tc>
          <w:tcPr>
            <w:tcW w:w="1981" w:type="dxa"/>
          </w:tcPr>
          <w:p w:rsidR="00E923A7" w:rsidRPr="00B3600A" w:rsidRDefault="00E923A7" w:rsidP="00072CE1">
            <w:pPr>
              <w:pStyle w:val="tableteksttab"/>
            </w:pPr>
            <w:r>
              <w:br/>
            </w:r>
            <w:r w:rsidRPr="00B3600A">
              <w:t>114,0</w:t>
            </w:r>
          </w:p>
        </w:tc>
        <w:tc>
          <w:tcPr>
            <w:tcW w:w="1981" w:type="dxa"/>
          </w:tcPr>
          <w:p w:rsidR="00E923A7" w:rsidRPr="00B3600A" w:rsidRDefault="00E923A7" w:rsidP="00072CE1">
            <w:pPr>
              <w:pStyle w:val="tableteksttab"/>
            </w:pPr>
            <w:r>
              <w:br/>
            </w:r>
            <w:r w:rsidRPr="00B3600A">
              <w:t>113,6</w:t>
            </w:r>
          </w:p>
        </w:tc>
        <w:tc>
          <w:tcPr>
            <w:tcW w:w="1982" w:type="dxa"/>
          </w:tcPr>
          <w:p w:rsidR="00E923A7" w:rsidRPr="00B3600A" w:rsidRDefault="00E923A7" w:rsidP="00072CE1">
            <w:pPr>
              <w:pStyle w:val="tableteksttab"/>
            </w:pPr>
            <w:r>
              <w:br/>
            </w:r>
            <w:r w:rsidRPr="00B3600A">
              <w:t>2,6</w:t>
            </w:r>
          </w:p>
        </w:tc>
      </w:tr>
      <w:tr w:rsidR="00E923A7" w:rsidRPr="00E87892" w:rsidTr="00072CE1">
        <w:trPr>
          <w:trHeight w:val="57"/>
          <w:jc w:val="center"/>
        </w:trPr>
        <w:tc>
          <w:tcPr>
            <w:tcW w:w="4535" w:type="dxa"/>
            <w:vAlign w:val="center"/>
          </w:tcPr>
          <w:p w:rsidR="00E923A7" w:rsidRPr="00C20CD4" w:rsidRDefault="00E923A7" w:rsidP="00072CE1">
            <w:pPr>
              <w:pStyle w:val="boczek2"/>
            </w:pPr>
            <w:r w:rsidRPr="00C20CD4">
              <w:t>wyrobów z metali</w:t>
            </w:r>
            <w:r w:rsidRPr="00C20CD4">
              <w:rPr>
                <w:rFonts w:ascii="Symbol" w:hAnsi="Symbol"/>
                <w:vertAlign w:val="superscript"/>
              </w:rPr>
              <w:t></w:t>
            </w:r>
          </w:p>
        </w:tc>
        <w:tc>
          <w:tcPr>
            <w:tcW w:w="1981" w:type="dxa"/>
          </w:tcPr>
          <w:p w:rsidR="00E923A7" w:rsidRPr="00B3600A" w:rsidRDefault="00E923A7" w:rsidP="00072CE1">
            <w:pPr>
              <w:pStyle w:val="tableteksttab"/>
            </w:pPr>
            <w:r w:rsidRPr="00B3600A">
              <w:t>107,1</w:t>
            </w:r>
          </w:p>
        </w:tc>
        <w:tc>
          <w:tcPr>
            <w:tcW w:w="1981" w:type="dxa"/>
          </w:tcPr>
          <w:p w:rsidR="00E923A7" w:rsidRPr="00B3600A" w:rsidRDefault="00E923A7" w:rsidP="00072CE1">
            <w:pPr>
              <w:pStyle w:val="tableteksttab"/>
            </w:pPr>
            <w:r w:rsidRPr="00B3600A">
              <w:t>107,3</w:t>
            </w:r>
          </w:p>
        </w:tc>
        <w:tc>
          <w:tcPr>
            <w:tcW w:w="1982" w:type="dxa"/>
          </w:tcPr>
          <w:p w:rsidR="00E923A7" w:rsidRPr="00B3600A" w:rsidRDefault="00E923A7" w:rsidP="00072CE1">
            <w:pPr>
              <w:pStyle w:val="tableteksttab"/>
            </w:pPr>
            <w:r w:rsidRPr="00B3600A">
              <w:t>7,1</w:t>
            </w:r>
          </w:p>
        </w:tc>
      </w:tr>
      <w:tr w:rsidR="00E923A7" w:rsidRPr="00E87892" w:rsidTr="00072CE1">
        <w:trPr>
          <w:trHeight w:val="57"/>
          <w:jc w:val="center"/>
        </w:trPr>
        <w:tc>
          <w:tcPr>
            <w:tcW w:w="4535" w:type="dxa"/>
            <w:vAlign w:val="center"/>
          </w:tcPr>
          <w:p w:rsidR="00E923A7" w:rsidRPr="00C20CD4" w:rsidRDefault="00E923A7" w:rsidP="00072CE1">
            <w:pPr>
              <w:pStyle w:val="boczek2"/>
            </w:pPr>
            <w:r>
              <w:t>urządzeń elektrycznych</w:t>
            </w:r>
          </w:p>
        </w:tc>
        <w:tc>
          <w:tcPr>
            <w:tcW w:w="1981" w:type="dxa"/>
          </w:tcPr>
          <w:p w:rsidR="00E923A7" w:rsidRPr="00B3600A" w:rsidRDefault="00E923A7" w:rsidP="00072CE1">
            <w:pPr>
              <w:pStyle w:val="tableteksttab"/>
            </w:pPr>
            <w:r w:rsidRPr="00B3600A">
              <w:t>91,2</w:t>
            </w:r>
          </w:p>
        </w:tc>
        <w:tc>
          <w:tcPr>
            <w:tcW w:w="1981" w:type="dxa"/>
          </w:tcPr>
          <w:p w:rsidR="00E923A7" w:rsidRPr="00B3600A" w:rsidRDefault="00E923A7" w:rsidP="00072CE1">
            <w:pPr>
              <w:pStyle w:val="tableteksttab"/>
            </w:pPr>
            <w:r w:rsidRPr="00B3600A">
              <w:t>91,2</w:t>
            </w:r>
          </w:p>
        </w:tc>
        <w:tc>
          <w:tcPr>
            <w:tcW w:w="1982" w:type="dxa"/>
          </w:tcPr>
          <w:p w:rsidR="00E923A7" w:rsidRPr="00B3600A" w:rsidRDefault="00E923A7" w:rsidP="00072CE1">
            <w:pPr>
              <w:pStyle w:val="tableteksttab"/>
            </w:pPr>
            <w:r w:rsidRPr="00B3600A">
              <w:t>5,3</w:t>
            </w:r>
          </w:p>
        </w:tc>
      </w:tr>
      <w:tr w:rsidR="00E923A7" w:rsidRPr="00E87892" w:rsidTr="00072CE1">
        <w:trPr>
          <w:trHeight w:val="57"/>
          <w:jc w:val="center"/>
        </w:trPr>
        <w:tc>
          <w:tcPr>
            <w:tcW w:w="4535" w:type="dxa"/>
            <w:tcBorders>
              <w:bottom w:val="single" w:sz="4" w:space="0" w:color="522398"/>
            </w:tcBorders>
            <w:vAlign w:val="center"/>
          </w:tcPr>
          <w:p w:rsidR="00E923A7" w:rsidRPr="00C20CD4" w:rsidRDefault="00E923A7" w:rsidP="00072CE1">
            <w:pPr>
              <w:pStyle w:val="boczek2"/>
            </w:pPr>
            <w:r w:rsidRPr="00C20CD4">
              <w:t>maszyn i urządzeń</w:t>
            </w:r>
            <w:r w:rsidRPr="00C20CD4">
              <w:rPr>
                <w:rFonts w:ascii="Symbol" w:hAnsi="Symbol"/>
                <w:vertAlign w:val="superscript"/>
              </w:rPr>
              <w:t></w:t>
            </w:r>
            <w:r w:rsidRPr="00C20CD4">
              <w:rPr>
                <w:vertAlign w:val="superscript"/>
              </w:rPr>
              <w:t xml:space="preserve"> </w:t>
            </w:r>
          </w:p>
        </w:tc>
        <w:tc>
          <w:tcPr>
            <w:tcW w:w="1981" w:type="dxa"/>
            <w:tcBorders>
              <w:bottom w:val="single" w:sz="4" w:space="0" w:color="522398"/>
            </w:tcBorders>
          </w:tcPr>
          <w:p w:rsidR="00E923A7" w:rsidRPr="00B3600A" w:rsidRDefault="00E923A7" w:rsidP="00072CE1">
            <w:pPr>
              <w:pStyle w:val="tableteksttab"/>
            </w:pPr>
            <w:r w:rsidRPr="00B3600A">
              <w:t>101,6</w:t>
            </w:r>
          </w:p>
        </w:tc>
        <w:tc>
          <w:tcPr>
            <w:tcW w:w="1981" w:type="dxa"/>
            <w:tcBorders>
              <w:bottom w:val="single" w:sz="4" w:space="0" w:color="522398"/>
            </w:tcBorders>
          </w:tcPr>
          <w:p w:rsidR="00E923A7" w:rsidRPr="00B3600A" w:rsidRDefault="00E923A7" w:rsidP="00072CE1">
            <w:pPr>
              <w:pStyle w:val="tableteksttab"/>
            </w:pPr>
            <w:r w:rsidRPr="00B3600A">
              <w:t>101,6</w:t>
            </w:r>
          </w:p>
        </w:tc>
        <w:tc>
          <w:tcPr>
            <w:tcW w:w="1982" w:type="dxa"/>
            <w:tcBorders>
              <w:bottom w:val="single" w:sz="4" w:space="0" w:color="522398"/>
            </w:tcBorders>
          </w:tcPr>
          <w:p w:rsidR="00E923A7" w:rsidRPr="00B3600A" w:rsidRDefault="00E923A7" w:rsidP="00072CE1">
            <w:pPr>
              <w:pStyle w:val="tableteksttab"/>
            </w:pPr>
            <w:r w:rsidRPr="00B3600A">
              <w:t>3,3</w:t>
            </w:r>
          </w:p>
        </w:tc>
      </w:tr>
      <w:tr w:rsidR="00E923A7" w:rsidRPr="00E87892" w:rsidTr="00072CE1">
        <w:trPr>
          <w:trHeight w:val="57"/>
          <w:jc w:val="center"/>
        </w:trPr>
        <w:tc>
          <w:tcPr>
            <w:tcW w:w="4535" w:type="dxa"/>
            <w:tcBorders>
              <w:top w:val="single" w:sz="4" w:space="0" w:color="522398"/>
              <w:bottom w:val="single" w:sz="4" w:space="0" w:color="522398"/>
            </w:tcBorders>
            <w:vAlign w:val="center"/>
          </w:tcPr>
          <w:p w:rsidR="00E923A7" w:rsidRPr="00C20CD4" w:rsidRDefault="00E923A7" w:rsidP="00072CE1">
            <w:pPr>
              <w:pStyle w:val="boczek2"/>
            </w:pPr>
            <w:r w:rsidRPr="00C20CD4">
              <w:t>pojazdów samochodowych, przyczep i naczep</w:t>
            </w:r>
            <w:r w:rsidRPr="00C20CD4">
              <w:rPr>
                <w:rFonts w:ascii="Symbol" w:hAnsi="Symbol"/>
                <w:vertAlign w:val="superscript"/>
              </w:rPr>
              <w:t></w:t>
            </w:r>
            <w:r w:rsidRPr="00C20CD4">
              <w:tab/>
            </w:r>
          </w:p>
        </w:tc>
        <w:tc>
          <w:tcPr>
            <w:tcW w:w="1981" w:type="dxa"/>
            <w:tcBorders>
              <w:top w:val="single" w:sz="4" w:space="0" w:color="522398"/>
              <w:bottom w:val="single" w:sz="4" w:space="0" w:color="522398"/>
            </w:tcBorders>
          </w:tcPr>
          <w:p w:rsidR="00E923A7" w:rsidRPr="00B3600A" w:rsidRDefault="00E923A7" w:rsidP="00072CE1">
            <w:pPr>
              <w:pStyle w:val="tableteksttab"/>
            </w:pPr>
            <w:r w:rsidRPr="00B3600A">
              <w:t>88,9</w:t>
            </w:r>
          </w:p>
        </w:tc>
        <w:tc>
          <w:tcPr>
            <w:tcW w:w="1981" w:type="dxa"/>
            <w:tcBorders>
              <w:top w:val="single" w:sz="4" w:space="0" w:color="522398"/>
              <w:bottom w:val="single" w:sz="4" w:space="0" w:color="522398"/>
            </w:tcBorders>
          </w:tcPr>
          <w:p w:rsidR="00E923A7" w:rsidRPr="00B3600A" w:rsidRDefault="00E923A7" w:rsidP="00072CE1">
            <w:pPr>
              <w:pStyle w:val="tableteksttab"/>
            </w:pPr>
            <w:r w:rsidRPr="00B3600A">
              <w:t>84,9</w:t>
            </w:r>
          </w:p>
        </w:tc>
        <w:tc>
          <w:tcPr>
            <w:tcW w:w="1982" w:type="dxa"/>
            <w:tcBorders>
              <w:top w:val="single" w:sz="4" w:space="0" w:color="522398"/>
              <w:bottom w:val="single" w:sz="4" w:space="0" w:color="522398"/>
            </w:tcBorders>
          </w:tcPr>
          <w:p w:rsidR="00E923A7" w:rsidRPr="00B3600A" w:rsidRDefault="00E923A7" w:rsidP="00072CE1">
            <w:pPr>
              <w:pStyle w:val="tableteksttab"/>
            </w:pPr>
            <w:r w:rsidRPr="00B3600A">
              <w:t>14,0</w:t>
            </w:r>
          </w:p>
        </w:tc>
      </w:tr>
      <w:tr w:rsidR="00E923A7" w:rsidRPr="00E87892" w:rsidTr="00072CE1">
        <w:trPr>
          <w:trHeight w:val="57"/>
          <w:jc w:val="center"/>
        </w:trPr>
        <w:tc>
          <w:tcPr>
            <w:tcW w:w="4535" w:type="dxa"/>
            <w:tcBorders>
              <w:top w:val="single" w:sz="4" w:space="0" w:color="522398"/>
              <w:bottom w:val="single" w:sz="4" w:space="0" w:color="522398"/>
            </w:tcBorders>
            <w:vAlign w:val="center"/>
          </w:tcPr>
          <w:p w:rsidR="00E923A7" w:rsidRPr="00C20CD4" w:rsidRDefault="00E923A7" w:rsidP="00072CE1">
            <w:pPr>
              <w:pStyle w:val="boczek2"/>
            </w:pPr>
            <w:r>
              <w:t>mebli</w:t>
            </w:r>
          </w:p>
        </w:tc>
        <w:tc>
          <w:tcPr>
            <w:tcW w:w="1981" w:type="dxa"/>
            <w:tcBorders>
              <w:top w:val="single" w:sz="4" w:space="0" w:color="522398"/>
              <w:bottom w:val="single" w:sz="4" w:space="0" w:color="522398"/>
            </w:tcBorders>
          </w:tcPr>
          <w:p w:rsidR="00E923A7" w:rsidRPr="00B3600A" w:rsidRDefault="00E923A7" w:rsidP="00072CE1">
            <w:pPr>
              <w:pStyle w:val="tableteksttab"/>
            </w:pPr>
            <w:r w:rsidRPr="00B3600A">
              <w:t>103,1</w:t>
            </w:r>
          </w:p>
        </w:tc>
        <w:tc>
          <w:tcPr>
            <w:tcW w:w="1981" w:type="dxa"/>
            <w:tcBorders>
              <w:top w:val="single" w:sz="4" w:space="0" w:color="522398"/>
              <w:bottom w:val="single" w:sz="4" w:space="0" w:color="522398"/>
            </w:tcBorders>
          </w:tcPr>
          <w:p w:rsidR="00E923A7" w:rsidRPr="00B3600A" w:rsidRDefault="00E923A7" w:rsidP="00072CE1">
            <w:pPr>
              <w:pStyle w:val="tableteksttab"/>
            </w:pPr>
            <w:r w:rsidRPr="00B3600A">
              <w:t>104,2</w:t>
            </w:r>
          </w:p>
        </w:tc>
        <w:tc>
          <w:tcPr>
            <w:tcW w:w="1982" w:type="dxa"/>
            <w:tcBorders>
              <w:top w:val="single" w:sz="4" w:space="0" w:color="522398"/>
              <w:bottom w:val="single" w:sz="4" w:space="0" w:color="522398"/>
            </w:tcBorders>
          </w:tcPr>
          <w:p w:rsidR="00E923A7" w:rsidRPr="00B3600A" w:rsidRDefault="00E923A7" w:rsidP="00072CE1">
            <w:pPr>
              <w:pStyle w:val="tableteksttab"/>
            </w:pPr>
            <w:r w:rsidRPr="00B3600A">
              <w:t>7,9</w:t>
            </w:r>
          </w:p>
        </w:tc>
      </w:tr>
      <w:tr w:rsidR="00E923A7" w:rsidRPr="00E87892" w:rsidTr="00072CE1">
        <w:trPr>
          <w:trHeight w:val="396"/>
          <w:jc w:val="center"/>
        </w:trPr>
        <w:tc>
          <w:tcPr>
            <w:tcW w:w="4535" w:type="dxa"/>
            <w:tcBorders>
              <w:top w:val="single" w:sz="4" w:space="0" w:color="522398"/>
              <w:bottom w:val="nil"/>
            </w:tcBorders>
            <w:vAlign w:val="bottom"/>
          </w:tcPr>
          <w:p w:rsidR="00E923A7" w:rsidRPr="00C20CD4" w:rsidRDefault="00E923A7" w:rsidP="00072CE1">
            <w:pPr>
              <w:pStyle w:val="boczek1"/>
            </w:pPr>
            <w:r w:rsidRPr="00C20CD4">
              <w:t>Wytwarzanie i zaopatrywanie w energię elektryczną, gaz,</w:t>
            </w:r>
            <w:r>
              <w:t xml:space="preserve"> </w:t>
            </w:r>
            <w:r w:rsidRPr="00C20CD4">
              <w:t>parę wodną i gorącą wodę</w:t>
            </w:r>
            <w:r w:rsidRPr="00C20CD4">
              <w:rPr>
                <w:rFonts w:ascii="Symbol" w:hAnsi="Symbol"/>
                <w:vertAlign w:val="superscript"/>
              </w:rPr>
              <w:t></w:t>
            </w:r>
          </w:p>
        </w:tc>
        <w:tc>
          <w:tcPr>
            <w:tcW w:w="1981" w:type="dxa"/>
            <w:tcBorders>
              <w:top w:val="single" w:sz="4" w:space="0" w:color="522398"/>
              <w:bottom w:val="nil"/>
            </w:tcBorders>
          </w:tcPr>
          <w:p w:rsidR="00E923A7" w:rsidRPr="00B3600A" w:rsidRDefault="00E923A7" w:rsidP="00072CE1">
            <w:pPr>
              <w:pStyle w:val="tableteksttab"/>
            </w:pPr>
            <w:r>
              <w:br/>
            </w:r>
            <w:r w:rsidRPr="00B3600A">
              <w:t>104,1</w:t>
            </w:r>
          </w:p>
        </w:tc>
        <w:tc>
          <w:tcPr>
            <w:tcW w:w="1981" w:type="dxa"/>
            <w:tcBorders>
              <w:top w:val="single" w:sz="4" w:space="0" w:color="522398"/>
              <w:bottom w:val="nil"/>
            </w:tcBorders>
          </w:tcPr>
          <w:p w:rsidR="00E923A7" w:rsidRPr="00B3600A" w:rsidRDefault="00E923A7" w:rsidP="00072CE1">
            <w:pPr>
              <w:pStyle w:val="tableteksttab"/>
            </w:pPr>
            <w:r>
              <w:br/>
            </w:r>
            <w:r w:rsidRPr="00B3600A">
              <w:t>103,7</w:t>
            </w:r>
          </w:p>
        </w:tc>
        <w:tc>
          <w:tcPr>
            <w:tcW w:w="1982" w:type="dxa"/>
            <w:tcBorders>
              <w:top w:val="single" w:sz="4" w:space="0" w:color="522398"/>
              <w:bottom w:val="nil"/>
            </w:tcBorders>
          </w:tcPr>
          <w:p w:rsidR="00E923A7" w:rsidRDefault="00E923A7" w:rsidP="00072CE1">
            <w:pPr>
              <w:pStyle w:val="tableteksttab"/>
            </w:pPr>
            <w:r>
              <w:br/>
            </w:r>
            <w:r w:rsidRPr="00B3600A">
              <w:t>4,6</w:t>
            </w:r>
          </w:p>
        </w:tc>
      </w:tr>
    </w:tbl>
    <w:p w:rsidR="00E923A7" w:rsidRPr="00B02053" w:rsidRDefault="00E923A7" w:rsidP="00E923A7">
      <w:pPr>
        <w:spacing w:before="240"/>
      </w:pPr>
      <w:bookmarkStart w:id="35" w:name="_Toc64884832"/>
      <w:bookmarkStart w:id="36" w:name="_Toc64885001"/>
      <w:bookmarkStart w:id="37" w:name="_Toc64891654"/>
      <w:r w:rsidRPr="00B02053">
        <w:t xml:space="preserve">W działalności przemysłowej przedsiębiorstw </w:t>
      </w:r>
      <w:r>
        <w:t>w lutym br.</w:t>
      </w:r>
      <w:r w:rsidRPr="00B02053">
        <w:t xml:space="preserve"> </w:t>
      </w:r>
      <w:r>
        <w:t>wciąż</w:t>
      </w:r>
      <w:r w:rsidRPr="00B02053">
        <w:t xml:space="preserve"> dominowało 6 działów z</w:t>
      </w:r>
      <w:r>
        <w:t>ajmując</w:t>
      </w:r>
      <w:r w:rsidRPr="00B02053">
        <w:t xml:space="preserve">ych </w:t>
      </w:r>
      <w:r>
        <w:t>się</w:t>
      </w:r>
      <w:r w:rsidRPr="00B02053">
        <w:t xml:space="preserve"> produkcją: artykułów spożywczych (</w:t>
      </w:r>
      <w:r w:rsidRPr="009C77A0">
        <w:t>22,6</w:t>
      </w:r>
      <w:r w:rsidRPr="00B02053">
        <w:t xml:space="preserve">% wartości produkcji sprzedanej przemysłu całego województwa wobec </w:t>
      </w:r>
      <w:r w:rsidRPr="009C77A0">
        <w:t>24,7</w:t>
      </w:r>
      <w:r w:rsidRPr="00B02053">
        <w:t xml:space="preserve">% </w:t>
      </w:r>
      <w:r>
        <w:t xml:space="preserve">przed </w:t>
      </w:r>
      <w:r w:rsidRPr="001D301E">
        <w:t xml:space="preserve">miesiącem </w:t>
      </w:r>
      <w:r>
        <w:t>i </w:t>
      </w:r>
      <w:r w:rsidRPr="009C77A0">
        <w:t>21,7</w:t>
      </w:r>
      <w:r w:rsidRPr="001D301E">
        <w:t xml:space="preserve">% </w:t>
      </w:r>
      <w:r w:rsidRPr="00B02053">
        <w:t>przed rokiem), pojazdów samochodowych, przyczep i naczep (</w:t>
      </w:r>
      <w:r w:rsidRPr="009C77A0">
        <w:t>15,0</w:t>
      </w:r>
      <w:r w:rsidRPr="00B02053">
        <w:t xml:space="preserve">% wobec </w:t>
      </w:r>
      <w:r w:rsidRPr="009C77A0">
        <w:t>13,1</w:t>
      </w:r>
      <w:r w:rsidRPr="00B02053">
        <w:t xml:space="preserve">% </w:t>
      </w:r>
      <w:r>
        <w:t>w styczniu br. i 16,6</w:t>
      </w:r>
      <w:r w:rsidRPr="00B02053">
        <w:t xml:space="preserve">% </w:t>
      </w:r>
      <w:r>
        <w:t>w lutym ub. roku</w:t>
      </w:r>
      <w:r w:rsidRPr="00B02053">
        <w:t xml:space="preserve">), </w:t>
      </w:r>
      <w:r>
        <w:t>mebli</w:t>
      </w:r>
      <w:r w:rsidRPr="00B02053">
        <w:t xml:space="preserve"> </w:t>
      </w:r>
      <w:r>
        <w:t>(7,9</w:t>
      </w:r>
      <w:r w:rsidRPr="00B02053">
        <w:t>%</w:t>
      </w:r>
      <w:r>
        <w:t xml:space="preserve"> podobnie jak </w:t>
      </w:r>
      <w:r w:rsidRPr="00B02053">
        <w:t>przed miesią</w:t>
      </w:r>
      <w:r>
        <w:t xml:space="preserve">cem i </w:t>
      </w:r>
      <w:r w:rsidRPr="00B02053">
        <w:t>przed rokiem)</w:t>
      </w:r>
      <w:r>
        <w:t xml:space="preserve">, wyrobów z metali </w:t>
      </w:r>
      <w:r w:rsidRPr="00B02053">
        <w:t>(</w:t>
      </w:r>
      <w:r>
        <w:t xml:space="preserve">7,1% wobec 6,9% przed </w:t>
      </w:r>
      <w:r w:rsidRPr="001D301E">
        <w:t>miesiącem</w:t>
      </w:r>
      <w:r>
        <w:t xml:space="preserve"> i 6,7%</w:t>
      </w:r>
      <w:r w:rsidRPr="006B2DA8">
        <w:t xml:space="preserve"> </w:t>
      </w:r>
      <w:r>
        <w:t xml:space="preserve">rok wcześniej), wyrobów z gumy i </w:t>
      </w:r>
      <w:r w:rsidRPr="00B02053">
        <w:t>tworzyw sztucznych</w:t>
      </w:r>
      <w:r>
        <w:t xml:space="preserve"> (6,3% wobec 6,1</w:t>
      </w:r>
      <w:r w:rsidRPr="00B02053">
        <w:t>%</w:t>
      </w:r>
      <w:r>
        <w:t xml:space="preserve"> w poprzednim miesiącu i 6,8</w:t>
      </w:r>
      <w:r w:rsidRPr="00B02053">
        <w:t>%</w:t>
      </w:r>
      <w:r>
        <w:t xml:space="preserve"> w lutym ub. roku) oraz</w:t>
      </w:r>
      <w:r w:rsidRPr="00B02053">
        <w:t xml:space="preserve"> urządzeń elektrycznych (</w:t>
      </w:r>
      <w:r>
        <w:t>5,3%, podobnie jak przed miesiącem i wobec 5,8</w:t>
      </w:r>
      <w:r w:rsidRPr="00B02053">
        <w:t xml:space="preserve">% </w:t>
      </w:r>
      <w:r>
        <w:t>w lutym ub. roku</w:t>
      </w:r>
      <w:r w:rsidRPr="00B02053">
        <w:t>)</w:t>
      </w:r>
      <w:r>
        <w:t>.</w:t>
      </w:r>
    </w:p>
    <w:p w:rsidR="00E923A7" w:rsidRDefault="00E923A7" w:rsidP="00E923A7">
      <w:pPr>
        <w:pStyle w:val="tekst"/>
        <w:rPr>
          <w:szCs w:val="19"/>
        </w:rPr>
      </w:pPr>
      <w:r w:rsidRPr="00B02053">
        <w:rPr>
          <w:b/>
          <w:szCs w:val="19"/>
        </w:rPr>
        <w:t>Wydajność pracy w przemyśle</w:t>
      </w:r>
      <w:r w:rsidRPr="00B02053">
        <w:rPr>
          <w:szCs w:val="19"/>
        </w:rPr>
        <w:t>, mierzona wartością produkcji sprzedanej przeliczon</w:t>
      </w:r>
      <w:r>
        <w:rPr>
          <w:szCs w:val="19"/>
        </w:rPr>
        <w:t>ej</w:t>
      </w:r>
      <w:r w:rsidRPr="00B02053">
        <w:rPr>
          <w:szCs w:val="19"/>
        </w:rPr>
        <w:t xml:space="preserve"> na 1 zatrudnionego, </w:t>
      </w:r>
      <w:r>
        <w:rPr>
          <w:szCs w:val="19"/>
        </w:rPr>
        <w:t>w lutym br.</w:t>
      </w:r>
      <w:r w:rsidRPr="00B02053">
        <w:rPr>
          <w:szCs w:val="19"/>
        </w:rPr>
        <w:t xml:space="preserve"> wyniosła </w:t>
      </w:r>
      <w:r>
        <w:rPr>
          <w:szCs w:val="19"/>
        </w:rPr>
        <w:t xml:space="preserve">62,4 </w:t>
      </w:r>
      <w:r w:rsidRPr="00B02053">
        <w:rPr>
          <w:szCs w:val="19"/>
        </w:rPr>
        <w:t xml:space="preserve">tys. zł (w cenach bieżących), tj. o </w:t>
      </w:r>
      <w:r>
        <w:rPr>
          <w:szCs w:val="19"/>
        </w:rPr>
        <w:t>0,9</w:t>
      </w:r>
      <w:r w:rsidRPr="00B02053">
        <w:rPr>
          <w:szCs w:val="19"/>
        </w:rPr>
        <w:t xml:space="preserve">% </w:t>
      </w:r>
      <w:r>
        <w:rPr>
          <w:szCs w:val="19"/>
        </w:rPr>
        <w:t>więc</w:t>
      </w:r>
      <w:r w:rsidRPr="00B02053">
        <w:rPr>
          <w:szCs w:val="19"/>
        </w:rPr>
        <w:t xml:space="preserve">ej (w cenach stałych) niż przed rokiem, przy </w:t>
      </w:r>
      <w:r>
        <w:rPr>
          <w:szCs w:val="19"/>
        </w:rPr>
        <w:t xml:space="preserve">spadku </w:t>
      </w:r>
      <w:r w:rsidRPr="00B02053">
        <w:rPr>
          <w:szCs w:val="19"/>
        </w:rPr>
        <w:t xml:space="preserve">przeciętnego zatrudnienia o </w:t>
      </w:r>
      <w:r>
        <w:rPr>
          <w:szCs w:val="19"/>
        </w:rPr>
        <w:t>1,0</w:t>
      </w:r>
      <w:r w:rsidRPr="00B02053">
        <w:rPr>
          <w:szCs w:val="19"/>
        </w:rPr>
        <w:t xml:space="preserve">% i wzroście </w:t>
      </w:r>
      <w:r>
        <w:rPr>
          <w:szCs w:val="19"/>
        </w:rPr>
        <w:t xml:space="preserve">przeciętnego </w:t>
      </w:r>
      <w:r w:rsidRPr="00B02053">
        <w:rPr>
          <w:szCs w:val="19"/>
        </w:rPr>
        <w:t xml:space="preserve">miesięcznego wynagrodzenia brutto o </w:t>
      </w:r>
      <w:r>
        <w:rPr>
          <w:szCs w:val="19"/>
        </w:rPr>
        <w:t>10,5</w:t>
      </w:r>
      <w:r w:rsidRPr="00B02053">
        <w:rPr>
          <w:szCs w:val="19"/>
        </w:rPr>
        <w:t>%.</w:t>
      </w:r>
    </w:p>
    <w:p w:rsidR="00E923A7" w:rsidRDefault="00E923A7" w:rsidP="00E923A7">
      <w:pPr>
        <w:pStyle w:val="tekst"/>
        <w:rPr>
          <w:szCs w:val="19"/>
        </w:rPr>
      </w:pPr>
      <w:r>
        <w:rPr>
          <w:szCs w:val="19"/>
        </w:rPr>
        <w:t>W</w:t>
      </w:r>
      <w:r w:rsidRPr="00BE2846">
        <w:rPr>
          <w:szCs w:val="19"/>
        </w:rPr>
        <w:t xml:space="preserve"> okresie styczeń-luty br. wartość produkcji sprzedanej przemysłu wyniosła </w:t>
      </w:r>
      <w:r w:rsidRPr="00E47983">
        <w:rPr>
          <w:szCs w:val="19"/>
        </w:rPr>
        <w:t>41602,1</w:t>
      </w:r>
      <w:r>
        <w:rPr>
          <w:szCs w:val="19"/>
        </w:rPr>
        <w:t xml:space="preserve"> </w:t>
      </w:r>
      <w:r w:rsidRPr="00BE2846">
        <w:rPr>
          <w:szCs w:val="19"/>
        </w:rPr>
        <w:t xml:space="preserve">mln zł (w cenach bieżących) i </w:t>
      </w:r>
      <w:r>
        <w:rPr>
          <w:szCs w:val="19"/>
        </w:rPr>
        <w:t>była o 0,3% (licząc w cenach stałych) większa niż przed rokiem (w</w:t>
      </w:r>
      <w:r w:rsidRPr="00BE2846">
        <w:rPr>
          <w:szCs w:val="19"/>
        </w:rPr>
        <w:t xml:space="preserve"> okresie styczeń-luty </w:t>
      </w:r>
      <w:r>
        <w:rPr>
          <w:szCs w:val="19"/>
        </w:rPr>
        <w:t>ub. roku wartość</w:t>
      </w:r>
      <w:r w:rsidRPr="00BE2846">
        <w:rPr>
          <w:szCs w:val="19"/>
        </w:rPr>
        <w:t xml:space="preserve"> sprzedaży </w:t>
      </w:r>
      <w:r>
        <w:rPr>
          <w:szCs w:val="19"/>
        </w:rPr>
        <w:t>w cenach stałych wzrosła w ciągu roku o 3,9%). W</w:t>
      </w:r>
      <w:r w:rsidRPr="00BE2846">
        <w:rPr>
          <w:szCs w:val="19"/>
        </w:rPr>
        <w:t xml:space="preserve"> okresie styczeń-luty br. </w:t>
      </w:r>
      <w:r>
        <w:rPr>
          <w:szCs w:val="19"/>
        </w:rPr>
        <w:t>wartość</w:t>
      </w:r>
      <w:r w:rsidRPr="00BE2846">
        <w:rPr>
          <w:szCs w:val="19"/>
        </w:rPr>
        <w:t xml:space="preserve"> produkcji sprzedanej </w:t>
      </w:r>
      <w:r>
        <w:rPr>
          <w:szCs w:val="19"/>
        </w:rPr>
        <w:t xml:space="preserve">zwiększyła się w przedsiębiorstwach przemysłowych związanych z </w:t>
      </w:r>
      <w:r w:rsidRPr="008612BE">
        <w:rPr>
          <w:szCs w:val="19"/>
        </w:rPr>
        <w:t>wytwarzani</w:t>
      </w:r>
      <w:r>
        <w:rPr>
          <w:szCs w:val="19"/>
        </w:rPr>
        <w:t>em</w:t>
      </w:r>
      <w:r w:rsidRPr="008612BE">
        <w:rPr>
          <w:szCs w:val="19"/>
        </w:rPr>
        <w:t xml:space="preserve"> i zaopatrywani</w:t>
      </w:r>
      <w:r>
        <w:rPr>
          <w:szCs w:val="19"/>
        </w:rPr>
        <w:t>em</w:t>
      </w:r>
      <w:r w:rsidRPr="008612BE">
        <w:rPr>
          <w:szCs w:val="19"/>
        </w:rPr>
        <w:t xml:space="preserve"> w energię elektryczną, gaz, parę wodną i gorącą wodę (o 3,7%), </w:t>
      </w:r>
      <w:r w:rsidRPr="00BE2846">
        <w:rPr>
          <w:szCs w:val="19"/>
        </w:rPr>
        <w:t>dostaw</w:t>
      </w:r>
      <w:r>
        <w:rPr>
          <w:szCs w:val="19"/>
        </w:rPr>
        <w:t>ą</w:t>
      </w:r>
      <w:r w:rsidRPr="00BE2846">
        <w:rPr>
          <w:szCs w:val="19"/>
        </w:rPr>
        <w:t xml:space="preserve"> wody; gospodarowani</w:t>
      </w:r>
      <w:r w:rsidR="00F1634A">
        <w:rPr>
          <w:szCs w:val="19"/>
        </w:rPr>
        <w:t>em</w:t>
      </w:r>
      <w:r w:rsidRPr="00BE2846">
        <w:rPr>
          <w:szCs w:val="19"/>
        </w:rPr>
        <w:t xml:space="preserve"> ściek</w:t>
      </w:r>
      <w:r>
        <w:rPr>
          <w:szCs w:val="19"/>
        </w:rPr>
        <w:t xml:space="preserve">ami i odpadami; rekultywacją (o </w:t>
      </w:r>
      <w:r w:rsidRPr="008612BE">
        <w:rPr>
          <w:szCs w:val="19"/>
        </w:rPr>
        <w:t>1,7</w:t>
      </w:r>
      <w:r w:rsidRPr="00BE2846">
        <w:rPr>
          <w:szCs w:val="19"/>
        </w:rPr>
        <w:t>%)</w:t>
      </w:r>
      <w:r>
        <w:rPr>
          <w:szCs w:val="19"/>
        </w:rPr>
        <w:t xml:space="preserve"> oraz </w:t>
      </w:r>
      <w:r w:rsidRPr="00BE2846">
        <w:rPr>
          <w:szCs w:val="19"/>
        </w:rPr>
        <w:t>przetwórs</w:t>
      </w:r>
      <w:r>
        <w:rPr>
          <w:szCs w:val="19"/>
        </w:rPr>
        <w:t>twem</w:t>
      </w:r>
      <w:r w:rsidRPr="00BE2846">
        <w:rPr>
          <w:szCs w:val="19"/>
        </w:rPr>
        <w:t xml:space="preserve"> przemysłow</w:t>
      </w:r>
      <w:r>
        <w:rPr>
          <w:szCs w:val="19"/>
        </w:rPr>
        <w:t>ym</w:t>
      </w:r>
      <w:r w:rsidRPr="00BE2846">
        <w:rPr>
          <w:szCs w:val="19"/>
        </w:rPr>
        <w:t xml:space="preserve"> (o </w:t>
      </w:r>
      <w:r>
        <w:rPr>
          <w:szCs w:val="19"/>
        </w:rPr>
        <w:t>0,5</w:t>
      </w:r>
      <w:r w:rsidRPr="00BE2846">
        <w:rPr>
          <w:szCs w:val="19"/>
        </w:rPr>
        <w:t>%)</w:t>
      </w:r>
      <w:r>
        <w:rPr>
          <w:szCs w:val="19"/>
        </w:rPr>
        <w:t>. Spadek sprzedaży zanotowano natomiast w górnictw</w:t>
      </w:r>
      <w:r w:rsidR="00F1634A">
        <w:rPr>
          <w:szCs w:val="19"/>
        </w:rPr>
        <w:t xml:space="preserve">ie </w:t>
      </w:r>
      <w:r w:rsidRPr="00BE2846">
        <w:rPr>
          <w:szCs w:val="19"/>
        </w:rPr>
        <w:t>i wydobywani</w:t>
      </w:r>
      <w:r w:rsidR="00F1634A">
        <w:rPr>
          <w:szCs w:val="19"/>
        </w:rPr>
        <w:t>u</w:t>
      </w:r>
      <w:r w:rsidRPr="00BE2846">
        <w:rPr>
          <w:szCs w:val="19"/>
        </w:rPr>
        <w:t xml:space="preserve"> (o </w:t>
      </w:r>
      <w:r w:rsidRPr="008612BE">
        <w:rPr>
          <w:szCs w:val="19"/>
        </w:rPr>
        <w:t>39,1</w:t>
      </w:r>
      <w:r w:rsidRPr="00BE2846">
        <w:rPr>
          <w:szCs w:val="19"/>
        </w:rPr>
        <w:t>%)</w:t>
      </w:r>
      <w:r w:rsidR="00CC444F">
        <w:rPr>
          <w:szCs w:val="19"/>
        </w:rPr>
        <w:t>.</w:t>
      </w:r>
    </w:p>
    <w:p w:rsidR="00E923A7" w:rsidRDefault="00E923A7" w:rsidP="00E923A7">
      <w:pPr>
        <w:pStyle w:val="tekst"/>
        <w:rPr>
          <w:szCs w:val="19"/>
        </w:rPr>
      </w:pPr>
      <w:r w:rsidRPr="00BE2846">
        <w:rPr>
          <w:szCs w:val="19"/>
        </w:rPr>
        <w:t xml:space="preserve">Produkcja sprzedana przemysłu przeliczona na 1 zatrudnionego w okresie styczeń-luty br. wyniosła </w:t>
      </w:r>
      <w:r w:rsidRPr="008612BE">
        <w:rPr>
          <w:szCs w:val="19"/>
        </w:rPr>
        <w:t>124,7</w:t>
      </w:r>
      <w:r>
        <w:rPr>
          <w:szCs w:val="19"/>
        </w:rPr>
        <w:t xml:space="preserve"> </w:t>
      </w:r>
      <w:r w:rsidRPr="00BE2846">
        <w:rPr>
          <w:szCs w:val="19"/>
        </w:rPr>
        <w:t xml:space="preserve">tys. zł (w cenach bieżących) i w ciągu roku zwiększyła się o </w:t>
      </w:r>
      <w:r>
        <w:rPr>
          <w:szCs w:val="19"/>
        </w:rPr>
        <w:t>1,3</w:t>
      </w:r>
      <w:r w:rsidRPr="00BE2846">
        <w:rPr>
          <w:szCs w:val="19"/>
        </w:rPr>
        <w:t xml:space="preserve">% (w cenach stałych), przy </w:t>
      </w:r>
      <w:r>
        <w:rPr>
          <w:szCs w:val="19"/>
        </w:rPr>
        <w:t xml:space="preserve">spadku </w:t>
      </w:r>
      <w:r w:rsidRPr="00BE2846">
        <w:rPr>
          <w:szCs w:val="19"/>
        </w:rPr>
        <w:t xml:space="preserve">przeciętnego zatrudnienia o </w:t>
      </w:r>
      <w:r>
        <w:rPr>
          <w:szCs w:val="19"/>
        </w:rPr>
        <w:t xml:space="preserve">1,0% i wzroście </w:t>
      </w:r>
      <w:r w:rsidRPr="00BE2846">
        <w:rPr>
          <w:szCs w:val="19"/>
        </w:rPr>
        <w:t xml:space="preserve">przeciętnego miesięcznego wynagrodzenia </w:t>
      </w:r>
      <w:r>
        <w:rPr>
          <w:szCs w:val="19"/>
        </w:rPr>
        <w:t xml:space="preserve">brutto </w:t>
      </w:r>
      <w:r w:rsidRPr="00BE2846">
        <w:rPr>
          <w:szCs w:val="19"/>
        </w:rPr>
        <w:t xml:space="preserve">o </w:t>
      </w:r>
      <w:r>
        <w:rPr>
          <w:szCs w:val="19"/>
        </w:rPr>
        <w:t>10,4</w:t>
      </w:r>
      <w:r w:rsidRPr="00BE2846">
        <w:rPr>
          <w:szCs w:val="19"/>
        </w:rPr>
        <w:t>%.</w:t>
      </w:r>
    </w:p>
    <w:p w:rsidR="00E923A7" w:rsidRDefault="00E923A7" w:rsidP="00E923A7">
      <w:pPr>
        <w:pStyle w:val="tekst"/>
        <w:rPr>
          <w:spacing w:val="-2"/>
          <w:szCs w:val="19"/>
        </w:rPr>
      </w:pPr>
      <w:r w:rsidRPr="00B02053">
        <w:rPr>
          <w:spacing w:val="-2"/>
          <w:szCs w:val="19"/>
        </w:rPr>
        <w:t xml:space="preserve">Wartość </w:t>
      </w:r>
      <w:r w:rsidRPr="00B02053">
        <w:rPr>
          <w:b/>
          <w:spacing w:val="-2"/>
          <w:szCs w:val="19"/>
        </w:rPr>
        <w:t>produkcji sprzedanej budownictwa</w:t>
      </w:r>
      <w:r w:rsidRPr="00B02053">
        <w:rPr>
          <w:spacing w:val="-2"/>
          <w:szCs w:val="19"/>
        </w:rPr>
        <w:t xml:space="preserve"> </w:t>
      </w:r>
      <w:r>
        <w:rPr>
          <w:spacing w:val="-2"/>
          <w:szCs w:val="19"/>
        </w:rPr>
        <w:t>w lutym br.</w:t>
      </w:r>
      <w:r w:rsidRPr="00B02053">
        <w:rPr>
          <w:spacing w:val="-2"/>
          <w:szCs w:val="19"/>
        </w:rPr>
        <w:t xml:space="preserve"> wyniosła </w:t>
      </w:r>
      <w:r w:rsidRPr="00FC4D81">
        <w:rPr>
          <w:spacing w:val="-2"/>
          <w:szCs w:val="19"/>
        </w:rPr>
        <w:t>2857,2</w:t>
      </w:r>
      <w:r>
        <w:rPr>
          <w:spacing w:val="-2"/>
          <w:szCs w:val="19"/>
        </w:rPr>
        <w:t xml:space="preserve"> </w:t>
      </w:r>
      <w:r w:rsidRPr="00B02053">
        <w:rPr>
          <w:spacing w:val="-2"/>
          <w:szCs w:val="19"/>
        </w:rPr>
        <w:t>mln zł (w cenach bieżących)</w:t>
      </w:r>
      <w:r>
        <w:rPr>
          <w:spacing w:val="-2"/>
          <w:szCs w:val="19"/>
        </w:rPr>
        <w:t>, tj. o 1,9% więcej niż w po</w:t>
      </w:r>
      <w:r w:rsidRPr="00B02053">
        <w:rPr>
          <w:spacing w:val="-2"/>
          <w:szCs w:val="19"/>
        </w:rPr>
        <w:t>przed</w:t>
      </w:r>
      <w:r>
        <w:rPr>
          <w:spacing w:val="-2"/>
          <w:szCs w:val="19"/>
        </w:rPr>
        <w:t>nim</w:t>
      </w:r>
      <w:r w:rsidRPr="00B02053">
        <w:rPr>
          <w:spacing w:val="-2"/>
          <w:szCs w:val="19"/>
        </w:rPr>
        <w:t xml:space="preserve"> miesiąc</w:t>
      </w:r>
      <w:r>
        <w:rPr>
          <w:spacing w:val="-2"/>
          <w:szCs w:val="19"/>
        </w:rPr>
        <w:t xml:space="preserve">u i </w:t>
      </w:r>
      <w:r w:rsidRPr="00B02053">
        <w:rPr>
          <w:spacing w:val="-2"/>
          <w:szCs w:val="19"/>
        </w:rPr>
        <w:t xml:space="preserve">o </w:t>
      </w:r>
      <w:r>
        <w:rPr>
          <w:spacing w:val="-2"/>
          <w:szCs w:val="19"/>
        </w:rPr>
        <w:t>5,9</w:t>
      </w:r>
      <w:r w:rsidRPr="00B02053">
        <w:rPr>
          <w:spacing w:val="-2"/>
          <w:szCs w:val="19"/>
        </w:rPr>
        <w:t xml:space="preserve">% </w:t>
      </w:r>
      <w:r>
        <w:rPr>
          <w:spacing w:val="-2"/>
          <w:szCs w:val="19"/>
        </w:rPr>
        <w:t xml:space="preserve">więcej </w:t>
      </w:r>
      <w:r w:rsidRPr="00B02053">
        <w:rPr>
          <w:spacing w:val="-2"/>
          <w:szCs w:val="19"/>
        </w:rPr>
        <w:t>niż przed rokiem (</w:t>
      </w:r>
      <w:r>
        <w:rPr>
          <w:spacing w:val="-2"/>
          <w:szCs w:val="19"/>
        </w:rPr>
        <w:t>w lutym ub. roku</w:t>
      </w:r>
      <w:r w:rsidRPr="001341B8">
        <w:rPr>
          <w:spacing w:val="-2"/>
          <w:szCs w:val="19"/>
        </w:rPr>
        <w:t xml:space="preserve"> </w:t>
      </w:r>
      <w:r>
        <w:rPr>
          <w:spacing w:val="-2"/>
          <w:szCs w:val="19"/>
        </w:rPr>
        <w:t>wartości sprzedaży w skali miesiąca obniżyła się o</w:t>
      </w:r>
      <w:r w:rsidRPr="001341B8">
        <w:rPr>
          <w:spacing w:val="-2"/>
          <w:szCs w:val="19"/>
        </w:rPr>
        <w:t xml:space="preserve"> </w:t>
      </w:r>
      <w:r>
        <w:rPr>
          <w:spacing w:val="-2"/>
          <w:szCs w:val="19"/>
        </w:rPr>
        <w:t>2,0</w:t>
      </w:r>
      <w:r w:rsidRPr="001341B8">
        <w:rPr>
          <w:spacing w:val="-2"/>
          <w:szCs w:val="19"/>
        </w:rPr>
        <w:t>%</w:t>
      </w:r>
      <w:r>
        <w:rPr>
          <w:spacing w:val="-2"/>
          <w:szCs w:val="19"/>
        </w:rPr>
        <w:t xml:space="preserve">, a jednocześnie w </w:t>
      </w:r>
      <w:r w:rsidRPr="001341B8">
        <w:rPr>
          <w:spacing w:val="-2"/>
          <w:szCs w:val="19"/>
        </w:rPr>
        <w:t>stosunku rocznym</w:t>
      </w:r>
      <w:r w:rsidRPr="00660046">
        <w:rPr>
          <w:spacing w:val="-2"/>
          <w:szCs w:val="19"/>
        </w:rPr>
        <w:t xml:space="preserve"> </w:t>
      </w:r>
      <w:r w:rsidRPr="001341B8">
        <w:rPr>
          <w:spacing w:val="-2"/>
          <w:szCs w:val="19"/>
        </w:rPr>
        <w:t>w</w:t>
      </w:r>
      <w:r>
        <w:rPr>
          <w:spacing w:val="-2"/>
          <w:szCs w:val="19"/>
        </w:rPr>
        <w:t>zrosła o 1,9%)</w:t>
      </w:r>
      <w:r w:rsidRPr="00B02053">
        <w:rPr>
          <w:spacing w:val="-2"/>
          <w:szCs w:val="19"/>
        </w:rPr>
        <w:t xml:space="preserve">. </w:t>
      </w:r>
    </w:p>
    <w:p w:rsidR="00E923A7" w:rsidRDefault="00E923A7" w:rsidP="00E923A7">
      <w:pPr>
        <w:pStyle w:val="tekst"/>
        <w:rPr>
          <w:spacing w:val="-2"/>
          <w:szCs w:val="19"/>
        </w:rPr>
      </w:pPr>
      <w:r w:rsidRPr="00B02053">
        <w:rPr>
          <w:b/>
          <w:spacing w:val="-2"/>
          <w:szCs w:val="19"/>
        </w:rPr>
        <w:lastRenderedPageBreak/>
        <w:t>Wydajność pracy w budownictwie</w:t>
      </w:r>
      <w:r w:rsidRPr="00B02053">
        <w:rPr>
          <w:spacing w:val="-2"/>
          <w:szCs w:val="19"/>
        </w:rPr>
        <w:t xml:space="preserve">, mierzona wartością produkcji sprzedanej na 1 zatrudnionego w tej sekcji, </w:t>
      </w:r>
      <w:r>
        <w:rPr>
          <w:spacing w:val="-2"/>
          <w:szCs w:val="19"/>
        </w:rPr>
        <w:t>w lutym br.</w:t>
      </w:r>
      <w:r w:rsidRPr="00B02053">
        <w:rPr>
          <w:spacing w:val="-2"/>
          <w:szCs w:val="19"/>
        </w:rPr>
        <w:t xml:space="preserve"> wyniosła </w:t>
      </w:r>
      <w:r>
        <w:rPr>
          <w:spacing w:val="-2"/>
          <w:szCs w:val="19"/>
        </w:rPr>
        <w:t>70,4</w:t>
      </w:r>
      <w:r w:rsidRPr="00B22A59">
        <w:rPr>
          <w:spacing w:val="-2"/>
          <w:szCs w:val="19"/>
        </w:rPr>
        <w:t xml:space="preserve"> </w:t>
      </w:r>
      <w:r>
        <w:rPr>
          <w:spacing w:val="-2"/>
          <w:szCs w:val="19"/>
        </w:rPr>
        <w:t>tys. zł i wzrosła o 2,0</w:t>
      </w:r>
      <w:r w:rsidRPr="00B02053">
        <w:rPr>
          <w:spacing w:val="-2"/>
          <w:szCs w:val="19"/>
        </w:rPr>
        <w:t xml:space="preserve">% </w:t>
      </w:r>
      <w:r>
        <w:rPr>
          <w:spacing w:val="-2"/>
          <w:szCs w:val="19"/>
        </w:rPr>
        <w:t>w stosunku do</w:t>
      </w:r>
      <w:r w:rsidRPr="00B02053">
        <w:rPr>
          <w:spacing w:val="-2"/>
          <w:szCs w:val="19"/>
        </w:rPr>
        <w:t xml:space="preserve"> </w:t>
      </w:r>
      <w:r>
        <w:rPr>
          <w:spacing w:val="-2"/>
          <w:szCs w:val="19"/>
        </w:rPr>
        <w:t>po</w:t>
      </w:r>
      <w:r w:rsidRPr="00B02053">
        <w:rPr>
          <w:spacing w:val="-2"/>
          <w:szCs w:val="19"/>
        </w:rPr>
        <w:t>przed</w:t>
      </w:r>
      <w:r>
        <w:rPr>
          <w:spacing w:val="-2"/>
          <w:szCs w:val="19"/>
        </w:rPr>
        <w:t>niego</w:t>
      </w:r>
      <w:r w:rsidRPr="00B02053">
        <w:rPr>
          <w:spacing w:val="-2"/>
          <w:szCs w:val="19"/>
        </w:rPr>
        <w:t xml:space="preserve"> miesiąc</w:t>
      </w:r>
      <w:r>
        <w:rPr>
          <w:spacing w:val="-2"/>
          <w:szCs w:val="19"/>
        </w:rPr>
        <w:t>a i o 5,1% w relacji do lutego ub. roku.</w:t>
      </w:r>
      <w:r w:rsidRPr="00B02053">
        <w:rPr>
          <w:spacing w:val="-2"/>
          <w:szCs w:val="19"/>
        </w:rPr>
        <w:t xml:space="preserve"> Przeciętne zatrudnienie w przedsiębiorstwach budowlanych kształtowało się w tym czasie </w:t>
      </w:r>
      <w:r>
        <w:rPr>
          <w:spacing w:val="-2"/>
          <w:szCs w:val="19"/>
        </w:rPr>
        <w:t>na poziomie o 0,2</w:t>
      </w:r>
      <w:r w:rsidRPr="00B02053">
        <w:rPr>
          <w:spacing w:val="-2"/>
          <w:szCs w:val="19"/>
        </w:rPr>
        <w:t xml:space="preserve">% </w:t>
      </w:r>
      <w:r>
        <w:rPr>
          <w:spacing w:val="-2"/>
          <w:szCs w:val="19"/>
        </w:rPr>
        <w:t xml:space="preserve">niższym </w:t>
      </w:r>
      <w:r w:rsidRPr="00B02053">
        <w:rPr>
          <w:spacing w:val="-2"/>
          <w:szCs w:val="19"/>
        </w:rPr>
        <w:t xml:space="preserve">od osiągniętego </w:t>
      </w:r>
      <w:r>
        <w:rPr>
          <w:spacing w:val="-2"/>
          <w:szCs w:val="19"/>
        </w:rPr>
        <w:t>w styczniu br., ale o 0,8% wyżej niż przed rokiem.</w:t>
      </w:r>
      <w:r w:rsidRPr="00B02053">
        <w:rPr>
          <w:spacing w:val="-2"/>
          <w:szCs w:val="19"/>
        </w:rPr>
        <w:t xml:space="preserve"> Przeciętne miesięczn</w:t>
      </w:r>
      <w:r>
        <w:rPr>
          <w:spacing w:val="-2"/>
          <w:szCs w:val="19"/>
        </w:rPr>
        <w:t xml:space="preserve">e wynagrodzenie brutto w </w:t>
      </w:r>
      <w:r w:rsidRPr="00B02053">
        <w:rPr>
          <w:spacing w:val="-2"/>
          <w:szCs w:val="19"/>
        </w:rPr>
        <w:t xml:space="preserve">sekcji </w:t>
      </w:r>
      <w:r>
        <w:rPr>
          <w:spacing w:val="-2"/>
          <w:szCs w:val="19"/>
        </w:rPr>
        <w:t>budownictwo wzrosło o 3,3</w:t>
      </w:r>
      <w:r w:rsidRPr="00B02053">
        <w:rPr>
          <w:spacing w:val="-2"/>
          <w:szCs w:val="19"/>
        </w:rPr>
        <w:t>%</w:t>
      </w:r>
      <w:r>
        <w:rPr>
          <w:spacing w:val="-2"/>
          <w:szCs w:val="19"/>
        </w:rPr>
        <w:t xml:space="preserve"> w </w:t>
      </w:r>
      <w:r w:rsidRPr="00B02053">
        <w:rPr>
          <w:spacing w:val="-2"/>
          <w:szCs w:val="19"/>
        </w:rPr>
        <w:t xml:space="preserve">skali miesiąca </w:t>
      </w:r>
      <w:r>
        <w:rPr>
          <w:spacing w:val="-2"/>
          <w:szCs w:val="19"/>
        </w:rPr>
        <w:t>i o 11,6% w ujęciu rocznym.</w:t>
      </w:r>
      <w:r w:rsidRPr="002B34F0">
        <w:rPr>
          <w:spacing w:val="-2"/>
          <w:szCs w:val="19"/>
        </w:rPr>
        <w:t xml:space="preserve"> </w:t>
      </w:r>
    </w:p>
    <w:p w:rsidR="00E923A7" w:rsidRDefault="00E923A7" w:rsidP="00E923A7">
      <w:pPr>
        <w:autoSpaceDE w:val="0"/>
        <w:autoSpaceDN w:val="0"/>
        <w:adjustRightInd w:val="0"/>
        <w:spacing w:before="0" w:after="0" w:line="240" w:lineRule="auto"/>
        <w:rPr>
          <w:spacing w:val="-2"/>
          <w:szCs w:val="19"/>
        </w:rPr>
      </w:pPr>
      <w:r w:rsidRPr="001341B8">
        <w:rPr>
          <w:spacing w:val="-2"/>
          <w:szCs w:val="19"/>
        </w:rPr>
        <w:t xml:space="preserve">Wartość </w:t>
      </w:r>
      <w:r w:rsidRPr="001341B8">
        <w:rPr>
          <w:b/>
          <w:spacing w:val="-2"/>
          <w:szCs w:val="19"/>
        </w:rPr>
        <w:t>produkcji budowlano-montażowej</w:t>
      </w:r>
      <w:r w:rsidRPr="001341B8">
        <w:rPr>
          <w:spacing w:val="-2"/>
          <w:szCs w:val="19"/>
        </w:rPr>
        <w:t xml:space="preserve"> </w:t>
      </w:r>
      <w:r>
        <w:rPr>
          <w:spacing w:val="-2"/>
          <w:szCs w:val="19"/>
        </w:rPr>
        <w:t>w lutym</w:t>
      </w:r>
      <w:r w:rsidRPr="002B34F0">
        <w:rPr>
          <w:spacing w:val="-2"/>
          <w:szCs w:val="19"/>
        </w:rPr>
        <w:t xml:space="preserve"> </w:t>
      </w:r>
      <w:r>
        <w:rPr>
          <w:spacing w:val="-2"/>
          <w:szCs w:val="19"/>
        </w:rPr>
        <w:t>br.</w:t>
      </w:r>
      <w:r w:rsidRPr="002B34F0">
        <w:rPr>
          <w:spacing w:val="-2"/>
          <w:szCs w:val="19"/>
        </w:rPr>
        <w:t xml:space="preserve"> wyniosła </w:t>
      </w:r>
      <w:r w:rsidRPr="009E5E1B">
        <w:rPr>
          <w:spacing w:val="-2"/>
          <w:szCs w:val="19"/>
        </w:rPr>
        <w:t>830,5</w:t>
      </w:r>
      <w:r>
        <w:rPr>
          <w:spacing w:val="-2"/>
          <w:szCs w:val="19"/>
        </w:rPr>
        <w:t xml:space="preserve"> </w:t>
      </w:r>
      <w:r w:rsidRPr="002B34F0">
        <w:rPr>
          <w:spacing w:val="-2"/>
          <w:szCs w:val="19"/>
        </w:rPr>
        <w:t xml:space="preserve">mln zł, tj. o </w:t>
      </w:r>
      <w:r w:rsidRPr="009E5E1B">
        <w:rPr>
          <w:spacing w:val="-2"/>
          <w:szCs w:val="19"/>
        </w:rPr>
        <w:t>14,5</w:t>
      </w:r>
      <w:r w:rsidRPr="002B34F0">
        <w:rPr>
          <w:spacing w:val="-2"/>
          <w:szCs w:val="19"/>
        </w:rPr>
        <w:t xml:space="preserve">% </w:t>
      </w:r>
      <w:r>
        <w:rPr>
          <w:spacing w:val="-2"/>
          <w:szCs w:val="19"/>
        </w:rPr>
        <w:t xml:space="preserve">mniej </w:t>
      </w:r>
      <w:r w:rsidRPr="002B34F0">
        <w:rPr>
          <w:spacing w:val="-2"/>
          <w:szCs w:val="19"/>
        </w:rPr>
        <w:t>niż przed miesiącem</w:t>
      </w:r>
      <w:r>
        <w:rPr>
          <w:spacing w:val="-2"/>
          <w:szCs w:val="19"/>
        </w:rPr>
        <w:t>, ale o </w:t>
      </w:r>
      <w:r w:rsidRPr="009E5E1B">
        <w:rPr>
          <w:spacing w:val="-2"/>
          <w:szCs w:val="19"/>
        </w:rPr>
        <w:t>8,5</w:t>
      </w:r>
      <w:r>
        <w:rPr>
          <w:spacing w:val="-2"/>
          <w:szCs w:val="19"/>
        </w:rPr>
        <w:t>%</w:t>
      </w:r>
      <w:r w:rsidRPr="002B34F0">
        <w:rPr>
          <w:spacing w:val="-2"/>
          <w:szCs w:val="19"/>
        </w:rPr>
        <w:t xml:space="preserve"> </w:t>
      </w:r>
      <w:r>
        <w:rPr>
          <w:spacing w:val="-2"/>
          <w:szCs w:val="19"/>
        </w:rPr>
        <w:t xml:space="preserve">więcej </w:t>
      </w:r>
      <w:r w:rsidRPr="002B34F0">
        <w:rPr>
          <w:spacing w:val="-2"/>
          <w:szCs w:val="19"/>
        </w:rPr>
        <w:t>niż przed rokiem (</w:t>
      </w:r>
      <w:r>
        <w:rPr>
          <w:spacing w:val="-2"/>
          <w:szCs w:val="19"/>
        </w:rPr>
        <w:t>w lutym</w:t>
      </w:r>
      <w:r w:rsidRPr="002B34F0">
        <w:rPr>
          <w:spacing w:val="-2"/>
          <w:szCs w:val="19"/>
        </w:rPr>
        <w:t xml:space="preserve"> </w:t>
      </w:r>
      <w:r>
        <w:rPr>
          <w:spacing w:val="-2"/>
          <w:szCs w:val="19"/>
        </w:rPr>
        <w:t>ub. roku zanotowano</w:t>
      </w:r>
      <w:r w:rsidRPr="002B34F0">
        <w:rPr>
          <w:spacing w:val="-2"/>
          <w:szCs w:val="19"/>
        </w:rPr>
        <w:t xml:space="preserve"> </w:t>
      </w:r>
      <w:r>
        <w:rPr>
          <w:spacing w:val="-2"/>
          <w:szCs w:val="19"/>
        </w:rPr>
        <w:t>odpowiednio</w:t>
      </w:r>
      <w:r w:rsidRPr="009E5E1B">
        <w:rPr>
          <w:spacing w:val="-2"/>
          <w:szCs w:val="19"/>
        </w:rPr>
        <w:t xml:space="preserve"> </w:t>
      </w:r>
      <w:r>
        <w:rPr>
          <w:spacing w:val="-2"/>
          <w:szCs w:val="19"/>
        </w:rPr>
        <w:t xml:space="preserve">wzrost o 1,5% i </w:t>
      </w:r>
      <w:r w:rsidR="007F19DE">
        <w:rPr>
          <w:spacing w:val="-2"/>
          <w:szCs w:val="19"/>
        </w:rPr>
        <w:t xml:space="preserve">o </w:t>
      </w:r>
      <w:r>
        <w:rPr>
          <w:spacing w:val="-2"/>
          <w:szCs w:val="19"/>
        </w:rPr>
        <w:t xml:space="preserve">2,9%). W </w:t>
      </w:r>
      <w:r w:rsidRPr="001341B8">
        <w:rPr>
          <w:spacing w:val="-2"/>
          <w:szCs w:val="19"/>
        </w:rPr>
        <w:t xml:space="preserve">ogólnej wartości produkcji sprzedanej budownictwa produkcja budowlano-montażowa stanowiła </w:t>
      </w:r>
      <w:r w:rsidRPr="009E5E1B">
        <w:rPr>
          <w:spacing w:val="-2"/>
          <w:szCs w:val="19"/>
        </w:rPr>
        <w:t>29,1</w:t>
      </w:r>
      <w:r>
        <w:rPr>
          <w:spacing w:val="-2"/>
          <w:szCs w:val="19"/>
        </w:rPr>
        <w:t xml:space="preserve">%, tj. o 5,5 </w:t>
      </w:r>
      <w:r w:rsidRPr="001341B8">
        <w:rPr>
          <w:spacing w:val="-2"/>
          <w:szCs w:val="19"/>
        </w:rPr>
        <w:t xml:space="preserve">p.proc. </w:t>
      </w:r>
      <w:r>
        <w:rPr>
          <w:spacing w:val="-2"/>
          <w:szCs w:val="19"/>
        </w:rPr>
        <w:t xml:space="preserve">mniej </w:t>
      </w:r>
      <w:r w:rsidRPr="001341B8">
        <w:rPr>
          <w:spacing w:val="-2"/>
          <w:szCs w:val="19"/>
        </w:rPr>
        <w:t>niż przed miesiącem</w:t>
      </w:r>
      <w:r>
        <w:rPr>
          <w:spacing w:val="-2"/>
          <w:szCs w:val="19"/>
        </w:rPr>
        <w:t xml:space="preserve">, ale o 0,7 p.proc. więcej </w:t>
      </w:r>
      <w:r w:rsidRPr="001341B8">
        <w:rPr>
          <w:spacing w:val="-2"/>
          <w:szCs w:val="19"/>
        </w:rPr>
        <w:t xml:space="preserve">niż przed rokiem. </w:t>
      </w:r>
      <w:r>
        <w:rPr>
          <w:spacing w:val="-2"/>
          <w:szCs w:val="19"/>
        </w:rPr>
        <w:t xml:space="preserve">Największą część wartości </w:t>
      </w:r>
      <w:r w:rsidRPr="001341B8">
        <w:rPr>
          <w:spacing w:val="-2"/>
          <w:szCs w:val="19"/>
        </w:rPr>
        <w:t>produkcj</w:t>
      </w:r>
      <w:r>
        <w:rPr>
          <w:spacing w:val="-2"/>
          <w:szCs w:val="19"/>
        </w:rPr>
        <w:t>i</w:t>
      </w:r>
      <w:r w:rsidRPr="001341B8">
        <w:rPr>
          <w:spacing w:val="-2"/>
          <w:szCs w:val="19"/>
        </w:rPr>
        <w:t xml:space="preserve"> budowlano-montażow</w:t>
      </w:r>
      <w:r>
        <w:rPr>
          <w:spacing w:val="-2"/>
          <w:szCs w:val="19"/>
        </w:rPr>
        <w:t>ej (</w:t>
      </w:r>
      <w:r w:rsidRPr="007D3E7F">
        <w:rPr>
          <w:spacing w:val="-2"/>
          <w:szCs w:val="19"/>
        </w:rPr>
        <w:t>41,8</w:t>
      </w:r>
      <w:r>
        <w:rPr>
          <w:spacing w:val="-2"/>
          <w:szCs w:val="19"/>
        </w:rPr>
        <w:t>%)</w:t>
      </w:r>
      <w:r w:rsidRPr="001341B8">
        <w:rPr>
          <w:spacing w:val="-2"/>
          <w:szCs w:val="19"/>
        </w:rPr>
        <w:t xml:space="preserve"> </w:t>
      </w:r>
      <w:r>
        <w:rPr>
          <w:spacing w:val="-2"/>
          <w:szCs w:val="19"/>
        </w:rPr>
        <w:t xml:space="preserve">wypracowały </w:t>
      </w:r>
      <w:r w:rsidRPr="001341B8">
        <w:rPr>
          <w:spacing w:val="-2"/>
          <w:szCs w:val="19"/>
        </w:rPr>
        <w:t>przedsiębiorstwa zajmujące się budową obiektów inżynierii lądowej i wodnej.</w:t>
      </w:r>
      <w:r>
        <w:rPr>
          <w:spacing w:val="-2"/>
          <w:szCs w:val="19"/>
        </w:rPr>
        <w:t xml:space="preserve"> </w:t>
      </w:r>
    </w:p>
    <w:p w:rsidR="00E923A7" w:rsidRPr="00E87892" w:rsidRDefault="00E923A7" w:rsidP="00E923A7">
      <w:pPr>
        <w:pStyle w:val="Tytultabeli"/>
        <w:spacing w:before="360"/>
      </w:pPr>
      <w:r>
        <w:t>Tablica 9.</w:t>
      </w:r>
      <w:r>
        <w:tab/>
      </w:r>
      <w:r w:rsidRPr="00E87892">
        <w:t>Dynamika i struktura produkcji budowlano-montażowej</w:t>
      </w:r>
      <w:r>
        <w:br/>
      </w:r>
      <w:r w:rsidRPr="009371BE">
        <w:t>(w cenach bieżących)</w:t>
      </w:r>
      <w:r w:rsidRPr="00E87892">
        <w:t xml:space="preserve"> </w:t>
      </w:r>
    </w:p>
    <w:tbl>
      <w:tblPr>
        <w:tblW w:w="5000" w:type="pct"/>
        <w:jc w:val="center"/>
        <w:tblBorders>
          <w:insideH w:val="single" w:sz="4" w:space="0" w:color="522398"/>
          <w:insideV w:val="single" w:sz="4" w:space="0" w:color="522398"/>
        </w:tblBorders>
        <w:tblCellMar>
          <w:top w:w="17" w:type="dxa"/>
          <w:bottom w:w="17" w:type="dxa"/>
        </w:tblCellMar>
        <w:tblLook w:val="0420" w:firstRow="1" w:lastRow="0" w:firstColumn="0" w:lastColumn="0" w:noHBand="0" w:noVBand="1"/>
        <w:tblDescription w:val="Tablica przedstawia dynamikę i strukturę produkcji budowlano-montażowej (w cenach bieżących) w sekcji budownictwo, w przekroju działów w miesiącu badawczym (luty br.) i w okresie narastającym (styczeń-luty br.) w odniesieniu do analogicznych okresów ub. roku. Dane do tablicy dostępne w pliku w formacie XLSX"/>
      </w:tblPr>
      <w:tblGrid>
        <w:gridCol w:w="4569"/>
        <w:gridCol w:w="1970"/>
        <w:gridCol w:w="1970"/>
        <w:gridCol w:w="1970"/>
      </w:tblGrid>
      <w:tr w:rsidR="00E923A7" w:rsidRPr="00E87892" w:rsidTr="00072CE1">
        <w:trPr>
          <w:trHeight w:val="57"/>
          <w:tblHeader/>
          <w:jc w:val="center"/>
        </w:trPr>
        <w:tc>
          <w:tcPr>
            <w:tcW w:w="2180" w:type="pct"/>
            <w:vMerge w:val="restart"/>
            <w:tcBorders>
              <w:top w:val="nil"/>
              <w:bottom w:val="single" w:sz="4" w:space="0" w:color="522398"/>
            </w:tcBorders>
            <w:vAlign w:val="center"/>
          </w:tcPr>
          <w:p w:rsidR="00E923A7" w:rsidRPr="004240F4" w:rsidRDefault="00E923A7" w:rsidP="00072CE1">
            <w:pPr>
              <w:pStyle w:val="glowka1"/>
            </w:pPr>
            <w:bookmarkStart w:id="38" w:name="_Toc64884831"/>
            <w:bookmarkStart w:id="39" w:name="_Toc64885000"/>
            <w:bookmarkStart w:id="40" w:name="_Toc64891653"/>
            <w:r w:rsidRPr="004240F4">
              <w:t>Wyszczególnienie</w:t>
            </w:r>
          </w:p>
        </w:tc>
        <w:tc>
          <w:tcPr>
            <w:tcW w:w="940" w:type="pct"/>
            <w:tcBorders>
              <w:top w:val="nil"/>
              <w:bottom w:val="single" w:sz="4" w:space="0" w:color="522398"/>
            </w:tcBorders>
            <w:vAlign w:val="center"/>
          </w:tcPr>
          <w:p w:rsidR="00E923A7" w:rsidRPr="004240F4" w:rsidRDefault="00E923A7" w:rsidP="00072CE1">
            <w:pPr>
              <w:pStyle w:val="glowka1"/>
            </w:pPr>
            <w:r>
              <w:t>02</w:t>
            </w:r>
            <w:r w:rsidRPr="004240F4">
              <w:t xml:space="preserve"> 202</w:t>
            </w:r>
            <w:r>
              <w:t>5</w:t>
            </w:r>
          </w:p>
        </w:tc>
        <w:tc>
          <w:tcPr>
            <w:tcW w:w="1880" w:type="pct"/>
            <w:gridSpan w:val="2"/>
            <w:tcBorders>
              <w:top w:val="nil"/>
              <w:bottom w:val="single" w:sz="4" w:space="0" w:color="522398"/>
            </w:tcBorders>
            <w:vAlign w:val="center"/>
          </w:tcPr>
          <w:p w:rsidR="00E923A7" w:rsidRPr="004240F4" w:rsidRDefault="00E923A7" w:rsidP="00072CE1">
            <w:pPr>
              <w:pStyle w:val="glowka1"/>
            </w:pPr>
            <w:r>
              <w:t>01–02 2025</w:t>
            </w:r>
          </w:p>
        </w:tc>
      </w:tr>
      <w:tr w:rsidR="00E923A7" w:rsidRPr="00E87892" w:rsidTr="00072CE1">
        <w:trPr>
          <w:trHeight w:val="57"/>
          <w:tblHeader/>
          <w:jc w:val="center"/>
        </w:trPr>
        <w:tc>
          <w:tcPr>
            <w:tcW w:w="2180" w:type="pct"/>
            <w:vMerge/>
            <w:tcBorders>
              <w:top w:val="single" w:sz="4" w:space="0" w:color="522398"/>
              <w:bottom w:val="single" w:sz="12" w:space="0" w:color="522398"/>
            </w:tcBorders>
          </w:tcPr>
          <w:p w:rsidR="00E923A7" w:rsidRPr="004240F4" w:rsidRDefault="00E923A7" w:rsidP="00072CE1">
            <w:pPr>
              <w:pStyle w:val="glowka1"/>
            </w:pPr>
          </w:p>
        </w:tc>
        <w:tc>
          <w:tcPr>
            <w:tcW w:w="1880" w:type="pct"/>
            <w:gridSpan w:val="2"/>
            <w:tcBorders>
              <w:top w:val="single" w:sz="4" w:space="0" w:color="522398"/>
              <w:bottom w:val="single" w:sz="12" w:space="0" w:color="522398"/>
            </w:tcBorders>
            <w:vAlign w:val="center"/>
          </w:tcPr>
          <w:p w:rsidR="00E923A7" w:rsidRPr="004240F4" w:rsidRDefault="00E923A7" w:rsidP="00072CE1">
            <w:pPr>
              <w:pStyle w:val="glowka1"/>
            </w:pPr>
            <w:r w:rsidRPr="00FA1C2A">
              <w:t xml:space="preserve">analogiczny okres </w:t>
            </w:r>
            <w:r>
              <w:br/>
            </w:r>
            <w:r w:rsidRPr="00FA1C2A">
              <w:t>roku poprzedniego = 100</w:t>
            </w:r>
          </w:p>
        </w:tc>
        <w:tc>
          <w:tcPr>
            <w:tcW w:w="940" w:type="pct"/>
            <w:tcBorders>
              <w:top w:val="single" w:sz="4" w:space="0" w:color="522398"/>
              <w:bottom w:val="single" w:sz="12" w:space="0" w:color="522398"/>
            </w:tcBorders>
            <w:vAlign w:val="center"/>
          </w:tcPr>
          <w:p w:rsidR="00E923A7" w:rsidRPr="004240F4" w:rsidRDefault="00E923A7" w:rsidP="00072CE1">
            <w:pPr>
              <w:pStyle w:val="glowka1"/>
            </w:pPr>
            <w:r w:rsidRPr="004240F4">
              <w:t>w odsetkach</w:t>
            </w:r>
          </w:p>
        </w:tc>
      </w:tr>
      <w:tr w:rsidR="00E923A7" w:rsidRPr="00E87892" w:rsidTr="00072CE1">
        <w:trPr>
          <w:trHeight w:val="57"/>
          <w:jc w:val="center"/>
        </w:trPr>
        <w:tc>
          <w:tcPr>
            <w:tcW w:w="2180" w:type="pct"/>
            <w:tcBorders>
              <w:top w:val="single" w:sz="12" w:space="0" w:color="522398"/>
              <w:bottom w:val="single" w:sz="4" w:space="0" w:color="522398"/>
            </w:tcBorders>
            <w:vAlign w:val="center"/>
          </w:tcPr>
          <w:p w:rsidR="00E923A7" w:rsidRPr="00C20CD4" w:rsidRDefault="00E923A7" w:rsidP="00072CE1">
            <w:pPr>
              <w:pStyle w:val="bocz1t"/>
            </w:pPr>
            <w:r w:rsidRPr="00C20CD4">
              <w:t>Ogółem</w:t>
            </w:r>
          </w:p>
        </w:tc>
        <w:tc>
          <w:tcPr>
            <w:tcW w:w="940" w:type="pct"/>
            <w:tcBorders>
              <w:top w:val="single" w:sz="12" w:space="0" w:color="522398"/>
              <w:bottom w:val="single" w:sz="4" w:space="0" w:color="522398"/>
            </w:tcBorders>
          </w:tcPr>
          <w:p w:rsidR="00E923A7" w:rsidRPr="00FC4D81" w:rsidRDefault="00E923A7" w:rsidP="00072CE1">
            <w:pPr>
              <w:pStyle w:val="tableteksttab"/>
              <w:rPr>
                <w:b/>
              </w:rPr>
            </w:pPr>
            <w:r w:rsidRPr="00FC4D81">
              <w:rPr>
                <w:b/>
              </w:rPr>
              <w:t>108,5</w:t>
            </w:r>
          </w:p>
        </w:tc>
        <w:tc>
          <w:tcPr>
            <w:tcW w:w="940" w:type="pct"/>
            <w:tcBorders>
              <w:top w:val="single" w:sz="12" w:space="0" w:color="522398"/>
              <w:bottom w:val="single" w:sz="4" w:space="0" w:color="522398"/>
            </w:tcBorders>
          </w:tcPr>
          <w:p w:rsidR="00E923A7" w:rsidRPr="00FC4D81" w:rsidRDefault="00E923A7" w:rsidP="00072CE1">
            <w:pPr>
              <w:pStyle w:val="tableteksttab"/>
              <w:rPr>
                <w:b/>
              </w:rPr>
            </w:pPr>
            <w:r w:rsidRPr="00FC4D81">
              <w:rPr>
                <w:b/>
              </w:rPr>
              <w:t>114,8</w:t>
            </w:r>
          </w:p>
        </w:tc>
        <w:tc>
          <w:tcPr>
            <w:tcW w:w="940" w:type="pct"/>
            <w:tcBorders>
              <w:top w:val="single" w:sz="12" w:space="0" w:color="522398"/>
              <w:bottom w:val="single" w:sz="4" w:space="0" w:color="522398"/>
            </w:tcBorders>
          </w:tcPr>
          <w:p w:rsidR="00E923A7" w:rsidRPr="00FC4D81" w:rsidRDefault="00E923A7" w:rsidP="00072CE1">
            <w:pPr>
              <w:pStyle w:val="tableteksttab"/>
              <w:rPr>
                <w:b/>
              </w:rPr>
            </w:pPr>
            <w:r w:rsidRPr="00FC4D81">
              <w:rPr>
                <w:b/>
              </w:rPr>
              <w:t>100,0</w:t>
            </w:r>
          </w:p>
        </w:tc>
      </w:tr>
      <w:tr w:rsidR="00E923A7" w:rsidRPr="00E87892" w:rsidTr="00072CE1">
        <w:trPr>
          <w:trHeight w:val="57"/>
          <w:jc w:val="center"/>
        </w:trPr>
        <w:tc>
          <w:tcPr>
            <w:tcW w:w="2180" w:type="pct"/>
            <w:tcBorders>
              <w:top w:val="single" w:sz="4" w:space="0" w:color="522398"/>
              <w:bottom w:val="single" w:sz="4" w:space="0" w:color="522398"/>
            </w:tcBorders>
            <w:vAlign w:val="center"/>
          </w:tcPr>
          <w:p w:rsidR="00E923A7" w:rsidRPr="00C20CD4" w:rsidRDefault="00E923A7" w:rsidP="00072CE1">
            <w:pPr>
              <w:pStyle w:val="boczek1"/>
            </w:pPr>
            <w:r w:rsidRPr="00C20CD4">
              <w:t>Budowa budynków</w:t>
            </w:r>
            <w:r w:rsidRPr="00C20CD4">
              <w:rPr>
                <w:rFonts w:ascii="Symbol" w:hAnsi="Symbol"/>
                <w:vertAlign w:val="superscript"/>
              </w:rPr>
              <w:t></w:t>
            </w:r>
          </w:p>
        </w:tc>
        <w:tc>
          <w:tcPr>
            <w:tcW w:w="940" w:type="pct"/>
            <w:tcBorders>
              <w:top w:val="single" w:sz="4" w:space="0" w:color="522398"/>
              <w:bottom w:val="single" w:sz="4" w:space="0" w:color="522398"/>
            </w:tcBorders>
          </w:tcPr>
          <w:p w:rsidR="00E923A7" w:rsidRPr="002F65A0" w:rsidRDefault="00E923A7" w:rsidP="00072CE1">
            <w:pPr>
              <w:pStyle w:val="tableteksttab"/>
            </w:pPr>
            <w:r w:rsidRPr="002F65A0">
              <w:t>105,6</w:t>
            </w:r>
          </w:p>
        </w:tc>
        <w:tc>
          <w:tcPr>
            <w:tcW w:w="940" w:type="pct"/>
            <w:tcBorders>
              <w:top w:val="single" w:sz="4" w:space="0" w:color="522398"/>
              <w:bottom w:val="single" w:sz="4" w:space="0" w:color="522398"/>
            </w:tcBorders>
          </w:tcPr>
          <w:p w:rsidR="00E923A7" w:rsidRPr="002F65A0" w:rsidRDefault="00E923A7" w:rsidP="00072CE1">
            <w:pPr>
              <w:pStyle w:val="tableteksttab"/>
            </w:pPr>
            <w:r w:rsidRPr="002F65A0">
              <w:t>114,9</w:t>
            </w:r>
          </w:p>
        </w:tc>
        <w:tc>
          <w:tcPr>
            <w:tcW w:w="940" w:type="pct"/>
            <w:tcBorders>
              <w:top w:val="single" w:sz="4" w:space="0" w:color="522398"/>
              <w:bottom w:val="single" w:sz="4" w:space="0" w:color="522398"/>
            </w:tcBorders>
          </w:tcPr>
          <w:p w:rsidR="00E923A7" w:rsidRPr="002F65A0" w:rsidRDefault="00E923A7" w:rsidP="00072CE1">
            <w:pPr>
              <w:pStyle w:val="tableteksttab"/>
            </w:pPr>
            <w:r w:rsidRPr="002F65A0">
              <w:t>34,8</w:t>
            </w:r>
          </w:p>
        </w:tc>
      </w:tr>
      <w:tr w:rsidR="00E923A7" w:rsidRPr="00E87892" w:rsidTr="00072CE1">
        <w:trPr>
          <w:trHeight w:val="57"/>
          <w:jc w:val="center"/>
        </w:trPr>
        <w:tc>
          <w:tcPr>
            <w:tcW w:w="2180" w:type="pct"/>
            <w:tcBorders>
              <w:top w:val="single" w:sz="4" w:space="0" w:color="522398"/>
              <w:bottom w:val="single" w:sz="4" w:space="0" w:color="522398"/>
            </w:tcBorders>
            <w:vAlign w:val="center"/>
          </w:tcPr>
          <w:p w:rsidR="00E923A7" w:rsidRPr="00C20CD4" w:rsidRDefault="00E923A7" w:rsidP="00072CE1">
            <w:pPr>
              <w:pStyle w:val="boczek1"/>
            </w:pPr>
            <w:r w:rsidRPr="00C20CD4">
              <w:t>Budowa obiektów inżynierii lądowej i wodnej</w:t>
            </w:r>
            <w:r w:rsidRPr="00C20CD4">
              <w:rPr>
                <w:rFonts w:ascii="Symbol" w:hAnsi="Symbol"/>
                <w:vertAlign w:val="superscript"/>
              </w:rPr>
              <w:t></w:t>
            </w:r>
          </w:p>
        </w:tc>
        <w:tc>
          <w:tcPr>
            <w:tcW w:w="940" w:type="pct"/>
            <w:tcBorders>
              <w:top w:val="single" w:sz="4" w:space="0" w:color="522398"/>
              <w:bottom w:val="single" w:sz="4" w:space="0" w:color="522398"/>
            </w:tcBorders>
          </w:tcPr>
          <w:p w:rsidR="00E923A7" w:rsidRPr="002F65A0" w:rsidRDefault="00E923A7" w:rsidP="00072CE1">
            <w:pPr>
              <w:pStyle w:val="tableteksttab"/>
            </w:pPr>
            <w:r w:rsidRPr="002F65A0">
              <w:t>114,3</w:t>
            </w:r>
          </w:p>
        </w:tc>
        <w:tc>
          <w:tcPr>
            <w:tcW w:w="940" w:type="pct"/>
            <w:tcBorders>
              <w:top w:val="single" w:sz="4" w:space="0" w:color="522398"/>
              <w:bottom w:val="single" w:sz="4" w:space="0" w:color="522398"/>
            </w:tcBorders>
          </w:tcPr>
          <w:p w:rsidR="00E923A7" w:rsidRPr="002F65A0" w:rsidRDefault="00E923A7" w:rsidP="00072CE1">
            <w:pPr>
              <w:pStyle w:val="tableteksttab"/>
            </w:pPr>
            <w:r w:rsidRPr="002F65A0">
              <w:t>124,1</w:t>
            </w:r>
          </w:p>
        </w:tc>
        <w:tc>
          <w:tcPr>
            <w:tcW w:w="940" w:type="pct"/>
            <w:tcBorders>
              <w:top w:val="single" w:sz="4" w:space="0" w:color="522398"/>
              <w:bottom w:val="single" w:sz="4" w:space="0" w:color="522398"/>
            </w:tcBorders>
          </w:tcPr>
          <w:p w:rsidR="00E923A7" w:rsidRPr="002F65A0" w:rsidRDefault="00E923A7" w:rsidP="00072CE1">
            <w:pPr>
              <w:pStyle w:val="tableteksttab"/>
            </w:pPr>
            <w:r w:rsidRPr="002F65A0">
              <w:t>43,2</w:t>
            </w:r>
          </w:p>
        </w:tc>
      </w:tr>
      <w:tr w:rsidR="00E923A7" w:rsidRPr="00E87892" w:rsidTr="00072CE1">
        <w:trPr>
          <w:trHeight w:val="57"/>
          <w:jc w:val="center"/>
        </w:trPr>
        <w:tc>
          <w:tcPr>
            <w:tcW w:w="2180" w:type="pct"/>
            <w:tcBorders>
              <w:top w:val="single" w:sz="4" w:space="0" w:color="522398"/>
              <w:bottom w:val="nil"/>
            </w:tcBorders>
            <w:vAlign w:val="center"/>
          </w:tcPr>
          <w:p w:rsidR="00E923A7" w:rsidRPr="00C20CD4" w:rsidRDefault="00E923A7" w:rsidP="00072CE1">
            <w:pPr>
              <w:pStyle w:val="boczek1"/>
            </w:pPr>
            <w:r w:rsidRPr="00C20CD4">
              <w:t>Roboty budowlane specjalistyczne</w:t>
            </w:r>
          </w:p>
        </w:tc>
        <w:tc>
          <w:tcPr>
            <w:tcW w:w="940" w:type="pct"/>
            <w:tcBorders>
              <w:top w:val="single" w:sz="4" w:space="0" w:color="522398"/>
              <w:bottom w:val="nil"/>
            </w:tcBorders>
          </w:tcPr>
          <w:p w:rsidR="00E923A7" w:rsidRPr="002F65A0" w:rsidRDefault="00E923A7" w:rsidP="00072CE1">
            <w:pPr>
              <w:pStyle w:val="tableteksttab"/>
            </w:pPr>
            <w:r w:rsidRPr="002F65A0">
              <w:t>103,3</w:t>
            </w:r>
          </w:p>
        </w:tc>
        <w:tc>
          <w:tcPr>
            <w:tcW w:w="940" w:type="pct"/>
            <w:tcBorders>
              <w:top w:val="single" w:sz="4" w:space="0" w:color="522398"/>
              <w:bottom w:val="nil"/>
            </w:tcBorders>
          </w:tcPr>
          <w:p w:rsidR="00E923A7" w:rsidRPr="002F65A0" w:rsidRDefault="00E923A7" w:rsidP="00072CE1">
            <w:pPr>
              <w:pStyle w:val="tableteksttab"/>
            </w:pPr>
            <w:r w:rsidRPr="002F65A0">
              <w:t>100,1</w:t>
            </w:r>
          </w:p>
        </w:tc>
        <w:tc>
          <w:tcPr>
            <w:tcW w:w="940" w:type="pct"/>
            <w:tcBorders>
              <w:top w:val="single" w:sz="4" w:space="0" w:color="522398"/>
              <w:bottom w:val="nil"/>
            </w:tcBorders>
          </w:tcPr>
          <w:p w:rsidR="00E923A7" w:rsidRDefault="00E923A7" w:rsidP="00072CE1">
            <w:pPr>
              <w:pStyle w:val="tableteksttab"/>
            </w:pPr>
            <w:r w:rsidRPr="002F65A0">
              <w:t>22,1</w:t>
            </w:r>
          </w:p>
        </w:tc>
      </w:tr>
    </w:tbl>
    <w:p w:rsidR="00E923A7" w:rsidRPr="006353D8" w:rsidRDefault="00E923A7" w:rsidP="00E923A7">
      <w:pPr>
        <w:pStyle w:val="tekst"/>
        <w:spacing w:before="360"/>
      </w:pPr>
      <w:r w:rsidRPr="006353D8">
        <w:t xml:space="preserve">Wartość produkcji sprzedanej budownictwa zrealizowanej w </w:t>
      </w:r>
      <w:r>
        <w:t xml:space="preserve">okresie styczeń-luty br. wyniosła </w:t>
      </w:r>
      <w:r w:rsidRPr="007D3E7F">
        <w:t xml:space="preserve">5349,6 </w:t>
      </w:r>
      <w:r w:rsidRPr="006353D8">
        <w:t xml:space="preserve">mln zł, tj. o </w:t>
      </w:r>
      <w:r>
        <w:t>2,8</w:t>
      </w:r>
      <w:r w:rsidRPr="006353D8">
        <w:t xml:space="preserve">% </w:t>
      </w:r>
      <w:r w:rsidRPr="007D3E7F">
        <w:t>więcej</w:t>
      </w:r>
      <w:r w:rsidRPr="006353D8">
        <w:t xml:space="preserve"> niż w </w:t>
      </w:r>
      <w:r>
        <w:t xml:space="preserve">analogicznym </w:t>
      </w:r>
      <w:r w:rsidRPr="006353D8">
        <w:t xml:space="preserve">okresie ub. roku (przed rokiem </w:t>
      </w:r>
      <w:r>
        <w:t>notowano spadek sprzedaży o</w:t>
      </w:r>
      <w:r w:rsidRPr="006353D8">
        <w:t xml:space="preserve"> </w:t>
      </w:r>
      <w:r>
        <w:t xml:space="preserve">5,6%). Wydajność pracy w budownictwie w </w:t>
      </w:r>
      <w:r w:rsidRPr="006353D8">
        <w:t xml:space="preserve">okresie styczeń-luty br. kształtowała się na poziomie </w:t>
      </w:r>
      <w:r w:rsidRPr="007D3E7F">
        <w:t xml:space="preserve">131,8 </w:t>
      </w:r>
      <w:r w:rsidRPr="006353D8">
        <w:t xml:space="preserve">tys. zł na 1 zatrudnionego i w ciągu roku </w:t>
      </w:r>
      <w:r w:rsidRPr="006353D8">
        <w:rPr>
          <w:szCs w:val="19"/>
        </w:rPr>
        <w:t>z</w:t>
      </w:r>
      <w:r>
        <w:rPr>
          <w:szCs w:val="19"/>
        </w:rPr>
        <w:t>więk</w:t>
      </w:r>
      <w:r w:rsidRPr="006353D8">
        <w:rPr>
          <w:szCs w:val="19"/>
        </w:rPr>
        <w:t xml:space="preserve">szyła się </w:t>
      </w:r>
      <w:r>
        <w:t xml:space="preserve">o </w:t>
      </w:r>
      <w:r w:rsidRPr="007D3E7F">
        <w:t>1,9</w:t>
      </w:r>
      <w:r w:rsidRPr="006353D8">
        <w:t xml:space="preserve">%, przy </w:t>
      </w:r>
      <w:r>
        <w:t>wzroście</w:t>
      </w:r>
      <w:r w:rsidRPr="006353D8">
        <w:t xml:space="preserve"> zatrudnienia w tej sekcji o </w:t>
      </w:r>
      <w:r>
        <w:t>0,9</w:t>
      </w:r>
      <w:r w:rsidRPr="006353D8">
        <w:t xml:space="preserve">% i przeciętnego miesięcznego wynagrodzenia </w:t>
      </w:r>
      <w:r>
        <w:t>brutto o 11,3</w:t>
      </w:r>
      <w:r w:rsidRPr="006353D8">
        <w:t xml:space="preserve">%. </w:t>
      </w:r>
    </w:p>
    <w:p w:rsidR="00E923A7" w:rsidRDefault="00E923A7" w:rsidP="00E923A7">
      <w:pPr>
        <w:pStyle w:val="tekst"/>
      </w:pPr>
      <w:r w:rsidRPr="00176369">
        <w:rPr>
          <w:spacing w:val="-2"/>
        </w:rPr>
        <w:t xml:space="preserve">Produkcja budowlano-montażowa, która w okresie styczeń-luty br. wyniosła </w:t>
      </w:r>
      <w:r w:rsidRPr="008E052D">
        <w:rPr>
          <w:spacing w:val="-2"/>
        </w:rPr>
        <w:t xml:space="preserve">1647,5 </w:t>
      </w:r>
      <w:r>
        <w:rPr>
          <w:spacing w:val="-2"/>
        </w:rPr>
        <w:t xml:space="preserve">mln zł, stanowiła </w:t>
      </w:r>
      <w:r w:rsidRPr="008E052D">
        <w:rPr>
          <w:spacing w:val="-2"/>
        </w:rPr>
        <w:t>30,8</w:t>
      </w:r>
      <w:r w:rsidRPr="00176369">
        <w:rPr>
          <w:spacing w:val="-2"/>
        </w:rPr>
        <w:t xml:space="preserve">% wartości sprzedaży sekcji budownictwo, tj. o </w:t>
      </w:r>
      <w:r>
        <w:rPr>
          <w:spacing w:val="-2"/>
        </w:rPr>
        <w:t>3,2</w:t>
      </w:r>
      <w:r w:rsidRPr="00176369">
        <w:rPr>
          <w:spacing w:val="-2"/>
        </w:rPr>
        <w:t xml:space="preserve"> p.proc. </w:t>
      </w:r>
      <w:r>
        <w:rPr>
          <w:spacing w:val="-2"/>
        </w:rPr>
        <w:t>więc</w:t>
      </w:r>
      <w:r w:rsidRPr="00176369">
        <w:rPr>
          <w:spacing w:val="-2"/>
        </w:rPr>
        <w:t xml:space="preserve">ej niż przed rokiem. Wartość produkcji budowlano-montażowej w ciągu roku </w:t>
      </w:r>
      <w:r>
        <w:rPr>
          <w:spacing w:val="-2"/>
        </w:rPr>
        <w:t>wzrosła</w:t>
      </w:r>
      <w:r w:rsidRPr="00176369">
        <w:rPr>
          <w:spacing w:val="-2"/>
        </w:rPr>
        <w:t xml:space="preserve"> o </w:t>
      </w:r>
      <w:r>
        <w:rPr>
          <w:spacing w:val="-2"/>
        </w:rPr>
        <w:t>14,8</w:t>
      </w:r>
      <w:r w:rsidRPr="00176369">
        <w:rPr>
          <w:spacing w:val="-2"/>
        </w:rPr>
        <w:t xml:space="preserve">% (przed rokiem obserwowano </w:t>
      </w:r>
      <w:r>
        <w:rPr>
          <w:spacing w:val="-2"/>
        </w:rPr>
        <w:t>spadek</w:t>
      </w:r>
      <w:r w:rsidRPr="00176369">
        <w:rPr>
          <w:spacing w:val="-2"/>
        </w:rPr>
        <w:t xml:space="preserve"> o </w:t>
      </w:r>
      <w:r>
        <w:rPr>
          <w:spacing w:val="-2"/>
        </w:rPr>
        <w:t>12</w:t>
      </w:r>
      <w:r w:rsidRPr="00176369">
        <w:rPr>
          <w:spacing w:val="-2"/>
        </w:rPr>
        <w:t>,</w:t>
      </w:r>
      <w:r>
        <w:rPr>
          <w:spacing w:val="-2"/>
        </w:rPr>
        <w:t>3</w:t>
      </w:r>
      <w:r w:rsidRPr="00176369">
        <w:rPr>
          <w:spacing w:val="-2"/>
        </w:rPr>
        <w:t xml:space="preserve">%). Od początku roku największy udział w wielkości produkcji budowlano-montażowej miały przedsiębiorstwa zajmujące się budową </w:t>
      </w:r>
      <w:r>
        <w:rPr>
          <w:spacing w:val="-2"/>
          <w:szCs w:val="19"/>
        </w:rPr>
        <w:t xml:space="preserve">obiektów inżynierii lądowej i </w:t>
      </w:r>
      <w:r w:rsidRPr="00176369">
        <w:rPr>
          <w:spacing w:val="-2"/>
          <w:szCs w:val="19"/>
        </w:rPr>
        <w:t>wodnej</w:t>
      </w:r>
      <w:r>
        <w:rPr>
          <w:spacing w:val="-2"/>
        </w:rPr>
        <w:t xml:space="preserve"> (</w:t>
      </w:r>
      <w:r w:rsidRPr="002F65A0">
        <w:t>43,2</w:t>
      </w:r>
      <w:r w:rsidRPr="00176369">
        <w:rPr>
          <w:spacing w:val="-2"/>
        </w:rPr>
        <w:t>%).</w:t>
      </w:r>
    </w:p>
    <w:p w:rsidR="00E923A7" w:rsidRDefault="00E923A7" w:rsidP="00E923A7">
      <w:pPr>
        <w:pStyle w:val="Nagwek1"/>
      </w:pPr>
      <w:bookmarkStart w:id="41" w:name="_Toc161818177"/>
      <w:bookmarkStart w:id="42" w:name="_Toc193459100"/>
      <w:bookmarkStart w:id="43" w:name="_Toc193459762"/>
      <w:r w:rsidRPr="00A25A31">
        <w:t xml:space="preserve">Budownictwo </w:t>
      </w:r>
      <w:r w:rsidRPr="00324EA6">
        <w:t>mieszkaniowe</w:t>
      </w:r>
      <w:bookmarkEnd w:id="38"/>
      <w:bookmarkEnd w:id="39"/>
      <w:bookmarkEnd w:id="40"/>
      <w:bookmarkEnd w:id="41"/>
      <w:bookmarkEnd w:id="42"/>
      <w:bookmarkEnd w:id="43"/>
    </w:p>
    <w:p w:rsidR="00E923A7" w:rsidRDefault="00E923A7" w:rsidP="00E923A7">
      <w:pPr>
        <w:pStyle w:val="tekst"/>
      </w:pPr>
      <w:r>
        <w:rPr>
          <w:szCs w:val="19"/>
        </w:rPr>
        <w:t>W lutym</w:t>
      </w:r>
      <w:r w:rsidRPr="00677BD7">
        <w:rPr>
          <w:szCs w:val="19"/>
        </w:rPr>
        <w:t xml:space="preserve"> </w:t>
      </w:r>
      <w:r>
        <w:rPr>
          <w:szCs w:val="19"/>
        </w:rPr>
        <w:t>br.</w:t>
      </w:r>
      <w:r w:rsidRPr="00677BD7">
        <w:t xml:space="preserve"> w województwie </w:t>
      </w:r>
      <w:r w:rsidRPr="00677BD7">
        <w:rPr>
          <w:b/>
        </w:rPr>
        <w:t>oddano do użytkowania</w:t>
      </w:r>
      <w:r w:rsidRPr="00677BD7">
        <w:t xml:space="preserve"> </w:t>
      </w:r>
      <w:r>
        <w:t xml:space="preserve">więcej </w:t>
      </w:r>
      <w:r w:rsidRPr="00677BD7">
        <w:rPr>
          <w:b/>
        </w:rPr>
        <w:t>mieszkań</w:t>
      </w:r>
      <w:r w:rsidRPr="00677BD7">
        <w:t xml:space="preserve"> niż przed rokiem</w:t>
      </w:r>
      <w:r>
        <w:t xml:space="preserve">, mniejsza była natomiast </w:t>
      </w:r>
      <w:r w:rsidRPr="00677BD7">
        <w:t xml:space="preserve">liczba mieszkań, na których realizację wydano pozwolenia lub dokonano zgłoszenia z projektem budowlanym </w:t>
      </w:r>
      <w:r>
        <w:t xml:space="preserve">oraz </w:t>
      </w:r>
      <w:r w:rsidRPr="00677BD7">
        <w:t>mieszkań</w:t>
      </w:r>
      <w:r>
        <w:t>,</w:t>
      </w:r>
      <w:r w:rsidRPr="00677BD7">
        <w:t xml:space="preserve"> których budowę w tym czasie rozpoczęto</w:t>
      </w:r>
      <w:r>
        <w:t>.</w:t>
      </w:r>
      <w:r w:rsidRPr="00677BD7">
        <w:t xml:space="preserve"> </w:t>
      </w:r>
    </w:p>
    <w:p w:rsidR="00E923A7" w:rsidRDefault="00E923A7" w:rsidP="00E923A7">
      <w:pPr>
        <w:spacing w:before="240"/>
      </w:pPr>
      <w:r w:rsidRPr="00BC0E84">
        <w:rPr>
          <w:spacing w:val="-2"/>
        </w:rPr>
        <w:t>Według wstępnych danych</w:t>
      </w:r>
      <w:r w:rsidRPr="00BC0E84">
        <w:rPr>
          <w:rStyle w:val="Odwoanieprzypisudolnego"/>
          <w:spacing w:val="-2"/>
          <w:szCs w:val="19"/>
        </w:rPr>
        <w:footnoteReference w:id="2"/>
      </w:r>
      <w:r w:rsidRPr="00BC0E84">
        <w:rPr>
          <w:spacing w:val="-2"/>
        </w:rPr>
        <w:t xml:space="preserve"> </w:t>
      </w:r>
      <w:r>
        <w:rPr>
          <w:spacing w:val="-2"/>
        </w:rPr>
        <w:t>w lutym</w:t>
      </w:r>
      <w:r w:rsidRPr="003577AD">
        <w:rPr>
          <w:spacing w:val="-2"/>
        </w:rPr>
        <w:t xml:space="preserve"> </w:t>
      </w:r>
      <w:r>
        <w:rPr>
          <w:spacing w:val="-2"/>
        </w:rPr>
        <w:t>br.</w:t>
      </w:r>
      <w:r w:rsidRPr="003577AD">
        <w:rPr>
          <w:spacing w:val="-2"/>
        </w:rPr>
        <w:t xml:space="preserve"> oddano do użytkowania </w:t>
      </w:r>
      <w:r>
        <w:rPr>
          <w:spacing w:val="-2"/>
        </w:rPr>
        <w:t>1</w:t>
      </w:r>
      <w:r w:rsidRPr="00F64D9A">
        <w:rPr>
          <w:spacing w:val="-2"/>
        </w:rPr>
        <w:t>524</w:t>
      </w:r>
      <w:r w:rsidRPr="003577AD">
        <w:rPr>
          <w:spacing w:val="-2"/>
        </w:rPr>
        <w:t xml:space="preserve"> now</w:t>
      </w:r>
      <w:r>
        <w:rPr>
          <w:spacing w:val="-2"/>
        </w:rPr>
        <w:t>e</w:t>
      </w:r>
      <w:r w:rsidRPr="003577AD">
        <w:rPr>
          <w:spacing w:val="-2"/>
        </w:rPr>
        <w:t xml:space="preserve"> mieszka</w:t>
      </w:r>
      <w:r>
        <w:rPr>
          <w:spacing w:val="-2"/>
        </w:rPr>
        <w:t>nia</w:t>
      </w:r>
      <w:r w:rsidRPr="003577AD">
        <w:rPr>
          <w:spacing w:val="-2"/>
        </w:rPr>
        <w:t xml:space="preserve">, tj. o </w:t>
      </w:r>
      <w:r>
        <w:rPr>
          <w:spacing w:val="-2"/>
        </w:rPr>
        <w:t>5,3% mniej</w:t>
      </w:r>
      <w:r w:rsidRPr="003577AD">
        <w:rPr>
          <w:spacing w:val="-2"/>
        </w:rPr>
        <w:t xml:space="preserve"> niż </w:t>
      </w:r>
      <w:r>
        <w:rPr>
          <w:spacing w:val="-2"/>
        </w:rPr>
        <w:t>w styczniu br., ale o </w:t>
      </w:r>
      <w:r w:rsidRPr="00F64D9A">
        <w:rPr>
          <w:spacing w:val="-2"/>
        </w:rPr>
        <w:t>24,7</w:t>
      </w:r>
      <w:r>
        <w:rPr>
          <w:spacing w:val="-2"/>
        </w:rPr>
        <w:t xml:space="preserve">% więcej niż </w:t>
      </w:r>
      <w:r w:rsidRPr="003577AD">
        <w:rPr>
          <w:spacing w:val="-2"/>
        </w:rPr>
        <w:t xml:space="preserve">przed rokiem. </w:t>
      </w:r>
      <w:r>
        <w:t>D</w:t>
      </w:r>
      <w:r w:rsidRPr="00BC0E84">
        <w:t>eweloperzy</w:t>
      </w:r>
      <w:r w:rsidRPr="00BC0E84">
        <w:rPr>
          <w:rStyle w:val="Odwoanieprzypisudolnego"/>
        </w:rPr>
        <w:footnoteReference w:id="3"/>
      </w:r>
      <w:r>
        <w:t xml:space="preserve"> </w:t>
      </w:r>
      <w:r w:rsidRPr="00BC0E84">
        <w:rPr>
          <w:spacing w:val="-2"/>
        </w:rPr>
        <w:t>przekazali do eksploatacji</w:t>
      </w:r>
      <w:r>
        <w:rPr>
          <w:spacing w:val="-2"/>
        </w:rPr>
        <w:t xml:space="preserve"> </w:t>
      </w:r>
      <w:r w:rsidRPr="00EE23A3">
        <w:rPr>
          <w:spacing w:val="-2"/>
        </w:rPr>
        <w:t>973</w:t>
      </w:r>
      <w:r w:rsidRPr="003577AD">
        <w:t xml:space="preserve"> </w:t>
      </w:r>
      <w:r w:rsidRPr="003577AD">
        <w:rPr>
          <w:spacing w:val="-2"/>
        </w:rPr>
        <w:t>mieszka</w:t>
      </w:r>
      <w:r>
        <w:rPr>
          <w:spacing w:val="-2"/>
        </w:rPr>
        <w:t>nia,</w:t>
      </w:r>
      <w:r w:rsidRPr="003577AD">
        <w:rPr>
          <w:spacing w:val="-2"/>
        </w:rPr>
        <w:t xml:space="preserve"> </w:t>
      </w:r>
      <w:r w:rsidRPr="003577AD">
        <w:t xml:space="preserve">w tym </w:t>
      </w:r>
      <w:r>
        <w:t>4</w:t>
      </w:r>
      <w:r w:rsidRPr="00FE404E">
        <w:rPr>
          <w:spacing w:val="-2"/>
        </w:rPr>
        <w:t xml:space="preserve"> </w:t>
      </w:r>
      <w:r w:rsidRPr="003577AD">
        <w:t>na wynajem</w:t>
      </w:r>
      <w:r>
        <w:rPr>
          <w:spacing w:val="-2"/>
        </w:rPr>
        <w:t xml:space="preserve">. Było to </w:t>
      </w:r>
      <w:r>
        <w:t>o </w:t>
      </w:r>
      <w:r w:rsidRPr="00EE23A3">
        <w:t>10,7</w:t>
      </w:r>
      <w:r w:rsidRPr="003577AD">
        <w:t xml:space="preserve">% </w:t>
      </w:r>
      <w:r>
        <w:t xml:space="preserve">mniej niż przed miesiącem, ale o </w:t>
      </w:r>
      <w:r w:rsidRPr="00EE23A3">
        <w:t>53,0</w:t>
      </w:r>
      <w:r>
        <w:t>% więcej</w:t>
      </w:r>
      <w:r w:rsidRPr="003577AD">
        <w:t xml:space="preserve"> niż </w:t>
      </w:r>
      <w:r>
        <w:t>w lutym ub. roku</w:t>
      </w:r>
      <w:r w:rsidRPr="003577AD">
        <w:t>. Inwestorzy in</w:t>
      </w:r>
      <w:r>
        <w:t>dywidualni wybudowali w tym cza</w:t>
      </w:r>
      <w:r w:rsidRPr="003577AD">
        <w:t xml:space="preserve">sie </w:t>
      </w:r>
      <w:r w:rsidRPr="00EE23A3">
        <w:t>551</w:t>
      </w:r>
      <w:r w:rsidRPr="003577AD">
        <w:t xml:space="preserve"> mieszka</w:t>
      </w:r>
      <w:r>
        <w:t xml:space="preserve">ń, tj. o </w:t>
      </w:r>
      <w:r w:rsidRPr="00EE23A3">
        <w:t>6,2</w:t>
      </w:r>
      <w:r>
        <w:t>% więcej niż w styczniu br., ale o 6,0</w:t>
      </w:r>
      <w:r w:rsidRPr="003577AD">
        <w:t xml:space="preserve">% </w:t>
      </w:r>
      <w:r>
        <w:t xml:space="preserve">mniej niż </w:t>
      </w:r>
      <w:r w:rsidRPr="003577AD">
        <w:rPr>
          <w:spacing w:val="-2"/>
        </w:rPr>
        <w:t>przed rokiem</w:t>
      </w:r>
      <w:r>
        <w:t xml:space="preserve">. </w:t>
      </w:r>
    </w:p>
    <w:p w:rsidR="00E923A7" w:rsidRDefault="00E923A7" w:rsidP="00E923A7">
      <w:pPr>
        <w:pStyle w:val="tekst"/>
      </w:pPr>
      <w:r>
        <w:t>Efekty mieszkaniowe</w:t>
      </w:r>
      <w:r w:rsidRPr="0002771D">
        <w:t xml:space="preserve"> dwóch pierwszych miesi</w:t>
      </w:r>
      <w:r>
        <w:t>ę</w:t>
      </w:r>
      <w:r w:rsidRPr="0002771D">
        <w:t>c</w:t>
      </w:r>
      <w:r>
        <w:t>y</w:t>
      </w:r>
      <w:r w:rsidRPr="0002771D">
        <w:t xml:space="preserve"> br. </w:t>
      </w:r>
      <w:r>
        <w:t>to</w:t>
      </w:r>
      <w:r w:rsidRPr="0002771D">
        <w:t xml:space="preserve"> </w:t>
      </w:r>
      <w:r>
        <w:t>3</w:t>
      </w:r>
      <w:r w:rsidRPr="00081117">
        <w:t>133</w:t>
      </w:r>
      <w:r>
        <w:t xml:space="preserve"> mieszkania przekazane do eksploatacji przez 2 formy budownictwa – indywidualne oraz na sprzedaż lub wynajem. W porównaniu z okresem</w:t>
      </w:r>
      <w:r w:rsidRPr="0002771D">
        <w:t xml:space="preserve"> styczeń-luty ub. roku</w:t>
      </w:r>
      <w:r>
        <w:t xml:space="preserve"> liczba ta była</w:t>
      </w:r>
      <w:r w:rsidRPr="0002771D">
        <w:t xml:space="preserve"> </w:t>
      </w:r>
      <w:r>
        <w:t>o </w:t>
      </w:r>
      <w:r w:rsidRPr="00081117">
        <w:t>19,3</w:t>
      </w:r>
      <w:r w:rsidRPr="0002771D">
        <w:t xml:space="preserve">% </w:t>
      </w:r>
      <w:r>
        <w:t>więk</w:t>
      </w:r>
      <w:r>
        <w:rPr>
          <w:szCs w:val="19"/>
        </w:rPr>
        <w:t>sza</w:t>
      </w:r>
      <w:r w:rsidRPr="0002771D">
        <w:t xml:space="preserve">. Deweloperzy </w:t>
      </w:r>
      <w:r>
        <w:t>zrealizowali w tym czasie 2</w:t>
      </w:r>
      <w:r w:rsidRPr="00081117">
        <w:t>063</w:t>
      </w:r>
      <w:r>
        <w:t xml:space="preserve"> </w:t>
      </w:r>
      <w:r w:rsidRPr="0002771D">
        <w:t>mieszka</w:t>
      </w:r>
      <w:r>
        <w:t>nia (</w:t>
      </w:r>
      <w:r w:rsidRPr="0002771D">
        <w:t xml:space="preserve">o </w:t>
      </w:r>
      <w:r>
        <w:t>50,6</w:t>
      </w:r>
      <w:r w:rsidRPr="0002771D">
        <w:t xml:space="preserve">% </w:t>
      </w:r>
      <w:r>
        <w:t>więc</w:t>
      </w:r>
      <w:r>
        <w:rPr>
          <w:szCs w:val="19"/>
        </w:rPr>
        <w:t>ej</w:t>
      </w:r>
      <w:r w:rsidRPr="00C33451">
        <w:rPr>
          <w:szCs w:val="19"/>
        </w:rPr>
        <w:t xml:space="preserve"> </w:t>
      </w:r>
      <w:r w:rsidRPr="0002771D">
        <w:t>niż przed rokiem</w:t>
      </w:r>
      <w:r>
        <w:t>), w tym 10 przeznaczone na wynajem, natomiast inwestorzy indywidualni wybudowali</w:t>
      </w:r>
      <w:r w:rsidRPr="0002771D">
        <w:t xml:space="preserve"> </w:t>
      </w:r>
      <w:r>
        <w:t>1070 mieszka</w:t>
      </w:r>
      <w:r w:rsidR="007F19DE">
        <w:t>ń</w:t>
      </w:r>
      <w:r>
        <w:t xml:space="preserve"> (o 14,9% mniej).</w:t>
      </w:r>
    </w:p>
    <w:p w:rsidR="00E923A7" w:rsidRDefault="00E923A7" w:rsidP="00E923A7">
      <w:pPr>
        <w:spacing w:before="0" w:after="160" w:line="259" w:lineRule="auto"/>
        <w:rPr>
          <w:lang w:eastAsia="pl-PL"/>
        </w:rPr>
      </w:pPr>
      <w:r>
        <w:br w:type="page"/>
      </w:r>
    </w:p>
    <w:p w:rsidR="00E923A7" w:rsidRDefault="00DC46F9" w:rsidP="00E923A7">
      <w:pPr>
        <w:pStyle w:val="Tytultabeli"/>
      </w:pPr>
      <w:r w:rsidRPr="00DC46F9">
        <w:rPr>
          <w:noProof/>
        </w:rPr>
        <w:lastRenderedPageBreak/>
        <w:drawing>
          <wp:anchor distT="0" distB="0" distL="114300" distR="114300" simplePos="0" relativeHeight="252954112" behindDoc="0" locked="0" layoutInCell="1" allowOverlap="1">
            <wp:simplePos x="0" y="0"/>
            <wp:positionH relativeFrom="column">
              <wp:posOffset>322337</wp:posOffset>
            </wp:positionH>
            <wp:positionV relativeFrom="paragraph">
              <wp:posOffset>437380</wp:posOffset>
            </wp:positionV>
            <wp:extent cx="5940000" cy="2535511"/>
            <wp:effectExtent l="0" t="0" r="3810" b="0"/>
            <wp:wrapTopAndBottom/>
            <wp:docPr id="39" name="Obraz 39" descr="Podwójny wykres liniowy (Polska i województwo wielkopolskie) przedstawiający dynamikę mieszkań oddanych do użytkowania w poszczególnych okresach miesięcznych narastająco w latach 2022–2025 w odniesieniu do analogicznych okresów roku 2021 (oś pozioma). Oś pionowa wartości w zakresie od 60 do 160.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0000" cy="253551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23A7">
        <w:t>Wykres 9.</w:t>
      </w:r>
      <w:r w:rsidR="00E923A7">
        <w:tab/>
      </w:r>
      <w:r w:rsidR="00E923A7" w:rsidRPr="008B04AE">
        <w:t>Mieszkania oddane do użytkowania</w:t>
      </w:r>
      <w:r w:rsidR="00E923A7" w:rsidRPr="008B04AE">
        <w:br/>
      </w:r>
      <w:r w:rsidR="00E923A7" w:rsidRPr="003E046B">
        <w:t>(analogiczny okres roku 20</w:t>
      </w:r>
      <w:r w:rsidR="00E923A7">
        <w:t>2</w:t>
      </w:r>
      <w:r w:rsidR="00E923A7" w:rsidRPr="003E046B">
        <w:t>1=100)</w:t>
      </w:r>
      <w:r w:rsidR="00E923A7" w:rsidRPr="007F73D2">
        <w:t xml:space="preserve"> </w:t>
      </w:r>
    </w:p>
    <w:p w:rsidR="00E923A7" w:rsidRPr="00E87892" w:rsidRDefault="00E923A7" w:rsidP="00E923A7">
      <w:pPr>
        <w:pStyle w:val="Tytultabeli"/>
      </w:pPr>
      <w:r>
        <w:t>Tablica 10.</w:t>
      </w:r>
      <w:r>
        <w:tab/>
        <w:t>M</w:t>
      </w:r>
      <w:r w:rsidRPr="00E87892">
        <w:t>ieszka</w:t>
      </w:r>
      <w:r>
        <w:t>nia oddane</w:t>
      </w:r>
      <w:r w:rsidRPr="00E87892">
        <w:t xml:space="preserve"> do użytkowania </w:t>
      </w:r>
    </w:p>
    <w:tbl>
      <w:tblPr>
        <w:tblW w:w="0" w:type="auto"/>
        <w:jc w:val="center"/>
        <w:tblBorders>
          <w:insideH w:val="single" w:sz="4" w:space="0" w:color="522398"/>
          <w:insideV w:val="single" w:sz="4" w:space="0" w:color="522398"/>
        </w:tblBorders>
        <w:tblLayout w:type="fixed"/>
        <w:tblCellMar>
          <w:top w:w="17" w:type="dxa"/>
          <w:bottom w:w="17" w:type="dxa"/>
        </w:tblCellMar>
        <w:tblLook w:val="0420" w:firstRow="1" w:lastRow="0" w:firstColumn="0" w:lastColumn="0" w:noHBand="0" w:noVBand="1"/>
        <w:tblDescription w:val="Tablica przedstawia dane dotyczące mieszkań oddanych do użytkowania w okresie styczeń-luty br., ich liczby i przeciętnej powierzchni użytkowej, według form budownictwa. Dane do tablicy dostępne w pliku w formacie XLSX"/>
      </w:tblPr>
      <w:tblGrid>
        <w:gridCol w:w="3686"/>
        <w:gridCol w:w="1698"/>
        <w:gridCol w:w="1698"/>
        <w:gridCol w:w="1698"/>
        <w:gridCol w:w="1699"/>
      </w:tblGrid>
      <w:tr w:rsidR="00E923A7" w:rsidRPr="00E87892" w:rsidTr="00072CE1">
        <w:trPr>
          <w:trHeight w:val="57"/>
          <w:tblHeader/>
          <w:jc w:val="center"/>
        </w:trPr>
        <w:tc>
          <w:tcPr>
            <w:tcW w:w="3686" w:type="dxa"/>
            <w:vMerge w:val="restart"/>
            <w:tcBorders>
              <w:top w:val="nil"/>
              <w:bottom w:val="single" w:sz="4" w:space="0" w:color="522398"/>
            </w:tcBorders>
            <w:vAlign w:val="center"/>
          </w:tcPr>
          <w:p w:rsidR="00E923A7" w:rsidRPr="00C20CD4" w:rsidRDefault="00E923A7" w:rsidP="00072CE1">
            <w:pPr>
              <w:pStyle w:val="glowka1"/>
            </w:pPr>
            <w:r>
              <w:t>Wyszczególnienie</w:t>
            </w:r>
          </w:p>
        </w:tc>
        <w:tc>
          <w:tcPr>
            <w:tcW w:w="6793" w:type="dxa"/>
            <w:gridSpan w:val="4"/>
            <w:tcBorders>
              <w:top w:val="nil"/>
              <w:bottom w:val="single" w:sz="4" w:space="0" w:color="522398"/>
            </w:tcBorders>
            <w:vAlign w:val="center"/>
          </w:tcPr>
          <w:p w:rsidR="00E923A7" w:rsidRPr="00C20CD4" w:rsidRDefault="00E923A7" w:rsidP="00072CE1">
            <w:pPr>
              <w:pStyle w:val="glowka1"/>
            </w:pPr>
            <w:r>
              <w:t xml:space="preserve">01–02 </w:t>
            </w:r>
            <w:r w:rsidRPr="00A56F17">
              <w:t>202</w:t>
            </w:r>
            <w:r>
              <w:t>5</w:t>
            </w:r>
          </w:p>
        </w:tc>
      </w:tr>
      <w:tr w:rsidR="00E923A7" w:rsidRPr="00E87892" w:rsidTr="00072CE1">
        <w:trPr>
          <w:trHeight w:val="57"/>
          <w:tblHeader/>
          <w:jc w:val="center"/>
        </w:trPr>
        <w:tc>
          <w:tcPr>
            <w:tcW w:w="3686" w:type="dxa"/>
            <w:vMerge/>
            <w:tcBorders>
              <w:top w:val="single" w:sz="4" w:space="0" w:color="522398"/>
              <w:bottom w:val="single" w:sz="12" w:space="0" w:color="522398"/>
            </w:tcBorders>
            <w:vAlign w:val="center"/>
          </w:tcPr>
          <w:p w:rsidR="00E923A7" w:rsidRPr="00C20CD4" w:rsidRDefault="00E923A7" w:rsidP="00072CE1">
            <w:pPr>
              <w:pStyle w:val="glowka1"/>
            </w:pPr>
          </w:p>
        </w:tc>
        <w:tc>
          <w:tcPr>
            <w:tcW w:w="1698" w:type="dxa"/>
            <w:tcBorders>
              <w:top w:val="single" w:sz="4" w:space="0" w:color="522398"/>
              <w:bottom w:val="single" w:sz="12" w:space="0" w:color="522398"/>
            </w:tcBorders>
            <w:vAlign w:val="center"/>
          </w:tcPr>
          <w:p w:rsidR="00E923A7" w:rsidRPr="00C20CD4" w:rsidRDefault="00E923A7" w:rsidP="00072CE1">
            <w:pPr>
              <w:pStyle w:val="glowka1"/>
            </w:pPr>
            <w:r>
              <w:t>w</w:t>
            </w:r>
            <w:r w:rsidRPr="00C20CD4">
              <w:t xml:space="preserve"> liczbach</w:t>
            </w:r>
            <w:r>
              <w:br/>
            </w:r>
            <w:r w:rsidRPr="00C20CD4">
              <w:t>bezwzględnych</w:t>
            </w:r>
          </w:p>
        </w:tc>
        <w:tc>
          <w:tcPr>
            <w:tcW w:w="1698" w:type="dxa"/>
            <w:tcBorders>
              <w:top w:val="single" w:sz="4" w:space="0" w:color="522398"/>
              <w:bottom w:val="single" w:sz="12" w:space="0" w:color="522398"/>
            </w:tcBorders>
            <w:vAlign w:val="center"/>
          </w:tcPr>
          <w:p w:rsidR="00E923A7" w:rsidRPr="00C20CD4" w:rsidRDefault="00E923A7" w:rsidP="00072CE1">
            <w:pPr>
              <w:pStyle w:val="glowka1"/>
            </w:pPr>
            <w:r>
              <w:t>w</w:t>
            </w:r>
            <w:r w:rsidRPr="00C20CD4">
              <w:t xml:space="preserve"> odsetkach</w:t>
            </w:r>
          </w:p>
        </w:tc>
        <w:tc>
          <w:tcPr>
            <w:tcW w:w="1698" w:type="dxa"/>
            <w:tcBorders>
              <w:top w:val="single" w:sz="4" w:space="0" w:color="522398"/>
              <w:bottom w:val="single" w:sz="12" w:space="0" w:color="522398"/>
            </w:tcBorders>
            <w:vAlign w:val="center"/>
          </w:tcPr>
          <w:p w:rsidR="00E923A7" w:rsidRPr="00FA1C2A" w:rsidRDefault="00E923A7" w:rsidP="00072CE1">
            <w:pPr>
              <w:pStyle w:val="glowka1"/>
            </w:pPr>
            <w:r w:rsidRPr="00FA1C2A">
              <w:t xml:space="preserve">analogiczny okres roku </w:t>
            </w:r>
          </w:p>
          <w:p w:rsidR="00E923A7" w:rsidRPr="00C20CD4" w:rsidRDefault="00E923A7" w:rsidP="00072CE1">
            <w:pPr>
              <w:pStyle w:val="glowka1"/>
            </w:pPr>
            <w:r w:rsidRPr="00FA1C2A">
              <w:t>poprzedniego = 100</w:t>
            </w:r>
          </w:p>
        </w:tc>
        <w:tc>
          <w:tcPr>
            <w:tcW w:w="1699" w:type="dxa"/>
            <w:tcBorders>
              <w:top w:val="single" w:sz="4" w:space="0" w:color="522398"/>
              <w:bottom w:val="single" w:sz="12" w:space="0" w:color="522398"/>
            </w:tcBorders>
            <w:vAlign w:val="center"/>
          </w:tcPr>
          <w:p w:rsidR="00E923A7" w:rsidRPr="00C20CD4" w:rsidRDefault="00E923A7" w:rsidP="00072CE1">
            <w:pPr>
              <w:pStyle w:val="glowka1"/>
            </w:pPr>
            <w:r>
              <w:t>p</w:t>
            </w:r>
            <w:r w:rsidRPr="00C20CD4">
              <w:t xml:space="preserve">rzeciętna </w:t>
            </w:r>
            <w:r w:rsidRPr="00C20CD4">
              <w:br/>
              <w:t xml:space="preserve">powierzchnia użytkowa 1 mieszkania </w:t>
            </w:r>
            <w:r w:rsidRPr="00C20CD4">
              <w:br/>
              <w:t>w m</w:t>
            </w:r>
            <w:r w:rsidRPr="00C20CD4">
              <w:rPr>
                <w:vertAlign w:val="superscript"/>
              </w:rPr>
              <w:t>2</w:t>
            </w:r>
          </w:p>
        </w:tc>
      </w:tr>
      <w:tr w:rsidR="00E923A7" w:rsidRPr="00E87892" w:rsidTr="00072CE1">
        <w:trPr>
          <w:trHeight w:val="57"/>
          <w:jc w:val="center"/>
        </w:trPr>
        <w:tc>
          <w:tcPr>
            <w:tcW w:w="3686" w:type="dxa"/>
            <w:tcBorders>
              <w:top w:val="single" w:sz="12" w:space="0" w:color="522398"/>
              <w:bottom w:val="single" w:sz="4" w:space="0" w:color="522398"/>
            </w:tcBorders>
            <w:vAlign w:val="center"/>
          </w:tcPr>
          <w:p w:rsidR="00E923A7" w:rsidRPr="00C20CD4" w:rsidRDefault="00E923A7" w:rsidP="00072CE1">
            <w:pPr>
              <w:pStyle w:val="bocz1t"/>
            </w:pPr>
            <w:r w:rsidRPr="00C20CD4">
              <w:t>O</w:t>
            </w:r>
            <w:r>
              <w:t>gółe</w:t>
            </w:r>
            <w:r w:rsidRPr="00C20CD4">
              <w:t>m</w:t>
            </w:r>
          </w:p>
        </w:tc>
        <w:tc>
          <w:tcPr>
            <w:tcW w:w="1698" w:type="dxa"/>
            <w:tcBorders>
              <w:top w:val="single" w:sz="12" w:space="0" w:color="522398"/>
              <w:bottom w:val="single" w:sz="4" w:space="0" w:color="522398"/>
            </w:tcBorders>
          </w:tcPr>
          <w:p w:rsidR="00E923A7" w:rsidRPr="002D0956" w:rsidRDefault="00E923A7" w:rsidP="00072CE1">
            <w:pPr>
              <w:pStyle w:val="tableteksttab"/>
              <w:rPr>
                <w:b/>
              </w:rPr>
            </w:pPr>
            <w:r w:rsidRPr="002D0956">
              <w:rPr>
                <w:b/>
              </w:rPr>
              <w:t>3133</w:t>
            </w:r>
          </w:p>
        </w:tc>
        <w:tc>
          <w:tcPr>
            <w:tcW w:w="1698" w:type="dxa"/>
            <w:tcBorders>
              <w:top w:val="single" w:sz="12" w:space="0" w:color="522398"/>
              <w:bottom w:val="single" w:sz="4" w:space="0" w:color="522398"/>
            </w:tcBorders>
          </w:tcPr>
          <w:p w:rsidR="00E923A7" w:rsidRPr="002D0956" w:rsidRDefault="00E923A7" w:rsidP="00072CE1">
            <w:pPr>
              <w:pStyle w:val="tableteksttab"/>
              <w:rPr>
                <w:b/>
              </w:rPr>
            </w:pPr>
            <w:r w:rsidRPr="002D0956">
              <w:rPr>
                <w:b/>
              </w:rPr>
              <w:t>100,0</w:t>
            </w:r>
          </w:p>
        </w:tc>
        <w:tc>
          <w:tcPr>
            <w:tcW w:w="1698" w:type="dxa"/>
            <w:tcBorders>
              <w:top w:val="single" w:sz="12" w:space="0" w:color="522398"/>
              <w:bottom w:val="single" w:sz="4" w:space="0" w:color="522398"/>
            </w:tcBorders>
          </w:tcPr>
          <w:p w:rsidR="00E923A7" w:rsidRPr="002D0956" w:rsidRDefault="00E923A7" w:rsidP="00072CE1">
            <w:pPr>
              <w:pStyle w:val="tableteksttab"/>
              <w:rPr>
                <w:b/>
              </w:rPr>
            </w:pPr>
            <w:r w:rsidRPr="002D0956">
              <w:rPr>
                <w:b/>
              </w:rPr>
              <w:t>119,3</w:t>
            </w:r>
          </w:p>
        </w:tc>
        <w:tc>
          <w:tcPr>
            <w:tcW w:w="1699" w:type="dxa"/>
            <w:tcBorders>
              <w:top w:val="single" w:sz="12" w:space="0" w:color="522398"/>
              <w:bottom w:val="single" w:sz="4" w:space="0" w:color="522398"/>
            </w:tcBorders>
          </w:tcPr>
          <w:p w:rsidR="00E923A7" w:rsidRPr="002D0956" w:rsidRDefault="00E923A7" w:rsidP="00072CE1">
            <w:pPr>
              <w:pStyle w:val="tableteksttab"/>
              <w:rPr>
                <w:b/>
              </w:rPr>
            </w:pPr>
            <w:r w:rsidRPr="002D0956">
              <w:rPr>
                <w:b/>
              </w:rPr>
              <w:t>91,4</w:t>
            </w:r>
          </w:p>
        </w:tc>
      </w:tr>
      <w:tr w:rsidR="00E923A7" w:rsidRPr="00E87892" w:rsidTr="00072CE1">
        <w:trPr>
          <w:trHeight w:val="57"/>
          <w:jc w:val="center"/>
        </w:trPr>
        <w:tc>
          <w:tcPr>
            <w:tcW w:w="3686" w:type="dxa"/>
            <w:tcBorders>
              <w:top w:val="single" w:sz="4" w:space="0" w:color="522398"/>
              <w:bottom w:val="single" w:sz="4" w:space="0" w:color="522398"/>
            </w:tcBorders>
            <w:vAlign w:val="center"/>
          </w:tcPr>
          <w:p w:rsidR="00E923A7" w:rsidRPr="00C20CD4" w:rsidRDefault="00E923A7" w:rsidP="00072CE1">
            <w:pPr>
              <w:pStyle w:val="boczek1"/>
            </w:pPr>
            <w:r w:rsidRPr="00C20CD4">
              <w:t>Indywidualne</w:t>
            </w:r>
          </w:p>
        </w:tc>
        <w:tc>
          <w:tcPr>
            <w:tcW w:w="1698" w:type="dxa"/>
            <w:tcBorders>
              <w:top w:val="single" w:sz="4" w:space="0" w:color="522398"/>
              <w:bottom w:val="single" w:sz="4" w:space="0" w:color="522398"/>
            </w:tcBorders>
          </w:tcPr>
          <w:p w:rsidR="00E923A7" w:rsidRPr="00CC19C4" w:rsidRDefault="00E923A7" w:rsidP="00072CE1">
            <w:pPr>
              <w:pStyle w:val="tableteksttab"/>
            </w:pPr>
            <w:r w:rsidRPr="00CC19C4">
              <w:t>1070</w:t>
            </w:r>
          </w:p>
        </w:tc>
        <w:tc>
          <w:tcPr>
            <w:tcW w:w="1698" w:type="dxa"/>
            <w:tcBorders>
              <w:top w:val="single" w:sz="4" w:space="0" w:color="522398"/>
              <w:bottom w:val="single" w:sz="4" w:space="0" w:color="522398"/>
            </w:tcBorders>
          </w:tcPr>
          <w:p w:rsidR="00E923A7" w:rsidRPr="00CC19C4" w:rsidRDefault="00E923A7" w:rsidP="00072CE1">
            <w:pPr>
              <w:pStyle w:val="tableteksttab"/>
            </w:pPr>
            <w:r w:rsidRPr="00CC19C4">
              <w:t>34,2</w:t>
            </w:r>
          </w:p>
        </w:tc>
        <w:tc>
          <w:tcPr>
            <w:tcW w:w="1698" w:type="dxa"/>
            <w:tcBorders>
              <w:top w:val="single" w:sz="4" w:space="0" w:color="522398"/>
              <w:bottom w:val="single" w:sz="4" w:space="0" w:color="522398"/>
            </w:tcBorders>
          </w:tcPr>
          <w:p w:rsidR="00E923A7" w:rsidRPr="00CC19C4" w:rsidRDefault="00E923A7" w:rsidP="00072CE1">
            <w:pPr>
              <w:pStyle w:val="tableteksttab"/>
            </w:pPr>
            <w:r w:rsidRPr="00CC19C4">
              <w:t>85,1</w:t>
            </w:r>
          </w:p>
        </w:tc>
        <w:tc>
          <w:tcPr>
            <w:tcW w:w="1699" w:type="dxa"/>
            <w:tcBorders>
              <w:top w:val="single" w:sz="4" w:space="0" w:color="522398"/>
              <w:bottom w:val="single" w:sz="4" w:space="0" w:color="522398"/>
            </w:tcBorders>
          </w:tcPr>
          <w:p w:rsidR="00E923A7" w:rsidRPr="00CC19C4" w:rsidRDefault="00E923A7" w:rsidP="00072CE1">
            <w:pPr>
              <w:pStyle w:val="tableteksttab"/>
            </w:pPr>
            <w:r w:rsidRPr="00CC19C4">
              <w:t>142,5</w:t>
            </w:r>
          </w:p>
        </w:tc>
      </w:tr>
      <w:tr w:rsidR="00E923A7" w:rsidRPr="00E87892" w:rsidTr="00072CE1">
        <w:trPr>
          <w:trHeight w:val="57"/>
          <w:jc w:val="center"/>
        </w:trPr>
        <w:tc>
          <w:tcPr>
            <w:tcW w:w="3686" w:type="dxa"/>
            <w:tcBorders>
              <w:top w:val="single" w:sz="4" w:space="0" w:color="522398"/>
            </w:tcBorders>
            <w:vAlign w:val="center"/>
          </w:tcPr>
          <w:p w:rsidR="00E923A7" w:rsidRPr="00C20CD4" w:rsidRDefault="00E923A7" w:rsidP="00072CE1">
            <w:pPr>
              <w:pStyle w:val="boczek1"/>
            </w:pPr>
            <w:r w:rsidRPr="00C20CD4">
              <w:t>Przeznaczone na sprzedaż lub wynajem</w:t>
            </w:r>
          </w:p>
        </w:tc>
        <w:tc>
          <w:tcPr>
            <w:tcW w:w="1698" w:type="dxa"/>
            <w:tcBorders>
              <w:top w:val="single" w:sz="4" w:space="0" w:color="522398"/>
            </w:tcBorders>
          </w:tcPr>
          <w:p w:rsidR="00E923A7" w:rsidRPr="00CC19C4" w:rsidRDefault="00E923A7" w:rsidP="00072CE1">
            <w:pPr>
              <w:pStyle w:val="tableteksttab"/>
            </w:pPr>
            <w:r w:rsidRPr="00CC19C4">
              <w:t>2063</w:t>
            </w:r>
          </w:p>
        </w:tc>
        <w:tc>
          <w:tcPr>
            <w:tcW w:w="1698" w:type="dxa"/>
            <w:tcBorders>
              <w:top w:val="single" w:sz="4" w:space="0" w:color="522398"/>
            </w:tcBorders>
          </w:tcPr>
          <w:p w:rsidR="00E923A7" w:rsidRPr="00CC19C4" w:rsidRDefault="00E923A7" w:rsidP="00072CE1">
            <w:pPr>
              <w:pStyle w:val="tableteksttab"/>
            </w:pPr>
            <w:r w:rsidRPr="00CC19C4">
              <w:t>65,8</w:t>
            </w:r>
          </w:p>
        </w:tc>
        <w:tc>
          <w:tcPr>
            <w:tcW w:w="1698" w:type="dxa"/>
            <w:tcBorders>
              <w:top w:val="single" w:sz="4" w:space="0" w:color="522398"/>
            </w:tcBorders>
          </w:tcPr>
          <w:p w:rsidR="00E923A7" w:rsidRPr="00CC19C4" w:rsidRDefault="00E923A7" w:rsidP="00072CE1">
            <w:pPr>
              <w:pStyle w:val="tableteksttab"/>
            </w:pPr>
            <w:r w:rsidRPr="00CC19C4">
              <w:t>150,6</w:t>
            </w:r>
          </w:p>
        </w:tc>
        <w:tc>
          <w:tcPr>
            <w:tcW w:w="1699" w:type="dxa"/>
            <w:tcBorders>
              <w:top w:val="single" w:sz="4" w:space="0" w:color="522398"/>
            </w:tcBorders>
          </w:tcPr>
          <w:p w:rsidR="00E923A7" w:rsidRPr="00CC19C4" w:rsidRDefault="00E923A7" w:rsidP="00072CE1">
            <w:pPr>
              <w:pStyle w:val="tableteksttab"/>
            </w:pPr>
            <w:r w:rsidRPr="00CC19C4">
              <w:t>64,9</w:t>
            </w:r>
          </w:p>
        </w:tc>
      </w:tr>
      <w:tr w:rsidR="00E923A7" w:rsidRPr="00E87892" w:rsidTr="00072CE1">
        <w:trPr>
          <w:trHeight w:val="57"/>
          <w:jc w:val="center"/>
        </w:trPr>
        <w:tc>
          <w:tcPr>
            <w:tcW w:w="3686" w:type="dxa"/>
            <w:vAlign w:val="center"/>
          </w:tcPr>
          <w:p w:rsidR="00E923A7" w:rsidRPr="00C20CD4" w:rsidRDefault="00E923A7" w:rsidP="00072CE1">
            <w:pPr>
              <w:pStyle w:val="boczek2"/>
            </w:pPr>
            <w:r>
              <w:t>w tym na wynajem</w:t>
            </w:r>
            <w:r w:rsidRPr="006D15C6">
              <w:rPr>
                <w:vertAlign w:val="superscript"/>
              </w:rPr>
              <w:t xml:space="preserve"> </w:t>
            </w:r>
            <w:r w:rsidRPr="000C23CF">
              <w:rPr>
                <w:vertAlign w:val="superscript"/>
              </w:rPr>
              <w:t>a</w:t>
            </w:r>
          </w:p>
        </w:tc>
        <w:tc>
          <w:tcPr>
            <w:tcW w:w="1698" w:type="dxa"/>
          </w:tcPr>
          <w:p w:rsidR="00E923A7" w:rsidRPr="00CC19C4" w:rsidRDefault="00E923A7" w:rsidP="00072CE1">
            <w:pPr>
              <w:pStyle w:val="tableteksttab"/>
            </w:pPr>
            <w:r w:rsidRPr="00CC19C4">
              <w:t>10</w:t>
            </w:r>
          </w:p>
        </w:tc>
        <w:tc>
          <w:tcPr>
            <w:tcW w:w="1698" w:type="dxa"/>
          </w:tcPr>
          <w:p w:rsidR="00E923A7" w:rsidRPr="00CC19C4" w:rsidRDefault="00E923A7" w:rsidP="00072CE1">
            <w:pPr>
              <w:pStyle w:val="tableteksttab"/>
            </w:pPr>
            <w:r w:rsidRPr="00CC19C4">
              <w:t>0,3</w:t>
            </w:r>
          </w:p>
        </w:tc>
        <w:tc>
          <w:tcPr>
            <w:tcW w:w="1698" w:type="dxa"/>
          </w:tcPr>
          <w:p w:rsidR="00E923A7" w:rsidRPr="00CC19C4" w:rsidRDefault="00E923A7" w:rsidP="00072CE1">
            <w:pPr>
              <w:pStyle w:val="tableteksttab"/>
            </w:pPr>
            <w:r w:rsidRPr="00CC19C4">
              <w:t>18,9</w:t>
            </w:r>
          </w:p>
        </w:tc>
        <w:tc>
          <w:tcPr>
            <w:tcW w:w="1699" w:type="dxa"/>
          </w:tcPr>
          <w:p w:rsidR="00E923A7" w:rsidRDefault="00E923A7" w:rsidP="00072CE1">
            <w:pPr>
              <w:pStyle w:val="tableteksttab"/>
            </w:pPr>
            <w:r w:rsidRPr="00CC19C4">
              <w:t>75,3</w:t>
            </w:r>
          </w:p>
        </w:tc>
      </w:tr>
    </w:tbl>
    <w:p w:rsidR="00E923A7" w:rsidRPr="000C23CF" w:rsidRDefault="00E923A7" w:rsidP="00E923A7">
      <w:pPr>
        <w:pStyle w:val="notka"/>
      </w:pPr>
      <w:r w:rsidRPr="000C23CF">
        <w:t>a Realizowane przez różnych inwestorów z zamiarem krótkoterminowego lub długoterminowego wynajmu, w tym na podstawie</w:t>
      </w:r>
      <w:r>
        <w:t xml:space="preserve"> umów najmu instytucjonalnego z </w:t>
      </w:r>
      <w:r w:rsidRPr="000C23CF">
        <w:t>dojściem do własności</w:t>
      </w:r>
      <w:r>
        <w:t xml:space="preserve">. </w:t>
      </w:r>
    </w:p>
    <w:p w:rsidR="00E923A7" w:rsidRPr="00F31AD3" w:rsidRDefault="00E923A7" w:rsidP="00E923A7">
      <w:pPr>
        <w:spacing w:before="360"/>
        <w:rPr>
          <w:rFonts w:cs="Calibri"/>
          <w:spacing w:val="-2"/>
          <w:szCs w:val="19"/>
        </w:rPr>
      </w:pPr>
      <w:r>
        <w:t>Niemal 30%</w:t>
      </w:r>
      <w:r w:rsidRPr="003577AD">
        <w:t xml:space="preserve"> nowych mieszkań </w:t>
      </w:r>
      <w:r>
        <w:rPr>
          <w:spacing w:val="-2"/>
          <w:szCs w:val="19"/>
        </w:rPr>
        <w:t xml:space="preserve">w okresie styczeń-luty br. </w:t>
      </w:r>
      <w:r w:rsidRPr="003577AD">
        <w:t xml:space="preserve">oddano </w:t>
      </w:r>
      <w:r w:rsidRPr="003577AD">
        <w:rPr>
          <w:rFonts w:cs="Calibri"/>
          <w:spacing w:val="-2"/>
          <w:szCs w:val="19"/>
        </w:rPr>
        <w:t xml:space="preserve">do użytkowania w </w:t>
      </w:r>
      <w:r w:rsidRPr="003577AD">
        <w:rPr>
          <w:spacing w:val="-2"/>
          <w:szCs w:val="19"/>
        </w:rPr>
        <w:t xml:space="preserve">powiecie </w:t>
      </w:r>
      <w:r w:rsidRPr="003577AD">
        <w:rPr>
          <w:rFonts w:cs="Calibri"/>
          <w:spacing w:val="-2"/>
          <w:szCs w:val="19"/>
        </w:rPr>
        <w:t>poznańskim (</w:t>
      </w:r>
      <w:r w:rsidRPr="00F31AD3">
        <w:rPr>
          <w:rFonts w:cs="Calibri"/>
          <w:spacing w:val="-2"/>
          <w:szCs w:val="19"/>
        </w:rPr>
        <w:t>826</w:t>
      </w:r>
      <w:r>
        <w:rPr>
          <w:rFonts w:cs="Calibri"/>
          <w:spacing w:val="-2"/>
          <w:szCs w:val="19"/>
        </w:rPr>
        <w:t xml:space="preserve">, czyli </w:t>
      </w:r>
      <w:r w:rsidRPr="00F31AD3">
        <w:rPr>
          <w:rFonts w:cs="Calibri"/>
          <w:spacing w:val="-2"/>
          <w:szCs w:val="19"/>
        </w:rPr>
        <w:t>26,4</w:t>
      </w:r>
      <w:r w:rsidRPr="003577AD">
        <w:rPr>
          <w:rFonts w:cs="Calibri"/>
          <w:spacing w:val="-2"/>
          <w:szCs w:val="19"/>
        </w:rPr>
        <w:t>%)</w:t>
      </w:r>
      <w:r>
        <w:rPr>
          <w:rFonts w:cs="Calibri"/>
          <w:spacing w:val="-2"/>
          <w:szCs w:val="19"/>
        </w:rPr>
        <w:t xml:space="preserve"> i </w:t>
      </w:r>
      <w:r w:rsidRPr="003577AD">
        <w:rPr>
          <w:spacing w:val="-2"/>
          <w:szCs w:val="19"/>
        </w:rPr>
        <w:t>Pozna</w:t>
      </w:r>
      <w:r>
        <w:rPr>
          <w:spacing w:val="-2"/>
          <w:szCs w:val="19"/>
        </w:rPr>
        <w:t>niu</w:t>
      </w:r>
      <w:r w:rsidRPr="003577AD">
        <w:rPr>
          <w:spacing w:val="-2"/>
          <w:szCs w:val="19"/>
        </w:rPr>
        <w:t xml:space="preserve"> (</w:t>
      </w:r>
      <w:r w:rsidRPr="00F31AD3">
        <w:rPr>
          <w:spacing w:val="-2"/>
          <w:szCs w:val="19"/>
        </w:rPr>
        <w:t>780</w:t>
      </w:r>
      <w:r w:rsidRPr="003577AD">
        <w:rPr>
          <w:spacing w:val="-2"/>
          <w:szCs w:val="19"/>
        </w:rPr>
        <w:t>,</w:t>
      </w:r>
      <w:r w:rsidRPr="003577AD">
        <w:rPr>
          <w:rFonts w:cs="Calibri"/>
          <w:spacing w:val="-2"/>
          <w:szCs w:val="19"/>
        </w:rPr>
        <w:t xml:space="preserve"> tj. </w:t>
      </w:r>
      <w:r w:rsidRPr="00F31AD3">
        <w:rPr>
          <w:rFonts w:cs="Calibri"/>
          <w:spacing w:val="-2"/>
          <w:szCs w:val="19"/>
        </w:rPr>
        <w:t>24,9</w:t>
      </w:r>
      <w:r w:rsidRPr="003577AD">
        <w:rPr>
          <w:rFonts w:cs="Calibri"/>
          <w:spacing w:val="-2"/>
          <w:szCs w:val="19"/>
        </w:rPr>
        <w:t>%</w:t>
      </w:r>
      <w:r w:rsidRPr="003577AD">
        <w:rPr>
          <w:spacing w:val="-2"/>
          <w:szCs w:val="19"/>
        </w:rPr>
        <w:t>)</w:t>
      </w:r>
      <w:r>
        <w:rPr>
          <w:rFonts w:cs="Calibri"/>
          <w:spacing w:val="-2"/>
          <w:szCs w:val="19"/>
        </w:rPr>
        <w:t xml:space="preserve">. Wynik minimum 100 wybudowanych mieszkań osiągnęły jeszcze 2 powiaty, tj. średzki (121, tj. 3,9%) oraz ostrowski (111, tj. 3,5%). </w:t>
      </w:r>
      <w:r>
        <w:rPr>
          <w:spacing w:val="-2"/>
          <w:szCs w:val="19"/>
        </w:rPr>
        <w:t>Ponownie n</w:t>
      </w:r>
      <w:r w:rsidRPr="003577AD">
        <w:rPr>
          <w:spacing w:val="-2"/>
          <w:szCs w:val="19"/>
        </w:rPr>
        <w:t xml:space="preserve">ajmniej mieszkań </w:t>
      </w:r>
      <w:r>
        <w:rPr>
          <w:spacing w:val="-2"/>
          <w:szCs w:val="19"/>
        </w:rPr>
        <w:t xml:space="preserve">powstało w tym czasie w chodzieskim </w:t>
      </w:r>
      <w:r w:rsidRPr="003577AD">
        <w:rPr>
          <w:spacing w:val="-2"/>
          <w:szCs w:val="19"/>
        </w:rPr>
        <w:t>(</w:t>
      </w:r>
      <w:r>
        <w:rPr>
          <w:spacing w:val="-2"/>
          <w:szCs w:val="19"/>
        </w:rPr>
        <w:t>6</w:t>
      </w:r>
      <w:r w:rsidRPr="003577AD">
        <w:rPr>
          <w:spacing w:val="-2"/>
          <w:szCs w:val="19"/>
        </w:rPr>
        <w:t xml:space="preserve">). </w:t>
      </w:r>
    </w:p>
    <w:p w:rsidR="00E923A7" w:rsidRDefault="00E923A7" w:rsidP="00E923A7">
      <w:pPr>
        <w:pStyle w:val="tekst"/>
        <w:rPr>
          <w:szCs w:val="19"/>
        </w:rPr>
      </w:pPr>
      <w:r w:rsidRPr="003577AD">
        <w:rPr>
          <w:b/>
          <w:spacing w:val="-2"/>
          <w:szCs w:val="19"/>
        </w:rPr>
        <w:t>Przeciętna powierzchnia użytkowa 1 mieszkania</w:t>
      </w:r>
      <w:r w:rsidRPr="003577AD">
        <w:rPr>
          <w:spacing w:val="-2"/>
          <w:szCs w:val="19"/>
        </w:rPr>
        <w:t xml:space="preserve"> </w:t>
      </w:r>
      <w:r w:rsidRPr="003577AD">
        <w:rPr>
          <w:szCs w:val="19"/>
        </w:rPr>
        <w:t xml:space="preserve">oddanego do użytkowania </w:t>
      </w:r>
      <w:r>
        <w:rPr>
          <w:szCs w:val="19"/>
        </w:rPr>
        <w:t>w okresie styczeń-luty</w:t>
      </w:r>
      <w:r w:rsidRPr="003577AD">
        <w:rPr>
          <w:spacing w:val="-2"/>
          <w:szCs w:val="19"/>
        </w:rPr>
        <w:t xml:space="preserve"> </w:t>
      </w:r>
      <w:r>
        <w:rPr>
          <w:spacing w:val="-2"/>
          <w:szCs w:val="19"/>
        </w:rPr>
        <w:t>br.</w:t>
      </w:r>
      <w:r w:rsidRPr="003577AD">
        <w:rPr>
          <w:spacing w:val="-2"/>
          <w:szCs w:val="19"/>
        </w:rPr>
        <w:t xml:space="preserve"> </w:t>
      </w:r>
      <w:r w:rsidRPr="003577AD">
        <w:rPr>
          <w:szCs w:val="19"/>
        </w:rPr>
        <w:t xml:space="preserve">wyniosła </w:t>
      </w:r>
      <w:r w:rsidRPr="00D84E5F">
        <w:rPr>
          <w:szCs w:val="19"/>
        </w:rPr>
        <w:t>91,4</w:t>
      </w:r>
      <w:r>
        <w:rPr>
          <w:szCs w:val="19"/>
        </w:rPr>
        <w:t xml:space="preserve"> </w:t>
      </w:r>
      <w:r w:rsidRPr="003577AD">
        <w:rPr>
          <w:szCs w:val="19"/>
        </w:rPr>
        <w:t>m</w:t>
      </w:r>
      <w:r w:rsidRPr="003577AD">
        <w:rPr>
          <w:szCs w:val="19"/>
          <w:vertAlign w:val="superscript"/>
        </w:rPr>
        <w:t>2</w:t>
      </w:r>
      <w:r w:rsidRPr="003577AD">
        <w:rPr>
          <w:szCs w:val="19"/>
        </w:rPr>
        <w:t xml:space="preserve"> (przed rokiem </w:t>
      </w:r>
      <w:r>
        <w:rPr>
          <w:szCs w:val="19"/>
        </w:rPr>
        <w:t xml:space="preserve">103,5 </w:t>
      </w:r>
      <w:r w:rsidRPr="003577AD">
        <w:rPr>
          <w:szCs w:val="19"/>
        </w:rPr>
        <w:t>m</w:t>
      </w:r>
      <w:r w:rsidRPr="003577AD">
        <w:rPr>
          <w:szCs w:val="19"/>
          <w:vertAlign w:val="superscript"/>
        </w:rPr>
        <w:t>2</w:t>
      </w:r>
      <w:r w:rsidRPr="003577AD">
        <w:rPr>
          <w:szCs w:val="19"/>
        </w:rPr>
        <w:t>). Mieszkania wybudowane przez inwestorów indy</w:t>
      </w:r>
      <w:r>
        <w:rPr>
          <w:szCs w:val="19"/>
        </w:rPr>
        <w:t xml:space="preserve">widualnych miały przeciętnie </w:t>
      </w:r>
      <w:r w:rsidRPr="003577AD">
        <w:rPr>
          <w:szCs w:val="19"/>
        </w:rPr>
        <w:t>1</w:t>
      </w:r>
      <w:r>
        <w:rPr>
          <w:szCs w:val="19"/>
        </w:rPr>
        <w:t>42,5</w:t>
      </w:r>
      <w:r w:rsidRPr="003577AD">
        <w:rPr>
          <w:szCs w:val="19"/>
        </w:rPr>
        <w:t xml:space="preserve"> m</w:t>
      </w:r>
      <w:r w:rsidRPr="003577AD">
        <w:rPr>
          <w:szCs w:val="19"/>
          <w:vertAlign w:val="superscript"/>
        </w:rPr>
        <w:t>2</w:t>
      </w:r>
      <w:r w:rsidRPr="003577AD">
        <w:rPr>
          <w:szCs w:val="19"/>
        </w:rPr>
        <w:t xml:space="preserve"> (przed rokiem </w:t>
      </w:r>
      <w:r w:rsidRPr="00D84E5F">
        <w:rPr>
          <w:szCs w:val="19"/>
        </w:rPr>
        <w:t>141,5</w:t>
      </w:r>
      <w:r>
        <w:rPr>
          <w:szCs w:val="19"/>
        </w:rPr>
        <w:t xml:space="preserve"> </w:t>
      </w:r>
      <w:r w:rsidRPr="003577AD">
        <w:rPr>
          <w:szCs w:val="19"/>
        </w:rPr>
        <w:t>m</w:t>
      </w:r>
      <w:r w:rsidRPr="003577AD">
        <w:rPr>
          <w:szCs w:val="19"/>
          <w:vertAlign w:val="superscript"/>
        </w:rPr>
        <w:t>2</w:t>
      </w:r>
      <w:r>
        <w:rPr>
          <w:szCs w:val="19"/>
        </w:rPr>
        <w:t xml:space="preserve">), a </w:t>
      </w:r>
      <w:r w:rsidRPr="003577AD">
        <w:rPr>
          <w:szCs w:val="19"/>
        </w:rPr>
        <w:t xml:space="preserve">przeznaczone na sprzedaż lub wynajem – </w:t>
      </w:r>
      <w:r w:rsidRPr="00D84E5F">
        <w:rPr>
          <w:szCs w:val="19"/>
        </w:rPr>
        <w:t>64,9</w:t>
      </w:r>
      <w:r>
        <w:rPr>
          <w:szCs w:val="19"/>
        </w:rPr>
        <w:t xml:space="preserve"> </w:t>
      </w:r>
      <w:r w:rsidRPr="003577AD">
        <w:rPr>
          <w:szCs w:val="19"/>
        </w:rPr>
        <w:t>m</w:t>
      </w:r>
      <w:r w:rsidRPr="003577AD">
        <w:rPr>
          <w:szCs w:val="19"/>
          <w:vertAlign w:val="superscript"/>
        </w:rPr>
        <w:t>2</w:t>
      </w:r>
      <w:r w:rsidRPr="003577AD">
        <w:rPr>
          <w:szCs w:val="19"/>
        </w:rPr>
        <w:t xml:space="preserve"> (przed rokiem </w:t>
      </w:r>
      <w:r w:rsidRPr="00D84E5F">
        <w:rPr>
          <w:szCs w:val="19"/>
        </w:rPr>
        <w:t>68,6</w:t>
      </w:r>
      <w:r>
        <w:rPr>
          <w:szCs w:val="19"/>
        </w:rPr>
        <w:t xml:space="preserve"> </w:t>
      </w:r>
      <w:r w:rsidRPr="003577AD">
        <w:rPr>
          <w:szCs w:val="19"/>
        </w:rPr>
        <w:t>m</w:t>
      </w:r>
      <w:r w:rsidRPr="003577AD">
        <w:rPr>
          <w:szCs w:val="19"/>
          <w:vertAlign w:val="superscript"/>
        </w:rPr>
        <w:t>2</w:t>
      </w:r>
      <w:r w:rsidRPr="003577AD">
        <w:rPr>
          <w:szCs w:val="19"/>
        </w:rPr>
        <w:t>)</w:t>
      </w:r>
      <w:r>
        <w:rPr>
          <w:szCs w:val="19"/>
        </w:rPr>
        <w:t>.</w:t>
      </w:r>
      <w:r w:rsidRPr="003577AD">
        <w:rPr>
          <w:szCs w:val="19"/>
        </w:rPr>
        <w:t xml:space="preserve"> Największ</w:t>
      </w:r>
      <w:r>
        <w:rPr>
          <w:szCs w:val="19"/>
        </w:rPr>
        <w:t>ą</w:t>
      </w:r>
      <w:r w:rsidRPr="003577AD">
        <w:rPr>
          <w:szCs w:val="19"/>
        </w:rPr>
        <w:t xml:space="preserve"> przeciętn</w:t>
      </w:r>
      <w:r>
        <w:rPr>
          <w:szCs w:val="19"/>
        </w:rPr>
        <w:t>ą powierzchnię użytkową</w:t>
      </w:r>
      <w:r w:rsidRPr="003577AD">
        <w:rPr>
          <w:szCs w:val="19"/>
        </w:rPr>
        <w:t xml:space="preserve"> </w:t>
      </w:r>
      <w:r>
        <w:rPr>
          <w:szCs w:val="19"/>
        </w:rPr>
        <w:t>miały</w:t>
      </w:r>
      <w:r w:rsidRPr="003577AD">
        <w:rPr>
          <w:szCs w:val="19"/>
        </w:rPr>
        <w:t xml:space="preserve"> mieszkania oddane do użytkowania </w:t>
      </w:r>
      <w:r>
        <w:rPr>
          <w:szCs w:val="19"/>
        </w:rPr>
        <w:t xml:space="preserve">w </w:t>
      </w:r>
      <w:r w:rsidRPr="003577AD">
        <w:rPr>
          <w:szCs w:val="19"/>
        </w:rPr>
        <w:t xml:space="preserve">powiatach: </w:t>
      </w:r>
      <w:r>
        <w:rPr>
          <w:szCs w:val="19"/>
        </w:rPr>
        <w:t>chodzies</w:t>
      </w:r>
      <w:r w:rsidRPr="003577AD">
        <w:rPr>
          <w:szCs w:val="19"/>
        </w:rPr>
        <w:t>kim (</w:t>
      </w:r>
      <w:r w:rsidRPr="007F37F6">
        <w:rPr>
          <w:szCs w:val="19"/>
        </w:rPr>
        <w:t>164,7</w:t>
      </w:r>
      <w:r>
        <w:rPr>
          <w:szCs w:val="19"/>
        </w:rPr>
        <w:t xml:space="preserve"> </w:t>
      </w:r>
      <w:r w:rsidRPr="003577AD">
        <w:rPr>
          <w:szCs w:val="19"/>
        </w:rPr>
        <w:t>m</w:t>
      </w:r>
      <w:r w:rsidRPr="003577AD">
        <w:rPr>
          <w:szCs w:val="19"/>
          <w:vertAlign w:val="superscript"/>
        </w:rPr>
        <w:t>2</w:t>
      </w:r>
      <w:r>
        <w:rPr>
          <w:szCs w:val="19"/>
        </w:rPr>
        <w:t>),</w:t>
      </w:r>
      <w:r w:rsidRPr="007F37F6">
        <w:rPr>
          <w:szCs w:val="19"/>
        </w:rPr>
        <w:t xml:space="preserve"> </w:t>
      </w:r>
      <w:r>
        <w:rPr>
          <w:szCs w:val="19"/>
        </w:rPr>
        <w:t>czarnkowsko-trzcianeckim</w:t>
      </w:r>
      <w:r w:rsidRPr="003577AD">
        <w:rPr>
          <w:szCs w:val="19"/>
        </w:rPr>
        <w:t xml:space="preserve"> (</w:t>
      </w:r>
      <w:r w:rsidRPr="007F37F6">
        <w:rPr>
          <w:szCs w:val="19"/>
        </w:rPr>
        <w:t>146,5</w:t>
      </w:r>
      <w:r>
        <w:rPr>
          <w:szCs w:val="19"/>
        </w:rPr>
        <w:t xml:space="preserve"> </w:t>
      </w:r>
      <w:r w:rsidRPr="003577AD">
        <w:rPr>
          <w:szCs w:val="19"/>
        </w:rPr>
        <w:t>m</w:t>
      </w:r>
      <w:r w:rsidRPr="003577AD">
        <w:rPr>
          <w:szCs w:val="19"/>
          <w:vertAlign w:val="superscript"/>
        </w:rPr>
        <w:t>2</w:t>
      </w:r>
      <w:r>
        <w:rPr>
          <w:szCs w:val="19"/>
        </w:rPr>
        <w:t>),</w:t>
      </w:r>
      <w:r w:rsidRPr="007F37F6">
        <w:rPr>
          <w:szCs w:val="19"/>
        </w:rPr>
        <w:t xml:space="preserve"> </w:t>
      </w:r>
      <w:r>
        <w:rPr>
          <w:szCs w:val="19"/>
        </w:rPr>
        <w:t>kalis</w:t>
      </w:r>
      <w:r w:rsidRPr="003577AD">
        <w:rPr>
          <w:szCs w:val="19"/>
        </w:rPr>
        <w:t>kim (</w:t>
      </w:r>
      <w:r w:rsidRPr="007F37F6">
        <w:rPr>
          <w:szCs w:val="19"/>
        </w:rPr>
        <w:t>136,4</w:t>
      </w:r>
      <w:r>
        <w:rPr>
          <w:szCs w:val="19"/>
        </w:rPr>
        <w:t xml:space="preserve"> </w:t>
      </w:r>
      <w:r w:rsidRPr="003577AD">
        <w:rPr>
          <w:szCs w:val="19"/>
        </w:rPr>
        <w:t>m</w:t>
      </w:r>
      <w:r w:rsidRPr="003577AD">
        <w:rPr>
          <w:szCs w:val="19"/>
          <w:vertAlign w:val="superscript"/>
        </w:rPr>
        <w:t>2</w:t>
      </w:r>
      <w:r w:rsidRPr="003577AD">
        <w:rPr>
          <w:szCs w:val="19"/>
        </w:rPr>
        <w:t>)</w:t>
      </w:r>
      <w:r>
        <w:rPr>
          <w:szCs w:val="19"/>
        </w:rPr>
        <w:t xml:space="preserve"> i</w:t>
      </w:r>
      <w:r w:rsidRPr="003577AD">
        <w:rPr>
          <w:szCs w:val="19"/>
        </w:rPr>
        <w:t xml:space="preserve"> </w:t>
      </w:r>
      <w:r>
        <w:rPr>
          <w:spacing w:val="-2"/>
          <w:szCs w:val="19"/>
        </w:rPr>
        <w:t xml:space="preserve">złotowskim </w:t>
      </w:r>
      <w:r w:rsidRPr="003577AD">
        <w:rPr>
          <w:szCs w:val="19"/>
        </w:rPr>
        <w:t>(</w:t>
      </w:r>
      <w:r w:rsidRPr="007F37F6">
        <w:rPr>
          <w:szCs w:val="19"/>
        </w:rPr>
        <w:t>135,5</w:t>
      </w:r>
      <w:r>
        <w:rPr>
          <w:szCs w:val="19"/>
        </w:rPr>
        <w:t xml:space="preserve"> </w:t>
      </w:r>
      <w:r w:rsidRPr="003577AD">
        <w:rPr>
          <w:szCs w:val="19"/>
        </w:rPr>
        <w:t>m</w:t>
      </w:r>
      <w:r w:rsidRPr="003577AD">
        <w:rPr>
          <w:szCs w:val="19"/>
          <w:vertAlign w:val="superscript"/>
        </w:rPr>
        <w:t>2</w:t>
      </w:r>
      <w:r>
        <w:rPr>
          <w:szCs w:val="19"/>
        </w:rPr>
        <w:t xml:space="preserve">), </w:t>
      </w:r>
      <w:r w:rsidRPr="003577AD">
        <w:rPr>
          <w:szCs w:val="19"/>
        </w:rPr>
        <w:t>gdzie dominowały mieszkania budowane przez inwestorów indywidualnych. Najmniejsze były mieszkania oddane do użytkowania w</w:t>
      </w:r>
      <w:r>
        <w:rPr>
          <w:szCs w:val="19"/>
        </w:rPr>
        <w:t xml:space="preserve"> Poznaniu </w:t>
      </w:r>
      <w:r w:rsidRPr="003577AD">
        <w:rPr>
          <w:szCs w:val="19"/>
        </w:rPr>
        <w:t>(</w:t>
      </w:r>
      <w:r w:rsidRPr="007F37F6">
        <w:rPr>
          <w:szCs w:val="19"/>
        </w:rPr>
        <w:t>60,9</w:t>
      </w:r>
      <w:r>
        <w:rPr>
          <w:szCs w:val="19"/>
        </w:rPr>
        <w:t xml:space="preserve"> </w:t>
      </w:r>
      <w:r w:rsidRPr="003577AD">
        <w:rPr>
          <w:szCs w:val="19"/>
        </w:rPr>
        <w:t>m</w:t>
      </w:r>
      <w:r w:rsidRPr="003577AD">
        <w:rPr>
          <w:szCs w:val="19"/>
          <w:vertAlign w:val="superscript"/>
        </w:rPr>
        <w:t>2</w:t>
      </w:r>
      <w:r w:rsidRPr="003577AD">
        <w:rPr>
          <w:szCs w:val="19"/>
        </w:rPr>
        <w:t>)</w:t>
      </w:r>
      <w:r>
        <w:rPr>
          <w:szCs w:val="19"/>
        </w:rPr>
        <w:t xml:space="preserve"> i w Koninie (</w:t>
      </w:r>
      <w:r w:rsidRPr="007F37F6">
        <w:rPr>
          <w:szCs w:val="19"/>
        </w:rPr>
        <w:t>65,8</w:t>
      </w:r>
      <w:r>
        <w:rPr>
          <w:szCs w:val="19"/>
        </w:rPr>
        <w:t xml:space="preserve"> </w:t>
      </w:r>
      <w:r w:rsidRPr="003577AD">
        <w:rPr>
          <w:szCs w:val="19"/>
        </w:rPr>
        <w:t>m</w:t>
      </w:r>
      <w:r w:rsidRPr="003577AD">
        <w:rPr>
          <w:szCs w:val="19"/>
          <w:vertAlign w:val="superscript"/>
        </w:rPr>
        <w:t>2</w:t>
      </w:r>
      <w:r>
        <w:rPr>
          <w:szCs w:val="19"/>
        </w:rPr>
        <w:t>),</w:t>
      </w:r>
      <w:r w:rsidRPr="003577AD">
        <w:rPr>
          <w:szCs w:val="19"/>
        </w:rPr>
        <w:t xml:space="preserve"> gdzie przeważały mieszkania deweloperskie</w:t>
      </w:r>
      <w:r>
        <w:rPr>
          <w:szCs w:val="19"/>
        </w:rPr>
        <w:t>.</w:t>
      </w:r>
    </w:p>
    <w:p w:rsidR="00E923A7" w:rsidRDefault="00E923A7" w:rsidP="00E923A7">
      <w:pPr>
        <w:pStyle w:val="tekst"/>
        <w:rPr>
          <w:szCs w:val="19"/>
        </w:rPr>
      </w:pPr>
      <w:r>
        <w:rPr>
          <w:szCs w:val="19"/>
        </w:rPr>
        <w:br w:type="page"/>
      </w:r>
    </w:p>
    <w:p w:rsidR="00E923A7" w:rsidRPr="00366E85" w:rsidRDefault="00DC46F9" w:rsidP="00E923A7">
      <w:pPr>
        <w:pStyle w:val="tytuwykresu"/>
        <w:spacing w:before="360"/>
      </w:pPr>
      <w:r w:rsidRPr="00DC46F9">
        <w:rPr>
          <w:noProof/>
          <w:lang w:eastAsia="pl-PL"/>
        </w:rPr>
        <w:lastRenderedPageBreak/>
        <w:drawing>
          <wp:anchor distT="0" distB="0" distL="114300" distR="114300" simplePos="0" relativeHeight="252955136" behindDoc="0" locked="0" layoutInCell="1" allowOverlap="1">
            <wp:simplePos x="0" y="0"/>
            <wp:positionH relativeFrom="margin">
              <wp:align>center</wp:align>
            </wp:positionH>
            <wp:positionV relativeFrom="paragraph">
              <wp:posOffset>282102</wp:posOffset>
            </wp:positionV>
            <wp:extent cx="4319905" cy="5133975"/>
            <wp:effectExtent l="0" t="0" r="4445" b="9525"/>
            <wp:wrapTopAndBottom/>
            <wp:docPr id="40" name="Obraz 40" descr="Kartogram – powiaty województwa wielkopolskiego, dotyczący mieszkań oddanych do użytkowania. Cieniowanie – 5 przedziałów według liczby mieszkań. Etykiety – nazwy powiatów. Dodatkowo wartości dla Polski – 30345 mieszkań i województwa wielkopolskiego – 3133. Dane do mapy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19905" cy="5133975"/>
                    </a:xfrm>
                    <a:prstGeom prst="rect">
                      <a:avLst/>
                    </a:prstGeom>
                    <a:noFill/>
                    <a:ln>
                      <a:noFill/>
                    </a:ln>
                  </pic:spPr>
                </pic:pic>
              </a:graphicData>
            </a:graphic>
          </wp:anchor>
        </w:drawing>
      </w:r>
      <w:r w:rsidR="00E923A7">
        <w:t>Mapa 2.</w:t>
      </w:r>
      <w:r w:rsidR="00E923A7">
        <w:tab/>
      </w:r>
      <w:r w:rsidR="00E923A7" w:rsidRPr="00B81C85">
        <w:t xml:space="preserve">Mieszkania oddane do użytkowania </w:t>
      </w:r>
      <w:r w:rsidR="00E923A7" w:rsidRPr="00C20CD4">
        <w:t xml:space="preserve">według </w:t>
      </w:r>
      <w:r w:rsidR="00E923A7" w:rsidRPr="00366E85">
        <w:t xml:space="preserve">powiatów </w:t>
      </w:r>
      <w:r w:rsidR="00E923A7">
        <w:t>w okresie styczeń-luty</w:t>
      </w:r>
      <w:r w:rsidR="00E923A7" w:rsidRPr="00366E85">
        <w:t xml:space="preserve"> </w:t>
      </w:r>
      <w:r w:rsidR="00E923A7">
        <w:t>202</w:t>
      </w:r>
      <w:r w:rsidR="00496FDF">
        <w:t>5</w:t>
      </w:r>
      <w:r w:rsidR="00E923A7">
        <w:t xml:space="preserve"> r.</w:t>
      </w:r>
      <w:r w:rsidR="00E923A7" w:rsidRPr="00366E85">
        <w:t xml:space="preserve"> </w:t>
      </w:r>
    </w:p>
    <w:p w:rsidR="00E923A7" w:rsidRDefault="00E923A7" w:rsidP="00E923A7">
      <w:pPr>
        <w:pStyle w:val="tekst"/>
        <w:spacing w:before="360"/>
        <w:rPr>
          <w:szCs w:val="19"/>
        </w:rPr>
      </w:pPr>
      <w:r>
        <w:rPr>
          <w:spacing w:val="-2"/>
          <w:szCs w:val="19"/>
        </w:rPr>
        <w:t>W lutym</w:t>
      </w:r>
      <w:r w:rsidRPr="003577AD">
        <w:rPr>
          <w:spacing w:val="-2"/>
          <w:szCs w:val="19"/>
        </w:rPr>
        <w:t xml:space="preserve"> </w:t>
      </w:r>
      <w:r>
        <w:rPr>
          <w:spacing w:val="-2"/>
          <w:szCs w:val="19"/>
        </w:rPr>
        <w:t>br.</w:t>
      </w:r>
      <w:r w:rsidRPr="003577AD">
        <w:rPr>
          <w:spacing w:val="-2"/>
          <w:szCs w:val="19"/>
        </w:rPr>
        <w:t xml:space="preserve"> </w:t>
      </w:r>
      <w:r w:rsidRPr="003577AD">
        <w:rPr>
          <w:b/>
          <w:szCs w:val="19"/>
        </w:rPr>
        <w:t>wydano</w:t>
      </w:r>
      <w:r w:rsidRPr="003577AD">
        <w:rPr>
          <w:szCs w:val="19"/>
        </w:rPr>
        <w:t xml:space="preserve"> </w:t>
      </w:r>
      <w:r w:rsidRPr="003577AD">
        <w:rPr>
          <w:b/>
          <w:szCs w:val="19"/>
        </w:rPr>
        <w:t>pozwolenia lub dokonano zgłoszenia z projektem budowlanym na budowę</w:t>
      </w:r>
      <w:r w:rsidRPr="003577AD">
        <w:rPr>
          <w:szCs w:val="19"/>
        </w:rPr>
        <w:t xml:space="preserve"> </w:t>
      </w:r>
      <w:r>
        <w:rPr>
          <w:spacing w:val="-2"/>
          <w:szCs w:val="19"/>
        </w:rPr>
        <w:t>2</w:t>
      </w:r>
      <w:r w:rsidRPr="003D6FC5">
        <w:rPr>
          <w:spacing w:val="-2"/>
          <w:szCs w:val="19"/>
        </w:rPr>
        <w:t>044</w:t>
      </w:r>
      <w:r>
        <w:rPr>
          <w:spacing w:val="-2"/>
          <w:szCs w:val="19"/>
        </w:rPr>
        <w:t xml:space="preserve"> mieszkań, tj. o </w:t>
      </w:r>
      <w:r w:rsidRPr="003D6FC5">
        <w:rPr>
          <w:spacing w:val="-2"/>
          <w:szCs w:val="19"/>
        </w:rPr>
        <w:t>47,8</w:t>
      </w:r>
      <w:r w:rsidRPr="003577AD">
        <w:rPr>
          <w:spacing w:val="-2"/>
          <w:szCs w:val="19"/>
        </w:rPr>
        <w:t xml:space="preserve">% </w:t>
      </w:r>
      <w:r>
        <w:rPr>
          <w:spacing w:val="-2"/>
          <w:szCs w:val="19"/>
        </w:rPr>
        <w:t>więc</w:t>
      </w:r>
      <w:r w:rsidRPr="003577AD">
        <w:rPr>
          <w:spacing w:val="-2"/>
          <w:szCs w:val="19"/>
        </w:rPr>
        <w:t xml:space="preserve">ej niż </w:t>
      </w:r>
      <w:r>
        <w:rPr>
          <w:spacing w:val="-2"/>
          <w:szCs w:val="19"/>
        </w:rPr>
        <w:t xml:space="preserve">w styczniu br., ale o </w:t>
      </w:r>
      <w:r w:rsidRPr="003D6FC5">
        <w:rPr>
          <w:spacing w:val="-2"/>
          <w:szCs w:val="19"/>
        </w:rPr>
        <w:t>18,9</w:t>
      </w:r>
      <w:r>
        <w:rPr>
          <w:spacing w:val="-2"/>
          <w:szCs w:val="19"/>
        </w:rPr>
        <w:t>% mniej</w:t>
      </w:r>
      <w:r w:rsidRPr="003577AD">
        <w:rPr>
          <w:spacing w:val="-2"/>
          <w:szCs w:val="19"/>
        </w:rPr>
        <w:t xml:space="preserve"> niż </w:t>
      </w:r>
      <w:r>
        <w:rPr>
          <w:spacing w:val="-2"/>
          <w:szCs w:val="19"/>
        </w:rPr>
        <w:t>przed rokiem</w:t>
      </w:r>
      <w:r w:rsidRPr="003577AD">
        <w:rPr>
          <w:spacing w:val="-2"/>
          <w:szCs w:val="19"/>
        </w:rPr>
        <w:t>. Pozwolenia te</w:t>
      </w:r>
      <w:r w:rsidRPr="003577AD">
        <w:rPr>
          <w:szCs w:val="19"/>
        </w:rPr>
        <w:t xml:space="preserve"> dotyczyły </w:t>
      </w:r>
      <w:r>
        <w:rPr>
          <w:szCs w:val="19"/>
        </w:rPr>
        <w:t xml:space="preserve">tylko </w:t>
      </w:r>
      <w:r w:rsidRPr="003577AD">
        <w:rPr>
          <w:szCs w:val="19"/>
        </w:rPr>
        <w:t xml:space="preserve">budownictwa na sprzedaż lub wynajem (wydane na budowę </w:t>
      </w:r>
      <w:r>
        <w:rPr>
          <w:szCs w:val="19"/>
        </w:rPr>
        <w:t>1</w:t>
      </w:r>
      <w:r w:rsidRPr="003D6FC5">
        <w:rPr>
          <w:szCs w:val="19"/>
        </w:rPr>
        <w:t>536</w:t>
      </w:r>
      <w:r>
        <w:rPr>
          <w:szCs w:val="19"/>
        </w:rPr>
        <w:t xml:space="preserve"> mieszkań) oraz </w:t>
      </w:r>
      <w:r w:rsidRPr="003577AD">
        <w:rPr>
          <w:szCs w:val="19"/>
        </w:rPr>
        <w:t>indywidualnego (</w:t>
      </w:r>
      <w:r w:rsidRPr="003D6FC5">
        <w:rPr>
          <w:szCs w:val="19"/>
        </w:rPr>
        <w:t>508</w:t>
      </w:r>
      <w:r w:rsidRPr="003577AD">
        <w:rPr>
          <w:szCs w:val="19"/>
        </w:rPr>
        <w:t>)</w:t>
      </w:r>
      <w:r>
        <w:rPr>
          <w:szCs w:val="19"/>
        </w:rPr>
        <w:t xml:space="preserve">. </w:t>
      </w:r>
    </w:p>
    <w:p w:rsidR="00E923A7" w:rsidRPr="00C33451" w:rsidRDefault="00E923A7" w:rsidP="00E923A7">
      <w:pPr>
        <w:pStyle w:val="Tytultabeli"/>
        <w:spacing w:before="360"/>
      </w:pPr>
      <w:r>
        <w:t>Tablica 11.</w:t>
      </w:r>
      <w:r>
        <w:tab/>
      </w:r>
      <w:r w:rsidRPr="00C33451">
        <w:t xml:space="preserve">Liczba mieszkań, na budowę których </w:t>
      </w:r>
      <w:r>
        <w:t>wyd</w:t>
      </w:r>
      <w:r w:rsidRPr="00C33451">
        <w:t xml:space="preserve">ano pozwolenia lub dokonano zgłoszenia z projektem budowlanym </w:t>
      </w:r>
      <w:r>
        <w:br/>
      </w:r>
      <w:r w:rsidRPr="00C33451">
        <w:t>i mieszkań, których budowę rozpoczęto</w:t>
      </w:r>
    </w:p>
    <w:tbl>
      <w:tblPr>
        <w:tblW w:w="5000" w:type="pct"/>
        <w:jc w:val="center"/>
        <w:tblBorders>
          <w:insideH w:val="single" w:sz="4" w:space="0" w:color="522398"/>
          <w:insideV w:val="single" w:sz="4" w:space="0" w:color="522398"/>
        </w:tblBorders>
        <w:tblCellMar>
          <w:top w:w="11" w:type="dxa"/>
          <w:bottom w:w="11" w:type="dxa"/>
        </w:tblCellMar>
        <w:tblLook w:val="0420" w:firstRow="1" w:lastRow="0" w:firstColumn="0" w:lastColumn="0" w:noHBand="0" w:noVBand="1"/>
        <w:tblDescription w:val="Tablica zestawia dane dotyczące mieszkań, na budowę których wydano pozwolenia lub dokonano zgłoszenia z projektem budowlanym oraz mieszkań, których budowę rozpoczęto w okresie styczeń-luty br., według form budownictwa. Dane do tablicy dostępne w pliku w formacie XLSX"/>
      </w:tblPr>
      <w:tblGrid>
        <w:gridCol w:w="3259"/>
        <w:gridCol w:w="1203"/>
        <w:gridCol w:w="1203"/>
        <w:gridCol w:w="1203"/>
        <w:gridCol w:w="1203"/>
        <w:gridCol w:w="1203"/>
        <w:gridCol w:w="1205"/>
      </w:tblGrid>
      <w:tr w:rsidR="00E923A7" w:rsidRPr="00E87892" w:rsidTr="00072CE1">
        <w:trPr>
          <w:trHeight w:val="57"/>
          <w:tblHeader/>
          <w:jc w:val="center"/>
        </w:trPr>
        <w:tc>
          <w:tcPr>
            <w:tcW w:w="1555" w:type="pct"/>
            <w:vMerge w:val="restart"/>
            <w:tcBorders>
              <w:top w:val="nil"/>
              <w:bottom w:val="single" w:sz="4" w:space="0" w:color="522398"/>
            </w:tcBorders>
            <w:vAlign w:val="center"/>
          </w:tcPr>
          <w:p w:rsidR="00E923A7" w:rsidRPr="00C20CD4" w:rsidRDefault="00E923A7" w:rsidP="00072CE1">
            <w:pPr>
              <w:pStyle w:val="glowka1"/>
            </w:pPr>
            <w:r w:rsidRPr="00C20CD4">
              <w:t>Wyszczególnienie</w:t>
            </w:r>
          </w:p>
        </w:tc>
        <w:tc>
          <w:tcPr>
            <w:tcW w:w="3445" w:type="pct"/>
            <w:gridSpan w:val="6"/>
            <w:tcBorders>
              <w:top w:val="nil"/>
              <w:bottom w:val="single" w:sz="4" w:space="0" w:color="522398"/>
            </w:tcBorders>
            <w:vAlign w:val="center"/>
          </w:tcPr>
          <w:p w:rsidR="00E923A7" w:rsidRPr="00C20CD4" w:rsidRDefault="00E923A7" w:rsidP="00072CE1">
            <w:pPr>
              <w:pStyle w:val="glowka1"/>
            </w:pPr>
            <w:r>
              <w:t>01–02 2025</w:t>
            </w:r>
          </w:p>
        </w:tc>
      </w:tr>
      <w:tr w:rsidR="00E923A7" w:rsidRPr="00E87892" w:rsidTr="00072CE1">
        <w:trPr>
          <w:trHeight w:val="57"/>
          <w:tblHeader/>
          <w:jc w:val="center"/>
        </w:trPr>
        <w:tc>
          <w:tcPr>
            <w:tcW w:w="1555" w:type="pct"/>
            <w:vMerge/>
            <w:tcBorders>
              <w:top w:val="single" w:sz="4" w:space="0" w:color="522398"/>
            </w:tcBorders>
            <w:vAlign w:val="center"/>
          </w:tcPr>
          <w:p w:rsidR="00E923A7" w:rsidRPr="00C20CD4" w:rsidRDefault="00E923A7" w:rsidP="00072CE1">
            <w:pPr>
              <w:pStyle w:val="glowka1"/>
            </w:pPr>
          </w:p>
        </w:tc>
        <w:tc>
          <w:tcPr>
            <w:tcW w:w="1722" w:type="pct"/>
            <w:gridSpan w:val="3"/>
            <w:tcBorders>
              <w:top w:val="single" w:sz="4" w:space="0" w:color="522398"/>
            </w:tcBorders>
            <w:vAlign w:val="center"/>
          </w:tcPr>
          <w:p w:rsidR="00E923A7" w:rsidRPr="00C20CD4" w:rsidRDefault="00E923A7" w:rsidP="00072CE1">
            <w:pPr>
              <w:pStyle w:val="glowka1"/>
            </w:pPr>
            <w:r>
              <w:t>m</w:t>
            </w:r>
            <w:r w:rsidRPr="00C20CD4">
              <w:t xml:space="preserve">ieszkania, na budowę których </w:t>
            </w:r>
            <w:r>
              <w:br/>
            </w:r>
            <w:r w:rsidRPr="00C20CD4">
              <w:t>wydano pozwolenia lub dokonano zgłoszenia z</w:t>
            </w:r>
            <w:r>
              <w:t xml:space="preserve"> </w:t>
            </w:r>
            <w:r w:rsidRPr="00C20CD4">
              <w:t>projektem budowlanym</w:t>
            </w:r>
          </w:p>
        </w:tc>
        <w:tc>
          <w:tcPr>
            <w:tcW w:w="1723" w:type="pct"/>
            <w:gridSpan w:val="3"/>
            <w:tcBorders>
              <w:top w:val="single" w:sz="4" w:space="0" w:color="522398"/>
            </w:tcBorders>
            <w:vAlign w:val="center"/>
          </w:tcPr>
          <w:p w:rsidR="00E923A7" w:rsidRPr="00C20CD4" w:rsidRDefault="00E923A7" w:rsidP="00072CE1">
            <w:pPr>
              <w:pStyle w:val="glowka1"/>
            </w:pPr>
            <w:r>
              <w:t>m</w:t>
            </w:r>
            <w:r w:rsidRPr="00C20CD4">
              <w:t>ieszkania, których bu</w:t>
            </w:r>
            <w:r>
              <w:t xml:space="preserve">dowę </w:t>
            </w:r>
            <w:r>
              <w:br/>
            </w:r>
            <w:r w:rsidRPr="00C20CD4">
              <w:t>rozpoczęto</w:t>
            </w:r>
          </w:p>
        </w:tc>
      </w:tr>
      <w:tr w:rsidR="00E923A7" w:rsidRPr="00E87892" w:rsidTr="00072CE1">
        <w:trPr>
          <w:trHeight w:val="57"/>
          <w:jc w:val="center"/>
        </w:trPr>
        <w:tc>
          <w:tcPr>
            <w:tcW w:w="1555" w:type="pct"/>
            <w:vMerge/>
            <w:tcBorders>
              <w:bottom w:val="single" w:sz="12" w:space="0" w:color="522398"/>
            </w:tcBorders>
            <w:vAlign w:val="center"/>
          </w:tcPr>
          <w:p w:rsidR="00E923A7" w:rsidRPr="00C20CD4" w:rsidRDefault="00E923A7" w:rsidP="00072CE1">
            <w:pPr>
              <w:pStyle w:val="glowka1"/>
            </w:pPr>
          </w:p>
        </w:tc>
        <w:tc>
          <w:tcPr>
            <w:tcW w:w="574" w:type="pct"/>
            <w:tcBorders>
              <w:bottom w:val="single" w:sz="12" w:space="0" w:color="522398"/>
            </w:tcBorders>
            <w:vAlign w:val="center"/>
          </w:tcPr>
          <w:p w:rsidR="00E923A7" w:rsidRPr="00C20CD4" w:rsidRDefault="00E923A7" w:rsidP="00072CE1">
            <w:pPr>
              <w:pStyle w:val="glowka1"/>
            </w:pPr>
            <w:r w:rsidRPr="00C20CD4">
              <w:t>w liczbach bez-</w:t>
            </w:r>
            <w:r w:rsidRPr="00C20CD4">
              <w:br/>
              <w:t>względnych</w:t>
            </w:r>
          </w:p>
        </w:tc>
        <w:tc>
          <w:tcPr>
            <w:tcW w:w="574" w:type="pct"/>
            <w:tcBorders>
              <w:bottom w:val="single" w:sz="12" w:space="0" w:color="522398"/>
            </w:tcBorders>
            <w:vAlign w:val="center"/>
          </w:tcPr>
          <w:p w:rsidR="00E923A7" w:rsidRPr="00C20CD4" w:rsidRDefault="00E923A7" w:rsidP="00072CE1">
            <w:pPr>
              <w:pStyle w:val="glowka1"/>
            </w:pPr>
            <w:r w:rsidRPr="00C20CD4">
              <w:t>w odsetkach</w:t>
            </w:r>
          </w:p>
        </w:tc>
        <w:tc>
          <w:tcPr>
            <w:tcW w:w="574" w:type="pct"/>
            <w:tcBorders>
              <w:bottom w:val="single" w:sz="12" w:space="0" w:color="522398"/>
            </w:tcBorders>
            <w:vAlign w:val="center"/>
          </w:tcPr>
          <w:p w:rsidR="00E923A7" w:rsidRPr="00FA1C2A" w:rsidRDefault="00E923A7" w:rsidP="00072CE1">
            <w:pPr>
              <w:pStyle w:val="glowka1"/>
            </w:pPr>
            <w:r w:rsidRPr="00FA1C2A">
              <w:t xml:space="preserve">analogiczny okres roku </w:t>
            </w:r>
          </w:p>
          <w:p w:rsidR="00E923A7" w:rsidRPr="00C20CD4" w:rsidRDefault="00E923A7" w:rsidP="00072CE1">
            <w:pPr>
              <w:pStyle w:val="glowka1"/>
            </w:pPr>
            <w:r w:rsidRPr="00FA1C2A">
              <w:t>poprzedniego = 100</w:t>
            </w:r>
          </w:p>
        </w:tc>
        <w:tc>
          <w:tcPr>
            <w:tcW w:w="574" w:type="pct"/>
            <w:tcBorders>
              <w:bottom w:val="single" w:sz="12" w:space="0" w:color="522398"/>
            </w:tcBorders>
            <w:vAlign w:val="center"/>
          </w:tcPr>
          <w:p w:rsidR="00E923A7" w:rsidRPr="00C20CD4" w:rsidRDefault="00E923A7" w:rsidP="00072CE1">
            <w:pPr>
              <w:pStyle w:val="glowka1"/>
            </w:pPr>
            <w:r w:rsidRPr="00C20CD4">
              <w:t>w liczbach bez-</w:t>
            </w:r>
            <w:r w:rsidRPr="00C20CD4">
              <w:br/>
              <w:t>względnych</w:t>
            </w:r>
          </w:p>
        </w:tc>
        <w:tc>
          <w:tcPr>
            <w:tcW w:w="574" w:type="pct"/>
            <w:tcBorders>
              <w:bottom w:val="single" w:sz="12" w:space="0" w:color="522398"/>
            </w:tcBorders>
            <w:vAlign w:val="center"/>
          </w:tcPr>
          <w:p w:rsidR="00E923A7" w:rsidRPr="00C20CD4" w:rsidRDefault="00E923A7" w:rsidP="00072CE1">
            <w:pPr>
              <w:pStyle w:val="glowka1"/>
            </w:pPr>
            <w:r w:rsidRPr="00C20CD4">
              <w:t>w odsetkach</w:t>
            </w:r>
          </w:p>
        </w:tc>
        <w:tc>
          <w:tcPr>
            <w:tcW w:w="575" w:type="pct"/>
            <w:tcBorders>
              <w:bottom w:val="single" w:sz="12" w:space="0" w:color="522398"/>
            </w:tcBorders>
            <w:vAlign w:val="center"/>
          </w:tcPr>
          <w:p w:rsidR="00E923A7" w:rsidRPr="00FA1C2A" w:rsidRDefault="00E923A7" w:rsidP="00072CE1">
            <w:pPr>
              <w:pStyle w:val="glowka1"/>
            </w:pPr>
            <w:r w:rsidRPr="00FA1C2A">
              <w:t xml:space="preserve">analogiczny okres roku </w:t>
            </w:r>
          </w:p>
          <w:p w:rsidR="00E923A7" w:rsidRPr="00C20CD4" w:rsidRDefault="00E923A7" w:rsidP="00072CE1">
            <w:pPr>
              <w:pStyle w:val="glowka1"/>
            </w:pPr>
            <w:r w:rsidRPr="00FA1C2A">
              <w:t>poprzedniego = 100</w:t>
            </w:r>
          </w:p>
        </w:tc>
      </w:tr>
      <w:tr w:rsidR="00E923A7" w:rsidRPr="00E87892" w:rsidTr="00072CE1">
        <w:trPr>
          <w:trHeight w:val="57"/>
          <w:jc w:val="center"/>
        </w:trPr>
        <w:tc>
          <w:tcPr>
            <w:tcW w:w="1555" w:type="pct"/>
            <w:tcBorders>
              <w:top w:val="single" w:sz="12" w:space="0" w:color="522398"/>
              <w:bottom w:val="single" w:sz="4" w:space="0" w:color="522398"/>
            </w:tcBorders>
            <w:vAlign w:val="center"/>
          </w:tcPr>
          <w:p w:rsidR="00E923A7" w:rsidRPr="00C20CD4" w:rsidRDefault="00E923A7" w:rsidP="00072CE1">
            <w:pPr>
              <w:pStyle w:val="bocz1t"/>
            </w:pPr>
            <w:r w:rsidRPr="00C20CD4">
              <w:t xml:space="preserve">Ogółem </w:t>
            </w:r>
          </w:p>
        </w:tc>
        <w:tc>
          <w:tcPr>
            <w:tcW w:w="574" w:type="pct"/>
            <w:tcBorders>
              <w:top w:val="single" w:sz="12" w:space="0" w:color="522398"/>
              <w:bottom w:val="single" w:sz="4" w:space="0" w:color="522398"/>
            </w:tcBorders>
          </w:tcPr>
          <w:p w:rsidR="00E923A7" w:rsidRPr="009D494B" w:rsidRDefault="00E923A7" w:rsidP="00072CE1">
            <w:pPr>
              <w:pStyle w:val="tableteksttab"/>
              <w:rPr>
                <w:b/>
              </w:rPr>
            </w:pPr>
            <w:r w:rsidRPr="009D494B">
              <w:rPr>
                <w:b/>
              </w:rPr>
              <w:t>3427</w:t>
            </w:r>
          </w:p>
        </w:tc>
        <w:tc>
          <w:tcPr>
            <w:tcW w:w="574" w:type="pct"/>
            <w:tcBorders>
              <w:top w:val="single" w:sz="12" w:space="0" w:color="522398"/>
              <w:bottom w:val="single" w:sz="4" w:space="0" w:color="522398"/>
            </w:tcBorders>
          </w:tcPr>
          <w:p w:rsidR="00E923A7" w:rsidRPr="009D494B" w:rsidRDefault="00E923A7" w:rsidP="00072CE1">
            <w:pPr>
              <w:pStyle w:val="tableteksttab"/>
              <w:rPr>
                <w:b/>
              </w:rPr>
            </w:pPr>
            <w:r w:rsidRPr="009D494B">
              <w:rPr>
                <w:b/>
              </w:rPr>
              <w:t>100,0</w:t>
            </w:r>
          </w:p>
        </w:tc>
        <w:tc>
          <w:tcPr>
            <w:tcW w:w="574" w:type="pct"/>
            <w:tcBorders>
              <w:top w:val="single" w:sz="12" w:space="0" w:color="522398"/>
              <w:bottom w:val="single" w:sz="4" w:space="0" w:color="522398"/>
            </w:tcBorders>
          </w:tcPr>
          <w:p w:rsidR="00E923A7" w:rsidRPr="009D494B" w:rsidRDefault="00E923A7" w:rsidP="00072CE1">
            <w:pPr>
              <w:pStyle w:val="tableteksttab"/>
              <w:rPr>
                <w:b/>
              </w:rPr>
            </w:pPr>
            <w:r w:rsidRPr="009D494B">
              <w:rPr>
                <w:b/>
              </w:rPr>
              <w:t>85,5</w:t>
            </w:r>
          </w:p>
        </w:tc>
        <w:tc>
          <w:tcPr>
            <w:tcW w:w="574" w:type="pct"/>
            <w:tcBorders>
              <w:top w:val="single" w:sz="12" w:space="0" w:color="522398"/>
              <w:bottom w:val="single" w:sz="4" w:space="0" w:color="522398"/>
            </w:tcBorders>
          </w:tcPr>
          <w:p w:rsidR="00E923A7" w:rsidRPr="009D494B" w:rsidRDefault="00E923A7" w:rsidP="00072CE1">
            <w:pPr>
              <w:pStyle w:val="tableteksttab"/>
              <w:rPr>
                <w:b/>
              </w:rPr>
            </w:pPr>
            <w:r w:rsidRPr="009D494B">
              <w:rPr>
                <w:b/>
              </w:rPr>
              <w:t>2779</w:t>
            </w:r>
          </w:p>
        </w:tc>
        <w:tc>
          <w:tcPr>
            <w:tcW w:w="574" w:type="pct"/>
            <w:tcBorders>
              <w:top w:val="single" w:sz="12" w:space="0" w:color="522398"/>
              <w:bottom w:val="single" w:sz="4" w:space="0" w:color="522398"/>
            </w:tcBorders>
          </w:tcPr>
          <w:p w:rsidR="00E923A7" w:rsidRPr="009D494B" w:rsidRDefault="00E923A7" w:rsidP="00072CE1">
            <w:pPr>
              <w:pStyle w:val="tableteksttab"/>
              <w:rPr>
                <w:b/>
              </w:rPr>
            </w:pPr>
            <w:r w:rsidRPr="009D494B">
              <w:rPr>
                <w:b/>
              </w:rPr>
              <w:t>100,0</w:t>
            </w:r>
          </w:p>
        </w:tc>
        <w:tc>
          <w:tcPr>
            <w:tcW w:w="575" w:type="pct"/>
            <w:tcBorders>
              <w:top w:val="single" w:sz="12" w:space="0" w:color="522398"/>
              <w:bottom w:val="single" w:sz="4" w:space="0" w:color="522398"/>
            </w:tcBorders>
          </w:tcPr>
          <w:p w:rsidR="00E923A7" w:rsidRPr="009D494B" w:rsidRDefault="00E923A7" w:rsidP="00072CE1">
            <w:pPr>
              <w:pStyle w:val="tableteksttab"/>
              <w:rPr>
                <w:b/>
              </w:rPr>
            </w:pPr>
            <w:r w:rsidRPr="009D494B">
              <w:rPr>
                <w:b/>
              </w:rPr>
              <w:t>85,6</w:t>
            </w:r>
          </w:p>
        </w:tc>
      </w:tr>
      <w:tr w:rsidR="00E923A7" w:rsidRPr="00E87892" w:rsidTr="00072CE1">
        <w:trPr>
          <w:trHeight w:val="57"/>
          <w:jc w:val="center"/>
        </w:trPr>
        <w:tc>
          <w:tcPr>
            <w:tcW w:w="1555" w:type="pct"/>
            <w:tcBorders>
              <w:top w:val="single" w:sz="4" w:space="0" w:color="522398"/>
              <w:bottom w:val="single" w:sz="4" w:space="0" w:color="522398"/>
            </w:tcBorders>
            <w:vAlign w:val="center"/>
          </w:tcPr>
          <w:p w:rsidR="00E923A7" w:rsidRPr="00C20CD4" w:rsidRDefault="00E923A7" w:rsidP="00072CE1">
            <w:pPr>
              <w:pStyle w:val="boczek1"/>
            </w:pPr>
            <w:r w:rsidRPr="00C20CD4">
              <w:t xml:space="preserve">Indywidualne </w:t>
            </w:r>
          </w:p>
        </w:tc>
        <w:tc>
          <w:tcPr>
            <w:tcW w:w="574" w:type="pct"/>
            <w:tcBorders>
              <w:top w:val="single" w:sz="4" w:space="0" w:color="522398"/>
              <w:bottom w:val="single" w:sz="4" w:space="0" w:color="522398"/>
            </w:tcBorders>
          </w:tcPr>
          <w:p w:rsidR="00E923A7" w:rsidRPr="00683A5B" w:rsidRDefault="00E923A7" w:rsidP="00072CE1">
            <w:pPr>
              <w:pStyle w:val="tableteksttab"/>
            </w:pPr>
            <w:r w:rsidRPr="00683A5B">
              <w:t>968</w:t>
            </w:r>
          </w:p>
        </w:tc>
        <w:tc>
          <w:tcPr>
            <w:tcW w:w="574" w:type="pct"/>
            <w:tcBorders>
              <w:top w:val="single" w:sz="4" w:space="0" w:color="522398"/>
              <w:bottom w:val="single" w:sz="4" w:space="0" w:color="522398"/>
            </w:tcBorders>
          </w:tcPr>
          <w:p w:rsidR="00E923A7" w:rsidRPr="00683A5B" w:rsidRDefault="00E923A7" w:rsidP="00072CE1">
            <w:pPr>
              <w:pStyle w:val="tableteksttab"/>
            </w:pPr>
            <w:r w:rsidRPr="00683A5B">
              <w:t>28,2</w:t>
            </w:r>
          </w:p>
        </w:tc>
        <w:tc>
          <w:tcPr>
            <w:tcW w:w="574" w:type="pct"/>
            <w:tcBorders>
              <w:top w:val="single" w:sz="4" w:space="0" w:color="522398"/>
              <w:bottom w:val="single" w:sz="4" w:space="0" w:color="522398"/>
            </w:tcBorders>
          </w:tcPr>
          <w:p w:rsidR="00E923A7" w:rsidRPr="00683A5B" w:rsidRDefault="00E923A7" w:rsidP="00072CE1">
            <w:pPr>
              <w:pStyle w:val="tableteksttab"/>
            </w:pPr>
            <w:r w:rsidRPr="00683A5B">
              <w:t>96,6</w:t>
            </w:r>
          </w:p>
        </w:tc>
        <w:tc>
          <w:tcPr>
            <w:tcW w:w="574" w:type="pct"/>
            <w:tcBorders>
              <w:top w:val="single" w:sz="4" w:space="0" w:color="522398"/>
              <w:bottom w:val="single" w:sz="4" w:space="0" w:color="522398"/>
            </w:tcBorders>
          </w:tcPr>
          <w:p w:rsidR="00E923A7" w:rsidRPr="00683A5B" w:rsidRDefault="00E923A7" w:rsidP="00072CE1">
            <w:pPr>
              <w:pStyle w:val="tableteksttab"/>
            </w:pPr>
            <w:r w:rsidRPr="00683A5B">
              <w:t>755</w:t>
            </w:r>
          </w:p>
        </w:tc>
        <w:tc>
          <w:tcPr>
            <w:tcW w:w="574" w:type="pct"/>
            <w:tcBorders>
              <w:top w:val="single" w:sz="4" w:space="0" w:color="522398"/>
              <w:bottom w:val="single" w:sz="4" w:space="0" w:color="522398"/>
            </w:tcBorders>
          </w:tcPr>
          <w:p w:rsidR="00E923A7" w:rsidRPr="00683A5B" w:rsidRDefault="00E923A7" w:rsidP="00072CE1">
            <w:pPr>
              <w:pStyle w:val="tableteksttab"/>
            </w:pPr>
            <w:r w:rsidRPr="00683A5B">
              <w:t>27,2</w:t>
            </w:r>
          </w:p>
        </w:tc>
        <w:tc>
          <w:tcPr>
            <w:tcW w:w="575" w:type="pct"/>
            <w:tcBorders>
              <w:top w:val="single" w:sz="4" w:space="0" w:color="522398"/>
              <w:bottom w:val="single" w:sz="4" w:space="0" w:color="522398"/>
            </w:tcBorders>
          </w:tcPr>
          <w:p w:rsidR="00E923A7" w:rsidRPr="00683A5B" w:rsidRDefault="00E923A7" w:rsidP="00072CE1">
            <w:pPr>
              <w:pStyle w:val="tableteksttab"/>
            </w:pPr>
            <w:r w:rsidRPr="00683A5B">
              <w:t>81,9</w:t>
            </w:r>
          </w:p>
        </w:tc>
      </w:tr>
      <w:tr w:rsidR="00E923A7" w:rsidRPr="00E87892" w:rsidTr="00072CE1">
        <w:trPr>
          <w:trHeight w:val="57"/>
          <w:jc w:val="center"/>
        </w:trPr>
        <w:tc>
          <w:tcPr>
            <w:tcW w:w="1555" w:type="pct"/>
            <w:tcBorders>
              <w:top w:val="single" w:sz="4" w:space="0" w:color="522398"/>
              <w:bottom w:val="single" w:sz="4" w:space="0" w:color="522398"/>
            </w:tcBorders>
            <w:vAlign w:val="center"/>
          </w:tcPr>
          <w:p w:rsidR="00E923A7" w:rsidRPr="00C20CD4" w:rsidRDefault="00E923A7" w:rsidP="00072CE1">
            <w:pPr>
              <w:pStyle w:val="boczek1"/>
            </w:pPr>
            <w:r>
              <w:t xml:space="preserve">Przeznaczone na sprzedaż </w:t>
            </w:r>
            <w:r w:rsidRPr="00C20CD4">
              <w:t>lub wynajem</w:t>
            </w:r>
          </w:p>
        </w:tc>
        <w:tc>
          <w:tcPr>
            <w:tcW w:w="574" w:type="pct"/>
            <w:tcBorders>
              <w:top w:val="single" w:sz="4" w:space="0" w:color="522398"/>
              <w:bottom w:val="single" w:sz="4" w:space="0" w:color="522398"/>
            </w:tcBorders>
          </w:tcPr>
          <w:p w:rsidR="00E923A7" w:rsidRPr="00683A5B" w:rsidRDefault="00E923A7" w:rsidP="00072CE1">
            <w:pPr>
              <w:pStyle w:val="tableteksttab"/>
            </w:pPr>
            <w:r w:rsidRPr="00683A5B">
              <w:t>2369</w:t>
            </w:r>
          </w:p>
        </w:tc>
        <w:tc>
          <w:tcPr>
            <w:tcW w:w="574" w:type="pct"/>
            <w:tcBorders>
              <w:top w:val="single" w:sz="4" w:space="0" w:color="522398"/>
              <w:bottom w:val="single" w:sz="4" w:space="0" w:color="522398"/>
            </w:tcBorders>
          </w:tcPr>
          <w:p w:rsidR="00E923A7" w:rsidRPr="00683A5B" w:rsidRDefault="00E923A7" w:rsidP="00072CE1">
            <w:pPr>
              <w:pStyle w:val="tableteksttab"/>
            </w:pPr>
            <w:r w:rsidRPr="00683A5B">
              <w:t>69,1</w:t>
            </w:r>
          </w:p>
        </w:tc>
        <w:tc>
          <w:tcPr>
            <w:tcW w:w="574" w:type="pct"/>
            <w:tcBorders>
              <w:top w:val="single" w:sz="4" w:space="0" w:color="522398"/>
              <w:bottom w:val="single" w:sz="4" w:space="0" w:color="522398"/>
            </w:tcBorders>
          </w:tcPr>
          <w:p w:rsidR="00E923A7" w:rsidRPr="00683A5B" w:rsidRDefault="00E923A7" w:rsidP="00072CE1">
            <w:pPr>
              <w:pStyle w:val="tableteksttab"/>
            </w:pPr>
            <w:r w:rsidRPr="00683A5B">
              <w:t>79,1</w:t>
            </w:r>
          </w:p>
        </w:tc>
        <w:tc>
          <w:tcPr>
            <w:tcW w:w="574" w:type="pct"/>
            <w:tcBorders>
              <w:top w:val="single" w:sz="4" w:space="0" w:color="522398"/>
              <w:bottom w:val="single" w:sz="4" w:space="0" w:color="522398"/>
            </w:tcBorders>
          </w:tcPr>
          <w:p w:rsidR="00E923A7" w:rsidRPr="00683A5B" w:rsidRDefault="00E923A7" w:rsidP="00072CE1">
            <w:pPr>
              <w:pStyle w:val="tableteksttab"/>
            </w:pPr>
            <w:r w:rsidRPr="00683A5B">
              <w:t>1940</w:t>
            </w:r>
          </w:p>
        </w:tc>
        <w:tc>
          <w:tcPr>
            <w:tcW w:w="574" w:type="pct"/>
            <w:tcBorders>
              <w:top w:val="single" w:sz="4" w:space="0" w:color="522398"/>
              <w:bottom w:val="single" w:sz="4" w:space="0" w:color="522398"/>
            </w:tcBorders>
          </w:tcPr>
          <w:p w:rsidR="00E923A7" w:rsidRPr="00683A5B" w:rsidRDefault="00E923A7" w:rsidP="00072CE1">
            <w:pPr>
              <w:pStyle w:val="tableteksttab"/>
            </w:pPr>
            <w:r w:rsidRPr="00683A5B">
              <w:t>69,8</w:t>
            </w:r>
          </w:p>
        </w:tc>
        <w:tc>
          <w:tcPr>
            <w:tcW w:w="575" w:type="pct"/>
            <w:tcBorders>
              <w:top w:val="single" w:sz="4" w:space="0" w:color="522398"/>
              <w:bottom w:val="single" w:sz="4" w:space="0" w:color="522398"/>
            </w:tcBorders>
          </w:tcPr>
          <w:p w:rsidR="00E923A7" w:rsidRPr="00683A5B" w:rsidRDefault="00E923A7" w:rsidP="00072CE1">
            <w:pPr>
              <w:pStyle w:val="tableteksttab"/>
            </w:pPr>
            <w:r w:rsidRPr="00683A5B">
              <w:t>89,4</w:t>
            </w:r>
          </w:p>
        </w:tc>
      </w:tr>
      <w:tr w:rsidR="00E923A7" w:rsidRPr="00E87892" w:rsidTr="00072CE1">
        <w:trPr>
          <w:trHeight w:val="57"/>
          <w:jc w:val="center"/>
        </w:trPr>
        <w:tc>
          <w:tcPr>
            <w:tcW w:w="1555" w:type="pct"/>
            <w:tcBorders>
              <w:top w:val="single" w:sz="4" w:space="0" w:color="522398"/>
              <w:bottom w:val="single" w:sz="4" w:space="0" w:color="522398"/>
            </w:tcBorders>
            <w:vAlign w:val="center"/>
          </w:tcPr>
          <w:p w:rsidR="00E923A7" w:rsidRDefault="00E923A7" w:rsidP="00072CE1">
            <w:pPr>
              <w:pStyle w:val="boczek2"/>
            </w:pPr>
            <w:r>
              <w:t>w tym na wynajem</w:t>
            </w:r>
            <w:r w:rsidRPr="001D7456">
              <w:rPr>
                <w:vertAlign w:val="superscript"/>
              </w:rPr>
              <w:t xml:space="preserve"> </w:t>
            </w:r>
            <w:r w:rsidRPr="000C23CF">
              <w:rPr>
                <w:vertAlign w:val="superscript"/>
              </w:rPr>
              <w:t>a</w:t>
            </w:r>
          </w:p>
        </w:tc>
        <w:tc>
          <w:tcPr>
            <w:tcW w:w="574" w:type="pct"/>
            <w:tcBorders>
              <w:top w:val="single" w:sz="4" w:space="0" w:color="522398"/>
              <w:bottom w:val="single" w:sz="4" w:space="0" w:color="522398"/>
            </w:tcBorders>
          </w:tcPr>
          <w:p w:rsidR="00E923A7" w:rsidRPr="00683A5B" w:rsidRDefault="00E923A7" w:rsidP="00072CE1">
            <w:pPr>
              <w:pStyle w:val="tableteksttab"/>
            </w:pPr>
            <w:r w:rsidRPr="00683A5B">
              <w:t>.</w:t>
            </w:r>
          </w:p>
        </w:tc>
        <w:tc>
          <w:tcPr>
            <w:tcW w:w="574" w:type="pct"/>
            <w:tcBorders>
              <w:top w:val="single" w:sz="4" w:space="0" w:color="522398"/>
              <w:bottom w:val="single" w:sz="4" w:space="0" w:color="522398"/>
            </w:tcBorders>
          </w:tcPr>
          <w:p w:rsidR="00E923A7" w:rsidRPr="00683A5B" w:rsidRDefault="00E923A7" w:rsidP="00072CE1">
            <w:pPr>
              <w:pStyle w:val="tableteksttab"/>
            </w:pPr>
            <w:r w:rsidRPr="00683A5B">
              <w:t>.</w:t>
            </w:r>
          </w:p>
        </w:tc>
        <w:tc>
          <w:tcPr>
            <w:tcW w:w="574" w:type="pct"/>
            <w:tcBorders>
              <w:top w:val="single" w:sz="4" w:space="0" w:color="522398"/>
              <w:bottom w:val="single" w:sz="4" w:space="0" w:color="522398"/>
            </w:tcBorders>
          </w:tcPr>
          <w:p w:rsidR="00E923A7" w:rsidRPr="00683A5B" w:rsidRDefault="00E923A7" w:rsidP="00072CE1">
            <w:pPr>
              <w:pStyle w:val="tableteksttab"/>
            </w:pPr>
            <w:r w:rsidRPr="00683A5B">
              <w:t>.</w:t>
            </w:r>
          </w:p>
        </w:tc>
        <w:tc>
          <w:tcPr>
            <w:tcW w:w="574" w:type="pct"/>
            <w:tcBorders>
              <w:top w:val="single" w:sz="4" w:space="0" w:color="522398"/>
              <w:bottom w:val="single" w:sz="4" w:space="0" w:color="522398"/>
            </w:tcBorders>
          </w:tcPr>
          <w:p w:rsidR="00E923A7" w:rsidRPr="00683A5B" w:rsidRDefault="00E923A7" w:rsidP="00072CE1">
            <w:pPr>
              <w:pStyle w:val="tableteksttab"/>
            </w:pPr>
            <w:r w:rsidRPr="00683A5B">
              <w:t>5</w:t>
            </w:r>
          </w:p>
        </w:tc>
        <w:tc>
          <w:tcPr>
            <w:tcW w:w="574" w:type="pct"/>
            <w:tcBorders>
              <w:top w:val="single" w:sz="4" w:space="0" w:color="522398"/>
              <w:bottom w:val="single" w:sz="4" w:space="0" w:color="522398"/>
            </w:tcBorders>
          </w:tcPr>
          <w:p w:rsidR="00E923A7" w:rsidRPr="00683A5B" w:rsidRDefault="00E923A7" w:rsidP="00072CE1">
            <w:pPr>
              <w:pStyle w:val="tableteksttab"/>
            </w:pPr>
            <w:r w:rsidRPr="00683A5B">
              <w:t>0,2</w:t>
            </w:r>
          </w:p>
        </w:tc>
        <w:tc>
          <w:tcPr>
            <w:tcW w:w="575" w:type="pct"/>
            <w:tcBorders>
              <w:top w:val="single" w:sz="4" w:space="0" w:color="522398"/>
              <w:bottom w:val="single" w:sz="4" w:space="0" w:color="522398"/>
            </w:tcBorders>
          </w:tcPr>
          <w:p w:rsidR="00E923A7" w:rsidRPr="00683A5B" w:rsidRDefault="00E923A7" w:rsidP="00072CE1">
            <w:pPr>
              <w:pStyle w:val="tableteksttab"/>
            </w:pPr>
            <w:r w:rsidRPr="00683A5B">
              <w:t>12,5</w:t>
            </w:r>
          </w:p>
        </w:tc>
      </w:tr>
      <w:tr w:rsidR="00E923A7" w:rsidRPr="00E87892" w:rsidTr="00072CE1">
        <w:trPr>
          <w:trHeight w:val="57"/>
          <w:jc w:val="center"/>
        </w:trPr>
        <w:tc>
          <w:tcPr>
            <w:tcW w:w="1555" w:type="pct"/>
            <w:tcBorders>
              <w:top w:val="single" w:sz="4" w:space="0" w:color="522398"/>
              <w:bottom w:val="single" w:sz="4" w:space="0" w:color="522398"/>
            </w:tcBorders>
            <w:vAlign w:val="center"/>
          </w:tcPr>
          <w:p w:rsidR="00E923A7" w:rsidRDefault="00E923A7" w:rsidP="00072CE1">
            <w:pPr>
              <w:pStyle w:val="boczek"/>
            </w:pPr>
            <w:r>
              <w:t>Komunalne</w:t>
            </w:r>
          </w:p>
        </w:tc>
        <w:tc>
          <w:tcPr>
            <w:tcW w:w="574" w:type="pct"/>
            <w:tcBorders>
              <w:top w:val="single" w:sz="4" w:space="0" w:color="522398"/>
              <w:bottom w:val="single" w:sz="4" w:space="0" w:color="522398"/>
            </w:tcBorders>
          </w:tcPr>
          <w:p w:rsidR="00E923A7" w:rsidRPr="00683A5B" w:rsidRDefault="00E923A7" w:rsidP="00072CE1">
            <w:pPr>
              <w:pStyle w:val="tableteksttab"/>
            </w:pPr>
            <w:r w:rsidRPr="00683A5B">
              <w:t>–</w:t>
            </w:r>
          </w:p>
        </w:tc>
        <w:tc>
          <w:tcPr>
            <w:tcW w:w="574" w:type="pct"/>
            <w:tcBorders>
              <w:top w:val="single" w:sz="4" w:space="0" w:color="522398"/>
              <w:bottom w:val="single" w:sz="4" w:space="0" w:color="522398"/>
            </w:tcBorders>
          </w:tcPr>
          <w:p w:rsidR="00E923A7" w:rsidRPr="00683A5B" w:rsidRDefault="00E923A7" w:rsidP="00072CE1">
            <w:pPr>
              <w:pStyle w:val="tableteksttab"/>
            </w:pPr>
            <w:r w:rsidRPr="00683A5B">
              <w:t>.</w:t>
            </w:r>
          </w:p>
        </w:tc>
        <w:tc>
          <w:tcPr>
            <w:tcW w:w="574" w:type="pct"/>
            <w:tcBorders>
              <w:top w:val="single" w:sz="4" w:space="0" w:color="522398"/>
              <w:bottom w:val="single" w:sz="4" w:space="0" w:color="522398"/>
            </w:tcBorders>
          </w:tcPr>
          <w:p w:rsidR="00E923A7" w:rsidRPr="00683A5B" w:rsidRDefault="00E923A7" w:rsidP="00072CE1">
            <w:pPr>
              <w:pStyle w:val="tableteksttab"/>
            </w:pPr>
            <w:r w:rsidRPr="00683A5B">
              <w:t>.</w:t>
            </w:r>
          </w:p>
        </w:tc>
        <w:tc>
          <w:tcPr>
            <w:tcW w:w="574" w:type="pct"/>
            <w:tcBorders>
              <w:top w:val="single" w:sz="4" w:space="0" w:color="522398"/>
              <w:bottom w:val="single" w:sz="4" w:space="0" w:color="522398"/>
            </w:tcBorders>
          </w:tcPr>
          <w:p w:rsidR="00E923A7" w:rsidRPr="00683A5B" w:rsidRDefault="00E923A7" w:rsidP="00072CE1">
            <w:pPr>
              <w:pStyle w:val="tableteksttab"/>
            </w:pPr>
            <w:r w:rsidRPr="00683A5B">
              <w:t>84</w:t>
            </w:r>
          </w:p>
        </w:tc>
        <w:tc>
          <w:tcPr>
            <w:tcW w:w="574" w:type="pct"/>
            <w:tcBorders>
              <w:top w:val="single" w:sz="4" w:space="0" w:color="522398"/>
              <w:bottom w:val="single" w:sz="4" w:space="0" w:color="522398"/>
            </w:tcBorders>
          </w:tcPr>
          <w:p w:rsidR="00E923A7" w:rsidRPr="00683A5B" w:rsidRDefault="00E923A7" w:rsidP="00072CE1">
            <w:pPr>
              <w:pStyle w:val="tableteksttab"/>
            </w:pPr>
            <w:r w:rsidRPr="00683A5B">
              <w:t>3,0</w:t>
            </w:r>
          </w:p>
        </w:tc>
        <w:tc>
          <w:tcPr>
            <w:tcW w:w="575" w:type="pct"/>
            <w:tcBorders>
              <w:top w:val="single" w:sz="4" w:space="0" w:color="522398"/>
              <w:bottom w:val="single" w:sz="4" w:space="0" w:color="522398"/>
            </w:tcBorders>
          </w:tcPr>
          <w:p w:rsidR="00E923A7" w:rsidRPr="00683A5B" w:rsidRDefault="00E923A7" w:rsidP="00072CE1">
            <w:pPr>
              <w:pStyle w:val="tableteksttab"/>
            </w:pPr>
            <w:r w:rsidRPr="00683A5B">
              <w:t>262,5</w:t>
            </w:r>
          </w:p>
        </w:tc>
      </w:tr>
      <w:tr w:rsidR="00E923A7" w:rsidRPr="00E87892" w:rsidTr="00072CE1">
        <w:trPr>
          <w:trHeight w:val="57"/>
          <w:jc w:val="center"/>
        </w:trPr>
        <w:tc>
          <w:tcPr>
            <w:tcW w:w="1555" w:type="pct"/>
            <w:tcBorders>
              <w:top w:val="single" w:sz="4" w:space="0" w:color="522398"/>
              <w:bottom w:val="nil"/>
            </w:tcBorders>
            <w:vAlign w:val="center"/>
          </w:tcPr>
          <w:p w:rsidR="00E923A7" w:rsidRDefault="00E923A7" w:rsidP="00072CE1">
            <w:pPr>
              <w:pStyle w:val="boczek"/>
            </w:pPr>
            <w:r>
              <w:t>Społeczne czynszowe</w:t>
            </w:r>
          </w:p>
        </w:tc>
        <w:tc>
          <w:tcPr>
            <w:tcW w:w="574" w:type="pct"/>
            <w:tcBorders>
              <w:top w:val="single" w:sz="4" w:space="0" w:color="522398"/>
              <w:bottom w:val="nil"/>
            </w:tcBorders>
          </w:tcPr>
          <w:p w:rsidR="00E923A7" w:rsidRPr="00683A5B" w:rsidRDefault="00E923A7" w:rsidP="00072CE1">
            <w:pPr>
              <w:pStyle w:val="tableteksttab"/>
            </w:pPr>
            <w:r w:rsidRPr="00683A5B">
              <w:t>90</w:t>
            </w:r>
          </w:p>
        </w:tc>
        <w:tc>
          <w:tcPr>
            <w:tcW w:w="574" w:type="pct"/>
            <w:tcBorders>
              <w:top w:val="single" w:sz="4" w:space="0" w:color="522398"/>
              <w:bottom w:val="nil"/>
            </w:tcBorders>
          </w:tcPr>
          <w:p w:rsidR="00E923A7" w:rsidRPr="00683A5B" w:rsidRDefault="00E923A7" w:rsidP="00072CE1">
            <w:pPr>
              <w:pStyle w:val="tableteksttab"/>
            </w:pPr>
            <w:r w:rsidRPr="00683A5B">
              <w:t>2,6</w:t>
            </w:r>
          </w:p>
        </w:tc>
        <w:tc>
          <w:tcPr>
            <w:tcW w:w="574" w:type="pct"/>
            <w:tcBorders>
              <w:top w:val="single" w:sz="4" w:space="0" w:color="522398"/>
              <w:bottom w:val="nil"/>
            </w:tcBorders>
          </w:tcPr>
          <w:p w:rsidR="00E923A7" w:rsidRPr="00683A5B" w:rsidRDefault="00E923A7" w:rsidP="00072CE1">
            <w:pPr>
              <w:pStyle w:val="tableteksttab"/>
            </w:pPr>
            <w:r w:rsidRPr="00683A5B">
              <w:t>8,2 razy</w:t>
            </w:r>
          </w:p>
        </w:tc>
        <w:tc>
          <w:tcPr>
            <w:tcW w:w="574" w:type="pct"/>
            <w:tcBorders>
              <w:top w:val="single" w:sz="4" w:space="0" w:color="522398"/>
              <w:bottom w:val="nil"/>
            </w:tcBorders>
          </w:tcPr>
          <w:p w:rsidR="00E923A7" w:rsidRPr="00683A5B" w:rsidRDefault="00E923A7" w:rsidP="00072CE1">
            <w:pPr>
              <w:pStyle w:val="tableteksttab"/>
            </w:pPr>
            <w:r w:rsidRPr="00683A5B">
              <w:t>–</w:t>
            </w:r>
          </w:p>
        </w:tc>
        <w:tc>
          <w:tcPr>
            <w:tcW w:w="574" w:type="pct"/>
            <w:tcBorders>
              <w:top w:val="single" w:sz="4" w:space="0" w:color="522398"/>
              <w:bottom w:val="nil"/>
            </w:tcBorders>
          </w:tcPr>
          <w:p w:rsidR="00E923A7" w:rsidRPr="00683A5B" w:rsidRDefault="00E923A7" w:rsidP="00072CE1">
            <w:pPr>
              <w:pStyle w:val="tableteksttab"/>
            </w:pPr>
            <w:r w:rsidRPr="00683A5B">
              <w:t>.</w:t>
            </w:r>
          </w:p>
        </w:tc>
        <w:tc>
          <w:tcPr>
            <w:tcW w:w="575" w:type="pct"/>
            <w:tcBorders>
              <w:top w:val="single" w:sz="4" w:space="0" w:color="522398"/>
              <w:bottom w:val="nil"/>
            </w:tcBorders>
          </w:tcPr>
          <w:p w:rsidR="00E923A7" w:rsidRDefault="00E923A7" w:rsidP="00072CE1">
            <w:pPr>
              <w:pStyle w:val="tableteksttab"/>
            </w:pPr>
            <w:r w:rsidRPr="00683A5B">
              <w:t>.</w:t>
            </w:r>
          </w:p>
        </w:tc>
      </w:tr>
    </w:tbl>
    <w:p w:rsidR="00E923A7" w:rsidRDefault="00E923A7" w:rsidP="00E923A7">
      <w:pPr>
        <w:pStyle w:val="notka"/>
      </w:pPr>
      <w:r w:rsidRPr="000C23CF">
        <w:t>a Realizowane przez różnych inwestorów z zamiarem krótkoterminowego lub długoterminowego wynajmu, w tym na podstawie</w:t>
      </w:r>
      <w:r>
        <w:t xml:space="preserve"> umów najmu instytucjonalnego z </w:t>
      </w:r>
      <w:r w:rsidRPr="000C23CF">
        <w:t>dojściem do własności</w:t>
      </w:r>
      <w:r>
        <w:t>.</w:t>
      </w:r>
    </w:p>
    <w:p w:rsidR="00E923A7" w:rsidRDefault="00E923A7" w:rsidP="00E923A7">
      <w:pPr>
        <w:pStyle w:val="tekst"/>
        <w:rPr>
          <w:spacing w:val="-2"/>
          <w:szCs w:val="19"/>
        </w:rPr>
      </w:pPr>
      <w:r>
        <w:rPr>
          <w:spacing w:val="-2"/>
          <w:szCs w:val="19"/>
        </w:rPr>
        <w:lastRenderedPageBreak/>
        <w:t xml:space="preserve">W </w:t>
      </w:r>
      <w:r w:rsidRPr="00F35417">
        <w:rPr>
          <w:spacing w:val="-2"/>
          <w:szCs w:val="19"/>
        </w:rPr>
        <w:t xml:space="preserve">okresie styczeń-luty br. wydano pozwolenia lub dokonano zgłoszenia z projektem budowlanym na budowę </w:t>
      </w:r>
      <w:r w:rsidRPr="00F35BBB">
        <w:rPr>
          <w:spacing w:val="-2"/>
          <w:szCs w:val="19"/>
        </w:rPr>
        <w:t>3427</w:t>
      </w:r>
      <w:r w:rsidRPr="00F35417">
        <w:rPr>
          <w:spacing w:val="-2"/>
          <w:szCs w:val="19"/>
        </w:rPr>
        <w:t xml:space="preserve"> mieszkań, tj. o </w:t>
      </w:r>
      <w:r>
        <w:rPr>
          <w:spacing w:val="-2"/>
          <w:szCs w:val="19"/>
        </w:rPr>
        <w:t>14,5</w:t>
      </w:r>
      <w:r w:rsidRPr="00F35417">
        <w:rPr>
          <w:spacing w:val="-2"/>
          <w:szCs w:val="19"/>
        </w:rPr>
        <w:t xml:space="preserve">% </w:t>
      </w:r>
      <w:r>
        <w:rPr>
          <w:spacing w:val="-2"/>
          <w:szCs w:val="19"/>
        </w:rPr>
        <w:t>mni</w:t>
      </w:r>
      <w:r w:rsidRPr="00F35417">
        <w:rPr>
          <w:spacing w:val="-2"/>
          <w:szCs w:val="19"/>
        </w:rPr>
        <w:t xml:space="preserve">ej niż w analogicznym okresie ub. roku. Pozwolenia </w:t>
      </w:r>
      <w:r>
        <w:rPr>
          <w:spacing w:val="-2"/>
          <w:szCs w:val="19"/>
        </w:rPr>
        <w:t>uzyskali deweloperzy</w:t>
      </w:r>
      <w:r w:rsidRPr="00F35417">
        <w:rPr>
          <w:spacing w:val="-2"/>
          <w:szCs w:val="19"/>
        </w:rPr>
        <w:t xml:space="preserve"> (</w:t>
      </w:r>
      <w:r w:rsidRPr="00F35417">
        <w:rPr>
          <w:szCs w:val="19"/>
        </w:rPr>
        <w:t>wydan</w:t>
      </w:r>
      <w:r>
        <w:rPr>
          <w:szCs w:val="19"/>
        </w:rPr>
        <w:t>o je</w:t>
      </w:r>
      <w:r w:rsidRPr="00F35417">
        <w:rPr>
          <w:szCs w:val="19"/>
        </w:rPr>
        <w:t xml:space="preserve"> na budowę </w:t>
      </w:r>
      <w:r w:rsidRPr="00F35BBB">
        <w:rPr>
          <w:spacing w:val="-2"/>
          <w:szCs w:val="19"/>
        </w:rPr>
        <w:t>2369</w:t>
      </w:r>
      <w:r>
        <w:rPr>
          <w:spacing w:val="-2"/>
          <w:szCs w:val="19"/>
        </w:rPr>
        <w:t xml:space="preserve"> mieszkań),</w:t>
      </w:r>
      <w:r w:rsidRPr="00F35417">
        <w:rPr>
          <w:spacing w:val="-2"/>
          <w:szCs w:val="19"/>
        </w:rPr>
        <w:t xml:space="preserve"> </w:t>
      </w:r>
      <w:r>
        <w:rPr>
          <w:spacing w:val="-2"/>
          <w:szCs w:val="19"/>
        </w:rPr>
        <w:t xml:space="preserve">inwestorzy </w:t>
      </w:r>
      <w:r w:rsidRPr="00F35417">
        <w:rPr>
          <w:spacing w:val="-2"/>
          <w:szCs w:val="19"/>
        </w:rPr>
        <w:t>indywidualn</w:t>
      </w:r>
      <w:r>
        <w:rPr>
          <w:spacing w:val="-2"/>
          <w:szCs w:val="19"/>
        </w:rPr>
        <w:t>i</w:t>
      </w:r>
      <w:r w:rsidRPr="00F35417">
        <w:rPr>
          <w:spacing w:val="-2"/>
          <w:szCs w:val="19"/>
        </w:rPr>
        <w:t xml:space="preserve"> (</w:t>
      </w:r>
      <w:r w:rsidRPr="00F35BBB">
        <w:rPr>
          <w:spacing w:val="-2"/>
          <w:szCs w:val="19"/>
        </w:rPr>
        <w:t>968</w:t>
      </w:r>
      <w:r w:rsidRPr="00F35417">
        <w:rPr>
          <w:spacing w:val="-2"/>
          <w:szCs w:val="19"/>
        </w:rPr>
        <w:t>)</w:t>
      </w:r>
      <w:r>
        <w:rPr>
          <w:spacing w:val="-2"/>
          <w:szCs w:val="19"/>
        </w:rPr>
        <w:t>, a także budownictwo społeczne czynszowe</w:t>
      </w:r>
      <w:r w:rsidRPr="00F35417">
        <w:rPr>
          <w:spacing w:val="-2"/>
          <w:szCs w:val="19"/>
        </w:rPr>
        <w:t xml:space="preserve"> </w:t>
      </w:r>
      <w:r>
        <w:rPr>
          <w:spacing w:val="-2"/>
          <w:szCs w:val="19"/>
        </w:rPr>
        <w:t>(90).</w:t>
      </w:r>
    </w:p>
    <w:p w:rsidR="00E923A7" w:rsidRPr="003577AD" w:rsidRDefault="00E923A7" w:rsidP="00E923A7">
      <w:pPr>
        <w:pStyle w:val="tekst"/>
      </w:pPr>
      <w:r>
        <w:t>W lutym</w:t>
      </w:r>
      <w:r w:rsidRPr="003577AD">
        <w:t xml:space="preserve"> </w:t>
      </w:r>
      <w:r>
        <w:t>br.</w:t>
      </w:r>
      <w:r w:rsidRPr="003577AD">
        <w:t xml:space="preserve"> </w:t>
      </w:r>
      <w:r w:rsidRPr="003577AD">
        <w:rPr>
          <w:b/>
        </w:rPr>
        <w:t xml:space="preserve">rozpoczęto budowę </w:t>
      </w:r>
      <w:r w:rsidRPr="008E2E0B">
        <w:t>1346</w:t>
      </w:r>
      <w:r>
        <w:t xml:space="preserve"> </w:t>
      </w:r>
      <w:r w:rsidRPr="003577AD">
        <w:t>mieszkań, tj. o</w:t>
      </w:r>
      <w:r>
        <w:t xml:space="preserve"> 6,1% </w:t>
      </w:r>
      <w:r>
        <w:rPr>
          <w:spacing w:val="-2"/>
          <w:szCs w:val="19"/>
        </w:rPr>
        <w:t>mni</w:t>
      </w:r>
      <w:r w:rsidRPr="00F35417">
        <w:rPr>
          <w:spacing w:val="-2"/>
          <w:szCs w:val="19"/>
        </w:rPr>
        <w:t>ej</w:t>
      </w:r>
      <w:r w:rsidRPr="003577AD">
        <w:t xml:space="preserve"> niż przed miesiącem</w:t>
      </w:r>
      <w:r>
        <w:t xml:space="preserve"> oraz</w:t>
      </w:r>
      <w:r w:rsidRPr="003577AD">
        <w:t xml:space="preserve"> o </w:t>
      </w:r>
      <w:r>
        <w:t>21,1</w:t>
      </w:r>
      <w:r w:rsidRPr="003577AD">
        <w:t xml:space="preserve">% </w:t>
      </w:r>
      <w:r>
        <w:rPr>
          <w:spacing w:val="-2"/>
          <w:szCs w:val="19"/>
        </w:rPr>
        <w:t>mni</w:t>
      </w:r>
      <w:r w:rsidRPr="00F35417">
        <w:rPr>
          <w:spacing w:val="-2"/>
          <w:szCs w:val="19"/>
        </w:rPr>
        <w:t>ej</w:t>
      </w:r>
      <w:r w:rsidRPr="003577AD">
        <w:t xml:space="preserve"> niż </w:t>
      </w:r>
      <w:r>
        <w:t>w lutym</w:t>
      </w:r>
      <w:r w:rsidRPr="003577AD">
        <w:t xml:space="preserve"> </w:t>
      </w:r>
      <w:r>
        <w:t>ub. roku.</w:t>
      </w:r>
      <w:r w:rsidRPr="003577AD">
        <w:t xml:space="preserve"> Nowe inwestycje mieszkaniowe rozpoczęli </w:t>
      </w:r>
      <w:r>
        <w:t>w tym miesiącu deweloperzy (</w:t>
      </w:r>
      <w:r w:rsidRPr="003577AD">
        <w:t xml:space="preserve">budowa </w:t>
      </w:r>
      <w:r w:rsidRPr="008E2E0B">
        <w:t>941</w:t>
      </w:r>
      <w:r>
        <w:t xml:space="preserve"> mieszkań, w tym 5</w:t>
      </w:r>
      <w:r w:rsidRPr="005C77E5">
        <w:t xml:space="preserve"> na wynajem</w:t>
      </w:r>
      <w:r>
        <w:t>),</w:t>
      </w:r>
      <w:r w:rsidRPr="003577AD">
        <w:t xml:space="preserve"> </w:t>
      </w:r>
      <w:r>
        <w:t xml:space="preserve">a </w:t>
      </w:r>
      <w:r w:rsidRPr="003577AD">
        <w:t>inwestorzy indywidualni (</w:t>
      </w:r>
      <w:r w:rsidRPr="008E2E0B">
        <w:t>405</w:t>
      </w:r>
      <w:r>
        <w:t xml:space="preserve">). </w:t>
      </w:r>
      <w:r w:rsidRPr="00D35C6D">
        <w:t xml:space="preserve">Od początku br. rozpoczęto łącznie </w:t>
      </w:r>
      <w:r>
        <w:t>2779</w:t>
      </w:r>
      <w:r w:rsidRPr="00D35C6D">
        <w:t xml:space="preserve"> inwestycj</w:t>
      </w:r>
      <w:r>
        <w:t>i</w:t>
      </w:r>
      <w:r w:rsidRPr="00D35C6D">
        <w:t xml:space="preserve"> mieszkaniow</w:t>
      </w:r>
      <w:r>
        <w:t>ych</w:t>
      </w:r>
      <w:r w:rsidRPr="00D35C6D">
        <w:t xml:space="preserve"> prowadzon</w:t>
      </w:r>
      <w:r>
        <w:t>ych</w:t>
      </w:r>
      <w:r w:rsidRPr="00D35C6D">
        <w:t xml:space="preserve"> w ramach </w:t>
      </w:r>
      <w:r>
        <w:t>3</w:t>
      </w:r>
      <w:r w:rsidRPr="00D35C6D">
        <w:t xml:space="preserve"> form budownictwa. W porównaniu z okresem styczeń-luty ub. roku liczba rozpoczętych inwestycji </w:t>
      </w:r>
      <w:r>
        <w:t>spadła o 14,</w:t>
      </w:r>
      <w:r w:rsidR="00656A8C">
        <w:t>4</w:t>
      </w:r>
      <w:r w:rsidRPr="00D35C6D">
        <w:t>%. Budowę nowych mieszkań rozpoczęli deweloperzy (</w:t>
      </w:r>
      <w:r>
        <w:t>1940</w:t>
      </w:r>
      <w:r w:rsidRPr="00D35C6D">
        <w:t xml:space="preserve"> mieszkań, czyli </w:t>
      </w:r>
      <w:r w:rsidR="002E0373">
        <w:t xml:space="preserve">69,8%, z </w:t>
      </w:r>
      <w:r>
        <w:t>tego 5 na wynajem</w:t>
      </w:r>
      <w:r w:rsidRPr="00D35C6D">
        <w:t>), inwestorzy indywidualni (</w:t>
      </w:r>
      <w:r>
        <w:t>755</w:t>
      </w:r>
      <w:r w:rsidRPr="00D35C6D">
        <w:t xml:space="preserve">, tj. </w:t>
      </w:r>
      <w:r>
        <w:t>27,2</w:t>
      </w:r>
      <w:r w:rsidRPr="00D35C6D">
        <w:t>%)</w:t>
      </w:r>
      <w:r>
        <w:t xml:space="preserve"> oraz  budownictwo komunalne</w:t>
      </w:r>
      <w:r w:rsidRPr="00D35C6D">
        <w:t xml:space="preserve"> (</w:t>
      </w:r>
      <w:r>
        <w:t>84, tj. 3,0%</w:t>
      </w:r>
      <w:r w:rsidRPr="00D35C6D">
        <w:t>)</w:t>
      </w:r>
      <w:r>
        <w:t>.</w:t>
      </w:r>
    </w:p>
    <w:p w:rsidR="00E923A7" w:rsidRDefault="00E923A7" w:rsidP="00E923A7">
      <w:pPr>
        <w:pStyle w:val="Nagwek1"/>
      </w:pPr>
      <w:bookmarkStart w:id="44" w:name="_Toc193459101"/>
      <w:bookmarkStart w:id="45" w:name="_Toc193459763"/>
      <w:r>
        <w:t xml:space="preserve">Rynek </w:t>
      </w:r>
      <w:r w:rsidRPr="000944D5">
        <w:t>wewnętrzny</w:t>
      </w:r>
      <w:bookmarkEnd w:id="35"/>
      <w:bookmarkEnd w:id="36"/>
      <w:bookmarkEnd w:id="37"/>
      <w:bookmarkEnd w:id="44"/>
      <w:bookmarkEnd w:id="45"/>
    </w:p>
    <w:p w:rsidR="00E923A7" w:rsidRDefault="00E923A7" w:rsidP="00E923A7">
      <w:pPr>
        <w:pStyle w:val="tekst"/>
      </w:pPr>
      <w:r>
        <w:rPr>
          <w:szCs w:val="19"/>
        </w:rPr>
        <w:t>W lutym br.</w:t>
      </w:r>
      <w:r w:rsidRPr="00B02053">
        <w:rPr>
          <w:rFonts w:cs="Arial"/>
        </w:rPr>
        <w:t xml:space="preserve"> w</w:t>
      </w:r>
      <w:r w:rsidRPr="00B02053">
        <w:rPr>
          <w:szCs w:val="19"/>
        </w:rPr>
        <w:t xml:space="preserve">artość </w:t>
      </w:r>
      <w:r w:rsidRPr="00B02053">
        <w:rPr>
          <w:b/>
          <w:szCs w:val="19"/>
        </w:rPr>
        <w:t>sprzedaży detalicznej</w:t>
      </w:r>
      <w:r w:rsidRPr="00B02053">
        <w:rPr>
          <w:szCs w:val="19"/>
        </w:rPr>
        <w:t xml:space="preserve"> (w cenach bieżących) realizowanej przez przedsiębiorstwa handlowe</w:t>
      </w:r>
      <w:r>
        <w:rPr>
          <w:szCs w:val="19"/>
        </w:rPr>
        <w:t xml:space="preserve"> i </w:t>
      </w:r>
      <w:r w:rsidRPr="00B02053">
        <w:rPr>
          <w:szCs w:val="19"/>
        </w:rPr>
        <w:t xml:space="preserve">niehandlowe </w:t>
      </w:r>
      <w:r>
        <w:rPr>
          <w:szCs w:val="19"/>
        </w:rPr>
        <w:t xml:space="preserve">zmniejszyła się </w:t>
      </w:r>
      <w:r w:rsidRPr="00B02053">
        <w:rPr>
          <w:szCs w:val="19"/>
        </w:rPr>
        <w:t xml:space="preserve">o </w:t>
      </w:r>
      <w:r w:rsidRPr="00935263">
        <w:rPr>
          <w:szCs w:val="19"/>
        </w:rPr>
        <w:t>10,5</w:t>
      </w:r>
      <w:r w:rsidRPr="00B02053">
        <w:rPr>
          <w:szCs w:val="19"/>
        </w:rPr>
        <w:t>% w porównaniu z poprzednim miesiącem</w:t>
      </w:r>
      <w:r>
        <w:rPr>
          <w:szCs w:val="19"/>
        </w:rPr>
        <w:t xml:space="preserve"> i o </w:t>
      </w:r>
      <w:r w:rsidRPr="00935263">
        <w:rPr>
          <w:szCs w:val="19"/>
        </w:rPr>
        <w:t>2,4</w:t>
      </w:r>
      <w:r w:rsidRPr="00B02053">
        <w:rPr>
          <w:szCs w:val="19"/>
        </w:rPr>
        <w:t xml:space="preserve">% w relacji </w:t>
      </w:r>
      <w:r>
        <w:rPr>
          <w:szCs w:val="19"/>
        </w:rPr>
        <w:t>do lutego ub. roku</w:t>
      </w:r>
      <w:r w:rsidRPr="00B02053">
        <w:rPr>
          <w:szCs w:val="19"/>
        </w:rPr>
        <w:t xml:space="preserve"> (przed rokiem </w:t>
      </w:r>
      <w:r>
        <w:rPr>
          <w:szCs w:val="19"/>
        </w:rPr>
        <w:t xml:space="preserve">spadek wartości </w:t>
      </w:r>
      <w:r w:rsidRPr="00B02053">
        <w:rPr>
          <w:szCs w:val="19"/>
        </w:rPr>
        <w:t>sprzedaży w ujęciu miesięcznym</w:t>
      </w:r>
      <w:r>
        <w:rPr>
          <w:szCs w:val="19"/>
        </w:rPr>
        <w:t xml:space="preserve"> wyniósł </w:t>
      </w:r>
      <w:r w:rsidRPr="00420AD5">
        <w:rPr>
          <w:szCs w:val="19"/>
        </w:rPr>
        <w:t>1</w:t>
      </w:r>
      <w:r>
        <w:rPr>
          <w:szCs w:val="19"/>
        </w:rPr>
        <w:t>,6</w:t>
      </w:r>
      <w:r w:rsidRPr="00B02053">
        <w:rPr>
          <w:szCs w:val="19"/>
        </w:rPr>
        <w:t>%</w:t>
      </w:r>
      <w:r>
        <w:rPr>
          <w:szCs w:val="19"/>
        </w:rPr>
        <w:t xml:space="preserve">, natomiast wzrost </w:t>
      </w:r>
      <w:r w:rsidRPr="00B02053">
        <w:rPr>
          <w:szCs w:val="19"/>
        </w:rPr>
        <w:t>w stosunku rocznym</w:t>
      </w:r>
      <w:r>
        <w:rPr>
          <w:szCs w:val="19"/>
        </w:rPr>
        <w:t xml:space="preserve"> – </w:t>
      </w:r>
      <w:r w:rsidRPr="00420AD5">
        <w:rPr>
          <w:szCs w:val="19"/>
        </w:rPr>
        <w:t>15,</w:t>
      </w:r>
      <w:r>
        <w:rPr>
          <w:szCs w:val="19"/>
        </w:rPr>
        <w:t>1</w:t>
      </w:r>
      <w:r w:rsidRPr="00B02053">
        <w:rPr>
          <w:szCs w:val="19"/>
        </w:rPr>
        <w:t xml:space="preserve">%). </w:t>
      </w:r>
      <w:r>
        <w:t xml:space="preserve">W </w:t>
      </w:r>
      <w:r w:rsidRPr="00B02053">
        <w:t xml:space="preserve">odniesieniu </w:t>
      </w:r>
      <w:r>
        <w:t>do lutego ub. roku</w:t>
      </w:r>
      <w:r w:rsidRPr="00B02053">
        <w:t xml:space="preserve"> najbardziej z</w:t>
      </w:r>
      <w:r>
        <w:t>mniej</w:t>
      </w:r>
      <w:r w:rsidRPr="00B02053">
        <w:t xml:space="preserve">szyła się wartość </w:t>
      </w:r>
      <w:r w:rsidR="00D00893">
        <w:t>p</w:t>
      </w:r>
      <w:r w:rsidR="00D00893" w:rsidRPr="00D00893">
        <w:t>ozostał</w:t>
      </w:r>
      <w:r w:rsidR="00D00893">
        <w:t>ej</w:t>
      </w:r>
      <w:r w:rsidR="00D00893" w:rsidRPr="00D00893">
        <w:t xml:space="preserve"> sprzedaż</w:t>
      </w:r>
      <w:r w:rsidR="00D00893">
        <w:t>y</w:t>
      </w:r>
      <w:r w:rsidR="00D00893" w:rsidRPr="00D00893">
        <w:t xml:space="preserve"> detaliczna prowadzon</w:t>
      </w:r>
      <w:r w:rsidR="00D00893">
        <w:t>ej w niewy</w:t>
      </w:r>
      <w:r w:rsidR="00D00893" w:rsidRPr="00D00893">
        <w:t>specjalizowanych sklepach</w:t>
      </w:r>
      <w:r w:rsidR="00D00893">
        <w:t xml:space="preserve"> (o 23,7%), </w:t>
      </w:r>
      <w:r w:rsidRPr="00B02053">
        <w:t>sprzedaży detalicznej</w:t>
      </w:r>
      <w:r w:rsidRPr="00C95D7F">
        <w:rPr>
          <w:szCs w:val="19"/>
        </w:rPr>
        <w:t xml:space="preserve"> </w:t>
      </w:r>
      <w:r>
        <w:rPr>
          <w:szCs w:val="19"/>
        </w:rPr>
        <w:t>p</w:t>
      </w:r>
      <w:r w:rsidRPr="00316EA8">
        <w:rPr>
          <w:szCs w:val="19"/>
        </w:rPr>
        <w:t>ojazd</w:t>
      </w:r>
      <w:r>
        <w:rPr>
          <w:szCs w:val="19"/>
        </w:rPr>
        <w:t>ów</w:t>
      </w:r>
      <w:r w:rsidRPr="00316EA8">
        <w:rPr>
          <w:szCs w:val="19"/>
        </w:rPr>
        <w:t xml:space="preserve"> samochodow</w:t>
      </w:r>
      <w:r>
        <w:rPr>
          <w:szCs w:val="19"/>
        </w:rPr>
        <w:t>ych</w:t>
      </w:r>
      <w:r w:rsidRPr="00316EA8">
        <w:rPr>
          <w:szCs w:val="19"/>
        </w:rPr>
        <w:t>, motocykl</w:t>
      </w:r>
      <w:r>
        <w:rPr>
          <w:szCs w:val="19"/>
        </w:rPr>
        <w:t xml:space="preserve">i i ich części </w:t>
      </w:r>
      <w:r>
        <w:t xml:space="preserve">(o </w:t>
      </w:r>
      <w:r w:rsidRPr="00C95D7F">
        <w:t>23,5</w:t>
      </w:r>
      <w:r>
        <w:t>%) oraz p</w:t>
      </w:r>
      <w:r w:rsidRPr="006D375E">
        <w:t>ras</w:t>
      </w:r>
      <w:r>
        <w:t>y</w:t>
      </w:r>
      <w:r w:rsidRPr="006D375E">
        <w:t>, książ</w:t>
      </w:r>
      <w:r>
        <w:t>ek i</w:t>
      </w:r>
      <w:r w:rsidRPr="006D375E">
        <w:t xml:space="preserve"> pozostał</w:t>
      </w:r>
      <w:r>
        <w:t>ej</w:t>
      </w:r>
      <w:r w:rsidRPr="006D375E">
        <w:t xml:space="preserve"> sprzedaż</w:t>
      </w:r>
      <w:r>
        <w:t>y</w:t>
      </w:r>
      <w:r w:rsidRPr="006D375E">
        <w:t xml:space="preserve"> w wyspecjalizowanych sklepach </w:t>
      </w:r>
      <w:r>
        <w:t xml:space="preserve">(o </w:t>
      </w:r>
      <w:r w:rsidRPr="006D375E">
        <w:t>1,2</w:t>
      </w:r>
      <w:r>
        <w:t xml:space="preserve">%). </w:t>
      </w:r>
      <w:r>
        <w:rPr>
          <w:szCs w:val="19"/>
        </w:rPr>
        <w:t xml:space="preserve">Wzrost dotyczył m.in. sprzedaży detalicznej </w:t>
      </w:r>
      <w:r>
        <w:t>mebli</w:t>
      </w:r>
      <w:r>
        <w:rPr>
          <w:szCs w:val="19"/>
        </w:rPr>
        <w:t xml:space="preserve">, </w:t>
      </w:r>
      <w:r>
        <w:t>sprzętu RTV</w:t>
      </w:r>
      <w:r>
        <w:rPr>
          <w:szCs w:val="19"/>
        </w:rPr>
        <w:t>, AGD (ponad 2-krotnie),</w:t>
      </w:r>
      <w:r>
        <w:t xml:space="preserve"> </w:t>
      </w:r>
      <w:r>
        <w:rPr>
          <w:szCs w:val="19"/>
        </w:rPr>
        <w:t xml:space="preserve">paliw stałych, ciekłych i gazowych (o </w:t>
      </w:r>
      <w:r w:rsidRPr="009526C1">
        <w:rPr>
          <w:szCs w:val="19"/>
        </w:rPr>
        <w:t>39,5</w:t>
      </w:r>
      <w:r>
        <w:rPr>
          <w:szCs w:val="19"/>
        </w:rPr>
        <w:t>%)</w:t>
      </w:r>
      <w:r w:rsidRPr="00316EA8">
        <w:rPr>
          <w:szCs w:val="19"/>
        </w:rPr>
        <w:t xml:space="preserve"> </w:t>
      </w:r>
      <w:r>
        <w:rPr>
          <w:szCs w:val="19"/>
        </w:rPr>
        <w:t>oraz</w:t>
      </w:r>
      <w:r>
        <w:t xml:space="preserve"> </w:t>
      </w:r>
      <w:r>
        <w:rPr>
          <w:szCs w:val="19"/>
        </w:rPr>
        <w:t>farmaceutyków</w:t>
      </w:r>
      <w:r w:rsidRPr="00101E2D">
        <w:rPr>
          <w:szCs w:val="19"/>
        </w:rPr>
        <w:t>, kosmetyk</w:t>
      </w:r>
      <w:r>
        <w:rPr>
          <w:szCs w:val="19"/>
        </w:rPr>
        <w:t>ów</w:t>
      </w:r>
      <w:r w:rsidRPr="00101E2D">
        <w:rPr>
          <w:szCs w:val="19"/>
        </w:rPr>
        <w:t>, sprzęt</w:t>
      </w:r>
      <w:r>
        <w:rPr>
          <w:szCs w:val="19"/>
        </w:rPr>
        <w:t>u</w:t>
      </w:r>
      <w:r w:rsidRPr="00101E2D">
        <w:rPr>
          <w:szCs w:val="19"/>
        </w:rPr>
        <w:t xml:space="preserve"> ortopedyczn</w:t>
      </w:r>
      <w:r>
        <w:rPr>
          <w:szCs w:val="19"/>
        </w:rPr>
        <w:t xml:space="preserve">ego (o </w:t>
      </w:r>
      <w:r w:rsidRPr="009526C1">
        <w:rPr>
          <w:szCs w:val="19"/>
        </w:rPr>
        <w:t>26,5</w:t>
      </w:r>
      <w:r>
        <w:rPr>
          <w:szCs w:val="19"/>
        </w:rPr>
        <w:t>%)</w:t>
      </w:r>
      <w:r>
        <w:t>.</w:t>
      </w:r>
      <w:r>
        <w:rPr>
          <w:szCs w:val="19"/>
        </w:rPr>
        <w:t xml:space="preserve"> </w:t>
      </w:r>
    </w:p>
    <w:p w:rsidR="00E923A7" w:rsidRPr="00C33451" w:rsidRDefault="00E923A7" w:rsidP="00E923A7">
      <w:pPr>
        <w:pStyle w:val="Tytultabeli"/>
        <w:spacing w:before="360"/>
      </w:pPr>
      <w:r>
        <w:t>Tablica 12.</w:t>
      </w:r>
      <w:r>
        <w:tab/>
      </w:r>
      <w:r>
        <w:tab/>
      </w:r>
      <w:r w:rsidRPr="00C33451">
        <w:t>Dynamika i struktura sprzedaży detalicznej</w:t>
      </w:r>
      <w:r>
        <w:br/>
      </w:r>
      <w:r w:rsidRPr="00BA40DC">
        <w:t>(w cenach bieżących)</w:t>
      </w:r>
      <w:r w:rsidRPr="00C33451">
        <w:t xml:space="preserve"> </w:t>
      </w:r>
    </w:p>
    <w:tbl>
      <w:tblPr>
        <w:tblW w:w="0" w:type="auto"/>
        <w:tblBorders>
          <w:insideH w:val="single" w:sz="4" w:space="0" w:color="522398"/>
          <w:insideV w:val="single" w:sz="4" w:space="0" w:color="522398"/>
        </w:tblBorders>
        <w:tblLayout w:type="fixed"/>
        <w:tblCellMar>
          <w:top w:w="11" w:type="dxa"/>
          <w:bottom w:w="11" w:type="dxa"/>
        </w:tblCellMar>
        <w:tblLook w:val="0420" w:firstRow="1" w:lastRow="0" w:firstColumn="0" w:lastColumn="0" w:noHBand="0" w:noVBand="1"/>
        <w:tblCaption w:val=" "/>
        <w:tblDescription w:val="Tablica prezentuje dynamikę i strukturę sprzedaży detalicznej (w cenach bieżących) dla miesiąca badawczego (luty br.) i w okresie narastającym (styczeń-luty br.) w odniesieniu do analogicznych okresów ub. roku. Dane do tablicy dostępne w pliku w formacie XLSX"/>
      </w:tblPr>
      <w:tblGrid>
        <w:gridCol w:w="5241"/>
        <w:gridCol w:w="1746"/>
        <w:gridCol w:w="1746"/>
        <w:gridCol w:w="1746"/>
      </w:tblGrid>
      <w:tr w:rsidR="00E923A7" w:rsidRPr="00E87892" w:rsidTr="00072CE1">
        <w:trPr>
          <w:trHeight w:val="57"/>
          <w:tblHeader/>
        </w:trPr>
        <w:tc>
          <w:tcPr>
            <w:tcW w:w="5241" w:type="dxa"/>
            <w:vMerge w:val="restart"/>
            <w:tcBorders>
              <w:top w:val="nil"/>
              <w:bottom w:val="single" w:sz="4" w:space="0" w:color="522398"/>
            </w:tcBorders>
            <w:vAlign w:val="center"/>
          </w:tcPr>
          <w:p w:rsidR="00E923A7" w:rsidRPr="00C20CD4" w:rsidRDefault="00E923A7" w:rsidP="00072CE1">
            <w:pPr>
              <w:pStyle w:val="glowka1"/>
            </w:pPr>
            <w:r w:rsidRPr="00C20CD4">
              <w:t>Wyszczególnienie</w:t>
            </w:r>
          </w:p>
        </w:tc>
        <w:tc>
          <w:tcPr>
            <w:tcW w:w="1746" w:type="dxa"/>
            <w:tcBorders>
              <w:top w:val="nil"/>
              <w:bottom w:val="single" w:sz="4" w:space="0" w:color="522398"/>
            </w:tcBorders>
            <w:vAlign w:val="center"/>
          </w:tcPr>
          <w:p w:rsidR="00E923A7" w:rsidRPr="00C20CD4" w:rsidRDefault="00E923A7" w:rsidP="00072CE1">
            <w:pPr>
              <w:pStyle w:val="glowka1"/>
            </w:pPr>
            <w:r>
              <w:t>02 2025</w:t>
            </w:r>
          </w:p>
        </w:tc>
        <w:tc>
          <w:tcPr>
            <w:tcW w:w="3492" w:type="dxa"/>
            <w:gridSpan w:val="2"/>
            <w:tcBorders>
              <w:top w:val="nil"/>
              <w:bottom w:val="single" w:sz="4" w:space="0" w:color="522398"/>
            </w:tcBorders>
            <w:vAlign w:val="center"/>
          </w:tcPr>
          <w:p w:rsidR="00E923A7" w:rsidRPr="00C20CD4" w:rsidRDefault="00E923A7" w:rsidP="00072CE1">
            <w:pPr>
              <w:pStyle w:val="glowka1"/>
            </w:pPr>
            <w:r>
              <w:t>01–02 2025</w:t>
            </w:r>
          </w:p>
        </w:tc>
      </w:tr>
      <w:tr w:rsidR="00E923A7" w:rsidRPr="00E87892" w:rsidTr="00072CE1">
        <w:trPr>
          <w:trHeight w:val="20"/>
          <w:tblHeader/>
        </w:trPr>
        <w:tc>
          <w:tcPr>
            <w:tcW w:w="5241" w:type="dxa"/>
            <w:vMerge/>
            <w:tcBorders>
              <w:top w:val="single" w:sz="4" w:space="0" w:color="522398"/>
              <w:bottom w:val="single" w:sz="12" w:space="0" w:color="522398"/>
            </w:tcBorders>
            <w:vAlign w:val="center"/>
          </w:tcPr>
          <w:p w:rsidR="00E923A7" w:rsidRPr="00C20CD4" w:rsidRDefault="00E923A7" w:rsidP="00072CE1">
            <w:pPr>
              <w:pStyle w:val="glowka1"/>
            </w:pPr>
          </w:p>
        </w:tc>
        <w:tc>
          <w:tcPr>
            <w:tcW w:w="3492" w:type="dxa"/>
            <w:gridSpan w:val="2"/>
            <w:tcBorders>
              <w:top w:val="single" w:sz="4" w:space="0" w:color="522398"/>
              <w:bottom w:val="single" w:sz="12" w:space="0" w:color="522398"/>
            </w:tcBorders>
            <w:vAlign w:val="center"/>
          </w:tcPr>
          <w:p w:rsidR="00E923A7" w:rsidRPr="00C20CD4" w:rsidRDefault="00E923A7" w:rsidP="00072CE1">
            <w:pPr>
              <w:pStyle w:val="glowka1"/>
            </w:pPr>
            <w:r w:rsidRPr="00FA1C2A">
              <w:t>analogiczny okres roku poprzedniego = 100</w:t>
            </w:r>
          </w:p>
        </w:tc>
        <w:tc>
          <w:tcPr>
            <w:tcW w:w="1746" w:type="dxa"/>
            <w:tcBorders>
              <w:top w:val="single" w:sz="4" w:space="0" w:color="522398"/>
              <w:bottom w:val="single" w:sz="12" w:space="0" w:color="522398"/>
            </w:tcBorders>
            <w:vAlign w:val="center"/>
          </w:tcPr>
          <w:p w:rsidR="00E923A7" w:rsidRPr="00C20CD4" w:rsidRDefault="00E923A7" w:rsidP="00072CE1">
            <w:pPr>
              <w:pStyle w:val="glowka1"/>
            </w:pPr>
            <w:r w:rsidRPr="00C20CD4">
              <w:t>w odsetkach</w:t>
            </w:r>
          </w:p>
        </w:tc>
      </w:tr>
      <w:tr w:rsidR="00E923A7" w:rsidRPr="00E87892" w:rsidTr="00072CE1">
        <w:trPr>
          <w:trHeight w:val="57"/>
        </w:trPr>
        <w:tc>
          <w:tcPr>
            <w:tcW w:w="5241" w:type="dxa"/>
            <w:tcBorders>
              <w:top w:val="single" w:sz="12" w:space="0" w:color="522398"/>
              <w:bottom w:val="single" w:sz="4" w:space="0" w:color="522398"/>
            </w:tcBorders>
            <w:vAlign w:val="center"/>
          </w:tcPr>
          <w:p w:rsidR="00E923A7" w:rsidRPr="00C20CD4" w:rsidRDefault="00E923A7" w:rsidP="00072CE1">
            <w:pPr>
              <w:pStyle w:val="bocz1t"/>
            </w:pPr>
            <w:r w:rsidRPr="00C20CD4">
              <w:t>Ogółem</w:t>
            </w:r>
            <w:r w:rsidRPr="00965018">
              <w:rPr>
                <w:vertAlign w:val="superscript"/>
              </w:rPr>
              <w:t xml:space="preserve"> </w:t>
            </w:r>
            <w:r w:rsidRPr="00B65AB4">
              <w:rPr>
                <w:b w:val="0"/>
                <w:caps w:val="0"/>
                <w:position w:val="2"/>
                <w:vertAlign w:val="superscript"/>
              </w:rPr>
              <w:t>a</w:t>
            </w:r>
          </w:p>
        </w:tc>
        <w:tc>
          <w:tcPr>
            <w:tcW w:w="1746" w:type="dxa"/>
            <w:tcBorders>
              <w:top w:val="single" w:sz="12" w:space="0" w:color="522398"/>
              <w:bottom w:val="single" w:sz="4" w:space="0" w:color="522398"/>
            </w:tcBorders>
          </w:tcPr>
          <w:p w:rsidR="00E923A7" w:rsidRPr="00C925FC" w:rsidRDefault="00E923A7" w:rsidP="00072CE1">
            <w:pPr>
              <w:pStyle w:val="tableteksttab"/>
              <w:rPr>
                <w:b/>
              </w:rPr>
            </w:pPr>
            <w:r w:rsidRPr="00C925FC">
              <w:rPr>
                <w:b/>
              </w:rPr>
              <w:t>97,6</w:t>
            </w:r>
          </w:p>
        </w:tc>
        <w:tc>
          <w:tcPr>
            <w:tcW w:w="1746" w:type="dxa"/>
            <w:tcBorders>
              <w:top w:val="single" w:sz="12" w:space="0" w:color="522398"/>
              <w:bottom w:val="single" w:sz="4" w:space="0" w:color="522398"/>
            </w:tcBorders>
          </w:tcPr>
          <w:p w:rsidR="00E923A7" w:rsidRPr="00C925FC" w:rsidRDefault="00E923A7" w:rsidP="00072CE1">
            <w:pPr>
              <w:pStyle w:val="tableteksttab"/>
              <w:rPr>
                <w:b/>
              </w:rPr>
            </w:pPr>
            <w:r w:rsidRPr="00C925FC">
              <w:rPr>
                <w:b/>
              </w:rPr>
              <w:t>101,4</w:t>
            </w:r>
          </w:p>
        </w:tc>
        <w:tc>
          <w:tcPr>
            <w:tcW w:w="1746" w:type="dxa"/>
            <w:tcBorders>
              <w:top w:val="single" w:sz="12" w:space="0" w:color="522398"/>
              <w:bottom w:val="single" w:sz="4" w:space="0" w:color="522398"/>
            </w:tcBorders>
          </w:tcPr>
          <w:p w:rsidR="00E923A7" w:rsidRPr="00C925FC" w:rsidRDefault="00E923A7" w:rsidP="00072CE1">
            <w:pPr>
              <w:pStyle w:val="tableteksttab"/>
              <w:rPr>
                <w:b/>
              </w:rPr>
            </w:pPr>
            <w:r w:rsidRPr="00C925FC">
              <w:rPr>
                <w:b/>
              </w:rPr>
              <w:t>100,0</w:t>
            </w:r>
          </w:p>
        </w:tc>
      </w:tr>
      <w:tr w:rsidR="00E923A7" w:rsidRPr="00E87892" w:rsidTr="00072CE1">
        <w:trPr>
          <w:trHeight w:val="57"/>
        </w:trPr>
        <w:tc>
          <w:tcPr>
            <w:tcW w:w="5241" w:type="dxa"/>
            <w:tcBorders>
              <w:top w:val="single" w:sz="4" w:space="0" w:color="522398"/>
              <w:bottom w:val="single" w:sz="4" w:space="0" w:color="522398"/>
            </w:tcBorders>
            <w:vAlign w:val="center"/>
          </w:tcPr>
          <w:p w:rsidR="00E923A7" w:rsidRPr="00C20CD4" w:rsidRDefault="00E923A7" w:rsidP="00072CE1">
            <w:pPr>
              <w:pStyle w:val="boczekbez"/>
            </w:pPr>
            <w:r w:rsidRPr="00C20CD4">
              <w:t>w tym:</w:t>
            </w:r>
            <w:r w:rsidRPr="00C20CD4">
              <w:tab/>
            </w:r>
          </w:p>
        </w:tc>
        <w:tc>
          <w:tcPr>
            <w:tcW w:w="1746" w:type="dxa"/>
            <w:tcBorders>
              <w:top w:val="single" w:sz="4" w:space="0" w:color="522398"/>
              <w:bottom w:val="single" w:sz="4" w:space="0" w:color="522398"/>
            </w:tcBorders>
          </w:tcPr>
          <w:p w:rsidR="00E923A7" w:rsidRPr="00B7629A" w:rsidRDefault="00E923A7" w:rsidP="00072CE1">
            <w:pPr>
              <w:pStyle w:val="tableteksttab"/>
            </w:pPr>
          </w:p>
        </w:tc>
        <w:tc>
          <w:tcPr>
            <w:tcW w:w="1746" w:type="dxa"/>
            <w:tcBorders>
              <w:top w:val="single" w:sz="4" w:space="0" w:color="522398"/>
              <w:bottom w:val="single" w:sz="4" w:space="0" w:color="522398"/>
            </w:tcBorders>
          </w:tcPr>
          <w:p w:rsidR="00E923A7" w:rsidRPr="00B7629A" w:rsidRDefault="00E923A7" w:rsidP="00072CE1">
            <w:pPr>
              <w:pStyle w:val="tableteksttab"/>
            </w:pPr>
          </w:p>
        </w:tc>
        <w:tc>
          <w:tcPr>
            <w:tcW w:w="1746" w:type="dxa"/>
            <w:tcBorders>
              <w:top w:val="single" w:sz="4" w:space="0" w:color="522398"/>
              <w:bottom w:val="single" w:sz="4" w:space="0" w:color="522398"/>
            </w:tcBorders>
          </w:tcPr>
          <w:p w:rsidR="00E923A7" w:rsidRPr="00B7629A" w:rsidRDefault="00E923A7" w:rsidP="00072CE1">
            <w:pPr>
              <w:pStyle w:val="tableteksttab"/>
            </w:pPr>
          </w:p>
        </w:tc>
      </w:tr>
      <w:tr w:rsidR="00E923A7" w:rsidRPr="00E87892" w:rsidTr="00072CE1">
        <w:trPr>
          <w:trHeight w:val="57"/>
        </w:trPr>
        <w:tc>
          <w:tcPr>
            <w:tcW w:w="5241" w:type="dxa"/>
            <w:tcBorders>
              <w:top w:val="single" w:sz="4" w:space="0" w:color="522398"/>
            </w:tcBorders>
            <w:vAlign w:val="center"/>
          </w:tcPr>
          <w:p w:rsidR="00E923A7" w:rsidRPr="00C20CD4" w:rsidRDefault="00E923A7" w:rsidP="00072CE1">
            <w:pPr>
              <w:pStyle w:val="boczek1"/>
            </w:pPr>
            <w:r w:rsidRPr="00C20CD4">
              <w:t>Pojazdy samochodowe, motocykle, części</w:t>
            </w:r>
          </w:p>
        </w:tc>
        <w:tc>
          <w:tcPr>
            <w:tcW w:w="1746" w:type="dxa"/>
            <w:tcBorders>
              <w:top w:val="single" w:sz="4" w:space="0" w:color="522398"/>
            </w:tcBorders>
          </w:tcPr>
          <w:p w:rsidR="00E923A7" w:rsidRPr="00B7629A" w:rsidRDefault="00E923A7" w:rsidP="00072CE1">
            <w:pPr>
              <w:pStyle w:val="tableteksttab"/>
            </w:pPr>
            <w:r w:rsidRPr="00B7629A">
              <w:t>76,5</w:t>
            </w:r>
          </w:p>
        </w:tc>
        <w:tc>
          <w:tcPr>
            <w:tcW w:w="1746" w:type="dxa"/>
            <w:tcBorders>
              <w:top w:val="single" w:sz="4" w:space="0" w:color="522398"/>
            </w:tcBorders>
          </w:tcPr>
          <w:p w:rsidR="00E923A7" w:rsidRPr="00B7629A" w:rsidRDefault="00E923A7" w:rsidP="00072CE1">
            <w:pPr>
              <w:pStyle w:val="tableteksttab"/>
            </w:pPr>
            <w:r w:rsidRPr="00B7629A">
              <w:t>83,1</w:t>
            </w:r>
          </w:p>
        </w:tc>
        <w:tc>
          <w:tcPr>
            <w:tcW w:w="1746" w:type="dxa"/>
            <w:tcBorders>
              <w:top w:val="single" w:sz="4" w:space="0" w:color="522398"/>
            </w:tcBorders>
          </w:tcPr>
          <w:p w:rsidR="00E923A7" w:rsidRPr="00B7629A" w:rsidRDefault="00E923A7" w:rsidP="00072CE1">
            <w:pPr>
              <w:pStyle w:val="tableteksttab"/>
            </w:pPr>
            <w:r w:rsidRPr="00B7629A">
              <w:t>3,0</w:t>
            </w:r>
          </w:p>
        </w:tc>
      </w:tr>
      <w:tr w:rsidR="00E923A7" w:rsidRPr="00E87892" w:rsidTr="00072CE1">
        <w:trPr>
          <w:trHeight w:val="57"/>
        </w:trPr>
        <w:tc>
          <w:tcPr>
            <w:tcW w:w="5241" w:type="dxa"/>
            <w:vAlign w:val="center"/>
          </w:tcPr>
          <w:p w:rsidR="00E923A7" w:rsidRPr="00C20CD4" w:rsidRDefault="00E923A7" w:rsidP="00072CE1">
            <w:pPr>
              <w:pStyle w:val="boczek1"/>
            </w:pPr>
            <w:r w:rsidRPr="00C20CD4">
              <w:t>Paliwa stałe, ciekłe i gazowe</w:t>
            </w:r>
          </w:p>
        </w:tc>
        <w:tc>
          <w:tcPr>
            <w:tcW w:w="1746" w:type="dxa"/>
          </w:tcPr>
          <w:p w:rsidR="00E923A7" w:rsidRPr="00B7629A" w:rsidRDefault="00E923A7" w:rsidP="00072CE1">
            <w:pPr>
              <w:pStyle w:val="tableteksttab"/>
            </w:pPr>
            <w:r w:rsidRPr="00B7629A">
              <w:t>139,5</w:t>
            </w:r>
          </w:p>
        </w:tc>
        <w:tc>
          <w:tcPr>
            <w:tcW w:w="1746" w:type="dxa"/>
          </w:tcPr>
          <w:p w:rsidR="00E923A7" w:rsidRPr="00B7629A" w:rsidRDefault="00E923A7" w:rsidP="00072CE1">
            <w:pPr>
              <w:pStyle w:val="tableteksttab"/>
            </w:pPr>
            <w:r w:rsidRPr="00B7629A">
              <w:t>142,5</w:t>
            </w:r>
          </w:p>
        </w:tc>
        <w:tc>
          <w:tcPr>
            <w:tcW w:w="1746" w:type="dxa"/>
          </w:tcPr>
          <w:p w:rsidR="00E923A7" w:rsidRPr="00B7629A" w:rsidRDefault="00E923A7" w:rsidP="00072CE1">
            <w:pPr>
              <w:pStyle w:val="tableteksttab"/>
            </w:pPr>
            <w:r w:rsidRPr="00B7629A">
              <w:t>4,1</w:t>
            </w:r>
          </w:p>
        </w:tc>
      </w:tr>
      <w:tr w:rsidR="00E923A7" w:rsidRPr="00E87892" w:rsidTr="00072CE1">
        <w:trPr>
          <w:trHeight w:val="57"/>
        </w:trPr>
        <w:tc>
          <w:tcPr>
            <w:tcW w:w="5241" w:type="dxa"/>
            <w:vAlign w:val="center"/>
          </w:tcPr>
          <w:p w:rsidR="00E923A7" w:rsidRPr="00C20CD4" w:rsidRDefault="00E923A7" w:rsidP="00072CE1">
            <w:pPr>
              <w:pStyle w:val="boczek1"/>
            </w:pPr>
            <w:r w:rsidRPr="00C20CD4">
              <w:t>Żywność, napoje i wyroby tytoniowe</w:t>
            </w:r>
          </w:p>
        </w:tc>
        <w:tc>
          <w:tcPr>
            <w:tcW w:w="1746" w:type="dxa"/>
          </w:tcPr>
          <w:p w:rsidR="00E923A7" w:rsidRPr="00B7629A" w:rsidRDefault="00E923A7" w:rsidP="00072CE1">
            <w:pPr>
              <w:pStyle w:val="tableteksttab"/>
            </w:pPr>
            <w:r w:rsidRPr="00B7629A">
              <w:t>101,0</w:t>
            </w:r>
          </w:p>
        </w:tc>
        <w:tc>
          <w:tcPr>
            <w:tcW w:w="1746" w:type="dxa"/>
          </w:tcPr>
          <w:p w:rsidR="00E923A7" w:rsidRPr="00B7629A" w:rsidRDefault="00E923A7" w:rsidP="00072CE1">
            <w:pPr>
              <w:pStyle w:val="tableteksttab"/>
            </w:pPr>
            <w:r w:rsidRPr="00B7629A">
              <w:t>101,9</w:t>
            </w:r>
          </w:p>
        </w:tc>
        <w:tc>
          <w:tcPr>
            <w:tcW w:w="1746" w:type="dxa"/>
          </w:tcPr>
          <w:p w:rsidR="00E923A7" w:rsidRPr="00B7629A" w:rsidRDefault="00E923A7" w:rsidP="00072CE1">
            <w:pPr>
              <w:pStyle w:val="tableteksttab"/>
            </w:pPr>
            <w:r w:rsidRPr="00B7629A">
              <w:t>34,9</w:t>
            </w:r>
          </w:p>
        </w:tc>
      </w:tr>
      <w:tr w:rsidR="00E923A7" w:rsidRPr="00E87892" w:rsidTr="00072CE1">
        <w:trPr>
          <w:trHeight w:val="57"/>
        </w:trPr>
        <w:tc>
          <w:tcPr>
            <w:tcW w:w="5241" w:type="dxa"/>
            <w:vAlign w:val="center"/>
          </w:tcPr>
          <w:p w:rsidR="00E923A7" w:rsidRPr="00C20CD4" w:rsidRDefault="00E923A7" w:rsidP="00072CE1">
            <w:pPr>
              <w:pStyle w:val="boczek1"/>
            </w:pPr>
            <w:r w:rsidRPr="00C20CD4">
              <w:t>Farmaceutyki, kosmetyki, sprzęt ortopedyczny</w:t>
            </w:r>
          </w:p>
        </w:tc>
        <w:tc>
          <w:tcPr>
            <w:tcW w:w="1746" w:type="dxa"/>
          </w:tcPr>
          <w:p w:rsidR="00E923A7" w:rsidRPr="00B7629A" w:rsidRDefault="00E923A7" w:rsidP="00072CE1">
            <w:pPr>
              <w:pStyle w:val="tableteksttab"/>
            </w:pPr>
            <w:r w:rsidRPr="00B7629A">
              <w:t>126,5</w:t>
            </w:r>
          </w:p>
        </w:tc>
        <w:tc>
          <w:tcPr>
            <w:tcW w:w="1746" w:type="dxa"/>
          </w:tcPr>
          <w:p w:rsidR="00E923A7" w:rsidRPr="00B7629A" w:rsidRDefault="00E923A7" w:rsidP="00072CE1">
            <w:pPr>
              <w:pStyle w:val="tableteksttab"/>
            </w:pPr>
            <w:r w:rsidRPr="00B7629A">
              <w:t>123,8</w:t>
            </w:r>
          </w:p>
        </w:tc>
        <w:tc>
          <w:tcPr>
            <w:tcW w:w="1746" w:type="dxa"/>
          </w:tcPr>
          <w:p w:rsidR="00E923A7" w:rsidRPr="00B7629A" w:rsidRDefault="00E923A7" w:rsidP="00072CE1">
            <w:pPr>
              <w:pStyle w:val="tableteksttab"/>
            </w:pPr>
            <w:r w:rsidRPr="00B7629A">
              <w:t>2,4</w:t>
            </w:r>
          </w:p>
        </w:tc>
      </w:tr>
      <w:tr w:rsidR="00E923A7" w:rsidRPr="00E87892" w:rsidTr="00072CE1">
        <w:trPr>
          <w:trHeight w:val="57"/>
        </w:trPr>
        <w:tc>
          <w:tcPr>
            <w:tcW w:w="5241" w:type="dxa"/>
            <w:tcBorders>
              <w:bottom w:val="single" w:sz="4" w:space="0" w:color="522398"/>
            </w:tcBorders>
            <w:vAlign w:val="center"/>
          </w:tcPr>
          <w:p w:rsidR="00E923A7" w:rsidRPr="00C20CD4" w:rsidRDefault="00E923A7" w:rsidP="00072CE1">
            <w:pPr>
              <w:pStyle w:val="boczek1"/>
            </w:pPr>
            <w:r w:rsidRPr="00C20CD4">
              <w:t>Meble, RTV, AGD</w:t>
            </w:r>
          </w:p>
        </w:tc>
        <w:tc>
          <w:tcPr>
            <w:tcW w:w="1746" w:type="dxa"/>
            <w:tcBorders>
              <w:bottom w:val="single" w:sz="4" w:space="0" w:color="522398"/>
            </w:tcBorders>
          </w:tcPr>
          <w:p w:rsidR="00E923A7" w:rsidRPr="00B7629A" w:rsidRDefault="00E923A7" w:rsidP="00072CE1">
            <w:pPr>
              <w:pStyle w:val="tableteksttab"/>
            </w:pPr>
            <w:r w:rsidRPr="00B7629A">
              <w:t>255,3</w:t>
            </w:r>
          </w:p>
        </w:tc>
        <w:tc>
          <w:tcPr>
            <w:tcW w:w="1746" w:type="dxa"/>
            <w:tcBorders>
              <w:bottom w:val="single" w:sz="4" w:space="0" w:color="522398"/>
            </w:tcBorders>
          </w:tcPr>
          <w:p w:rsidR="00E923A7" w:rsidRPr="00B7629A" w:rsidRDefault="00E923A7" w:rsidP="00072CE1">
            <w:pPr>
              <w:pStyle w:val="tableteksttab"/>
            </w:pPr>
            <w:r w:rsidRPr="00B7629A">
              <w:t>207,6</w:t>
            </w:r>
          </w:p>
        </w:tc>
        <w:tc>
          <w:tcPr>
            <w:tcW w:w="1746" w:type="dxa"/>
            <w:tcBorders>
              <w:bottom w:val="single" w:sz="4" w:space="0" w:color="522398"/>
            </w:tcBorders>
          </w:tcPr>
          <w:p w:rsidR="00E923A7" w:rsidRPr="00B7629A" w:rsidRDefault="00E923A7" w:rsidP="00072CE1">
            <w:pPr>
              <w:pStyle w:val="tableteksttab"/>
            </w:pPr>
            <w:r w:rsidRPr="00B7629A">
              <w:t>1,9</w:t>
            </w:r>
          </w:p>
        </w:tc>
      </w:tr>
      <w:tr w:rsidR="00E923A7" w:rsidRPr="00E87892" w:rsidTr="00072CE1">
        <w:trPr>
          <w:trHeight w:val="57"/>
        </w:trPr>
        <w:tc>
          <w:tcPr>
            <w:tcW w:w="5241" w:type="dxa"/>
            <w:tcBorders>
              <w:top w:val="single" w:sz="4" w:space="0" w:color="522398"/>
              <w:bottom w:val="single" w:sz="4" w:space="0" w:color="522398"/>
            </w:tcBorders>
            <w:vAlign w:val="center"/>
          </w:tcPr>
          <w:p w:rsidR="00E923A7" w:rsidRPr="00C20CD4" w:rsidRDefault="00E923A7" w:rsidP="00072CE1">
            <w:pPr>
              <w:pStyle w:val="boczek1"/>
            </w:pPr>
            <w:r w:rsidRPr="00C20CD4">
              <w:t>Prasa, książki, pozostała sprzedaż w wyspecjalizowanych sklepach</w:t>
            </w:r>
          </w:p>
        </w:tc>
        <w:tc>
          <w:tcPr>
            <w:tcW w:w="1746" w:type="dxa"/>
            <w:tcBorders>
              <w:top w:val="single" w:sz="4" w:space="0" w:color="522398"/>
              <w:bottom w:val="single" w:sz="4" w:space="0" w:color="522398"/>
            </w:tcBorders>
          </w:tcPr>
          <w:p w:rsidR="00E923A7" w:rsidRPr="00B7629A" w:rsidRDefault="00E923A7" w:rsidP="00072CE1">
            <w:pPr>
              <w:pStyle w:val="tableteksttab"/>
            </w:pPr>
            <w:r w:rsidRPr="00B7629A">
              <w:t>98,8</w:t>
            </w:r>
          </w:p>
        </w:tc>
        <w:tc>
          <w:tcPr>
            <w:tcW w:w="1746" w:type="dxa"/>
            <w:tcBorders>
              <w:top w:val="single" w:sz="4" w:space="0" w:color="522398"/>
              <w:bottom w:val="single" w:sz="4" w:space="0" w:color="522398"/>
            </w:tcBorders>
          </w:tcPr>
          <w:p w:rsidR="00E923A7" w:rsidRPr="00B7629A" w:rsidRDefault="00E923A7" w:rsidP="00072CE1">
            <w:pPr>
              <w:pStyle w:val="tableteksttab"/>
            </w:pPr>
            <w:r w:rsidRPr="00B7629A">
              <w:t>99,3</w:t>
            </w:r>
          </w:p>
        </w:tc>
        <w:tc>
          <w:tcPr>
            <w:tcW w:w="1746" w:type="dxa"/>
            <w:tcBorders>
              <w:top w:val="single" w:sz="4" w:space="0" w:color="522398"/>
              <w:bottom w:val="single" w:sz="4" w:space="0" w:color="522398"/>
            </w:tcBorders>
          </w:tcPr>
          <w:p w:rsidR="00E923A7" w:rsidRPr="00B7629A" w:rsidRDefault="00E923A7" w:rsidP="00072CE1">
            <w:pPr>
              <w:pStyle w:val="tableteksttab"/>
            </w:pPr>
            <w:r w:rsidRPr="00B7629A">
              <w:t>1,4</w:t>
            </w:r>
          </w:p>
        </w:tc>
      </w:tr>
      <w:tr w:rsidR="00E923A7" w:rsidRPr="00E87892" w:rsidTr="00072CE1">
        <w:trPr>
          <w:trHeight w:val="57"/>
        </w:trPr>
        <w:tc>
          <w:tcPr>
            <w:tcW w:w="5241" w:type="dxa"/>
            <w:tcBorders>
              <w:top w:val="single" w:sz="4" w:space="0" w:color="522398"/>
              <w:bottom w:val="nil"/>
            </w:tcBorders>
            <w:vAlign w:val="center"/>
          </w:tcPr>
          <w:p w:rsidR="00E923A7" w:rsidRPr="00C20CD4" w:rsidRDefault="00D00893" w:rsidP="00072CE1">
            <w:pPr>
              <w:pStyle w:val="boczek1"/>
            </w:pPr>
            <w:r w:rsidRPr="00D00893">
              <w:t>Pozostała sprzeda</w:t>
            </w:r>
            <w:r>
              <w:t>ż detaliczna prowadzona w niewy</w:t>
            </w:r>
            <w:r w:rsidRPr="00D00893">
              <w:t>specjalizowanych sklepach</w:t>
            </w:r>
          </w:p>
        </w:tc>
        <w:tc>
          <w:tcPr>
            <w:tcW w:w="1746" w:type="dxa"/>
            <w:tcBorders>
              <w:top w:val="single" w:sz="4" w:space="0" w:color="522398"/>
              <w:bottom w:val="nil"/>
            </w:tcBorders>
          </w:tcPr>
          <w:p w:rsidR="00E923A7" w:rsidRPr="00B7629A" w:rsidRDefault="00D00893" w:rsidP="00072CE1">
            <w:pPr>
              <w:pStyle w:val="tableteksttab"/>
            </w:pPr>
            <w:r>
              <w:br/>
            </w:r>
            <w:r w:rsidR="00E923A7" w:rsidRPr="00B7629A">
              <w:t>76,3</w:t>
            </w:r>
          </w:p>
        </w:tc>
        <w:tc>
          <w:tcPr>
            <w:tcW w:w="1746" w:type="dxa"/>
            <w:tcBorders>
              <w:top w:val="single" w:sz="4" w:space="0" w:color="522398"/>
              <w:bottom w:val="nil"/>
            </w:tcBorders>
          </w:tcPr>
          <w:p w:rsidR="00E923A7" w:rsidRPr="00B7629A" w:rsidRDefault="00D00893" w:rsidP="00072CE1">
            <w:pPr>
              <w:pStyle w:val="tableteksttab"/>
            </w:pPr>
            <w:r>
              <w:br/>
            </w:r>
            <w:r w:rsidR="00E923A7" w:rsidRPr="00B7629A">
              <w:t>85,1</w:t>
            </w:r>
          </w:p>
        </w:tc>
        <w:tc>
          <w:tcPr>
            <w:tcW w:w="1746" w:type="dxa"/>
            <w:tcBorders>
              <w:top w:val="single" w:sz="4" w:space="0" w:color="522398"/>
              <w:bottom w:val="nil"/>
            </w:tcBorders>
          </w:tcPr>
          <w:p w:rsidR="00E923A7" w:rsidRDefault="00D00893" w:rsidP="00072CE1">
            <w:pPr>
              <w:pStyle w:val="tableteksttab"/>
            </w:pPr>
            <w:r>
              <w:br/>
            </w:r>
            <w:r w:rsidR="00E923A7" w:rsidRPr="00B7629A">
              <w:t>8,0</w:t>
            </w:r>
          </w:p>
        </w:tc>
      </w:tr>
    </w:tbl>
    <w:p w:rsidR="00E923A7" w:rsidRDefault="00E923A7" w:rsidP="00E923A7">
      <w:pPr>
        <w:pStyle w:val="notka"/>
      </w:pPr>
      <w:r w:rsidRPr="00B03CFC">
        <w:t>a</w:t>
      </w:r>
      <w:r w:rsidRPr="00EB4670">
        <w:t xml:space="preserve"> Grupowania przedsiębiorstw dokonano na podstawie Polskiej Klasyfikacji Działalności – PKD 2007, zaliczając przedsiębiorstwo do określonej kategorii według przeważającego rodzaju działalności, zgodnie z aktualnym w omawianym okresie stanem organizacyjnym. Odnotowane zmiany (wzrost/</w:t>
      </w:r>
      <w:r>
        <w:t>spadek) sprzedaży detalicznej w </w:t>
      </w:r>
      <w:r w:rsidRPr="00EB4670">
        <w:t>poszczególnych grupach rodzajów działalności przedsiębiorstw mogą zatem również wynikać ze zmiany przeważającego rodzaju działalności przedsiębiorstwa oraz zmian organizacyjnych. Nie ma to wpływu na dynamikę sprzedaży detalicznej ogółem.</w:t>
      </w:r>
    </w:p>
    <w:p w:rsidR="00E923A7" w:rsidRPr="00F12846" w:rsidRDefault="00E923A7" w:rsidP="00E923A7">
      <w:pPr>
        <w:pStyle w:val="tekst"/>
        <w:spacing w:before="360"/>
      </w:pPr>
      <w:bookmarkStart w:id="46" w:name="_Toc64884834"/>
      <w:bookmarkStart w:id="47" w:name="_Toc64885003"/>
      <w:bookmarkStart w:id="48" w:name="_Toc64891656"/>
      <w:r w:rsidRPr="00553213">
        <w:rPr>
          <w:szCs w:val="19"/>
        </w:rPr>
        <w:t xml:space="preserve">Wartość sprzedaży detalicznej zrealizowanej w okresie styczeń-luty br. wzrosła o </w:t>
      </w:r>
      <w:r>
        <w:rPr>
          <w:szCs w:val="19"/>
        </w:rPr>
        <w:t>1,4</w:t>
      </w:r>
      <w:r w:rsidRPr="00553213">
        <w:rPr>
          <w:szCs w:val="19"/>
        </w:rPr>
        <w:t xml:space="preserve">% </w:t>
      </w:r>
      <w:r>
        <w:rPr>
          <w:szCs w:val="19"/>
        </w:rPr>
        <w:t xml:space="preserve">w porównaniu z </w:t>
      </w:r>
      <w:r w:rsidRPr="00553213">
        <w:rPr>
          <w:szCs w:val="19"/>
        </w:rPr>
        <w:t xml:space="preserve">analogicznym okresem ub. roku (przed rokiem wzrost wyniósł </w:t>
      </w:r>
      <w:r>
        <w:rPr>
          <w:szCs w:val="19"/>
        </w:rPr>
        <w:t>14,1</w:t>
      </w:r>
      <w:r w:rsidRPr="00553213">
        <w:rPr>
          <w:szCs w:val="19"/>
        </w:rPr>
        <w:t>%).</w:t>
      </w:r>
      <w:r w:rsidRPr="004E54FA">
        <w:t xml:space="preserve"> </w:t>
      </w:r>
      <w:r>
        <w:t>W okresie narastającym największy wzrost dotyczył również sprzedaży detalicznej mebli</w:t>
      </w:r>
      <w:r>
        <w:rPr>
          <w:szCs w:val="19"/>
        </w:rPr>
        <w:t xml:space="preserve">, </w:t>
      </w:r>
      <w:r>
        <w:t>sprzętu RTV</w:t>
      </w:r>
      <w:r>
        <w:rPr>
          <w:szCs w:val="19"/>
        </w:rPr>
        <w:t>, AGD (ponad 2-krotnie),</w:t>
      </w:r>
      <w:r>
        <w:t xml:space="preserve"> paliw </w:t>
      </w:r>
      <w:r w:rsidRPr="00F73D12">
        <w:t>stał</w:t>
      </w:r>
      <w:r>
        <w:t>ych</w:t>
      </w:r>
      <w:r w:rsidRPr="00F73D12">
        <w:t>, ciekł</w:t>
      </w:r>
      <w:r>
        <w:t>ych</w:t>
      </w:r>
      <w:r w:rsidRPr="00F73D12">
        <w:t xml:space="preserve"> i gazowych </w:t>
      </w:r>
      <w:r>
        <w:t xml:space="preserve">(o </w:t>
      </w:r>
      <w:r w:rsidRPr="00F12846">
        <w:t>42,5</w:t>
      </w:r>
      <w:r>
        <w:t xml:space="preserve">%), a także </w:t>
      </w:r>
      <w:r>
        <w:rPr>
          <w:szCs w:val="19"/>
        </w:rPr>
        <w:t>farmaceutyków</w:t>
      </w:r>
      <w:r w:rsidRPr="00101E2D">
        <w:rPr>
          <w:szCs w:val="19"/>
        </w:rPr>
        <w:t>, kosmetyk</w:t>
      </w:r>
      <w:r>
        <w:rPr>
          <w:szCs w:val="19"/>
        </w:rPr>
        <w:t>ów</w:t>
      </w:r>
      <w:r w:rsidRPr="00101E2D">
        <w:rPr>
          <w:szCs w:val="19"/>
        </w:rPr>
        <w:t>, sprzęt</w:t>
      </w:r>
      <w:r>
        <w:rPr>
          <w:szCs w:val="19"/>
        </w:rPr>
        <w:t>u</w:t>
      </w:r>
      <w:r w:rsidRPr="00101E2D">
        <w:rPr>
          <w:szCs w:val="19"/>
        </w:rPr>
        <w:t xml:space="preserve"> ortopedyczn</w:t>
      </w:r>
      <w:r>
        <w:rPr>
          <w:szCs w:val="19"/>
        </w:rPr>
        <w:t>ego</w:t>
      </w:r>
      <w:r>
        <w:t xml:space="preserve"> (o </w:t>
      </w:r>
      <w:r w:rsidRPr="00F12846">
        <w:t>23,8</w:t>
      </w:r>
      <w:r>
        <w:t xml:space="preserve">%). Natomiast największy spadek obserwowano przy sprzedaży detalicznej </w:t>
      </w:r>
      <w:r>
        <w:rPr>
          <w:szCs w:val="19"/>
        </w:rPr>
        <w:t>p</w:t>
      </w:r>
      <w:r w:rsidRPr="00316EA8">
        <w:rPr>
          <w:szCs w:val="19"/>
        </w:rPr>
        <w:t>ojazd</w:t>
      </w:r>
      <w:r>
        <w:rPr>
          <w:szCs w:val="19"/>
        </w:rPr>
        <w:t>ów</w:t>
      </w:r>
      <w:r w:rsidRPr="00316EA8">
        <w:rPr>
          <w:szCs w:val="19"/>
        </w:rPr>
        <w:t xml:space="preserve"> samochodow</w:t>
      </w:r>
      <w:r>
        <w:rPr>
          <w:szCs w:val="19"/>
        </w:rPr>
        <w:t>ych</w:t>
      </w:r>
      <w:r w:rsidRPr="00316EA8">
        <w:rPr>
          <w:szCs w:val="19"/>
        </w:rPr>
        <w:t>, motocykl</w:t>
      </w:r>
      <w:r>
        <w:rPr>
          <w:szCs w:val="19"/>
        </w:rPr>
        <w:t>i i ich części</w:t>
      </w:r>
      <w:r>
        <w:t xml:space="preserve"> (o 16,9%).</w:t>
      </w:r>
    </w:p>
    <w:p w:rsidR="00E923A7" w:rsidRDefault="00E923A7" w:rsidP="00E923A7">
      <w:pPr>
        <w:pStyle w:val="tekst"/>
        <w:rPr>
          <w:szCs w:val="19"/>
        </w:rPr>
      </w:pPr>
      <w:r w:rsidRPr="000566FC">
        <w:rPr>
          <w:b/>
          <w:szCs w:val="19"/>
        </w:rPr>
        <w:t>Sprzedaż hurtowa</w:t>
      </w:r>
      <w:r w:rsidRPr="000566FC">
        <w:rPr>
          <w:szCs w:val="19"/>
        </w:rPr>
        <w:t xml:space="preserve"> jednostek handlowych ogółem </w:t>
      </w:r>
      <w:r>
        <w:rPr>
          <w:szCs w:val="19"/>
        </w:rPr>
        <w:t xml:space="preserve">w lutym br. zwiększyła się </w:t>
      </w:r>
      <w:r w:rsidRPr="000566FC">
        <w:rPr>
          <w:szCs w:val="19"/>
        </w:rPr>
        <w:t xml:space="preserve">(licząc w cenach bieżących) </w:t>
      </w:r>
      <w:r>
        <w:rPr>
          <w:szCs w:val="19"/>
        </w:rPr>
        <w:t xml:space="preserve">o </w:t>
      </w:r>
      <w:r w:rsidRPr="00033014">
        <w:rPr>
          <w:szCs w:val="19"/>
        </w:rPr>
        <w:t>5,1</w:t>
      </w:r>
      <w:r>
        <w:rPr>
          <w:szCs w:val="19"/>
        </w:rPr>
        <w:t>% w </w:t>
      </w:r>
      <w:r w:rsidRPr="000566FC">
        <w:rPr>
          <w:szCs w:val="19"/>
        </w:rPr>
        <w:t>porównaniu z poprzednim miesiącem</w:t>
      </w:r>
      <w:r>
        <w:rPr>
          <w:szCs w:val="19"/>
        </w:rPr>
        <w:t xml:space="preserve"> i o </w:t>
      </w:r>
      <w:r w:rsidRPr="00033014">
        <w:rPr>
          <w:szCs w:val="19"/>
        </w:rPr>
        <w:t>15,7</w:t>
      </w:r>
      <w:r>
        <w:rPr>
          <w:szCs w:val="19"/>
        </w:rPr>
        <w:t>%</w:t>
      </w:r>
      <w:r w:rsidRPr="000566FC">
        <w:rPr>
          <w:szCs w:val="19"/>
        </w:rPr>
        <w:t xml:space="preserve"> w relacji </w:t>
      </w:r>
      <w:r>
        <w:rPr>
          <w:szCs w:val="19"/>
        </w:rPr>
        <w:t>do lutego ub. roku</w:t>
      </w:r>
      <w:r w:rsidRPr="000566FC">
        <w:rPr>
          <w:szCs w:val="19"/>
        </w:rPr>
        <w:t xml:space="preserve"> (przed rokiem</w:t>
      </w:r>
      <w:r>
        <w:rPr>
          <w:szCs w:val="19"/>
        </w:rPr>
        <w:t xml:space="preserve"> zanotowano wzrost </w:t>
      </w:r>
      <w:r w:rsidRPr="000566FC">
        <w:rPr>
          <w:szCs w:val="19"/>
        </w:rPr>
        <w:t>sprzedaży</w:t>
      </w:r>
      <w:r>
        <w:rPr>
          <w:szCs w:val="19"/>
        </w:rPr>
        <w:t xml:space="preserve"> w skali miesiąca o </w:t>
      </w:r>
      <w:r w:rsidRPr="00826AE4">
        <w:rPr>
          <w:szCs w:val="19"/>
        </w:rPr>
        <w:t>11,9</w:t>
      </w:r>
      <w:r>
        <w:rPr>
          <w:szCs w:val="19"/>
        </w:rPr>
        <w:t xml:space="preserve">% i spadek o </w:t>
      </w:r>
      <w:r w:rsidRPr="00826AE4">
        <w:rPr>
          <w:szCs w:val="19"/>
        </w:rPr>
        <w:t>14,8</w:t>
      </w:r>
      <w:r>
        <w:rPr>
          <w:szCs w:val="19"/>
        </w:rPr>
        <w:t>% w ujęciu rocznym</w:t>
      </w:r>
      <w:r w:rsidRPr="000566FC">
        <w:rPr>
          <w:szCs w:val="19"/>
        </w:rPr>
        <w:t xml:space="preserve">). W przedsiębiorstwach handlu hurtowego sprzedaż </w:t>
      </w:r>
      <w:r w:rsidRPr="00033014">
        <w:rPr>
          <w:szCs w:val="19"/>
        </w:rPr>
        <w:t>spadła</w:t>
      </w:r>
      <w:r>
        <w:rPr>
          <w:szCs w:val="19"/>
        </w:rPr>
        <w:t xml:space="preserve"> o 1,2% w </w:t>
      </w:r>
      <w:r w:rsidRPr="000566FC">
        <w:rPr>
          <w:szCs w:val="19"/>
        </w:rPr>
        <w:t xml:space="preserve">odniesieniu </w:t>
      </w:r>
      <w:r>
        <w:rPr>
          <w:szCs w:val="19"/>
        </w:rPr>
        <w:t xml:space="preserve">do stycznia br., ale wzrosła </w:t>
      </w:r>
      <w:r w:rsidRPr="000566FC">
        <w:rPr>
          <w:szCs w:val="19"/>
        </w:rPr>
        <w:t xml:space="preserve">o </w:t>
      </w:r>
      <w:r w:rsidRPr="00033014">
        <w:rPr>
          <w:szCs w:val="19"/>
        </w:rPr>
        <w:t>25,5</w:t>
      </w:r>
      <w:r w:rsidRPr="000566FC">
        <w:rPr>
          <w:szCs w:val="19"/>
        </w:rPr>
        <w:t xml:space="preserve">% w porównaniu </w:t>
      </w:r>
      <w:r>
        <w:rPr>
          <w:szCs w:val="19"/>
        </w:rPr>
        <w:t>z lutym ub. roku</w:t>
      </w:r>
      <w:r w:rsidRPr="000566FC">
        <w:rPr>
          <w:szCs w:val="19"/>
        </w:rPr>
        <w:t xml:space="preserve"> (</w:t>
      </w:r>
      <w:r>
        <w:rPr>
          <w:szCs w:val="19"/>
        </w:rPr>
        <w:t>przed rokiem</w:t>
      </w:r>
      <w:r w:rsidRPr="000566FC">
        <w:rPr>
          <w:szCs w:val="19"/>
        </w:rPr>
        <w:t xml:space="preserve"> sprzedaż </w:t>
      </w:r>
      <w:r w:rsidR="00C408CC">
        <w:rPr>
          <w:szCs w:val="19"/>
        </w:rPr>
        <w:t>zwiększyła się o </w:t>
      </w:r>
      <w:r>
        <w:rPr>
          <w:szCs w:val="19"/>
        </w:rPr>
        <w:t xml:space="preserve">0,5% w skali miesiąca, a zmniejszyła się o </w:t>
      </w:r>
      <w:r w:rsidRPr="00033014">
        <w:rPr>
          <w:szCs w:val="19"/>
        </w:rPr>
        <w:t>27,5</w:t>
      </w:r>
      <w:r>
        <w:rPr>
          <w:szCs w:val="19"/>
        </w:rPr>
        <w:t>% w stosunku rocznym)</w:t>
      </w:r>
      <w:r w:rsidRPr="000566FC">
        <w:rPr>
          <w:szCs w:val="19"/>
        </w:rPr>
        <w:t xml:space="preserve">. </w:t>
      </w:r>
    </w:p>
    <w:p w:rsidR="00E923A7" w:rsidRDefault="00E923A7" w:rsidP="00E923A7">
      <w:pPr>
        <w:pStyle w:val="tekst"/>
        <w:rPr>
          <w:szCs w:val="19"/>
        </w:rPr>
      </w:pPr>
      <w:r w:rsidRPr="0045329A">
        <w:rPr>
          <w:szCs w:val="19"/>
        </w:rPr>
        <w:t>Wartość sprzedaży hurtowej jednostek handlowych zrealizowanej od początku br</w:t>
      </w:r>
      <w:r>
        <w:rPr>
          <w:szCs w:val="19"/>
        </w:rPr>
        <w:t>. wzrosła</w:t>
      </w:r>
      <w:r w:rsidRPr="0045329A">
        <w:rPr>
          <w:szCs w:val="19"/>
        </w:rPr>
        <w:t xml:space="preserve"> o </w:t>
      </w:r>
      <w:r w:rsidRPr="00797F23">
        <w:rPr>
          <w:szCs w:val="19"/>
        </w:rPr>
        <w:t>18,5</w:t>
      </w:r>
      <w:r w:rsidRPr="0045329A">
        <w:rPr>
          <w:szCs w:val="19"/>
        </w:rPr>
        <w:t xml:space="preserve">% w </w:t>
      </w:r>
      <w:r>
        <w:rPr>
          <w:szCs w:val="19"/>
        </w:rPr>
        <w:t>stosunku do</w:t>
      </w:r>
      <w:r w:rsidRPr="0045329A">
        <w:rPr>
          <w:szCs w:val="19"/>
        </w:rPr>
        <w:t xml:space="preserve"> okres</w:t>
      </w:r>
      <w:r>
        <w:rPr>
          <w:szCs w:val="19"/>
        </w:rPr>
        <w:t>u</w:t>
      </w:r>
      <w:r w:rsidRPr="0045329A">
        <w:rPr>
          <w:szCs w:val="19"/>
        </w:rPr>
        <w:t xml:space="preserve"> styczeń-luty ub. roku, w tym w przedsiębiorstwach handlu hurtowego </w:t>
      </w:r>
      <w:r>
        <w:rPr>
          <w:szCs w:val="19"/>
        </w:rPr>
        <w:t>–</w:t>
      </w:r>
      <w:r w:rsidRPr="0045329A">
        <w:rPr>
          <w:szCs w:val="19"/>
        </w:rPr>
        <w:t xml:space="preserve"> o </w:t>
      </w:r>
      <w:r>
        <w:rPr>
          <w:szCs w:val="19"/>
        </w:rPr>
        <w:t>25,0</w:t>
      </w:r>
      <w:r w:rsidRPr="0045329A">
        <w:rPr>
          <w:szCs w:val="19"/>
        </w:rPr>
        <w:t xml:space="preserve">% (przed rokiem </w:t>
      </w:r>
      <w:r>
        <w:rPr>
          <w:szCs w:val="19"/>
        </w:rPr>
        <w:t>spadek wyniósł odpowiednio 17,3</w:t>
      </w:r>
      <w:r w:rsidRPr="0045329A">
        <w:rPr>
          <w:szCs w:val="19"/>
        </w:rPr>
        <w:t xml:space="preserve">% i </w:t>
      </w:r>
      <w:r w:rsidRPr="00161492">
        <w:rPr>
          <w:szCs w:val="19"/>
        </w:rPr>
        <w:t>25,5</w:t>
      </w:r>
      <w:r w:rsidRPr="0045329A">
        <w:rPr>
          <w:szCs w:val="19"/>
        </w:rPr>
        <w:t>%).</w:t>
      </w:r>
    </w:p>
    <w:p w:rsidR="00E923A7" w:rsidRPr="001F2CEF" w:rsidRDefault="00E923A7" w:rsidP="00E923A7">
      <w:pPr>
        <w:pStyle w:val="Nagwek1"/>
      </w:pPr>
      <w:bookmarkStart w:id="49" w:name="_Toc67395314"/>
      <w:bookmarkStart w:id="50" w:name="_Toc98840939"/>
      <w:bookmarkStart w:id="51" w:name="_Toc129758934"/>
      <w:bookmarkStart w:id="52" w:name="_Toc161818179"/>
      <w:bookmarkStart w:id="53" w:name="_Toc193459102"/>
      <w:bookmarkStart w:id="54" w:name="_Toc193459764"/>
      <w:r w:rsidRPr="001F2CEF">
        <w:lastRenderedPageBreak/>
        <w:t>Wyniki finansowe przedsiębiorstw</w:t>
      </w:r>
      <w:bookmarkEnd w:id="49"/>
      <w:bookmarkEnd w:id="50"/>
      <w:bookmarkEnd w:id="51"/>
      <w:bookmarkEnd w:id="52"/>
      <w:bookmarkEnd w:id="53"/>
      <w:bookmarkEnd w:id="54"/>
    </w:p>
    <w:p w:rsidR="00E923A7" w:rsidRPr="00414D3C" w:rsidRDefault="00E923A7" w:rsidP="00E923A7">
      <w:pPr>
        <w:pStyle w:val="tekst"/>
      </w:pPr>
      <w:r w:rsidRPr="00414D3C">
        <w:t>Badanie finansowe przedsiębiorstw niefinansowych za 202</w:t>
      </w:r>
      <w:r>
        <w:t>4</w:t>
      </w:r>
      <w:r w:rsidRPr="00414D3C">
        <w:t xml:space="preserve"> r. w województwie wielkopolskim objęło </w:t>
      </w:r>
      <w:r w:rsidRPr="007A3458">
        <w:t>1935</w:t>
      </w:r>
      <w:r w:rsidR="0067206B">
        <w:t xml:space="preserve"> podmiotów. W </w:t>
      </w:r>
      <w:r w:rsidRPr="00414D3C">
        <w:t>ciągu roku po</w:t>
      </w:r>
      <w:r>
        <w:t>gorszy</w:t>
      </w:r>
      <w:r w:rsidRPr="00414D3C">
        <w:t xml:space="preserve">ły się wyniki finansowe badanych przedsiębiorstw. </w:t>
      </w:r>
      <w:r>
        <w:t>Mniej k</w:t>
      </w:r>
      <w:r w:rsidRPr="00414D3C">
        <w:t>orzystnie</w:t>
      </w:r>
      <w:r>
        <w:t xml:space="preserve"> </w:t>
      </w:r>
      <w:r w:rsidRPr="00414D3C">
        <w:t xml:space="preserve">kształtowały się też podstawowe wskaźniki ekonomiczno-finansowe. </w:t>
      </w:r>
    </w:p>
    <w:p w:rsidR="00E923A7" w:rsidRPr="00245D6F" w:rsidRDefault="00E923A7" w:rsidP="00E923A7">
      <w:pPr>
        <w:pStyle w:val="tekst"/>
      </w:pPr>
      <w:r w:rsidRPr="00245D6F">
        <w:rPr>
          <w:b/>
        </w:rPr>
        <w:t>Przychody ogółem</w:t>
      </w:r>
      <w:r w:rsidRPr="00245D6F">
        <w:t xml:space="preserve"> uzyskane w </w:t>
      </w:r>
      <w:r>
        <w:t>2024</w:t>
      </w:r>
      <w:r w:rsidRPr="00245D6F">
        <w:t xml:space="preserve"> r. były o </w:t>
      </w:r>
      <w:r>
        <w:t>1,0</w:t>
      </w:r>
      <w:r w:rsidRPr="00245D6F">
        <w:t xml:space="preserve">% wyższe niż w roku poprzednim. </w:t>
      </w:r>
      <w:r>
        <w:t>Szybciej</w:t>
      </w:r>
      <w:r w:rsidRPr="00245D6F">
        <w:t xml:space="preserve"> (wzrost o </w:t>
      </w:r>
      <w:r w:rsidR="00F07AC8">
        <w:t>3</w:t>
      </w:r>
      <w:r w:rsidRPr="00245D6F">
        <w:t xml:space="preserve">,5%) rosły koszty ich uzyskania, co wpłynęło na </w:t>
      </w:r>
      <w:r>
        <w:t>wzrost</w:t>
      </w:r>
      <w:r w:rsidRPr="00245D6F">
        <w:t xml:space="preserve"> wskaźnika poziomu kosztów, który okazał się o </w:t>
      </w:r>
      <w:r w:rsidRPr="00987D6F">
        <w:t xml:space="preserve">2,4 </w:t>
      </w:r>
      <w:r w:rsidRPr="00245D6F">
        <w:t xml:space="preserve">p.proc. </w:t>
      </w:r>
      <w:r w:rsidR="00F07AC8">
        <w:t>wy</w:t>
      </w:r>
      <w:r w:rsidRPr="00245D6F">
        <w:t xml:space="preserve">ższy od notowanego przed rokiem. W przypadku sprzedaży produktów, towarów i materiałów; przychody z tej działalności w ciągu roku zwiększyły się o </w:t>
      </w:r>
      <w:r>
        <w:t>1,0</w:t>
      </w:r>
      <w:r w:rsidRPr="00245D6F">
        <w:t xml:space="preserve">%, przy wzroście kosztów – o </w:t>
      </w:r>
      <w:r>
        <w:t>3,7</w:t>
      </w:r>
      <w:r w:rsidRPr="00245D6F">
        <w:t xml:space="preserve">%. Wynik finansowy ze sprzedaży produktów, towarów i materiałów wyniósł </w:t>
      </w:r>
      <w:r w:rsidRPr="004D62E6">
        <w:t xml:space="preserve">35965,2 </w:t>
      </w:r>
      <w:r>
        <w:t>mln zł i był o 31,9</w:t>
      </w:r>
      <w:r w:rsidRPr="00245D6F">
        <w:t xml:space="preserve">% </w:t>
      </w:r>
      <w:r>
        <w:t>mniej</w:t>
      </w:r>
      <w:r w:rsidRPr="00245D6F">
        <w:t xml:space="preserve">szy od osiągniętego w </w:t>
      </w:r>
      <w:r>
        <w:t>2023</w:t>
      </w:r>
      <w:r w:rsidRPr="00245D6F">
        <w:t xml:space="preserve"> r. Pozostałe prz</w:t>
      </w:r>
      <w:r w:rsidR="00072CE1">
        <w:t>ychody operacyjne w skali roku obniżyły się o 7,6</w:t>
      </w:r>
      <w:r w:rsidRPr="00245D6F">
        <w:t xml:space="preserve">%, podczas gdy koszty ich uzyskania </w:t>
      </w:r>
      <w:r w:rsidR="00072CE1">
        <w:t xml:space="preserve">nieznacznie </w:t>
      </w:r>
      <w:r w:rsidRPr="00245D6F">
        <w:t xml:space="preserve">wzrosły </w:t>
      </w:r>
      <w:r w:rsidR="00072CE1">
        <w:t>(</w:t>
      </w:r>
      <w:r w:rsidRPr="00245D6F">
        <w:t xml:space="preserve">o </w:t>
      </w:r>
      <w:r w:rsidR="00072CE1">
        <w:t>0,6</w:t>
      </w:r>
      <w:r w:rsidRPr="00245D6F">
        <w:t>%</w:t>
      </w:r>
      <w:r w:rsidR="00072CE1">
        <w:t>)</w:t>
      </w:r>
      <w:r w:rsidRPr="00245D6F">
        <w:t>, co spowodowało po</w:t>
      </w:r>
      <w:r w:rsidR="00072CE1">
        <w:t>gorszenie</w:t>
      </w:r>
      <w:r w:rsidRPr="00245D6F">
        <w:t xml:space="preserve"> wyniku na pozostałej działalności operacyjnej. </w:t>
      </w:r>
      <w:r w:rsidR="00072CE1">
        <w:t>Odmienny</w:t>
      </w:r>
      <w:r w:rsidRPr="00245D6F">
        <w:t xml:space="preserve"> rezultat </w:t>
      </w:r>
      <w:r w:rsidR="00F11769">
        <w:t xml:space="preserve">(tj. poprawę wyniku) </w:t>
      </w:r>
      <w:r w:rsidRPr="00245D6F">
        <w:t xml:space="preserve">przyniósł wzrost przychodów finansowych – o </w:t>
      </w:r>
      <w:r w:rsidR="00072CE1" w:rsidRPr="00072CE1">
        <w:t>11,1</w:t>
      </w:r>
      <w:r w:rsidRPr="00245D6F">
        <w:t xml:space="preserve">%, przy spadku kosztów tych operacji – o </w:t>
      </w:r>
      <w:r w:rsidR="00072CE1">
        <w:t>8,9%. Z</w:t>
      </w:r>
      <w:r w:rsidRPr="00245D6F">
        <w:t>arówno wynik na pozostałej działalności operacyjnej, jak i na operacjach finansowych</w:t>
      </w:r>
      <w:r w:rsidR="00072CE1" w:rsidRPr="00072CE1">
        <w:t xml:space="preserve">, </w:t>
      </w:r>
      <w:r w:rsidRPr="00245D6F">
        <w:t xml:space="preserve">nadal były ujemne. </w:t>
      </w:r>
      <w:r w:rsidRPr="00245D6F">
        <w:rPr>
          <w:b/>
        </w:rPr>
        <w:t>Wynik finansowy brutto</w:t>
      </w:r>
      <w:r w:rsidRPr="00245D6F">
        <w:t xml:space="preserve"> za </w:t>
      </w:r>
      <w:r>
        <w:t>2024</w:t>
      </w:r>
      <w:r w:rsidRPr="00245D6F">
        <w:t xml:space="preserve"> r. wyniósł </w:t>
      </w:r>
      <w:r w:rsidR="00F11769">
        <w:t>33818,8 mln zł, tj. o </w:t>
      </w:r>
      <w:r w:rsidR="00F11769" w:rsidRPr="00F11769">
        <w:t>32,1</w:t>
      </w:r>
      <w:r w:rsidRPr="00245D6F">
        <w:t xml:space="preserve">% </w:t>
      </w:r>
      <w:r w:rsidR="00F11769">
        <w:t>mnie</w:t>
      </w:r>
      <w:r w:rsidRPr="00245D6F">
        <w:t xml:space="preserve">j niż przed rokiem. Po odliczeniu obciążeń (w kwocie </w:t>
      </w:r>
      <w:r w:rsidR="00F11769" w:rsidRPr="00F11769">
        <w:t>6420,3</w:t>
      </w:r>
      <w:r w:rsidR="00F11769">
        <w:t xml:space="preserve"> </w:t>
      </w:r>
      <w:r w:rsidRPr="00245D6F">
        <w:t xml:space="preserve">mln zł) </w:t>
      </w:r>
      <w:r w:rsidRPr="00245D6F">
        <w:rPr>
          <w:b/>
        </w:rPr>
        <w:t>wynik finansowy netto</w:t>
      </w:r>
      <w:r w:rsidRPr="00245D6F">
        <w:t xml:space="preserve"> ukształtował się na poziomie </w:t>
      </w:r>
      <w:r w:rsidR="00F11769">
        <w:t xml:space="preserve">27398,5 </w:t>
      </w:r>
      <w:r w:rsidRPr="00245D6F">
        <w:t xml:space="preserve">mln zł, tj. o </w:t>
      </w:r>
      <w:r w:rsidR="00F11769">
        <w:t>33,2% ni</w:t>
      </w:r>
      <w:r w:rsidRPr="00245D6F">
        <w:t xml:space="preserve">żej niż w </w:t>
      </w:r>
      <w:r>
        <w:t>2023</w:t>
      </w:r>
      <w:r w:rsidRPr="00245D6F">
        <w:t xml:space="preserve"> r. Zysk netto w ciągu roku </w:t>
      </w:r>
      <w:r w:rsidR="00F11769">
        <w:t>obniżył</w:t>
      </w:r>
      <w:r w:rsidR="00F11769" w:rsidRPr="00245D6F">
        <w:t xml:space="preserve"> się</w:t>
      </w:r>
      <w:r w:rsidRPr="00245D6F">
        <w:t xml:space="preserve"> o </w:t>
      </w:r>
      <w:r w:rsidR="00F11769">
        <w:t>28,8</w:t>
      </w:r>
      <w:r w:rsidRPr="00245D6F">
        <w:t xml:space="preserve">%, natomiast strata netto </w:t>
      </w:r>
      <w:r w:rsidR="00F11769">
        <w:t>wzrosła</w:t>
      </w:r>
      <w:r w:rsidR="00292ED1">
        <w:t xml:space="preserve"> w tym czasie o </w:t>
      </w:r>
      <w:r w:rsidR="00F11769">
        <w:t>34,4</w:t>
      </w:r>
      <w:r w:rsidRPr="00245D6F">
        <w:t xml:space="preserve">%. Zysk netto wykazało </w:t>
      </w:r>
      <w:r w:rsidR="002D7FD8" w:rsidRPr="002D7FD8">
        <w:t>78,2</w:t>
      </w:r>
      <w:r w:rsidRPr="00245D6F">
        <w:t>% przedsiębiorstw (</w:t>
      </w:r>
      <w:r w:rsidR="002D7FD8" w:rsidRPr="00245D6F">
        <w:t>81,6</w:t>
      </w:r>
      <w:r w:rsidRPr="00245D6F">
        <w:t xml:space="preserve">% w </w:t>
      </w:r>
      <w:r>
        <w:t>2023</w:t>
      </w:r>
      <w:r w:rsidRPr="00245D6F">
        <w:t xml:space="preserve"> r.). Przychody uzyskane przez te przedsiębiorstwa stanowiły </w:t>
      </w:r>
      <w:r w:rsidR="00093936" w:rsidRPr="00093936">
        <w:t>88,3</w:t>
      </w:r>
      <w:r w:rsidRPr="00245D6F">
        <w:t xml:space="preserve">% całkowitych przychodów z całokształtu działalności (wobec </w:t>
      </w:r>
      <w:r w:rsidR="002D7FD8" w:rsidRPr="00245D6F">
        <w:t>92,0</w:t>
      </w:r>
      <w:r w:rsidRPr="00245D6F">
        <w:t xml:space="preserve">% przed rokiem). W przetwórstwie przemysłowym zysk netto wykazało </w:t>
      </w:r>
      <w:r w:rsidR="00B83824" w:rsidRPr="00B83824">
        <w:t>76,6</w:t>
      </w:r>
      <w:r w:rsidRPr="00245D6F">
        <w:t>% przedsiębiorstw (</w:t>
      </w:r>
      <w:r w:rsidR="00B83824" w:rsidRPr="00245D6F">
        <w:t>83,2</w:t>
      </w:r>
      <w:r w:rsidRPr="00245D6F">
        <w:t xml:space="preserve">% przed rokiem), a ich udział w przychodach tej sekcji wyniósł </w:t>
      </w:r>
      <w:r w:rsidR="00B83824" w:rsidRPr="00B83824">
        <w:t>87,9</w:t>
      </w:r>
      <w:r w:rsidRPr="00245D6F">
        <w:t xml:space="preserve">% (wobec </w:t>
      </w:r>
      <w:r w:rsidR="00B83824" w:rsidRPr="00245D6F">
        <w:t>89,1</w:t>
      </w:r>
      <w:r w:rsidRPr="00245D6F">
        <w:t>% przed rokiem).</w:t>
      </w:r>
    </w:p>
    <w:p w:rsidR="00E923A7" w:rsidRPr="00F30594" w:rsidRDefault="00E923A7" w:rsidP="00E923A7">
      <w:pPr>
        <w:pStyle w:val="Tytultabeli"/>
      </w:pPr>
      <w:r w:rsidRPr="00F30594">
        <w:t>Tablica 13.</w:t>
      </w:r>
      <w:r>
        <w:tab/>
      </w:r>
      <w:r w:rsidRPr="00F30594">
        <w:t>Przychody, koszty i wyniki finansowe przedsiębiorstw niefinansowych</w:t>
      </w:r>
    </w:p>
    <w:tbl>
      <w:tblPr>
        <w:tblW w:w="5000" w:type="pct"/>
        <w:jc w:val="center"/>
        <w:tblBorders>
          <w:top w:val="single" w:sz="4" w:space="0" w:color="522398"/>
          <w:bottom w:val="single" w:sz="4" w:space="0" w:color="522398"/>
          <w:insideH w:val="single" w:sz="4" w:space="0" w:color="522398"/>
          <w:insideV w:val="single" w:sz="4" w:space="0" w:color="522398"/>
        </w:tblBorders>
        <w:tblLayout w:type="fixed"/>
        <w:tblCellMar>
          <w:top w:w="28" w:type="dxa"/>
          <w:bottom w:w="28" w:type="dxa"/>
        </w:tblCellMar>
        <w:tblLook w:val="04A0" w:firstRow="1" w:lastRow="0" w:firstColumn="1" w:lastColumn="0" w:noHBand="0" w:noVBand="1"/>
        <w:tblDescription w:val="Tablica przedstawia podstawowe informacje dotyczące wyników finansowych przedsiębiorstw niefinansowych za okres styczeń-grudzień w latach 2023 i 2024. Dane do tablicy dostępne w pliku w formacie XLSX"/>
      </w:tblPr>
      <w:tblGrid>
        <w:gridCol w:w="5902"/>
        <w:gridCol w:w="2427"/>
        <w:gridCol w:w="2150"/>
      </w:tblGrid>
      <w:tr w:rsidR="00E923A7" w:rsidRPr="00F30594" w:rsidTr="00072CE1">
        <w:trPr>
          <w:trHeight w:val="57"/>
          <w:tblHeader/>
          <w:jc w:val="center"/>
        </w:trPr>
        <w:tc>
          <w:tcPr>
            <w:tcW w:w="2816" w:type="pct"/>
            <w:vMerge w:val="restart"/>
            <w:tcBorders>
              <w:top w:val="nil"/>
            </w:tcBorders>
            <w:vAlign w:val="center"/>
          </w:tcPr>
          <w:p w:rsidR="00E923A7" w:rsidRPr="005674F7" w:rsidRDefault="00E923A7" w:rsidP="00072CE1">
            <w:pPr>
              <w:pStyle w:val="glowka1"/>
            </w:pPr>
            <w:r w:rsidRPr="005674F7">
              <w:t>Wyszczególnienie</w:t>
            </w:r>
          </w:p>
        </w:tc>
        <w:tc>
          <w:tcPr>
            <w:tcW w:w="1158" w:type="pct"/>
            <w:tcBorders>
              <w:top w:val="nil"/>
            </w:tcBorders>
            <w:vAlign w:val="center"/>
          </w:tcPr>
          <w:p w:rsidR="00E923A7" w:rsidRPr="005674F7" w:rsidRDefault="00E923A7" w:rsidP="00072CE1">
            <w:pPr>
              <w:pStyle w:val="glowka1"/>
            </w:pPr>
            <w:r>
              <w:t xml:space="preserve">01–12 </w:t>
            </w:r>
            <w:r w:rsidRPr="00116289">
              <w:t>20</w:t>
            </w:r>
            <w:r>
              <w:t>23</w:t>
            </w:r>
          </w:p>
        </w:tc>
        <w:tc>
          <w:tcPr>
            <w:tcW w:w="1026" w:type="pct"/>
            <w:tcBorders>
              <w:top w:val="nil"/>
            </w:tcBorders>
            <w:vAlign w:val="center"/>
          </w:tcPr>
          <w:p w:rsidR="00E923A7" w:rsidRPr="005674F7" w:rsidRDefault="00E923A7" w:rsidP="00072CE1">
            <w:pPr>
              <w:pStyle w:val="glowka1"/>
            </w:pPr>
            <w:r>
              <w:t xml:space="preserve">01–12 </w:t>
            </w:r>
            <w:r w:rsidRPr="00116289">
              <w:t>20</w:t>
            </w:r>
            <w:r>
              <w:t>24</w:t>
            </w:r>
          </w:p>
        </w:tc>
      </w:tr>
      <w:tr w:rsidR="00E923A7" w:rsidRPr="00F30594" w:rsidTr="00072CE1">
        <w:trPr>
          <w:trHeight w:val="57"/>
          <w:tblHeader/>
          <w:jc w:val="center"/>
        </w:trPr>
        <w:tc>
          <w:tcPr>
            <w:tcW w:w="2816" w:type="pct"/>
            <w:vMerge/>
            <w:tcBorders>
              <w:bottom w:val="single" w:sz="12" w:space="0" w:color="522398"/>
            </w:tcBorders>
            <w:vAlign w:val="center"/>
          </w:tcPr>
          <w:p w:rsidR="00E923A7" w:rsidRPr="005674F7" w:rsidRDefault="00E923A7" w:rsidP="00072CE1">
            <w:pPr>
              <w:pStyle w:val="glowka1"/>
            </w:pPr>
          </w:p>
        </w:tc>
        <w:tc>
          <w:tcPr>
            <w:tcW w:w="2184" w:type="pct"/>
            <w:gridSpan w:val="2"/>
            <w:tcBorders>
              <w:bottom w:val="single" w:sz="12" w:space="0" w:color="522398"/>
            </w:tcBorders>
            <w:vAlign w:val="center"/>
          </w:tcPr>
          <w:p w:rsidR="00E923A7" w:rsidRPr="005674F7" w:rsidRDefault="00E923A7" w:rsidP="00072CE1">
            <w:pPr>
              <w:pStyle w:val="glowka1"/>
            </w:pPr>
            <w:r w:rsidRPr="005674F7">
              <w:t>w mln zł</w:t>
            </w:r>
          </w:p>
        </w:tc>
      </w:tr>
      <w:tr w:rsidR="00E923A7" w:rsidRPr="00F30594" w:rsidTr="00072CE1">
        <w:trPr>
          <w:trHeight w:val="57"/>
          <w:jc w:val="center"/>
        </w:trPr>
        <w:tc>
          <w:tcPr>
            <w:tcW w:w="2816" w:type="pct"/>
            <w:tcBorders>
              <w:top w:val="single" w:sz="12" w:space="0" w:color="522398"/>
            </w:tcBorders>
            <w:vAlign w:val="center"/>
          </w:tcPr>
          <w:p w:rsidR="00E923A7" w:rsidRPr="0029679F" w:rsidRDefault="00E923A7" w:rsidP="00072CE1">
            <w:pPr>
              <w:pStyle w:val="boczek1"/>
            </w:pPr>
            <w:r w:rsidRPr="0029679F">
              <w:t xml:space="preserve">Przychody </w:t>
            </w:r>
            <w:r>
              <w:t>ogółem (</w:t>
            </w:r>
            <w:r w:rsidRPr="0029679F">
              <w:t>przychody z całokształtu działalności</w:t>
            </w:r>
            <w:r>
              <w:t>)</w:t>
            </w:r>
          </w:p>
        </w:tc>
        <w:tc>
          <w:tcPr>
            <w:tcW w:w="1158" w:type="pct"/>
            <w:tcBorders>
              <w:top w:val="single" w:sz="12" w:space="0" w:color="522398"/>
            </w:tcBorders>
            <w:vAlign w:val="center"/>
          </w:tcPr>
          <w:p w:rsidR="00E923A7" w:rsidRPr="0041799B" w:rsidRDefault="00E923A7" w:rsidP="00072CE1">
            <w:pPr>
              <w:pStyle w:val="tableteksttab"/>
            </w:pPr>
            <w:r w:rsidRPr="0041799B">
              <w:t>691301,6</w:t>
            </w:r>
          </w:p>
        </w:tc>
        <w:tc>
          <w:tcPr>
            <w:tcW w:w="1026" w:type="pct"/>
            <w:tcBorders>
              <w:top w:val="single" w:sz="12" w:space="0" w:color="522398"/>
            </w:tcBorders>
            <w:vAlign w:val="bottom"/>
          </w:tcPr>
          <w:p w:rsidR="00E923A7" w:rsidRDefault="00E923A7" w:rsidP="00072CE1">
            <w:pPr>
              <w:pStyle w:val="tableteksttab"/>
              <w:rPr>
                <w:sz w:val="24"/>
              </w:rPr>
            </w:pPr>
            <w:r>
              <w:t>697931,1</w:t>
            </w:r>
          </w:p>
        </w:tc>
      </w:tr>
      <w:tr w:rsidR="00E923A7" w:rsidRPr="00F30594" w:rsidTr="00072CE1">
        <w:trPr>
          <w:trHeight w:val="57"/>
          <w:jc w:val="center"/>
        </w:trPr>
        <w:tc>
          <w:tcPr>
            <w:tcW w:w="2816" w:type="pct"/>
            <w:vAlign w:val="center"/>
          </w:tcPr>
          <w:p w:rsidR="00E923A7" w:rsidRPr="0029679F" w:rsidRDefault="00E923A7" w:rsidP="00072CE1">
            <w:pPr>
              <w:pStyle w:val="boczek2"/>
            </w:pPr>
            <w:r w:rsidRPr="0029679F">
              <w:t xml:space="preserve">w tym przychody </w:t>
            </w:r>
            <w:r>
              <w:t xml:space="preserve">netto </w:t>
            </w:r>
            <w:r w:rsidRPr="0029679F">
              <w:t>ze sprzedaży produktów, towarów i materiałów</w:t>
            </w:r>
          </w:p>
        </w:tc>
        <w:tc>
          <w:tcPr>
            <w:tcW w:w="1158" w:type="pct"/>
            <w:vAlign w:val="center"/>
          </w:tcPr>
          <w:p w:rsidR="00E923A7" w:rsidRPr="0041799B" w:rsidRDefault="00E923A7" w:rsidP="00072CE1">
            <w:pPr>
              <w:pStyle w:val="tableteksttab"/>
            </w:pPr>
            <w:r w:rsidRPr="0041799B">
              <w:t>677836,4</w:t>
            </w:r>
          </w:p>
        </w:tc>
        <w:tc>
          <w:tcPr>
            <w:tcW w:w="1026" w:type="pct"/>
            <w:vAlign w:val="bottom"/>
          </w:tcPr>
          <w:p w:rsidR="00E923A7" w:rsidRDefault="00E923A7" w:rsidP="00072CE1">
            <w:pPr>
              <w:pStyle w:val="tableteksttab"/>
            </w:pPr>
            <w:r>
              <w:t>684309,6</w:t>
            </w:r>
          </w:p>
        </w:tc>
      </w:tr>
      <w:tr w:rsidR="00E923A7" w:rsidRPr="00F30594" w:rsidTr="00072CE1">
        <w:trPr>
          <w:trHeight w:val="57"/>
          <w:jc w:val="center"/>
        </w:trPr>
        <w:tc>
          <w:tcPr>
            <w:tcW w:w="2816" w:type="pct"/>
            <w:vAlign w:val="center"/>
          </w:tcPr>
          <w:p w:rsidR="00E923A7" w:rsidRPr="0029679F" w:rsidRDefault="00E923A7" w:rsidP="00072CE1">
            <w:pPr>
              <w:pStyle w:val="boczek1"/>
            </w:pPr>
            <w:r w:rsidRPr="0029679F">
              <w:t xml:space="preserve">Koszty </w:t>
            </w:r>
            <w:r>
              <w:t>ogółem (</w:t>
            </w:r>
            <w:r w:rsidRPr="0029679F">
              <w:t>koszt</w:t>
            </w:r>
            <w:r>
              <w:t>y</w:t>
            </w:r>
            <w:r w:rsidRPr="0029679F">
              <w:t xml:space="preserve"> uzyskania przychodów z całokształtu działalności</w:t>
            </w:r>
            <w:r>
              <w:t>)</w:t>
            </w:r>
          </w:p>
        </w:tc>
        <w:tc>
          <w:tcPr>
            <w:tcW w:w="1158" w:type="pct"/>
            <w:vAlign w:val="center"/>
          </w:tcPr>
          <w:p w:rsidR="00E923A7" w:rsidRPr="0041799B" w:rsidRDefault="00E923A7" w:rsidP="00072CE1">
            <w:pPr>
              <w:pStyle w:val="tableteksttab"/>
            </w:pPr>
            <w:r w:rsidRPr="0041799B">
              <w:t>641509,5</w:t>
            </w:r>
          </w:p>
        </w:tc>
        <w:tc>
          <w:tcPr>
            <w:tcW w:w="1026" w:type="pct"/>
            <w:vAlign w:val="bottom"/>
          </w:tcPr>
          <w:p w:rsidR="00E923A7" w:rsidRDefault="00E923A7" w:rsidP="00072CE1">
            <w:pPr>
              <w:pStyle w:val="tableteksttab"/>
            </w:pPr>
            <w:r>
              <w:t>664112,4</w:t>
            </w:r>
          </w:p>
        </w:tc>
      </w:tr>
      <w:tr w:rsidR="00E923A7" w:rsidRPr="00F30594" w:rsidTr="00072CE1">
        <w:trPr>
          <w:trHeight w:val="57"/>
          <w:jc w:val="center"/>
        </w:trPr>
        <w:tc>
          <w:tcPr>
            <w:tcW w:w="2816" w:type="pct"/>
            <w:vAlign w:val="center"/>
          </w:tcPr>
          <w:p w:rsidR="00E923A7" w:rsidRPr="0029679F" w:rsidRDefault="00E923A7" w:rsidP="00072CE1">
            <w:pPr>
              <w:pStyle w:val="boczek2"/>
            </w:pPr>
            <w:r w:rsidRPr="0029679F">
              <w:t>w tym koszt</w:t>
            </w:r>
            <w:r>
              <w:t>y</w:t>
            </w:r>
            <w:r w:rsidRPr="0029679F">
              <w:t xml:space="preserve"> sprzedanych produktów</w:t>
            </w:r>
            <w:r>
              <w:t>,</w:t>
            </w:r>
            <w:r w:rsidRPr="0029679F">
              <w:t xml:space="preserve"> towarów i materiałów</w:t>
            </w:r>
          </w:p>
        </w:tc>
        <w:tc>
          <w:tcPr>
            <w:tcW w:w="1158" w:type="pct"/>
            <w:vAlign w:val="center"/>
          </w:tcPr>
          <w:p w:rsidR="00E923A7" w:rsidRPr="0041799B" w:rsidRDefault="00E923A7" w:rsidP="00072CE1">
            <w:pPr>
              <w:pStyle w:val="tableteksttab"/>
            </w:pPr>
            <w:r w:rsidRPr="0041799B">
              <w:t>625004,9</w:t>
            </w:r>
          </w:p>
        </w:tc>
        <w:tc>
          <w:tcPr>
            <w:tcW w:w="1026" w:type="pct"/>
            <w:vAlign w:val="bottom"/>
          </w:tcPr>
          <w:p w:rsidR="00E923A7" w:rsidRDefault="00E923A7" w:rsidP="00072CE1">
            <w:pPr>
              <w:pStyle w:val="tableteksttab"/>
            </w:pPr>
            <w:r>
              <w:t>648344,4</w:t>
            </w:r>
          </w:p>
        </w:tc>
      </w:tr>
      <w:tr w:rsidR="00E923A7" w:rsidRPr="00F30594" w:rsidTr="00072CE1">
        <w:trPr>
          <w:trHeight w:val="57"/>
          <w:jc w:val="center"/>
        </w:trPr>
        <w:tc>
          <w:tcPr>
            <w:tcW w:w="2816" w:type="pct"/>
            <w:vAlign w:val="center"/>
          </w:tcPr>
          <w:p w:rsidR="00E923A7" w:rsidRPr="0029679F" w:rsidRDefault="00E923A7" w:rsidP="00072CE1">
            <w:pPr>
              <w:pStyle w:val="boczek1"/>
            </w:pPr>
            <w:r w:rsidRPr="0029679F">
              <w:t>Wynik finansowy ze sprzedaży produktów, towarów i materiałów</w:t>
            </w:r>
          </w:p>
        </w:tc>
        <w:tc>
          <w:tcPr>
            <w:tcW w:w="1158" w:type="pct"/>
            <w:vAlign w:val="center"/>
          </w:tcPr>
          <w:p w:rsidR="00E923A7" w:rsidRPr="0041799B" w:rsidRDefault="00E923A7" w:rsidP="00072CE1">
            <w:pPr>
              <w:pStyle w:val="tableteksttab"/>
            </w:pPr>
            <w:r w:rsidRPr="0041799B">
              <w:t>52831,5</w:t>
            </w:r>
          </w:p>
        </w:tc>
        <w:tc>
          <w:tcPr>
            <w:tcW w:w="1026" w:type="pct"/>
            <w:vAlign w:val="bottom"/>
          </w:tcPr>
          <w:p w:rsidR="00E923A7" w:rsidRDefault="00E923A7" w:rsidP="00072CE1">
            <w:pPr>
              <w:pStyle w:val="tableteksttab"/>
            </w:pPr>
            <w:r>
              <w:t>35965,2</w:t>
            </w:r>
          </w:p>
        </w:tc>
      </w:tr>
      <w:tr w:rsidR="00E923A7" w:rsidRPr="00F30594" w:rsidTr="00072CE1">
        <w:trPr>
          <w:trHeight w:val="57"/>
          <w:jc w:val="center"/>
        </w:trPr>
        <w:tc>
          <w:tcPr>
            <w:tcW w:w="2816" w:type="pct"/>
            <w:vAlign w:val="center"/>
          </w:tcPr>
          <w:p w:rsidR="00E923A7" w:rsidRPr="0029679F" w:rsidRDefault="00E923A7" w:rsidP="00072CE1">
            <w:pPr>
              <w:pStyle w:val="boczek1"/>
            </w:pPr>
            <w:r w:rsidRPr="0029679F">
              <w:t xml:space="preserve">Wynik finansowy </w:t>
            </w:r>
            <w:r>
              <w:t>z</w:t>
            </w:r>
            <w:r w:rsidRPr="0029679F">
              <w:t xml:space="preserve"> pozostałej działalności operacyjnej</w:t>
            </w:r>
          </w:p>
        </w:tc>
        <w:tc>
          <w:tcPr>
            <w:tcW w:w="1158" w:type="pct"/>
            <w:vAlign w:val="center"/>
          </w:tcPr>
          <w:p w:rsidR="00E923A7" w:rsidRPr="0041799B" w:rsidRDefault="00E923A7" w:rsidP="00072CE1">
            <w:pPr>
              <w:pStyle w:val="tableteksttab"/>
            </w:pPr>
            <w:r w:rsidRPr="0041799B">
              <w:t>-516,0</w:t>
            </w:r>
          </w:p>
        </w:tc>
        <w:tc>
          <w:tcPr>
            <w:tcW w:w="1026" w:type="pct"/>
            <w:vAlign w:val="bottom"/>
          </w:tcPr>
          <w:p w:rsidR="00E923A7" w:rsidRDefault="00E923A7" w:rsidP="00072CE1">
            <w:pPr>
              <w:pStyle w:val="tableteksttab"/>
            </w:pPr>
            <w:r>
              <w:t>-1108,7</w:t>
            </w:r>
          </w:p>
        </w:tc>
      </w:tr>
      <w:tr w:rsidR="00E923A7" w:rsidRPr="00F30594" w:rsidTr="00072CE1">
        <w:trPr>
          <w:trHeight w:val="57"/>
          <w:jc w:val="center"/>
        </w:trPr>
        <w:tc>
          <w:tcPr>
            <w:tcW w:w="2816" w:type="pct"/>
            <w:vAlign w:val="center"/>
          </w:tcPr>
          <w:p w:rsidR="00E923A7" w:rsidRPr="0029679F" w:rsidRDefault="00E923A7" w:rsidP="00072CE1">
            <w:pPr>
              <w:pStyle w:val="boczek1"/>
            </w:pPr>
            <w:r w:rsidRPr="0029679F">
              <w:t>Wynik na operacjach finansowych</w:t>
            </w:r>
          </w:p>
        </w:tc>
        <w:tc>
          <w:tcPr>
            <w:tcW w:w="1158" w:type="pct"/>
            <w:vAlign w:val="center"/>
          </w:tcPr>
          <w:p w:rsidR="00E923A7" w:rsidRPr="0041799B" w:rsidRDefault="00E923A7" w:rsidP="00072CE1">
            <w:pPr>
              <w:pStyle w:val="tableteksttab"/>
            </w:pPr>
            <w:r w:rsidRPr="0041799B">
              <w:t>-2523,4</w:t>
            </w:r>
          </w:p>
        </w:tc>
        <w:tc>
          <w:tcPr>
            <w:tcW w:w="1026" w:type="pct"/>
            <w:vAlign w:val="bottom"/>
          </w:tcPr>
          <w:p w:rsidR="00E923A7" w:rsidRDefault="00E923A7" w:rsidP="00072CE1">
            <w:pPr>
              <w:pStyle w:val="tableteksttab"/>
            </w:pPr>
            <w:r>
              <w:t>-1037,8</w:t>
            </w:r>
          </w:p>
        </w:tc>
      </w:tr>
      <w:tr w:rsidR="00E923A7" w:rsidRPr="00F30594" w:rsidTr="00072CE1">
        <w:trPr>
          <w:trHeight w:val="57"/>
          <w:jc w:val="center"/>
        </w:trPr>
        <w:tc>
          <w:tcPr>
            <w:tcW w:w="2816" w:type="pct"/>
            <w:vAlign w:val="bottom"/>
          </w:tcPr>
          <w:p w:rsidR="00E923A7" w:rsidRPr="005674F7" w:rsidRDefault="00E923A7" w:rsidP="00072CE1">
            <w:pPr>
              <w:pStyle w:val="boczek1"/>
            </w:pPr>
            <w:r w:rsidRPr="005674F7">
              <w:t>Wynik finansowy brutto</w:t>
            </w:r>
            <w:r w:rsidRPr="005674F7">
              <w:tab/>
            </w:r>
          </w:p>
        </w:tc>
        <w:tc>
          <w:tcPr>
            <w:tcW w:w="1158" w:type="pct"/>
            <w:vAlign w:val="center"/>
          </w:tcPr>
          <w:p w:rsidR="00E923A7" w:rsidRPr="0041799B" w:rsidRDefault="00E923A7" w:rsidP="00072CE1">
            <w:pPr>
              <w:pStyle w:val="tableteksttab"/>
            </w:pPr>
            <w:r w:rsidRPr="0041799B">
              <w:t>49792,1</w:t>
            </w:r>
          </w:p>
        </w:tc>
        <w:tc>
          <w:tcPr>
            <w:tcW w:w="1026" w:type="pct"/>
            <w:vAlign w:val="bottom"/>
          </w:tcPr>
          <w:p w:rsidR="00E923A7" w:rsidRDefault="00E923A7" w:rsidP="00072CE1">
            <w:pPr>
              <w:pStyle w:val="tableteksttab"/>
            </w:pPr>
            <w:r>
              <w:t>33818,8</w:t>
            </w:r>
          </w:p>
        </w:tc>
      </w:tr>
      <w:tr w:rsidR="00E923A7" w:rsidRPr="00F30594" w:rsidTr="00072CE1">
        <w:trPr>
          <w:trHeight w:val="57"/>
          <w:jc w:val="center"/>
        </w:trPr>
        <w:tc>
          <w:tcPr>
            <w:tcW w:w="2816" w:type="pct"/>
            <w:vAlign w:val="bottom"/>
          </w:tcPr>
          <w:p w:rsidR="00E923A7" w:rsidRPr="005674F7" w:rsidRDefault="00E923A7" w:rsidP="00072CE1">
            <w:pPr>
              <w:pStyle w:val="boczek1"/>
            </w:pPr>
            <w:r w:rsidRPr="005674F7">
              <w:t>Wynik finansowy netto</w:t>
            </w:r>
            <w:r w:rsidRPr="005674F7">
              <w:tab/>
            </w:r>
          </w:p>
        </w:tc>
        <w:tc>
          <w:tcPr>
            <w:tcW w:w="1158" w:type="pct"/>
            <w:vAlign w:val="center"/>
          </w:tcPr>
          <w:p w:rsidR="00E923A7" w:rsidRPr="0041799B" w:rsidRDefault="00E923A7" w:rsidP="00072CE1">
            <w:pPr>
              <w:pStyle w:val="tableteksttab"/>
            </w:pPr>
            <w:r w:rsidRPr="0041799B">
              <w:t>41004,6</w:t>
            </w:r>
          </w:p>
        </w:tc>
        <w:tc>
          <w:tcPr>
            <w:tcW w:w="1026" w:type="pct"/>
            <w:vAlign w:val="bottom"/>
          </w:tcPr>
          <w:p w:rsidR="00E923A7" w:rsidRDefault="00E923A7" w:rsidP="00072CE1">
            <w:pPr>
              <w:pStyle w:val="tableteksttab"/>
            </w:pPr>
            <w:r>
              <w:t>27398,5</w:t>
            </w:r>
          </w:p>
        </w:tc>
      </w:tr>
      <w:tr w:rsidR="00E923A7" w:rsidRPr="00F30594" w:rsidTr="00072CE1">
        <w:trPr>
          <w:trHeight w:val="57"/>
          <w:jc w:val="center"/>
        </w:trPr>
        <w:tc>
          <w:tcPr>
            <w:tcW w:w="2816" w:type="pct"/>
            <w:vAlign w:val="bottom"/>
          </w:tcPr>
          <w:p w:rsidR="00E923A7" w:rsidRPr="005674F7" w:rsidRDefault="00E923A7" w:rsidP="00072CE1">
            <w:pPr>
              <w:pStyle w:val="boczek2"/>
            </w:pPr>
            <w:r w:rsidRPr="005674F7">
              <w:t>zysk netto</w:t>
            </w:r>
            <w:r w:rsidRPr="005674F7">
              <w:tab/>
            </w:r>
          </w:p>
        </w:tc>
        <w:tc>
          <w:tcPr>
            <w:tcW w:w="1158" w:type="pct"/>
            <w:vAlign w:val="center"/>
          </w:tcPr>
          <w:p w:rsidR="00E923A7" w:rsidRPr="0041799B" w:rsidRDefault="00E923A7" w:rsidP="00072CE1">
            <w:pPr>
              <w:pStyle w:val="tableteksttab"/>
            </w:pPr>
            <w:r w:rsidRPr="0041799B">
              <w:t>43828,8</w:t>
            </w:r>
          </w:p>
        </w:tc>
        <w:tc>
          <w:tcPr>
            <w:tcW w:w="1026" w:type="pct"/>
            <w:vAlign w:val="bottom"/>
          </w:tcPr>
          <w:p w:rsidR="00E923A7" w:rsidRDefault="00E923A7" w:rsidP="00072CE1">
            <w:pPr>
              <w:pStyle w:val="tableteksttab"/>
            </w:pPr>
            <w:r>
              <w:t>31195,0</w:t>
            </w:r>
          </w:p>
        </w:tc>
      </w:tr>
      <w:tr w:rsidR="00E923A7" w:rsidRPr="00F30594" w:rsidTr="00072CE1">
        <w:trPr>
          <w:trHeight w:val="57"/>
          <w:jc w:val="center"/>
        </w:trPr>
        <w:tc>
          <w:tcPr>
            <w:tcW w:w="2816" w:type="pct"/>
            <w:tcBorders>
              <w:bottom w:val="nil"/>
            </w:tcBorders>
            <w:vAlign w:val="bottom"/>
          </w:tcPr>
          <w:p w:rsidR="00E923A7" w:rsidRPr="005674F7" w:rsidRDefault="00E923A7" w:rsidP="00072CE1">
            <w:pPr>
              <w:pStyle w:val="boczek2"/>
            </w:pPr>
            <w:r w:rsidRPr="005674F7">
              <w:t>strata netto</w:t>
            </w:r>
            <w:r w:rsidRPr="005674F7">
              <w:tab/>
            </w:r>
          </w:p>
        </w:tc>
        <w:tc>
          <w:tcPr>
            <w:tcW w:w="1158" w:type="pct"/>
            <w:tcBorders>
              <w:bottom w:val="nil"/>
            </w:tcBorders>
            <w:vAlign w:val="center"/>
          </w:tcPr>
          <w:p w:rsidR="00E923A7" w:rsidRPr="0041799B" w:rsidRDefault="00E923A7" w:rsidP="00072CE1">
            <w:pPr>
              <w:pStyle w:val="tableteksttab"/>
            </w:pPr>
            <w:r w:rsidRPr="0041799B">
              <w:t>2824,2</w:t>
            </w:r>
          </w:p>
        </w:tc>
        <w:tc>
          <w:tcPr>
            <w:tcW w:w="1026" w:type="pct"/>
            <w:tcBorders>
              <w:bottom w:val="nil"/>
            </w:tcBorders>
            <w:vAlign w:val="bottom"/>
          </w:tcPr>
          <w:p w:rsidR="00E923A7" w:rsidRDefault="00E923A7" w:rsidP="00072CE1">
            <w:pPr>
              <w:pStyle w:val="tableteksttab"/>
            </w:pPr>
            <w:r>
              <w:t>3796,5</w:t>
            </w:r>
          </w:p>
        </w:tc>
      </w:tr>
    </w:tbl>
    <w:p w:rsidR="00E923A7" w:rsidRDefault="00E923A7" w:rsidP="00E923A7">
      <w:pPr>
        <w:pStyle w:val="tekst"/>
        <w:spacing w:before="200"/>
      </w:pPr>
      <w:r w:rsidRPr="009E6233">
        <w:t xml:space="preserve">W przedsiębiorstwach objętych badaniem </w:t>
      </w:r>
      <w:r w:rsidR="0067206B">
        <w:t xml:space="preserve">w </w:t>
      </w:r>
      <w:r>
        <w:t>2024</w:t>
      </w:r>
      <w:r w:rsidRPr="007F569F">
        <w:t xml:space="preserve"> r. po</w:t>
      </w:r>
      <w:r w:rsidR="0041198A">
        <w:t>gorszy</w:t>
      </w:r>
      <w:r w:rsidRPr="007F569F">
        <w:t xml:space="preserve">ły sią podstawowe </w:t>
      </w:r>
      <w:r w:rsidRPr="007F569F">
        <w:rPr>
          <w:b/>
        </w:rPr>
        <w:t>wskaźniki ekonomiczno-finansowe</w:t>
      </w:r>
      <w:r w:rsidRPr="007F569F">
        <w:t xml:space="preserve">. Wskaźnik poziomu kosztów dla ogółu podmiotów wyniósł </w:t>
      </w:r>
      <w:r w:rsidR="009D13BD" w:rsidRPr="009D13BD">
        <w:t>95,2</w:t>
      </w:r>
      <w:r w:rsidRPr="007F569F">
        <w:t xml:space="preserve">% wobec </w:t>
      </w:r>
      <w:r w:rsidR="009D13BD" w:rsidRPr="007F569F">
        <w:t>92,8</w:t>
      </w:r>
      <w:r w:rsidRPr="005C2CFB">
        <w:t xml:space="preserve">% przed rokiem. Wskaźnik rentowności sprzedaży produktów, towarów i materiałów w ciągu roku </w:t>
      </w:r>
      <w:r w:rsidR="009D13BD">
        <w:t>obniży</w:t>
      </w:r>
      <w:r w:rsidRPr="005C2CFB">
        <w:t>ł</w:t>
      </w:r>
      <w:r w:rsidR="009D13BD">
        <w:t xml:space="preserve"> się</w:t>
      </w:r>
      <w:r w:rsidRPr="005C2CFB">
        <w:t xml:space="preserve"> o </w:t>
      </w:r>
      <w:r w:rsidR="009D13BD">
        <w:t>2,5</w:t>
      </w:r>
      <w:r w:rsidRPr="005C2CFB">
        <w:t xml:space="preserve"> p.proc. do </w:t>
      </w:r>
      <w:r w:rsidR="009D13BD" w:rsidRPr="009D13BD">
        <w:t>5,3</w:t>
      </w:r>
      <w:r w:rsidRPr="005C2CFB">
        <w:t xml:space="preserve">%. Wskaźnik rentowności obrotu brutto wyniósł </w:t>
      </w:r>
      <w:r w:rsidR="00024030">
        <w:t>4,8</w:t>
      </w:r>
      <w:r w:rsidRPr="005C2CFB">
        <w:t xml:space="preserve">% wobec </w:t>
      </w:r>
      <w:r w:rsidR="00024030">
        <w:t>7,2</w:t>
      </w:r>
      <w:r w:rsidRPr="005C2CFB">
        <w:t>% przed rokiem, a netto z</w:t>
      </w:r>
      <w:r w:rsidR="00024030">
        <w:t>mniej</w:t>
      </w:r>
      <w:r w:rsidRPr="005C2CFB">
        <w:t xml:space="preserve">szył się w tym czasie o </w:t>
      </w:r>
      <w:r w:rsidR="00024030">
        <w:t>2,0</w:t>
      </w:r>
      <w:r w:rsidRPr="005C2CFB">
        <w:t xml:space="preserve"> p.proc., osiągając </w:t>
      </w:r>
      <w:r w:rsidR="00024030">
        <w:t>3</w:t>
      </w:r>
      <w:r w:rsidRPr="005C2CFB">
        <w:t>,</w:t>
      </w:r>
      <w:r>
        <w:t>9</w:t>
      </w:r>
      <w:r w:rsidRPr="005C2CFB">
        <w:t xml:space="preserve">%. </w:t>
      </w:r>
      <w:r w:rsidRPr="00784FEF">
        <w:t>Po</w:t>
      </w:r>
      <w:r w:rsidR="005F6673">
        <w:t>gorszenie</w:t>
      </w:r>
      <w:r w:rsidRPr="00784FEF">
        <w:t xml:space="preserve"> wskaźników </w:t>
      </w:r>
      <w:r w:rsidRPr="00911B9B">
        <w:t xml:space="preserve">obserwowano w przetwórstwie przemysłowym, </w:t>
      </w:r>
      <w:r w:rsidR="005F6673">
        <w:t xml:space="preserve">budownictwie, </w:t>
      </w:r>
      <w:r w:rsidR="005F6673" w:rsidRPr="00911B9B">
        <w:t>handlu; naprawie pojazdów samochodowych,</w:t>
      </w:r>
      <w:r w:rsidR="005F6673" w:rsidRPr="005F6673">
        <w:t xml:space="preserve"> </w:t>
      </w:r>
      <w:r w:rsidR="005F6673" w:rsidRPr="00004D22">
        <w:t>zakwaterowani</w:t>
      </w:r>
      <w:r w:rsidR="005F6673">
        <w:t>u i gastronomii</w:t>
      </w:r>
      <w:r w:rsidR="005F6673" w:rsidRPr="00004D22">
        <w:t>,</w:t>
      </w:r>
      <w:r w:rsidR="005F6673" w:rsidRPr="005F6673">
        <w:t xml:space="preserve"> </w:t>
      </w:r>
      <w:r w:rsidR="005F6673" w:rsidRPr="00784FEF">
        <w:t>informacji i komunikacji</w:t>
      </w:r>
      <w:r w:rsidR="005F6673">
        <w:t xml:space="preserve">, </w:t>
      </w:r>
      <w:r w:rsidR="005F6673" w:rsidRPr="00911B9B">
        <w:t xml:space="preserve">działalności profesjonalnej, naukowej i technicznej, administrowaniu </w:t>
      </w:r>
      <w:r w:rsidR="005F6673" w:rsidRPr="00784FEF">
        <w:t>i działalności wspierającej</w:t>
      </w:r>
      <w:r w:rsidR="006D1DE5">
        <w:t>,</w:t>
      </w:r>
      <w:r w:rsidR="000A29C8">
        <w:t xml:space="preserve"> </w:t>
      </w:r>
      <w:r w:rsidR="005F6673" w:rsidRPr="00784FEF">
        <w:t>opiece zdrowotnej i pomocy społecznej</w:t>
      </w:r>
      <w:r w:rsidR="006D1DE5">
        <w:t xml:space="preserve"> oraz pozostałej </w:t>
      </w:r>
      <w:r w:rsidR="006D1DE5" w:rsidRPr="00784FEF">
        <w:t>działalności</w:t>
      </w:r>
      <w:r w:rsidR="006D1DE5">
        <w:t xml:space="preserve"> usługowej</w:t>
      </w:r>
      <w:r w:rsidR="005F6673">
        <w:t>,</w:t>
      </w:r>
      <w:r w:rsidR="0067206B">
        <w:t xml:space="preserve"> a </w:t>
      </w:r>
      <w:r w:rsidR="005F6673" w:rsidRPr="00784FEF">
        <w:t xml:space="preserve">pomijając wskaźnik rentowności sprzedaży – także </w:t>
      </w:r>
      <w:r w:rsidR="005F6673">
        <w:t>w</w:t>
      </w:r>
      <w:r w:rsidR="005F6673" w:rsidRPr="00004D22">
        <w:t xml:space="preserve"> transpor</w:t>
      </w:r>
      <w:r w:rsidR="005F6673">
        <w:t>cie</w:t>
      </w:r>
      <w:r w:rsidR="005F6673" w:rsidRPr="00004D22">
        <w:t xml:space="preserve"> i gospodar</w:t>
      </w:r>
      <w:r w:rsidR="005F6673">
        <w:t>ce</w:t>
      </w:r>
      <w:r w:rsidR="005F6673" w:rsidRPr="00004D22">
        <w:t xml:space="preserve"> magazynow</w:t>
      </w:r>
      <w:r w:rsidR="005F6673">
        <w:t>ej</w:t>
      </w:r>
      <w:r w:rsidR="005F6673" w:rsidRPr="00784FEF">
        <w:t>.</w:t>
      </w:r>
      <w:r w:rsidRPr="00784FEF">
        <w:t xml:space="preserve"> </w:t>
      </w:r>
      <w:r w:rsidR="00B743D9">
        <w:t>Lepie</w:t>
      </w:r>
      <w:r w:rsidRPr="00784FEF">
        <w:t xml:space="preserve">j niż przed rokiem </w:t>
      </w:r>
      <w:r>
        <w:t xml:space="preserve">wskaźniki </w:t>
      </w:r>
      <w:r w:rsidRPr="00004D22">
        <w:t>kształtowały się m.in. w przedsiębiorstwach zajmujących się</w:t>
      </w:r>
      <w:r w:rsidR="009F73FE">
        <w:t xml:space="preserve"> wytwarzaniem i </w:t>
      </w:r>
      <w:r w:rsidR="006D1DE5">
        <w:t>zaopatrywaniem w </w:t>
      </w:r>
      <w:r w:rsidRPr="00004D22">
        <w:t>energię</w:t>
      </w:r>
      <w:r w:rsidR="006D1DE5">
        <w:t xml:space="preserve"> elektryczną, gaz, parę wodną i </w:t>
      </w:r>
      <w:r w:rsidRPr="00004D22">
        <w:t>gorącą wodę, dostawą wody; gospodaro</w:t>
      </w:r>
      <w:r>
        <w:t xml:space="preserve">waniem ściekami i </w:t>
      </w:r>
      <w:r w:rsidRPr="00004D22">
        <w:t xml:space="preserve">odpadami; rekultywacją, </w:t>
      </w:r>
      <w:r w:rsidRPr="007A5382">
        <w:t>obsłu</w:t>
      </w:r>
      <w:r>
        <w:t>gą</w:t>
      </w:r>
      <w:r w:rsidRPr="007A5382">
        <w:t xml:space="preserve"> rynku nieruchomości </w:t>
      </w:r>
      <w:r w:rsidRPr="00004D22">
        <w:t>oraz</w:t>
      </w:r>
      <w:r w:rsidR="00B743D9">
        <w:t xml:space="preserve"> edukacją</w:t>
      </w:r>
      <w:r>
        <w:t>.</w:t>
      </w:r>
      <w:r w:rsidRPr="007A5382">
        <w:t xml:space="preserve"> W przypadku rentowności obrotu netto naj</w:t>
      </w:r>
      <w:r>
        <w:t xml:space="preserve">większy </w:t>
      </w:r>
      <w:r w:rsidR="009F73FE">
        <w:t>spadek</w:t>
      </w:r>
      <w:r w:rsidRPr="007A5382">
        <w:t xml:space="preserve"> wskaźnik</w:t>
      </w:r>
      <w:r w:rsidR="009F73FE">
        <w:t xml:space="preserve">a </w:t>
      </w:r>
      <w:r>
        <w:t>obserwowano</w:t>
      </w:r>
      <w:r w:rsidRPr="007A5382">
        <w:t xml:space="preserve"> w </w:t>
      </w:r>
      <w:r w:rsidR="006D1DE5">
        <w:t>przedsiębiorstwach z sekcji</w:t>
      </w:r>
      <w:r w:rsidR="009F73FE" w:rsidRPr="009F73FE">
        <w:t xml:space="preserve"> </w:t>
      </w:r>
      <w:r w:rsidR="006D1DE5">
        <w:t>handel</w:t>
      </w:r>
      <w:r w:rsidR="006D1DE5" w:rsidRPr="00911B9B">
        <w:t>; napraw</w:t>
      </w:r>
      <w:r w:rsidR="006D1DE5">
        <w:t>a</w:t>
      </w:r>
      <w:r w:rsidR="006D1DE5" w:rsidRPr="00911B9B">
        <w:t xml:space="preserve"> pojazdów samochodowych</w:t>
      </w:r>
      <w:r w:rsidR="006D1DE5" w:rsidRPr="007A5382">
        <w:t xml:space="preserve"> </w:t>
      </w:r>
      <w:r w:rsidRPr="007A5382">
        <w:t>(</w:t>
      </w:r>
      <w:r w:rsidR="006D1DE5">
        <w:t>o 3,7</w:t>
      </w:r>
      <w:r w:rsidR="009F73FE">
        <w:t xml:space="preserve"> p.proc.</w:t>
      </w:r>
      <w:r>
        <w:t xml:space="preserve"> do</w:t>
      </w:r>
      <w:r w:rsidRPr="007A5382">
        <w:t xml:space="preserve"> </w:t>
      </w:r>
      <w:r w:rsidR="006D1DE5">
        <w:t>2,7</w:t>
      </w:r>
      <w:r w:rsidRPr="007A5382">
        <w:t>%)</w:t>
      </w:r>
      <w:r w:rsidR="009F73FE">
        <w:t>, natomiast największy wzrost w edukacj</w:t>
      </w:r>
      <w:r w:rsidR="006D1DE5">
        <w:t>i</w:t>
      </w:r>
      <w:r w:rsidR="009F73FE">
        <w:t xml:space="preserve"> </w:t>
      </w:r>
      <w:r w:rsidR="009F73FE" w:rsidRPr="007A5382">
        <w:t>(</w:t>
      </w:r>
      <w:r w:rsidR="006D1DE5">
        <w:t>o 15,7 </w:t>
      </w:r>
      <w:r w:rsidR="009F73FE">
        <w:t>p.proc. do</w:t>
      </w:r>
      <w:r w:rsidR="009F73FE" w:rsidRPr="007A5382">
        <w:t xml:space="preserve"> </w:t>
      </w:r>
      <w:r w:rsidR="009F73FE">
        <w:t>17,5</w:t>
      </w:r>
      <w:r w:rsidR="009F73FE" w:rsidRPr="007A5382">
        <w:t>%)</w:t>
      </w:r>
      <w:r w:rsidRPr="007A5382">
        <w:t xml:space="preserve">. </w:t>
      </w:r>
    </w:p>
    <w:p w:rsidR="00E923A7" w:rsidRPr="003351C6" w:rsidRDefault="00DC46F9" w:rsidP="00DC46F9">
      <w:pPr>
        <w:pStyle w:val="Tytultabeli"/>
        <w:spacing w:before="1320"/>
      </w:pPr>
      <w:r w:rsidRPr="00DC46F9">
        <w:rPr>
          <w:noProof/>
        </w:rPr>
        <w:lastRenderedPageBreak/>
        <w:drawing>
          <wp:anchor distT="0" distB="0" distL="114300" distR="114300" simplePos="0" relativeHeight="252956160" behindDoc="0" locked="0" layoutInCell="1" allowOverlap="1">
            <wp:simplePos x="0" y="0"/>
            <wp:positionH relativeFrom="margin">
              <wp:align>center</wp:align>
            </wp:positionH>
            <wp:positionV relativeFrom="paragraph">
              <wp:posOffset>277238</wp:posOffset>
            </wp:positionV>
            <wp:extent cx="5940000" cy="2650014"/>
            <wp:effectExtent l="0" t="0" r="3810" b="0"/>
            <wp:wrapTopAndBottom/>
            <wp:docPr id="41" name="Obraz 41" descr="Podwójny wykres kolumnowy (Polska i województwo wielkopolskie) dla kolejnych kwartałów (okresów narastających) w latach 2021–2024 r. na osi poziomej. Na osi pionowej wartości wskaźnika rentowności obrotu netto z przedziału od 0 do 7%.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0000" cy="26500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23A7" w:rsidRPr="003351C6">
        <w:t>Wykres 1</w:t>
      </w:r>
      <w:r w:rsidR="00E923A7">
        <w:t>0</w:t>
      </w:r>
      <w:r w:rsidR="00E923A7" w:rsidRPr="003351C6">
        <w:t>.</w:t>
      </w:r>
      <w:r w:rsidR="00E923A7">
        <w:tab/>
      </w:r>
      <w:r w:rsidR="00E923A7" w:rsidRPr="003351C6">
        <w:t xml:space="preserve"> Wskaźnik rentowności obrotu netto</w:t>
      </w:r>
      <w:r w:rsidR="00E923A7" w:rsidRPr="00986ADC">
        <w:t xml:space="preserve"> </w:t>
      </w:r>
    </w:p>
    <w:p w:rsidR="004E6529" w:rsidRDefault="00E923A7" w:rsidP="00E923A7">
      <w:pPr>
        <w:spacing w:before="360"/>
      </w:pPr>
      <w:r w:rsidRPr="0080798D">
        <w:t xml:space="preserve">W </w:t>
      </w:r>
      <w:r>
        <w:t>2024</w:t>
      </w:r>
      <w:r w:rsidRPr="0026390C">
        <w:t xml:space="preserve"> r. na poziomie województwa odnotowano poprawę płynności finansowej przedsiębiorstw, wyrażającą się wzrostem wskaźników I </w:t>
      </w:r>
      <w:proofErr w:type="spellStart"/>
      <w:r w:rsidRPr="0026390C">
        <w:t>i</w:t>
      </w:r>
      <w:proofErr w:type="spellEnd"/>
      <w:r w:rsidRPr="0026390C">
        <w:t xml:space="preserve"> II stopnia (odpowiednio o </w:t>
      </w:r>
      <w:r w:rsidR="00EB0AC6">
        <w:t>5,8</w:t>
      </w:r>
      <w:r w:rsidRPr="0026390C">
        <w:t xml:space="preserve"> p.proc. do </w:t>
      </w:r>
      <w:r w:rsidR="00EB0AC6">
        <w:t>43,3</w:t>
      </w:r>
      <w:r w:rsidRPr="0026390C">
        <w:t>% oraz o 5,</w:t>
      </w:r>
      <w:r w:rsidR="00EB0AC6">
        <w:t>3</w:t>
      </w:r>
      <w:r w:rsidRPr="0026390C">
        <w:t xml:space="preserve"> p.proc. do 9</w:t>
      </w:r>
      <w:r w:rsidR="00EB0AC6">
        <w:t>5</w:t>
      </w:r>
      <w:r w:rsidR="00F2146A">
        <w:t>,5</w:t>
      </w:r>
      <w:r w:rsidRPr="0026390C">
        <w:t xml:space="preserve">%). Poprawę płynności odnotowały m.in. jednostki z sekcji: przetwórstwo przemysłowe, </w:t>
      </w:r>
      <w:r w:rsidR="004E6529">
        <w:t>wytwarzanie i zaopatrywanie</w:t>
      </w:r>
      <w:r w:rsidR="004E6529" w:rsidRPr="0026390C">
        <w:t xml:space="preserve"> w energię elektryczną, gaz, parę wodną i gorącą wodę,</w:t>
      </w:r>
      <w:r w:rsidR="004E6529" w:rsidRPr="004E6529">
        <w:t xml:space="preserve"> </w:t>
      </w:r>
      <w:r w:rsidR="004E6529">
        <w:t>transport</w:t>
      </w:r>
      <w:r w:rsidR="004E6529" w:rsidRPr="0026390C">
        <w:t xml:space="preserve"> i</w:t>
      </w:r>
      <w:r w:rsidR="004E6529">
        <w:t xml:space="preserve"> gospodarka magazynowa</w:t>
      </w:r>
      <w:r w:rsidR="004E6529" w:rsidRPr="0026390C">
        <w:t>, informacja i komunikacja</w:t>
      </w:r>
      <w:r w:rsidR="004E6529">
        <w:t>, obsługa</w:t>
      </w:r>
      <w:r w:rsidR="004E6529" w:rsidRPr="0026390C">
        <w:t xml:space="preserve"> rynku nieruchomości,</w:t>
      </w:r>
      <w:r w:rsidR="006D1DE5">
        <w:t xml:space="preserve"> edukacja</w:t>
      </w:r>
      <w:r w:rsidR="00755DE2">
        <w:t xml:space="preserve"> oraz</w:t>
      </w:r>
      <w:r w:rsidR="00F2146A">
        <w:t xml:space="preserve"> </w:t>
      </w:r>
      <w:r w:rsidR="004E6529" w:rsidRPr="0026390C">
        <w:t>opieka zdrowotna i pomoc społeczna</w:t>
      </w:r>
      <w:r w:rsidR="004E6529">
        <w:t xml:space="preserve">. </w:t>
      </w:r>
      <w:r w:rsidR="004E6529" w:rsidRPr="0026390C">
        <w:t>Płynność finansowa pogorszyła się natomiast m.in. w przedsiębiorstwach zajmujących się</w:t>
      </w:r>
      <w:r w:rsidR="004E6529">
        <w:t xml:space="preserve"> </w:t>
      </w:r>
      <w:r w:rsidR="00C2542F" w:rsidRPr="0026390C">
        <w:t>dostaw</w:t>
      </w:r>
      <w:r w:rsidR="00C2542F">
        <w:t>ą</w:t>
      </w:r>
      <w:r w:rsidR="00C2542F" w:rsidRPr="0026390C">
        <w:t xml:space="preserve"> wody; gospodarowanie</w:t>
      </w:r>
      <w:r w:rsidR="00D4478E">
        <w:t>m</w:t>
      </w:r>
      <w:r w:rsidR="00C2542F" w:rsidRPr="0026390C">
        <w:t xml:space="preserve"> ściekami i odpadami; rekultywacj</w:t>
      </w:r>
      <w:r w:rsidR="00C2542F">
        <w:t>ą</w:t>
      </w:r>
      <w:r w:rsidR="00C2542F" w:rsidRPr="0026390C">
        <w:t>,</w:t>
      </w:r>
      <w:r w:rsidR="00C2542F">
        <w:t xml:space="preserve"> budownictwem, </w:t>
      </w:r>
      <w:r w:rsidR="00C2542F" w:rsidRPr="0026390C">
        <w:t>zakwaterowanie</w:t>
      </w:r>
      <w:r w:rsidR="00C2542F">
        <w:t>m</w:t>
      </w:r>
      <w:r w:rsidR="00C2542F" w:rsidRPr="0026390C">
        <w:t xml:space="preserve"> i gastronomi</w:t>
      </w:r>
      <w:r w:rsidR="00C2542F">
        <w:t xml:space="preserve">ą, </w:t>
      </w:r>
      <w:r w:rsidR="00C2542F" w:rsidRPr="0026390C">
        <w:t>działalnością profesjon</w:t>
      </w:r>
      <w:r w:rsidR="00C2542F" w:rsidRPr="006673C2">
        <w:t>alną, naukową i techniczną</w:t>
      </w:r>
      <w:r w:rsidR="00C2542F">
        <w:t xml:space="preserve"> oraz</w:t>
      </w:r>
      <w:r w:rsidR="00C2542F" w:rsidRPr="006673C2">
        <w:t xml:space="preserve"> </w:t>
      </w:r>
      <w:r w:rsidR="00C2542F" w:rsidRPr="00C47824">
        <w:t>administrowanie</w:t>
      </w:r>
      <w:r w:rsidR="00C2542F">
        <w:t>m</w:t>
      </w:r>
      <w:r w:rsidR="00C2542F" w:rsidRPr="00C47824">
        <w:t xml:space="preserve"> i działalnoś</w:t>
      </w:r>
      <w:r w:rsidR="00C2542F">
        <w:t>cią</w:t>
      </w:r>
      <w:r w:rsidR="00C2542F" w:rsidRPr="00C47824">
        <w:t xml:space="preserve"> wspierając</w:t>
      </w:r>
      <w:r w:rsidR="00C2542F">
        <w:t>ą.</w:t>
      </w:r>
    </w:p>
    <w:p w:rsidR="00E923A7" w:rsidRPr="00B4057C" w:rsidRDefault="00E923A7" w:rsidP="00E923A7">
      <w:pPr>
        <w:pStyle w:val="tytutablicy"/>
      </w:pPr>
      <w:r w:rsidRPr="00B4057C">
        <w:t>Tablica 14.</w:t>
      </w:r>
      <w:r>
        <w:tab/>
      </w:r>
      <w:r w:rsidRPr="00B4057C">
        <w:t>Podstawowe wskaźniki ekonomiczno-finansowe</w:t>
      </w:r>
    </w:p>
    <w:tbl>
      <w:tblPr>
        <w:tblW w:w="5000" w:type="pct"/>
        <w:jc w:val="center"/>
        <w:tblBorders>
          <w:top w:val="single" w:sz="4" w:space="0" w:color="522398"/>
          <w:bottom w:val="single" w:sz="4" w:space="0" w:color="522398"/>
          <w:insideH w:val="single" w:sz="4" w:space="0" w:color="522398"/>
          <w:insideV w:val="single" w:sz="4" w:space="0" w:color="522398"/>
        </w:tblBorders>
        <w:tblCellMar>
          <w:top w:w="28" w:type="dxa"/>
          <w:bottom w:w="28" w:type="dxa"/>
        </w:tblCellMar>
        <w:tblLook w:val="0420" w:firstRow="1" w:lastRow="0" w:firstColumn="0" w:lastColumn="0" w:noHBand="0" w:noVBand="1"/>
        <w:tblDescription w:val="Tablica prezentuje podstawowe wskaźniki ekonomiczno-finansowe uzyskane przez przedsiębiorstwa niefinansowe w okresie styczeń-grudzień w latach 2023 i 2024. Dane do tablicy dostępne w pliku w formacie XLSX"/>
      </w:tblPr>
      <w:tblGrid>
        <w:gridCol w:w="6030"/>
        <w:gridCol w:w="2274"/>
        <w:gridCol w:w="2175"/>
      </w:tblGrid>
      <w:tr w:rsidR="00E923A7" w:rsidRPr="00F30594" w:rsidTr="00072CE1">
        <w:trPr>
          <w:trHeight w:val="57"/>
          <w:tblHeader/>
          <w:jc w:val="center"/>
        </w:trPr>
        <w:tc>
          <w:tcPr>
            <w:tcW w:w="2877" w:type="pct"/>
            <w:vMerge w:val="restart"/>
            <w:tcBorders>
              <w:top w:val="nil"/>
            </w:tcBorders>
            <w:vAlign w:val="center"/>
          </w:tcPr>
          <w:p w:rsidR="00E923A7" w:rsidRPr="00116289" w:rsidRDefault="00E923A7" w:rsidP="00072CE1">
            <w:pPr>
              <w:pStyle w:val="glowka1"/>
            </w:pPr>
            <w:r w:rsidRPr="00116289">
              <w:t>Wyszczególnienie</w:t>
            </w:r>
          </w:p>
        </w:tc>
        <w:tc>
          <w:tcPr>
            <w:tcW w:w="1085" w:type="pct"/>
            <w:tcBorders>
              <w:top w:val="nil"/>
            </w:tcBorders>
            <w:vAlign w:val="center"/>
          </w:tcPr>
          <w:p w:rsidR="00E923A7" w:rsidRPr="00116289" w:rsidRDefault="00E923A7" w:rsidP="00072CE1">
            <w:pPr>
              <w:pStyle w:val="glowka1"/>
            </w:pPr>
            <w:r>
              <w:t xml:space="preserve">01–12 </w:t>
            </w:r>
            <w:r w:rsidRPr="00116289">
              <w:t>20</w:t>
            </w:r>
            <w:r>
              <w:t>23</w:t>
            </w:r>
          </w:p>
        </w:tc>
        <w:tc>
          <w:tcPr>
            <w:tcW w:w="1038" w:type="pct"/>
            <w:tcBorders>
              <w:top w:val="nil"/>
            </w:tcBorders>
            <w:vAlign w:val="center"/>
          </w:tcPr>
          <w:p w:rsidR="00E923A7" w:rsidRPr="00116289" w:rsidRDefault="00E923A7" w:rsidP="00072CE1">
            <w:pPr>
              <w:pStyle w:val="glowka1"/>
            </w:pPr>
            <w:r>
              <w:t xml:space="preserve">01–12 </w:t>
            </w:r>
            <w:r w:rsidRPr="00116289">
              <w:t>20</w:t>
            </w:r>
            <w:r>
              <w:t>24</w:t>
            </w:r>
          </w:p>
        </w:tc>
      </w:tr>
      <w:tr w:rsidR="00E923A7" w:rsidRPr="00F30594" w:rsidTr="00072CE1">
        <w:trPr>
          <w:trHeight w:val="57"/>
          <w:tblHeader/>
          <w:jc w:val="center"/>
        </w:trPr>
        <w:tc>
          <w:tcPr>
            <w:tcW w:w="2877" w:type="pct"/>
            <w:vMerge/>
            <w:tcBorders>
              <w:bottom w:val="single" w:sz="12" w:space="0" w:color="522398"/>
            </w:tcBorders>
            <w:vAlign w:val="center"/>
          </w:tcPr>
          <w:p w:rsidR="00E923A7" w:rsidRPr="00116289" w:rsidRDefault="00E923A7" w:rsidP="00072CE1">
            <w:pPr>
              <w:pStyle w:val="glowka1"/>
            </w:pPr>
          </w:p>
        </w:tc>
        <w:tc>
          <w:tcPr>
            <w:tcW w:w="2123" w:type="pct"/>
            <w:gridSpan w:val="2"/>
            <w:tcBorders>
              <w:bottom w:val="single" w:sz="12" w:space="0" w:color="522398"/>
            </w:tcBorders>
            <w:vAlign w:val="center"/>
          </w:tcPr>
          <w:p w:rsidR="00E923A7" w:rsidRPr="00116289" w:rsidRDefault="00E923A7" w:rsidP="00072CE1">
            <w:pPr>
              <w:pStyle w:val="glowka1"/>
            </w:pPr>
            <w:r w:rsidRPr="00116289">
              <w:t>w %</w:t>
            </w:r>
          </w:p>
        </w:tc>
      </w:tr>
      <w:tr w:rsidR="0068387C" w:rsidRPr="00F30594" w:rsidTr="00072CE1">
        <w:trPr>
          <w:trHeight w:val="57"/>
          <w:tblHeader/>
          <w:jc w:val="center"/>
        </w:trPr>
        <w:tc>
          <w:tcPr>
            <w:tcW w:w="2877" w:type="pct"/>
            <w:tcBorders>
              <w:top w:val="single" w:sz="12" w:space="0" w:color="522398"/>
            </w:tcBorders>
            <w:vAlign w:val="center"/>
          </w:tcPr>
          <w:p w:rsidR="0068387C" w:rsidRPr="00116289" w:rsidRDefault="0068387C" w:rsidP="0068387C">
            <w:pPr>
              <w:pStyle w:val="boczek1"/>
            </w:pPr>
            <w:r w:rsidRPr="00116289">
              <w:t>Wskaźnik poziomu kosztów</w:t>
            </w:r>
            <w:r w:rsidRPr="00116289">
              <w:tab/>
            </w:r>
          </w:p>
        </w:tc>
        <w:tc>
          <w:tcPr>
            <w:tcW w:w="1085" w:type="pct"/>
            <w:tcBorders>
              <w:top w:val="single" w:sz="12" w:space="0" w:color="522398"/>
            </w:tcBorders>
            <w:vAlign w:val="center"/>
          </w:tcPr>
          <w:p w:rsidR="0068387C" w:rsidRPr="0001083D" w:rsidRDefault="0068387C" w:rsidP="0068387C">
            <w:pPr>
              <w:pStyle w:val="tableteksttab"/>
            </w:pPr>
            <w:r w:rsidRPr="0001083D">
              <w:t>92,8</w:t>
            </w:r>
          </w:p>
        </w:tc>
        <w:tc>
          <w:tcPr>
            <w:tcW w:w="1038" w:type="pct"/>
            <w:tcBorders>
              <w:top w:val="single" w:sz="12" w:space="0" w:color="522398"/>
            </w:tcBorders>
            <w:vAlign w:val="center"/>
          </w:tcPr>
          <w:p w:rsidR="0068387C" w:rsidRDefault="0068387C" w:rsidP="0068387C">
            <w:pPr>
              <w:pStyle w:val="tableteksttab"/>
              <w:rPr>
                <w:sz w:val="24"/>
              </w:rPr>
            </w:pPr>
            <w:r>
              <w:t>95,2</w:t>
            </w:r>
          </w:p>
        </w:tc>
      </w:tr>
      <w:tr w:rsidR="0068387C" w:rsidRPr="00F30594" w:rsidTr="00072CE1">
        <w:trPr>
          <w:trHeight w:val="57"/>
          <w:jc w:val="center"/>
        </w:trPr>
        <w:tc>
          <w:tcPr>
            <w:tcW w:w="2877" w:type="pct"/>
            <w:vAlign w:val="center"/>
          </w:tcPr>
          <w:p w:rsidR="0068387C" w:rsidRPr="00116289" w:rsidRDefault="0068387C" w:rsidP="0068387C">
            <w:pPr>
              <w:pStyle w:val="boczek1"/>
            </w:pPr>
            <w:r w:rsidRPr="00116289">
              <w:t xml:space="preserve">Wskaźnik rentowności </w:t>
            </w:r>
            <w:r w:rsidRPr="00957F9B">
              <w:rPr>
                <w:rFonts w:cs="Calibri"/>
                <w:color w:val="000000"/>
              </w:rPr>
              <w:t xml:space="preserve">sprzedaży </w:t>
            </w:r>
            <w:r>
              <w:rPr>
                <w:rFonts w:cs="Calibri"/>
                <w:color w:val="000000"/>
              </w:rPr>
              <w:t>brutto</w:t>
            </w:r>
          </w:p>
        </w:tc>
        <w:tc>
          <w:tcPr>
            <w:tcW w:w="1085" w:type="pct"/>
            <w:vAlign w:val="center"/>
          </w:tcPr>
          <w:p w:rsidR="0068387C" w:rsidRPr="0001083D" w:rsidRDefault="0068387C" w:rsidP="0068387C">
            <w:pPr>
              <w:pStyle w:val="tableteksttab"/>
            </w:pPr>
            <w:r w:rsidRPr="0001083D">
              <w:t>7,8</w:t>
            </w:r>
          </w:p>
        </w:tc>
        <w:tc>
          <w:tcPr>
            <w:tcW w:w="1038" w:type="pct"/>
            <w:vAlign w:val="center"/>
          </w:tcPr>
          <w:p w:rsidR="0068387C" w:rsidRDefault="0068387C" w:rsidP="0068387C">
            <w:pPr>
              <w:pStyle w:val="tableteksttab"/>
            </w:pPr>
            <w:r>
              <w:t>5,3</w:t>
            </w:r>
          </w:p>
        </w:tc>
      </w:tr>
      <w:tr w:rsidR="0068387C" w:rsidRPr="00F30594" w:rsidTr="00072CE1">
        <w:trPr>
          <w:trHeight w:val="57"/>
          <w:jc w:val="center"/>
        </w:trPr>
        <w:tc>
          <w:tcPr>
            <w:tcW w:w="2877" w:type="pct"/>
            <w:vAlign w:val="center"/>
          </w:tcPr>
          <w:p w:rsidR="0068387C" w:rsidRPr="00116289" w:rsidRDefault="0068387C" w:rsidP="0068387C">
            <w:pPr>
              <w:pStyle w:val="boczek1"/>
            </w:pPr>
            <w:r w:rsidRPr="00116289">
              <w:t>Wskaźnik rentowności obrotu brutto</w:t>
            </w:r>
            <w:r w:rsidRPr="00116289">
              <w:tab/>
            </w:r>
          </w:p>
        </w:tc>
        <w:tc>
          <w:tcPr>
            <w:tcW w:w="1085" w:type="pct"/>
            <w:vAlign w:val="center"/>
          </w:tcPr>
          <w:p w:rsidR="0068387C" w:rsidRPr="0001083D" w:rsidRDefault="0068387C" w:rsidP="0068387C">
            <w:pPr>
              <w:pStyle w:val="tableteksttab"/>
            </w:pPr>
            <w:r w:rsidRPr="0001083D">
              <w:t>7,2</w:t>
            </w:r>
          </w:p>
        </w:tc>
        <w:tc>
          <w:tcPr>
            <w:tcW w:w="1038" w:type="pct"/>
            <w:vAlign w:val="center"/>
          </w:tcPr>
          <w:p w:rsidR="0068387C" w:rsidRDefault="0068387C" w:rsidP="0068387C">
            <w:pPr>
              <w:pStyle w:val="tableteksttab"/>
            </w:pPr>
            <w:r>
              <w:t>4,8</w:t>
            </w:r>
          </w:p>
        </w:tc>
      </w:tr>
      <w:tr w:rsidR="0068387C" w:rsidRPr="00F30594" w:rsidTr="00072CE1">
        <w:trPr>
          <w:trHeight w:val="57"/>
          <w:jc w:val="center"/>
        </w:trPr>
        <w:tc>
          <w:tcPr>
            <w:tcW w:w="2877" w:type="pct"/>
            <w:vAlign w:val="center"/>
          </w:tcPr>
          <w:p w:rsidR="0068387C" w:rsidRPr="00116289" w:rsidRDefault="0068387C" w:rsidP="0068387C">
            <w:pPr>
              <w:pStyle w:val="boczek1"/>
            </w:pPr>
            <w:r w:rsidRPr="00116289">
              <w:t>Wskaźnik rentowności obrotu netto</w:t>
            </w:r>
            <w:r w:rsidRPr="00116289">
              <w:tab/>
            </w:r>
          </w:p>
        </w:tc>
        <w:tc>
          <w:tcPr>
            <w:tcW w:w="1085" w:type="pct"/>
            <w:vAlign w:val="center"/>
          </w:tcPr>
          <w:p w:rsidR="0068387C" w:rsidRPr="0001083D" w:rsidRDefault="0068387C" w:rsidP="0068387C">
            <w:pPr>
              <w:pStyle w:val="tableteksttab"/>
            </w:pPr>
            <w:r w:rsidRPr="0001083D">
              <w:t>5,9</w:t>
            </w:r>
          </w:p>
        </w:tc>
        <w:tc>
          <w:tcPr>
            <w:tcW w:w="1038" w:type="pct"/>
            <w:vAlign w:val="center"/>
          </w:tcPr>
          <w:p w:rsidR="0068387C" w:rsidRDefault="0068387C" w:rsidP="0068387C">
            <w:pPr>
              <w:pStyle w:val="tableteksttab"/>
            </w:pPr>
            <w:r>
              <w:t>3,9</w:t>
            </w:r>
          </w:p>
        </w:tc>
      </w:tr>
      <w:tr w:rsidR="0068387C" w:rsidRPr="00F30594" w:rsidTr="00072CE1">
        <w:trPr>
          <w:trHeight w:val="57"/>
          <w:jc w:val="center"/>
        </w:trPr>
        <w:tc>
          <w:tcPr>
            <w:tcW w:w="2877" w:type="pct"/>
            <w:vAlign w:val="center"/>
          </w:tcPr>
          <w:p w:rsidR="0068387C" w:rsidRPr="00116289" w:rsidRDefault="0068387C" w:rsidP="0068387C">
            <w:pPr>
              <w:pStyle w:val="boczek1"/>
            </w:pPr>
            <w:r w:rsidRPr="00116289">
              <w:t>Wskaźnik płynności finansowej I stopnia</w:t>
            </w:r>
            <w:r w:rsidRPr="00116289">
              <w:tab/>
            </w:r>
          </w:p>
        </w:tc>
        <w:tc>
          <w:tcPr>
            <w:tcW w:w="1085" w:type="pct"/>
            <w:vAlign w:val="center"/>
          </w:tcPr>
          <w:p w:rsidR="0068387C" w:rsidRPr="0001083D" w:rsidRDefault="0068387C" w:rsidP="0068387C">
            <w:pPr>
              <w:pStyle w:val="tableteksttab"/>
            </w:pPr>
            <w:r w:rsidRPr="0001083D">
              <w:t>37,5</w:t>
            </w:r>
          </w:p>
        </w:tc>
        <w:tc>
          <w:tcPr>
            <w:tcW w:w="1038" w:type="pct"/>
            <w:vAlign w:val="center"/>
          </w:tcPr>
          <w:p w:rsidR="0068387C" w:rsidRDefault="0068387C" w:rsidP="0068387C">
            <w:pPr>
              <w:pStyle w:val="tableteksttab"/>
            </w:pPr>
            <w:r>
              <w:t>43,3</w:t>
            </w:r>
          </w:p>
        </w:tc>
      </w:tr>
      <w:tr w:rsidR="0068387C" w:rsidRPr="00F30594" w:rsidTr="00072CE1">
        <w:trPr>
          <w:trHeight w:val="57"/>
          <w:jc w:val="center"/>
        </w:trPr>
        <w:tc>
          <w:tcPr>
            <w:tcW w:w="2877" w:type="pct"/>
            <w:tcBorders>
              <w:bottom w:val="nil"/>
            </w:tcBorders>
            <w:vAlign w:val="center"/>
          </w:tcPr>
          <w:p w:rsidR="0068387C" w:rsidRPr="00116289" w:rsidRDefault="0068387C" w:rsidP="0068387C">
            <w:pPr>
              <w:pStyle w:val="boczek1"/>
            </w:pPr>
            <w:r w:rsidRPr="00116289">
              <w:t>Wskaźnik płynności finansowej II stopnia</w:t>
            </w:r>
            <w:r w:rsidRPr="00116289">
              <w:tab/>
            </w:r>
          </w:p>
        </w:tc>
        <w:tc>
          <w:tcPr>
            <w:tcW w:w="1085" w:type="pct"/>
            <w:tcBorders>
              <w:bottom w:val="nil"/>
            </w:tcBorders>
            <w:vAlign w:val="center"/>
          </w:tcPr>
          <w:p w:rsidR="0068387C" w:rsidRPr="0001083D" w:rsidRDefault="0068387C" w:rsidP="0068387C">
            <w:pPr>
              <w:pStyle w:val="tableteksttab"/>
            </w:pPr>
            <w:r w:rsidRPr="0001083D">
              <w:t>90,2</w:t>
            </w:r>
          </w:p>
        </w:tc>
        <w:tc>
          <w:tcPr>
            <w:tcW w:w="1038" w:type="pct"/>
            <w:tcBorders>
              <w:bottom w:val="nil"/>
            </w:tcBorders>
            <w:vAlign w:val="center"/>
          </w:tcPr>
          <w:p w:rsidR="0068387C" w:rsidRDefault="0068387C" w:rsidP="0068387C">
            <w:pPr>
              <w:pStyle w:val="tableteksttab"/>
            </w:pPr>
            <w:r>
              <w:t>95,5</w:t>
            </w:r>
          </w:p>
        </w:tc>
      </w:tr>
    </w:tbl>
    <w:p w:rsidR="00E923A7" w:rsidRPr="007A2FC0" w:rsidRDefault="00E923A7" w:rsidP="00E923A7">
      <w:pPr>
        <w:pStyle w:val="tekst"/>
        <w:spacing w:before="360"/>
      </w:pPr>
      <w:r w:rsidRPr="007A2FC0">
        <w:t xml:space="preserve">Według stanu na koniec grudnia </w:t>
      </w:r>
      <w:r>
        <w:t>2024</w:t>
      </w:r>
      <w:r w:rsidRPr="007A2FC0">
        <w:t xml:space="preserve"> r. </w:t>
      </w:r>
      <w:r w:rsidRPr="007A2FC0">
        <w:rPr>
          <w:b/>
        </w:rPr>
        <w:t>aktywa obrotowe</w:t>
      </w:r>
      <w:r w:rsidRPr="007A2FC0">
        <w:t xml:space="preserve"> przedsiębiorstw objętych badaniem wyniosły </w:t>
      </w:r>
      <w:r w:rsidR="0071024E" w:rsidRPr="0071024E">
        <w:t>192658,6</w:t>
      </w:r>
      <w:r w:rsidR="0071024E">
        <w:t xml:space="preserve"> </w:t>
      </w:r>
      <w:r w:rsidRPr="007A2FC0">
        <w:t xml:space="preserve">mln zł, tj. o </w:t>
      </w:r>
      <w:r w:rsidR="0071024E">
        <w:t>7,1</w:t>
      </w:r>
      <w:r w:rsidRPr="007A2FC0">
        <w:t xml:space="preserve">% więcej niż w </w:t>
      </w:r>
      <w:r>
        <w:t>2023</w:t>
      </w:r>
      <w:r w:rsidRPr="007A2FC0">
        <w:t xml:space="preserve"> r. Wartość zapasów w ciągu roku </w:t>
      </w:r>
      <w:r w:rsidR="0071024E">
        <w:t>wzros</w:t>
      </w:r>
      <w:r w:rsidRPr="007A2FC0">
        <w:t xml:space="preserve">ła o </w:t>
      </w:r>
      <w:r w:rsidR="0071024E">
        <w:t>4,2</w:t>
      </w:r>
      <w:r w:rsidRPr="007A2FC0">
        <w:t>%, a</w:t>
      </w:r>
      <w:r w:rsidR="0071024E">
        <w:t>le</w:t>
      </w:r>
      <w:r w:rsidRPr="007A2FC0">
        <w:t xml:space="preserve"> ich udział w aktywach zmniejszył się o </w:t>
      </w:r>
      <w:r w:rsidR="0071024E">
        <w:t>0,9</w:t>
      </w:r>
      <w:r w:rsidRPr="007A2FC0">
        <w:t> p.proc. do 3</w:t>
      </w:r>
      <w:r w:rsidR="0071024E">
        <w:t>1,9</w:t>
      </w:r>
      <w:r w:rsidRPr="007A2FC0">
        <w:t xml:space="preserve">%. Największą część aktywów obrotowych stanowiły należności krótkoterminowe, których udział w końcu grudnia </w:t>
      </w:r>
      <w:r>
        <w:t>2024</w:t>
      </w:r>
      <w:r w:rsidRPr="007A2FC0">
        <w:t xml:space="preserve"> r. wynosił </w:t>
      </w:r>
      <w:r w:rsidR="00A55DBC" w:rsidRPr="00A55DBC">
        <w:t>35,6</w:t>
      </w:r>
      <w:r w:rsidRPr="007A2FC0">
        <w:t xml:space="preserve">%, tj. o </w:t>
      </w:r>
      <w:r w:rsidR="00A55DBC">
        <w:t>2,1</w:t>
      </w:r>
      <w:r w:rsidRPr="007A2FC0">
        <w:t xml:space="preserve"> p.proc. </w:t>
      </w:r>
      <w:r w:rsidR="00A55DBC">
        <w:t>mnie</w:t>
      </w:r>
      <w:r w:rsidRPr="007A2FC0">
        <w:t xml:space="preserve">j niż przed rokiem. Wartość należności w skali roku zwiększyła się o </w:t>
      </w:r>
      <w:r w:rsidR="00A55DBC">
        <w:t>1,2</w:t>
      </w:r>
      <w:r w:rsidRPr="007A2FC0">
        <w:t xml:space="preserve">%. Udział inwestycji krótkoterminowych wzrósł w ciągu roku o </w:t>
      </w:r>
      <w:r w:rsidR="00A55DBC">
        <w:t>2,</w:t>
      </w:r>
      <w:r w:rsidR="00F2146A">
        <w:t>6</w:t>
      </w:r>
      <w:r w:rsidRPr="007A2FC0">
        <w:t xml:space="preserve"> p.proc. do </w:t>
      </w:r>
      <w:r w:rsidR="00A55DBC" w:rsidRPr="00A55DBC">
        <w:t>29,5</w:t>
      </w:r>
      <w:r w:rsidR="00A55DBC">
        <w:t>%, przy wzroście ich wartości o </w:t>
      </w:r>
      <w:r w:rsidR="00A55DBC" w:rsidRPr="00A55DBC">
        <w:t>17,8</w:t>
      </w:r>
      <w:r w:rsidRPr="007A2FC0">
        <w:t>%.</w:t>
      </w:r>
    </w:p>
    <w:p w:rsidR="00E923A7" w:rsidRPr="00625BB4" w:rsidRDefault="00E923A7" w:rsidP="00E923A7">
      <w:pPr>
        <w:pStyle w:val="tekst"/>
      </w:pPr>
      <w:r w:rsidRPr="00625BB4">
        <w:t xml:space="preserve">Według stanu na koniec grudnia </w:t>
      </w:r>
      <w:r>
        <w:t>2024</w:t>
      </w:r>
      <w:r w:rsidRPr="00625BB4">
        <w:t xml:space="preserve"> r. </w:t>
      </w:r>
      <w:r w:rsidRPr="00625BB4">
        <w:rPr>
          <w:b/>
        </w:rPr>
        <w:t>zobowiązania</w:t>
      </w:r>
      <w:r w:rsidRPr="00625BB4">
        <w:t xml:space="preserve"> przedsiębiorstw niefinansowych wyniosły łącznie </w:t>
      </w:r>
      <w:r w:rsidR="00131EFA" w:rsidRPr="00131EFA">
        <w:t>188226,0</w:t>
      </w:r>
      <w:r w:rsidR="00131EFA">
        <w:t xml:space="preserve"> </w:t>
      </w:r>
      <w:r w:rsidRPr="00625BB4">
        <w:t xml:space="preserve">mln zł, przy czym zobowiązania długoterminowe w ciągu roku zwiększyły się o </w:t>
      </w:r>
      <w:r w:rsidR="00131EFA">
        <w:t>6,8</w:t>
      </w:r>
      <w:r w:rsidRPr="00625BB4">
        <w:t>%, a krótkoterminowe – o 2,</w:t>
      </w:r>
      <w:r w:rsidR="00131EFA">
        <w:t>1</w:t>
      </w:r>
      <w:r w:rsidRPr="00625BB4">
        <w:t xml:space="preserve">%. W ogólnej kwocie zobowiązań krótkoterminowych </w:t>
      </w:r>
      <w:r w:rsidR="00131EFA" w:rsidRPr="00131EFA">
        <w:t>61,6</w:t>
      </w:r>
      <w:r w:rsidRPr="00625BB4">
        <w:t xml:space="preserve">% stanowiły zobowiązania z tytułu dostaw i usług (przed rokiem </w:t>
      </w:r>
      <w:r w:rsidR="00131EFA">
        <w:t>61,1</w:t>
      </w:r>
      <w:r w:rsidRPr="00625BB4">
        <w:t xml:space="preserve">%). Relacja zobowiązań krótkoterminowych do należności krótkoterminowych w </w:t>
      </w:r>
      <w:r>
        <w:t>2024</w:t>
      </w:r>
      <w:r w:rsidRPr="00625BB4">
        <w:t xml:space="preserve"> r. wyniosła </w:t>
      </w:r>
      <w:r w:rsidR="00131EFA" w:rsidRPr="00131EFA">
        <w:t>191,7</w:t>
      </w:r>
      <w:r w:rsidRPr="00625BB4">
        <w:t xml:space="preserve">% (rok wcześniej zobowiązania przewyższały należności o </w:t>
      </w:r>
      <w:r w:rsidR="00131EFA" w:rsidRPr="00625BB4">
        <w:t>90,0</w:t>
      </w:r>
      <w:r w:rsidRPr="00625BB4">
        <w:t xml:space="preserve">%), podczas gdy relacja do inwestycji krótkoterminowych kształtowała się na poziomie </w:t>
      </w:r>
      <w:r w:rsidR="00637AC1" w:rsidRPr="00637AC1">
        <w:t>230,9</w:t>
      </w:r>
      <w:r w:rsidRPr="00625BB4">
        <w:t xml:space="preserve">% (wobec </w:t>
      </w:r>
      <w:r w:rsidR="00637AC1" w:rsidRPr="00625BB4">
        <w:t>266,4</w:t>
      </w:r>
      <w:r w:rsidRPr="00625BB4">
        <w:t>% przed rokiem).</w:t>
      </w:r>
    </w:p>
    <w:p w:rsidR="00E923A7" w:rsidRPr="001F2CEF" w:rsidRDefault="00E923A7" w:rsidP="00E923A7">
      <w:pPr>
        <w:pStyle w:val="Nagwek1"/>
      </w:pPr>
      <w:bookmarkStart w:id="55" w:name="_Toc67395315"/>
      <w:bookmarkStart w:id="56" w:name="_Toc98840940"/>
      <w:bookmarkStart w:id="57" w:name="_Toc129758935"/>
      <w:bookmarkStart w:id="58" w:name="_Toc161818180"/>
      <w:bookmarkStart w:id="59" w:name="_Toc193459103"/>
      <w:bookmarkStart w:id="60" w:name="_Toc193459765"/>
      <w:r w:rsidRPr="001F2CEF">
        <w:lastRenderedPageBreak/>
        <w:t>Nakłady inwestycyjne</w:t>
      </w:r>
      <w:bookmarkEnd w:id="55"/>
      <w:bookmarkEnd w:id="56"/>
      <w:bookmarkEnd w:id="57"/>
      <w:bookmarkEnd w:id="58"/>
      <w:bookmarkEnd w:id="59"/>
      <w:bookmarkEnd w:id="60"/>
    </w:p>
    <w:p w:rsidR="00E923A7" w:rsidRPr="003E0739" w:rsidRDefault="00E923A7" w:rsidP="00E923A7">
      <w:pPr>
        <w:pStyle w:val="tekst"/>
      </w:pPr>
      <w:r w:rsidRPr="003E0739">
        <w:t xml:space="preserve">W całym roku </w:t>
      </w:r>
      <w:r>
        <w:t>2024</w:t>
      </w:r>
      <w:r w:rsidRPr="003E0739">
        <w:t xml:space="preserve"> przedsiębiorstwa mające swą siedzibę na terenie województwa wielkopolskiego poniosły </w:t>
      </w:r>
      <w:r w:rsidRPr="003E0739">
        <w:rPr>
          <w:b/>
        </w:rPr>
        <w:t xml:space="preserve">nakłady inwestycyjne </w:t>
      </w:r>
      <w:r w:rsidRPr="003E0739">
        <w:t xml:space="preserve">w łącznej kwocie </w:t>
      </w:r>
      <w:r w:rsidR="00DB6C1A" w:rsidRPr="00DB6C1A">
        <w:t>19862,9</w:t>
      </w:r>
      <w:r w:rsidR="00DB6C1A">
        <w:t xml:space="preserve"> </w:t>
      </w:r>
      <w:r w:rsidRPr="003E0739">
        <w:t>mln zł (w cenach bieżących</w:t>
      </w:r>
      <w:r w:rsidR="00DB6C1A" w:rsidRPr="00DB6C1A">
        <w:t xml:space="preserve"> tj. o </w:t>
      </w:r>
      <w:r w:rsidR="00DB6C1A">
        <w:t>8,5</w:t>
      </w:r>
      <w:r w:rsidR="00DB6C1A" w:rsidRPr="00DB6C1A">
        <w:t xml:space="preserve">% </w:t>
      </w:r>
      <w:r w:rsidR="00DB6C1A">
        <w:t>mnie</w:t>
      </w:r>
      <w:r w:rsidR="00DB6C1A" w:rsidRPr="00DB6C1A">
        <w:t>j niż rok wcześniej</w:t>
      </w:r>
      <w:r w:rsidR="00520B48">
        <w:t>)</w:t>
      </w:r>
      <w:r w:rsidR="00DB6C1A" w:rsidRPr="00DB6C1A">
        <w:t>.</w:t>
      </w:r>
      <w:r w:rsidR="00DB6C1A">
        <w:t xml:space="preserve"> </w:t>
      </w:r>
      <w:r w:rsidRPr="003E0739">
        <w:t xml:space="preserve">Na roboty budowlano-montażowe przypadało </w:t>
      </w:r>
      <w:r w:rsidR="00DB6C1A" w:rsidRPr="00DB6C1A">
        <w:t>3603,9</w:t>
      </w:r>
      <w:r w:rsidR="00DB6C1A">
        <w:t xml:space="preserve"> </w:t>
      </w:r>
      <w:r w:rsidRPr="003E0739">
        <w:t xml:space="preserve">mln zł, tj. </w:t>
      </w:r>
      <w:r w:rsidR="00DB6C1A" w:rsidRPr="00DB6C1A">
        <w:t>18,1</w:t>
      </w:r>
      <w:r>
        <w:t xml:space="preserve">% nakładów (przed rokiem </w:t>
      </w:r>
      <w:r w:rsidR="00DB6C1A" w:rsidRPr="00DB6C1A">
        <w:t>17,6</w:t>
      </w:r>
      <w:r w:rsidRPr="003E0739">
        <w:t>%).</w:t>
      </w:r>
    </w:p>
    <w:p w:rsidR="00E923A7" w:rsidRPr="00A9605F" w:rsidRDefault="005E6EEA" w:rsidP="00E923A7">
      <w:pPr>
        <w:pStyle w:val="tytuwykresu"/>
        <w:spacing w:before="360"/>
        <w:ind w:left="992" w:hanging="992"/>
      </w:pPr>
      <w:r w:rsidRPr="005E6EEA">
        <w:rPr>
          <w:noProof/>
          <w:lang w:eastAsia="pl-PL"/>
        </w:rPr>
        <w:drawing>
          <wp:anchor distT="0" distB="144145" distL="114300" distR="114300" simplePos="0" relativeHeight="252960256" behindDoc="0" locked="0" layoutInCell="1" allowOverlap="1">
            <wp:simplePos x="0" y="0"/>
            <wp:positionH relativeFrom="margin">
              <wp:align>center</wp:align>
            </wp:positionH>
            <wp:positionV relativeFrom="paragraph">
              <wp:posOffset>611032</wp:posOffset>
            </wp:positionV>
            <wp:extent cx="5940000" cy="2948400"/>
            <wp:effectExtent l="0" t="0" r="3810" b="4445"/>
            <wp:wrapTopAndBottom/>
            <wp:docPr id="3" name="Obraz 3" descr="Poczwórny wykres kolumnowy (rodzaje środków trwałych) dla okresów 01–12 w latach 2021–2024 na osi poziomej. Oś pionowa – wzrost/spadek wielkości nakładów w stosunku do poprzedniego roku, wartości z przedziału od -20 do 60%. Dane do wykresu dostępne w pliku w formacie XLSX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0000" cy="2948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23A7">
        <w:t>Wykres 11.</w:t>
      </w:r>
      <w:r w:rsidR="00E923A7">
        <w:tab/>
      </w:r>
      <w:r w:rsidR="00E923A7" w:rsidRPr="00AF171B">
        <w:t xml:space="preserve">Nakłady inwestycyjne </w:t>
      </w:r>
      <w:r w:rsidR="00E923A7">
        <w:br/>
      </w:r>
      <w:r w:rsidR="00E923A7" w:rsidRPr="00C71116">
        <w:t xml:space="preserve">(ceny bieżące; </w:t>
      </w:r>
      <w:r w:rsidR="00E923A7" w:rsidRPr="00A9605F">
        <w:t>wzrost/spadek w stosunku do roku poprzedniego)</w:t>
      </w:r>
      <w:r w:rsidR="00E923A7" w:rsidRPr="00A9605F">
        <w:rPr>
          <w:b w:val="0"/>
        </w:rPr>
        <w:t xml:space="preserve"> </w:t>
      </w:r>
    </w:p>
    <w:p w:rsidR="00E923A7" w:rsidRPr="004B0AAA" w:rsidRDefault="00E923A7" w:rsidP="00E923A7">
      <w:pPr>
        <w:pStyle w:val="tekst"/>
      </w:pPr>
      <w:r w:rsidRPr="004B0AAA">
        <w:t xml:space="preserve">W budynki i lokale oraz obiekty inżynierii lądowej i wodnej w </w:t>
      </w:r>
      <w:r>
        <w:t>2024</w:t>
      </w:r>
      <w:r w:rsidRPr="004B0AAA">
        <w:t xml:space="preserve"> r. zainwestowano średnio </w:t>
      </w:r>
      <w:r w:rsidR="00E6509C" w:rsidRPr="00E6509C">
        <w:t>34,9</w:t>
      </w:r>
      <w:r w:rsidRPr="004B0AAA">
        <w:t xml:space="preserve">% ogółu środków (wobec </w:t>
      </w:r>
      <w:r w:rsidR="00E6509C" w:rsidRPr="00E6509C">
        <w:t>35,9</w:t>
      </w:r>
      <w:r w:rsidRPr="004B0AAA">
        <w:t xml:space="preserve">% w </w:t>
      </w:r>
      <w:r>
        <w:t>2023</w:t>
      </w:r>
      <w:r w:rsidRPr="004B0AAA">
        <w:t xml:space="preserve"> r.). Wartość inwestycji dla tej kategorii środków trwałych w ciągu roku zmniejszyła się o </w:t>
      </w:r>
      <w:r w:rsidR="00E6509C" w:rsidRPr="00E6509C">
        <w:t>11,2</w:t>
      </w:r>
      <w:r w:rsidRPr="004B0AAA">
        <w:t xml:space="preserve">%. Kwota przeznaczona na zakupy </w:t>
      </w:r>
      <w:r w:rsidR="00344F69">
        <w:t>obniż</w:t>
      </w:r>
      <w:r w:rsidRPr="004B0AAA">
        <w:t xml:space="preserve">yła się średnio o </w:t>
      </w:r>
      <w:r w:rsidR="00AC5560">
        <w:t>7,0</w:t>
      </w:r>
      <w:r w:rsidRPr="004B0AAA">
        <w:t xml:space="preserve">%, przy czym </w:t>
      </w:r>
      <w:r w:rsidR="00344F69" w:rsidRPr="004B0AAA">
        <w:t xml:space="preserve">wartość inwestycyjna maszyn, urządzeń technicznych, narzędzi i wyposażenia </w:t>
      </w:r>
      <w:r w:rsidR="00344F69">
        <w:t>spadła</w:t>
      </w:r>
      <w:r w:rsidR="00344F69" w:rsidRPr="004B0AAA">
        <w:t xml:space="preserve"> o </w:t>
      </w:r>
      <w:r w:rsidR="00AC5560">
        <w:t>8,2</w:t>
      </w:r>
      <w:r w:rsidR="00344F69" w:rsidRPr="004B0AAA">
        <w:t>%</w:t>
      </w:r>
      <w:r w:rsidR="00344F69">
        <w:t xml:space="preserve">, </w:t>
      </w:r>
      <w:r w:rsidR="00344F69" w:rsidRPr="004B0AAA">
        <w:t>zaś</w:t>
      </w:r>
      <w:r w:rsidR="00344F69">
        <w:t xml:space="preserve"> </w:t>
      </w:r>
      <w:r w:rsidR="00D95377" w:rsidRPr="004B0AAA">
        <w:t>nakłady</w:t>
      </w:r>
      <w:r w:rsidR="00D95377" w:rsidRPr="004B0AAA">
        <w:t xml:space="preserve"> </w:t>
      </w:r>
      <w:r w:rsidR="00D95377">
        <w:t xml:space="preserve">na </w:t>
      </w:r>
      <w:r w:rsidR="00344F69" w:rsidRPr="004B0AAA">
        <w:t>środk</w:t>
      </w:r>
      <w:r w:rsidR="00D95377">
        <w:t>i</w:t>
      </w:r>
      <w:r w:rsidR="00344F69" w:rsidRPr="004B0AAA">
        <w:t xml:space="preserve"> transportu </w:t>
      </w:r>
      <w:r w:rsidR="00344F69">
        <w:t>nieznacznie</w:t>
      </w:r>
      <w:r w:rsidR="00344F69" w:rsidRPr="004B0AAA">
        <w:t xml:space="preserve"> wzrosły </w:t>
      </w:r>
      <w:r w:rsidR="00344F69">
        <w:t>(</w:t>
      </w:r>
      <w:r w:rsidR="00344F69" w:rsidRPr="004B0AAA">
        <w:t xml:space="preserve">o </w:t>
      </w:r>
      <w:r w:rsidR="00344F69">
        <w:t>0,1</w:t>
      </w:r>
      <w:r w:rsidR="00344F69" w:rsidRPr="004B0AAA">
        <w:t>%</w:t>
      </w:r>
      <w:r w:rsidR="00344F69">
        <w:t xml:space="preserve">). </w:t>
      </w:r>
      <w:r w:rsidRPr="004B0AAA">
        <w:t xml:space="preserve">Na zakup maszyn i urządzeń technicznych oraz narzędzi w całym roku </w:t>
      </w:r>
      <w:r>
        <w:t>2024</w:t>
      </w:r>
      <w:r w:rsidRPr="004B0AAA">
        <w:t xml:space="preserve"> przedsiębiorstwa przeznaczyły 54,</w:t>
      </w:r>
      <w:r w:rsidR="00344F69">
        <w:t>1</w:t>
      </w:r>
      <w:r w:rsidRPr="004B0AAA">
        <w:t>% środków (</w:t>
      </w:r>
      <w:r w:rsidR="00344F69" w:rsidRPr="004B0AAA">
        <w:t>54,0</w:t>
      </w:r>
      <w:r w:rsidRPr="004B0AAA">
        <w:t xml:space="preserve">% rok wcześniej), a na środki transportu – </w:t>
      </w:r>
      <w:r w:rsidR="00344F69" w:rsidRPr="00344F69">
        <w:t>10,6</w:t>
      </w:r>
      <w:r w:rsidRPr="004B0AAA">
        <w:t xml:space="preserve">% (wobec </w:t>
      </w:r>
      <w:r w:rsidR="00344F69" w:rsidRPr="004B0AAA">
        <w:t>9,7</w:t>
      </w:r>
      <w:r w:rsidRPr="004B0AAA">
        <w:t xml:space="preserve">%). Udział zakupów w nakładach ogółem w ciągu roku wzrósł z </w:t>
      </w:r>
      <w:r w:rsidR="00344F69" w:rsidRPr="004B0AAA">
        <w:t>63,7</w:t>
      </w:r>
      <w:r w:rsidRPr="004B0AAA">
        <w:t xml:space="preserve">% do </w:t>
      </w:r>
      <w:r w:rsidR="00344F69" w:rsidRPr="00344F69">
        <w:t>64,7</w:t>
      </w:r>
      <w:r w:rsidRPr="004B0AAA">
        <w:t>%.</w:t>
      </w:r>
    </w:p>
    <w:p w:rsidR="00E923A7" w:rsidRPr="00CD50E4" w:rsidRDefault="00E923A7" w:rsidP="00E923A7">
      <w:pPr>
        <w:pStyle w:val="tekst"/>
      </w:pPr>
      <w:r w:rsidRPr="00CD50E4">
        <w:t xml:space="preserve">W </w:t>
      </w:r>
      <w:r>
        <w:t>2024</w:t>
      </w:r>
      <w:r w:rsidRPr="00CD50E4">
        <w:t xml:space="preserve"> r. w większości sekcji odnotowano </w:t>
      </w:r>
      <w:r w:rsidR="00474C1A">
        <w:t>spadek</w:t>
      </w:r>
      <w:r w:rsidRPr="00CD50E4">
        <w:t xml:space="preserve"> wartości nakładów inwestycyjnych w porównaniu z poprzednim rokiem, m.in. w </w:t>
      </w:r>
      <w:r w:rsidR="00F05837" w:rsidRPr="00CD50E4">
        <w:t>dostaw</w:t>
      </w:r>
      <w:r w:rsidR="00F05837">
        <w:t>ie</w:t>
      </w:r>
      <w:r w:rsidR="00F05837" w:rsidRPr="00CD50E4">
        <w:t xml:space="preserve"> wody; gospodarowani</w:t>
      </w:r>
      <w:r w:rsidR="00F05837">
        <w:t>u</w:t>
      </w:r>
      <w:r w:rsidR="00F05837" w:rsidRPr="00CD50E4">
        <w:t xml:space="preserve"> ściekami i odpadami; rekultywacj</w:t>
      </w:r>
      <w:r w:rsidR="000A29C8">
        <w:t>i</w:t>
      </w:r>
      <w:r w:rsidR="00F05837" w:rsidRPr="00CD50E4">
        <w:t xml:space="preserve"> (o </w:t>
      </w:r>
      <w:r w:rsidR="000A29C8">
        <w:t>19,7</w:t>
      </w:r>
      <w:r w:rsidR="00F05837" w:rsidRPr="00CD50E4">
        <w:t>%),</w:t>
      </w:r>
      <w:r w:rsidR="00C2065F">
        <w:t xml:space="preserve"> budownictwie (o </w:t>
      </w:r>
      <w:r w:rsidR="00C2065F" w:rsidRPr="00C2065F">
        <w:t>16,2</w:t>
      </w:r>
      <w:r w:rsidR="00C2065F" w:rsidRPr="00CD50E4">
        <w:t>%)</w:t>
      </w:r>
      <w:r w:rsidR="00C2065F">
        <w:t xml:space="preserve">, </w:t>
      </w:r>
      <w:r w:rsidR="00C2065F" w:rsidRPr="00CD50E4">
        <w:t xml:space="preserve">przetwórstwie przemysłowym (o </w:t>
      </w:r>
      <w:r w:rsidR="00C2065F" w:rsidRPr="00C2065F">
        <w:t>14,5</w:t>
      </w:r>
      <w:r w:rsidR="00C2065F" w:rsidRPr="00CD50E4">
        <w:t>%)</w:t>
      </w:r>
      <w:r w:rsidR="00C2065F">
        <w:t xml:space="preserve">, </w:t>
      </w:r>
      <w:r w:rsidR="00C2065F" w:rsidRPr="00CD50E4">
        <w:t>informacj</w:t>
      </w:r>
      <w:r w:rsidR="00C2065F">
        <w:t>i</w:t>
      </w:r>
      <w:r w:rsidR="00C2065F" w:rsidRPr="00CD50E4">
        <w:t xml:space="preserve"> i komunikacj</w:t>
      </w:r>
      <w:r w:rsidR="00C2065F">
        <w:t>i</w:t>
      </w:r>
      <w:r w:rsidR="00C2065F" w:rsidRPr="00CD50E4">
        <w:t xml:space="preserve"> (o </w:t>
      </w:r>
      <w:r w:rsidR="00C2065F" w:rsidRPr="00C2065F">
        <w:t>14,1</w:t>
      </w:r>
      <w:r w:rsidR="00C2065F" w:rsidRPr="00CD50E4">
        <w:t>%),</w:t>
      </w:r>
      <w:r w:rsidR="00C2065F" w:rsidRPr="00C2065F">
        <w:t xml:space="preserve"> </w:t>
      </w:r>
      <w:r w:rsidR="00C2065F" w:rsidRPr="00CD50E4">
        <w:t>transpor</w:t>
      </w:r>
      <w:r w:rsidR="00C2065F">
        <w:t>cie</w:t>
      </w:r>
      <w:r w:rsidR="00C2065F" w:rsidRPr="00CD50E4">
        <w:t xml:space="preserve"> i gospodar</w:t>
      </w:r>
      <w:r w:rsidR="00C2065F">
        <w:t>ce</w:t>
      </w:r>
      <w:r w:rsidR="00C2065F" w:rsidRPr="00CD50E4">
        <w:t xml:space="preserve"> magazynow</w:t>
      </w:r>
      <w:r w:rsidR="00C2065F">
        <w:t>ej</w:t>
      </w:r>
      <w:r w:rsidR="00C2065F" w:rsidRPr="00CD50E4">
        <w:t xml:space="preserve"> (o </w:t>
      </w:r>
      <w:r w:rsidR="00C2065F" w:rsidRPr="00C2065F">
        <w:t>12,3</w:t>
      </w:r>
      <w:r w:rsidR="00C2065F" w:rsidRPr="00CD50E4">
        <w:t>%)</w:t>
      </w:r>
      <w:r w:rsidR="00C2065F">
        <w:t xml:space="preserve">, </w:t>
      </w:r>
      <w:r w:rsidR="00C2065F" w:rsidRPr="00CD50E4">
        <w:t>wytwarzaniu i zaopatrywaniu w energię elektryczną, gaz, par</w:t>
      </w:r>
      <w:r w:rsidR="00C2065F">
        <w:t>ę wodną i gorącą wodę (o 6,5%)</w:t>
      </w:r>
      <w:r w:rsidR="00C2065F" w:rsidRPr="00CD50E4">
        <w:t xml:space="preserve"> oraz</w:t>
      </w:r>
      <w:r w:rsidR="00C2065F">
        <w:t xml:space="preserve"> handlu</w:t>
      </w:r>
      <w:r w:rsidR="00C2065F" w:rsidRPr="00CD50E4">
        <w:t>; napraw</w:t>
      </w:r>
      <w:r w:rsidR="00C2065F">
        <w:t>ie</w:t>
      </w:r>
      <w:r w:rsidR="00C2065F" w:rsidRPr="00CD50E4">
        <w:t xml:space="preserve"> pojazdów samochodowych (o </w:t>
      </w:r>
      <w:r w:rsidR="00C2065F">
        <w:t>4</w:t>
      </w:r>
      <w:r w:rsidR="00C2065F" w:rsidRPr="00CD50E4">
        <w:t>,5%)</w:t>
      </w:r>
      <w:r w:rsidR="00C2065F">
        <w:t>.</w:t>
      </w:r>
      <w:r w:rsidRPr="00CD50E4">
        <w:t xml:space="preserve"> </w:t>
      </w:r>
      <w:r w:rsidR="00F63EE4">
        <w:t>Więcej</w:t>
      </w:r>
      <w:r w:rsidRPr="00CD50E4">
        <w:t xml:space="preserve"> zainwestowano natomiast m.in. w przedsiębiorstwach związanych z administrowaniem i działalnością wspierającą (o </w:t>
      </w:r>
      <w:r w:rsidR="00C2065F" w:rsidRPr="00C2065F">
        <w:t>47,8</w:t>
      </w:r>
      <w:r w:rsidR="00C2065F">
        <w:t>%)</w:t>
      </w:r>
      <w:r w:rsidRPr="00CD50E4">
        <w:t>.</w:t>
      </w:r>
    </w:p>
    <w:p w:rsidR="002A5C98" w:rsidRDefault="002A5C98" w:rsidP="00E923A7">
      <w:pPr>
        <w:pStyle w:val="tekst"/>
      </w:pPr>
      <w:r>
        <w:t>N</w:t>
      </w:r>
      <w:r w:rsidRPr="002A5C98">
        <w:t>ajwięcej inwestowały przedsiębiorstwa z sekcji handel; naprawa pojazdów samochodowych (</w:t>
      </w:r>
      <w:r w:rsidR="00D4478E" w:rsidRPr="00D4478E">
        <w:t>37,2% ogółu nakładów inwestycyjnych wobec 35,6% w 2023 r.</w:t>
      </w:r>
      <w:r w:rsidRPr="002A5C98">
        <w:t>) i przetwórstwo przemysło</w:t>
      </w:r>
      <w:r w:rsidR="00D4478E">
        <w:t>we (34,8% wobec 37,2%), a w dal</w:t>
      </w:r>
      <w:r w:rsidRPr="002A5C98">
        <w:t>szej kolejności wytwarzanie i zaopatrywanie w energię elektryczną, gaz, parę wodną i gorącą wodę (</w:t>
      </w:r>
      <w:r w:rsidR="00D4478E">
        <w:t>12,0</w:t>
      </w:r>
      <w:r w:rsidRPr="002A5C98">
        <w:t>% wobec 1</w:t>
      </w:r>
      <w:r w:rsidR="00D4478E">
        <w:t>1,8</w:t>
      </w:r>
      <w:r w:rsidRPr="002A5C98">
        <w:t>%), transport i gospodarka magazynowa (</w:t>
      </w:r>
      <w:r w:rsidR="00D4478E">
        <w:t>4,3</w:t>
      </w:r>
      <w:r w:rsidRPr="002A5C98">
        <w:t xml:space="preserve">% wobec </w:t>
      </w:r>
      <w:r w:rsidR="00D4478E">
        <w:t>4,5</w:t>
      </w:r>
      <w:r w:rsidRPr="002A5C98">
        <w:t xml:space="preserve">%) oraz </w:t>
      </w:r>
      <w:r w:rsidR="00D4478E">
        <w:t>dostawa</w:t>
      </w:r>
      <w:r w:rsidR="00D4478E" w:rsidRPr="00D4478E">
        <w:t xml:space="preserve"> wody; gospodarowanie ści</w:t>
      </w:r>
      <w:r w:rsidR="003213F9">
        <w:t xml:space="preserve">ekami i odpadami; rekultywacja </w:t>
      </w:r>
      <w:r w:rsidRPr="002A5C98">
        <w:t>(</w:t>
      </w:r>
      <w:r w:rsidR="003213F9">
        <w:t>2,7</w:t>
      </w:r>
      <w:r w:rsidRPr="002A5C98">
        <w:t xml:space="preserve">% wobec </w:t>
      </w:r>
      <w:r w:rsidR="003213F9">
        <w:t>3,1</w:t>
      </w:r>
      <w:r w:rsidRPr="002A5C98">
        <w:t>%).</w:t>
      </w:r>
    </w:p>
    <w:p w:rsidR="00E923A7" w:rsidRDefault="00E923A7" w:rsidP="00E923A7">
      <w:pPr>
        <w:pStyle w:val="tekst"/>
      </w:pPr>
      <w:r w:rsidRPr="0011259D">
        <w:t xml:space="preserve">Na zakup używanych środków trwałych w całym roku </w:t>
      </w:r>
      <w:r>
        <w:t>2024</w:t>
      </w:r>
      <w:r w:rsidRPr="0011259D">
        <w:t xml:space="preserve"> przedsiębiorstwa przeznaczyły łącznie </w:t>
      </w:r>
      <w:r w:rsidR="00C0289F" w:rsidRPr="00C0289F">
        <w:t xml:space="preserve">1533,0 </w:t>
      </w:r>
      <w:r w:rsidRPr="0011259D">
        <w:t xml:space="preserve">mln zł (o </w:t>
      </w:r>
      <w:r w:rsidR="00C0289F" w:rsidRPr="00C0289F">
        <w:t>18,7</w:t>
      </w:r>
      <w:r w:rsidRPr="0011259D">
        <w:t xml:space="preserve">% </w:t>
      </w:r>
      <w:r w:rsidR="00520B48">
        <w:t>więc</w:t>
      </w:r>
      <w:r w:rsidRPr="0011259D">
        <w:t xml:space="preserve">ej niż w poprzednim roku), z tego </w:t>
      </w:r>
      <w:r w:rsidR="00C0289F" w:rsidRPr="00C0289F">
        <w:t>45,2</w:t>
      </w:r>
      <w:r w:rsidRPr="0011259D">
        <w:t>% na zakup gruntów. Najwięcej takich inwestycji dokonano w sekcjach</w:t>
      </w:r>
      <w:r w:rsidR="00840096" w:rsidRPr="00840096">
        <w:t xml:space="preserve"> </w:t>
      </w:r>
      <w:r w:rsidR="00840096" w:rsidRPr="0011259D">
        <w:t>przetwórstwo przemysłowe</w:t>
      </w:r>
      <w:r w:rsidRPr="0011259D">
        <w:t xml:space="preserve"> (</w:t>
      </w:r>
      <w:r w:rsidR="00840096" w:rsidRPr="00840096">
        <w:t>44,9</w:t>
      </w:r>
      <w:r w:rsidRPr="0011259D">
        <w:t xml:space="preserve">% ogólnej kwoty nakładów na zakup używanych środków trwałych; w </w:t>
      </w:r>
      <w:r>
        <w:t>2023</w:t>
      </w:r>
      <w:r w:rsidRPr="0011259D">
        <w:t xml:space="preserve"> r. </w:t>
      </w:r>
      <w:r w:rsidR="00840096" w:rsidRPr="0011259D">
        <w:t>33,2</w:t>
      </w:r>
      <w:r w:rsidRPr="0011259D">
        <w:t>%) oraz</w:t>
      </w:r>
      <w:r w:rsidR="00840096" w:rsidRPr="00840096">
        <w:t xml:space="preserve"> </w:t>
      </w:r>
      <w:r w:rsidR="00840096" w:rsidRPr="0011259D">
        <w:t>handel; naprawa pojazdów samochodowych</w:t>
      </w:r>
      <w:r w:rsidRPr="0011259D">
        <w:t xml:space="preserve"> (</w:t>
      </w:r>
      <w:r w:rsidR="00840096" w:rsidRPr="00840096">
        <w:t>34,8</w:t>
      </w:r>
      <w:r w:rsidRPr="0011259D">
        <w:t xml:space="preserve">%; przed rokiem </w:t>
      </w:r>
      <w:r w:rsidR="00840096" w:rsidRPr="0011259D">
        <w:t>45,8</w:t>
      </w:r>
      <w:r w:rsidRPr="0011259D">
        <w:t>%).</w:t>
      </w:r>
    </w:p>
    <w:p w:rsidR="00E923A7" w:rsidRPr="0030704B" w:rsidRDefault="00E923A7" w:rsidP="00E923A7">
      <w:pPr>
        <w:pStyle w:val="tekst"/>
      </w:pPr>
      <w:r w:rsidRPr="0030704B">
        <w:t xml:space="preserve">W </w:t>
      </w:r>
      <w:r>
        <w:t>2024</w:t>
      </w:r>
      <w:r w:rsidRPr="0030704B">
        <w:t xml:space="preserve"> r. w województwie wielkopolskim </w:t>
      </w:r>
      <w:r w:rsidRPr="0030704B">
        <w:rPr>
          <w:b/>
        </w:rPr>
        <w:t>rozpoczęto</w:t>
      </w:r>
      <w:r w:rsidRPr="0030704B">
        <w:t xml:space="preserve"> </w:t>
      </w:r>
      <w:r w:rsidR="00A947B5" w:rsidRPr="00A947B5">
        <w:t>23766</w:t>
      </w:r>
      <w:r w:rsidRPr="0030704B">
        <w:t xml:space="preserve"> </w:t>
      </w:r>
      <w:r w:rsidRPr="0030704B">
        <w:rPr>
          <w:b/>
        </w:rPr>
        <w:t>nowych zadań inwestycyjnych</w:t>
      </w:r>
      <w:r w:rsidRPr="0030704B">
        <w:t xml:space="preserve">, tj. o </w:t>
      </w:r>
      <w:r w:rsidR="00A947B5">
        <w:t>50,3</w:t>
      </w:r>
      <w:r w:rsidRPr="0030704B">
        <w:t xml:space="preserve">% więcej niż rok wcześniej. Ich wartość kosztorysowa wyniosła </w:t>
      </w:r>
      <w:r w:rsidR="00A947B5" w:rsidRPr="00A947B5">
        <w:t>5311,9</w:t>
      </w:r>
      <w:r w:rsidR="00A947B5">
        <w:t xml:space="preserve"> </w:t>
      </w:r>
      <w:r w:rsidRPr="0030704B">
        <w:t xml:space="preserve">mln zł i była o </w:t>
      </w:r>
      <w:r w:rsidR="00A82056">
        <w:t>0,2</w:t>
      </w:r>
      <w:r w:rsidRPr="0030704B">
        <w:t>% mniejsza od wartości inwestycji rozpoczętych przed rokiem. Podobnie jak w poprzednich okresach, najwięcej inwestycji dotyczyło sekcji wytwarzanie i zaopatrywanie w energię elektryczną, gaz, parę wodną i gorącą wodę (</w:t>
      </w:r>
      <w:r w:rsidR="004E06F3" w:rsidRPr="004E06F3">
        <w:t>83,3</w:t>
      </w:r>
      <w:r w:rsidRPr="0030704B">
        <w:t xml:space="preserve">% ogólnej liczby zadań, o wartości kosztorysowej stanowiącej tylko </w:t>
      </w:r>
      <w:r w:rsidR="004E06F3" w:rsidRPr="004E06F3">
        <w:t>14,5</w:t>
      </w:r>
      <w:r w:rsidRPr="0030704B">
        <w:t xml:space="preserve">% inwestycji nowo rozpoczynanych). Największą wartość kosztorysową miały natomiast inwestycje przedsiębiorstw </w:t>
      </w:r>
      <w:r w:rsidRPr="0030704B">
        <w:lastRenderedPageBreak/>
        <w:t>z sekcji handel; naprawa pojazdów samochodowych (</w:t>
      </w:r>
      <w:r w:rsidR="004E06F3" w:rsidRPr="004E06F3">
        <w:t>52,1</w:t>
      </w:r>
      <w:r w:rsidRPr="0030704B">
        <w:t xml:space="preserve">% wartości kosztorysowej wszystkich inwestycji nowo rozpoczynanych w województwie, choć w ogólnej liczbie zadań stanowiły one zaledwie </w:t>
      </w:r>
      <w:r w:rsidR="004E06F3" w:rsidRPr="004E06F3">
        <w:t>8,6</w:t>
      </w:r>
      <w:r w:rsidRPr="0030704B">
        <w:t>%) oraz przetwórstwo przemysłowe (</w:t>
      </w:r>
      <w:r w:rsidR="004E06F3" w:rsidRPr="004E06F3">
        <w:t>28,0</w:t>
      </w:r>
      <w:r w:rsidRPr="0030704B">
        <w:t xml:space="preserve">% wartości i </w:t>
      </w:r>
      <w:r w:rsidR="004E06F3" w:rsidRPr="004E06F3">
        <w:t>5,9</w:t>
      </w:r>
      <w:r w:rsidRPr="0030704B">
        <w:t>% liczby zadań).</w:t>
      </w:r>
    </w:p>
    <w:p w:rsidR="00E923A7" w:rsidRDefault="00E923A7" w:rsidP="00E923A7">
      <w:pPr>
        <w:pStyle w:val="Nagwek1"/>
      </w:pPr>
      <w:bookmarkStart w:id="61" w:name="_Toc193459104"/>
      <w:bookmarkStart w:id="62" w:name="_Toc193459766"/>
      <w:r w:rsidRPr="00724771">
        <w:t>Podmioty gospodarki narodow</w:t>
      </w:r>
      <w:r w:rsidRPr="002C60CF">
        <w:rPr>
          <w:rStyle w:val="Nagwek1Znak"/>
        </w:rPr>
        <w:t>e</w:t>
      </w:r>
      <w:r w:rsidRPr="00724771">
        <w:t>j</w:t>
      </w:r>
      <w:bookmarkEnd w:id="46"/>
      <w:bookmarkEnd w:id="47"/>
      <w:bookmarkEnd w:id="48"/>
      <w:bookmarkEnd w:id="61"/>
      <w:bookmarkEnd w:id="62"/>
    </w:p>
    <w:p w:rsidR="00E923A7" w:rsidRPr="00AD78B3" w:rsidRDefault="00E923A7" w:rsidP="00E923A7">
      <w:pPr>
        <w:pStyle w:val="tekst"/>
      </w:pPr>
      <w:r w:rsidRPr="00AD78B3">
        <w:t xml:space="preserve">Według stanu na koniec </w:t>
      </w:r>
      <w:r>
        <w:t>lutego</w:t>
      </w:r>
      <w:r w:rsidRPr="00AD78B3">
        <w:t xml:space="preserve"> </w:t>
      </w:r>
      <w:r>
        <w:t>br.</w:t>
      </w:r>
      <w:r w:rsidRPr="00AD78B3">
        <w:t xml:space="preserve"> w rejestrze REGON dla województwa wielkopolskiego ujętych było </w:t>
      </w:r>
      <w:r w:rsidRPr="00E87350">
        <w:t>520,1</w:t>
      </w:r>
      <w:r>
        <w:t xml:space="preserve"> </w:t>
      </w:r>
      <w:r w:rsidRPr="00AD78B3">
        <w:t xml:space="preserve">tys. </w:t>
      </w:r>
      <w:r w:rsidRPr="00AD78B3">
        <w:rPr>
          <w:b/>
        </w:rPr>
        <w:t>podmiotów gospodarki narodowej</w:t>
      </w:r>
      <w:r w:rsidRPr="00AD78B3">
        <w:rPr>
          <w:rStyle w:val="Odwoanieprzypisudolnego"/>
          <w:rFonts w:cs="FiraSans-Regular"/>
          <w:szCs w:val="19"/>
        </w:rPr>
        <w:footnoteReference w:id="4"/>
      </w:r>
      <w:r w:rsidRPr="00AD78B3">
        <w:t xml:space="preserve">, </w:t>
      </w:r>
      <w:r>
        <w:t xml:space="preserve">tj. </w:t>
      </w:r>
      <w:r w:rsidRPr="00D243A4">
        <w:t>o 0,</w:t>
      </w:r>
      <w:r>
        <w:t>1</w:t>
      </w:r>
      <w:r w:rsidRPr="00D243A4">
        <w:t>% więcej niż miesiąc wcześniej i o 2,</w:t>
      </w:r>
      <w:r>
        <w:t>6</w:t>
      </w:r>
      <w:r w:rsidRPr="00D243A4">
        <w:t>% więcej niż przed rokiem</w:t>
      </w:r>
      <w:r>
        <w:t>.</w:t>
      </w:r>
      <w:r w:rsidRPr="00AD78B3">
        <w:t xml:space="preserve"> Liczba zarejestrowanych </w:t>
      </w:r>
      <w:r w:rsidRPr="00AD78B3">
        <w:rPr>
          <w:b/>
        </w:rPr>
        <w:t>osób fizycznych</w:t>
      </w:r>
      <w:r w:rsidRPr="00AD78B3">
        <w:t xml:space="preserve"> prowadzących dzi</w:t>
      </w:r>
      <w:r>
        <w:t xml:space="preserve">ałalność gospodarczą wyniosła </w:t>
      </w:r>
      <w:r w:rsidRPr="00E87350">
        <w:t>379,0</w:t>
      </w:r>
      <w:r>
        <w:t xml:space="preserve"> </w:t>
      </w:r>
      <w:r w:rsidRPr="00AD78B3">
        <w:t>tys.</w:t>
      </w:r>
      <w:r>
        <w:t xml:space="preserve">, co w </w:t>
      </w:r>
      <w:r w:rsidRPr="00AD78B3">
        <w:t xml:space="preserve">porównaniu </w:t>
      </w:r>
      <w:r>
        <w:t>z lutym</w:t>
      </w:r>
      <w:r w:rsidRPr="00AD78B3">
        <w:t xml:space="preserve"> </w:t>
      </w:r>
      <w:r>
        <w:t>ub. roku</w:t>
      </w:r>
      <w:r w:rsidRPr="00AD78B3">
        <w:t xml:space="preserve"> </w:t>
      </w:r>
      <w:r>
        <w:t>oznacza przyrost</w:t>
      </w:r>
      <w:r w:rsidRPr="00AD78B3">
        <w:t xml:space="preserve"> o 2,</w:t>
      </w:r>
      <w:r>
        <w:t>7</w:t>
      </w:r>
      <w:r w:rsidRPr="00AD78B3">
        <w:t xml:space="preserve">%. Do rejestru REGON wpisanych było ponadto </w:t>
      </w:r>
      <w:r w:rsidRPr="00E87350">
        <w:t>93,3</w:t>
      </w:r>
      <w:r>
        <w:t xml:space="preserve"> </w:t>
      </w:r>
      <w:r w:rsidRPr="00AD78B3">
        <w:t xml:space="preserve">tys. </w:t>
      </w:r>
      <w:r w:rsidRPr="00AD78B3">
        <w:rPr>
          <w:b/>
        </w:rPr>
        <w:t>spółek</w:t>
      </w:r>
      <w:r w:rsidRPr="00AD78B3">
        <w:t xml:space="preserve">, w tym </w:t>
      </w:r>
      <w:r w:rsidRPr="00E87350">
        <w:t>66,9</w:t>
      </w:r>
      <w:r>
        <w:t xml:space="preserve"> tys. spółek handlowych (w </w:t>
      </w:r>
      <w:r w:rsidRPr="00AD78B3">
        <w:t xml:space="preserve">skali roku liczba tych podmiotów wzrosła odpowiednio o </w:t>
      </w:r>
      <w:r>
        <w:t>2,6</w:t>
      </w:r>
      <w:r w:rsidRPr="00AD78B3">
        <w:t xml:space="preserve">% i o </w:t>
      </w:r>
      <w:r>
        <w:t>3,7</w:t>
      </w:r>
      <w:r w:rsidRPr="00AD78B3">
        <w:t>%) oraz 26,</w:t>
      </w:r>
      <w:r>
        <w:t>2</w:t>
      </w:r>
      <w:r w:rsidRPr="00AD78B3">
        <w:t xml:space="preserve"> </w:t>
      </w:r>
      <w:r>
        <w:t xml:space="preserve">tys. spółek cywilnych (spadek o </w:t>
      </w:r>
      <w:r w:rsidRPr="00AD78B3">
        <w:t>0</w:t>
      </w:r>
      <w:r>
        <w:t>,1</w:t>
      </w:r>
      <w:r w:rsidRPr="00AD78B3">
        <w:t>%).</w:t>
      </w:r>
    </w:p>
    <w:p w:rsidR="00E923A7" w:rsidRPr="00AD78B3" w:rsidRDefault="00E923A7" w:rsidP="00E923A7">
      <w:pPr>
        <w:pStyle w:val="tekst"/>
      </w:pPr>
      <w:r w:rsidRPr="00AD78B3">
        <w:t>W ujęciu</w:t>
      </w:r>
      <w:r w:rsidRPr="00AD78B3">
        <w:rPr>
          <w:b/>
        </w:rPr>
        <w:t xml:space="preserve"> </w:t>
      </w:r>
      <w:r w:rsidRPr="00AD78B3">
        <w:t>według</w:t>
      </w:r>
      <w:r w:rsidRPr="00AD78B3">
        <w:rPr>
          <w:b/>
        </w:rPr>
        <w:t xml:space="preserve"> przewidywanej liczby pracujących</w:t>
      </w:r>
      <w:r w:rsidRPr="00AD78B3">
        <w:t xml:space="preserve"> przeważały podmioty o liczbie pracujących poniżej 10 (</w:t>
      </w:r>
      <w:r w:rsidRPr="00926634">
        <w:t>96,8</w:t>
      </w:r>
      <w:r w:rsidRPr="00AD78B3">
        <w:t xml:space="preserve">% ogółu jednostek ujętych w rejestrze). W skali roku liczba podmiotów z tego przedziału zwiększyła się o </w:t>
      </w:r>
      <w:r w:rsidRPr="00926634">
        <w:t>2,8</w:t>
      </w:r>
      <w:r w:rsidRPr="00AD78B3">
        <w:t>%. Udział podmiotów o przewidywanej liczbie pracujących 10–49 wyniósł 2,</w:t>
      </w:r>
      <w:r>
        <w:t>6</w:t>
      </w:r>
      <w:r w:rsidRPr="00AD78B3">
        <w:t xml:space="preserve">%, a ich liczba w porównaniu </w:t>
      </w:r>
      <w:r>
        <w:t>z lutym</w:t>
      </w:r>
      <w:r w:rsidRPr="00AD78B3">
        <w:t xml:space="preserve"> </w:t>
      </w:r>
      <w:r>
        <w:t>ub. roku</w:t>
      </w:r>
      <w:r w:rsidRPr="00AD78B3">
        <w:t xml:space="preserve"> zmniejszyła się o</w:t>
      </w:r>
      <w:r>
        <w:t> 1,9</w:t>
      </w:r>
      <w:r w:rsidRPr="00AD78B3">
        <w:t>%. Podmioty powyżej 49 pracujących stanowiły 0,</w:t>
      </w:r>
      <w:r>
        <w:t>6</w:t>
      </w:r>
      <w:r w:rsidRPr="00AD78B3">
        <w:t xml:space="preserve">% wszystkich jednostek wpisanych do rejestru REGON, a ich liczba </w:t>
      </w:r>
      <w:r>
        <w:t xml:space="preserve">spadła </w:t>
      </w:r>
      <w:r w:rsidRPr="00AD78B3">
        <w:t xml:space="preserve">w ciągu roku o </w:t>
      </w:r>
      <w:r>
        <w:t>1,5</w:t>
      </w:r>
      <w:r w:rsidRPr="00AD78B3">
        <w:t>%.</w:t>
      </w:r>
    </w:p>
    <w:p w:rsidR="00E923A7" w:rsidRDefault="00E923A7" w:rsidP="00E923A7">
      <w:pPr>
        <w:pStyle w:val="tekst"/>
      </w:pPr>
      <w:r w:rsidRPr="00AD78B3">
        <w:t xml:space="preserve">Ze względu na rodzaj działalności w analizowanym okresie największy wzrost liczby podmiotów </w:t>
      </w:r>
      <w:r>
        <w:t>odnotowano w </w:t>
      </w:r>
      <w:r w:rsidRPr="00AD78B3">
        <w:t>sekcja</w:t>
      </w:r>
      <w:r>
        <w:t xml:space="preserve">ch: </w:t>
      </w:r>
      <w:r w:rsidRPr="00AD78B3">
        <w:t>wytwarzanie i zaopatrywanie w energię elektryczną, gaz, parę wodną i gorącą wodę (o</w:t>
      </w:r>
      <w:r>
        <w:t xml:space="preserve"> 8,3</w:t>
      </w:r>
      <w:r w:rsidRPr="00AD78B3">
        <w:t xml:space="preserve">%), administrowanie i działalność wspierająca (o </w:t>
      </w:r>
      <w:r>
        <w:t>7,2</w:t>
      </w:r>
      <w:r w:rsidRPr="00AD78B3">
        <w:t>%)</w:t>
      </w:r>
      <w:r>
        <w:t xml:space="preserve">, informacja i komunikacja (o </w:t>
      </w:r>
      <w:r w:rsidRPr="00A9680C">
        <w:t>5,</w:t>
      </w:r>
      <w:r>
        <w:t>0</w:t>
      </w:r>
      <w:r w:rsidRPr="00AD78B3">
        <w:t xml:space="preserve">%), </w:t>
      </w:r>
      <w:r w:rsidRPr="00D243A4">
        <w:t xml:space="preserve">edukacja (o </w:t>
      </w:r>
      <w:r w:rsidRPr="00A9680C">
        <w:t>4,</w:t>
      </w:r>
      <w:r>
        <w:t>8</w:t>
      </w:r>
      <w:r w:rsidRPr="00D243A4">
        <w:t>%)</w:t>
      </w:r>
      <w:r>
        <w:t>, pozostała działalność usługowa (o 4,5%)</w:t>
      </w:r>
      <w:r w:rsidRPr="004A1B64">
        <w:t xml:space="preserve"> </w:t>
      </w:r>
      <w:r w:rsidRPr="00D243A4">
        <w:t xml:space="preserve">oraz </w:t>
      </w:r>
      <w:r w:rsidRPr="00A9680C">
        <w:t>opieka zdrowotna i pomoc społeczna</w:t>
      </w:r>
      <w:r>
        <w:t xml:space="preserve"> (o </w:t>
      </w:r>
      <w:r w:rsidRPr="00A9680C">
        <w:t>4,</w:t>
      </w:r>
      <w:r>
        <w:t>3</w:t>
      </w:r>
      <w:r w:rsidRPr="00D243A4">
        <w:t>%)</w:t>
      </w:r>
      <w:r w:rsidRPr="00AD78B3">
        <w:t xml:space="preserve">. </w:t>
      </w:r>
    </w:p>
    <w:p w:rsidR="00E923A7" w:rsidRPr="00AD78B3" w:rsidRDefault="00E923A7" w:rsidP="00E923A7">
      <w:pPr>
        <w:pStyle w:val="tekst"/>
      </w:pPr>
      <w:r>
        <w:t>W lutym</w:t>
      </w:r>
      <w:r w:rsidRPr="00AD78B3">
        <w:t xml:space="preserve"> </w:t>
      </w:r>
      <w:r>
        <w:t>br.</w:t>
      </w:r>
      <w:r w:rsidRPr="00AD78B3">
        <w:t xml:space="preserve"> do rejestru REGON wpisano </w:t>
      </w:r>
      <w:r w:rsidRPr="00826D6C">
        <w:t>2771</w:t>
      </w:r>
      <w:r w:rsidRPr="00AD78B3">
        <w:t xml:space="preserve"> </w:t>
      </w:r>
      <w:r w:rsidRPr="00AD78B3">
        <w:rPr>
          <w:b/>
        </w:rPr>
        <w:t>now</w:t>
      </w:r>
      <w:r>
        <w:rPr>
          <w:b/>
        </w:rPr>
        <w:t>ych</w:t>
      </w:r>
      <w:r w:rsidRPr="00AD78B3">
        <w:rPr>
          <w:b/>
        </w:rPr>
        <w:t xml:space="preserve"> podmiot</w:t>
      </w:r>
      <w:r>
        <w:rPr>
          <w:b/>
        </w:rPr>
        <w:t>ów</w:t>
      </w:r>
      <w:r w:rsidRPr="00AD78B3">
        <w:t xml:space="preserve">, </w:t>
      </w:r>
      <w:r>
        <w:t xml:space="preserve">tj. </w:t>
      </w:r>
      <w:r w:rsidRPr="00AD78B3">
        <w:t xml:space="preserve">o </w:t>
      </w:r>
      <w:r w:rsidRPr="00826D6C">
        <w:t>296</w:t>
      </w:r>
      <w:r w:rsidRPr="00AD78B3">
        <w:t xml:space="preserve"> (o </w:t>
      </w:r>
      <w:r w:rsidRPr="00826D6C">
        <w:t>9,7</w:t>
      </w:r>
      <w:r w:rsidRPr="00AD78B3">
        <w:t xml:space="preserve">%) </w:t>
      </w:r>
      <w:r>
        <w:t>mni</w:t>
      </w:r>
      <w:r w:rsidRPr="00AD78B3">
        <w:t>ej niż w poprzednim miesiącu. Wśród nowo zarejestrowanych jednostek przeważały osoby fizyczne prowadzące działalność gospodarczą (</w:t>
      </w:r>
      <w:r w:rsidRPr="00826D6C">
        <w:t>2063</w:t>
      </w:r>
      <w:r w:rsidRPr="00AD78B3">
        <w:t xml:space="preserve">; o </w:t>
      </w:r>
      <w:r w:rsidRPr="00826D6C">
        <w:t>344</w:t>
      </w:r>
      <w:r w:rsidRPr="00546140">
        <w:t xml:space="preserve"> </w:t>
      </w:r>
      <w:r w:rsidRPr="00AD78B3">
        <w:t>jednost</w:t>
      </w:r>
      <w:r>
        <w:t>e</w:t>
      </w:r>
      <w:r w:rsidRPr="00AD78B3">
        <w:t xml:space="preserve">k, tj. o </w:t>
      </w:r>
      <w:r w:rsidRPr="00826D6C">
        <w:t>14,3</w:t>
      </w:r>
      <w:r>
        <w:t>%</w:t>
      </w:r>
      <w:r w:rsidRPr="00AD78B3">
        <w:t xml:space="preserve"> </w:t>
      </w:r>
      <w:r>
        <w:t>mni</w:t>
      </w:r>
      <w:r w:rsidRPr="00AD78B3">
        <w:t xml:space="preserve">ej niż </w:t>
      </w:r>
      <w:r>
        <w:t xml:space="preserve">w styczniu </w:t>
      </w:r>
      <w:r w:rsidRPr="00F73D12">
        <w:t>br.</w:t>
      </w:r>
      <w:r w:rsidRPr="00AD78B3">
        <w:t xml:space="preserve">). Ponadto </w:t>
      </w:r>
      <w:r>
        <w:t>w lutym</w:t>
      </w:r>
      <w:r w:rsidRPr="00AD78B3">
        <w:t xml:space="preserve"> </w:t>
      </w:r>
      <w:r>
        <w:t>br.</w:t>
      </w:r>
      <w:r w:rsidRPr="00AD78B3">
        <w:t xml:space="preserve"> zarejestrowano </w:t>
      </w:r>
      <w:r w:rsidRPr="00826D6C">
        <w:t>520</w:t>
      </w:r>
      <w:r>
        <w:t xml:space="preserve"> nowych spółek handlowych (o 35 więc</w:t>
      </w:r>
      <w:r w:rsidRPr="00AD78B3">
        <w:t>ej</w:t>
      </w:r>
      <w:r>
        <w:t xml:space="preserve"> </w:t>
      </w:r>
      <w:r w:rsidRPr="00AD78B3">
        <w:t xml:space="preserve">niż przed miesiącem), w tym </w:t>
      </w:r>
      <w:r>
        <w:t>501</w:t>
      </w:r>
      <w:r w:rsidRPr="00AD78B3">
        <w:t xml:space="preserve"> spół</w:t>
      </w:r>
      <w:r>
        <w:t>e</w:t>
      </w:r>
      <w:r w:rsidRPr="00AD78B3">
        <w:t xml:space="preserve">k z ograniczoną odpowiedzialnością (o </w:t>
      </w:r>
      <w:r>
        <w:t>33 więc</w:t>
      </w:r>
      <w:r w:rsidRPr="00AD78B3">
        <w:t>ej).</w:t>
      </w:r>
    </w:p>
    <w:p w:rsidR="00E923A7" w:rsidRDefault="00E923A7" w:rsidP="00E923A7">
      <w:pPr>
        <w:pStyle w:val="tekst"/>
      </w:pPr>
      <w:r>
        <w:t>W lutym</w:t>
      </w:r>
      <w:r w:rsidRPr="00AD78B3">
        <w:t xml:space="preserve"> </w:t>
      </w:r>
      <w:r>
        <w:t>br.</w:t>
      </w:r>
      <w:r w:rsidRPr="00AD78B3">
        <w:t xml:space="preserve"> z rejestru REGON </w:t>
      </w:r>
      <w:r w:rsidRPr="00AD78B3">
        <w:rPr>
          <w:b/>
        </w:rPr>
        <w:t>wykreślono</w:t>
      </w:r>
      <w:r w:rsidRPr="00AD78B3">
        <w:t xml:space="preserve"> </w:t>
      </w:r>
      <w:r w:rsidRPr="00826D6C">
        <w:t>1977</w:t>
      </w:r>
      <w:r>
        <w:t xml:space="preserve"> </w:t>
      </w:r>
      <w:r w:rsidRPr="00AD78B3">
        <w:t>podmiot</w:t>
      </w:r>
      <w:r>
        <w:t>ów</w:t>
      </w:r>
      <w:r w:rsidRPr="00AD78B3">
        <w:t xml:space="preserve">, tj. o </w:t>
      </w:r>
      <w:r w:rsidRPr="00826D6C">
        <w:t>548</w:t>
      </w:r>
      <w:r>
        <w:t xml:space="preserve"> (o </w:t>
      </w:r>
      <w:r w:rsidRPr="00826D6C">
        <w:t>21,7</w:t>
      </w:r>
      <w:r w:rsidRPr="00AD78B3">
        <w:t>%</w:t>
      </w:r>
      <w:r>
        <w:t>)</w:t>
      </w:r>
      <w:r w:rsidRPr="00AD78B3">
        <w:t xml:space="preserve"> </w:t>
      </w:r>
      <w:r>
        <w:t>mni</w:t>
      </w:r>
      <w:r w:rsidRPr="00AD78B3">
        <w:t xml:space="preserve">ej niż </w:t>
      </w:r>
      <w:r>
        <w:t xml:space="preserve">w styczniu </w:t>
      </w:r>
      <w:r w:rsidRPr="001C4F4E">
        <w:t>br.</w:t>
      </w:r>
      <w:r w:rsidRPr="00AD78B3">
        <w:t>, w tym</w:t>
      </w:r>
      <w:r>
        <w:t xml:space="preserve"> </w:t>
      </w:r>
      <w:r w:rsidRPr="00826D6C">
        <w:t>1546</w:t>
      </w:r>
      <w:r>
        <w:t xml:space="preserve"> </w:t>
      </w:r>
      <w:r w:rsidRPr="00AD78B3">
        <w:t>os</w:t>
      </w:r>
      <w:r>
        <w:t>ób</w:t>
      </w:r>
      <w:r w:rsidRPr="00AD78B3">
        <w:t xml:space="preserve"> fizyczn</w:t>
      </w:r>
      <w:r>
        <w:t>ych</w:t>
      </w:r>
      <w:r w:rsidRPr="00AD78B3">
        <w:t xml:space="preserve"> prowadząc</w:t>
      </w:r>
      <w:r>
        <w:t>ych</w:t>
      </w:r>
      <w:r w:rsidRPr="00AD78B3">
        <w:t xml:space="preserve"> działalność gospodarczą, o </w:t>
      </w:r>
      <w:r w:rsidRPr="00826D6C">
        <w:t>498</w:t>
      </w:r>
      <w:r>
        <w:t xml:space="preserve"> (o </w:t>
      </w:r>
      <w:r w:rsidRPr="00343221">
        <w:t>2</w:t>
      </w:r>
      <w:r>
        <w:t>4,4</w:t>
      </w:r>
      <w:r w:rsidRPr="00AD78B3">
        <w:t>%</w:t>
      </w:r>
      <w:r>
        <w:t>) mni</w:t>
      </w:r>
      <w:r w:rsidRPr="00AD78B3">
        <w:t>ej niż przed miesiącem.</w:t>
      </w:r>
    </w:p>
    <w:p w:rsidR="00E923A7" w:rsidRPr="007F73D2" w:rsidRDefault="00DC46F9" w:rsidP="00E923A7">
      <w:pPr>
        <w:pStyle w:val="tytuwykresu"/>
        <w:spacing w:before="240"/>
        <w:rPr>
          <w:b w:val="0"/>
        </w:rPr>
      </w:pPr>
      <w:r w:rsidRPr="00DC46F9">
        <w:rPr>
          <w:noProof/>
          <w:lang w:eastAsia="pl-PL"/>
        </w:rPr>
        <w:lastRenderedPageBreak/>
        <w:drawing>
          <wp:anchor distT="0" distB="0" distL="114300" distR="114300" simplePos="0" relativeHeight="252958208" behindDoc="0" locked="0" layoutInCell="1" allowOverlap="1">
            <wp:simplePos x="0" y="0"/>
            <wp:positionH relativeFrom="column">
              <wp:posOffset>1001611</wp:posOffset>
            </wp:positionH>
            <wp:positionV relativeFrom="paragraph">
              <wp:posOffset>310745</wp:posOffset>
            </wp:positionV>
            <wp:extent cx="4320000" cy="7369957"/>
            <wp:effectExtent l="0" t="0" r="4445" b="2540"/>
            <wp:wrapTopAndBottom/>
            <wp:docPr id="43" name="Obraz 43" descr="Podwójny wykres słupkowy (podmioty nowo zarejestrowane i wyrejestrowane) dla powiatów województwa wielkopolskiego, z wyróżnieniem powiatu poznańskiego i miasta Poznania. Sort według liczby podmiotów nowo zarejestrowanych.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320000" cy="736995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C3701">
        <w:t>Wykres 12</w:t>
      </w:r>
      <w:r w:rsidR="00E923A7" w:rsidRPr="00B4057C">
        <w:t>.</w:t>
      </w:r>
      <w:r w:rsidR="00E923A7">
        <w:tab/>
        <w:t>Podmioty gospodarki narodowej nowo zarejestrowane i wyrejestrowane w lutym 2025 r.</w:t>
      </w:r>
      <w:r w:rsidR="00E923A7" w:rsidRPr="007C2E61">
        <w:rPr>
          <w:b w:val="0"/>
        </w:rPr>
        <w:t xml:space="preserve"> </w:t>
      </w:r>
    </w:p>
    <w:p w:rsidR="00E923A7" w:rsidRDefault="00E923A7" w:rsidP="00E923A7">
      <w:pPr>
        <w:pStyle w:val="tekst"/>
        <w:spacing w:before="480" w:after="360"/>
      </w:pPr>
      <w:r w:rsidRPr="00AD78B3">
        <w:t xml:space="preserve">Według stanu na koniec </w:t>
      </w:r>
      <w:r>
        <w:t>lutego</w:t>
      </w:r>
      <w:r w:rsidRPr="00AD78B3">
        <w:t xml:space="preserve"> </w:t>
      </w:r>
      <w:r>
        <w:t>br.</w:t>
      </w:r>
      <w:r w:rsidRPr="00AD78B3">
        <w:t xml:space="preserve"> w rejestrze REGON dla województwa wielkopolskiego </w:t>
      </w:r>
      <w:r w:rsidRPr="00343221">
        <w:t>74,</w:t>
      </w:r>
      <w:r>
        <w:t>4</w:t>
      </w:r>
      <w:r w:rsidRPr="00343221">
        <w:t xml:space="preserve"> </w:t>
      </w:r>
      <w:r w:rsidRPr="00AD78B3">
        <w:t xml:space="preserve">tys. podmiotów miało </w:t>
      </w:r>
      <w:r w:rsidRPr="00AD78B3">
        <w:rPr>
          <w:b/>
        </w:rPr>
        <w:t xml:space="preserve">zawieszoną działalność </w:t>
      </w:r>
      <w:r w:rsidRPr="00AD78B3">
        <w:t xml:space="preserve">(o </w:t>
      </w:r>
      <w:r>
        <w:t>0,5</w:t>
      </w:r>
      <w:r w:rsidRPr="00AD78B3">
        <w:t xml:space="preserve">% więcej niż </w:t>
      </w:r>
      <w:r>
        <w:t>w końcu stycznia br.</w:t>
      </w:r>
      <w:r w:rsidRPr="00AD78B3">
        <w:t>). Zdecydowaną większość stanowiły osoby fizyczne prowad</w:t>
      </w:r>
      <w:r>
        <w:t>zące działalność gospodarczą (70,2</w:t>
      </w:r>
      <w:r w:rsidRPr="00AE2C3B">
        <w:t xml:space="preserve"> </w:t>
      </w:r>
      <w:r w:rsidRPr="00AD78B3">
        <w:t xml:space="preserve">tys., tj. </w:t>
      </w:r>
      <w:r w:rsidRPr="00AE2C3B">
        <w:t>94,3</w:t>
      </w:r>
      <w:r w:rsidRPr="00AD78B3">
        <w:t>%).</w:t>
      </w:r>
    </w:p>
    <w:p w:rsidR="00E923A7" w:rsidRPr="006359B9" w:rsidRDefault="00DC46F9" w:rsidP="00DC46F9">
      <w:pPr>
        <w:pStyle w:val="tytuwykresu"/>
        <w:spacing w:before="1320"/>
        <w:rPr>
          <w:b w:val="0"/>
        </w:rPr>
      </w:pPr>
      <w:r w:rsidRPr="00DC46F9">
        <w:rPr>
          <w:noProof/>
          <w:lang w:eastAsia="pl-PL"/>
        </w:rPr>
        <w:lastRenderedPageBreak/>
        <w:drawing>
          <wp:anchor distT="0" distB="0" distL="114300" distR="114300" simplePos="0" relativeHeight="252959232" behindDoc="0" locked="0" layoutInCell="1" allowOverlap="1">
            <wp:simplePos x="0" y="0"/>
            <wp:positionH relativeFrom="column">
              <wp:posOffset>1088349</wp:posOffset>
            </wp:positionH>
            <wp:positionV relativeFrom="paragraph">
              <wp:posOffset>421532</wp:posOffset>
            </wp:positionV>
            <wp:extent cx="4320000" cy="5216983"/>
            <wp:effectExtent l="0" t="0" r="4445" b="3175"/>
            <wp:wrapTopAndBottom/>
            <wp:docPr id="44" name="Obraz 44" descr="Mapa statystyczna – podmioty gospodarki narodowej z zawieszoną działalnością – na którą składa się kartogram i kartodiagram. Kartogram – dla powiatów województwa wielkopolskiego –prezentuje zmianę (wzrost/spadek w %) w relacji do poprzedniego miesiąca liczby podmiotów ogółem. Cieniowanie – 5 przedziałów według wielkości zmian. Kartodiagram słupkowy przedstawia zmianę (wzrost/spadek w %) liczby osób fizycznych w poszczególnych powiatach. Dodatkowo wartości dla Polski (0,7% dla podmiotów ogółem i 0,6% dla osób fizycznych) oraz dla województwa wielkopolskiego (w obu przypadkach 0,5%). Dane do mapy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20000" cy="521698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23A7">
        <w:t>Mapa 3</w:t>
      </w:r>
      <w:r w:rsidR="00E923A7" w:rsidRPr="00E26EA7">
        <w:t>.</w:t>
      </w:r>
      <w:r w:rsidR="00E923A7">
        <w:tab/>
        <w:t>Podmioty gospodarki narodowej z zawieszoną działalnością w 2025 r.</w:t>
      </w:r>
      <w:r w:rsidR="00E923A7">
        <w:br/>
      </w:r>
      <w:r w:rsidR="00E923A7" w:rsidRPr="00E85AA5">
        <w:tab/>
        <w:t xml:space="preserve">Stan w </w:t>
      </w:r>
      <w:r w:rsidR="00E923A7">
        <w:t>końcu lutego</w:t>
      </w:r>
      <w:r w:rsidR="00E923A7" w:rsidRPr="0007251B">
        <w:rPr>
          <w:b w:val="0"/>
        </w:rPr>
        <w:t xml:space="preserve"> </w:t>
      </w:r>
    </w:p>
    <w:p w:rsidR="00E923A7" w:rsidRPr="000B35C5" w:rsidRDefault="00E923A7" w:rsidP="00E923A7">
      <w:pPr>
        <w:pStyle w:val="Nagwek1"/>
      </w:pPr>
      <w:bookmarkStart w:id="63" w:name="_Toc64884835"/>
      <w:bookmarkStart w:id="64" w:name="_Toc64885004"/>
      <w:bookmarkStart w:id="65" w:name="_Toc64891657"/>
      <w:bookmarkStart w:id="66" w:name="_Toc193459105"/>
      <w:bookmarkStart w:id="67" w:name="_Toc193459767"/>
      <w:r w:rsidRPr="006C0BE2">
        <w:t>Koniunktura gospodarcza</w:t>
      </w:r>
      <w:bookmarkEnd w:id="63"/>
      <w:bookmarkEnd w:id="64"/>
      <w:bookmarkEnd w:id="65"/>
      <w:bookmarkEnd w:id="66"/>
      <w:bookmarkEnd w:id="67"/>
    </w:p>
    <w:p w:rsidR="00484427" w:rsidRDefault="00484427" w:rsidP="00E923A7">
      <w:pPr>
        <w:autoSpaceDE w:val="0"/>
        <w:autoSpaceDN w:val="0"/>
        <w:adjustRightInd w:val="0"/>
        <w:spacing w:after="0"/>
      </w:pPr>
      <w:r w:rsidRPr="00484427">
        <w:t>W marcu br. w większości badanych obszarów gospodarki oceny koniunktury formułowane przez przedsiębiorców są korzystne. Najbardziej optymistyczne nastroje gospodarcze panują wśród jednostek zajmujących się handlem detalicznym. W tym obszarze odnotowano także największy wzrost wartości wskaźnika ogólnego klimatu koniunktury.</w:t>
      </w:r>
      <w:r>
        <w:t xml:space="preserve"> </w:t>
      </w:r>
      <w:r w:rsidRPr="00170694">
        <w:t xml:space="preserve">Przedsiębiorcy </w:t>
      </w:r>
      <w:r w:rsidR="00942A2E">
        <w:t xml:space="preserve">prowadzący działalność w zakresie </w:t>
      </w:r>
      <w:r w:rsidRPr="00170694">
        <w:t>hand</w:t>
      </w:r>
      <w:r w:rsidR="00942A2E">
        <w:t xml:space="preserve">lu </w:t>
      </w:r>
      <w:r w:rsidRPr="00484427">
        <w:t>hurtow</w:t>
      </w:r>
      <w:r w:rsidR="00942A2E">
        <w:t>ego oraz transportu i gospodarki magazynowej</w:t>
      </w:r>
      <w:r w:rsidRPr="00170694">
        <w:t xml:space="preserve"> oceniają koniunkturę </w:t>
      </w:r>
      <w:r w:rsidR="00C66730">
        <w:t xml:space="preserve">nadal </w:t>
      </w:r>
      <w:r w:rsidRPr="00170694">
        <w:t>pozytywnie.</w:t>
      </w:r>
      <w:r w:rsidR="00942A2E">
        <w:t xml:space="preserve"> Gorsze niż przed miesiącem, ale </w:t>
      </w:r>
      <w:r w:rsidR="009737D4">
        <w:t>wciąż</w:t>
      </w:r>
      <w:r w:rsidR="00942A2E">
        <w:t xml:space="preserve"> korzystne</w:t>
      </w:r>
      <w:r w:rsidR="00942A2E" w:rsidRPr="00484427">
        <w:t xml:space="preserve"> oceny koniunktury odnotowano w informacji i komunikacji.</w:t>
      </w:r>
      <w:r w:rsidR="00942A2E" w:rsidRPr="00942A2E">
        <w:t xml:space="preserve"> </w:t>
      </w:r>
      <w:r w:rsidR="00942A2E" w:rsidRPr="00484427">
        <w:t>Największe pogorszenie opinii zarejestrowano wśród podmiotów zajmujących się zakwaterowaniem i gastronomią</w:t>
      </w:r>
      <w:r w:rsidR="00942A2E">
        <w:t xml:space="preserve">. </w:t>
      </w:r>
      <w:r w:rsidR="00942A2E" w:rsidRPr="00484427">
        <w:t>W tej sekcji jednostki oceniają sytuację w gospodarce pesymistycznie. Również w przetwórstwie przemysłowym oraz budownictwie formułowane są negatywne oceny, choć odpowiednio na poziomie zbliżonym lub wyższym do tego z lutego br.</w:t>
      </w:r>
    </w:p>
    <w:p w:rsidR="00E923A7" w:rsidRDefault="00E923A7" w:rsidP="00E923A7">
      <w:pPr>
        <w:pStyle w:val="tekst"/>
      </w:pPr>
      <w:r>
        <w:br w:type="page"/>
      </w:r>
    </w:p>
    <w:p w:rsidR="00E923A7" w:rsidRPr="00BE3C18" w:rsidRDefault="000E306E" w:rsidP="00E923A7">
      <w:pPr>
        <w:pStyle w:val="tytuwykresu"/>
      </w:pPr>
      <w:r w:rsidRPr="000E306E">
        <w:rPr>
          <w:noProof/>
          <w:lang w:eastAsia="pl-PL"/>
        </w:rPr>
        <w:lastRenderedPageBreak/>
        <w:drawing>
          <wp:anchor distT="0" distB="0" distL="114300" distR="114300" simplePos="0" relativeHeight="252962304" behindDoc="0" locked="0" layoutInCell="1" allowOverlap="1">
            <wp:simplePos x="0" y="0"/>
            <wp:positionH relativeFrom="column">
              <wp:posOffset>408453</wp:posOffset>
            </wp:positionH>
            <wp:positionV relativeFrom="paragraph">
              <wp:posOffset>320824</wp:posOffset>
            </wp:positionV>
            <wp:extent cx="5583555" cy="3521710"/>
            <wp:effectExtent l="0" t="0" r="0" b="2540"/>
            <wp:wrapTopAndBottom/>
            <wp:docPr id="6" name="Obraz 6" descr="Dwa podwójne, dwustronne wykresy słupkowe. Lewy , główny – pogorszenie / poprawa wskaźników ogólnego klimatu koniunktury: oś pozioma od -50 do 30%. Prawy, dodatkowy – saldo: oś pozioma od -40 do 20%. Na osi pionowej 7 sekcji PKD w 3 okresach: miesiąc badania (marzec 2025 r.), poprzedni miesiąc i analogiczny miesiąc ub. roku.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83555" cy="3521710"/>
                    </a:xfrm>
                    <a:prstGeom prst="rect">
                      <a:avLst/>
                    </a:prstGeom>
                    <a:noFill/>
                    <a:ln>
                      <a:noFill/>
                    </a:ln>
                  </pic:spPr>
                </pic:pic>
              </a:graphicData>
            </a:graphic>
          </wp:anchor>
        </w:drawing>
      </w:r>
      <w:r w:rsidR="00E923A7" w:rsidRPr="00BE3C18">
        <w:t xml:space="preserve">Wykres </w:t>
      </w:r>
      <w:r w:rsidR="00E923A7">
        <w:t>1</w:t>
      </w:r>
      <w:r w:rsidR="003C2814">
        <w:t>3</w:t>
      </w:r>
      <w:r w:rsidR="00E923A7">
        <w:t>.</w:t>
      </w:r>
      <w:r w:rsidR="00E923A7">
        <w:tab/>
      </w:r>
      <w:r w:rsidR="00E923A7" w:rsidRPr="00BE3C18">
        <w:t>Wskaźniki ogólnego klimatu koniunktury według rodzaju działalności (sekcje i działy PKD 2007)</w:t>
      </w:r>
      <w:r w:rsidR="00E923A7" w:rsidRPr="00BD48E2">
        <w:t xml:space="preserve"> </w:t>
      </w:r>
    </w:p>
    <w:p w:rsidR="00E923A7" w:rsidRDefault="00E923A7" w:rsidP="00E923A7">
      <w:pPr>
        <w:pStyle w:val="pytkoniunkt"/>
        <w:spacing w:before="240"/>
        <w:rPr>
          <w:rFonts w:cstheme="minorBidi"/>
          <w:b/>
          <w:i w:val="0"/>
          <w:spacing w:val="-2"/>
          <w:szCs w:val="22"/>
        </w:rPr>
      </w:pPr>
      <w:r w:rsidRPr="001E751F">
        <w:rPr>
          <w:rFonts w:cstheme="minorBidi"/>
          <w:b/>
          <w:i w:val="0"/>
          <w:spacing w:val="-2"/>
          <w:szCs w:val="22"/>
        </w:rPr>
        <w:t xml:space="preserve">Wyniki badania dot. </w:t>
      </w:r>
      <w:r w:rsidRPr="001F2B0A">
        <w:rPr>
          <w:rFonts w:cstheme="minorBidi"/>
          <w:b/>
          <w:i w:val="0"/>
          <w:spacing w:val="-2"/>
          <w:szCs w:val="22"/>
        </w:rPr>
        <w:t>rynku pracy</w:t>
      </w:r>
      <w:r w:rsidRPr="001F2B0A">
        <w:rPr>
          <w:rStyle w:val="Odwoanieprzypisudolnego"/>
          <w:rFonts w:cstheme="minorBidi"/>
          <w:b/>
          <w:i w:val="0"/>
          <w:spacing w:val="-2"/>
          <w:szCs w:val="22"/>
          <w:vertAlign w:val="baseline"/>
        </w:rPr>
        <w:t xml:space="preserve"> </w:t>
      </w:r>
      <w:r w:rsidRPr="00264F57">
        <w:rPr>
          <w:rStyle w:val="Odwoanieprzypisudolnego"/>
        </w:rPr>
        <w:footnoteReference w:id="5"/>
      </w:r>
    </w:p>
    <w:p w:rsidR="00E923A7" w:rsidRDefault="000E306E" w:rsidP="00E923A7">
      <w:pPr>
        <w:pStyle w:val="pytkoniunkt"/>
        <w:spacing w:before="240"/>
        <w:rPr>
          <w:i w:val="0"/>
        </w:rPr>
      </w:pPr>
      <w:r w:rsidRPr="000E306E">
        <w:rPr>
          <w:noProof/>
          <w:lang w:eastAsia="pl-PL"/>
        </w:rPr>
        <w:drawing>
          <wp:anchor distT="0" distB="0" distL="114300" distR="114300" simplePos="0" relativeHeight="252963328" behindDoc="0" locked="0" layoutInCell="1" allowOverlap="1">
            <wp:simplePos x="0" y="0"/>
            <wp:positionH relativeFrom="margin">
              <wp:posOffset>812165</wp:posOffset>
            </wp:positionH>
            <wp:positionV relativeFrom="paragraph">
              <wp:posOffset>632267</wp:posOffset>
            </wp:positionV>
            <wp:extent cx="5019675" cy="3540760"/>
            <wp:effectExtent l="0" t="0" r="9525" b="2540"/>
            <wp:wrapTopAndBottom/>
            <wp:docPr id="9" name="Obraz 9" descr="Podwójny wykres kolumnowy strukturalny (100%) dla 5 sekcji PKD (kolumny) oraz zmian poziomu zatrudnienia w porównaniu z aktualną sytuacją, oddzielnie dla pracowników relatywnie łatwych do zastąpienia i trudnych do zastąpienia.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019675" cy="3540760"/>
                    </a:xfrm>
                    <a:prstGeom prst="rect">
                      <a:avLst/>
                    </a:prstGeom>
                    <a:noFill/>
                    <a:ln>
                      <a:noFill/>
                    </a:ln>
                  </pic:spPr>
                </pic:pic>
              </a:graphicData>
            </a:graphic>
          </wp:anchor>
        </w:drawing>
      </w:r>
      <w:r w:rsidR="00E923A7">
        <w:t>Pyt. 1</w:t>
      </w:r>
      <w:r w:rsidR="00E923A7" w:rsidRPr="004B6EC7">
        <w:t>.</w:t>
      </w:r>
      <w:r w:rsidR="00E923A7" w:rsidRPr="0081292A">
        <w:t xml:space="preserve"> Czy zamierzają Państwo w</w:t>
      </w:r>
      <w:r w:rsidR="00E923A7">
        <w:t xml:space="preserve"> najbliższych trzech miesiącach</w:t>
      </w:r>
      <w:r w:rsidR="00E923A7" w:rsidRPr="0034448C">
        <w:t xml:space="preserve"> zwiększyć</w:t>
      </w:r>
      <w:r w:rsidR="00E923A7">
        <w:t>/</w:t>
      </w:r>
      <w:r w:rsidR="00E923A7" w:rsidRPr="0034448C">
        <w:t>utrzymać</w:t>
      </w:r>
      <w:r w:rsidR="00E923A7">
        <w:t>/</w:t>
      </w:r>
      <w:r w:rsidR="00E923A7" w:rsidRPr="0034448C">
        <w:t>ograniczyć zatrudnienie w przypadku pracowników re</w:t>
      </w:r>
      <w:r w:rsidR="00E923A7">
        <w:t xml:space="preserve">latywnie łatwych do zastąpienia oraz </w:t>
      </w:r>
      <w:r w:rsidR="00E923A7" w:rsidRPr="0034448C">
        <w:t>rela</w:t>
      </w:r>
      <w:r w:rsidR="00E923A7">
        <w:t>tywnie trudnych do zastąpienia</w:t>
      </w:r>
      <w:r w:rsidR="00E923A7" w:rsidRPr="0034448C">
        <w:t xml:space="preserve"> – w porównaniu z aktualną </w:t>
      </w:r>
      <w:r w:rsidR="00E923A7">
        <w:br/>
      </w:r>
      <w:r w:rsidR="00E923A7" w:rsidRPr="0034448C">
        <w:t>sytuacją</w:t>
      </w:r>
      <w:r w:rsidR="00E923A7">
        <w:t>?</w:t>
      </w:r>
      <w:r w:rsidR="00E923A7" w:rsidRPr="00CF7322">
        <w:rPr>
          <w:i w:val="0"/>
        </w:rPr>
        <w:t xml:space="preserve"> </w:t>
      </w:r>
    </w:p>
    <w:p w:rsidR="00E923A7" w:rsidRDefault="00E923A7" w:rsidP="00E923A7">
      <w:pPr>
        <w:pStyle w:val="tekst"/>
      </w:pPr>
      <w:r w:rsidRPr="00151BD7">
        <w:lastRenderedPageBreak/>
        <w:t>Przedsiębiorcy</w:t>
      </w:r>
      <w:r>
        <w:t xml:space="preserve"> ze wszystkich</w:t>
      </w:r>
      <w:r w:rsidRPr="00151BD7">
        <w:t xml:space="preserve"> badanych </w:t>
      </w:r>
      <w:r>
        <w:t>obszarów</w:t>
      </w:r>
      <w:r w:rsidRPr="00151BD7">
        <w:t xml:space="preserve"> działalności, mając na uwadze aktualną sytuacj</w:t>
      </w:r>
      <w:r>
        <w:t>ę, w zdecydowanej większości za</w:t>
      </w:r>
      <w:r w:rsidRPr="00151BD7">
        <w:t xml:space="preserve">mierzają w najbliższych trzech miesiącach utrzymać </w:t>
      </w:r>
      <w:r>
        <w:t xml:space="preserve">poziom </w:t>
      </w:r>
      <w:r w:rsidRPr="00151BD7">
        <w:t>zatrudnieni</w:t>
      </w:r>
      <w:r>
        <w:t xml:space="preserve">a </w:t>
      </w:r>
      <w:r w:rsidRPr="00151BD7">
        <w:t>zarówno w prz</w:t>
      </w:r>
      <w:r>
        <w:t xml:space="preserve">ypadku pracowników </w:t>
      </w:r>
      <w:r w:rsidRPr="0034448C">
        <w:t>re</w:t>
      </w:r>
      <w:r>
        <w:t>latywnie łatwych,</w:t>
      </w:r>
      <w:r w:rsidRPr="00151BD7">
        <w:t xml:space="preserve"> jak i </w:t>
      </w:r>
      <w:r w:rsidRPr="0034448C">
        <w:t>rela</w:t>
      </w:r>
      <w:r>
        <w:t>tywnie trudnych do zastąpienia</w:t>
      </w:r>
      <w:r w:rsidRPr="00151BD7">
        <w:t>.</w:t>
      </w:r>
    </w:p>
    <w:p w:rsidR="00E923A7" w:rsidRDefault="000E306E" w:rsidP="00E923A7">
      <w:pPr>
        <w:pStyle w:val="pytkoniunkt"/>
        <w:rPr>
          <w:rFonts w:cs="FiraSans-Bold"/>
          <w:bCs/>
        </w:rPr>
      </w:pPr>
      <w:r w:rsidRPr="000E306E">
        <w:rPr>
          <w:noProof/>
          <w:lang w:eastAsia="pl-PL"/>
        </w:rPr>
        <w:drawing>
          <wp:anchor distT="0" distB="144145" distL="114300" distR="114300" simplePos="0" relativeHeight="252964352" behindDoc="0" locked="0" layoutInCell="1" allowOverlap="1">
            <wp:simplePos x="0" y="0"/>
            <wp:positionH relativeFrom="column">
              <wp:posOffset>914400</wp:posOffset>
            </wp:positionH>
            <wp:positionV relativeFrom="paragraph">
              <wp:posOffset>499027</wp:posOffset>
            </wp:positionV>
            <wp:extent cx="4971600" cy="3549600"/>
            <wp:effectExtent l="0" t="0" r="635" b="0"/>
            <wp:wrapTopAndBottom/>
            <wp:docPr id="11" name="Obraz 11" descr="Pięć wykresów czterokolumnowych (czynniki wpływające na poziom wynagrodzenia pracowników) dla 5 sekcji PKD – na osi poziomej; oś pionowa od 0 do 80%. Wykres prezentowany w dwóch częściach, oddzielnie dla czynników mających istotny wpływ na wynagrodzenie oraz wpływających na jego poziom w małym stopniu lub wcale.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71600" cy="3549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23A7">
        <w:t>Pyt. 2</w:t>
      </w:r>
      <w:r w:rsidR="00E923A7" w:rsidRPr="004B6EC7">
        <w:t xml:space="preserve">. </w:t>
      </w:r>
      <w:r w:rsidR="00E923A7" w:rsidRPr="00646037">
        <w:t>Które z poniższych czynników i w jakim stopniu wpłyną na poziom wynagrodzenia</w:t>
      </w:r>
      <w:r w:rsidR="00E923A7">
        <w:t xml:space="preserve"> pracowników w Państwa firmie w </w:t>
      </w:r>
      <w:r w:rsidR="00E923A7" w:rsidRPr="00646037">
        <w:t>najbliższych trzech miesiącach</w:t>
      </w:r>
      <w:r w:rsidR="00E923A7">
        <w:rPr>
          <w:rFonts w:cs="FiraSans-Bold"/>
          <w:bCs/>
        </w:rPr>
        <w:t>?</w:t>
      </w:r>
      <w:r w:rsidR="00E923A7" w:rsidRPr="000A2037">
        <w:rPr>
          <w:rFonts w:cs="FiraSans-Bold"/>
          <w:bCs/>
          <w:i w:val="0"/>
        </w:rPr>
        <w:t xml:space="preserve"> </w:t>
      </w:r>
    </w:p>
    <w:p w:rsidR="00E923A7" w:rsidRDefault="00E923A7" w:rsidP="00E923A7">
      <w:pPr>
        <w:pStyle w:val="tekst"/>
        <w:spacing w:before="240"/>
      </w:pPr>
      <w:r w:rsidRPr="006710CE">
        <w:t xml:space="preserve">Przedsiębiorcy, którzy zdecydowali się odpowiedzieć na pytania dotyczące rynku pracy, najczęściej byli zdania, że na poziom wynagrodzenia w ich firmach w istotnym stopniu wpłynie sytuacja finansowa przedsiębiorstwa. Taką opinię wyraziło m.in. </w:t>
      </w:r>
      <w:r w:rsidR="008C34EA" w:rsidRPr="008C34EA">
        <w:t>71,9</w:t>
      </w:r>
      <w:r w:rsidRPr="006710CE">
        <w:t xml:space="preserve">% przedsiębiorców prowadzących działalność w zakresie przetwórstwa przemysłowego, </w:t>
      </w:r>
      <w:r w:rsidR="008C34EA" w:rsidRPr="008C34EA">
        <w:t>66,7</w:t>
      </w:r>
      <w:r w:rsidRPr="006710CE">
        <w:t>% w budownictwie</w:t>
      </w:r>
      <w:r w:rsidR="008C34EA">
        <w:t xml:space="preserve"> </w:t>
      </w:r>
      <w:r w:rsidR="008C34EA" w:rsidRPr="006710CE">
        <w:t xml:space="preserve">oraz </w:t>
      </w:r>
      <w:r w:rsidR="008C34EA" w:rsidRPr="008C34EA">
        <w:t>62,8</w:t>
      </w:r>
      <w:r w:rsidR="008C34EA" w:rsidRPr="006710CE">
        <w:t>% w usługach</w:t>
      </w:r>
      <w:r w:rsidRPr="006710CE">
        <w:t xml:space="preserve">. Utrzymanie realnej wartości wynagrodzeń (podwyżki inflacyjne) było kolejnym ważnym czynnikiem, który wymieniały badane przedsiębiorstwa (m.in. </w:t>
      </w:r>
      <w:r w:rsidR="008C34EA" w:rsidRPr="008C34EA">
        <w:t>56,4</w:t>
      </w:r>
      <w:r w:rsidRPr="006710CE">
        <w:t xml:space="preserve">% w budownictwie, </w:t>
      </w:r>
      <w:r w:rsidR="008C34EA" w:rsidRPr="008C34EA">
        <w:t>55,0</w:t>
      </w:r>
      <w:r w:rsidRPr="006710CE">
        <w:t>% w prz</w:t>
      </w:r>
      <w:r>
        <w:t>etwórstwie przemysłowym i </w:t>
      </w:r>
      <w:r w:rsidR="008C34EA" w:rsidRPr="008C34EA">
        <w:t>54,5</w:t>
      </w:r>
      <w:r w:rsidRPr="006710CE">
        <w:t xml:space="preserve">% w handlu hurtowym). Wśród czynników wpływających w małym stopniu lub niemających wpływu na poziom wynagrodzenia </w:t>
      </w:r>
      <w:r w:rsidR="00956CB8">
        <w:t xml:space="preserve">stosunkowo często </w:t>
      </w:r>
      <w:r w:rsidRPr="006710CE">
        <w:t xml:space="preserve">wybierano </w:t>
      </w:r>
      <w:r w:rsidR="00956CB8" w:rsidRPr="00956CB8">
        <w:t>utrzymanie konkurencyjnych płac</w:t>
      </w:r>
      <w:r w:rsidRPr="006710CE">
        <w:t xml:space="preserve">. Odpowiedzi te </w:t>
      </w:r>
      <w:r w:rsidR="00956CB8">
        <w:t>odnotowano</w:t>
      </w:r>
      <w:r w:rsidRPr="006710CE">
        <w:t xml:space="preserve"> </w:t>
      </w:r>
      <w:r w:rsidR="00956CB8">
        <w:t>m.in.</w:t>
      </w:r>
      <w:r w:rsidRPr="006710CE">
        <w:t xml:space="preserve"> w budownictwie (</w:t>
      </w:r>
      <w:r w:rsidR="00956CB8" w:rsidRPr="00956CB8">
        <w:t>44,0</w:t>
      </w:r>
      <w:r w:rsidRPr="006710CE">
        <w:t>%)</w:t>
      </w:r>
      <w:r w:rsidR="00956CB8">
        <w:t xml:space="preserve">, </w:t>
      </w:r>
      <w:r w:rsidR="00956CB8" w:rsidRPr="006710CE">
        <w:t>usługach (</w:t>
      </w:r>
      <w:r w:rsidR="00956CB8" w:rsidRPr="00956CB8">
        <w:t>40,8</w:t>
      </w:r>
      <w:r w:rsidR="00956CB8" w:rsidRPr="006710CE">
        <w:t>%)</w:t>
      </w:r>
      <w:r w:rsidRPr="006710CE">
        <w:t xml:space="preserve"> i przetwórstwie przemysłowym (</w:t>
      </w:r>
      <w:r w:rsidR="00956CB8" w:rsidRPr="00956CB8">
        <w:t>40,5</w:t>
      </w:r>
      <w:r w:rsidRPr="006710CE">
        <w:t>%).</w:t>
      </w:r>
    </w:p>
    <w:p w:rsidR="00E923A7" w:rsidRDefault="000E306E" w:rsidP="000E306E">
      <w:pPr>
        <w:pStyle w:val="pytkoniunkt"/>
        <w:spacing w:before="4560"/>
        <w:rPr>
          <w:rFonts w:cs="FiraSans-Bold"/>
          <w:bCs/>
        </w:rPr>
      </w:pPr>
      <w:r w:rsidRPr="000E306E">
        <w:rPr>
          <w:noProof/>
          <w:lang w:eastAsia="pl-PL"/>
        </w:rPr>
        <w:lastRenderedPageBreak/>
        <w:drawing>
          <wp:anchor distT="0" distB="144145" distL="114300" distR="114300" simplePos="0" relativeHeight="252965376" behindDoc="0" locked="0" layoutInCell="1" allowOverlap="1">
            <wp:simplePos x="0" y="0"/>
            <wp:positionH relativeFrom="margin">
              <wp:align>center</wp:align>
            </wp:positionH>
            <wp:positionV relativeFrom="paragraph">
              <wp:posOffset>334942</wp:posOffset>
            </wp:positionV>
            <wp:extent cx="4960800" cy="3607200"/>
            <wp:effectExtent l="0" t="0" r="0" b="0"/>
            <wp:wrapTopAndBottom/>
            <wp:docPr id="17" name="Obraz 17" descr="Pięć wykresów dwukolumnowych (przesłanki, którymi kierują się przedsiębiorcy podejmujący decyzje w zakresie zatrudnienia i wynagrodzeń) dla 5 sekcji PKD – na osi poziomej; oś pionowa od 0 do 80%. Wykres prezentowany w dwóch częściach, oddzielnie dla czynników mających istotny wpływ na decyzje dotyczące zatrudnienia i wynagrodzenia oraz wpływających na nie w małym stopniu lub wcale.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960620" cy="3606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23A7">
        <w:rPr>
          <w:rFonts w:cs="FiraSans-Bold"/>
          <w:bCs/>
        </w:rPr>
        <w:t>Pyt. 3</w:t>
      </w:r>
      <w:r w:rsidR="00E923A7" w:rsidRPr="004565DC">
        <w:rPr>
          <w:rFonts w:cs="FiraSans-Bold"/>
          <w:bCs/>
        </w:rPr>
        <w:t xml:space="preserve">. </w:t>
      </w:r>
      <w:r w:rsidR="00E923A7" w:rsidRPr="00CE3D27">
        <w:t>W jakim stopniu Państwa decyzje w zakresie zatrudnienia i wynagrodzeń w najbliższ</w:t>
      </w:r>
      <w:r w:rsidR="00E923A7">
        <w:t>ych trzech miesiącach oparte są</w:t>
      </w:r>
      <w:r w:rsidR="00E923A7" w:rsidRPr="004565DC">
        <w:rPr>
          <w:rFonts w:cs="FiraSans-Bold"/>
          <w:bCs/>
        </w:rPr>
        <w:t>:</w:t>
      </w:r>
      <w:r w:rsidR="00E923A7" w:rsidRPr="009016B0">
        <w:rPr>
          <w:rFonts w:cs="FiraSans-Bold"/>
          <w:bCs/>
          <w:i w:val="0"/>
        </w:rPr>
        <w:t xml:space="preserve"> </w:t>
      </w:r>
    </w:p>
    <w:p w:rsidR="00FE3186" w:rsidRDefault="00E923A7" w:rsidP="00E923A7">
      <w:pPr>
        <w:pStyle w:val="tekst"/>
        <w:spacing w:before="240"/>
      </w:pPr>
      <w:r w:rsidRPr="00B30A54">
        <w:t>W większości badanych przedsiębiorstw decyzje odnoszące się do zatrudnienia i wynagrodzeń pracowników (w najbliższych trzech miesiącach) w największym stopniu podejmowane są na podstawie bieżących danych, w tym przez przedsiębiorców</w:t>
      </w:r>
      <w:r>
        <w:t xml:space="preserve"> </w:t>
      </w:r>
      <w:r w:rsidRPr="00B30A54">
        <w:t xml:space="preserve">prowadzących działalność w </w:t>
      </w:r>
      <w:r>
        <w:t>przetwórstwie prze</w:t>
      </w:r>
      <w:r w:rsidR="00FD25C8">
        <w:t xml:space="preserve">mysłowym – </w:t>
      </w:r>
      <w:r w:rsidR="00FD25C8" w:rsidRPr="00FD25C8">
        <w:t>72,9</w:t>
      </w:r>
      <w:r>
        <w:t xml:space="preserve">%, handlu </w:t>
      </w:r>
      <w:r w:rsidR="00FD25C8">
        <w:t xml:space="preserve">detalicznym – </w:t>
      </w:r>
      <w:r w:rsidR="00FD25C8" w:rsidRPr="00FD25C8">
        <w:t>72,4</w:t>
      </w:r>
      <w:r w:rsidR="00FD25C8">
        <w:t>% i usługach –</w:t>
      </w:r>
      <w:r>
        <w:t> </w:t>
      </w:r>
      <w:r w:rsidR="00FD25C8" w:rsidRPr="00FD25C8">
        <w:t>66,9</w:t>
      </w:r>
      <w:r>
        <w:t>%</w:t>
      </w:r>
      <w:r w:rsidRPr="00B30A54">
        <w:t>. Oczekiwania dotyczące zmian jakie mogą nastąpić w długim okresie (rok) najczęściej wskazywane są jako czynnik w m</w:t>
      </w:r>
      <w:r>
        <w:t>ałym stopniu wpływający lub nie</w:t>
      </w:r>
      <w:r w:rsidRPr="00B30A54">
        <w:t>mający wpływu na takie decyzje</w:t>
      </w:r>
      <w:r>
        <w:t xml:space="preserve"> (m.in. przez </w:t>
      </w:r>
      <w:r w:rsidR="00FD25C8" w:rsidRPr="00FD25C8">
        <w:t>69,0</w:t>
      </w:r>
      <w:r>
        <w:t>% przedsiębiorstw handlu hurtowego</w:t>
      </w:r>
      <w:r w:rsidR="00FD25C8">
        <w:t xml:space="preserve"> i </w:t>
      </w:r>
      <w:r w:rsidR="00FD25C8" w:rsidRPr="00FD25C8">
        <w:t>58,7</w:t>
      </w:r>
      <w:r w:rsidR="00FD25C8">
        <w:t>% firm budowlanych</w:t>
      </w:r>
      <w:r>
        <w:t>)</w:t>
      </w:r>
      <w:r w:rsidRPr="00B30A54">
        <w:t>.</w:t>
      </w:r>
    </w:p>
    <w:p w:rsidR="005776B2" w:rsidRPr="005776B2" w:rsidRDefault="00817950" w:rsidP="00FE3186">
      <w:pPr>
        <w:spacing w:before="4440"/>
        <w:sectPr w:rsidR="005776B2" w:rsidRPr="005776B2" w:rsidSect="0022458A">
          <w:headerReference w:type="default" r:id="rId34"/>
          <w:footerReference w:type="default" r:id="rId35"/>
          <w:pgSz w:w="11906" w:h="16838"/>
          <w:pgMar w:top="720" w:right="707" w:bottom="720" w:left="720" w:header="170" w:footer="283" w:gutter="0"/>
          <w:cols w:space="708"/>
          <w:docGrid w:linePitch="360"/>
        </w:sectPr>
      </w:pPr>
      <w:r w:rsidRPr="00782B6E">
        <w:rPr>
          <w:bCs/>
          <w:szCs w:val="19"/>
        </w:rPr>
        <w:t xml:space="preserve">Więcej informacji </w:t>
      </w:r>
      <w:r w:rsidRPr="00782B6E">
        <w:rPr>
          <w:szCs w:val="19"/>
        </w:rPr>
        <w:t xml:space="preserve">dotyczących wyników badań koniunktury gospodarczej </w:t>
      </w:r>
      <w:r w:rsidRPr="00782B6E">
        <w:rPr>
          <w:bCs/>
          <w:szCs w:val="19"/>
        </w:rPr>
        <w:t xml:space="preserve">można znaleźć na stronie Urzędu Statystycznego w Zielonej Górze </w:t>
      </w:r>
      <w:r w:rsidRPr="007008BC">
        <w:rPr>
          <w:rStyle w:val="Hipercze"/>
          <w:color w:val="001D77"/>
          <w:szCs w:val="19"/>
        </w:rPr>
        <w:t>https://zielonagora.stat.gov.pl/osrodki/osrodek-badan-koniunktury/obk-dane/</w:t>
      </w:r>
    </w:p>
    <w:tbl>
      <w:tblPr>
        <w:tblW w:w="0" w:type="auto"/>
        <w:tblBorders>
          <w:insideV w:val="single" w:sz="4" w:space="0" w:color="auto"/>
        </w:tblBorders>
        <w:tblLayout w:type="fixed"/>
        <w:tblCellMar>
          <w:top w:w="6" w:type="dxa"/>
          <w:left w:w="17" w:type="dxa"/>
          <w:bottom w:w="6" w:type="dxa"/>
          <w:right w:w="0" w:type="dxa"/>
        </w:tblCellMar>
        <w:tblLook w:val="0020" w:firstRow="1" w:lastRow="0" w:firstColumn="0" w:lastColumn="0" w:noHBand="0" w:noVBand="0"/>
        <w:tblCaption w:val="accessible"/>
        <w:tblDescription w:val="Tablica zawiera wybrane informacje o województwie wielkopolskim w zakresie tematyki ujętej w niniejszym komunikacie. Zestawienie prezentuje dane dla kolejnych miesięcy 2025 i 2024 r."/>
      </w:tblPr>
      <w:tblGrid>
        <w:gridCol w:w="4253"/>
        <w:gridCol w:w="142"/>
        <w:gridCol w:w="891"/>
        <w:gridCol w:w="892"/>
        <w:gridCol w:w="892"/>
        <w:gridCol w:w="892"/>
        <w:gridCol w:w="892"/>
        <w:gridCol w:w="892"/>
        <w:gridCol w:w="891"/>
        <w:gridCol w:w="892"/>
        <w:gridCol w:w="892"/>
        <w:gridCol w:w="892"/>
        <w:gridCol w:w="892"/>
        <w:gridCol w:w="892"/>
      </w:tblGrid>
      <w:tr w:rsidR="00EC7894" w:rsidRPr="00E87892" w:rsidTr="002D0A49">
        <w:trPr>
          <w:tblHeader/>
        </w:trPr>
        <w:tc>
          <w:tcPr>
            <w:tcW w:w="15097" w:type="dxa"/>
            <w:gridSpan w:val="14"/>
            <w:tcBorders>
              <w:top w:val="nil"/>
              <w:left w:val="nil"/>
              <w:bottom w:val="nil"/>
              <w:right w:val="nil"/>
            </w:tcBorders>
            <w:shd w:val="clear" w:color="auto" w:fill="auto"/>
            <w:vAlign w:val="center"/>
          </w:tcPr>
          <w:p w:rsidR="00465C71" w:rsidRPr="00FD2525" w:rsidRDefault="00465C71" w:rsidP="00AD0694">
            <w:pPr>
              <w:pStyle w:val="tyttab"/>
            </w:pPr>
            <w:bookmarkStart w:id="68" w:name="_Toc120085901"/>
            <w:bookmarkStart w:id="69" w:name="OLE_LINK3"/>
            <w:r w:rsidRPr="00FD2525">
              <w:lastRenderedPageBreak/>
              <w:t>WYBRANE DANE O WOJEWÓDZTWIE WIELKOPOLSKIM</w:t>
            </w:r>
            <w:bookmarkEnd w:id="68"/>
          </w:p>
        </w:tc>
      </w:tr>
      <w:tr w:rsidR="00085097" w:rsidRPr="00E87892" w:rsidTr="007C6CE2">
        <w:trPr>
          <w:trHeight w:val="20"/>
          <w:tblHeader/>
        </w:trPr>
        <w:tc>
          <w:tcPr>
            <w:tcW w:w="4395" w:type="dxa"/>
            <w:gridSpan w:val="2"/>
            <w:tcBorders>
              <w:top w:val="nil"/>
              <w:left w:val="nil"/>
              <w:bottom w:val="single" w:sz="12" w:space="0" w:color="522398"/>
              <w:right w:val="single" w:sz="4" w:space="0" w:color="522398"/>
            </w:tcBorders>
            <w:shd w:val="clear" w:color="auto" w:fill="auto"/>
            <w:vAlign w:val="center"/>
          </w:tcPr>
          <w:p w:rsidR="00085097" w:rsidRPr="00754D58" w:rsidRDefault="00085097" w:rsidP="00085097">
            <w:pPr>
              <w:pStyle w:val="glowka"/>
              <w:spacing w:before="0" w:after="0"/>
              <w:rPr>
                <w:rFonts w:ascii="Fira Sans" w:hAnsi="Fira Sans"/>
              </w:rPr>
            </w:pPr>
            <w:r w:rsidRPr="00754D58">
              <w:rPr>
                <w:rFonts w:ascii="Fira Sans" w:hAnsi="Fira Sans"/>
              </w:rPr>
              <w:t>WYSZCZEGÓLNIENIE</w:t>
            </w:r>
          </w:p>
          <w:p w:rsidR="00085097" w:rsidRPr="00754D58" w:rsidRDefault="00085097" w:rsidP="000B0E14">
            <w:pPr>
              <w:pStyle w:val="glowka"/>
              <w:spacing w:before="0" w:after="0"/>
              <w:rPr>
                <w:rFonts w:ascii="Fira Sans" w:hAnsi="Fira Sans"/>
              </w:rPr>
            </w:pPr>
            <w:r w:rsidRPr="00754D58">
              <w:rPr>
                <w:rFonts w:ascii="Fira Sans" w:hAnsi="Fira Sans"/>
              </w:rPr>
              <w:t xml:space="preserve">A – </w:t>
            </w:r>
            <w:r w:rsidR="0038728C">
              <w:rPr>
                <w:rFonts w:ascii="Fira Sans" w:hAnsi="Fira Sans"/>
              </w:rPr>
              <w:t>2024</w:t>
            </w:r>
            <w:r w:rsidR="007E6164">
              <w:rPr>
                <w:rFonts w:ascii="Fira Sans" w:hAnsi="Fira Sans"/>
              </w:rPr>
              <w:t xml:space="preserve"> </w:t>
            </w:r>
            <w:r w:rsidR="00565236">
              <w:rPr>
                <w:rFonts w:ascii="Fira Sans" w:hAnsi="Fira Sans"/>
              </w:rPr>
              <w:t>r.</w:t>
            </w:r>
            <w:r>
              <w:rPr>
                <w:rFonts w:ascii="Fira Sans" w:hAnsi="Fira Sans"/>
              </w:rPr>
              <w:t xml:space="preserve">, </w:t>
            </w:r>
            <w:r w:rsidRPr="00754D58">
              <w:rPr>
                <w:rFonts w:ascii="Fira Sans" w:hAnsi="Fira Sans"/>
              </w:rPr>
              <w:t xml:space="preserve">B – </w:t>
            </w:r>
            <w:r w:rsidR="00B9519A">
              <w:rPr>
                <w:rFonts w:ascii="Fira Sans" w:hAnsi="Fira Sans"/>
              </w:rPr>
              <w:t>2025</w:t>
            </w:r>
            <w:r w:rsidR="00071ED9">
              <w:rPr>
                <w:rFonts w:ascii="Fira Sans" w:hAnsi="Fira Sans"/>
              </w:rPr>
              <w:t xml:space="preserve"> r.</w:t>
            </w:r>
          </w:p>
        </w:tc>
        <w:tc>
          <w:tcPr>
            <w:tcW w:w="891" w:type="dxa"/>
            <w:tcBorders>
              <w:top w:val="nil"/>
              <w:left w:val="single" w:sz="4" w:space="0" w:color="522398"/>
              <w:bottom w:val="single" w:sz="12" w:space="0" w:color="522398"/>
              <w:right w:val="single" w:sz="4" w:space="0" w:color="522398"/>
            </w:tcBorders>
            <w:shd w:val="clear" w:color="auto" w:fill="auto"/>
            <w:vAlign w:val="center"/>
          </w:tcPr>
          <w:p w:rsidR="00085097" w:rsidRPr="00B42E95" w:rsidRDefault="00085097" w:rsidP="00F05F55">
            <w:pPr>
              <w:pStyle w:val="glowka"/>
              <w:rPr>
                <w:rFonts w:ascii="Fira Sans" w:hAnsi="Fira Sans"/>
              </w:rPr>
            </w:pPr>
            <w:r w:rsidRPr="00B42E95">
              <w:rPr>
                <w:rFonts w:ascii="Fira Sans" w:hAnsi="Fira Sans"/>
              </w:rPr>
              <w:t>01</w:t>
            </w:r>
          </w:p>
        </w:tc>
        <w:tc>
          <w:tcPr>
            <w:tcW w:w="892" w:type="dxa"/>
            <w:tcBorders>
              <w:top w:val="nil"/>
              <w:left w:val="single" w:sz="4" w:space="0" w:color="522398"/>
              <w:bottom w:val="single" w:sz="12" w:space="0" w:color="522398"/>
              <w:right w:val="single" w:sz="4" w:space="0" w:color="522398"/>
            </w:tcBorders>
            <w:shd w:val="clear" w:color="auto" w:fill="DCD3EA"/>
            <w:vAlign w:val="center"/>
          </w:tcPr>
          <w:p w:rsidR="00085097" w:rsidRPr="00B42E95" w:rsidRDefault="00085097" w:rsidP="00F05F55">
            <w:pPr>
              <w:pStyle w:val="glowka"/>
              <w:rPr>
                <w:rFonts w:ascii="Fira Sans" w:hAnsi="Fira Sans"/>
              </w:rPr>
            </w:pPr>
            <w:r w:rsidRPr="00B42E95">
              <w:rPr>
                <w:rFonts w:ascii="Fira Sans" w:hAnsi="Fira Sans"/>
              </w:rPr>
              <w:t>02</w:t>
            </w:r>
          </w:p>
        </w:tc>
        <w:tc>
          <w:tcPr>
            <w:tcW w:w="892" w:type="dxa"/>
            <w:tcBorders>
              <w:top w:val="nil"/>
              <w:left w:val="single" w:sz="4" w:space="0" w:color="522398"/>
              <w:bottom w:val="single" w:sz="12" w:space="0" w:color="522398"/>
              <w:right w:val="single" w:sz="4" w:space="0" w:color="522398"/>
            </w:tcBorders>
            <w:shd w:val="clear" w:color="auto" w:fill="auto"/>
            <w:vAlign w:val="center"/>
          </w:tcPr>
          <w:p w:rsidR="00085097" w:rsidRPr="00B42E95" w:rsidRDefault="00085097" w:rsidP="00F05F55">
            <w:pPr>
              <w:pStyle w:val="glowka"/>
              <w:rPr>
                <w:rFonts w:ascii="Fira Sans" w:hAnsi="Fira Sans"/>
              </w:rPr>
            </w:pPr>
            <w:r w:rsidRPr="00B42E95">
              <w:rPr>
                <w:rFonts w:ascii="Fira Sans" w:hAnsi="Fira Sans"/>
              </w:rPr>
              <w:t>03</w:t>
            </w:r>
          </w:p>
        </w:tc>
        <w:tc>
          <w:tcPr>
            <w:tcW w:w="892" w:type="dxa"/>
            <w:tcBorders>
              <w:top w:val="nil"/>
              <w:left w:val="single" w:sz="4" w:space="0" w:color="522398"/>
              <w:bottom w:val="single" w:sz="12" w:space="0" w:color="522398"/>
              <w:right w:val="single" w:sz="4" w:space="0" w:color="522398"/>
            </w:tcBorders>
            <w:shd w:val="clear" w:color="auto" w:fill="auto"/>
            <w:vAlign w:val="center"/>
          </w:tcPr>
          <w:p w:rsidR="00085097" w:rsidRPr="00B42E95" w:rsidRDefault="00085097" w:rsidP="00F05F55">
            <w:pPr>
              <w:pStyle w:val="glowka"/>
              <w:rPr>
                <w:rFonts w:ascii="Fira Sans" w:hAnsi="Fira Sans"/>
              </w:rPr>
            </w:pPr>
            <w:r w:rsidRPr="00B42E95">
              <w:rPr>
                <w:rFonts w:ascii="Fira Sans" w:hAnsi="Fira Sans"/>
              </w:rPr>
              <w:t>04</w:t>
            </w:r>
          </w:p>
        </w:tc>
        <w:tc>
          <w:tcPr>
            <w:tcW w:w="892" w:type="dxa"/>
            <w:tcBorders>
              <w:top w:val="nil"/>
              <w:left w:val="single" w:sz="4" w:space="0" w:color="522398"/>
              <w:bottom w:val="single" w:sz="12" w:space="0" w:color="522398"/>
              <w:right w:val="single" w:sz="4" w:space="0" w:color="522398"/>
            </w:tcBorders>
            <w:shd w:val="clear" w:color="auto" w:fill="auto"/>
            <w:vAlign w:val="center"/>
          </w:tcPr>
          <w:p w:rsidR="00085097" w:rsidRPr="00B42E95" w:rsidRDefault="00085097" w:rsidP="00F05F55">
            <w:pPr>
              <w:pStyle w:val="glowka"/>
              <w:rPr>
                <w:rFonts w:ascii="Fira Sans" w:hAnsi="Fira Sans"/>
              </w:rPr>
            </w:pPr>
            <w:r w:rsidRPr="00B42E95">
              <w:rPr>
                <w:rFonts w:ascii="Fira Sans" w:hAnsi="Fira Sans"/>
              </w:rPr>
              <w:t>05</w:t>
            </w:r>
          </w:p>
        </w:tc>
        <w:tc>
          <w:tcPr>
            <w:tcW w:w="892" w:type="dxa"/>
            <w:tcBorders>
              <w:top w:val="nil"/>
              <w:left w:val="single" w:sz="4" w:space="0" w:color="522398"/>
              <w:bottom w:val="single" w:sz="12" w:space="0" w:color="522398"/>
              <w:right w:val="single" w:sz="4" w:space="0" w:color="522398"/>
            </w:tcBorders>
            <w:shd w:val="clear" w:color="auto" w:fill="auto"/>
            <w:vAlign w:val="center"/>
          </w:tcPr>
          <w:p w:rsidR="00085097" w:rsidRPr="00B42E95" w:rsidRDefault="00085097" w:rsidP="00F05F55">
            <w:pPr>
              <w:pStyle w:val="glowka"/>
              <w:rPr>
                <w:rFonts w:ascii="Fira Sans" w:hAnsi="Fira Sans"/>
              </w:rPr>
            </w:pPr>
            <w:r w:rsidRPr="00B42E95">
              <w:rPr>
                <w:rFonts w:ascii="Fira Sans" w:hAnsi="Fira Sans"/>
              </w:rPr>
              <w:t>06</w:t>
            </w:r>
          </w:p>
        </w:tc>
        <w:tc>
          <w:tcPr>
            <w:tcW w:w="891" w:type="dxa"/>
            <w:tcBorders>
              <w:top w:val="nil"/>
              <w:left w:val="single" w:sz="4" w:space="0" w:color="522398"/>
              <w:bottom w:val="single" w:sz="12" w:space="0" w:color="522398"/>
              <w:right w:val="single" w:sz="4" w:space="0" w:color="522398"/>
            </w:tcBorders>
            <w:shd w:val="clear" w:color="auto" w:fill="auto"/>
            <w:vAlign w:val="center"/>
          </w:tcPr>
          <w:p w:rsidR="00085097" w:rsidRPr="00B42E95" w:rsidRDefault="00085097" w:rsidP="00F05F55">
            <w:pPr>
              <w:pStyle w:val="glowka"/>
              <w:rPr>
                <w:rFonts w:ascii="Fira Sans" w:hAnsi="Fira Sans"/>
              </w:rPr>
            </w:pPr>
            <w:r w:rsidRPr="00B42E95">
              <w:rPr>
                <w:rFonts w:ascii="Fira Sans" w:hAnsi="Fira Sans"/>
              </w:rPr>
              <w:t>07</w:t>
            </w:r>
          </w:p>
        </w:tc>
        <w:tc>
          <w:tcPr>
            <w:tcW w:w="892" w:type="dxa"/>
            <w:tcBorders>
              <w:top w:val="nil"/>
              <w:left w:val="single" w:sz="4" w:space="0" w:color="522398"/>
              <w:bottom w:val="single" w:sz="12" w:space="0" w:color="522398"/>
              <w:right w:val="single" w:sz="4" w:space="0" w:color="522398"/>
            </w:tcBorders>
            <w:shd w:val="clear" w:color="auto" w:fill="auto"/>
            <w:vAlign w:val="center"/>
          </w:tcPr>
          <w:p w:rsidR="00085097" w:rsidRPr="00B42E95" w:rsidRDefault="00085097" w:rsidP="00F05F55">
            <w:pPr>
              <w:pStyle w:val="glowka"/>
              <w:rPr>
                <w:rFonts w:ascii="Fira Sans" w:hAnsi="Fira Sans"/>
              </w:rPr>
            </w:pPr>
            <w:r w:rsidRPr="00B42E95">
              <w:rPr>
                <w:rFonts w:ascii="Fira Sans" w:hAnsi="Fira Sans"/>
              </w:rPr>
              <w:t>08</w:t>
            </w:r>
          </w:p>
        </w:tc>
        <w:tc>
          <w:tcPr>
            <w:tcW w:w="892" w:type="dxa"/>
            <w:tcBorders>
              <w:top w:val="nil"/>
              <w:left w:val="single" w:sz="4" w:space="0" w:color="522398"/>
              <w:bottom w:val="single" w:sz="12" w:space="0" w:color="522398"/>
              <w:right w:val="single" w:sz="4" w:space="0" w:color="522398"/>
            </w:tcBorders>
            <w:shd w:val="clear" w:color="auto" w:fill="auto"/>
            <w:vAlign w:val="center"/>
          </w:tcPr>
          <w:p w:rsidR="00085097" w:rsidRPr="00B42E95" w:rsidRDefault="00085097" w:rsidP="00F05F55">
            <w:pPr>
              <w:pStyle w:val="glowka"/>
              <w:rPr>
                <w:rFonts w:ascii="Fira Sans" w:hAnsi="Fira Sans"/>
              </w:rPr>
            </w:pPr>
            <w:r w:rsidRPr="00B42E95">
              <w:rPr>
                <w:rFonts w:ascii="Fira Sans" w:hAnsi="Fira Sans"/>
              </w:rPr>
              <w:t>09</w:t>
            </w:r>
          </w:p>
        </w:tc>
        <w:tc>
          <w:tcPr>
            <w:tcW w:w="892" w:type="dxa"/>
            <w:tcBorders>
              <w:top w:val="nil"/>
              <w:left w:val="single" w:sz="4" w:space="0" w:color="522398"/>
              <w:bottom w:val="single" w:sz="12" w:space="0" w:color="522398"/>
              <w:right w:val="single" w:sz="4" w:space="0" w:color="522398"/>
            </w:tcBorders>
            <w:shd w:val="clear" w:color="auto" w:fill="auto"/>
            <w:vAlign w:val="center"/>
          </w:tcPr>
          <w:p w:rsidR="00085097" w:rsidRPr="00B42E95" w:rsidRDefault="00085097" w:rsidP="00F05F55">
            <w:pPr>
              <w:pStyle w:val="glowka"/>
              <w:rPr>
                <w:rFonts w:ascii="Fira Sans" w:hAnsi="Fira Sans"/>
              </w:rPr>
            </w:pPr>
            <w:r w:rsidRPr="00B42E95">
              <w:rPr>
                <w:rFonts w:ascii="Fira Sans" w:hAnsi="Fira Sans"/>
              </w:rPr>
              <w:t>10</w:t>
            </w:r>
          </w:p>
        </w:tc>
        <w:tc>
          <w:tcPr>
            <w:tcW w:w="892" w:type="dxa"/>
            <w:tcBorders>
              <w:top w:val="nil"/>
              <w:left w:val="single" w:sz="4" w:space="0" w:color="522398"/>
              <w:bottom w:val="single" w:sz="12" w:space="0" w:color="522398"/>
              <w:right w:val="single" w:sz="4" w:space="0" w:color="522398"/>
            </w:tcBorders>
            <w:shd w:val="clear" w:color="auto" w:fill="auto"/>
            <w:vAlign w:val="center"/>
          </w:tcPr>
          <w:p w:rsidR="00085097" w:rsidRPr="00B42E95" w:rsidRDefault="00085097" w:rsidP="00F05F55">
            <w:pPr>
              <w:pStyle w:val="glowka"/>
              <w:rPr>
                <w:rFonts w:ascii="Fira Sans" w:hAnsi="Fira Sans"/>
              </w:rPr>
            </w:pPr>
            <w:r w:rsidRPr="00B42E95">
              <w:rPr>
                <w:rFonts w:ascii="Fira Sans" w:hAnsi="Fira Sans"/>
              </w:rPr>
              <w:t>11</w:t>
            </w:r>
          </w:p>
        </w:tc>
        <w:tc>
          <w:tcPr>
            <w:tcW w:w="892" w:type="dxa"/>
            <w:tcBorders>
              <w:top w:val="nil"/>
              <w:left w:val="single" w:sz="4" w:space="0" w:color="522398"/>
              <w:bottom w:val="single" w:sz="12" w:space="0" w:color="522398"/>
              <w:right w:val="nil"/>
            </w:tcBorders>
            <w:shd w:val="clear" w:color="auto" w:fill="auto"/>
            <w:vAlign w:val="center"/>
          </w:tcPr>
          <w:p w:rsidR="00085097" w:rsidRPr="00B42E95" w:rsidRDefault="00085097" w:rsidP="00F05F55">
            <w:pPr>
              <w:pStyle w:val="glowka"/>
              <w:rPr>
                <w:rFonts w:ascii="Fira Sans" w:hAnsi="Fira Sans"/>
              </w:rPr>
            </w:pPr>
            <w:r w:rsidRPr="00B42E95">
              <w:rPr>
                <w:rFonts w:ascii="Fira Sans" w:hAnsi="Fira Sans"/>
              </w:rPr>
              <w:t>12</w:t>
            </w:r>
          </w:p>
        </w:tc>
      </w:tr>
      <w:tr w:rsidR="00EC7894" w:rsidRPr="00E87892" w:rsidTr="007C6CE2">
        <w:trPr>
          <w:trHeight w:hRule="exact" w:val="116"/>
        </w:trPr>
        <w:tc>
          <w:tcPr>
            <w:tcW w:w="4253" w:type="dxa"/>
            <w:tcBorders>
              <w:top w:val="single" w:sz="12" w:space="0" w:color="522398"/>
              <w:left w:val="nil"/>
              <w:bottom w:val="nil"/>
              <w:right w:val="nil"/>
            </w:tcBorders>
            <w:shd w:val="clear" w:color="auto" w:fill="auto"/>
            <w:vAlign w:val="center"/>
          </w:tcPr>
          <w:p w:rsidR="00EC7894" w:rsidRPr="00754D58" w:rsidRDefault="00EC7894" w:rsidP="00F55C8A">
            <w:pPr>
              <w:pStyle w:val="g1"/>
              <w:rPr>
                <w:rStyle w:val="StylboczekCzarnyZnak"/>
              </w:rPr>
            </w:pPr>
          </w:p>
        </w:tc>
        <w:tc>
          <w:tcPr>
            <w:tcW w:w="142" w:type="dxa"/>
            <w:tcBorders>
              <w:top w:val="single" w:sz="12" w:space="0" w:color="522398"/>
              <w:left w:val="nil"/>
              <w:bottom w:val="nil"/>
              <w:right w:val="single" w:sz="4" w:space="0" w:color="522398"/>
            </w:tcBorders>
            <w:shd w:val="clear" w:color="auto" w:fill="auto"/>
            <w:vAlign w:val="center"/>
          </w:tcPr>
          <w:p w:rsidR="00EC7894" w:rsidRPr="00754D58" w:rsidRDefault="00EC7894" w:rsidP="00DD668A">
            <w:pPr>
              <w:pStyle w:val="a"/>
              <w:rPr>
                <w:rFonts w:ascii="Fira Sans" w:hAnsi="Fira Sans"/>
              </w:rPr>
            </w:pPr>
          </w:p>
        </w:tc>
        <w:tc>
          <w:tcPr>
            <w:tcW w:w="891" w:type="dxa"/>
            <w:tcBorders>
              <w:top w:val="single" w:sz="12" w:space="0" w:color="522398"/>
              <w:left w:val="single" w:sz="4" w:space="0" w:color="522398"/>
              <w:bottom w:val="nil"/>
              <w:right w:val="single" w:sz="4" w:space="0" w:color="522398"/>
            </w:tcBorders>
            <w:shd w:val="clear" w:color="auto" w:fill="auto"/>
            <w:vAlign w:val="center"/>
          </w:tcPr>
          <w:p w:rsidR="00EC7894" w:rsidRPr="00754D58" w:rsidRDefault="00EC7894" w:rsidP="00375FC9">
            <w:pPr>
              <w:pStyle w:val="TableText"/>
            </w:pPr>
          </w:p>
        </w:tc>
        <w:tc>
          <w:tcPr>
            <w:tcW w:w="892" w:type="dxa"/>
            <w:tcBorders>
              <w:top w:val="single" w:sz="12" w:space="0" w:color="522398"/>
              <w:left w:val="single" w:sz="4" w:space="0" w:color="522398"/>
              <w:bottom w:val="nil"/>
              <w:right w:val="single" w:sz="4" w:space="0" w:color="522398"/>
            </w:tcBorders>
            <w:shd w:val="clear" w:color="auto" w:fill="DCD3EA"/>
            <w:vAlign w:val="center"/>
          </w:tcPr>
          <w:p w:rsidR="00EC7894" w:rsidRPr="00754D58" w:rsidRDefault="00EC7894" w:rsidP="00375FC9">
            <w:pPr>
              <w:pStyle w:val="TableText"/>
            </w:pPr>
          </w:p>
        </w:tc>
        <w:tc>
          <w:tcPr>
            <w:tcW w:w="892" w:type="dxa"/>
            <w:tcBorders>
              <w:top w:val="single" w:sz="12" w:space="0" w:color="522398"/>
              <w:left w:val="single" w:sz="4" w:space="0" w:color="522398"/>
              <w:bottom w:val="nil"/>
              <w:right w:val="single" w:sz="4" w:space="0" w:color="522398"/>
            </w:tcBorders>
            <w:shd w:val="clear" w:color="auto" w:fill="auto"/>
            <w:vAlign w:val="center"/>
          </w:tcPr>
          <w:p w:rsidR="00EC7894" w:rsidRPr="00754D58" w:rsidRDefault="00EC7894" w:rsidP="00375FC9">
            <w:pPr>
              <w:pStyle w:val="TableText"/>
            </w:pPr>
          </w:p>
        </w:tc>
        <w:tc>
          <w:tcPr>
            <w:tcW w:w="892" w:type="dxa"/>
            <w:tcBorders>
              <w:top w:val="single" w:sz="12" w:space="0" w:color="522398"/>
              <w:left w:val="single" w:sz="4" w:space="0" w:color="522398"/>
              <w:bottom w:val="nil"/>
              <w:right w:val="single" w:sz="4" w:space="0" w:color="522398"/>
            </w:tcBorders>
            <w:shd w:val="clear" w:color="auto" w:fill="auto"/>
            <w:vAlign w:val="center"/>
          </w:tcPr>
          <w:p w:rsidR="00EC7894" w:rsidRPr="00754D58" w:rsidRDefault="00EC7894" w:rsidP="00375FC9">
            <w:pPr>
              <w:pStyle w:val="TableText"/>
            </w:pPr>
          </w:p>
        </w:tc>
        <w:tc>
          <w:tcPr>
            <w:tcW w:w="892" w:type="dxa"/>
            <w:tcBorders>
              <w:top w:val="single" w:sz="12" w:space="0" w:color="522398"/>
              <w:left w:val="single" w:sz="4" w:space="0" w:color="522398"/>
              <w:bottom w:val="nil"/>
              <w:right w:val="single" w:sz="4" w:space="0" w:color="522398"/>
            </w:tcBorders>
            <w:shd w:val="clear" w:color="auto" w:fill="auto"/>
            <w:vAlign w:val="center"/>
          </w:tcPr>
          <w:p w:rsidR="00EC7894" w:rsidRPr="00754D58" w:rsidRDefault="00EC7894" w:rsidP="00375FC9">
            <w:pPr>
              <w:pStyle w:val="TableText"/>
            </w:pPr>
          </w:p>
        </w:tc>
        <w:tc>
          <w:tcPr>
            <w:tcW w:w="892" w:type="dxa"/>
            <w:tcBorders>
              <w:top w:val="single" w:sz="12" w:space="0" w:color="522398"/>
              <w:left w:val="single" w:sz="4" w:space="0" w:color="522398"/>
              <w:bottom w:val="nil"/>
              <w:right w:val="single" w:sz="4" w:space="0" w:color="522398"/>
            </w:tcBorders>
            <w:shd w:val="clear" w:color="auto" w:fill="auto"/>
            <w:vAlign w:val="center"/>
          </w:tcPr>
          <w:p w:rsidR="00EC7894" w:rsidRPr="00E30FB2" w:rsidRDefault="00EC7894" w:rsidP="00375FC9">
            <w:pPr>
              <w:pStyle w:val="TableText"/>
            </w:pPr>
          </w:p>
        </w:tc>
        <w:tc>
          <w:tcPr>
            <w:tcW w:w="891" w:type="dxa"/>
            <w:tcBorders>
              <w:top w:val="single" w:sz="12" w:space="0" w:color="522398"/>
              <w:left w:val="single" w:sz="4" w:space="0" w:color="522398"/>
              <w:bottom w:val="nil"/>
              <w:right w:val="single" w:sz="4" w:space="0" w:color="522398"/>
            </w:tcBorders>
            <w:shd w:val="clear" w:color="auto" w:fill="auto"/>
            <w:vAlign w:val="center"/>
          </w:tcPr>
          <w:p w:rsidR="00EC7894" w:rsidRPr="00754D58" w:rsidRDefault="00EC7894" w:rsidP="00375FC9">
            <w:pPr>
              <w:pStyle w:val="TableText"/>
            </w:pPr>
          </w:p>
        </w:tc>
        <w:tc>
          <w:tcPr>
            <w:tcW w:w="892" w:type="dxa"/>
            <w:tcBorders>
              <w:top w:val="single" w:sz="12" w:space="0" w:color="522398"/>
              <w:left w:val="single" w:sz="4" w:space="0" w:color="522398"/>
              <w:bottom w:val="nil"/>
              <w:right w:val="single" w:sz="4" w:space="0" w:color="522398"/>
            </w:tcBorders>
            <w:shd w:val="clear" w:color="auto" w:fill="auto"/>
            <w:vAlign w:val="center"/>
          </w:tcPr>
          <w:p w:rsidR="00EC7894" w:rsidRPr="00754D58" w:rsidRDefault="00EC7894" w:rsidP="00375FC9">
            <w:pPr>
              <w:pStyle w:val="TableText"/>
            </w:pPr>
          </w:p>
        </w:tc>
        <w:tc>
          <w:tcPr>
            <w:tcW w:w="892" w:type="dxa"/>
            <w:tcBorders>
              <w:top w:val="single" w:sz="12" w:space="0" w:color="522398"/>
              <w:left w:val="single" w:sz="4" w:space="0" w:color="522398"/>
              <w:bottom w:val="nil"/>
              <w:right w:val="single" w:sz="4" w:space="0" w:color="522398"/>
            </w:tcBorders>
            <w:shd w:val="clear" w:color="auto" w:fill="auto"/>
            <w:vAlign w:val="center"/>
          </w:tcPr>
          <w:p w:rsidR="00EC7894" w:rsidRPr="00754D58" w:rsidRDefault="00EC7894" w:rsidP="00375FC9">
            <w:pPr>
              <w:pStyle w:val="TableText"/>
            </w:pPr>
          </w:p>
        </w:tc>
        <w:tc>
          <w:tcPr>
            <w:tcW w:w="892" w:type="dxa"/>
            <w:tcBorders>
              <w:top w:val="single" w:sz="12" w:space="0" w:color="522398"/>
              <w:left w:val="single" w:sz="4" w:space="0" w:color="522398"/>
              <w:bottom w:val="nil"/>
              <w:right w:val="single" w:sz="4" w:space="0" w:color="522398"/>
            </w:tcBorders>
            <w:shd w:val="clear" w:color="auto" w:fill="auto"/>
            <w:vAlign w:val="center"/>
          </w:tcPr>
          <w:p w:rsidR="00EC7894" w:rsidRPr="00754D58" w:rsidRDefault="00EC7894" w:rsidP="00375FC9">
            <w:pPr>
              <w:pStyle w:val="TableText"/>
            </w:pPr>
          </w:p>
        </w:tc>
        <w:tc>
          <w:tcPr>
            <w:tcW w:w="892" w:type="dxa"/>
            <w:tcBorders>
              <w:top w:val="single" w:sz="12" w:space="0" w:color="522398"/>
              <w:left w:val="single" w:sz="4" w:space="0" w:color="522398"/>
              <w:bottom w:val="nil"/>
              <w:right w:val="single" w:sz="4" w:space="0" w:color="522398"/>
            </w:tcBorders>
            <w:shd w:val="clear" w:color="auto" w:fill="auto"/>
            <w:vAlign w:val="center"/>
          </w:tcPr>
          <w:p w:rsidR="00EC7894" w:rsidRPr="00754D58" w:rsidRDefault="00EC7894" w:rsidP="00375FC9">
            <w:pPr>
              <w:pStyle w:val="TableText"/>
            </w:pPr>
          </w:p>
        </w:tc>
        <w:tc>
          <w:tcPr>
            <w:tcW w:w="892" w:type="dxa"/>
            <w:tcBorders>
              <w:top w:val="single" w:sz="12" w:space="0" w:color="522398"/>
              <w:left w:val="single" w:sz="4" w:space="0" w:color="522398"/>
              <w:bottom w:val="nil"/>
              <w:right w:val="nil"/>
            </w:tcBorders>
            <w:shd w:val="clear" w:color="auto" w:fill="auto"/>
            <w:vAlign w:val="center"/>
          </w:tcPr>
          <w:p w:rsidR="00EC7894" w:rsidRPr="00754D58" w:rsidRDefault="00EC7894" w:rsidP="00375FC9">
            <w:pPr>
              <w:pStyle w:val="TableText"/>
            </w:pPr>
          </w:p>
        </w:tc>
      </w:tr>
      <w:tr w:rsidR="005E1DD3" w:rsidRPr="00E87892" w:rsidTr="007C6CE2">
        <w:trPr>
          <w:trHeight w:val="40"/>
        </w:trPr>
        <w:tc>
          <w:tcPr>
            <w:tcW w:w="4253" w:type="dxa"/>
            <w:tcBorders>
              <w:top w:val="nil"/>
              <w:left w:val="nil"/>
              <w:bottom w:val="single" w:sz="4" w:space="0" w:color="522398"/>
              <w:right w:val="nil"/>
            </w:tcBorders>
            <w:shd w:val="clear" w:color="auto" w:fill="auto"/>
            <w:vAlign w:val="center"/>
          </w:tcPr>
          <w:p w:rsidR="00465C71" w:rsidRPr="00095966" w:rsidRDefault="00465C71" w:rsidP="002B57E2">
            <w:pPr>
              <w:pStyle w:val="g1"/>
            </w:pPr>
            <w:r w:rsidRPr="00611DF8">
              <w:rPr>
                <w:rStyle w:val="StylboczekCzarnyZnak"/>
                <w:color w:val="auto"/>
              </w:rPr>
              <w:t>Przeciętne</w:t>
            </w:r>
            <w:r w:rsidRPr="00095966">
              <w:rPr>
                <w:rStyle w:val="StylboczekCzarnyZnak"/>
                <w:color w:val="auto"/>
              </w:rPr>
              <w:t xml:space="preserve"> zatrudnienie w sektorze przedsiębiorstw</w:t>
            </w:r>
            <w:r w:rsidRPr="00095966">
              <w:rPr>
                <w:rStyle w:val="StylboczekCzarnyZnak"/>
                <w:color w:val="auto"/>
                <w:vertAlign w:val="superscript"/>
              </w:rPr>
              <w:t xml:space="preserve"> a</w:t>
            </w:r>
          </w:p>
        </w:tc>
        <w:tc>
          <w:tcPr>
            <w:tcW w:w="142" w:type="dxa"/>
            <w:tcBorders>
              <w:top w:val="nil"/>
              <w:left w:val="nil"/>
              <w:bottom w:val="single" w:sz="4" w:space="0" w:color="522398"/>
              <w:right w:val="single" w:sz="4" w:space="0" w:color="522398"/>
            </w:tcBorders>
            <w:shd w:val="clear" w:color="auto" w:fill="auto"/>
            <w:vAlign w:val="center"/>
          </w:tcPr>
          <w:p w:rsidR="00465C71" w:rsidRPr="00754D58" w:rsidRDefault="00465C71" w:rsidP="00DD668A">
            <w:pPr>
              <w:pStyle w:val="a"/>
              <w:rPr>
                <w:rFonts w:ascii="Fira Sans" w:hAnsi="Fira Sans"/>
              </w:rPr>
            </w:pPr>
          </w:p>
        </w:tc>
        <w:tc>
          <w:tcPr>
            <w:tcW w:w="891" w:type="dxa"/>
            <w:tcBorders>
              <w:top w:val="nil"/>
              <w:left w:val="single" w:sz="4" w:space="0" w:color="522398"/>
              <w:bottom w:val="single" w:sz="4" w:space="0" w:color="522398"/>
              <w:right w:val="single" w:sz="4" w:space="0" w:color="522398"/>
            </w:tcBorders>
            <w:shd w:val="clear" w:color="auto" w:fill="auto"/>
            <w:vAlign w:val="center"/>
          </w:tcPr>
          <w:p w:rsidR="00465C71" w:rsidRPr="00754D58" w:rsidRDefault="00465C71" w:rsidP="00597F05">
            <w:pPr>
              <w:pStyle w:val="TableText"/>
            </w:pPr>
          </w:p>
        </w:tc>
        <w:tc>
          <w:tcPr>
            <w:tcW w:w="892" w:type="dxa"/>
            <w:tcBorders>
              <w:top w:val="nil"/>
              <w:left w:val="single" w:sz="4" w:space="0" w:color="522398"/>
              <w:bottom w:val="single" w:sz="4" w:space="0" w:color="522398"/>
              <w:right w:val="single" w:sz="4" w:space="0" w:color="522398"/>
            </w:tcBorders>
            <w:shd w:val="clear" w:color="auto" w:fill="DCD3EA"/>
            <w:vAlign w:val="center"/>
          </w:tcPr>
          <w:p w:rsidR="00465C71" w:rsidRPr="00754D58" w:rsidRDefault="00465C71" w:rsidP="00597F05">
            <w:pPr>
              <w:pStyle w:val="TableText"/>
            </w:pPr>
          </w:p>
        </w:tc>
        <w:tc>
          <w:tcPr>
            <w:tcW w:w="892" w:type="dxa"/>
            <w:tcBorders>
              <w:top w:val="nil"/>
              <w:left w:val="single" w:sz="4" w:space="0" w:color="522398"/>
              <w:bottom w:val="single" w:sz="4" w:space="0" w:color="522398"/>
              <w:right w:val="single" w:sz="4" w:space="0" w:color="522398"/>
            </w:tcBorders>
            <w:shd w:val="clear" w:color="auto" w:fill="auto"/>
            <w:vAlign w:val="center"/>
          </w:tcPr>
          <w:p w:rsidR="00465C71" w:rsidRPr="00754D58" w:rsidRDefault="00465C71" w:rsidP="00597F05">
            <w:pPr>
              <w:pStyle w:val="TableText"/>
            </w:pPr>
          </w:p>
        </w:tc>
        <w:tc>
          <w:tcPr>
            <w:tcW w:w="892" w:type="dxa"/>
            <w:tcBorders>
              <w:top w:val="nil"/>
              <w:left w:val="single" w:sz="4" w:space="0" w:color="522398"/>
              <w:bottom w:val="single" w:sz="4" w:space="0" w:color="522398"/>
              <w:right w:val="single" w:sz="4" w:space="0" w:color="522398"/>
            </w:tcBorders>
            <w:shd w:val="clear" w:color="auto" w:fill="auto"/>
            <w:vAlign w:val="center"/>
          </w:tcPr>
          <w:p w:rsidR="00465C71" w:rsidRPr="00754D58" w:rsidRDefault="00465C71" w:rsidP="00597F05">
            <w:pPr>
              <w:pStyle w:val="TableText"/>
            </w:pPr>
          </w:p>
        </w:tc>
        <w:tc>
          <w:tcPr>
            <w:tcW w:w="892" w:type="dxa"/>
            <w:tcBorders>
              <w:top w:val="nil"/>
              <w:left w:val="single" w:sz="4" w:space="0" w:color="522398"/>
              <w:bottom w:val="single" w:sz="4" w:space="0" w:color="522398"/>
              <w:right w:val="single" w:sz="4" w:space="0" w:color="522398"/>
            </w:tcBorders>
            <w:shd w:val="clear" w:color="auto" w:fill="auto"/>
            <w:vAlign w:val="center"/>
          </w:tcPr>
          <w:p w:rsidR="00465C71" w:rsidRPr="00754D58" w:rsidRDefault="00465C71" w:rsidP="00597F05">
            <w:pPr>
              <w:pStyle w:val="TableText"/>
            </w:pPr>
          </w:p>
        </w:tc>
        <w:tc>
          <w:tcPr>
            <w:tcW w:w="892" w:type="dxa"/>
            <w:tcBorders>
              <w:top w:val="nil"/>
              <w:left w:val="single" w:sz="4" w:space="0" w:color="522398"/>
              <w:bottom w:val="single" w:sz="4" w:space="0" w:color="522398"/>
              <w:right w:val="single" w:sz="4" w:space="0" w:color="522398"/>
            </w:tcBorders>
            <w:shd w:val="clear" w:color="auto" w:fill="auto"/>
            <w:vAlign w:val="center"/>
          </w:tcPr>
          <w:p w:rsidR="00465C71" w:rsidRPr="00E30FB2" w:rsidRDefault="00465C71" w:rsidP="00597F05">
            <w:pPr>
              <w:pStyle w:val="TableText"/>
            </w:pPr>
          </w:p>
        </w:tc>
        <w:tc>
          <w:tcPr>
            <w:tcW w:w="891" w:type="dxa"/>
            <w:tcBorders>
              <w:top w:val="nil"/>
              <w:left w:val="single" w:sz="4" w:space="0" w:color="522398"/>
              <w:bottom w:val="single" w:sz="4" w:space="0" w:color="522398"/>
              <w:right w:val="single" w:sz="4" w:space="0" w:color="522398"/>
            </w:tcBorders>
            <w:shd w:val="clear" w:color="auto" w:fill="auto"/>
            <w:vAlign w:val="center"/>
          </w:tcPr>
          <w:p w:rsidR="00465C71" w:rsidRPr="00754D58" w:rsidRDefault="00465C71" w:rsidP="00597F05">
            <w:pPr>
              <w:pStyle w:val="TableText"/>
            </w:pPr>
          </w:p>
        </w:tc>
        <w:tc>
          <w:tcPr>
            <w:tcW w:w="892" w:type="dxa"/>
            <w:tcBorders>
              <w:top w:val="nil"/>
              <w:left w:val="single" w:sz="4" w:space="0" w:color="522398"/>
              <w:bottom w:val="single" w:sz="4" w:space="0" w:color="522398"/>
              <w:right w:val="single" w:sz="4" w:space="0" w:color="522398"/>
            </w:tcBorders>
            <w:shd w:val="clear" w:color="auto" w:fill="auto"/>
            <w:vAlign w:val="center"/>
          </w:tcPr>
          <w:p w:rsidR="00465C71" w:rsidRPr="00754D58" w:rsidRDefault="00465C71" w:rsidP="00597F05">
            <w:pPr>
              <w:pStyle w:val="TableText"/>
            </w:pPr>
          </w:p>
        </w:tc>
        <w:tc>
          <w:tcPr>
            <w:tcW w:w="892" w:type="dxa"/>
            <w:tcBorders>
              <w:top w:val="nil"/>
              <w:left w:val="single" w:sz="4" w:space="0" w:color="522398"/>
              <w:bottom w:val="single" w:sz="4" w:space="0" w:color="522398"/>
              <w:right w:val="single" w:sz="4" w:space="0" w:color="522398"/>
            </w:tcBorders>
            <w:shd w:val="clear" w:color="auto" w:fill="auto"/>
            <w:vAlign w:val="center"/>
          </w:tcPr>
          <w:p w:rsidR="00465C71" w:rsidRPr="00754D58" w:rsidRDefault="00465C71" w:rsidP="00597F05">
            <w:pPr>
              <w:pStyle w:val="TableText"/>
            </w:pPr>
          </w:p>
        </w:tc>
        <w:tc>
          <w:tcPr>
            <w:tcW w:w="892" w:type="dxa"/>
            <w:tcBorders>
              <w:top w:val="nil"/>
              <w:left w:val="single" w:sz="4" w:space="0" w:color="522398"/>
              <w:bottom w:val="single" w:sz="4" w:space="0" w:color="522398"/>
              <w:right w:val="single" w:sz="4" w:space="0" w:color="522398"/>
            </w:tcBorders>
            <w:shd w:val="clear" w:color="auto" w:fill="auto"/>
            <w:vAlign w:val="center"/>
          </w:tcPr>
          <w:p w:rsidR="00465C71" w:rsidRPr="00754D58" w:rsidRDefault="00465C71" w:rsidP="00597F05">
            <w:pPr>
              <w:pStyle w:val="TableText"/>
            </w:pPr>
          </w:p>
        </w:tc>
        <w:tc>
          <w:tcPr>
            <w:tcW w:w="892" w:type="dxa"/>
            <w:tcBorders>
              <w:top w:val="nil"/>
              <w:left w:val="single" w:sz="4" w:space="0" w:color="522398"/>
              <w:bottom w:val="single" w:sz="4" w:space="0" w:color="522398"/>
              <w:right w:val="single" w:sz="4" w:space="0" w:color="522398"/>
            </w:tcBorders>
            <w:shd w:val="clear" w:color="auto" w:fill="auto"/>
            <w:vAlign w:val="center"/>
          </w:tcPr>
          <w:p w:rsidR="00465C71" w:rsidRPr="00754D58" w:rsidRDefault="00465C71" w:rsidP="00597F05">
            <w:pPr>
              <w:pStyle w:val="TableText"/>
            </w:pPr>
          </w:p>
        </w:tc>
        <w:tc>
          <w:tcPr>
            <w:tcW w:w="892" w:type="dxa"/>
            <w:tcBorders>
              <w:top w:val="nil"/>
              <w:left w:val="single" w:sz="4" w:space="0" w:color="522398"/>
              <w:bottom w:val="single" w:sz="4" w:space="0" w:color="522398"/>
              <w:right w:val="nil"/>
            </w:tcBorders>
            <w:shd w:val="clear" w:color="auto" w:fill="auto"/>
            <w:vAlign w:val="center"/>
          </w:tcPr>
          <w:p w:rsidR="00465C71" w:rsidRPr="00754D58" w:rsidRDefault="00465C71" w:rsidP="00597F05">
            <w:pPr>
              <w:pStyle w:val="TableText"/>
            </w:pPr>
          </w:p>
        </w:tc>
      </w:tr>
      <w:tr w:rsidR="00C724E0" w:rsidRPr="00E87892" w:rsidTr="007C6CE2">
        <w:trPr>
          <w:trHeight w:val="20"/>
        </w:trPr>
        <w:tc>
          <w:tcPr>
            <w:tcW w:w="4253" w:type="dxa"/>
            <w:tcBorders>
              <w:top w:val="single" w:sz="4" w:space="0" w:color="522398"/>
              <w:left w:val="nil"/>
              <w:bottom w:val="single" w:sz="4" w:space="0" w:color="522398"/>
              <w:right w:val="nil"/>
            </w:tcBorders>
            <w:shd w:val="clear" w:color="auto" w:fill="auto"/>
            <w:vAlign w:val="center"/>
          </w:tcPr>
          <w:p w:rsidR="00C724E0" w:rsidRPr="00095966" w:rsidRDefault="00C724E0" w:rsidP="00C724E0">
            <w:pPr>
              <w:pStyle w:val="g1"/>
            </w:pPr>
            <w:r w:rsidRPr="00095966">
              <w:t>w tys. osób</w:t>
            </w:r>
            <w:r w:rsidRPr="00095966">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C724E0" w:rsidRPr="00754D58" w:rsidRDefault="00C724E0" w:rsidP="00C724E0">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855,5</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753264" w:rsidRDefault="00C724E0" w:rsidP="00C724E0">
            <w:pPr>
              <w:pStyle w:val="TableText"/>
            </w:pPr>
            <w:r w:rsidRPr="00753264">
              <w:t>856,0</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856,4</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856,2</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854,4</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855,1</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854,7</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851,7</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851,9</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852,7</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855,5</w:t>
            </w:r>
          </w:p>
        </w:tc>
        <w:tc>
          <w:tcPr>
            <w:tcW w:w="892" w:type="dxa"/>
            <w:tcBorders>
              <w:top w:val="single" w:sz="4" w:space="0" w:color="522398"/>
              <w:left w:val="single" w:sz="4" w:space="0" w:color="522398"/>
              <w:bottom w:val="single" w:sz="4" w:space="0" w:color="522398"/>
              <w:right w:val="nil"/>
            </w:tcBorders>
            <w:shd w:val="clear" w:color="auto" w:fill="auto"/>
          </w:tcPr>
          <w:p w:rsidR="00C724E0" w:rsidRPr="00753264" w:rsidRDefault="00C724E0" w:rsidP="00C724E0">
            <w:pPr>
              <w:pStyle w:val="TableText"/>
            </w:pPr>
            <w:r w:rsidRPr="00753264">
              <w:t>856,2</w:t>
            </w:r>
          </w:p>
        </w:tc>
      </w:tr>
      <w:tr w:rsidR="00C724E0" w:rsidRPr="00E87892" w:rsidTr="007C6CE2">
        <w:trPr>
          <w:trHeight w:val="20"/>
        </w:trPr>
        <w:tc>
          <w:tcPr>
            <w:tcW w:w="4253" w:type="dxa"/>
            <w:tcBorders>
              <w:top w:val="single" w:sz="4" w:space="0" w:color="522398"/>
              <w:left w:val="nil"/>
              <w:bottom w:val="single" w:sz="4" w:space="0" w:color="522398"/>
              <w:right w:val="nil"/>
            </w:tcBorders>
            <w:shd w:val="clear" w:color="auto" w:fill="auto"/>
            <w:vAlign w:val="center"/>
          </w:tcPr>
          <w:p w:rsidR="00C724E0" w:rsidRPr="00095966" w:rsidRDefault="00C724E0" w:rsidP="00C724E0">
            <w:pPr>
              <w:pStyle w:val="g2"/>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C724E0" w:rsidRPr="00754D58" w:rsidRDefault="00C724E0" w:rsidP="00C724E0">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3158B8">
              <w:t>862,0</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753264" w:rsidRDefault="00C724E0" w:rsidP="00C724E0">
            <w:pPr>
              <w:pStyle w:val="TableText"/>
            </w:pPr>
            <w:r w:rsidRPr="001A521B">
              <w:t>862,9</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nil"/>
            </w:tcBorders>
            <w:shd w:val="clear" w:color="auto" w:fill="auto"/>
          </w:tcPr>
          <w:p w:rsidR="00C724E0" w:rsidRPr="00753264" w:rsidRDefault="00C724E0" w:rsidP="00C724E0">
            <w:pPr>
              <w:pStyle w:val="TableText"/>
            </w:pPr>
          </w:p>
        </w:tc>
      </w:tr>
      <w:tr w:rsidR="00C724E0" w:rsidRPr="00E87892" w:rsidTr="007C6CE2">
        <w:trPr>
          <w:trHeight w:val="20"/>
        </w:trPr>
        <w:tc>
          <w:tcPr>
            <w:tcW w:w="4253" w:type="dxa"/>
            <w:tcBorders>
              <w:top w:val="single" w:sz="4" w:space="0" w:color="522398"/>
              <w:left w:val="nil"/>
              <w:bottom w:val="single" w:sz="4" w:space="0" w:color="522398"/>
              <w:right w:val="nil"/>
            </w:tcBorders>
            <w:shd w:val="clear" w:color="auto" w:fill="auto"/>
            <w:vAlign w:val="center"/>
          </w:tcPr>
          <w:p w:rsidR="00C724E0" w:rsidRPr="00095966" w:rsidRDefault="00C724E0" w:rsidP="00C724E0">
            <w:pPr>
              <w:pStyle w:val="g3"/>
            </w:pPr>
            <w:r w:rsidRPr="00095966">
              <w:t xml:space="preserve">poprzedni miesiąc=100 </w:t>
            </w:r>
            <w:r w:rsidRPr="00095966">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C724E0" w:rsidRPr="00754D58" w:rsidRDefault="00C724E0" w:rsidP="00C724E0">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99,9</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753264" w:rsidRDefault="00C724E0" w:rsidP="00C724E0">
            <w:pPr>
              <w:pStyle w:val="TableText"/>
            </w:pPr>
            <w:r w:rsidRPr="00753264">
              <w:t>100,1</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100,0</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100,0</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99,8</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100,1</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99,9</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99,7</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100,0</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100,1</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100,3</w:t>
            </w:r>
          </w:p>
        </w:tc>
        <w:tc>
          <w:tcPr>
            <w:tcW w:w="892" w:type="dxa"/>
            <w:tcBorders>
              <w:top w:val="single" w:sz="4" w:space="0" w:color="522398"/>
              <w:left w:val="single" w:sz="4" w:space="0" w:color="522398"/>
              <w:bottom w:val="single" w:sz="4" w:space="0" w:color="522398"/>
              <w:right w:val="nil"/>
            </w:tcBorders>
            <w:shd w:val="clear" w:color="auto" w:fill="auto"/>
          </w:tcPr>
          <w:p w:rsidR="00C724E0" w:rsidRPr="00753264" w:rsidRDefault="00C724E0" w:rsidP="00C724E0">
            <w:pPr>
              <w:pStyle w:val="TableText"/>
            </w:pPr>
            <w:r w:rsidRPr="00753264">
              <w:t>100,1</w:t>
            </w:r>
          </w:p>
        </w:tc>
      </w:tr>
      <w:tr w:rsidR="00C724E0" w:rsidRPr="00E87892" w:rsidTr="007C6CE2">
        <w:trPr>
          <w:trHeight w:val="20"/>
        </w:trPr>
        <w:tc>
          <w:tcPr>
            <w:tcW w:w="4253" w:type="dxa"/>
            <w:tcBorders>
              <w:top w:val="single" w:sz="4" w:space="0" w:color="522398"/>
              <w:left w:val="nil"/>
              <w:bottom w:val="single" w:sz="4" w:space="0" w:color="522398"/>
              <w:right w:val="nil"/>
            </w:tcBorders>
            <w:shd w:val="clear" w:color="auto" w:fill="auto"/>
            <w:vAlign w:val="center"/>
          </w:tcPr>
          <w:p w:rsidR="00C724E0" w:rsidRPr="00095966" w:rsidRDefault="00C724E0" w:rsidP="00C724E0">
            <w:pPr>
              <w:pStyle w:val="g3"/>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C724E0" w:rsidRPr="00754D58" w:rsidRDefault="00C724E0" w:rsidP="00C724E0">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3158B8">
              <w:t>100,7</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753264" w:rsidRDefault="00C724E0" w:rsidP="00C724E0">
            <w:pPr>
              <w:pStyle w:val="TableText"/>
            </w:pPr>
            <w:r w:rsidRPr="001A521B">
              <w:t>100,1</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nil"/>
            </w:tcBorders>
            <w:shd w:val="clear" w:color="auto" w:fill="auto"/>
          </w:tcPr>
          <w:p w:rsidR="00C724E0" w:rsidRPr="00753264" w:rsidRDefault="00C724E0" w:rsidP="00C724E0">
            <w:pPr>
              <w:pStyle w:val="TableText"/>
            </w:pPr>
          </w:p>
        </w:tc>
      </w:tr>
      <w:tr w:rsidR="00C724E0" w:rsidRPr="00E87892" w:rsidTr="007C6CE2">
        <w:trPr>
          <w:trHeight w:val="20"/>
        </w:trPr>
        <w:tc>
          <w:tcPr>
            <w:tcW w:w="4253" w:type="dxa"/>
            <w:tcBorders>
              <w:top w:val="single" w:sz="4" w:space="0" w:color="522398"/>
              <w:left w:val="nil"/>
              <w:bottom w:val="single" w:sz="4" w:space="0" w:color="522398"/>
              <w:right w:val="nil"/>
            </w:tcBorders>
            <w:shd w:val="clear" w:color="auto" w:fill="auto"/>
            <w:vAlign w:val="center"/>
          </w:tcPr>
          <w:p w:rsidR="00C724E0" w:rsidRPr="00095966" w:rsidRDefault="00C724E0" w:rsidP="00C724E0">
            <w:pPr>
              <w:pStyle w:val="g3"/>
            </w:pPr>
            <w:r w:rsidRPr="00095966">
              <w:t xml:space="preserve">analogiczny miesiąc poprzedniego roku=100 </w:t>
            </w:r>
            <w:r w:rsidRPr="00095966">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C724E0" w:rsidRPr="00754D58" w:rsidRDefault="00C724E0" w:rsidP="00C724E0">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99,2</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753264" w:rsidRDefault="00C724E0" w:rsidP="00C724E0">
            <w:pPr>
              <w:pStyle w:val="TableText"/>
            </w:pPr>
            <w:r w:rsidRPr="00753264">
              <w:t>99,4</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99,9</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99,9</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99,6</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99,6</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99,6</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99,4</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99,7</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99,7</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100,0</w:t>
            </w:r>
          </w:p>
        </w:tc>
        <w:tc>
          <w:tcPr>
            <w:tcW w:w="892" w:type="dxa"/>
            <w:tcBorders>
              <w:top w:val="single" w:sz="4" w:space="0" w:color="522398"/>
              <w:left w:val="single" w:sz="4" w:space="0" w:color="522398"/>
              <w:bottom w:val="single" w:sz="4" w:space="0" w:color="522398"/>
              <w:right w:val="nil"/>
            </w:tcBorders>
            <w:shd w:val="clear" w:color="auto" w:fill="auto"/>
          </w:tcPr>
          <w:p w:rsidR="00C724E0" w:rsidRPr="00753264" w:rsidRDefault="00C724E0" w:rsidP="00C724E0">
            <w:pPr>
              <w:pStyle w:val="TableText"/>
            </w:pPr>
            <w:r w:rsidRPr="00753264">
              <w:t>99,9</w:t>
            </w:r>
          </w:p>
        </w:tc>
      </w:tr>
      <w:tr w:rsidR="00C724E0" w:rsidRPr="00E87892" w:rsidTr="007C6CE2">
        <w:trPr>
          <w:trHeight w:val="20"/>
        </w:trPr>
        <w:tc>
          <w:tcPr>
            <w:tcW w:w="4253" w:type="dxa"/>
            <w:tcBorders>
              <w:top w:val="single" w:sz="4" w:space="0" w:color="522398"/>
              <w:left w:val="nil"/>
              <w:bottom w:val="single" w:sz="4" w:space="0" w:color="522398"/>
              <w:right w:val="nil"/>
            </w:tcBorders>
            <w:shd w:val="clear" w:color="auto" w:fill="auto"/>
            <w:vAlign w:val="center"/>
          </w:tcPr>
          <w:p w:rsidR="00C724E0" w:rsidRPr="00095966" w:rsidRDefault="00C724E0" w:rsidP="00C724E0">
            <w:pPr>
              <w:pStyle w:val="g3"/>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C724E0" w:rsidRPr="00754D58" w:rsidRDefault="00C724E0" w:rsidP="00C724E0">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3158B8">
              <w:t>100,8</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753264" w:rsidRDefault="00C724E0" w:rsidP="00C724E0">
            <w:pPr>
              <w:pStyle w:val="TableText"/>
            </w:pPr>
            <w:r w:rsidRPr="001A521B">
              <w:t>100,8</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nil"/>
            </w:tcBorders>
            <w:shd w:val="clear" w:color="auto" w:fill="auto"/>
          </w:tcPr>
          <w:p w:rsidR="00C724E0" w:rsidRPr="00753264" w:rsidRDefault="00C724E0" w:rsidP="00C724E0">
            <w:pPr>
              <w:pStyle w:val="TableText"/>
            </w:pPr>
          </w:p>
        </w:tc>
      </w:tr>
      <w:tr w:rsidR="00C724E0" w:rsidRPr="00E87892" w:rsidTr="007C6CE2">
        <w:trPr>
          <w:trHeight w:val="20"/>
        </w:trPr>
        <w:tc>
          <w:tcPr>
            <w:tcW w:w="4253" w:type="dxa"/>
            <w:tcBorders>
              <w:top w:val="single" w:sz="4" w:space="0" w:color="522398"/>
              <w:left w:val="nil"/>
              <w:bottom w:val="single" w:sz="4" w:space="0" w:color="522398"/>
              <w:right w:val="nil"/>
            </w:tcBorders>
            <w:shd w:val="clear" w:color="auto" w:fill="auto"/>
            <w:vAlign w:val="center"/>
          </w:tcPr>
          <w:p w:rsidR="00C724E0" w:rsidRPr="00BD4423" w:rsidRDefault="00C724E0" w:rsidP="00C724E0">
            <w:pPr>
              <w:pStyle w:val="g1"/>
              <w:rPr>
                <w:rStyle w:val="StylboczekCzarnyZnak"/>
              </w:rPr>
            </w:pPr>
            <w:r w:rsidRPr="00BD4423">
              <w:rPr>
                <w:rStyle w:val="StylboczekCzarnyZnak"/>
              </w:rPr>
              <w:t>Bezrobotni zarejestrowani (stan w końcu okresu)</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C724E0" w:rsidRPr="00754D58" w:rsidRDefault="00C724E0" w:rsidP="00C724E0">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50,5</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753264" w:rsidRDefault="00C724E0" w:rsidP="00C724E0">
            <w:pPr>
              <w:pStyle w:val="TableText"/>
            </w:pPr>
            <w:r w:rsidRPr="00753264">
              <w:t>51,8</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50,2</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48,3</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46,7</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45,6</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45,6</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46,1</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46,2</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46,1</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46,3</w:t>
            </w:r>
          </w:p>
        </w:tc>
        <w:tc>
          <w:tcPr>
            <w:tcW w:w="892" w:type="dxa"/>
            <w:tcBorders>
              <w:top w:val="single" w:sz="4" w:space="0" w:color="522398"/>
              <w:left w:val="single" w:sz="4" w:space="0" w:color="522398"/>
              <w:bottom w:val="single" w:sz="4" w:space="0" w:color="522398"/>
              <w:right w:val="nil"/>
            </w:tcBorders>
            <w:shd w:val="clear" w:color="auto" w:fill="auto"/>
          </w:tcPr>
          <w:p w:rsidR="00C724E0" w:rsidRPr="00753264" w:rsidRDefault="00C724E0" w:rsidP="00C724E0">
            <w:pPr>
              <w:pStyle w:val="TableText"/>
            </w:pPr>
            <w:r w:rsidRPr="00753264">
              <w:t>46,6</w:t>
            </w:r>
          </w:p>
        </w:tc>
      </w:tr>
      <w:tr w:rsidR="00C724E0" w:rsidRPr="00E87892" w:rsidTr="007C6CE2">
        <w:trPr>
          <w:trHeight w:val="20"/>
        </w:trPr>
        <w:tc>
          <w:tcPr>
            <w:tcW w:w="4253" w:type="dxa"/>
            <w:tcBorders>
              <w:top w:val="single" w:sz="4" w:space="0" w:color="522398"/>
              <w:left w:val="nil"/>
              <w:bottom w:val="single" w:sz="4" w:space="0" w:color="522398"/>
              <w:right w:val="nil"/>
            </w:tcBorders>
            <w:shd w:val="clear" w:color="auto" w:fill="auto"/>
            <w:vAlign w:val="center"/>
          </w:tcPr>
          <w:p w:rsidR="00C724E0" w:rsidRPr="00BD4423" w:rsidRDefault="00C724E0" w:rsidP="00C724E0">
            <w:pPr>
              <w:pStyle w:val="g1"/>
            </w:pPr>
            <w:r w:rsidRPr="00BD4423">
              <w:rPr>
                <w:rStyle w:val="StylboczekCzarnyZnak"/>
              </w:rPr>
              <w:t>w tys. osób</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C724E0" w:rsidRPr="00754D58" w:rsidRDefault="00C724E0" w:rsidP="00C724E0">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3158B8">
              <w:t>51,0</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753264" w:rsidRDefault="00C724E0" w:rsidP="00C724E0">
            <w:pPr>
              <w:pStyle w:val="TableText"/>
            </w:pPr>
            <w:r w:rsidRPr="00932E37">
              <w:t>52,0</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nil"/>
            </w:tcBorders>
            <w:shd w:val="clear" w:color="auto" w:fill="auto"/>
          </w:tcPr>
          <w:p w:rsidR="00C724E0" w:rsidRPr="00753264" w:rsidRDefault="00C724E0" w:rsidP="00C724E0">
            <w:pPr>
              <w:pStyle w:val="TableText"/>
            </w:pPr>
          </w:p>
        </w:tc>
      </w:tr>
      <w:tr w:rsidR="00C724E0" w:rsidRPr="00E87892" w:rsidTr="007C6CE2">
        <w:trPr>
          <w:trHeight w:val="20"/>
        </w:trPr>
        <w:tc>
          <w:tcPr>
            <w:tcW w:w="4253" w:type="dxa"/>
            <w:tcBorders>
              <w:top w:val="single" w:sz="4" w:space="0" w:color="522398"/>
              <w:left w:val="nil"/>
              <w:bottom w:val="single" w:sz="4" w:space="0" w:color="522398"/>
              <w:right w:val="nil"/>
            </w:tcBorders>
            <w:shd w:val="clear" w:color="auto" w:fill="auto"/>
            <w:vAlign w:val="center"/>
          </w:tcPr>
          <w:p w:rsidR="00C724E0" w:rsidRPr="00BD4423" w:rsidRDefault="00C724E0" w:rsidP="00C724E0">
            <w:pPr>
              <w:pStyle w:val="g1"/>
            </w:pPr>
            <w:r w:rsidRPr="00BD4423">
              <w:rPr>
                <w:rStyle w:val="StylboczekCzarnyZnak"/>
              </w:rPr>
              <w:t>Stopa bezrobocia</w:t>
            </w:r>
            <w:r w:rsidRPr="008B61D7">
              <w:rPr>
                <w:rStyle w:val="StylboczekCzarnyZnak"/>
                <w:vertAlign w:val="superscript"/>
              </w:rPr>
              <w:t xml:space="preserve"> b</w:t>
            </w:r>
            <w:r w:rsidRPr="00BD4423">
              <w:rPr>
                <w:rStyle w:val="StylboczekCzarnyZnak"/>
              </w:rPr>
              <w:t xml:space="preserve"> (stan w końcu okresu</w:t>
            </w:r>
            <w:r w:rsidRPr="00BD4423">
              <w:t>)</w:t>
            </w:r>
            <w:r w:rsidRPr="00BD4423">
              <w:rPr>
                <w:rStyle w:val="StylboczekCzarnyZnak"/>
              </w:rPr>
              <w:t xml:space="preserve"> w %</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C724E0" w:rsidRPr="00754D58" w:rsidRDefault="00C724E0" w:rsidP="00C724E0">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3,2</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753264" w:rsidRDefault="00C724E0" w:rsidP="00C724E0">
            <w:pPr>
              <w:pStyle w:val="TableText"/>
            </w:pPr>
            <w:r w:rsidRPr="00753264">
              <w:t>3,3</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3,2</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3,1</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3,0</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2,9</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2,9</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3,0</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3,0</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2,9</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2,9</w:t>
            </w:r>
          </w:p>
        </w:tc>
        <w:tc>
          <w:tcPr>
            <w:tcW w:w="892" w:type="dxa"/>
            <w:tcBorders>
              <w:top w:val="single" w:sz="4" w:space="0" w:color="522398"/>
              <w:left w:val="single" w:sz="4" w:space="0" w:color="522398"/>
              <w:bottom w:val="single" w:sz="4" w:space="0" w:color="522398"/>
              <w:right w:val="nil"/>
            </w:tcBorders>
            <w:shd w:val="clear" w:color="auto" w:fill="auto"/>
          </w:tcPr>
          <w:p w:rsidR="00C724E0" w:rsidRPr="00753264" w:rsidRDefault="00C724E0" w:rsidP="00C724E0">
            <w:pPr>
              <w:pStyle w:val="TableText"/>
            </w:pPr>
            <w:r w:rsidRPr="00753264">
              <w:t>3,0</w:t>
            </w:r>
          </w:p>
        </w:tc>
      </w:tr>
      <w:tr w:rsidR="00C724E0" w:rsidRPr="00E87892" w:rsidTr="007C6CE2">
        <w:trPr>
          <w:trHeight w:val="20"/>
        </w:trPr>
        <w:tc>
          <w:tcPr>
            <w:tcW w:w="4253" w:type="dxa"/>
            <w:tcBorders>
              <w:top w:val="single" w:sz="4" w:space="0" w:color="522398"/>
              <w:left w:val="nil"/>
              <w:bottom w:val="single" w:sz="4" w:space="0" w:color="522398"/>
              <w:right w:val="nil"/>
            </w:tcBorders>
            <w:shd w:val="clear" w:color="auto" w:fill="auto"/>
            <w:vAlign w:val="center"/>
          </w:tcPr>
          <w:p w:rsidR="00C724E0" w:rsidRPr="00BD4423" w:rsidRDefault="00C724E0" w:rsidP="00C724E0">
            <w:pPr>
              <w:pStyle w:val="g1"/>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C724E0" w:rsidRPr="00754D58" w:rsidRDefault="00C724E0" w:rsidP="00C724E0">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t>3,3</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753264" w:rsidRDefault="00C724E0" w:rsidP="00C724E0">
            <w:pPr>
              <w:pStyle w:val="TableText"/>
            </w:pPr>
            <w:r>
              <w:t>3,3</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nil"/>
            </w:tcBorders>
            <w:shd w:val="clear" w:color="auto" w:fill="auto"/>
          </w:tcPr>
          <w:p w:rsidR="00C724E0" w:rsidRPr="00753264" w:rsidRDefault="00C724E0" w:rsidP="00C724E0">
            <w:pPr>
              <w:pStyle w:val="TableText"/>
            </w:pPr>
          </w:p>
        </w:tc>
      </w:tr>
      <w:tr w:rsidR="00C724E0" w:rsidRPr="00E87892" w:rsidTr="007C6CE2">
        <w:trPr>
          <w:trHeight w:val="20"/>
        </w:trPr>
        <w:tc>
          <w:tcPr>
            <w:tcW w:w="4253" w:type="dxa"/>
            <w:tcBorders>
              <w:top w:val="single" w:sz="4" w:space="0" w:color="522398"/>
              <w:left w:val="nil"/>
              <w:bottom w:val="single" w:sz="4" w:space="0" w:color="522398"/>
              <w:right w:val="nil"/>
            </w:tcBorders>
            <w:shd w:val="clear" w:color="auto" w:fill="auto"/>
            <w:vAlign w:val="center"/>
          </w:tcPr>
          <w:p w:rsidR="00C724E0" w:rsidRPr="00BD4423" w:rsidRDefault="00C724E0" w:rsidP="00C724E0">
            <w:pPr>
              <w:pStyle w:val="g1"/>
            </w:pPr>
            <w:r w:rsidRPr="00BD4423">
              <w:t xml:space="preserve">Oferty </w:t>
            </w:r>
            <w:r w:rsidRPr="00BD4423">
              <w:rPr>
                <w:rStyle w:val="StylboczekCzarnyZnak"/>
              </w:rPr>
              <w:t>pracy</w:t>
            </w:r>
            <w:r w:rsidRPr="00BD4423">
              <w:t xml:space="preserve"> (w ciągu miesiąca) </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C724E0" w:rsidRPr="00754D58" w:rsidRDefault="00C724E0" w:rsidP="00C724E0">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5652</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753264" w:rsidRDefault="00C724E0" w:rsidP="00C724E0">
            <w:pPr>
              <w:pStyle w:val="TableText"/>
            </w:pPr>
            <w:r w:rsidRPr="00753264">
              <w:t>6650</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6372</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5025</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5553</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6805</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5071</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5559</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5200</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5156</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4265</w:t>
            </w:r>
          </w:p>
        </w:tc>
        <w:tc>
          <w:tcPr>
            <w:tcW w:w="892" w:type="dxa"/>
            <w:tcBorders>
              <w:top w:val="single" w:sz="4" w:space="0" w:color="522398"/>
              <w:left w:val="single" w:sz="4" w:space="0" w:color="522398"/>
              <w:bottom w:val="single" w:sz="4" w:space="0" w:color="522398"/>
              <w:right w:val="nil"/>
            </w:tcBorders>
            <w:shd w:val="clear" w:color="auto" w:fill="auto"/>
          </w:tcPr>
          <w:p w:rsidR="00C724E0" w:rsidRPr="00753264" w:rsidRDefault="00C724E0" w:rsidP="00C724E0">
            <w:pPr>
              <w:pStyle w:val="TableText"/>
            </w:pPr>
            <w:r w:rsidRPr="00753264">
              <w:t>4390</w:t>
            </w:r>
          </w:p>
        </w:tc>
      </w:tr>
      <w:tr w:rsidR="00C724E0" w:rsidRPr="00E87892" w:rsidTr="007C6CE2">
        <w:trPr>
          <w:trHeight w:val="20"/>
        </w:trPr>
        <w:tc>
          <w:tcPr>
            <w:tcW w:w="4253" w:type="dxa"/>
            <w:tcBorders>
              <w:top w:val="single" w:sz="4" w:space="0" w:color="522398"/>
              <w:left w:val="nil"/>
              <w:bottom w:val="single" w:sz="4" w:space="0" w:color="522398"/>
              <w:right w:val="nil"/>
            </w:tcBorders>
            <w:shd w:val="clear" w:color="auto" w:fill="auto"/>
            <w:vAlign w:val="center"/>
          </w:tcPr>
          <w:p w:rsidR="00C724E0" w:rsidRPr="00BD4423" w:rsidRDefault="00C724E0" w:rsidP="00C724E0">
            <w:pPr>
              <w:pStyle w:val="g3"/>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C724E0" w:rsidRPr="00754D58" w:rsidRDefault="00C724E0" w:rsidP="00C724E0">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t>6000</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753264" w:rsidRDefault="00C724E0" w:rsidP="00C724E0">
            <w:pPr>
              <w:pStyle w:val="TableText"/>
            </w:pPr>
            <w:r w:rsidRPr="00932E37">
              <w:t>5484</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nil"/>
            </w:tcBorders>
            <w:shd w:val="clear" w:color="auto" w:fill="auto"/>
          </w:tcPr>
          <w:p w:rsidR="00C724E0" w:rsidRPr="00753264" w:rsidRDefault="00C724E0" w:rsidP="00C724E0">
            <w:pPr>
              <w:pStyle w:val="TableText"/>
            </w:pPr>
          </w:p>
        </w:tc>
      </w:tr>
      <w:tr w:rsidR="00C724E0" w:rsidRPr="00E87892" w:rsidTr="007C6CE2">
        <w:trPr>
          <w:trHeight w:val="20"/>
        </w:trPr>
        <w:tc>
          <w:tcPr>
            <w:tcW w:w="4253" w:type="dxa"/>
            <w:tcBorders>
              <w:top w:val="single" w:sz="4" w:space="0" w:color="522398"/>
              <w:left w:val="nil"/>
              <w:bottom w:val="single" w:sz="4" w:space="0" w:color="522398"/>
              <w:right w:val="nil"/>
            </w:tcBorders>
            <w:shd w:val="clear" w:color="auto" w:fill="auto"/>
            <w:vAlign w:val="center"/>
          </w:tcPr>
          <w:p w:rsidR="00C724E0" w:rsidRPr="00BD4423" w:rsidRDefault="00C724E0" w:rsidP="00C724E0">
            <w:pPr>
              <w:pStyle w:val="StylboczekCzarny"/>
              <w:rPr>
                <w:rStyle w:val="StylboczekCzarnyZnak"/>
              </w:rPr>
            </w:pPr>
            <w:r w:rsidRPr="00BD4423">
              <w:rPr>
                <w:rStyle w:val="StylboczekCzarnyZnak"/>
              </w:rPr>
              <w:t>Liczba bezrobotnych na 1 ofertę pracy (stan w końcu</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C724E0" w:rsidRPr="00754D58" w:rsidRDefault="00C724E0" w:rsidP="00C724E0">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14</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753264" w:rsidRDefault="00C724E0" w:rsidP="00C724E0">
            <w:pPr>
              <w:pStyle w:val="TableText"/>
            </w:pPr>
            <w:r w:rsidRPr="00753264">
              <w:t>12</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14</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13</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10</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9</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12</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12</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12</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12</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16</w:t>
            </w:r>
          </w:p>
        </w:tc>
        <w:tc>
          <w:tcPr>
            <w:tcW w:w="892" w:type="dxa"/>
            <w:tcBorders>
              <w:top w:val="single" w:sz="4" w:space="0" w:color="522398"/>
              <w:left w:val="single" w:sz="4" w:space="0" w:color="522398"/>
              <w:bottom w:val="single" w:sz="4" w:space="0" w:color="522398"/>
              <w:right w:val="nil"/>
            </w:tcBorders>
            <w:shd w:val="clear" w:color="auto" w:fill="auto"/>
          </w:tcPr>
          <w:p w:rsidR="00C724E0" w:rsidRPr="00753264" w:rsidRDefault="00C724E0" w:rsidP="00C724E0">
            <w:pPr>
              <w:pStyle w:val="TableText"/>
            </w:pPr>
            <w:r w:rsidRPr="00753264">
              <w:t>15</w:t>
            </w:r>
          </w:p>
        </w:tc>
      </w:tr>
      <w:tr w:rsidR="00C724E0" w:rsidRPr="00E87892" w:rsidTr="007C6CE2">
        <w:trPr>
          <w:trHeight w:val="20"/>
        </w:trPr>
        <w:tc>
          <w:tcPr>
            <w:tcW w:w="4253" w:type="dxa"/>
            <w:tcBorders>
              <w:top w:val="single" w:sz="4" w:space="0" w:color="522398"/>
              <w:left w:val="nil"/>
              <w:bottom w:val="single" w:sz="4" w:space="0" w:color="522398"/>
              <w:right w:val="nil"/>
            </w:tcBorders>
            <w:shd w:val="clear" w:color="auto" w:fill="auto"/>
            <w:vAlign w:val="center"/>
          </w:tcPr>
          <w:p w:rsidR="00C724E0" w:rsidRPr="00BD4423" w:rsidRDefault="00C724E0" w:rsidP="00C724E0">
            <w:pPr>
              <w:pStyle w:val="g1"/>
              <w:rPr>
                <w:color w:val="000000"/>
              </w:rPr>
            </w:pPr>
            <w:r w:rsidRPr="00BD4423">
              <w:t>okresu)</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C724E0" w:rsidRPr="00754D58" w:rsidRDefault="00C724E0" w:rsidP="00C724E0">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t>13</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753264" w:rsidRDefault="00C724E0" w:rsidP="00C724E0">
            <w:pPr>
              <w:pStyle w:val="TableText"/>
            </w:pPr>
            <w:r>
              <w:t>13</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nil"/>
            </w:tcBorders>
            <w:shd w:val="clear" w:color="auto" w:fill="auto"/>
          </w:tcPr>
          <w:p w:rsidR="00C724E0" w:rsidRPr="00753264" w:rsidRDefault="00C724E0" w:rsidP="00C724E0">
            <w:pPr>
              <w:pStyle w:val="TableText"/>
            </w:pPr>
          </w:p>
        </w:tc>
      </w:tr>
      <w:tr w:rsidR="00C724E0" w:rsidRPr="00E87892" w:rsidTr="007C6CE2">
        <w:trPr>
          <w:trHeight w:val="20"/>
        </w:trPr>
        <w:tc>
          <w:tcPr>
            <w:tcW w:w="4253" w:type="dxa"/>
            <w:tcBorders>
              <w:top w:val="single" w:sz="4" w:space="0" w:color="522398"/>
              <w:left w:val="nil"/>
              <w:bottom w:val="single" w:sz="4" w:space="0" w:color="522398"/>
              <w:right w:val="nil"/>
            </w:tcBorders>
            <w:shd w:val="clear" w:color="auto" w:fill="auto"/>
            <w:vAlign w:val="center"/>
          </w:tcPr>
          <w:p w:rsidR="00C724E0" w:rsidRPr="00095966" w:rsidRDefault="00C724E0" w:rsidP="00C724E0">
            <w:pPr>
              <w:pStyle w:val="StylboczekCzarny"/>
              <w:rPr>
                <w:rStyle w:val="StylboczekCzarnyZnak"/>
                <w:color w:val="auto"/>
              </w:rPr>
            </w:pPr>
            <w:r w:rsidRPr="00095966">
              <w:rPr>
                <w:rStyle w:val="StylboczekCzarnyZnak"/>
                <w:color w:val="auto"/>
              </w:rPr>
              <w:t xml:space="preserve">Przeciętne wynagrodzenie miesięczne brutto </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C724E0" w:rsidRPr="00754D58" w:rsidRDefault="00C724E0" w:rsidP="00C724E0">
            <w:pPr>
              <w:pStyle w:val="a"/>
              <w:jc w:val="left"/>
              <w:rPr>
                <w:rFonts w:ascii="Fira Sans" w:hAnsi="Fira Sans"/>
              </w:rPr>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nil"/>
            </w:tcBorders>
            <w:shd w:val="clear" w:color="auto" w:fill="auto"/>
          </w:tcPr>
          <w:p w:rsidR="00C724E0" w:rsidRPr="00753264" w:rsidRDefault="00C724E0" w:rsidP="00C724E0">
            <w:pPr>
              <w:pStyle w:val="TableText"/>
            </w:pPr>
          </w:p>
        </w:tc>
      </w:tr>
      <w:tr w:rsidR="00C724E0" w:rsidRPr="00E87892" w:rsidTr="007C6CE2">
        <w:trPr>
          <w:trHeight w:val="218"/>
        </w:trPr>
        <w:tc>
          <w:tcPr>
            <w:tcW w:w="4253" w:type="dxa"/>
            <w:tcBorders>
              <w:top w:val="single" w:sz="4" w:space="0" w:color="522398"/>
              <w:left w:val="nil"/>
              <w:bottom w:val="single" w:sz="4" w:space="0" w:color="522398"/>
              <w:right w:val="nil"/>
            </w:tcBorders>
            <w:shd w:val="clear" w:color="auto" w:fill="auto"/>
            <w:vAlign w:val="center"/>
          </w:tcPr>
          <w:p w:rsidR="00C724E0" w:rsidRPr="00095966" w:rsidRDefault="00C724E0" w:rsidP="00C724E0">
            <w:pPr>
              <w:pStyle w:val="g1"/>
            </w:pPr>
            <w:r w:rsidRPr="00095966">
              <w:rPr>
                <w:rStyle w:val="StylboczekCzarnyZnak"/>
                <w:color w:val="auto"/>
              </w:rPr>
              <w:t>w sektorze</w:t>
            </w:r>
            <w:r w:rsidRPr="00095966">
              <w:t xml:space="preserve"> przedsiębiorstw</w:t>
            </w:r>
            <w:r w:rsidRPr="00095966">
              <w:rPr>
                <w:vertAlign w:val="superscript"/>
              </w:rPr>
              <w:t xml:space="preserve"> a</w:t>
            </w:r>
            <w:r w:rsidRPr="00095966">
              <w:t xml:space="preserve"> w zł </w:t>
            </w:r>
            <w:r w:rsidRPr="00095966">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C724E0" w:rsidRPr="00754D58" w:rsidRDefault="00C724E0" w:rsidP="00C724E0">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7078,29</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753264" w:rsidRDefault="00C724E0" w:rsidP="00C724E0">
            <w:pPr>
              <w:pStyle w:val="TableText"/>
            </w:pPr>
            <w:r w:rsidRPr="00753264">
              <w:t>7096,26</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7666,51</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7628,21</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7322,80</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7301,98</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7369,48</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7361,83</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7359,12</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7468,37</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7576,88</w:t>
            </w:r>
          </w:p>
        </w:tc>
        <w:tc>
          <w:tcPr>
            <w:tcW w:w="892" w:type="dxa"/>
            <w:tcBorders>
              <w:top w:val="single" w:sz="4" w:space="0" w:color="522398"/>
              <w:left w:val="single" w:sz="4" w:space="0" w:color="522398"/>
              <w:bottom w:val="single" w:sz="4" w:space="0" w:color="522398"/>
              <w:right w:val="nil"/>
            </w:tcBorders>
            <w:shd w:val="clear" w:color="auto" w:fill="auto"/>
          </w:tcPr>
          <w:p w:rsidR="00C724E0" w:rsidRPr="00753264" w:rsidRDefault="00C724E0" w:rsidP="00C724E0">
            <w:pPr>
              <w:pStyle w:val="TableText"/>
            </w:pPr>
            <w:r w:rsidRPr="00753264">
              <w:t>7784,21</w:t>
            </w:r>
          </w:p>
        </w:tc>
      </w:tr>
      <w:tr w:rsidR="00C724E0" w:rsidRPr="00E87892" w:rsidTr="007C6CE2">
        <w:trPr>
          <w:trHeight w:val="20"/>
        </w:trPr>
        <w:tc>
          <w:tcPr>
            <w:tcW w:w="4253" w:type="dxa"/>
            <w:tcBorders>
              <w:top w:val="single" w:sz="4" w:space="0" w:color="522398"/>
              <w:left w:val="nil"/>
              <w:bottom w:val="single" w:sz="4" w:space="0" w:color="522398"/>
              <w:right w:val="nil"/>
            </w:tcBorders>
            <w:shd w:val="clear" w:color="auto" w:fill="auto"/>
            <w:vAlign w:val="center"/>
          </w:tcPr>
          <w:p w:rsidR="00C724E0" w:rsidRPr="00BC7DB3" w:rsidRDefault="00C724E0" w:rsidP="00C724E0">
            <w:pPr>
              <w:pStyle w:val="g2"/>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C724E0" w:rsidRPr="00754D58" w:rsidRDefault="00C724E0" w:rsidP="00C724E0">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3158B8">
              <w:t>7675,74</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753264" w:rsidRDefault="00C724E0" w:rsidP="00C724E0">
            <w:pPr>
              <w:pStyle w:val="TableText"/>
            </w:pPr>
            <w:r w:rsidRPr="00932E37">
              <w:t>7749,16</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nil"/>
            </w:tcBorders>
            <w:shd w:val="clear" w:color="auto" w:fill="auto"/>
          </w:tcPr>
          <w:p w:rsidR="00C724E0" w:rsidRPr="00753264" w:rsidRDefault="00C724E0" w:rsidP="00C724E0">
            <w:pPr>
              <w:pStyle w:val="TableText"/>
            </w:pPr>
          </w:p>
        </w:tc>
      </w:tr>
      <w:tr w:rsidR="00C724E0" w:rsidRPr="00E87892" w:rsidTr="007C6CE2">
        <w:trPr>
          <w:trHeight w:val="20"/>
        </w:trPr>
        <w:tc>
          <w:tcPr>
            <w:tcW w:w="4253" w:type="dxa"/>
            <w:tcBorders>
              <w:top w:val="single" w:sz="4" w:space="0" w:color="522398"/>
              <w:left w:val="nil"/>
              <w:bottom w:val="single" w:sz="4" w:space="0" w:color="522398"/>
              <w:right w:val="nil"/>
            </w:tcBorders>
            <w:shd w:val="clear" w:color="auto" w:fill="auto"/>
            <w:vAlign w:val="center"/>
          </w:tcPr>
          <w:p w:rsidR="00C724E0" w:rsidRPr="00BC7DB3" w:rsidRDefault="00C724E0" w:rsidP="00C724E0">
            <w:pPr>
              <w:pStyle w:val="g3"/>
            </w:pPr>
            <w:r w:rsidRPr="00BC7DB3">
              <w:t xml:space="preserve">poprzedni miesiąc=100 </w:t>
            </w:r>
            <w:r w:rsidRPr="00BC7DB3">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C724E0" w:rsidRPr="00754D58" w:rsidRDefault="00C724E0" w:rsidP="00C724E0">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101,4</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753264" w:rsidRDefault="00C724E0" w:rsidP="00C724E0">
            <w:pPr>
              <w:pStyle w:val="TableText"/>
            </w:pPr>
            <w:r w:rsidRPr="00753264">
              <w:t>100,3</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108,0</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99,5</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96,0</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99,7</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100,9</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99,9</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100,0</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101,5</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101,5</w:t>
            </w:r>
          </w:p>
        </w:tc>
        <w:tc>
          <w:tcPr>
            <w:tcW w:w="892" w:type="dxa"/>
            <w:tcBorders>
              <w:top w:val="single" w:sz="4" w:space="0" w:color="522398"/>
              <w:left w:val="single" w:sz="4" w:space="0" w:color="522398"/>
              <w:bottom w:val="single" w:sz="4" w:space="0" w:color="522398"/>
              <w:right w:val="nil"/>
            </w:tcBorders>
            <w:shd w:val="clear" w:color="auto" w:fill="auto"/>
          </w:tcPr>
          <w:p w:rsidR="00C724E0" w:rsidRPr="00753264" w:rsidRDefault="00C724E0" w:rsidP="00C724E0">
            <w:pPr>
              <w:pStyle w:val="TableText"/>
            </w:pPr>
            <w:r w:rsidRPr="00753264">
              <w:t>102,7</w:t>
            </w:r>
          </w:p>
        </w:tc>
      </w:tr>
      <w:tr w:rsidR="00C724E0" w:rsidRPr="00E87892" w:rsidTr="007C6CE2">
        <w:trPr>
          <w:trHeight w:val="20"/>
        </w:trPr>
        <w:tc>
          <w:tcPr>
            <w:tcW w:w="4253" w:type="dxa"/>
            <w:tcBorders>
              <w:top w:val="single" w:sz="4" w:space="0" w:color="522398"/>
              <w:left w:val="nil"/>
              <w:bottom w:val="single" w:sz="4" w:space="0" w:color="522398"/>
              <w:right w:val="nil"/>
            </w:tcBorders>
            <w:shd w:val="clear" w:color="auto" w:fill="auto"/>
            <w:vAlign w:val="center"/>
          </w:tcPr>
          <w:p w:rsidR="00C724E0" w:rsidRPr="00BC7DB3" w:rsidRDefault="00C724E0" w:rsidP="00C724E0">
            <w:pPr>
              <w:pStyle w:val="g2"/>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C724E0" w:rsidRPr="00754D58" w:rsidRDefault="00C724E0" w:rsidP="00C724E0">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3158B8">
              <w:t>98,6</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753264" w:rsidRDefault="00C724E0" w:rsidP="00C724E0">
            <w:pPr>
              <w:pStyle w:val="TableText"/>
            </w:pPr>
            <w:r w:rsidRPr="00932E37">
              <w:t>101,0</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nil"/>
            </w:tcBorders>
            <w:shd w:val="clear" w:color="auto" w:fill="auto"/>
          </w:tcPr>
          <w:p w:rsidR="00C724E0" w:rsidRPr="00753264" w:rsidRDefault="00C724E0" w:rsidP="00C724E0">
            <w:pPr>
              <w:pStyle w:val="TableText"/>
            </w:pPr>
          </w:p>
        </w:tc>
      </w:tr>
      <w:tr w:rsidR="00C724E0" w:rsidRPr="00E87892" w:rsidTr="007C6CE2">
        <w:trPr>
          <w:trHeight w:val="20"/>
        </w:trPr>
        <w:tc>
          <w:tcPr>
            <w:tcW w:w="4253" w:type="dxa"/>
            <w:tcBorders>
              <w:top w:val="single" w:sz="4" w:space="0" w:color="522398"/>
              <w:left w:val="nil"/>
              <w:bottom w:val="single" w:sz="4" w:space="0" w:color="522398"/>
              <w:right w:val="nil"/>
            </w:tcBorders>
            <w:shd w:val="clear" w:color="auto" w:fill="auto"/>
            <w:vAlign w:val="center"/>
          </w:tcPr>
          <w:p w:rsidR="00C724E0" w:rsidRPr="00BC7DB3" w:rsidRDefault="00C724E0" w:rsidP="00C724E0">
            <w:pPr>
              <w:pStyle w:val="g3"/>
            </w:pPr>
            <w:r w:rsidRPr="00BC7DB3">
              <w:t xml:space="preserve">analogiczny miesiąc poprzedniego roku=100 </w:t>
            </w:r>
            <w:r w:rsidRPr="00BC7DB3">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C724E0" w:rsidRPr="00754D58" w:rsidRDefault="00C724E0" w:rsidP="00C724E0">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112,9</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753264" w:rsidRDefault="00C724E0" w:rsidP="00C724E0">
            <w:pPr>
              <w:pStyle w:val="TableText"/>
            </w:pPr>
            <w:r w:rsidRPr="00753264">
              <w:t>111,8</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112,7</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111,1</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108,8</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111,1</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110,9</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109,9</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110,8</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111,4</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753264">
              <w:t>110,1</w:t>
            </w:r>
          </w:p>
        </w:tc>
        <w:tc>
          <w:tcPr>
            <w:tcW w:w="892" w:type="dxa"/>
            <w:tcBorders>
              <w:top w:val="single" w:sz="4" w:space="0" w:color="522398"/>
              <w:left w:val="single" w:sz="4" w:space="0" w:color="522398"/>
              <w:bottom w:val="single" w:sz="4" w:space="0" w:color="522398"/>
              <w:right w:val="nil"/>
            </w:tcBorders>
            <w:shd w:val="clear" w:color="auto" w:fill="auto"/>
          </w:tcPr>
          <w:p w:rsidR="00C724E0" w:rsidRPr="00753264" w:rsidRDefault="00C724E0" w:rsidP="00C724E0">
            <w:pPr>
              <w:pStyle w:val="TableText"/>
            </w:pPr>
            <w:r w:rsidRPr="00753264">
              <w:t>111,5</w:t>
            </w:r>
          </w:p>
        </w:tc>
      </w:tr>
      <w:tr w:rsidR="00C724E0" w:rsidRPr="00E87892" w:rsidTr="007C6CE2">
        <w:trPr>
          <w:trHeight w:val="20"/>
        </w:trPr>
        <w:tc>
          <w:tcPr>
            <w:tcW w:w="4253" w:type="dxa"/>
            <w:tcBorders>
              <w:top w:val="single" w:sz="4" w:space="0" w:color="522398"/>
              <w:left w:val="nil"/>
              <w:bottom w:val="single" w:sz="4" w:space="0" w:color="522398"/>
              <w:right w:val="nil"/>
            </w:tcBorders>
            <w:shd w:val="clear" w:color="auto" w:fill="auto"/>
            <w:vAlign w:val="center"/>
          </w:tcPr>
          <w:p w:rsidR="00C724E0" w:rsidRPr="00BD4423" w:rsidRDefault="00C724E0" w:rsidP="00C724E0">
            <w:pPr>
              <w:pStyle w:val="g2"/>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C724E0" w:rsidRPr="00754D58" w:rsidRDefault="00C724E0" w:rsidP="00C724E0">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r w:rsidRPr="003158B8">
              <w:t>108,4</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753264" w:rsidRDefault="00C724E0" w:rsidP="00C724E0">
            <w:pPr>
              <w:pStyle w:val="TableText"/>
            </w:pPr>
            <w:r w:rsidRPr="00932E37">
              <w:t>109,2</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753264" w:rsidRDefault="00C724E0" w:rsidP="00C724E0">
            <w:pPr>
              <w:pStyle w:val="TableText"/>
            </w:pPr>
          </w:p>
        </w:tc>
        <w:tc>
          <w:tcPr>
            <w:tcW w:w="892" w:type="dxa"/>
            <w:tcBorders>
              <w:top w:val="single" w:sz="4" w:space="0" w:color="522398"/>
              <w:left w:val="single" w:sz="4" w:space="0" w:color="522398"/>
              <w:bottom w:val="single" w:sz="4" w:space="0" w:color="522398"/>
              <w:right w:val="nil"/>
            </w:tcBorders>
            <w:shd w:val="clear" w:color="auto" w:fill="auto"/>
          </w:tcPr>
          <w:p w:rsidR="00C724E0" w:rsidRPr="00753264" w:rsidRDefault="00C724E0" w:rsidP="00C724E0">
            <w:pPr>
              <w:pStyle w:val="TableText"/>
            </w:pPr>
          </w:p>
        </w:tc>
      </w:tr>
      <w:tr w:rsidR="000D1B47" w:rsidRPr="00E87892" w:rsidTr="007C6CE2">
        <w:trPr>
          <w:trHeight w:val="20"/>
        </w:trPr>
        <w:tc>
          <w:tcPr>
            <w:tcW w:w="4253" w:type="dxa"/>
            <w:tcBorders>
              <w:top w:val="single" w:sz="4" w:space="0" w:color="522398"/>
              <w:left w:val="nil"/>
              <w:bottom w:val="single" w:sz="4" w:space="0" w:color="522398"/>
              <w:right w:val="nil"/>
            </w:tcBorders>
            <w:shd w:val="clear" w:color="auto" w:fill="auto"/>
            <w:vAlign w:val="center"/>
          </w:tcPr>
          <w:p w:rsidR="000D1B47" w:rsidRPr="00BD4423" w:rsidRDefault="000D1B47" w:rsidP="000D1B47">
            <w:pPr>
              <w:pStyle w:val="boczek"/>
              <w:rPr>
                <w:rStyle w:val="StylboczekCzarnyZnak"/>
              </w:rPr>
            </w:pPr>
            <w:r w:rsidRPr="00BD4423">
              <w:rPr>
                <w:rStyle w:val="StylboczekCzarnyZnak"/>
              </w:rPr>
              <w:t>Wskaźnik cen:</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0D1B47" w:rsidRPr="00754D58" w:rsidRDefault="000D1B47" w:rsidP="000D1B47">
            <w:pPr>
              <w:pStyle w:val="a"/>
              <w:jc w:val="left"/>
              <w:rPr>
                <w:rFonts w:ascii="Fira Sans" w:hAnsi="Fira Sans"/>
              </w:rPr>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0D1B47" w:rsidRPr="00753264" w:rsidRDefault="000D1B47" w:rsidP="000D1B4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p>
        </w:tc>
        <w:tc>
          <w:tcPr>
            <w:tcW w:w="892" w:type="dxa"/>
            <w:tcBorders>
              <w:top w:val="single" w:sz="4" w:space="0" w:color="522398"/>
              <w:left w:val="single" w:sz="4" w:space="0" w:color="522398"/>
              <w:bottom w:val="single" w:sz="4" w:space="0" w:color="522398"/>
              <w:right w:val="nil"/>
            </w:tcBorders>
            <w:shd w:val="clear" w:color="auto" w:fill="auto"/>
          </w:tcPr>
          <w:p w:rsidR="000D1B47" w:rsidRPr="00753264" w:rsidRDefault="000D1B47" w:rsidP="000D1B47">
            <w:pPr>
              <w:pStyle w:val="TableText"/>
            </w:pPr>
          </w:p>
        </w:tc>
      </w:tr>
      <w:tr w:rsidR="000D1B47" w:rsidRPr="00E87892" w:rsidTr="007C6CE2">
        <w:trPr>
          <w:trHeight w:val="20"/>
        </w:trPr>
        <w:tc>
          <w:tcPr>
            <w:tcW w:w="4253" w:type="dxa"/>
            <w:tcBorders>
              <w:top w:val="single" w:sz="4" w:space="0" w:color="522398"/>
              <w:left w:val="nil"/>
              <w:bottom w:val="single" w:sz="4" w:space="0" w:color="522398"/>
              <w:right w:val="nil"/>
            </w:tcBorders>
            <w:shd w:val="clear" w:color="auto" w:fill="auto"/>
            <w:vAlign w:val="center"/>
          </w:tcPr>
          <w:p w:rsidR="000D1B47" w:rsidRPr="00BD4423" w:rsidRDefault="000D1B47" w:rsidP="000D1B47">
            <w:pPr>
              <w:pStyle w:val="g6"/>
            </w:pPr>
            <w:r w:rsidRPr="00BD4423">
              <w:t>towarów i usług konsumpcyjnych</w:t>
            </w:r>
            <w:r w:rsidRPr="008B61D7">
              <w:rPr>
                <w:vertAlign w:val="superscript"/>
              </w:rPr>
              <w:t xml:space="preserve"> c</w:t>
            </w:r>
            <w:r w:rsidRPr="00BD4423">
              <w:t>:</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0D1B47" w:rsidRPr="00754D58" w:rsidRDefault="000D1B47" w:rsidP="000D1B47">
            <w:pPr>
              <w:pStyle w:val="a"/>
              <w:jc w:val="left"/>
              <w:rPr>
                <w:rFonts w:ascii="Fira Sans" w:hAnsi="Fira Sans"/>
              </w:rPr>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0D1B47" w:rsidRPr="00753264" w:rsidRDefault="000D1B47" w:rsidP="000D1B4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p>
        </w:tc>
        <w:tc>
          <w:tcPr>
            <w:tcW w:w="892" w:type="dxa"/>
            <w:tcBorders>
              <w:top w:val="single" w:sz="4" w:space="0" w:color="522398"/>
              <w:left w:val="single" w:sz="4" w:space="0" w:color="522398"/>
              <w:bottom w:val="single" w:sz="4" w:space="0" w:color="522398"/>
              <w:right w:val="nil"/>
            </w:tcBorders>
            <w:shd w:val="clear" w:color="auto" w:fill="auto"/>
          </w:tcPr>
          <w:p w:rsidR="000D1B47" w:rsidRPr="00753264" w:rsidRDefault="000D1B47" w:rsidP="000D1B47">
            <w:pPr>
              <w:pStyle w:val="TableText"/>
            </w:pPr>
          </w:p>
        </w:tc>
      </w:tr>
      <w:tr w:rsidR="000D1B47" w:rsidRPr="00E87892" w:rsidTr="007C6CE2">
        <w:trPr>
          <w:trHeight w:val="20"/>
        </w:trPr>
        <w:tc>
          <w:tcPr>
            <w:tcW w:w="4253" w:type="dxa"/>
            <w:tcBorders>
              <w:top w:val="single" w:sz="4" w:space="0" w:color="522398"/>
              <w:left w:val="nil"/>
              <w:bottom w:val="single" w:sz="4" w:space="0" w:color="522398"/>
              <w:right w:val="nil"/>
            </w:tcBorders>
            <w:shd w:val="clear" w:color="auto" w:fill="auto"/>
            <w:vAlign w:val="center"/>
          </w:tcPr>
          <w:p w:rsidR="000D1B47" w:rsidRPr="00BD4423" w:rsidRDefault="000D1B47" w:rsidP="000D1B47">
            <w:pPr>
              <w:pStyle w:val="g3"/>
            </w:pPr>
            <w:r w:rsidRPr="00BD4423">
              <w:t xml:space="preserve">analogiczny okres </w:t>
            </w:r>
            <w:r>
              <w:t>poprzedniego</w:t>
            </w:r>
            <w:r w:rsidRPr="00BD4423">
              <w:t xml:space="preserve"> roku=100</w:t>
            </w:r>
            <w:r w:rsidRPr="00BD4423">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0D1B47" w:rsidRPr="00754D58" w:rsidRDefault="000D1B47" w:rsidP="000D1B47">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r w:rsidRPr="00753264">
              <w:t>.</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0D1B47" w:rsidRPr="00753264" w:rsidRDefault="000D1B47" w:rsidP="000D1B47">
            <w:pPr>
              <w:pStyle w:val="TableText"/>
            </w:pPr>
            <w:r w:rsidRPr="00753264">
              <w:t>.</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r w:rsidRPr="00753264">
              <w:t>102,9</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r w:rsidRPr="00753264">
              <w:t>.</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r w:rsidRPr="00753264">
              <w:t>.</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r w:rsidRPr="00753264">
              <w:t>102,9</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r w:rsidRPr="00753264">
              <w:t>.</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r w:rsidRPr="00753264">
              <w:t>.</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r w:rsidRPr="00753264">
              <w:t>105,0</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r w:rsidRPr="00753264">
              <w:t>.</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r w:rsidRPr="00753264">
              <w:t>.</w:t>
            </w:r>
          </w:p>
        </w:tc>
        <w:tc>
          <w:tcPr>
            <w:tcW w:w="892" w:type="dxa"/>
            <w:tcBorders>
              <w:top w:val="single" w:sz="4" w:space="0" w:color="522398"/>
              <w:left w:val="single" w:sz="4" w:space="0" w:color="522398"/>
              <w:bottom w:val="single" w:sz="4" w:space="0" w:color="522398"/>
              <w:right w:val="nil"/>
            </w:tcBorders>
            <w:shd w:val="clear" w:color="auto" w:fill="auto"/>
          </w:tcPr>
          <w:p w:rsidR="000D1B47" w:rsidRPr="00753264" w:rsidRDefault="00675BE3" w:rsidP="000D1B47">
            <w:pPr>
              <w:pStyle w:val="TableText"/>
            </w:pPr>
            <w:r>
              <w:t>105,3</w:t>
            </w:r>
          </w:p>
        </w:tc>
      </w:tr>
      <w:tr w:rsidR="000D1B47" w:rsidRPr="00E87892" w:rsidTr="007C6CE2">
        <w:trPr>
          <w:trHeight w:val="20"/>
        </w:trPr>
        <w:tc>
          <w:tcPr>
            <w:tcW w:w="4253" w:type="dxa"/>
            <w:tcBorders>
              <w:top w:val="single" w:sz="4" w:space="0" w:color="522398"/>
              <w:left w:val="nil"/>
              <w:bottom w:val="single" w:sz="4" w:space="0" w:color="522398"/>
              <w:right w:val="nil"/>
            </w:tcBorders>
            <w:shd w:val="clear" w:color="auto" w:fill="auto"/>
            <w:vAlign w:val="center"/>
          </w:tcPr>
          <w:p w:rsidR="000D1B47" w:rsidRPr="00510FC4" w:rsidRDefault="000D1B47" w:rsidP="000D1B47">
            <w:pPr>
              <w:pStyle w:val="g3"/>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0D1B47" w:rsidRPr="00754D58" w:rsidRDefault="000D1B47" w:rsidP="000D1B47">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3158B8" w:rsidP="000D1B4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0D1B47" w:rsidRPr="00753264" w:rsidRDefault="00675BE3" w:rsidP="000D1B4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p>
        </w:tc>
        <w:tc>
          <w:tcPr>
            <w:tcW w:w="892" w:type="dxa"/>
            <w:tcBorders>
              <w:top w:val="single" w:sz="4" w:space="0" w:color="522398"/>
              <w:left w:val="single" w:sz="4" w:space="0" w:color="522398"/>
              <w:bottom w:val="single" w:sz="4" w:space="0" w:color="522398"/>
              <w:right w:val="nil"/>
            </w:tcBorders>
            <w:shd w:val="clear" w:color="auto" w:fill="auto"/>
          </w:tcPr>
          <w:p w:rsidR="000D1B47" w:rsidRPr="00753264" w:rsidRDefault="000D1B47" w:rsidP="000D1B47">
            <w:pPr>
              <w:pStyle w:val="TableText"/>
            </w:pPr>
          </w:p>
        </w:tc>
      </w:tr>
      <w:tr w:rsidR="000D1B47" w:rsidRPr="00E87892" w:rsidTr="007C6CE2">
        <w:trPr>
          <w:trHeight w:val="20"/>
        </w:trPr>
        <w:tc>
          <w:tcPr>
            <w:tcW w:w="4253" w:type="dxa"/>
            <w:tcBorders>
              <w:top w:val="single" w:sz="4" w:space="0" w:color="522398"/>
              <w:left w:val="nil"/>
              <w:bottom w:val="single" w:sz="4" w:space="0" w:color="522398"/>
              <w:right w:val="nil"/>
            </w:tcBorders>
            <w:shd w:val="clear" w:color="auto" w:fill="auto"/>
            <w:vAlign w:val="center"/>
          </w:tcPr>
          <w:p w:rsidR="000D1B47" w:rsidRPr="00510FC4" w:rsidRDefault="000D1B47" w:rsidP="000D1B47">
            <w:pPr>
              <w:pStyle w:val="g6"/>
            </w:pPr>
            <w:r w:rsidRPr="00510FC4">
              <w:t>skupu ziarna zbóż:</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0D1B47" w:rsidRPr="00754D58" w:rsidRDefault="000D1B47" w:rsidP="000D1B47">
            <w:pPr>
              <w:pStyle w:val="a"/>
              <w:jc w:val="left"/>
              <w:rPr>
                <w:rFonts w:ascii="Fira Sans" w:hAnsi="Fira Sans"/>
              </w:rPr>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0D1B47" w:rsidRPr="00753264" w:rsidRDefault="000D1B47" w:rsidP="000D1B4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0D1B47" w:rsidRPr="00753264" w:rsidRDefault="000D1B47" w:rsidP="000D1B47">
            <w:pPr>
              <w:pStyle w:val="TableText"/>
            </w:pPr>
          </w:p>
        </w:tc>
        <w:tc>
          <w:tcPr>
            <w:tcW w:w="892" w:type="dxa"/>
            <w:tcBorders>
              <w:top w:val="single" w:sz="4" w:space="0" w:color="522398"/>
              <w:left w:val="single" w:sz="4" w:space="0" w:color="522398"/>
              <w:bottom w:val="single" w:sz="4" w:space="0" w:color="522398"/>
              <w:right w:val="nil"/>
            </w:tcBorders>
            <w:shd w:val="clear" w:color="auto" w:fill="auto"/>
          </w:tcPr>
          <w:p w:rsidR="000D1B47" w:rsidRPr="00753264" w:rsidRDefault="000D1B47" w:rsidP="000D1B47">
            <w:pPr>
              <w:pStyle w:val="TableText"/>
            </w:pPr>
          </w:p>
        </w:tc>
      </w:tr>
      <w:tr w:rsidR="00BC75A2" w:rsidRPr="00E87892" w:rsidTr="007C6CE2">
        <w:trPr>
          <w:trHeight w:val="20"/>
        </w:trPr>
        <w:tc>
          <w:tcPr>
            <w:tcW w:w="4253" w:type="dxa"/>
            <w:tcBorders>
              <w:top w:val="single" w:sz="4" w:space="0" w:color="522398"/>
              <w:left w:val="nil"/>
              <w:bottom w:val="single" w:sz="4" w:space="0" w:color="522398"/>
              <w:right w:val="nil"/>
            </w:tcBorders>
            <w:shd w:val="clear" w:color="auto" w:fill="auto"/>
            <w:vAlign w:val="center"/>
          </w:tcPr>
          <w:p w:rsidR="00BC75A2" w:rsidRPr="00510FC4" w:rsidRDefault="00BC75A2" w:rsidP="00BC75A2">
            <w:pPr>
              <w:pStyle w:val="g3"/>
            </w:pPr>
            <w:r>
              <w:t>p</w:t>
            </w:r>
            <w:r w:rsidRPr="00510FC4">
              <w:t>oprzedni miesiąc=100</w:t>
            </w:r>
            <w:r w:rsidRPr="00510FC4">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BC75A2" w:rsidRPr="00754D58" w:rsidRDefault="00BC75A2" w:rsidP="00BC75A2">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BC75A2" w:rsidRPr="0053316A" w:rsidRDefault="00BC75A2" w:rsidP="00BC75A2">
            <w:pPr>
              <w:pStyle w:val="TableText"/>
            </w:pPr>
            <w:r w:rsidRPr="0053316A">
              <w:t>99,5</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BC75A2" w:rsidRPr="00753264" w:rsidRDefault="00BC75A2" w:rsidP="00BC75A2">
            <w:pPr>
              <w:pStyle w:val="TableText"/>
            </w:pPr>
            <w:r w:rsidRPr="00753264">
              <w:t>96,3</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89,6</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100,6</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103,4</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113,7</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88,6</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101,2</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107,9</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102,8</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101,4</w:t>
            </w:r>
          </w:p>
        </w:tc>
        <w:tc>
          <w:tcPr>
            <w:tcW w:w="892" w:type="dxa"/>
            <w:tcBorders>
              <w:top w:val="single" w:sz="4" w:space="0" w:color="522398"/>
              <w:left w:val="single" w:sz="4" w:space="0" w:color="522398"/>
              <w:bottom w:val="single" w:sz="4" w:space="0" w:color="522398"/>
              <w:right w:val="nil"/>
            </w:tcBorders>
            <w:shd w:val="clear" w:color="auto" w:fill="auto"/>
          </w:tcPr>
          <w:p w:rsidR="00BC75A2" w:rsidRPr="00753264" w:rsidRDefault="00BC75A2" w:rsidP="00BC75A2">
            <w:pPr>
              <w:pStyle w:val="TableText"/>
            </w:pPr>
            <w:r w:rsidRPr="00753264">
              <w:t>102,8</w:t>
            </w:r>
          </w:p>
        </w:tc>
      </w:tr>
      <w:tr w:rsidR="00BC75A2" w:rsidRPr="00E87892" w:rsidTr="007C6CE2">
        <w:trPr>
          <w:trHeight w:val="20"/>
        </w:trPr>
        <w:tc>
          <w:tcPr>
            <w:tcW w:w="4253" w:type="dxa"/>
            <w:tcBorders>
              <w:top w:val="single" w:sz="4" w:space="0" w:color="522398"/>
              <w:left w:val="nil"/>
              <w:bottom w:val="single" w:sz="4" w:space="0" w:color="522398"/>
              <w:right w:val="nil"/>
            </w:tcBorders>
            <w:shd w:val="clear" w:color="auto" w:fill="auto"/>
            <w:vAlign w:val="center"/>
          </w:tcPr>
          <w:p w:rsidR="00BC75A2" w:rsidRPr="00510FC4" w:rsidRDefault="00BC75A2" w:rsidP="00BC75A2">
            <w:pPr>
              <w:pStyle w:val="g3"/>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BC75A2" w:rsidRPr="00754D58" w:rsidRDefault="00BC75A2" w:rsidP="00BC75A2">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BC75A2" w:rsidRPr="0053316A" w:rsidRDefault="00BC75A2" w:rsidP="00BC75A2">
            <w:pPr>
              <w:pStyle w:val="TableText"/>
            </w:pPr>
            <w:r w:rsidRPr="0053316A">
              <w:t>100,5</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BC75A2" w:rsidRPr="00753264" w:rsidRDefault="008F5CE0" w:rsidP="00BC75A2">
            <w:pPr>
              <w:pStyle w:val="TableText"/>
            </w:pPr>
            <w:r w:rsidRPr="008F5CE0">
              <w:t>100,4</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nil"/>
            </w:tcBorders>
            <w:shd w:val="clear" w:color="auto" w:fill="auto"/>
          </w:tcPr>
          <w:p w:rsidR="00BC75A2" w:rsidRPr="00753264" w:rsidRDefault="00BC75A2" w:rsidP="00BC75A2">
            <w:pPr>
              <w:pStyle w:val="TableText"/>
            </w:pPr>
          </w:p>
        </w:tc>
      </w:tr>
      <w:tr w:rsidR="00BC75A2" w:rsidRPr="00E87892" w:rsidTr="007C6CE2">
        <w:trPr>
          <w:trHeight w:val="20"/>
        </w:trPr>
        <w:tc>
          <w:tcPr>
            <w:tcW w:w="4253" w:type="dxa"/>
            <w:tcBorders>
              <w:top w:val="single" w:sz="4" w:space="0" w:color="522398"/>
              <w:left w:val="nil"/>
              <w:bottom w:val="single" w:sz="4" w:space="0" w:color="522398"/>
              <w:right w:val="nil"/>
            </w:tcBorders>
            <w:shd w:val="clear" w:color="auto" w:fill="auto"/>
            <w:vAlign w:val="center"/>
          </w:tcPr>
          <w:p w:rsidR="00BC75A2" w:rsidRPr="00510FC4" w:rsidRDefault="00BC75A2" w:rsidP="00BC75A2">
            <w:pPr>
              <w:pStyle w:val="g3"/>
            </w:pPr>
            <w:r w:rsidRPr="00510FC4">
              <w:t>analogiczny miesiąc poprzedniego roku=100</w:t>
            </w:r>
            <w:r w:rsidRPr="00510FC4">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BC75A2" w:rsidRPr="00754D58" w:rsidRDefault="00BC75A2" w:rsidP="00BC75A2">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BC75A2" w:rsidRPr="0053316A" w:rsidRDefault="00BC75A2" w:rsidP="00BC75A2">
            <w:pPr>
              <w:pStyle w:val="TableText"/>
            </w:pPr>
            <w:r w:rsidRPr="0053316A">
              <w:t>62,9</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BC75A2" w:rsidRPr="00753264" w:rsidRDefault="00BC75A2" w:rsidP="00BC75A2">
            <w:pPr>
              <w:pStyle w:val="TableText"/>
            </w:pPr>
            <w:r w:rsidRPr="00753264">
              <w:t>63,9</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62,5</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66,0</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80,6</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94,8</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90,3</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88,1</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95,6</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98,3</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100,9</w:t>
            </w:r>
          </w:p>
        </w:tc>
        <w:tc>
          <w:tcPr>
            <w:tcW w:w="892" w:type="dxa"/>
            <w:tcBorders>
              <w:top w:val="single" w:sz="4" w:space="0" w:color="522398"/>
              <w:left w:val="single" w:sz="4" w:space="0" w:color="522398"/>
              <w:bottom w:val="single" w:sz="4" w:space="0" w:color="522398"/>
              <w:right w:val="nil"/>
            </w:tcBorders>
            <w:shd w:val="clear" w:color="auto" w:fill="auto"/>
          </w:tcPr>
          <w:p w:rsidR="00BC75A2" w:rsidRPr="00753264" w:rsidRDefault="00BC75A2" w:rsidP="00BC75A2">
            <w:pPr>
              <w:pStyle w:val="TableText"/>
            </w:pPr>
            <w:r w:rsidRPr="00753264">
              <w:t>105,3</w:t>
            </w:r>
          </w:p>
        </w:tc>
      </w:tr>
      <w:tr w:rsidR="00BC75A2" w:rsidRPr="00E87892" w:rsidTr="007C6CE2">
        <w:trPr>
          <w:trHeight w:val="20"/>
        </w:trPr>
        <w:tc>
          <w:tcPr>
            <w:tcW w:w="4253" w:type="dxa"/>
            <w:tcBorders>
              <w:top w:val="single" w:sz="4" w:space="0" w:color="522398"/>
              <w:left w:val="nil"/>
              <w:bottom w:val="single" w:sz="4" w:space="0" w:color="522398"/>
              <w:right w:val="nil"/>
            </w:tcBorders>
            <w:shd w:val="clear" w:color="auto" w:fill="auto"/>
            <w:vAlign w:val="center"/>
          </w:tcPr>
          <w:p w:rsidR="00BC75A2" w:rsidRPr="00510FC4" w:rsidRDefault="00BC75A2" w:rsidP="00BC75A2">
            <w:pPr>
              <w:pStyle w:val="g3"/>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BC75A2" w:rsidRPr="00754D58" w:rsidRDefault="00BC75A2" w:rsidP="00BC75A2">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BC75A2" w:rsidRPr="0053316A" w:rsidRDefault="00BC75A2" w:rsidP="00BC75A2">
            <w:pPr>
              <w:pStyle w:val="TableText"/>
            </w:pPr>
            <w:r w:rsidRPr="0053316A">
              <w:t>106,3</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BC75A2" w:rsidRPr="00753264" w:rsidRDefault="008F5CE0" w:rsidP="00BC75A2">
            <w:pPr>
              <w:pStyle w:val="TableText"/>
            </w:pPr>
            <w:r w:rsidRPr="008F5CE0">
              <w:t>110,9</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nil"/>
            </w:tcBorders>
            <w:shd w:val="clear" w:color="auto" w:fill="auto"/>
          </w:tcPr>
          <w:p w:rsidR="00BC75A2" w:rsidRPr="00753264" w:rsidRDefault="00BC75A2" w:rsidP="00BC75A2">
            <w:pPr>
              <w:pStyle w:val="TableText"/>
            </w:pPr>
          </w:p>
        </w:tc>
      </w:tr>
      <w:tr w:rsidR="00BC75A2" w:rsidRPr="00E87892" w:rsidTr="007C6CE2">
        <w:trPr>
          <w:trHeight w:val="20"/>
        </w:trPr>
        <w:tc>
          <w:tcPr>
            <w:tcW w:w="4253" w:type="dxa"/>
            <w:tcBorders>
              <w:top w:val="single" w:sz="4" w:space="0" w:color="522398"/>
              <w:left w:val="nil"/>
              <w:bottom w:val="single" w:sz="4" w:space="0" w:color="522398"/>
              <w:right w:val="nil"/>
            </w:tcBorders>
            <w:shd w:val="clear" w:color="auto" w:fill="auto"/>
            <w:vAlign w:val="center"/>
          </w:tcPr>
          <w:p w:rsidR="00BC75A2" w:rsidRPr="00510FC4" w:rsidRDefault="00BC75A2" w:rsidP="00BC75A2">
            <w:pPr>
              <w:pStyle w:val="g6"/>
            </w:pPr>
            <w:r w:rsidRPr="00510FC4">
              <w:t>skupu żywca rzeźnego wołowego</w:t>
            </w:r>
            <w:r>
              <w:t xml:space="preserve"> (bez cieląt)</w:t>
            </w:r>
            <w:r w:rsidRPr="00510FC4">
              <w:t>:</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BC75A2" w:rsidRPr="00754D58" w:rsidRDefault="00BC75A2" w:rsidP="00BC75A2">
            <w:pPr>
              <w:pStyle w:val="a"/>
              <w:jc w:val="left"/>
              <w:rPr>
                <w:rFonts w:ascii="Fira Sans" w:hAnsi="Fira Sans"/>
              </w:rPr>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BC75A2" w:rsidRPr="0053316A"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nil"/>
            </w:tcBorders>
            <w:shd w:val="clear" w:color="auto" w:fill="auto"/>
          </w:tcPr>
          <w:p w:rsidR="00BC75A2" w:rsidRPr="00753264" w:rsidRDefault="00BC75A2" w:rsidP="00BC75A2">
            <w:pPr>
              <w:pStyle w:val="TableText"/>
            </w:pPr>
          </w:p>
        </w:tc>
      </w:tr>
      <w:tr w:rsidR="00BC75A2" w:rsidRPr="00E87892" w:rsidTr="007C6CE2">
        <w:trPr>
          <w:trHeight w:val="20"/>
        </w:trPr>
        <w:tc>
          <w:tcPr>
            <w:tcW w:w="4253" w:type="dxa"/>
            <w:tcBorders>
              <w:top w:val="single" w:sz="4" w:space="0" w:color="522398"/>
              <w:left w:val="nil"/>
              <w:bottom w:val="single" w:sz="4" w:space="0" w:color="522398"/>
              <w:right w:val="nil"/>
            </w:tcBorders>
            <w:shd w:val="clear" w:color="auto" w:fill="auto"/>
            <w:vAlign w:val="center"/>
          </w:tcPr>
          <w:p w:rsidR="00BC75A2" w:rsidRPr="00510FC4" w:rsidRDefault="00BC75A2" w:rsidP="00BC75A2">
            <w:pPr>
              <w:pStyle w:val="g3"/>
            </w:pPr>
            <w:r w:rsidRPr="00510FC4">
              <w:t>poprzedni miesiąc=100</w:t>
            </w:r>
            <w:r w:rsidRPr="00510FC4">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BC75A2" w:rsidRPr="00754D58" w:rsidRDefault="00BC75A2" w:rsidP="00BC75A2">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BC75A2" w:rsidRPr="0053316A" w:rsidRDefault="00BC75A2" w:rsidP="00BC75A2">
            <w:pPr>
              <w:pStyle w:val="TableText"/>
            </w:pPr>
            <w:r w:rsidRPr="0053316A">
              <w:t>100,1</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BC75A2" w:rsidRPr="00753264" w:rsidRDefault="00BC75A2" w:rsidP="00BC75A2">
            <w:pPr>
              <w:pStyle w:val="TableText"/>
            </w:pPr>
            <w:r w:rsidRPr="00753264">
              <w:t>100,2</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100,1</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101,3</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103,6</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100,6</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99,3</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98,7</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100,6</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102,5</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103,5</w:t>
            </w:r>
          </w:p>
        </w:tc>
        <w:tc>
          <w:tcPr>
            <w:tcW w:w="892" w:type="dxa"/>
            <w:tcBorders>
              <w:top w:val="single" w:sz="4" w:space="0" w:color="522398"/>
              <w:left w:val="single" w:sz="4" w:space="0" w:color="522398"/>
              <w:bottom w:val="single" w:sz="4" w:space="0" w:color="522398"/>
              <w:right w:val="nil"/>
            </w:tcBorders>
            <w:shd w:val="clear" w:color="auto" w:fill="auto"/>
          </w:tcPr>
          <w:p w:rsidR="00BC75A2" w:rsidRPr="00753264" w:rsidRDefault="00BC75A2" w:rsidP="00BC75A2">
            <w:pPr>
              <w:pStyle w:val="TableText"/>
            </w:pPr>
            <w:r w:rsidRPr="00753264">
              <w:t>101,3</w:t>
            </w:r>
          </w:p>
        </w:tc>
      </w:tr>
      <w:tr w:rsidR="00BC75A2" w:rsidRPr="00E87892" w:rsidTr="007C6CE2">
        <w:trPr>
          <w:trHeight w:val="20"/>
        </w:trPr>
        <w:tc>
          <w:tcPr>
            <w:tcW w:w="4253" w:type="dxa"/>
            <w:tcBorders>
              <w:top w:val="single" w:sz="4" w:space="0" w:color="522398"/>
              <w:left w:val="nil"/>
              <w:bottom w:val="single" w:sz="4" w:space="0" w:color="522398"/>
              <w:right w:val="nil"/>
            </w:tcBorders>
            <w:shd w:val="clear" w:color="auto" w:fill="auto"/>
            <w:vAlign w:val="center"/>
          </w:tcPr>
          <w:p w:rsidR="00BC75A2" w:rsidRPr="00510FC4" w:rsidRDefault="00BC75A2" w:rsidP="00BC75A2">
            <w:pPr>
              <w:pStyle w:val="g3"/>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BC75A2" w:rsidRPr="00754D58" w:rsidRDefault="00BC75A2" w:rsidP="00BC75A2">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BC75A2" w:rsidRPr="0053316A" w:rsidRDefault="00BC75A2" w:rsidP="00BC75A2">
            <w:pPr>
              <w:pStyle w:val="TableText"/>
            </w:pPr>
            <w:r w:rsidRPr="0053316A">
              <w:t>99,3</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BC75A2" w:rsidRPr="00753264" w:rsidRDefault="008F5CE0" w:rsidP="00BC75A2">
            <w:pPr>
              <w:pStyle w:val="TableText"/>
            </w:pPr>
            <w:r w:rsidRPr="008F5CE0">
              <w:t>106,7</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nil"/>
            </w:tcBorders>
            <w:shd w:val="clear" w:color="auto" w:fill="auto"/>
          </w:tcPr>
          <w:p w:rsidR="00BC75A2" w:rsidRPr="00753264" w:rsidRDefault="00BC75A2" w:rsidP="00BC75A2">
            <w:pPr>
              <w:pStyle w:val="TableText"/>
            </w:pPr>
          </w:p>
        </w:tc>
      </w:tr>
      <w:tr w:rsidR="00BC75A2" w:rsidRPr="00E87892" w:rsidTr="007C6CE2">
        <w:trPr>
          <w:trHeight w:val="20"/>
        </w:trPr>
        <w:tc>
          <w:tcPr>
            <w:tcW w:w="4253" w:type="dxa"/>
            <w:tcBorders>
              <w:top w:val="single" w:sz="4" w:space="0" w:color="522398"/>
              <w:left w:val="nil"/>
              <w:bottom w:val="single" w:sz="4" w:space="0" w:color="522398"/>
              <w:right w:val="nil"/>
            </w:tcBorders>
            <w:shd w:val="clear" w:color="auto" w:fill="auto"/>
            <w:vAlign w:val="center"/>
          </w:tcPr>
          <w:p w:rsidR="00BC75A2" w:rsidRPr="00510FC4" w:rsidRDefault="00BC75A2" w:rsidP="00BC75A2">
            <w:pPr>
              <w:pStyle w:val="g3"/>
            </w:pPr>
            <w:r w:rsidRPr="00510FC4">
              <w:t>analogiczny miesiąc poprzedniego roku=100</w:t>
            </w:r>
            <w:r w:rsidRPr="00510FC4">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BC75A2" w:rsidRPr="00754D58" w:rsidRDefault="00BC75A2" w:rsidP="00BC75A2">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BC75A2" w:rsidRPr="0053316A" w:rsidRDefault="00BC75A2" w:rsidP="00BC75A2">
            <w:pPr>
              <w:pStyle w:val="TableText"/>
            </w:pPr>
            <w:r w:rsidRPr="0053316A">
              <w:t>93,2</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BC75A2" w:rsidRPr="00753264" w:rsidRDefault="00BC75A2" w:rsidP="00BC75A2">
            <w:pPr>
              <w:pStyle w:val="TableText"/>
            </w:pPr>
            <w:r w:rsidRPr="00753264">
              <w:t>91,7</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93,9</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91,9</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95,9</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100,8</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105,2</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101,5</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104,3</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104,2</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110,9</w:t>
            </w:r>
          </w:p>
        </w:tc>
        <w:tc>
          <w:tcPr>
            <w:tcW w:w="892" w:type="dxa"/>
            <w:tcBorders>
              <w:top w:val="single" w:sz="4" w:space="0" w:color="522398"/>
              <w:left w:val="single" w:sz="4" w:space="0" w:color="522398"/>
              <w:bottom w:val="single" w:sz="4" w:space="0" w:color="522398"/>
              <w:right w:val="nil"/>
            </w:tcBorders>
            <w:shd w:val="clear" w:color="auto" w:fill="auto"/>
          </w:tcPr>
          <w:p w:rsidR="00BC75A2" w:rsidRPr="00753264" w:rsidRDefault="00BC75A2" w:rsidP="00BC75A2">
            <w:pPr>
              <w:pStyle w:val="TableText"/>
            </w:pPr>
            <w:r w:rsidRPr="00753264">
              <w:t>112,3</w:t>
            </w:r>
          </w:p>
        </w:tc>
      </w:tr>
      <w:tr w:rsidR="00BC75A2" w:rsidRPr="00E87892" w:rsidTr="007C6CE2">
        <w:trPr>
          <w:trHeight w:val="20"/>
        </w:trPr>
        <w:tc>
          <w:tcPr>
            <w:tcW w:w="4253" w:type="dxa"/>
            <w:tcBorders>
              <w:top w:val="single" w:sz="4" w:space="0" w:color="522398"/>
              <w:left w:val="nil"/>
              <w:bottom w:val="single" w:sz="4" w:space="0" w:color="522398"/>
              <w:right w:val="nil"/>
            </w:tcBorders>
            <w:shd w:val="clear" w:color="auto" w:fill="auto"/>
            <w:vAlign w:val="center"/>
          </w:tcPr>
          <w:p w:rsidR="00BC75A2" w:rsidRPr="00510FC4" w:rsidRDefault="00BC75A2" w:rsidP="00BC75A2">
            <w:pPr>
              <w:pStyle w:val="g3"/>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BC75A2" w:rsidRPr="00754D58" w:rsidRDefault="00BC75A2" w:rsidP="00BC75A2">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BC75A2" w:rsidRPr="0053316A" w:rsidRDefault="00BC75A2" w:rsidP="00BC75A2">
            <w:pPr>
              <w:pStyle w:val="TableText"/>
            </w:pPr>
            <w:r w:rsidRPr="0053316A">
              <w:t>111,4</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BC75A2" w:rsidRPr="00753264" w:rsidRDefault="008F5CE0" w:rsidP="00BC75A2">
            <w:pPr>
              <w:pStyle w:val="TableText"/>
            </w:pPr>
            <w:r w:rsidRPr="008F5CE0">
              <w:t>118,7</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nil"/>
            </w:tcBorders>
            <w:shd w:val="clear" w:color="auto" w:fill="auto"/>
          </w:tcPr>
          <w:p w:rsidR="00BC75A2" w:rsidRPr="00753264" w:rsidRDefault="00BC75A2" w:rsidP="00BC75A2">
            <w:pPr>
              <w:pStyle w:val="TableText"/>
            </w:pPr>
          </w:p>
        </w:tc>
      </w:tr>
      <w:tr w:rsidR="00BC75A2" w:rsidRPr="00E87892" w:rsidTr="007C6CE2">
        <w:trPr>
          <w:trHeight w:val="20"/>
        </w:trPr>
        <w:tc>
          <w:tcPr>
            <w:tcW w:w="4253" w:type="dxa"/>
            <w:tcBorders>
              <w:top w:val="single" w:sz="4" w:space="0" w:color="522398"/>
              <w:left w:val="nil"/>
              <w:bottom w:val="single" w:sz="4" w:space="0" w:color="522398"/>
              <w:right w:val="nil"/>
            </w:tcBorders>
            <w:shd w:val="clear" w:color="auto" w:fill="auto"/>
            <w:vAlign w:val="center"/>
          </w:tcPr>
          <w:p w:rsidR="00BC75A2" w:rsidRPr="00510FC4" w:rsidRDefault="00BC75A2" w:rsidP="00BC75A2">
            <w:pPr>
              <w:pStyle w:val="g6"/>
            </w:pPr>
            <w:r w:rsidRPr="00510FC4">
              <w:t>skupu żywca rzeźnego wieprzowego:</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BC75A2" w:rsidRPr="00754D58" w:rsidRDefault="00BC75A2" w:rsidP="00BC75A2">
            <w:pPr>
              <w:pStyle w:val="a"/>
              <w:jc w:val="left"/>
              <w:rPr>
                <w:rFonts w:ascii="Fira Sans" w:hAnsi="Fira Sans"/>
              </w:rPr>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BC75A2" w:rsidRPr="0053316A"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nil"/>
            </w:tcBorders>
            <w:shd w:val="clear" w:color="auto" w:fill="auto"/>
          </w:tcPr>
          <w:p w:rsidR="00BC75A2" w:rsidRPr="00753264" w:rsidRDefault="00BC75A2" w:rsidP="00BC75A2">
            <w:pPr>
              <w:pStyle w:val="TableText"/>
            </w:pPr>
          </w:p>
        </w:tc>
      </w:tr>
      <w:tr w:rsidR="00BC75A2" w:rsidRPr="00E87892" w:rsidTr="007C6CE2">
        <w:trPr>
          <w:trHeight w:val="20"/>
        </w:trPr>
        <w:tc>
          <w:tcPr>
            <w:tcW w:w="4253" w:type="dxa"/>
            <w:tcBorders>
              <w:top w:val="single" w:sz="4" w:space="0" w:color="522398"/>
              <w:left w:val="nil"/>
              <w:bottom w:val="single" w:sz="4" w:space="0" w:color="522398"/>
              <w:right w:val="nil"/>
            </w:tcBorders>
            <w:shd w:val="clear" w:color="auto" w:fill="auto"/>
            <w:vAlign w:val="center"/>
          </w:tcPr>
          <w:p w:rsidR="00BC75A2" w:rsidRPr="00BC7DB3" w:rsidRDefault="00BC75A2" w:rsidP="00BC75A2">
            <w:pPr>
              <w:pStyle w:val="g3"/>
            </w:pPr>
            <w:r w:rsidRPr="00BC7DB3">
              <w:t>poprzedni miesiąc=100</w:t>
            </w:r>
            <w:r w:rsidRPr="00BC7DB3">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BC75A2" w:rsidRPr="00754D58" w:rsidRDefault="00BC75A2" w:rsidP="00BC75A2">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BC75A2" w:rsidRPr="0053316A" w:rsidRDefault="00BC75A2" w:rsidP="00BC75A2">
            <w:pPr>
              <w:pStyle w:val="TableText"/>
            </w:pPr>
            <w:r w:rsidRPr="0053316A">
              <w:t>94,7</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BC75A2" w:rsidRPr="00753264" w:rsidRDefault="00BC75A2" w:rsidP="00BC75A2">
            <w:pPr>
              <w:pStyle w:val="TableText"/>
            </w:pPr>
            <w:r w:rsidRPr="00753264">
              <w:t>104,4</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99,9</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104,4</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100,3</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100,5</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95,4</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94,4</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102,5</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94,7</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92,3</w:t>
            </w:r>
          </w:p>
        </w:tc>
        <w:tc>
          <w:tcPr>
            <w:tcW w:w="892" w:type="dxa"/>
            <w:tcBorders>
              <w:top w:val="single" w:sz="4" w:space="0" w:color="522398"/>
              <w:left w:val="single" w:sz="4" w:space="0" w:color="522398"/>
              <w:bottom w:val="single" w:sz="4" w:space="0" w:color="522398"/>
              <w:right w:val="nil"/>
            </w:tcBorders>
            <w:shd w:val="clear" w:color="auto" w:fill="auto"/>
          </w:tcPr>
          <w:p w:rsidR="00BC75A2" w:rsidRPr="00753264" w:rsidRDefault="00BC75A2" w:rsidP="00BC75A2">
            <w:pPr>
              <w:pStyle w:val="TableText"/>
            </w:pPr>
            <w:r w:rsidRPr="00753264">
              <w:t>99,0</w:t>
            </w:r>
          </w:p>
        </w:tc>
      </w:tr>
      <w:tr w:rsidR="00BC75A2" w:rsidRPr="00E87892" w:rsidTr="007C6CE2">
        <w:trPr>
          <w:trHeight w:val="20"/>
        </w:trPr>
        <w:tc>
          <w:tcPr>
            <w:tcW w:w="4253" w:type="dxa"/>
            <w:tcBorders>
              <w:top w:val="single" w:sz="4" w:space="0" w:color="522398"/>
              <w:left w:val="nil"/>
              <w:bottom w:val="single" w:sz="4" w:space="0" w:color="522398"/>
              <w:right w:val="nil"/>
            </w:tcBorders>
            <w:shd w:val="clear" w:color="auto" w:fill="auto"/>
            <w:vAlign w:val="center"/>
          </w:tcPr>
          <w:p w:rsidR="00BC75A2" w:rsidRPr="00BC7DB3" w:rsidRDefault="00BC75A2" w:rsidP="00BC75A2">
            <w:pPr>
              <w:pStyle w:val="g3"/>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BC75A2" w:rsidRPr="00754D58" w:rsidRDefault="00BC75A2" w:rsidP="00BC75A2">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BC75A2" w:rsidRPr="0053316A" w:rsidRDefault="00BC75A2" w:rsidP="00BC75A2">
            <w:pPr>
              <w:pStyle w:val="TableText"/>
            </w:pPr>
            <w:r w:rsidRPr="0053316A">
              <w:t>91,0</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BC75A2" w:rsidRPr="00753264" w:rsidRDefault="008F5CE0" w:rsidP="00BC75A2">
            <w:pPr>
              <w:pStyle w:val="TableText"/>
            </w:pPr>
            <w:r w:rsidRPr="008F5CE0">
              <w:t>104,9</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single" w:sz="4" w:space="0" w:color="522398"/>
              <w:right w:val="nil"/>
            </w:tcBorders>
            <w:shd w:val="clear" w:color="auto" w:fill="auto"/>
          </w:tcPr>
          <w:p w:rsidR="00BC75A2" w:rsidRPr="00753264" w:rsidRDefault="00BC75A2" w:rsidP="00BC75A2">
            <w:pPr>
              <w:pStyle w:val="TableText"/>
            </w:pPr>
          </w:p>
        </w:tc>
      </w:tr>
      <w:tr w:rsidR="00BC75A2" w:rsidRPr="00E87892" w:rsidTr="007C6CE2">
        <w:trPr>
          <w:trHeight w:val="20"/>
        </w:trPr>
        <w:tc>
          <w:tcPr>
            <w:tcW w:w="4253" w:type="dxa"/>
            <w:tcBorders>
              <w:top w:val="single" w:sz="4" w:space="0" w:color="522398"/>
              <w:left w:val="nil"/>
              <w:bottom w:val="single" w:sz="4" w:space="0" w:color="522398"/>
              <w:right w:val="nil"/>
            </w:tcBorders>
            <w:shd w:val="clear" w:color="auto" w:fill="auto"/>
            <w:vAlign w:val="center"/>
          </w:tcPr>
          <w:p w:rsidR="00BC75A2" w:rsidRPr="00BC7DB3" w:rsidRDefault="00BC75A2" w:rsidP="00BC75A2">
            <w:pPr>
              <w:pStyle w:val="g3"/>
            </w:pPr>
            <w:r w:rsidRPr="00BC7DB3">
              <w:t>analogiczny miesiąc poprzedniego roku=100</w:t>
            </w:r>
            <w:r w:rsidRPr="00BC7DB3">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BC75A2" w:rsidRPr="00754D58" w:rsidRDefault="00BC75A2" w:rsidP="00BC75A2">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BC75A2" w:rsidRPr="0053316A" w:rsidRDefault="00BC75A2" w:rsidP="00BC75A2">
            <w:pPr>
              <w:pStyle w:val="TableText"/>
            </w:pPr>
            <w:r w:rsidRPr="0053316A">
              <w:t>92,1</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BC75A2" w:rsidRPr="00753264" w:rsidRDefault="00BC75A2" w:rsidP="00BC75A2">
            <w:pPr>
              <w:pStyle w:val="TableText"/>
            </w:pPr>
            <w:r w:rsidRPr="00753264">
              <w:t>87,2</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85,1</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82,9</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86,0</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81,4</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78,9</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83,6</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85,4</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85,0</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C75A2" w:rsidRPr="00753264" w:rsidRDefault="00BC75A2" w:rsidP="00BC75A2">
            <w:pPr>
              <w:pStyle w:val="TableText"/>
            </w:pPr>
            <w:r w:rsidRPr="00753264">
              <w:t>79,8</w:t>
            </w:r>
          </w:p>
        </w:tc>
        <w:tc>
          <w:tcPr>
            <w:tcW w:w="892" w:type="dxa"/>
            <w:tcBorders>
              <w:top w:val="single" w:sz="4" w:space="0" w:color="522398"/>
              <w:left w:val="single" w:sz="4" w:space="0" w:color="522398"/>
              <w:bottom w:val="single" w:sz="4" w:space="0" w:color="522398"/>
              <w:right w:val="nil"/>
            </w:tcBorders>
            <w:shd w:val="clear" w:color="auto" w:fill="auto"/>
          </w:tcPr>
          <w:p w:rsidR="00BC75A2" w:rsidRPr="00753264" w:rsidRDefault="00BC75A2" w:rsidP="00BC75A2">
            <w:pPr>
              <w:pStyle w:val="TableText"/>
            </w:pPr>
            <w:r w:rsidRPr="00753264">
              <w:t>83,0</w:t>
            </w:r>
          </w:p>
        </w:tc>
      </w:tr>
      <w:tr w:rsidR="00BC75A2" w:rsidRPr="00E87892" w:rsidTr="007C6CE2">
        <w:trPr>
          <w:trHeight w:val="57"/>
        </w:trPr>
        <w:tc>
          <w:tcPr>
            <w:tcW w:w="4253" w:type="dxa"/>
            <w:tcBorders>
              <w:top w:val="single" w:sz="4" w:space="0" w:color="522398"/>
              <w:left w:val="nil"/>
              <w:bottom w:val="nil"/>
              <w:right w:val="nil"/>
            </w:tcBorders>
            <w:shd w:val="clear" w:color="auto" w:fill="auto"/>
            <w:vAlign w:val="center"/>
          </w:tcPr>
          <w:p w:rsidR="00BC75A2" w:rsidRPr="00754D58" w:rsidRDefault="00BC75A2" w:rsidP="00BC75A2">
            <w:pPr>
              <w:pStyle w:val="g3"/>
            </w:pPr>
          </w:p>
        </w:tc>
        <w:tc>
          <w:tcPr>
            <w:tcW w:w="142" w:type="dxa"/>
            <w:tcBorders>
              <w:top w:val="single" w:sz="4" w:space="0" w:color="522398"/>
              <w:left w:val="nil"/>
              <w:bottom w:val="nil"/>
              <w:right w:val="single" w:sz="4" w:space="0" w:color="522398"/>
            </w:tcBorders>
            <w:shd w:val="clear" w:color="auto" w:fill="auto"/>
            <w:vAlign w:val="center"/>
          </w:tcPr>
          <w:p w:rsidR="00BC75A2" w:rsidRPr="00754D58" w:rsidRDefault="00BC75A2" w:rsidP="00BC75A2">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nil"/>
              <w:right w:val="single" w:sz="4" w:space="0" w:color="522398"/>
            </w:tcBorders>
            <w:shd w:val="clear" w:color="auto" w:fill="auto"/>
          </w:tcPr>
          <w:p w:rsidR="00BC75A2" w:rsidRDefault="00BC75A2" w:rsidP="00BC75A2">
            <w:pPr>
              <w:pStyle w:val="TableText"/>
            </w:pPr>
            <w:r w:rsidRPr="0053316A">
              <w:t>79,8</w:t>
            </w:r>
          </w:p>
        </w:tc>
        <w:tc>
          <w:tcPr>
            <w:tcW w:w="892" w:type="dxa"/>
            <w:tcBorders>
              <w:top w:val="single" w:sz="4" w:space="0" w:color="522398"/>
              <w:left w:val="single" w:sz="4" w:space="0" w:color="522398"/>
              <w:bottom w:val="nil"/>
              <w:right w:val="single" w:sz="4" w:space="0" w:color="522398"/>
            </w:tcBorders>
            <w:shd w:val="clear" w:color="auto" w:fill="DCD3EA"/>
          </w:tcPr>
          <w:p w:rsidR="00BC75A2" w:rsidRPr="00753264" w:rsidRDefault="008F5CE0" w:rsidP="00BC75A2">
            <w:pPr>
              <w:pStyle w:val="TableText"/>
            </w:pPr>
            <w:r w:rsidRPr="008F5CE0">
              <w:t>80,2</w:t>
            </w:r>
          </w:p>
        </w:tc>
        <w:tc>
          <w:tcPr>
            <w:tcW w:w="892" w:type="dxa"/>
            <w:tcBorders>
              <w:top w:val="single" w:sz="4" w:space="0" w:color="522398"/>
              <w:left w:val="single" w:sz="4" w:space="0" w:color="522398"/>
              <w:bottom w:val="nil"/>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nil"/>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nil"/>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nil"/>
              <w:right w:val="single" w:sz="4" w:space="0" w:color="522398"/>
            </w:tcBorders>
            <w:shd w:val="clear" w:color="auto" w:fill="auto"/>
          </w:tcPr>
          <w:p w:rsidR="00BC75A2" w:rsidRPr="00753264" w:rsidRDefault="00BC75A2" w:rsidP="00BC75A2">
            <w:pPr>
              <w:pStyle w:val="TableText"/>
            </w:pPr>
          </w:p>
        </w:tc>
        <w:tc>
          <w:tcPr>
            <w:tcW w:w="891" w:type="dxa"/>
            <w:tcBorders>
              <w:top w:val="single" w:sz="4" w:space="0" w:color="522398"/>
              <w:left w:val="single" w:sz="4" w:space="0" w:color="522398"/>
              <w:bottom w:val="nil"/>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nil"/>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nil"/>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nil"/>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nil"/>
              <w:right w:val="single" w:sz="4" w:space="0" w:color="522398"/>
            </w:tcBorders>
            <w:shd w:val="clear" w:color="auto" w:fill="auto"/>
          </w:tcPr>
          <w:p w:rsidR="00BC75A2" w:rsidRPr="00753264" w:rsidRDefault="00BC75A2" w:rsidP="00BC75A2">
            <w:pPr>
              <w:pStyle w:val="TableText"/>
            </w:pPr>
          </w:p>
        </w:tc>
        <w:tc>
          <w:tcPr>
            <w:tcW w:w="892" w:type="dxa"/>
            <w:tcBorders>
              <w:top w:val="single" w:sz="4" w:space="0" w:color="522398"/>
              <w:left w:val="single" w:sz="4" w:space="0" w:color="522398"/>
              <w:bottom w:val="nil"/>
              <w:right w:val="nil"/>
            </w:tcBorders>
            <w:shd w:val="clear" w:color="auto" w:fill="auto"/>
          </w:tcPr>
          <w:p w:rsidR="00BC75A2" w:rsidRDefault="00BC75A2" w:rsidP="00BC75A2">
            <w:pPr>
              <w:pStyle w:val="TableText"/>
            </w:pPr>
          </w:p>
        </w:tc>
      </w:tr>
      <w:tr w:rsidR="00AC2227" w:rsidRPr="00E87892" w:rsidTr="002D0A49">
        <w:trPr>
          <w:trHeight w:val="527"/>
        </w:trPr>
        <w:tc>
          <w:tcPr>
            <w:tcW w:w="15097" w:type="dxa"/>
            <w:gridSpan w:val="14"/>
            <w:tcBorders>
              <w:top w:val="nil"/>
              <w:left w:val="nil"/>
              <w:bottom w:val="nil"/>
              <w:right w:val="nil"/>
            </w:tcBorders>
            <w:shd w:val="clear" w:color="auto" w:fill="auto"/>
            <w:vAlign w:val="center"/>
          </w:tcPr>
          <w:p w:rsidR="00A212B4" w:rsidRPr="00CF1050" w:rsidRDefault="00AC2227" w:rsidP="008C3144">
            <w:pPr>
              <w:pStyle w:val="notka"/>
            </w:pPr>
            <w:r w:rsidRPr="008B61D7">
              <w:t>a</w:t>
            </w:r>
            <w:r w:rsidRPr="00CF1050">
              <w:t xml:space="preserve"> W przedsiębiorstwach, w których liczba pracujących przekracza 9.</w:t>
            </w:r>
            <w:r w:rsidRPr="008B61D7">
              <w:t xml:space="preserve"> b </w:t>
            </w:r>
            <w:r w:rsidRPr="00CF1050">
              <w:t>Udział zarejestrowanych bezrobotnych w cywilnej ludności aktywnej zawodowo.</w:t>
            </w:r>
            <w:r w:rsidRPr="008B61D7">
              <w:t xml:space="preserve"> </w:t>
            </w:r>
            <w:r w:rsidR="00696F8E" w:rsidRPr="00696F8E">
              <w:t>Stopa bezrobocia uwzględnia pracujących w gospodarstwach indywidualnych wyszacowanych na postawie wyników PSR 2020 oraz pracujących poza rolnictwem uzyskanych ze sprawozdawczości przedsiębiorstw i jednostek sfery budżetowej. Dane te nie są w pełni porównywalne z okresami wcześniejszymi.</w:t>
            </w:r>
            <w:r w:rsidR="00696F8E">
              <w:t xml:space="preserve"> </w:t>
            </w:r>
            <w:r w:rsidRPr="008B61D7">
              <w:t xml:space="preserve">c </w:t>
            </w:r>
            <w:r w:rsidRPr="00CF1050">
              <w:t xml:space="preserve">W kwartale. </w:t>
            </w:r>
          </w:p>
        </w:tc>
      </w:tr>
      <w:tr w:rsidR="00AC2227" w:rsidRPr="00E87892" w:rsidTr="007C6CE2">
        <w:trPr>
          <w:trHeight w:hRule="exact" w:val="113"/>
        </w:trPr>
        <w:tc>
          <w:tcPr>
            <w:tcW w:w="4253" w:type="dxa"/>
            <w:tcBorders>
              <w:top w:val="nil"/>
              <w:left w:val="nil"/>
              <w:bottom w:val="nil"/>
              <w:right w:val="nil"/>
            </w:tcBorders>
            <w:vAlign w:val="center"/>
          </w:tcPr>
          <w:p w:rsidR="00AC2227" w:rsidRPr="00295342" w:rsidRDefault="00AC2227" w:rsidP="00F55C8A">
            <w:pPr>
              <w:pStyle w:val="boczek"/>
            </w:pPr>
          </w:p>
        </w:tc>
        <w:tc>
          <w:tcPr>
            <w:tcW w:w="142" w:type="dxa"/>
            <w:tcBorders>
              <w:top w:val="nil"/>
              <w:left w:val="nil"/>
              <w:bottom w:val="nil"/>
              <w:right w:val="single" w:sz="4" w:space="0" w:color="auto"/>
            </w:tcBorders>
            <w:vAlign w:val="center"/>
          </w:tcPr>
          <w:p w:rsidR="00AC2227" w:rsidRPr="00754D58" w:rsidRDefault="00AC2227" w:rsidP="00AC2227">
            <w:pPr>
              <w:pStyle w:val="a"/>
              <w:rPr>
                <w:rFonts w:ascii="Fira Sans" w:hAnsi="Fira Sans"/>
              </w:rPr>
            </w:pPr>
          </w:p>
        </w:tc>
        <w:tc>
          <w:tcPr>
            <w:tcW w:w="891" w:type="dxa"/>
            <w:tcBorders>
              <w:top w:val="nil"/>
              <w:left w:val="single" w:sz="4" w:space="0" w:color="auto"/>
              <w:bottom w:val="nil"/>
              <w:right w:val="single" w:sz="4" w:space="0" w:color="auto"/>
            </w:tcBorders>
            <w:shd w:val="clear" w:color="auto" w:fill="auto"/>
            <w:vAlign w:val="center"/>
          </w:tcPr>
          <w:p w:rsidR="00AC2227" w:rsidRDefault="00AC2227" w:rsidP="00375FC9">
            <w:pPr>
              <w:pStyle w:val="TableText"/>
            </w:pPr>
          </w:p>
        </w:tc>
        <w:tc>
          <w:tcPr>
            <w:tcW w:w="892" w:type="dxa"/>
            <w:tcBorders>
              <w:top w:val="nil"/>
              <w:left w:val="single" w:sz="4" w:space="0" w:color="auto"/>
              <w:bottom w:val="nil"/>
              <w:right w:val="single" w:sz="4" w:space="0" w:color="auto"/>
            </w:tcBorders>
            <w:shd w:val="clear" w:color="auto" w:fill="DCD3EA"/>
            <w:vAlign w:val="center"/>
          </w:tcPr>
          <w:p w:rsidR="00AC2227" w:rsidRDefault="00AC2227" w:rsidP="00375FC9">
            <w:pPr>
              <w:pStyle w:val="TableText"/>
            </w:pPr>
          </w:p>
        </w:tc>
        <w:tc>
          <w:tcPr>
            <w:tcW w:w="892" w:type="dxa"/>
            <w:tcBorders>
              <w:top w:val="nil"/>
              <w:left w:val="single" w:sz="4" w:space="0" w:color="auto"/>
              <w:bottom w:val="nil"/>
              <w:right w:val="single" w:sz="4" w:space="0" w:color="auto"/>
            </w:tcBorders>
            <w:shd w:val="clear" w:color="auto" w:fill="auto"/>
            <w:vAlign w:val="center"/>
          </w:tcPr>
          <w:p w:rsidR="00AC2227" w:rsidRDefault="00AC2227" w:rsidP="00375FC9">
            <w:pPr>
              <w:pStyle w:val="TableText"/>
            </w:pPr>
          </w:p>
        </w:tc>
        <w:tc>
          <w:tcPr>
            <w:tcW w:w="892" w:type="dxa"/>
            <w:tcBorders>
              <w:top w:val="nil"/>
              <w:left w:val="single" w:sz="4" w:space="0" w:color="auto"/>
              <w:bottom w:val="nil"/>
              <w:right w:val="single" w:sz="4" w:space="0" w:color="auto"/>
            </w:tcBorders>
            <w:shd w:val="clear" w:color="auto" w:fill="auto"/>
            <w:vAlign w:val="center"/>
          </w:tcPr>
          <w:p w:rsidR="00AC2227" w:rsidRDefault="00AC2227" w:rsidP="00375FC9">
            <w:pPr>
              <w:pStyle w:val="TableText"/>
            </w:pPr>
          </w:p>
        </w:tc>
        <w:tc>
          <w:tcPr>
            <w:tcW w:w="892" w:type="dxa"/>
            <w:tcBorders>
              <w:top w:val="nil"/>
              <w:left w:val="single" w:sz="4" w:space="0" w:color="auto"/>
              <w:bottom w:val="nil"/>
              <w:right w:val="single" w:sz="4" w:space="0" w:color="auto"/>
            </w:tcBorders>
            <w:shd w:val="clear" w:color="auto" w:fill="auto"/>
            <w:vAlign w:val="center"/>
          </w:tcPr>
          <w:p w:rsidR="00AC2227" w:rsidRDefault="00AC2227" w:rsidP="00375FC9">
            <w:pPr>
              <w:pStyle w:val="TableText"/>
            </w:pPr>
          </w:p>
        </w:tc>
        <w:tc>
          <w:tcPr>
            <w:tcW w:w="892" w:type="dxa"/>
            <w:tcBorders>
              <w:top w:val="nil"/>
              <w:left w:val="single" w:sz="4" w:space="0" w:color="auto"/>
              <w:bottom w:val="nil"/>
              <w:right w:val="single" w:sz="4" w:space="0" w:color="auto"/>
            </w:tcBorders>
            <w:shd w:val="clear" w:color="auto" w:fill="auto"/>
            <w:vAlign w:val="center"/>
          </w:tcPr>
          <w:p w:rsidR="00AC2227" w:rsidRDefault="00AC2227" w:rsidP="00375FC9">
            <w:pPr>
              <w:pStyle w:val="TableText"/>
            </w:pPr>
          </w:p>
        </w:tc>
        <w:tc>
          <w:tcPr>
            <w:tcW w:w="891" w:type="dxa"/>
            <w:tcBorders>
              <w:top w:val="nil"/>
              <w:left w:val="single" w:sz="4" w:space="0" w:color="auto"/>
              <w:bottom w:val="nil"/>
              <w:right w:val="single" w:sz="4" w:space="0" w:color="auto"/>
            </w:tcBorders>
            <w:shd w:val="clear" w:color="auto" w:fill="auto"/>
            <w:vAlign w:val="center"/>
          </w:tcPr>
          <w:p w:rsidR="00AC2227" w:rsidRDefault="00AC2227" w:rsidP="00375FC9">
            <w:pPr>
              <w:pStyle w:val="TableText"/>
            </w:pPr>
          </w:p>
        </w:tc>
        <w:tc>
          <w:tcPr>
            <w:tcW w:w="892" w:type="dxa"/>
            <w:tcBorders>
              <w:top w:val="nil"/>
              <w:left w:val="single" w:sz="4" w:space="0" w:color="auto"/>
              <w:bottom w:val="nil"/>
              <w:right w:val="single" w:sz="4" w:space="0" w:color="auto"/>
            </w:tcBorders>
            <w:shd w:val="clear" w:color="auto" w:fill="auto"/>
            <w:vAlign w:val="center"/>
          </w:tcPr>
          <w:p w:rsidR="00AC2227" w:rsidRDefault="00AC2227" w:rsidP="00375FC9">
            <w:pPr>
              <w:pStyle w:val="TableText"/>
            </w:pPr>
          </w:p>
        </w:tc>
        <w:tc>
          <w:tcPr>
            <w:tcW w:w="892" w:type="dxa"/>
            <w:tcBorders>
              <w:top w:val="nil"/>
              <w:left w:val="single" w:sz="4" w:space="0" w:color="auto"/>
              <w:bottom w:val="nil"/>
              <w:right w:val="single" w:sz="4" w:space="0" w:color="auto"/>
            </w:tcBorders>
            <w:shd w:val="clear" w:color="auto" w:fill="auto"/>
            <w:vAlign w:val="center"/>
          </w:tcPr>
          <w:p w:rsidR="00AC2227" w:rsidRDefault="00AC2227" w:rsidP="00375FC9">
            <w:pPr>
              <w:pStyle w:val="TableText"/>
            </w:pPr>
          </w:p>
        </w:tc>
        <w:tc>
          <w:tcPr>
            <w:tcW w:w="892" w:type="dxa"/>
            <w:tcBorders>
              <w:top w:val="nil"/>
              <w:left w:val="single" w:sz="4" w:space="0" w:color="auto"/>
              <w:bottom w:val="nil"/>
              <w:right w:val="single" w:sz="4" w:space="0" w:color="auto"/>
            </w:tcBorders>
            <w:shd w:val="clear" w:color="auto" w:fill="auto"/>
            <w:vAlign w:val="center"/>
          </w:tcPr>
          <w:p w:rsidR="00AC2227" w:rsidRDefault="00AC2227" w:rsidP="00375FC9">
            <w:pPr>
              <w:pStyle w:val="TableText"/>
            </w:pPr>
          </w:p>
        </w:tc>
        <w:tc>
          <w:tcPr>
            <w:tcW w:w="892" w:type="dxa"/>
            <w:tcBorders>
              <w:top w:val="nil"/>
              <w:left w:val="single" w:sz="4" w:space="0" w:color="auto"/>
              <w:bottom w:val="nil"/>
              <w:right w:val="single" w:sz="4" w:space="0" w:color="auto"/>
            </w:tcBorders>
            <w:shd w:val="clear" w:color="auto" w:fill="auto"/>
            <w:vAlign w:val="center"/>
          </w:tcPr>
          <w:p w:rsidR="00AC2227" w:rsidRDefault="00AC2227" w:rsidP="00375FC9">
            <w:pPr>
              <w:pStyle w:val="TableText"/>
            </w:pPr>
          </w:p>
        </w:tc>
        <w:tc>
          <w:tcPr>
            <w:tcW w:w="892" w:type="dxa"/>
            <w:tcBorders>
              <w:top w:val="nil"/>
              <w:left w:val="single" w:sz="4" w:space="0" w:color="auto"/>
              <w:bottom w:val="nil"/>
              <w:right w:val="nil"/>
            </w:tcBorders>
            <w:shd w:val="clear" w:color="auto" w:fill="auto"/>
            <w:vAlign w:val="center"/>
          </w:tcPr>
          <w:p w:rsidR="00AC2227" w:rsidRDefault="00AC2227" w:rsidP="00375FC9">
            <w:pPr>
              <w:pStyle w:val="TableText"/>
            </w:pPr>
          </w:p>
        </w:tc>
      </w:tr>
      <w:tr w:rsidR="00B66DB7" w:rsidRPr="00E87892" w:rsidTr="007C6CE2">
        <w:trPr>
          <w:trHeight w:val="198"/>
        </w:trPr>
        <w:tc>
          <w:tcPr>
            <w:tcW w:w="4253" w:type="dxa"/>
            <w:tcBorders>
              <w:top w:val="nil"/>
              <w:left w:val="nil"/>
              <w:bottom w:val="single" w:sz="4" w:space="0" w:color="522398"/>
              <w:right w:val="nil"/>
            </w:tcBorders>
            <w:vAlign w:val="center"/>
          </w:tcPr>
          <w:p w:rsidR="00B66DB7" w:rsidRPr="00295342" w:rsidRDefault="00B66DB7" w:rsidP="00B66DB7">
            <w:pPr>
              <w:pStyle w:val="g1"/>
            </w:pPr>
            <w:r w:rsidRPr="00295342">
              <w:t xml:space="preserve">Relacje </w:t>
            </w:r>
            <w:r w:rsidRPr="00295342">
              <w:rPr>
                <w:rStyle w:val="StylboczekCzarnyZnak"/>
                <w:color w:val="auto"/>
              </w:rPr>
              <w:t>cen</w:t>
            </w:r>
            <w:r w:rsidRPr="00295342">
              <w:t xml:space="preserve"> skupu</w:t>
            </w:r>
            <w:r w:rsidRPr="00295342">
              <w:rPr>
                <w:vertAlign w:val="superscript"/>
              </w:rPr>
              <w:t xml:space="preserve"> a</w:t>
            </w:r>
            <w:r w:rsidRPr="00295342">
              <w:t xml:space="preserve"> żywca wieprzowego</w:t>
            </w:r>
          </w:p>
        </w:tc>
        <w:tc>
          <w:tcPr>
            <w:tcW w:w="142" w:type="dxa"/>
            <w:tcBorders>
              <w:top w:val="nil"/>
              <w:left w:val="nil"/>
              <w:bottom w:val="single" w:sz="4" w:space="0" w:color="522398"/>
              <w:right w:val="single" w:sz="4" w:space="0" w:color="522398"/>
            </w:tcBorders>
            <w:vAlign w:val="center"/>
          </w:tcPr>
          <w:p w:rsidR="00B66DB7" w:rsidRPr="00754D58" w:rsidRDefault="00B66DB7" w:rsidP="00B66DB7">
            <w:pPr>
              <w:pStyle w:val="a"/>
              <w:rPr>
                <w:rFonts w:ascii="Fira Sans" w:hAnsi="Fira Sans"/>
              </w:rPr>
            </w:pPr>
            <w:r w:rsidRPr="00754D58">
              <w:rPr>
                <w:rFonts w:ascii="Fira Sans" w:hAnsi="Fira Sans"/>
              </w:rPr>
              <w:t>A</w:t>
            </w:r>
          </w:p>
        </w:tc>
        <w:tc>
          <w:tcPr>
            <w:tcW w:w="891" w:type="dxa"/>
            <w:tcBorders>
              <w:top w:val="nil"/>
              <w:left w:val="single" w:sz="4" w:space="0" w:color="522398"/>
              <w:bottom w:val="single" w:sz="4" w:space="0" w:color="522398"/>
              <w:right w:val="single" w:sz="4" w:space="0" w:color="522398"/>
            </w:tcBorders>
            <w:shd w:val="clear" w:color="auto" w:fill="auto"/>
          </w:tcPr>
          <w:p w:rsidR="00B66DB7" w:rsidRPr="006D0726" w:rsidRDefault="00B66DB7" w:rsidP="00B66DB7">
            <w:pPr>
              <w:pStyle w:val="TableText"/>
            </w:pPr>
            <w:r w:rsidRPr="006D0726">
              <w:t>7,4</w:t>
            </w:r>
          </w:p>
        </w:tc>
        <w:tc>
          <w:tcPr>
            <w:tcW w:w="892" w:type="dxa"/>
            <w:tcBorders>
              <w:top w:val="nil"/>
              <w:left w:val="single" w:sz="4" w:space="0" w:color="522398"/>
              <w:bottom w:val="single" w:sz="4" w:space="0" w:color="522398"/>
              <w:right w:val="single" w:sz="4" w:space="0" w:color="522398"/>
            </w:tcBorders>
            <w:shd w:val="clear" w:color="auto" w:fill="DCD3EA"/>
          </w:tcPr>
          <w:p w:rsidR="00B66DB7" w:rsidRPr="006D0726" w:rsidRDefault="00B66DB7" w:rsidP="00B66DB7">
            <w:pPr>
              <w:pStyle w:val="TableText"/>
            </w:pPr>
            <w:r w:rsidRPr="006D0726">
              <w:t>8,2</w:t>
            </w:r>
          </w:p>
        </w:tc>
        <w:tc>
          <w:tcPr>
            <w:tcW w:w="892" w:type="dxa"/>
            <w:tcBorders>
              <w:top w:val="nil"/>
              <w:left w:val="single" w:sz="4" w:space="0" w:color="522398"/>
              <w:bottom w:val="single" w:sz="4" w:space="0" w:color="522398"/>
              <w:right w:val="single" w:sz="4" w:space="0" w:color="522398"/>
            </w:tcBorders>
            <w:shd w:val="clear" w:color="auto" w:fill="auto"/>
          </w:tcPr>
          <w:p w:rsidR="00B66DB7" w:rsidRPr="006D0726" w:rsidRDefault="00B66DB7" w:rsidP="00B66DB7">
            <w:pPr>
              <w:pStyle w:val="TableText"/>
            </w:pPr>
            <w:r w:rsidRPr="006D0726">
              <w:t>6,3</w:t>
            </w:r>
          </w:p>
        </w:tc>
        <w:tc>
          <w:tcPr>
            <w:tcW w:w="892" w:type="dxa"/>
            <w:tcBorders>
              <w:top w:val="nil"/>
              <w:left w:val="single" w:sz="4" w:space="0" w:color="522398"/>
              <w:bottom w:val="single" w:sz="4" w:space="0" w:color="522398"/>
              <w:right w:val="single" w:sz="4" w:space="0" w:color="522398"/>
            </w:tcBorders>
            <w:shd w:val="clear" w:color="auto" w:fill="auto"/>
          </w:tcPr>
          <w:p w:rsidR="00B66DB7" w:rsidRPr="006D0726" w:rsidRDefault="00B66DB7" w:rsidP="00B66DB7">
            <w:pPr>
              <w:pStyle w:val="TableText"/>
            </w:pPr>
            <w:r w:rsidRPr="006D0726">
              <w:t>7,0</w:t>
            </w:r>
          </w:p>
        </w:tc>
        <w:tc>
          <w:tcPr>
            <w:tcW w:w="892" w:type="dxa"/>
            <w:tcBorders>
              <w:top w:val="nil"/>
              <w:left w:val="single" w:sz="4" w:space="0" w:color="522398"/>
              <w:bottom w:val="single" w:sz="4" w:space="0" w:color="522398"/>
              <w:right w:val="single" w:sz="4" w:space="0" w:color="522398"/>
            </w:tcBorders>
            <w:shd w:val="clear" w:color="auto" w:fill="auto"/>
          </w:tcPr>
          <w:p w:rsidR="00B66DB7" w:rsidRPr="006D0726" w:rsidRDefault="00B66DB7" w:rsidP="00B66DB7">
            <w:pPr>
              <w:pStyle w:val="TableText"/>
            </w:pPr>
            <w:r w:rsidRPr="006D0726">
              <w:t>8,1</w:t>
            </w:r>
          </w:p>
        </w:tc>
        <w:tc>
          <w:tcPr>
            <w:tcW w:w="892" w:type="dxa"/>
            <w:tcBorders>
              <w:top w:val="nil"/>
              <w:left w:val="single" w:sz="4" w:space="0" w:color="522398"/>
              <w:bottom w:val="single" w:sz="4" w:space="0" w:color="522398"/>
              <w:right w:val="single" w:sz="4" w:space="0" w:color="522398"/>
            </w:tcBorders>
            <w:shd w:val="clear" w:color="auto" w:fill="auto"/>
          </w:tcPr>
          <w:p w:rsidR="00B66DB7" w:rsidRPr="006D0726" w:rsidRDefault="00B66DB7" w:rsidP="00B66DB7">
            <w:pPr>
              <w:pStyle w:val="TableText"/>
            </w:pPr>
            <w:r w:rsidRPr="006D0726">
              <w:t>7,9</w:t>
            </w:r>
          </w:p>
        </w:tc>
        <w:tc>
          <w:tcPr>
            <w:tcW w:w="891" w:type="dxa"/>
            <w:tcBorders>
              <w:top w:val="nil"/>
              <w:left w:val="single" w:sz="4" w:space="0" w:color="522398"/>
              <w:bottom w:val="single" w:sz="4" w:space="0" w:color="522398"/>
              <w:right w:val="single" w:sz="4" w:space="0" w:color="522398"/>
            </w:tcBorders>
            <w:shd w:val="clear" w:color="auto" w:fill="auto"/>
          </w:tcPr>
          <w:p w:rsidR="00B66DB7" w:rsidRPr="006D0726" w:rsidRDefault="00B66DB7" w:rsidP="00B66DB7">
            <w:pPr>
              <w:pStyle w:val="TableText"/>
            </w:pPr>
            <w:r w:rsidRPr="006D0726">
              <w:t>8,0</w:t>
            </w:r>
          </w:p>
        </w:tc>
        <w:tc>
          <w:tcPr>
            <w:tcW w:w="892" w:type="dxa"/>
            <w:tcBorders>
              <w:top w:val="nil"/>
              <w:left w:val="single" w:sz="4" w:space="0" w:color="522398"/>
              <w:bottom w:val="single" w:sz="4" w:space="0" w:color="522398"/>
              <w:right w:val="single" w:sz="4" w:space="0" w:color="522398"/>
            </w:tcBorders>
            <w:shd w:val="clear" w:color="auto" w:fill="auto"/>
          </w:tcPr>
          <w:p w:rsidR="00B66DB7" w:rsidRPr="006D0726" w:rsidRDefault="00B66DB7" w:rsidP="00B66DB7">
            <w:pPr>
              <w:pStyle w:val="TableText"/>
            </w:pPr>
            <w:r w:rsidRPr="006D0726">
              <w:t>8,0</w:t>
            </w:r>
          </w:p>
        </w:tc>
        <w:tc>
          <w:tcPr>
            <w:tcW w:w="892" w:type="dxa"/>
            <w:tcBorders>
              <w:top w:val="nil"/>
              <w:left w:val="single" w:sz="4" w:space="0" w:color="522398"/>
              <w:bottom w:val="single" w:sz="4" w:space="0" w:color="522398"/>
              <w:right w:val="single" w:sz="4" w:space="0" w:color="522398"/>
            </w:tcBorders>
            <w:shd w:val="clear" w:color="auto" w:fill="auto"/>
          </w:tcPr>
          <w:p w:rsidR="00B66DB7" w:rsidRPr="006D0726" w:rsidRDefault="00B66DB7" w:rsidP="00B66DB7">
            <w:pPr>
              <w:pStyle w:val="TableText"/>
            </w:pPr>
            <w:r w:rsidRPr="006D0726">
              <w:t>8,7</w:t>
            </w:r>
          </w:p>
        </w:tc>
        <w:tc>
          <w:tcPr>
            <w:tcW w:w="892" w:type="dxa"/>
            <w:tcBorders>
              <w:top w:val="nil"/>
              <w:left w:val="single" w:sz="4" w:space="0" w:color="522398"/>
              <w:bottom w:val="single" w:sz="4" w:space="0" w:color="522398"/>
              <w:right w:val="single" w:sz="4" w:space="0" w:color="522398"/>
            </w:tcBorders>
            <w:shd w:val="clear" w:color="auto" w:fill="auto"/>
          </w:tcPr>
          <w:p w:rsidR="00B66DB7" w:rsidRPr="006D0726" w:rsidRDefault="00B66DB7" w:rsidP="00B66DB7">
            <w:pPr>
              <w:pStyle w:val="TableText"/>
            </w:pPr>
            <w:r w:rsidRPr="006D0726">
              <w:t>7,7</w:t>
            </w:r>
          </w:p>
        </w:tc>
        <w:tc>
          <w:tcPr>
            <w:tcW w:w="892" w:type="dxa"/>
            <w:tcBorders>
              <w:top w:val="nil"/>
              <w:left w:val="single" w:sz="4" w:space="0" w:color="522398"/>
              <w:bottom w:val="single" w:sz="4" w:space="0" w:color="522398"/>
              <w:right w:val="single" w:sz="4" w:space="0" w:color="522398"/>
            </w:tcBorders>
            <w:shd w:val="clear" w:color="auto" w:fill="auto"/>
          </w:tcPr>
          <w:p w:rsidR="00B66DB7" w:rsidRPr="006D0726" w:rsidRDefault="00B66DB7" w:rsidP="00B66DB7">
            <w:pPr>
              <w:pStyle w:val="TableText"/>
            </w:pPr>
            <w:r w:rsidRPr="006D0726">
              <w:t>7,3</w:t>
            </w:r>
          </w:p>
        </w:tc>
        <w:tc>
          <w:tcPr>
            <w:tcW w:w="892" w:type="dxa"/>
            <w:tcBorders>
              <w:top w:val="nil"/>
              <w:left w:val="single" w:sz="4" w:space="0" w:color="522398"/>
              <w:bottom w:val="single" w:sz="4" w:space="0" w:color="522398"/>
              <w:right w:val="nil"/>
            </w:tcBorders>
            <w:shd w:val="clear" w:color="auto" w:fill="auto"/>
          </w:tcPr>
          <w:p w:rsidR="00B66DB7" w:rsidRPr="006D0726" w:rsidRDefault="00B66DB7" w:rsidP="00B66DB7">
            <w:pPr>
              <w:pStyle w:val="TableText"/>
            </w:pPr>
            <w:r w:rsidRPr="006D0726">
              <w:t>7,1</w:t>
            </w:r>
          </w:p>
        </w:tc>
      </w:tr>
      <w:tr w:rsidR="00B66DB7" w:rsidRPr="00E87892" w:rsidTr="007C6CE2">
        <w:trPr>
          <w:trHeight w:val="198"/>
        </w:trPr>
        <w:tc>
          <w:tcPr>
            <w:tcW w:w="4253" w:type="dxa"/>
            <w:tcBorders>
              <w:top w:val="single" w:sz="4" w:space="0" w:color="522398"/>
              <w:left w:val="nil"/>
              <w:bottom w:val="single" w:sz="4" w:space="0" w:color="522398"/>
              <w:right w:val="nil"/>
            </w:tcBorders>
            <w:vAlign w:val="center"/>
          </w:tcPr>
          <w:p w:rsidR="00B66DB7" w:rsidRPr="00295342" w:rsidRDefault="00B66DB7" w:rsidP="00B66DB7">
            <w:pPr>
              <w:pStyle w:val="g1"/>
            </w:pPr>
            <w:r w:rsidRPr="00295342">
              <w:t>do cen targowiskowych 1 kg żyta</w:t>
            </w:r>
          </w:p>
        </w:tc>
        <w:tc>
          <w:tcPr>
            <w:tcW w:w="142" w:type="dxa"/>
            <w:tcBorders>
              <w:top w:val="single" w:sz="4" w:space="0" w:color="522398"/>
              <w:left w:val="nil"/>
              <w:bottom w:val="single" w:sz="4" w:space="0" w:color="522398"/>
              <w:right w:val="single" w:sz="4" w:space="0" w:color="522398"/>
            </w:tcBorders>
            <w:vAlign w:val="center"/>
          </w:tcPr>
          <w:p w:rsidR="00B66DB7" w:rsidRPr="00754D58" w:rsidRDefault="00B66DB7" w:rsidP="00B66DB7">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B66DB7" w:rsidRPr="006D0726" w:rsidRDefault="00426793" w:rsidP="00B66DB7">
            <w:pPr>
              <w:pStyle w:val="TableText"/>
            </w:pPr>
            <w:r>
              <w:t>5,8</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B66DB7" w:rsidRPr="006D0726" w:rsidRDefault="00232713" w:rsidP="00B66DB7">
            <w:pPr>
              <w:pStyle w:val="TableText"/>
            </w:pPr>
            <w:r w:rsidRPr="00232713">
              <w:t>6,1</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66DB7" w:rsidRPr="006D0726" w:rsidRDefault="00B66DB7" w:rsidP="00B66DB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66DB7" w:rsidRPr="006D0726" w:rsidRDefault="00B66DB7" w:rsidP="00B66DB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66DB7" w:rsidRPr="006D0726" w:rsidRDefault="00B66DB7" w:rsidP="00B66DB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66DB7" w:rsidRPr="006D0726" w:rsidRDefault="00B66DB7" w:rsidP="00B66DB7">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B66DB7" w:rsidRPr="006D0726" w:rsidRDefault="00B66DB7" w:rsidP="00B66DB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66DB7" w:rsidRPr="006D0726" w:rsidRDefault="00B66DB7" w:rsidP="00B66DB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66DB7" w:rsidRPr="006D0726" w:rsidRDefault="00B66DB7" w:rsidP="00B66DB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66DB7" w:rsidRPr="006D0726" w:rsidRDefault="00B66DB7" w:rsidP="00B66DB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66DB7" w:rsidRPr="006D0726" w:rsidRDefault="00B66DB7" w:rsidP="00B66DB7">
            <w:pPr>
              <w:pStyle w:val="TableText"/>
            </w:pPr>
          </w:p>
        </w:tc>
        <w:tc>
          <w:tcPr>
            <w:tcW w:w="892" w:type="dxa"/>
            <w:tcBorders>
              <w:top w:val="single" w:sz="4" w:space="0" w:color="522398"/>
              <w:left w:val="single" w:sz="4" w:space="0" w:color="522398"/>
              <w:bottom w:val="single" w:sz="4" w:space="0" w:color="522398"/>
              <w:right w:val="nil"/>
            </w:tcBorders>
            <w:shd w:val="clear" w:color="auto" w:fill="auto"/>
          </w:tcPr>
          <w:p w:rsidR="00B66DB7" w:rsidRPr="006D0726" w:rsidRDefault="00B66DB7" w:rsidP="00B66DB7">
            <w:pPr>
              <w:pStyle w:val="TableText"/>
            </w:pPr>
          </w:p>
        </w:tc>
      </w:tr>
      <w:tr w:rsidR="00B66DB7" w:rsidRPr="00E87892" w:rsidTr="007C6CE2">
        <w:trPr>
          <w:trHeight w:val="198"/>
        </w:trPr>
        <w:tc>
          <w:tcPr>
            <w:tcW w:w="4253" w:type="dxa"/>
            <w:tcBorders>
              <w:top w:val="single" w:sz="4" w:space="0" w:color="522398"/>
              <w:left w:val="nil"/>
              <w:bottom w:val="single" w:sz="4" w:space="0" w:color="522398"/>
              <w:right w:val="nil"/>
            </w:tcBorders>
            <w:vAlign w:val="center"/>
          </w:tcPr>
          <w:p w:rsidR="00B66DB7" w:rsidRPr="00295342" w:rsidRDefault="00B66DB7" w:rsidP="00B66DB7">
            <w:pPr>
              <w:pStyle w:val="boczek"/>
            </w:pPr>
            <w:r w:rsidRPr="00295342">
              <w:t>Produkcja sprzedana przemysłu</w:t>
            </w:r>
            <w:r w:rsidRPr="00295342">
              <w:rPr>
                <w:vertAlign w:val="superscript"/>
              </w:rPr>
              <w:t xml:space="preserve"> b</w:t>
            </w:r>
            <w:r w:rsidRPr="00295342">
              <w:t xml:space="preserve"> (w cenach stałych</w:t>
            </w:r>
            <w:r>
              <w:t xml:space="preserve"> 2021</w:t>
            </w:r>
            <w:r w:rsidRPr="00295342">
              <w:t>):</w:t>
            </w:r>
          </w:p>
        </w:tc>
        <w:tc>
          <w:tcPr>
            <w:tcW w:w="142" w:type="dxa"/>
            <w:tcBorders>
              <w:top w:val="single" w:sz="4" w:space="0" w:color="522398"/>
              <w:left w:val="nil"/>
              <w:bottom w:val="single" w:sz="4" w:space="0" w:color="522398"/>
              <w:right w:val="single" w:sz="4" w:space="0" w:color="522398"/>
            </w:tcBorders>
            <w:vAlign w:val="center"/>
          </w:tcPr>
          <w:p w:rsidR="00B66DB7" w:rsidRPr="00754D58" w:rsidRDefault="00B66DB7" w:rsidP="00B66DB7">
            <w:pPr>
              <w:pStyle w:val="a"/>
              <w:rPr>
                <w:rFonts w:ascii="Fira Sans" w:hAnsi="Fira Sans"/>
              </w:rPr>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B66DB7" w:rsidRPr="006D0726" w:rsidRDefault="00B66DB7" w:rsidP="00B66DB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B66DB7" w:rsidRPr="006D0726" w:rsidRDefault="00B66DB7" w:rsidP="00B66DB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66DB7" w:rsidRPr="006D0726" w:rsidRDefault="00B66DB7" w:rsidP="00B66DB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66DB7" w:rsidRPr="006D0726" w:rsidRDefault="00B66DB7" w:rsidP="00B66DB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66DB7" w:rsidRPr="006D0726" w:rsidRDefault="00B66DB7" w:rsidP="00B66DB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66DB7" w:rsidRPr="006D0726" w:rsidRDefault="00B66DB7" w:rsidP="00B66DB7">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B66DB7" w:rsidRPr="006D0726" w:rsidRDefault="00B66DB7" w:rsidP="00B66DB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66DB7" w:rsidRPr="006D0726" w:rsidRDefault="00B66DB7" w:rsidP="00B66DB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66DB7" w:rsidRPr="006D0726" w:rsidRDefault="00B66DB7" w:rsidP="00B66DB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66DB7" w:rsidRPr="006D0726" w:rsidRDefault="00B66DB7" w:rsidP="00B66DB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B66DB7" w:rsidRPr="006D0726" w:rsidRDefault="00B66DB7" w:rsidP="00B66DB7">
            <w:pPr>
              <w:pStyle w:val="TableText"/>
            </w:pPr>
          </w:p>
        </w:tc>
        <w:tc>
          <w:tcPr>
            <w:tcW w:w="892" w:type="dxa"/>
            <w:tcBorders>
              <w:top w:val="single" w:sz="4" w:space="0" w:color="522398"/>
              <w:left w:val="single" w:sz="4" w:space="0" w:color="522398"/>
              <w:bottom w:val="single" w:sz="4" w:space="0" w:color="522398"/>
              <w:right w:val="nil"/>
            </w:tcBorders>
            <w:shd w:val="clear" w:color="auto" w:fill="auto"/>
          </w:tcPr>
          <w:p w:rsidR="00B66DB7" w:rsidRPr="006D0726" w:rsidRDefault="00B66DB7" w:rsidP="00B66DB7">
            <w:pPr>
              <w:pStyle w:val="TableText"/>
            </w:pPr>
          </w:p>
        </w:tc>
      </w:tr>
      <w:tr w:rsidR="00C724E0" w:rsidRPr="00E87892" w:rsidTr="007C6CE2">
        <w:trPr>
          <w:trHeight w:val="198"/>
        </w:trPr>
        <w:tc>
          <w:tcPr>
            <w:tcW w:w="4253" w:type="dxa"/>
            <w:tcBorders>
              <w:top w:val="single" w:sz="4" w:space="0" w:color="522398"/>
              <w:left w:val="nil"/>
              <w:bottom w:val="single" w:sz="4" w:space="0" w:color="522398"/>
              <w:right w:val="nil"/>
            </w:tcBorders>
            <w:vAlign w:val="center"/>
          </w:tcPr>
          <w:p w:rsidR="00C724E0" w:rsidRPr="00107A4C" w:rsidRDefault="00C724E0" w:rsidP="00C724E0">
            <w:pPr>
              <w:pStyle w:val="g3"/>
            </w:pPr>
            <w:r w:rsidRPr="00107A4C">
              <w:t>poprzedni miesiąc=100</w:t>
            </w:r>
            <w:r w:rsidRPr="00107A4C">
              <w:tab/>
              <w:t xml:space="preserve"> </w:t>
            </w:r>
          </w:p>
        </w:tc>
        <w:tc>
          <w:tcPr>
            <w:tcW w:w="142" w:type="dxa"/>
            <w:tcBorders>
              <w:top w:val="single" w:sz="4" w:space="0" w:color="522398"/>
              <w:left w:val="nil"/>
              <w:bottom w:val="single" w:sz="4" w:space="0" w:color="522398"/>
              <w:right w:val="single" w:sz="4" w:space="0" w:color="522398"/>
            </w:tcBorders>
            <w:vAlign w:val="center"/>
          </w:tcPr>
          <w:p w:rsidR="00C724E0" w:rsidRPr="00754D58" w:rsidRDefault="00C724E0" w:rsidP="00C724E0">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105,9</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6D0726" w:rsidRDefault="00C724E0" w:rsidP="00C724E0">
            <w:pPr>
              <w:pStyle w:val="TableText"/>
            </w:pPr>
            <w:r w:rsidRPr="006D0726">
              <w:t>100,9</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105,3</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98,6</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92,7</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102,9</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92,0</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105,1</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108,2</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110,7</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4C5B94" w:rsidRDefault="00C724E0" w:rsidP="00C724E0">
            <w:pPr>
              <w:pStyle w:val="TableText"/>
            </w:pPr>
            <w:r w:rsidRPr="004C5B94">
              <w:t>92,9</w:t>
            </w:r>
          </w:p>
        </w:tc>
        <w:tc>
          <w:tcPr>
            <w:tcW w:w="892" w:type="dxa"/>
            <w:tcBorders>
              <w:top w:val="single" w:sz="4" w:space="0" w:color="522398"/>
              <w:left w:val="single" w:sz="4" w:space="0" w:color="522398"/>
              <w:bottom w:val="single" w:sz="4" w:space="0" w:color="522398"/>
              <w:right w:val="nil"/>
            </w:tcBorders>
            <w:shd w:val="clear" w:color="auto" w:fill="auto"/>
          </w:tcPr>
          <w:p w:rsidR="00C724E0" w:rsidRPr="006D0726" w:rsidRDefault="00C724E0" w:rsidP="00C724E0">
            <w:pPr>
              <w:pStyle w:val="TableText"/>
            </w:pPr>
            <w:r>
              <w:t>86,9</w:t>
            </w:r>
          </w:p>
        </w:tc>
      </w:tr>
      <w:tr w:rsidR="00C724E0" w:rsidRPr="00E87892" w:rsidTr="007C6CE2">
        <w:trPr>
          <w:trHeight w:val="198"/>
        </w:trPr>
        <w:tc>
          <w:tcPr>
            <w:tcW w:w="4253" w:type="dxa"/>
            <w:tcBorders>
              <w:top w:val="single" w:sz="4" w:space="0" w:color="522398"/>
              <w:left w:val="nil"/>
              <w:bottom w:val="single" w:sz="4" w:space="0" w:color="522398"/>
              <w:right w:val="nil"/>
            </w:tcBorders>
            <w:vAlign w:val="center"/>
          </w:tcPr>
          <w:p w:rsidR="00C724E0" w:rsidRPr="00107A4C" w:rsidRDefault="00C724E0" w:rsidP="00C724E0">
            <w:pPr>
              <w:pStyle w:val="g3"/>
            </w:pPr>
          </w:p>
        </w:tc>
        <w:tc>
          <w:tcPr>
            <w:tcW w:w="142" w:type="dxa"/>
            <w:tcBorders>
              <w:top w:val="single" w:sz="4" w:space="0" w:color="522398"/>
              <w:left w:val="nil"/>
              <w:bottom w:val="single" w:sz="4" w:space="0" w:color="522398"/>
              <w:right w:val="single" w:sz="4" w:space="0" w:color="522398"/>
            </w:tcBorders>
            <w:vAlign w:val="center"/>
          </w:tcPr>
          <w:p w:rsidR="00C724E0" w:rsidRPr="00754D58" w:rsidRDefault="00C724E0" w:rsidP="00C724E0">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gwiazd"/>
            </w:pPr>
            <w:r>
              <w:t>107,3*</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6D0726" w:rsidRDefault="00C724E0" w:rsidP="00C724E0">
            <w:pPr>
              <w:pStyle w:val="TableText"/>
            </w:pPr>
            <w:r>
              <w:t>100,6</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4C5B94" w:rsidRDefault="00C724E0" w:rsidP="00C724E0">
            <w:pPr>
              <w:pStyle w:val="TableText"/>
            </w:pPr>
          </w:p>
        </w:tc>
        <w:tc>
          <w:tcPr>
            <w:tcW w:w="892" w:type="dxa"/>
            <w:tcBorders>
              <w:top w:val="single" w:sz="4" w:space="0" w:color="522398"/>
              <w:left w:val="single" w:sz="4" w:space="0" w:color="522398"/>
              <w:bottom w:val="single" w:sz="4" w:space="0" w:color="522398"/>
              <w:right w:val="nil"/>
            </w:tcBorders>
            <w:shd w:val="clear" w:color="auto" w:fill="auto"/>
          </w:tcPr>
          <w:p w:rsidR="00C724E0" w:rsidRPr="006D0726" w:rsidRDefault="00C724E0" w:rsidP="00C724E0">
            <w:pPr>
              <w:pStyle w:val="TableText"/>
            </w:pPr>
          </w:p>
        </w:tc>
      </w:tr>
      <w:tr w:rsidR="00C724E0" w:rsidRPr="00E87892" w:rsidTr="007C6CE2">
        <w:trPr>
          <w:trHeight w:val="198"/>
        </w:trPr>
        <w:tc>
          <w:tcPr>
            <w:tcW w:w="4253" w:type="dxa"/>
            <w:tcBorders>
              <w:top w:val="single" w:sz="4" w:space="0" w:color="522398"/>
              <w:left w:val="nil"/>
              <w:bottom w:val="single" w:sz="4" w:space="0" w:color="522398"/>
              <w:right w:val="nil"/>
            </w:tcBorders>
            <w:vAlign w:val="center"/>
          </w:tcPr>
          <w:p w:rsidR="00C724E0" w:rsidRPr="00107A4C" w:rsidRDefault="00C724E0" w:rsidP="00C724E0">
            <w:pPr>
              <w:pStyle w:val="g3"/>
            </w:pPr>
            <w:r w:rsidRPr="00107A4C">
              <w:t xml:space="preserve">analogiczny miesiąc poprzedniego roku=100 </w:t>
            </w:r>
            <w:r w:rsidRPr="00107A4C">
              <w:tab/>
            </w:r>
          </w:p>
        </w:tc>
        <w:tc>
          <w:tcPr>
            <w:tcW w:w="142" w:type="dxa"/>
            <w:tcBorders>
              <w:top w:val="single" w:sz="4" w:space="0" w:color="522398"/>
              <w:left w:val="nil"/>
              <w:bottom w:val="single" w:sz="4" w:space="0" w:color="522398"/>
              <w:right w:val="single" w:sz="4" w:space="0" w:color="522398"/>
            </w:tcBorders>
            <w:vAlign w:val="center"/>
          </w:tcPr>
          <w:p w:rsidR="00C724E0" w:rsidRPr="00754D58" w:rsidRDefault="00C724E0" w:rsidP="00C724E0">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102,9</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6D0726" w:rsidRDefault="00C724E0" w:rsidP="00C724E0">
            <w:pPr>
              <w:pStyle w:val="TableText"/>
            </w:pPr>
            <w:r w:rsidRPr="006D0726">
              <w:t>105,7</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95,6</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109,9</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98,9</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99,9</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99,6</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100,9</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104,6</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111,9</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4C5B94" w:rsidRDefault="00C724E0" w:rsidP="00C724E0">
            <w:pPr>
              <w:pStyle w:val="TableText"/>
            </w:pPr>
            <w:r w:rsidRPr="004C5B94">
              <w:t>96,7</w:t>
            </w:r>
          </w:p>
        </w:tc>
        <w:tc>
          <w:tcPr>
            <w:tcW w:w="892" w:type="dxa"/>
            <w:tcBorders>
              <w:top w:val="single" w:sz="4" w:space="0" w:color="522398"/>
              <w:left w:val="single" w:sz="4" w:space="0" w:color="522398"/>
              <w:bottom w:val="single" w:sz="4" w:space="0" w:color="522398"/>
              <w:right w:val="nil"/>
            </w:tcBorders>
            <w:shd w:val="clear" w:color="auto" w:fill="auto"/>
          </w:tcPr>
          <w:p w:rsidR="00C724E0" w:rsidRPr="006D0726" w:rsidRDefault="00C724E0" w:rsidP="00C724E0">
            <w:pPr>
              <w:pStyle w:val="TableText"/>
            </w:pPr>
            <w:r>
              <w:t>98,9</w:t>
            </w:r>
          </w:p>
        </w:tc>
      </w:tr>
      <w:tr w:rsidR="00C724E0" w:rsidRPr="00E87892" w:rsidTr="007C6CE2">
        <w:trPr>
          <w:trHeight w:val="198"/>
        </w:trPr>
        <w:tc>
          <w:tcPr>
            <w:tcW w:w="4253" w:type="dxa"/>
            <w:tcBorders>
              <w:top w:val="single" w:sz="4" w:space="0" w:color="522398"/>
              <w:left w:val="nil"/>
              <w:bottom w:val="single" w:sz="4" w:space="0" w:color="522398"/>
              <w:right w:val="nil"/>
            </w:tcBorders>
            <w:vAlign w:val="center"/>
          </w:tcPr>
          <w:p w:rsidR="00C724E0" w:rsidRPr="00107A4C" w:rsidRDefault="00C724E0" w:rsidP="00C724E0">
            <w:pPr>
              <w:pStyle w:val="g3"/>
            </w:pPr>
          </w:p>
        </w:tc>
        <w:tc>
          <w:tcPr>
            <w:tcW w:w="142" w:type="dxa"/>
            <w:tcBorders>
              <w:top w:val="single" w:sz="4" w:space="0" w:color="522398"/>
              <w:left w:val="nil"/>
              <w:bottom w:val="single" w:sz="4" w:space="0" w:color="522398"/>
              <w:right w:val="single" w:sz="4" w:space="0" w:color="522398"/>
            </w:tcBorders>
            <w:vAlign w:val="center"/>
          </w:tcPr>
          <w:p w:rsidR="00C724E0" w:rsidRPr="00754D58" w:rsidRDefault="00C724E0" w:rsidP="00C724E0">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gwiazd"/>
            </w:pPr>
            <w:r>
              <w:t>100,2*</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6D0726" w:rsidRDefault="00C724E0" w:rsidP="00C724E0">
            <w:pPr>
              <w:pStyle w:val="TableText"/>
            </w:pPr>
            <w:r>
              <w:t>99,9</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nil"/>
            </w:tcBorders>
            <w:shd w:val="clear" w:color="auto" w:fill="auto"/>
          </w:tcPr>
          <w:p w:rsidR="00C724E0" w:rsidRPr="006D0726" w:rsidRDefault="00C724E0" w:rsidP="00C724E0">
            <w:pPr>
              <w:pStyle w:val="TableText"/>
            </w:pPr>
          </w:p>
        </w:tc>
      </w:tr>
      <w:tr w:rsidR="00C724E0" w:rsidRPr="00E87892" w:rsidTr="007C6CE2">
        <w:trPr>
          <w:trHeight w:val="198"/>
        </w:trPr>
        <w:tc>
          <w:tcPr>
            <w:tcW w:w="4253" w:type="dxa"/>
            <w:tcBorders>
              <w:top w:val="single" w:sz="4" w:space="0" w:color="522398"/>
              <w:left w:val="nil"/>
              <w:bottom w:val="single" w:sz="4" w:space="0" w:color="522398"/>
              <w:right w:val="nil"/>
            </w:tcBorders>
            <w:vAlign w:val="center"/>
          </w:tcPr>
          <w:p w:rsidR="00C724E0" w:rsidRPr="00107A4C" w:rsidRDefault="00C724E0" w:rsidP="00C724E0">
            <w:pPr>
              <w:pStyle w:val="boczek"/>
            </w:pPr>
            <w:r w:rsidRPr="00107A4C">
              <w:t>Produkcja budowlano-montażowa</w:t>
            </w:r>
            <w:r w:rsidRPr="00107A4C">
              <w:rPr>
                <w:vertAlign w:val="superscript"/>
              </w:rPr>
              <w:t xml:space="preserve"> b</w:t>
            </w:r>
            <w:r w:rsidRPr="00107A4C">
              <w:t xml:space="preserve"> (w cenach bieżących):</w:t>
            </w:r>
          </w:p>
        </w:tc>
        <w:tc>
          <w:tcPr>
            <w:tcW w:w="142" w:type="dxa"/>
            <w:tcBorders>
              <w:top w:val="single" w:sz="4" w:space="0" w:color="522398"/>
              <w:left w:val="nil"/>
              <w:bottom w:val="single" w:sz="4" w:space="0" w:color="522398"/>
              <w:right w:val="single" w:sz="4" w:space="0" w:color="522398"/>
            </w:tcBorders>
            <w:vAlign w:val="center"/>
          </w:tcPr>
          <w:p w:rsidR="00C724E0" w:rsidRPr="00754D58" w:rsidRDefault="00C724E0" w:rsidP="00C724E0">
            <w:pPr>
              <w:pStyle w:val="a"/>
              <w:rPr>
                <w:rFonts w:ascii="Fira Sans" w:hAnsi="Fira Sans"/>
              </w:rPr>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nil"/>
            </w:tcBorders>
            <w:shd w:val="clear" w:color="auto" w:fill="auto"/>
          </w:tcPr>
          <w:p w:rsidR="00C724E0" w:rsidRPr="006D0726" w:rsidRDefault="00C724E0" w:rsidP="00C724E0">
            <w:pPr>
              <w:pStyle w:val="TableText"/>
            </w:pPr>
          </w:p>
        </w:tc>
      </w:tr>
      <w:tr w:rsidR="00C724E0" w:rsidRPr="00E87892" w:rsidTr="007C6CE2">
        <w:trPr>
          <w:trHeight w:val="198"/>
        </w:trPr>
        <w:tc>
          <w:tcPr>
            <w:tcW w:w="4253" w:type="dxa"/>
            <w:tcBorders>
              <w:top w:val="single" w:sz="4" w:space="0" w:color="522398"/>
              <w:left w:val="nil"/>
              <w:bottom w:val="single" w:sz="4" w:space="0" w:color="522398"/>
              <w:right w:val="nil"/>
            </w:tcBorders>
            <w:vAlign w:val="center"/>
          </w:tcPr>
          <w:p w:rsidR="00C724E0" w:rsidRPr="00107A4C" w:rsidRDefault="00C724E0" w:rsidP="00C724E0">
            <w:pPr>
              <w:pStyle w:val="g3"/>
            </w:pPr>
            <w:r w:rsidRPr="00107A4C">
              <w:t xml:space="preserve">poprzedni miesiąc=100 </w:t>
            </w:r>
            <w:r w:rsidRPr="00107A4C">
              <w:tab/>
            </w:r>
          </w:p>
        </w:tc>
        <w:tc>
          <w:tcPr>
            <w:tcW w:w="142" w:type="dxa"/>
            <w:tcBorders>
              <w:top w:val="single" w:sz="4" w:space="0" w:color="522398"/>
              <w:left w:val="nil"/>
              <w:bottom w:val="single" w:sz="4" w:space="0" w:color="522398"/>
              <w:right w:val="single" w:sz="4" w:space="0" w:color="522398"/>
            </w:tcBorders>
            <w:vAlign w:val="center"/>
          </w:tcPr>
          <w:p w:rsidR="00C724E0" w:rsidRPr="00754D58" w:rsidRDefault="00C724E0" w:rsidP="00C724E0">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37,5</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6D0726" w:rsidRDefault="00C724E0" w:rsidP="00C724E0">
            <w:pPr>
              <w:pStyle w:val="TableText"/>
            </w:pPr>
            <w:r w:rsidRPr="006D0726">
              <w:t>101,5</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134,5</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110,8</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105,6</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107,1</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98,8</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109,7</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110,9</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110,3</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110,8</w:t>
            </w:r>
          </w:p>
        </w:tc>
        <w:tc>
          <w:tcPr>
            <w:tcW w:w="892" w:type="dxa"/>
            <w:tcBorders>
              <w:top w:val="single" w:sz="4" w:space="0" w:color="522398"/>
              <w:left w:val="single" w:sz="4" w:space="0" w:color="522398"/>
              <w:bottom w:val="single" w:sz="4" w:space="0" w:color="522398"/>
              <w:right w:val="nil"/>
            </w:tcBorders>
            <w:shd w:val="clear" w:color="auto" w:fill="auto"/>
          </w:tcPr>
          <w:p w:rsidR="00C724E0" w:rsidRPr="006D0726" w:rsidRDefault="00C724E0" w:rsidP="00C724E0">
            <w:pPr>
              <w:pStyle w:val="TableText"/>
            </w:pPr>
            <w:r w:rsidRPr="006D0726">
              <w:t>119,8</w:t>
            </w:r>
          </w:p>
        </w:tc>
      </w:tr>
      <w:tr w:rsidR="00C724E0" w:rsidRPr="00E87892" w:rsidTr="007C6CE2">
        <w:trPr>
          <w:trHeight w:val="198"/>
        </w:trPr>
        <w:tc>
          <w:tcPr>
            <w:tcW w:w="4253" w:type="dxa"/>
            <w:tcBorders>
              <w:top w:val="single" w:sz="4" w:space="0" w:color="522398"/>
              <w:left w:val="nil"/>
              <w:bottom w:val="single" w:sz="4" w:space="0" w:color="522398"/>
              <w:right w:val="nil"/>
            </w:tcBorders>
            <w:vAlign w:val="center"/>
          </w:tcPr>
          <w:p w:rsidR="00C724E0" w:rsidRPr="00107A4C" w:rsidRDefault="00C724E0" w:rsidP="00C724E0">
            <w:pPr>
              <w:pStyle w:val="g3"/>
            </w:pPr>
          </w:p>
        </w:tc>
        <w:tc>
          <w:tcPr>
            <w:tcW w:w="142" w:type="dxa"/>
            <w:tcBorders>
              <w:top w:val="single" w:sz="4" w:space="0" w:color="522398"/>
              <w:left w:val="nil"/>
              <w:bottom w:val="single" w:sz="4" w:space="0" w:color="522398"/>
              <w:right w:val="single" w:sz="4" w:space="0" w:color="522398"/>
            </w:tcBorders>
            <w:vAlign w:val="center"/>
          </w:tcPr>
          <w:p w:rsidR="00C724E0" w:rsidRPr="00754D58" w:rsidRDefault="00C724E0" w:rsidP="00C724E0">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2576F7">
              <w:t>42,8</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6D0726" w:rsidRDefault="00C724E0" w:rsidP="00C724E0">
            <w:pPr>
              <w:pStyle w:val="TableText"/>
            </w:pPr>
            <w:r w:rsidRPr="00A11D4D">
              <w:t>85,5</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nil"/>
            </w:tcBorders>
            <w:shd w:val="clear" w:color="auto" w:fill="auto"/>
          </w:tcPr>
          <w:p w:rsidR="00C724E0" w:rsidRPr="006D0726" w:rsidRDefault="00C724E0" w:rsidP="00C724E0">
            <w:pPr>
              <w:pStyle w:val="TableText"/>
            </w:pPr>
          </w:p>
        </w:tc>
      </w:tr>
      <w:tr w:rsidR="00C724E0" w:rsidRPr="00E87892" w:rsidTr="007C6CE2">
        <w:trPr>
          <w:trHeight w:val="198"/>
        </w:trPr>
        <w:tc>
          <w:tcPr>
            <w:tcW w:w="4253" w:type="dxa"/>
            <w:tcBorders>
              <w:top w:val="single" w:sz="4" w:space="0" w:color="522398"/>
              <w:left w:val="nil"/>
              <w:bottom w:val="single" w:sz="4" w:space="0" w:color="522398"/>
              <w:right w:val="nil"/>
            </w:tcBorders>
            <w:vAlign w:val="center"/>
          </w:tcPr>
          <w:p w:rsidR="00C724E0" w:rsidRPr="00107A4C" w:rsidRDefault="00C724E0" w:rsidP="00C724E0">
            <w:pPr>
              <w:pStyle w:val="g3"/>
            </w:pPr>
            <w:r w:rsidRPr="00107A4C">
              <w:t xml:space="preserve">analogiczny miesiąc poprzedniego roku=100 </w:t>
            </w:r>
            <w:r w:rsidRPr="00107A4C">
              <w:tab/>
            </w:r>
          </w:p>
        </w:tc>
        <w:tc>
          <w:tcPr>
            <w:tcW w:w="142" w:type="dxa"/>
            <w:tcBorders>
              <w:top w:val="single" w:sz="4" w:space="0" w:color="522398"/>
              <w:left w:val="nil"/>
              <w:bottom w:val="single" w:sz="4" w:space="0" w:color="522398"/>
              <w:right w:val="single" w:sz="4" w:space="0" w:color="522398"/>
            </w:tcBorders>
            <w:vAlign w:val="center"/>
          </w:tcPr>
          <w:p w:rsidR="00C724E0" w:rsidRPr="00754D58" w:rsidRDefault="00C724E0" w:rsidP="00C724E0">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99,4</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6D0726" w:rsidRDefault="00C724E0" w:rsidP="00C724E0">
            <w:pPr>
              <w:pStyle w:val="TableText"/>
            </w:pPr>
            <w:r w:rsidRPr="006D0726">
              <w:t>102,9</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94,6</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103,4</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108,2</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98,6</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105,9</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99,4</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103,0</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94,3</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130,2</w:t>
            </w:r>
          </w:p>
        </w:tc>
        <w:tc>
          <w:tcPr>
            <w:tcW w:w="892" w:type="dxa"/>
            <w:tcBorders>
              <w:top w:val="single" w:sz="4" w:space="0" w:color="522398"/>
              <w:left w:val="single" w:sz="4" w:space="0" w:color="522398"/>
              <w:bottom w:val="single" w:sz="4" w:space="0" w:color="522398"/>
              <w:right w:val="nil"/>
            </w:tcBorders>
            <w:shd w:val="clear" w:color="auto" w:fill="auto"/>
          </w:tcPr>
          <w:p w:rsidR="00C724E0" w:rsidRPr="006D0726" w:rsidRDefault="00C724E0" w:rsidP="00C724E0">
            <w:pPr>
              <w:pStyle w:val="TableText"/>
            </w:pPr>
            <w:r w:rsidRPr="006D0726">
              <w:t>112,8</w:t>
            </w:r>
          </w:p>
        </w:tc>
      </w:tr>
      <w:tr w:rsidR="00C724E0" w:rsidRPr="00E87892" w:rsidTr="007C6CE2">
        <w:trPr>
          <w:trHeight w:val="198"/>
        </w:trPr>
        <w:tc>
          <w:tcPr>
            <w:tcW w:w="4253" w:type="dxa"/>
            <w:tcBorders>
              <w:top w:val="single" w:sz="4" w:space="0" w:color="522398"/>
              <w:left w:val="nil"/>
              <w:bottom w:val="single" w:sz="4" w:space="0" w:color="522398"/>
              <w:right w:val="nil"/>
            </w:tcBorders>
            <w:vAlign w:val="center"/>
          </w:tcPr>
          <w:p w:rsidR="00C724E0" w:rsidRPr="00754D58" w:rsidRDefault="00C724E0" w:rsidP="00C724E0">
            <w:pPr>
              <w:pStyle w:val="g3"/>
            </w:pPr>
          </w:p>
        </w:tc>
        <w:tc>
          <w:tcPr>
            <w:tcW w:w="142" w:type="dxa"/>
            <w:tcBorders>
              <w:top w:val="single" w:sz="4" w:space="0" w:color="522398"/>
              <w:left w:val="nil"/>
              <w:bottom w:val="single" w:sz="4" w:space="0" w:color="522398"/>
              <w:right w:val="single" w:sz="4" w:space="0" w:color="522398"/>
            </w:tcBorders>
            <w:vAlign w:val="center"/>
          </w:tcPr>
          <w:p w:rsidR="00C724E0" w:rsidRPr="00754D58" w:rsidRDefault="00C724E0" w:rsidP="00C724E0">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2576F7">
              <w:t>128,8</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6D0726" w:rsidRDefault="00C724E0" w:rsidP="00C724E0">
            <w:pPr>
              <w:pStyle w:val="TableText"/>
            </w:pPr>
            <w:r w:rsidRPr="00A11D4D">
              <w:t>108,5</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nil"/>
            </w:tcBorders>
            <w:shd w:val="clear" w:color="auto" w:fill="auto"/>
          </w:tcPr>
          <w:p w:rsidR="00C724E0" w:rsidRPr="006D0726" w:rsidRDefault="00C724E0" w:rsidP="00C724E0">
            <w:pPr>
              <w:pStyle w:val="TableText"/>
            </w:pPr>
          </w:p>
        </w:tc>
      </w:tr>
      <w:tr w:rsidR="00C724E0" w:rsidRPr="00E87892" w:rsidTr="007C6CE2">
        <w:trPr>
          <w:trHeight w:val="198"/>
        </w:trPr>
        <w:tc>
          <w:tcPr>
            <w:tcW w:w="4253" w:type="dxa"/>
            <w:tcBorders>
              <w:top w:val="single" w:sz="4" w:space="0" w:color="522398"/>
              <w:left w:val="nil"/>
              <w:bottom w:val="single" w:sz="4" w:space="0" w:color="522398"/>
              <w:right w:val="nil"/>
            </w:tcBorders>
            <w:vAlign w:val="center"/>
          </w:tcPr>
          <w:p w:rsidR="00C724E0" w:rsidRPr="00754D58" w:rsidRDefault="00C724E0" w:rsidP="00C724E0">
            <w:pPr>
              <w:pStyle w:val="g1"/>
            </w:pPr>
            <w:r w:rsidRPr="00754D58">
              <w:t xml:space="preserve">Mieszkania oddane do użytkowania </w:t>
            </w:r>
            <w:r w:rsidRPr="00C46A91">
              <w:rPr>
                <w:spacing w:val="-2"/>
              </w:rPr>
              <w:t>(od początku roku)</w:t>
            </w:r>
            <w:r w:rsidRPr="00754D58">
              <w:tab/>
            </w:r>
          </w:p>
        </w:tc>
        <w:tc>
          <w:tcPr>
            <w:tcW w:w="142" w:type="dxa"/>
            <w:tcBorders>
              <w:top w:val="single" w:sz="4" w:space="0" w:color="522398"/>
              <w:left w:val="nil"/>
              <w:bottom w:val="single" w:sz="4" w:space="0" w:color="522398"/>
              <w:right w:val="single" w:sz="4" w:space="0" w:color="522398"/>
            </w:tcBorders>
            <w:vAlign w:val="center"/>
          </w:tcPr>
          <w:p w:rsidR="00C724E0" w:rsidRPr="00754D58" w:rsidRDefault="00C724E0" w:rsidP="00C724E0">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1405</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6D0726" w:rsidRDefault="00C724E0" w:rsidP="00C724E0">
            <w:pPr>
              <w:pStyle w:val="TableText"/>
            </w:pPr>
            <w:r w:rsidRPr="006D0726">
              <w:t>2627</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4121</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6040</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7105</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8324</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10356</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12060</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14145</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8A3172" w:rsidRDefault="00377746" w:rsidP="00C724E0">
            <w:pPr>
              <w:pStyle w:val="tablegwiazd"/>
            </w:pPr>
            <w:r w:rsidRPr="00377746">
              <w:t>16027</w:t>
            </w:r>
            <w:r w:rsidR="00C724E0">
              <w:t>*</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8A3172" w:rsidRDefault="00377746" w:rsidP="00C724E0">
            <w:pPr>
              <w:pStyle w:val="tablegwiazd"/>
            </w:pPr>
            <w:r w:rsidRPr="00377746">
              <w:t>17469</w:t>
            </w:r>
            <w:r w:rsidR="00C724E0">
              <w:t>*</w:t>
            </w:r>
          </w:p>
        </w:tc>
        <w:tc>
          <w:tcPr>
            <w:tcW w:w="892" w:type="dxa"/>
            <w:tcBorders>
              <w:top w:val="single" w:sz="4" w:space="0" w:color="522398"/>
              <w:left w:val="single" w:sz="4" w:space="0" w:color="522398"/>
              <w:bottom w:val="single" w:sz="4" w:space="0" w:color="522398"/>
              <w:right w:val="nil"/>
            </w:tcBorders>
            <w:shd w:val="clear" w:color="auto" w:fill="auto"/>
          </w:tcPr>
          <w:p w:rsidR="00C724E0" w:rsidRDefault="00377746" w:rsidP="00C724E0">
            <w:pPr>
              <w:pStyle w:val="tablegwiazd"/>
            </w:pPr>
            <w:r w:rsidRPr="00377746">
              <w:t>19332</w:t>
            </w:r>
            <w:r w:rsidR="00C724E0">
              <w:t>*</w:t>
            </w:r>
          </w:p>
        </w:tc>
      </w:tr>
      <w:tr w:rsidR="00C724E0" w:rsidRPr="00E87892" w:rsidTr="007C6CE2">
        <w:trPr>
          <w:trHeight w:val="198"/>
        </w:trPr>
        <w:tc>
          <w:tcPr>
            <w:tcW w:w="4253" w:type="dxa"/>
            <w:tcBorders>
              <w:top w:val="single" w:sz="4" w:space="0" w:color="522398"/>
              <w:left w:val="nil"/>
              <w:bottom w:val="single" w:sz="4" w:space="0" w:color="522398"/>
              <w:right w:val="nil"/>
            </w:tcBorders>
            <w:vAlign w:val="center"/>
          </w:tcPr>
          <w:p w:rsidR="00C724E0" w:rsidRPr="00754D58" w:rsidRDefault="00C724E0" w:rsidP="00C724E0">
            <w:pPr>
              <w:pStyle w:val="boczek"/>
            </w:pPr>
          </w:p>
        </w:tc>
        <w:tc>
          <w:tcPr>
            <w:tcW w:w="142" w:type="dxa"/>
            <w:tcBorders>
              <w:top w:val="single" w:sz="4" w:space="0" w:color="522398"/>
              <w:left w:val="nil"/>
              <w:bottom w:val="single" w:sz="4" w:space="0" w:color="522398"/>
              <w:right w:val="single" w:sz="4" w:space="0" w:color="522398"/>
            </w:tcBorders>
            <w:vAlign w:val="center"/>
          </w:tcPr>
          <w:p w:rsidR="00C724E0" w:rsidRPr="00754D58" w:rsidRDefault="00C724E0" w:rsidP="00C724E0">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2576F7">
              <w:t>1609</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6D0726" w:rsidRDefault="00C724E0" w:rsidP="00C724E0">
            <w:pPr>
              <w:pStyle w:val="TableText"/>
            </w:pPr>
            <w:r w:rsidRPr="00A11D4D">
              <w:t>3133</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nil"/>
            </w:tcBorders>
            <w:shd w:val="clear" w:color="auto" w:fill="auto"/>
          </w:tcPr>
          <w:p w:rsidR="00C724E0" w:rsidRPr="006D0726" w:rsidRDefault="00C724E0" w:rsidP="00C724E0">
            <w:pPr>
              <w:pStyle w:val="TableText"/>
            </w:pPr>
          </w:p>
        </w:tc>
      </w:tr>
      <w:tr w:rsidR="00C724E0" w:rsidRPr="00E87892" w:rsidTr="007C6CE2">
        <w:trPr>
          <w:trHeight w:val="198"/>
        </w:trPr>
        <w:tc>
          <w:tcPr>
            <w:tcW w:w="4253" w:type="dxa"/>
            <w:tcBorders>
              <w:top w:val="single" w:sz="4" w:space="0" w:color="522398"/>
              <w:left w:val="nil"/>
              <w:bottom w:val="single" w:sz="4" w:space="0" w:color="522398"/>
              <w:right w:val="nil"/>
            </w:tcBorders>
            <w:vAlign w:val="center"/>
          </w:tcPr>
          <w:p w:rsidR="00C724E0" w:rsidRPr="00754D58" w:rsidRDefault="00C724E0" w:rsidP="00C724E0">
            <w:pPr>
              <w:pStyle w:val="g3"/>
            </w:pPr>
            <w:r w:rsidRPr="00754D58">
              <w:t xml:space="preserve">analogiczny miesiąc </w:t>
            </w:r>
            <w:r>
              <w:t>poprzedniego roku</w:t>
            </w:r>
            <w:r w:rsidRPr="00754D58">
              <w:t xml:space="preserve">=100 </w:t>
            </w:r>
            <w:r w:rsidRPr="00754D58">
              <w:tab/>
            </w:r>
          </w:p>
        </w:tc>
        <w:tc>
          <w:tcPr>
            <w:tcW w:w="142" w:type="dxa"/>
            <w:tcBorders>
              <w:top w:val="single" w:sz="4" w:space="0" w:color="522398"/>
              <w:left w:val="nil"/>
              <w:bottom w:val="single" w:sz="4" w:space="0" w:color="522398"/>
              <w:right w:val="single" w:sz="4" w:space="0" w:color="522398"/>
            </w:tcBorders>
            <w:vAlign w:val="center"/>
          </w:tcPr>
          <w:p w:rsidR="00C724E0" w:rsidRPr="00754D58" w:rsidRDefault="00C724E0" w:rsidP="00C724E0">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65,1</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6D0726" w:rsidRDefault="00C724E0" w:rsidP="00C724E0">
            <w:pPr>
              <w:pStyle w:val="TableText"/>
            </w:pPr>
            <w:r w:rsidRPr="006D0726">
              <w:t>68,1</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68,6</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69,1</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67,9</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65,3</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73,6</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77,0</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81,8</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377746" w:rsidP="00377746">
            <w:pPr>
              <w:pStyle w:val="tablegwiazd"/>
            </w:pPr>
            <w:r>
              <w:t>84,6*</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377746" w:rsidP="00377746">
            <w:pPr>
              <w:pStyle w:val="tablegwiazd"/>
            </w:pPr>
            <w:r>
              <w:t>83,5*</w:t>
            </w:r>
          </w:p>
        </w:tc>
        <w:tc>
          <w:tcPr>
            <w:tcW w:w="892" w:type="dxa"/>
            <w:tcBorders>
              <w:top w:val="single" w:sz="4" w:space="0" w:color="522398"/>
              <w:left w:val="single" w:sz="4" w:space="0" w:color="522398"/>
              <w:bottom w:val="single" w:sz="4" w:space="0" w:color="522398"/>
              <w:right w:val="nil"/>
            </w:tcBorders>
            <w:shd w:val="clear" w:color="auto" w:fill="auto"/>
          </w:tcPr>
          <w:p w:rsidR="00C724E0" w:rsidRPr="006D0726" w:rsidRDefault="0021042E" w:rsidP="00377746">
            <w:pPr>
              <w:pStyle w:val="tablegwiazd"/>
            </w:pPr>
            <w:r>
              <w:t>85,6</w:t>
            </w:r>
            <w:r w:rsidR="00377746">
              <w:t>*</w:t>
            </w:r>
          </w:p>
        </w:tc>
      </w:tr>
      <w:tr w:rsidR="00C724E0" w:rsidRPr="00E87892" w:rsidTr="007C6CE2">
        <w:trPr>
          <w:trHeight w:val="198"/>
        </w:trPr>
        <w:tc>
          <w:tcPr>
            <w:tcW w:w="4253" w:type="dxa"/>
            <w:tcBorders>
              <w:top w:val="single" w:sz="4" w:space="0" w:color="522398"/>
              <w:left w:val="nil"/>
              <w:bottom w:val="single" w:sz="4" w:space="0" w:color="522398"/>
              <w:right w:val="nil"/>
            </w:tcBorders>
            <w:vAlign w:val="center"/>
          </w:tcPr>
          <w:p w:rsidR="00C724E0" w:rsidRPr="00F55C8A" w:rsidRDefault="00C724E0" w:rsidP="00C724E0">
            <w:pPr>
              <w:pStyle w:val="boczek"/>
            </w:pPr>
          </w:p>
        </w:tc>
        <w:tc>
          <w:tcPr>
            <w:tcW w:w="142" w:type="dxa"/>
            <w:tcBorders>
              <w:top w:val="single" w:sz="4" w:space="0" w:color="522398"/>
              <w:left w:val="nil"/>
              <w:bottom w:val="single" w:sz="4" w:space="0" w:color="522398"/>
              <w:right w:val="single" w:sz="4" w:space="0" w:color="522398"/>
            </w:tcBorders>
            <w:vAlign w:val="center"/>
          </w:tcPr>
          <w:p w:rsidR="00C724E0" w:rsidRPr="00F55C8A" w:rsidRDefault="00C724E0" w:rsidP="00C724E0">
            <w:pPr>
              <w:pStyle w:val="a"/>
              <w:rPr>
                <w:rFonts w:ascii="Fira Sans" w:hAnsi="Fira Sans"/>
              </w:rPr>
            </w:pPr>
            <w:r w:rsidRPr="00F55C8A">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2576F7">
              <w:t>114,5</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6D0726" w:rsidRDefault="00C724E0" w:rsidP="00C724E0">
            <w:pPr>
              <w:pStyle w:val="TableText"/>
            </w:pPr>
            <w:r w:rsidRPr="00A11D4D">
              <w:t>119,3</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nil"/>
            </w:tcBorders>
            <w:shd w:val="clear" w:color="auto" w:fill="auto"/>
          </w:tcPr>
          <w:p w:rsidR="00C724E0" w:rsidRPr="006D0726" w:rsidRDefault="00C724E0" w:rsidP="00C724E0">
            <w:pPr>
              <w:pStyle w:val="TableText"/>
            </w:pPr>
          </w:p>
        </w:tc>
      </w:tr>
      <w:tr w:rsidR="00C724E0" w:rsidRPr="00E87892" w:rsidTr="007C6CE2">
        <w:trPr>
          <w:trHeight w:val="198"/>
        </w:trPr>
        <w:tc>
          <w:tcPr>
            <w:tcW w:w="4253" w:type="dxa"/>
            <w:tcBorders>
              <w:top w:val="single" w:sz="4" w:space="0" w:color="522398"/>
              <w:left w:val="nil"/>
              <w:bottom w:val="single" w:sz="4" w:space="0" w:color="522398"/>
              <w:right w:val="nil"/>
            </w:tcBorders>
            <w:vAlign w:val="center"/>
          </w:tcPr>
          <w:p w:rsidR="00C724E0" w:rsidRPr="00F55C8A" w:rsidRDefault="00C724E0" w:rsidP="00C724E0">
            <w:pPr>
              <w:pStyle w:val="boczek"/>
              <w:rPr>
                <w:rStyle w:val="StylboczekCzarnyZnak"/>
                <w:color w:val="auto"/>
              </w:rPr>
            </w:pPr>
            <w:r w:rsidRPr="00F55C8A">
              <w:rPr>
                <w:rStyle w:val="StylboczekCzarnyZnak"/>
                <w:color w:val="auto"/>
              </w:rPr>
              <w:t>Sprzedaż detaliczna towarów</w:t>
            </w:r>
            <w:r w:rsidRPr="00F55C8A">
              <w:rPr>
                <w:rStyle w:val="StylboczekCzarnyZnak"/>
                <w:color w:val="auto"/>
                <w:vertAlign w:val="superscript"/>
              </w:rPr>
              <w:t xml:space="preserve"> b</w:t>
            </w:r>
            <w:r w:rsidRPr="00F55C8A">
              <w:rPr>
                <w:rStyle w:val="StylboczekCzarnyZnak"/>
                <w:color w:val="auto"/>
              </w:rPr>
              <w:t xml:space="preserve"> (w cenach bieżących):</w:t>
            </w:r>
          </w:p>
        </w:tc>
        <w:tc>
          <w:tcPr>
            <w:tcW w:w="142" w:type="dxa"/>
            <w:tcBorders>
              <w:top w:val="single" w:sz="4" w:space="0" w:color="522398"/>
              <w:left w:val="nil"/>
              <w:bottom w:val="single" w:sz="4" w:space="0" w:color="522398"/>
              <w:right w:val="single" w:sz="4" w:space="0" w:color="522398"/>
            </w:tcBorders>
            <w:vAlign w:val="center"/>
          </w:tcPr>
          <w:p w:rsidR="00C724E0" w:rsidRPr="00F55C8A" w:rsidRDefault="00C724E0" w:rsidP="00C724E0">
            <w:pPr>
              <w:pStyle w:val="a"/>
              <w:rPr>
                <w:rFonts w:ascii="Fira Sans" w:hAnsi="Fira Sans"/>
              </w:rPr>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nil"/>
            </w:tcBorders>
            <w:shd w:val="clear" w:color="auto" w:fill="auto"/>
          </w:tcPr>
          <w:p w:rsidR="00C724E0" w:rsidRPr="006D0726" w:rsidRDefault="00C724E0" w:rsidP="00C724E0">
            <w:pPr>
              <w:pStyle w:val="TableText"/>
            </w:pPr>
          </w:p>
        </w:tc>
      </w:tr>
      <w:tr w:rsidR="00C724E0" w:rsidRPr="00E87892" w:rsidTr="007C6CE2">
        <w:trPr>
          <w:trHeight w:val="198"/>
        </w:trPr>
        <w:tc>
          <w:tcPr>
            <w:tcW w:w="4253" w:type="dxa"/>
            <w:tcBorders>
              <w:top w:val="single" w:sz="4" w:space="0" w:color="522398"/>
              <w:left w:val="nil"/>
              <w:bottom w:val="single" w:sz="4" w:space="0" w:color="522398"/>
              <w:right w:val="nil"/>
            </w:tcBorders>
            <w:vAlign w:val="center"/>
          </w:tcPr>
          <w:p w:rsidR="00C724E0" w:rsidRPr="00F55C8A" w:rsidRDefault="00C724E0" w:rsidP="00C724E0">
            <w:pPr>
              <w:pStyle w:val="g3"/>
            </w:pPr>
            <w:r w:rsidRPr="00F55C8A">
              <w:t xml:space="preserve">poprzedni miesiąc=100 </w:t>
            </w:r>
            <w:r w:rsidRPr="00F55C8A">
              <w:tab/>
            </w:r>
          </w:p>
        </w:tc>
        <w:tc>
          <w:tcPr>
            <w:tcW w:w="142" w:type="dxa"/>
            <w:tcBorders>
              <w:top w:val="single" w:sz="4" w:space="0" w:color="522398"/>
              <w:left w:val="nil"/>
              <w:bottom w:val="single" w:sz="4" w:space="0" w:color="522398"/>
              <w:right w:val="single" w:sz="4" w:space="0" w:color="522398"/>
            </w:tcBorders>
            <w:vAlign w:val="center"/>
          </w:tcPr>
          <w:p w:rsidR="00C724E0" w:rsidRPr="00F55C8A" w:rsidRDefault="00C724E0" w:rsidP="00C724E0">
            <w:pPr>
              <w:pStyle w:val="a"/>
              <w:rPr>
                <w:rFonts w:ascii="Fira Sans" w:hAnsi="Fira Sans"/>
              </w:rPr>
            </w:pPr>
            <w:r w:rsidRPr="00F55C8A">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86,6</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6D0726" w:rsidRDefault="00C724E0" w:rsidP="00C724E0">
            <w:pPr>
              <w:pStyle w:val="TableText"/>
            </w:pPr>
            <w:r w:rsidRPr="006D0726">
              <w:t>98,4</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116,3</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93,7</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101,9</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101,7</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94,0</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106,8</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93,5</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108,4</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97,9</w:t>
            </w:r>
          </w:p>
        </w:tc>
        <w:tc>
          <w:tcPr>
            <w:tcW w:w="892" w:type="dxa"/>
            <w:tcBorders>
              <w:top w:val="single" w:sz="4" w:space="0" w:color="522398"/>
              <w:left w:val="single" w:sz="4" w:space="0" w:color="522398"/>
              <w:bottom w:val="single" w:sz="4" w:space="0" w:color="522398"/>
              <w:right w:val="nil"/>
            </w:tcBorders>
            <w:shd w:val="clear" w:color="auto" w:fill="auto"/>
          </w:tcPr>
          <w:p w:rsidR="00C724E0" w:rsidRPr="006D0726" w:rsidRDefault="00C724E0" w:rsidP="00C724E0">
            <w:pPr>
              <w:pStyle w:val="TableText"/>
            </w:pPr>
            <w:r w:rsidRPr="006D0726">
              <w:t>111,7</w:t>
            </w:r>
          </w:p>
        </w:tc>
      </w:tr>
      <w:tr w:rsidR="00C724E0" w:rsidRPr="00E87892" w:rsidTr="007C6CE2">
        <w:trPr>
          <w:trHeight w:val="198"/>
        </w:trPr>
        <w:tc>
          <w:tcPr>
            <w:tcW w:w="4253" w:type="dxa"/>
            <w:tcBorders>
              <w:top w:val="single" w:sz="4" w:space="0" w:color="522398"/>
              <w:left w:val="nil"/>
              <w:bottom w:val="single" w:sz="4" w:space="0" w:color="522398"/>
              <w:right w:val="nil"/>
            </w:tcBorders>
            <w:vAlign w:val="center"/>
          </w:tcPr>
          <w:p w:rsidR="00C724E0" w:rsidRPr="00F55C8A" w:rsidRDefault="00C724E0" w:rsidP="00C724E0">
            <w:pPr>
              <w:pStyle w:val="g3"/>
            </w:pPr>
          </w:p>
        </w:tc>
        <w:tc>
          <w:tcPr>
            <w:tcW w:w="142" w:type="dxa"/>
            <w:tcBorders>
              <w:top w:val="single" w:sz="4" w:space="0" w:color="522398"/>
              <w:left w:val="nil"/>
              <w:bottom w:val="single" w:sz="4" w:space="0" w:color="522398"/>
              <w:right w:val="single" w:sz="4" w:space="0" w:color="522398"/>
            </w:tcBorders>
            <w:vAlign w:val="center"/>
          </w:tcPr>
          <w:p w:rsidR="00C724E0" w:rsidRPr="00F55C8A" w:rsidRDefault="00C724E0" w:rsidP="00C724E0">
            <w:pPr>
              <w:pStyle w:val="a"/>
              <w:rPr>
                <w:rFonts w:ascii="Fira Sans" w:hAnsi="Fira Sans"/>
              </w:rPr>
            </w:pPr>
            <w:r w:rsidRPr="00F55C8A">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2576F7">
              <w:t>86,9</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6D0726" w:rsidRDefault="00C724E0" w:rsidP="00C724E0">
            <w:pPr>
              <w:pStyle w:val="TableText"/>
            </w:pPr>
            <w:r w:rsidRPr="00CD4468">
              <w:t>89,5</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nil"/>
            </w:tcBorders>
            <w:shd w:val="clear" w:color="auto" w:fill="auto"/>
          </w:tcPr>
          <w:p w:rsidR="00C724E0" w:rsidRPr="006D0726" w:rsidRDefault="00C724E0" w:rsidP="00C724E0">
            <w:pPr>
              <w:pStyle w:val="TableText"/>
            </w:pPr>
          </w:p>
        </w:tc>
      </w:tr>
      <w:tr w:rsidR="00C724E0" w:rsidRPr="00E87892" w:rsidTr="007C6CE2">
        <w:trPr>
          <w:trHeight w:val="198"/>
        </w:trPr>
        <w:tc>
          <w:tcPr>
            <w:tcW w:w="4253" w:type="dxa"/>
            <w:tcBorders>
              <w:top w:val="single" w:sz="4" w:space="0" w:color="522398"/>
              <w:left w:val="nil"/>
              <w:bottom w:val="single" w:sz="4" w:space="0" w:color="522398"/>
              <w:right w:val="nil"/>
            </w:tcBorders>
            <w:vAlign w:val="center"/>
          </w:tcPr>
          <w:p w:rsidR="00C724E0" w:rsidRPr="00107A4C" w:rsidRDefault="00C724E0" w:rsidP="00C724E0">
            <w:pPr>
              <w:pStyle w:val="g3"/>
            </w:pPr>
            <w:r w:rsidRPr="00107A4C">
              <w:t xml:space="preserve">analogiczny miesiąc poprzedniego roku=100 </w:t>
            </w:r>
            <w:r w:rsidRPr="00107A4C">
              <w:tab/>
            </w:r>
          </w:p>
        </w:tc>
        <w:tc>
          <w:tcPr>
            <w:tcW w:w="142" w:type="dxa"/>
            <w:tcBorders>
              <w:top w:val="single" w:sz="4" w:space="0" w:color="522398"/>
              <w:left w:val="nil"/>
              <w:bottom w:val="single" w:sz="4" w:space="0" w:color="522398"/>
              <w:right w:val="single" w:sz="4" w:space="0" w:color="522398"/>
            </w:tcBorders>
            <w:vAlign w:val="center"/>
          </w:tcPr>
          <w:p w:rsidR="00C724E0" w:rsidRPr="00754D58" w:rsidRDefault="00C724E0" w:rsidP="00C724E0">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115,6</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6D0726" w:rsidRDefault="00C724E0" w:rsidP="00C724E0">
            <w:pPr>
              <w:pStyle w:val="TableText"/>
            </w:pPr>
            <w:r w:rsidRPr="006D0726">
              <w:t>115,1</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115,4</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105,1</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110,2</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111,5</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104,2</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109,1</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103,8</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109,9</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109,6</w:t>
            </w:r>
          </w:p>
        </w:tc>
        <w:tc>
          <w:tcPr>
            <w:tcW w:w="892" w:type="dxa"/>
            <w:tcBorders>
              <w:top w:val="single" w:sz="4" w:space="0" w:color="522398"/>
              <w:left w:val="single" w:sz="4" w:space="0" w:color="522398"/>
              <w:bottom w:val="single" w:sz="4" w:space="0" w:color="522398"/>
              <w:right w:val="nil"/>
            </w:tcBorders>
            <w:shd w:val="clear" w:color="auto" w:fill="auto"/>
          </w:tcPr>
          <w:p w:rsidR="00C724E0" w:rsidRPr="006D0726" w:rsidRDefault="00C724E0" w:rsidP="00C724E0">
            <w:pPr>
              <w:pStyle w:val="TableText"/>
            </w:pPr>
            <w:r w:rsidRPr="006D0726">
              <w:t>107,0</w:t>
            </w:r>
          </w:p>
        </w:tc>
      </w:tr>
      <w:tr w:rsidR="00C724E0" w:rsidRPr="00E87892" w:rsidTr="007C6CE2">
        <w:trPr>
          <w:trHeight w:val="198"/>
        </w:trPr>
        <w:tc>
          <w:tcPr>
            <w:tcW w:w="4253" w:type="dxa"/>
            <w:tcBorders>
              <w:top w:val="single" w:sz="4" w:space="0" w:color="522398"/>
              <w:left w:val="nil"/>
              <w:bottom w:val="single" w:sz="4" w:space="0" w:color="522398"/>
              <w:right w:val="nil"/>
            </w:tcBorders>
            <w:vAlign w:val="center"/>
          </w:tcPr>
          <w:p w:rsidR="00C724E0" w:rsidRPr="00754D58" w:rsidRDefault="00C724E0" w:rsidP="00C724E0">
            <w:pPr>
              <w:pStyle w:val="g3"/>
            </w:pPr>
          </w:p>
        </w:tc>
        <w:tc>
          <w:tcPr>
            <w:tcW w:w="142" w:type="dxa"/>
            <w:tcBorders>
              <w:top w:val="single" w:sz="4" w:space="0" w:color="522398"/>
              <w:left w:val="nil"/>
              <w:bottom w:val="single" w:sz="4" w:space="0" w:color="522398"/>
              <w:right w:val="single" w:sz="4" w:space="0" w:color="522398"/>
            </w:tcBorders>
            <w:vAlign w:val="center"/>
          </w:tcPr>
          <w:p w:rsidR="00C724E0" w:rsidRPr="00754D58" w:rsidRDefault="00C724E0" w:rsidP="00C724E0">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2576F7">
              <w:t>107,3</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6D0726" w:rsidRDefault="00C724E0" w:rsidP="00C724E0">
            <w:pPr>
              <w:pStyle w:val="TableText"/>
            </w:pPr>
            <w:r w:rsidRPr="00CD4468">
              <w:t>97,6</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nil"/>
            </w:tcBorders>
            <w:shd w:val="clear" w:color="auto" w:fill="auto"/>
          </w:tcPr>
          <w:p w:rsidR="00C724E0" w:rsidRPr="006D0726" w:rsidRDefault="00C724E0" w:rsidP="00C724E0">
            <w:pPr>
              <w:pStyle w:val="TableText"/>
            </w:pPr>
          </w:p>
        </w:tc>
      </w:tr>
      <w:tr w:rsidR="00C724E0" w:rsidRPr="00E87892" w:rsidTr="007C6CE2">
        <w:trPr>
          <w:trHeight w:val="198"/>
        </w:trPr>
        <w:tc>
          <w:tcPr>
            <w:tcW w:w="4253" w:type="dxa"/>
            <w:tcBorders>
              <w:top w:val="single" w:sz="4" w:space="0" w:color="522398"/>
              <w:left w:val="nil"/>
              <w:bottom w:val="single" w:sz="4" w:space="0" w:color="522398"/>
              <w:right w:val="nil"/>
            </w:tcBorders>
            <w:vAlign w:val="center"/>
          </w:tcPr>
          <w:p w:rsidR="00C724E0" w:rsidRPr="00754D58" w:rsidRDefault="00C724E0" w:rsidP="00C724E0">
            <w:pPr>
              <w:pStyle w:val="boczek"/>
              <w:rPr>
                <w:color w:val="000000"/>
              </w:rPr>
            </w:pPr>
            <w:r w:rsidRPr="00754D58">
              <w:t xml:space="preserve">Wskaźnik rentowności obrotu w przedsiębiorstwach </w:t>
            </w:r>
            <w:r w:rsidRPr="00754D58">
              <w:rPr>
                <w:i/>
                <w:vertAlign w:val="superscript"/>
              </w:rPr>
              <w:t>c</w:t>
            </w:r>
          </w:p>
        </w:tc>
        <w:tc>
          <w:tcPr>
            <w:tcW w:w="142" w:type="dxa"/>
            <w:tcBorders>
              <w:top w:val="single" w:sz="4" w:space="0" w:color="522398"/>
              <w:left w:val="nil"/>
              <w:bottom w:val="single" w:sz="4" w:space="0" w:color="522398"/>
              <w:right w:val="single" w:sz="4" w:space="0" w:color="522398"/>
            </w:tcBorders>
            <w:vAlign w:val="center"/>
          </w:tcPr>
          <w:p w:rsidR="00C724E0" w:rsidRPr="00754D58" w:rsidRDefault="00C724E0" w:rsidP="00C724E0">
            <w:pPr>
              <w:pStyle w:val="a"/>
              <w:rPr>
                <w:rFonts w:ascii="Fira Sans" w:hAnsi="Fira Sans"/>
              </w:rPr>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nil"/>
            </w:tcBorders>
            <w:shd w:val="clear" w:color="auto" w:fill="auto"/>
          </w:tcPr>
          <w:p w:rsidR="00C724E0" w:rsidRPr="006D0726" w:rsidRDefault="00C724E0" w:rsidP="00C724E0">
            <w:pPr>
              <w:pStyle w:val="TableText"/>
            </w:pPr>
          </w:p>
        </w:tc>
      </w:tr>
      <w:tr w:rsidR="00C724E0" w:rsidRPr="00E87892" w:rsidTr="007C6CE2">
        <w:trPr>
          <w:trHeight w:val="198"/>
        </w:trPr>
        <w:tc>
          <w:tcPr>
            <w:tcW w:w="4253" w:type="dxa"/>
            <w:tcBorders>
              <w:top w:val="single" w:sz="4" w:space="0" w:color="522398"/>
              <w:left w:val="nil"/>
              <w:bottom w:val="single" w:sz="4" w:space="0" w:color="522398"/>
              <w:right w:val="nil"/>
            </w:tcBorders>
            <w:vAlign w:val="center"/>
          </w:tcPr>
          <w:p w:rsidR="00C724E0" w:rsidRPr="00754D58" w:rsidRDefault="00C724E0" w:rsidP="00C724E0">
            <w:pPr>
              <w:pStyle w:val="g3"/>
            </w:pPr>
            <w:r w:rsidRPr="00754D58">
              <w:t>brutto</w:t>
            </w:r>
            <w:r w:rsidRPr="00B45702">
              <w:rPr>
                <w:vertAlign w:val="superscript"/>
              </w:rPr>
              <w:t xml:space="preserve"> d</w:t>
            </w:r>
            <w:r w:rsidRPr="00754D58">
              <w:rPr>
                <w:vertAlign w:val="superscript"/>
              </w:rPr>
              <w:t xml:space="preserve"> </w:t>
            </w:r>
            <w:r w:rsidRPr="00754D58">
              <w:t>w %</w:t>
            </w:r>
            <w:r w:rsidRPr="00754D58">
              <w:tab/>
            </w:r>
          </w:p>
        </w:tc>
        <w:tc>
          <w:tcPr>
            <w:tcW w:w="142" w:type="dxa"/>
            <w:tcBorders>
              <w:top w:val="single" w:sz="4" w:space="0" w:color="522398"/>
              <w:left w:val="nil"/>
              <w:bottom w:val="single" w:sz="4" w:space="0" w:color="522398"/>
              <w:right w:val="single" w:sz="4" w:space="0" w:color="522398"/>
            </w:tcBorders>
            <w:vAlign w:val="center"/>
          </w:tcPr>
          <w:p w:rsidR="00C724E0" w:rsidRPr="00754D58" w:rsidRDefault="00C724E0" w:rsidP="00C724E0">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6D0726" w:rsidRDefault="00C724E0" w:rsidP="00C724E0">
            <w:pPr>
              <w:pStyle w:val="TableText"/>
            </w:pPr>
            <w:r w:rsidRPr="006D0726">
              <w:t>.</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4,5</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5,8</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5,2</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w:t>
            </w:r>
          </w:p>
        </w:tc>
        <w:tc>
          <w:tcPr>
            <w:tcW w:w="892" w:type="dxa"/>
            <w:tcBorders>
              <w:top w:val="single" w:sz="4" w:space="0" w:color="522398"/>
              <w:left w:val="single" w:sz="4" w:space="0" w:color="522398"/>
              <w:bottom w:val="single" w:sz="4" w:space="0" w:color="522398"/>
              <w:right w:val="nil"/>
            </w:tcBorders>
            <w:shd w:val="clear" w:color="auto" w:fill="auto"/>
          </w:tcPr>
          <w:p w:rsidR="00C724E0" w:rsidRPr="006D0726" w:rsidRDefault="00C724E0" w:rsidP="00C724E0">
            <w:pPr>
              <w:pStyle w:val="TableText"/>
            </w:pPr>
            <w:r>
              <w:t>4,8</w:t>
            </w:r>
          </w:p>
        </w:tc>
      </w:tr>
      <w:tr w:rsidR="00C724E0" w:rsidRPr="00E87892" w:rsidTr="007C6CE2">
        <w:trPr>
          <w:trHeight w:val="198"/>
        </w:trPr>
        <w:tc>
          <w:tcPr>
            <w:tcW w:w="4253" w:type="dxa"/>
            <w:tcBorders>
              <w:top w:val="single" w:sz="4" w:space="0" w:color="522398"/>
              <w:left w:val="nil"/>
              <w:bottom w:val="single" w:sz="4" w:space="0" w:color="522398"/>
              <w:right w:val="nil"/>
            </w:tcBorders>
            <w:vAlign w:val="center"/>
          </w:tcPr>
          <w:p w:rsidR="00C724E0" w:rsidRPr="00754D58" w:rsidRDefault="00C724E0" w:rsidP="00C724E0">
            <w:pPr>
              <w:pStyle w:val="g2"/>
            </w:pPr>
          </w:p>
        </w:tc>
        <w:tc>
          <w:tcPr>
            <w:tcW w:w="142" w:type="dxa"/>
            <w:tcBorders>
              <w:top w:val="single" w:sz="4" w:space="0" w:color="522398"/>
              <w:left w:val="nil"/>
              <w:bottom w:val="single" w:sz="4" w:space="0" w:color="522398"/>
              <w:right w:val="single" w:sz="4" w:space="0" w:color="522398"/>
            </w:tcBorders>
            <w:vAlign w:val="center"/>
          </w:tcPr>
          <w:p w:rsidR="00C724E0" w:rsidRPr="00754D58" w:rsidRDefault="00C724E0" w:rsidP="00C724E0">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6D0726" w:rsidRDefault="00C724E0" w:rsidP="00C724E0">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nil"/>
            </w:tcBorders>
            <w:shd w:val="clear" w:color="auto" w:fill="auto"/>
          </w:tcPr>
          <w:p w:rsidR="00C724E0" w:rsidRPr="006D0726" w:rsidRDefault="00C724E0" w:rsidP="00C724E0">
            <w:pPr>
              <w:pStyle w:val="TableText"/>
            </w:pPr>
          </w:p>
        </w:tc>
      </w:tr>
      <w:tr w:rsidR="00C724E0" w:rsidRPr="00E87892" w:rsidTr="007C6CE2">
        <w:trPr>
          <w:trHeight w:val="198"/>
        </w:trPr>
        <w:tc>
          <w:tcPr>
            <w:tcW w:w="4253" w:type="dxa"/>
            <w:tcBorders>
              <w:top w:val="single" w:sz="4" w:space="0" w:color="522398"/>
              <w:left w:val="nil"/>
              <w:bottom w:val="single" w:sz="4" w:space="0" w:color="522398"/>
              <w:right w:val="nil"/>
            </w:tcBorders>
            <w:vAlign w:val="center"/>
          </w:tcPr>
          <w:p w:rsidR="00C724E0" w:rsidRPr="00754D58" w:rsidRDefault="00C724E0" w:rsidP="00C724E0">
            <w:pPr>
              <w:pStyle w:val="g3"/>
              <w:rPr>
                <w:lang w:val="de-DE"/>
              </w:rPr>
            </w:pPr>
            <w:r w:rsidRPr="00754D58">
              <w:rPr>
                <w:rStyle w:val="StylboczekCzarnyZnak"/>
                <w:lang w:val="de-DE"/>
              </w:rPr>
              <w:t>netto</w:t>
            </w:r>
            <w:r w:rsidRPr="00B45702">
              <w:rPr>
                <w:rStyle w:val="StylboczekCzarnyZnak"/>
                <w:vertAlign w:val="superscript"/>
                <w:lang w:val="de-DE"/>
              </w:rPr>
              <w:t xml:space="preserve"> </w:t>
            </w:r>
            <w:r w:rsidRPr="00B45702">
              <w:rPr>
                <w:vertAlign w:val="superscript"/>
                <w:lang w:val="de-DE"/>
              </w:rPr>
              <w:t>e</w:t>
            </w:r>
            <w:r w:rsidRPr="00754D58">
              <w:rPr>
                <w:vertAlign w:val="superscript"/>
                <w:lang w:val="de-DE"/>
              </w:rPr>
              <w:t xml:space="preserve"> </w:t>
            </w:r>
            <w:r w:rsidRPr="00754D58">
              <w:rPr>
                <w:rStyle w:val="StylboczekCzarnyZnak"/>
                <w:lang w:val="de-DE"/>
              </w:rPr>
              <w:t>w %</w:t>
            </w:r>
            <w:r w:rsidRPr="00754D58">
              <w:rPr>
                <w:rStyle w:val="StylboczekCzarnyZnak"/>
                <w:lang w:val="de-DE"/>
              </w:rPr>
              <w:tab/>
            </w:r>
          </w:p>
        </w:tc>
        <w:tc>
          <w:tcPr>
            <w:tcW w:w="142" w:type="dxa"/>
            <w:tcBorders>
              <w:top w:val="single" w:sz="4" w:space="0" w:color="522398"/>
              <w:left w:val="nil"/>
              <w:bottom w:val="single" w:sz="4" w:space="0" w:color="522398"/>
              <w:right w:val="single" w:sz="4" w:space="0" w:color="522398"/>
            </w:tcBorders>
            <w:vAlign w:val="center"/>
          </w:tcPr>
          <w:p w:rsidR="00C724E0" w:rsidRPr="00754D58" w:rsidRDefault="00C724E0" w:rsidP="00C724E0">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6D0726" w:rsidRDefault="00C724E0" w:rsidP="00C724E0">
            <w:pPr>
              <w:pStyle w:val="TableText"/>
            </w:pPr>
            <w:r w:rsidRPr="006D0726">
              <w:t>.</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3,5</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4,8</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4,3</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w:t>
            </w:r>
          </w:p>
        </w:tc>
        <w:tc>
          <w:tcPr>
            <w:tcW w:w="892" w:type="dxa"/>
            <w:tcBorders>
              <w:top w:val="single" w:sz="4" w:space="0" w:color="522398"/>
              <w:left w:val="single" w:sz="4" w:space="0" w:color="522398"/>
              <w:bottom w:val="single" w:sz="4" w:space="0" w:color="522398"/>
              <w:right w:val="nil"/>
            </w:tcBorders>
            <w:shd w:val="clear" w:color="auto" w:fill="auto"/>
          </w:tcPr>
          <w:p w:rsidR="00C724E0" w:rsidRPr="006D0726" w:rsidRDefault="00C724E0" w:rsidP="00C724E0">
            <w:pPr>
              <w:pStyle w:val="TableText"/>
            </w:pPr>
            <w:r>
              <w:t>3,9</w:t>
            </w:r>
          </w:p>
        </w:tc>
      </w:tr>
      <w:tr w:rsidR="00C724E0" w:rsidRPr="00E87892" w:rsidTr="007C6CE2">
        <w:trPr>
          <w:trHeight w:val="198"/>
        </w:trPr>
        <w:tc>
          <w:tcPr>
            <w:tcW w:w="4253" w:type="dxa"/>
            <w:tcBorders>
              <w:top w:val="single" w:sz="4" w:space="0" w:color="522398"/>
              <w:left w:val="nil"/>
              <w:bottom w:val="single" w:sz="4" w:space="0" w:color="522398"/>
              <w:right w:val="nil"/>
            </w:tcBorders>
            <w:vAlign w:val="center"/>
          </w:tcPr>
          <w:p w:rsidR="00C724E0" w:rsidRPr="00754D58" w:rsidRDefault="00C724E0" w:rsidP="00C724E0">
            <w:pPr>
              <w:pStyle w:val="g2"/>
            </w:pPr>
          </w:p>
        </w:tc>
        <w:tc>
          <w:tcPr>
            <w:tcW w:w="142" w:type="dxa"/>
            <w:tcBorders>
              <w:top w:val="single" w:sz="4" w:space="0" w:color="522398"/>
              <w:left w:val="nil"/>
              <w:bottom w:val="single" w:sz="4" w:space="0" w:color="522398"/>
              <w:right w:val="single" w:sz="4" w:space="0" w:color="522398"/>
            </w:tcBorders>
            <w:vAlign w:val="center"/>
          </w:tcPr>
          <w:p w:rsidR="00C724E0" w:rsidRPr="00754D58" w:rsidRDefault="00C724E0" w:rsidP="00C724E0">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6D0726" w:rsidRDefault="00C724E0" w:rsidP="00C724E0">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nil"/>
            </w:tcBorders>
            <w:shd w:val="clear" w:color="auto" w:fill="auto"/>
          </w:tcPr>
          <w:p w:rsidR="00C724E0" w:rsidRPr="006D0726" w:rsidRDefault="00C724E0" w:rsidP="00C724E0">
            <w:pPr>
              <w:pStyle w:val="TableText"/>
            </w:pPr>
          </w:p>
        </w:tc>
      </w:tr>
      <w:tr w:rsidR="00C724E0" w:rsidRPr="00E87892" w:rsidTr="007C6CE2">
        <w:trPr>
          <w:trHeight w:val="198"/>
        </w:trPr>
        <w:tc>
          <w:tcPr>
            <w:tcW w:w="4253" w:type="dxa"/>
            <w:tcBorders>
              <w:top w:val="single" w:sz="4" w:space="0" w:color="522398"/>
              <w:left w:val="nil"/>
              <w:bottom w:val="single" w:sz="4" w:space="0" w:color="522398"/>
              <w:right w:val="nil"/>
            </w:tcBorders>
            <w:vAlign w:val="center"/>
          </w:tcPr>
          <w:p w:rsidR="00C724E0" w:rsidRPr="00754D58" w:rsidRDefault="00C724E0" w:rsidP="00C724E0">
            <w:pPr>
              <w:pStyle w:val="g1"/>
            </w:pPr>
            <w:r w:rsidRPr="00754D58">
              <w:t>Nakłady inwestycyjne</w:t>
            </w:r>
            <w:r w:rsidRPr="00B45702">
              <w:rPr>
                <w:vertAlign w:val="superscript"/>
              </w:rPr>
              <w:t xml:space="preserve"> c</w:t>
            </w:r>
            <w:r w:rsidRPr="00754D58">
              <w:t xml:space="preserve"> (w </w:t>
            </w:r>
            <w:r>
              <w:t>mln</w:t>
            </w:r>
            <w:r w:rsidRPr="00754D58">
              <w:t xml:space="preserve"> zł</w:t>
            </w:r>
            <w:r>
              <w:t>;</w:t>
            </w:r>
            <w:r w:rsidRPr="00754D58">
              <w:t xml:space="preserve"> ceny bieżące)</w:t>
            </w:r>
            <w:r w:rsidRPr="00754D58">
              <w:tab/>
            </w:r>
          </w:p>
        </w:tc>
        <w:tc>
          <w:tcPr>
            <w:tcW w:w="142" w:type="dxa"/>
            <w:tcBorders>
              <w:top w:val="single" w:sz="4" w:space="0" w:color="522398"/>
              <w:left w:val="nil"/>
              <w:bottom w:val="single" w:sz="4" w:space="0" w:color="522398"/>
              <w:right w:val="single" w:sz="4" w:space="0" w:color="522398"/>
            </w:tcBorders>
            <w:vAlign w:val="center"/>
          </w:tcPr>
          <w:p w:rsidR="00C724E0" w:rsidRPr="00754D58" w:rsidRDefault="00C724E0" w:rsidP="00C724E0">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6D0726" w:rsidRDefault="00C724E0" w:rsidP="00C724E0">
            <w:pPr>
              <w:pStyle w:val="TableText"/>
            </w:pPr>
            <w:r w:rsidRPr="006D0726">
              <w:t>.</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4254,1</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8894,8</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13444,0</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w:t>
            </w:r>
          </w:p>
        </w:tc>
        <w:tc>
          <w:tcPr>
            <w:tcW w:w="892" w:type="dxa"/>
            <w:tcBorders>
              <w:top w:val="single" w:sz="4" w:space="0" w:color="522398"/>
              <w:left w:val="single" w:sz="4" w:space="0" w:color="522398"/>
              <w:bottom w:val="single" w:sz="4" w:space="0" w:color="522398"/>
              <w:right w:val="nil"/>
            </w:tcBorders>
            <w:shd w:val="clear" w:color="auto" w:fill="auto"/>
          </w:tcPr>
          <w:p w:rsidR="00C724E0" w:rsidRPr="006D0726" w:rsidRDefault="00F00A19" w:rsidP="00C724E0">
            <w:pPr>
              <w:pStyle w:val="TableText"/>
            </w:pPr>
            <w:r>
              <w:t>19862,9</w:t>
            </w:r>
          </w:p>
        </w:tc>
      </w:tr>
      <w:tr w:rsidR="00C724E0" w:rsidRPr="00E87892" w:rsidTr="007C6CE2">
        <w:trPr>
          <w:trHeight w:val="198"/>
        </w:trPr>
        <w:tc>
          <w:tcPr>
            <w:tcW w:w="4253" w:type="dxa"/>
            <w:tcBorders>
              <w:top w:val="single" w:sz="4" w:space="0" w:color="522398"/>
              <w:left w:val="nil"/>
              <w:bottom w:val="single" w:sz="4" w:space="0" w:color="522398"/>
              <w:right w:val="nil"/>
            </w:tcBorders>
            <w:vAlign w:val="center"/>
          </w:tcPr>
          <w:p w:rsidR="00C724E0" w:rsidRPr="00754D58" w:rsidRDefault="00C724E0" w:rsidP="00C724E0">
            <w:pPr>
              <w:pStyle w:val="boczek"/>
            </w:pPr>
          </w:p>
        </w:tc>
        <w:tc>
          <w:tcPr>
            <w:tcW w:w="142" w:type="dxa"/>
            <w:tcBorders>
              <w:top w:val="single" w:sz="4" w:space="0" w:color="522398"/>
              <w:left w:val="nil"/>
              <w:bottom w:val="single" w:sz="4" w:space="0" w:color="522398"/>
              <w:right w:val="single" w:sz="4" w:space="0" w:color="522398"/>
            </w:tcBorders>
            <w:vAlign w:val="center"/>
          </w:tcPr>
          <w:p w:rsidR="00C724E0" w:rsidRPr="00754D58" w:rsidRDefault="00C724E0" w:rsidP="00C724E0">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6D0726" w:rsidRDefault="00C724E0" w:rsidP="00C724E0">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nil"/>
            </w:tcBorders>
            <w:shd w:val="clear" w:color="auto" w:fill="auto"/>
          </w:tcPr>
          <w:p w:rsidR="00C724E0" w:rsidRPr="006D0726" w:rsidRDefault="00C724E0" w:rsidP="00C724E0">
            <w:pPr>
              <w:pStyle w:val="TableText"/>
            </w:pPr>
          </w:p>
        </w:tc>
      </w:tr>
      <w:tr w:rsidR="00C724E0" w:rsidRPr="00E87892" w:rsidTr="007C6CE2">
        <w:trPr>
          <w:trHeight w:val="198"/>
        </w:trPr>
        <w:tc>
          <w:tcPr>
            <w:tcW w:w="4253" w:type="dxa"/>
            <w:tcBorders>
              <w:top w:val="single" w:sz="4" w:space="0" w:color="522398"/>
              <w:left w:val="nil"/>
              <w:bottom w:val="single" w:sz="4" w:space="0" w:color="522398"/>
              <w:right w:val="nil"/>
            </w:tcBorders>
            <w:vAlign w:val="center"/>
          </w:tcPr>
          <w:p w:rsidR="00C724E0" w:rsidRPr="00754D58" w:rsidRDefault="00C724E0" w:rsidP="00C724E0">
            <w:pPr>
              <w:pStyle w:val="g3"/>
            </w:pPr>
            <w:r w:rsidRPr="00754D58">
              <w:t xml:space="preserve">analogiczny okres </w:t>
            </w:r>
            <w:r>
              <w:t>poprzedniego</w:t>
            </w:r>
            <w:r w:rsidRPr="00BD4423">
              <w:t xml:space="preserve"> </w:t>
            </w:r>
            <w:r>
              <w:t xml:space="preserve">roku </w:t>
            </w:r>
            <w:r w:rsidRPr="00754D58">
              <w:t xml:space="preserve">=100 </w:t>
            </w:r>
            <w:r w:rsidRPr="00754D58">
              <w:tab/>
            </w:r>
          </w:p>
        </w:tc>
        <w:tc>
          <w:tcPr>
            <w:tcW w:w="142" w:type="dxa"/>
            <w:tcBorders>
              <w:top w:val="single" w:sz="4" w:space="0" w:color="522398"/>
              <w:left w:val="nil"/>
              <w:bottom w:val="single" w:sz="4" w:space="0" w:color="522398"/>
              <w:right w:val="single" w:sz="4" w:space="0" w:color="522398"/>
            </w:tcBorders>
            <w:vAlign w:val="center"/>
          </w:tcPr>
          <w:p w:rsidR="00C724E0" w:rsidRPr="00754D58" w:rsidRDefault="00C724E0" w:rsidP="00C724E0">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6D0726" w:rsidRDefault="00C724E0" w:rsidP="00C724E0">
            <w:pPr>
              <w:pStyle w:val="TableText"/>
            </w:pPr>
            <w:r w:rsidRPr="006D0726">
              <w:t>.</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93,0</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93,8</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91,5</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w:t>
            </w:r>
          </w:p>
        </w:tc>
        <w:tc>
          <w:tcPr>
            <w:tcW w:w="892" w:type="dxa"/>
            <w:tcBorders>
              <w:top w:val="single" w:sz="4" w:space="0" w:color="522398"/>
              <w:left w:val="single" w:sz="4" w:space="0" w:color="522398"/>
              <w:bottom w:val="single" w:sz="4" w:space="0" w:color="522398"/>
              <w:right w:val="nil"/>
            </w:tcBorders>
            <w:shd w:val="clear" w:color="auto" w:fill="auto"/>
          </w:tcPr>
          <w:p w:rsidR="00C724E0" w:rsidRPr="006D0726" w:rsidRDefault="00F00A19" w:rsidP="00C724E0">
            <w:pPr>
              <w:pStyle w:val="TableText"/>
            </w:pPr>
            <w:r>
              <w:t>91,5</w:t>
            </w:r>
          </w:p>
        </w:tc>
      </w:tr>
      <w:tr w:rsidR="00C724E0" w:rsidRPr="00E87892" w:rsidTr="007C6CE2">
        <w:trPr>
          <w:trHeight w:val="198"/>
        </w:trPr>
        <w:tc>
          <w:tcPr>
            <w:tcW w:w="4253" w:type="dxa"/>
            <w:tcBorders>
              <w:top w:val="single" w:sz="4" w:space="0" w:color="522398"/>
              <w:left w:val="nil"/>
              <w:bottom w:val="single" w:sz="4" w:space="0" w:color="522398"/>
              <w:right w:val="nil"/>
            </w:tcBorders>
            <w:vAlign w:val="center"/>
          </w:tcPr>
          <w:p w:rsidR="00C724E0" w:rsidRPr="00754D58" w:rsidRDefault="00C724E0" w:rsidP="00C724E0">
            <w:pPr>
              <w:pStyle w:val="g3"/>
            </w:pPr>
          </w:p>
        </w:tc>
        <w:tc>
          <w:tcPr>
            <w:tcW w:w="142" w:type="dxa"/>
            <w:tcBorders>
              <w:top w:val="single" w:sz="4" w:space="0" w:color="522398"/>
              <w:left w:val="nil"/>
              <w:bottom w:val="single" w:sz="4" w:space="0" w:color="522398"/>
              <w:right w:val="single" w:sz="4" w:space="0" w:color="522398"/>
            </w:tcBorders>
            <w:vAlign w:val="center"/>
          </w:tcPr>
          <w:p w:rsidR="00C724E0" w:rsidRPr="00754D58" w:rsidRDefault="00C724E0" w:rsidP="00C724E0">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6D0726" w:rsidRDefault="00C724E0" w:rsidP="00C724E0">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nil"/>
            </w:tcBorders>
            <w:shd w:val="clear" w:color="auto" w:fill="auto"/>
          </w:tcPr>
          <w:p w:rsidR="00C724E0" w:rsidRPr="006D0726" w:rsidRDefault="00C724E0" w:rsidP="00C724E0">
            <w:pPr>
              <w:pStyle w:val="TableText"/>
            </w:pPr>
          </w:p>
        </w:tc>
      </w:tr>
      <w:tr w:rsidR="00C724E0" w:rsidRPr="00E87892" w:rsidTr="007C6CE2">
        <w:trPr>
          <w:trHeight w:val="198"/>
        </w:trPr>
        <w:tc>
          <w:tcPr>
            <w:tcW w:w="4253" w:type="dxa"/>
            <w:tcBorders>
              <w:top w:val="single" w:sz="4" w:space="0" w:color="522398"/>
              <w:left w:val="nil"/>
              <w:bottom w:val="single" w:sz="4" w:space="0" w:color="522398"/>
              <w:right w:val="nil"/>
            </w:tcBorders>
            <w:vAlign w:val="center"/>
          </w:tcPr>
          <w:p w:rsidR="00C724E0" w:rsidRPr="00754D58" w:rsidRDefault="00C724E0" w:rsidP="00C724E0">
            <w:pPr>
              <w:pStyle w:val="g1"/>
              <w:rPr>
                <w:vertAlign w:val="superscript"/>
              </w:rPr>
            </w:pPr>
            <w:r w:rsidRPr="00754D58">
              <w:t>Podmioty gospodarki narodowej</w:t>
            </w:r>
            <w:r w:rsidRPr="00B45702">
              <w:rPr>
                <w:vertAlign w:val="superscript"/>
              </w:rPr>
              <w:t xml:space="preserve"> f</w:t>
            </w:r>
            <w:r w:rsidRPr="00B45702">
              <w:t xml:space="preserve"> </w:t>
            </w:r>
            <w:r w:rsidRPr="00754D58">
              <w:rPr>
                <w:rStyle w:val="StylboczekCzarnyZnak"/>
              </w:rPr>
              <w:t>(s</w:t>
            </w:r>
            <w:r w:rsidRPr="00754D58">
              <w:t>tan w końcu okresu)</w:t>
            </w:r>
          </w:p>
        </w:tc>
        <w:tc>
          <w:tcPr>
            <w:tcW w:w="142" w:type="dxa"/>
            <w:tcBorders>
              <w:top w:val="single" w:sz="4" w:space="0" w:color="522398"/>
              <w:left w:val="nil"/>
              <w:bottom w:val="single" w:sz="4" w:space="0" w:color="522398"/>
              <w:right w:val="single" w:sz="4" w:space="0" w:color="522398"/>
            </w:tcBorders>
            <w:vAlign w:val="center"/>
          </w:tcPr>
          <w:p w:rsidR="00C724E0" w:rsidRPr="00754D58" w:rsidRDefault="00C724E0" w:rsidP="00C724E0">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504816</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6D0726" w:rsidRDefault="00C724E0" w:rsidP="00C724E0">
            <w:pPr>
              <w:pStyle w:val="TableText"/>
            </w:pPr>
            <w:r w:rsidRPr="006D0726">
              <w:t>506670</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507978</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509287</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510407</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511742</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512919</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514399</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515802</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517322</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518460</w:t>
            </w:r>
          </w:p>
        </w:tc>
        <w:tc>
          <w:tcPr>
            <w:tcW w:w="892" w:type="dxa"/>
            <w:tcBorders>
              <w:top w:val="single" w:sz="4" w:space="0" w:color="522398"/>
              <w:left w:val="single" w:sz="4" w:space="0" w:color="522398"/>
              <w:bottom w:val="single" w:sz="4" w:space="0" w:color="522398"/>
              <w:right w:val="nil"/>
            </w:tcBorders>
            <w:shd w:val="clear" w:color="auto" w:fill="auto"/>
          </w:tcPr>
          <w:p w:rsidR="00C724E0" w:rsidRPr="006D0726" w:rsidRDefault="00C724E0" w:rsidP="00C724E0">
            <w:pPr>
              <w:pStyle w:val="TableText"/>
            </w:pPr>
            <w:r w:rsidRPr="006D0726">
              <w:t>518833</w:t>
            </w:r>
          </w:p>
        </w:tc>
      </w:tr>
      <w:tr w:rsidR="00C724E0" w:rsidRPr="00E87892" w:rsidTr="007C6CE2">
        <w:trPr>
          <w:trHeight w:val="198"/>
        </w:trPr>
        <w:tc>
          <w:tcPr>
            <w:tcW w:w="4253" w:type="dxa"/>
            <w:tcBorders>
              <w:top w:val="single" w:sz="4" w:space="0" w:color="522398"/>
              <w:left w:val="nil"/>
              <w:bottom w:val="single" w:sz="4" w:space="0" w:color="522398"/>
              <w:right w:val="nil"/>
            </w:tcBorders>
            <w:vAlign w:val="center"/>
          </w:tcPr>
          <w:p w:rsidR="00C724E0" w:rsidRPr="00754D58" w:rsidRDefault="00C724E0" w:rsidP="00C724E0">
            <w:pPr>
              <w:pStyle w:val="boczek"/>
            </w:pPr>
          </w:p>
        </w:tc>
        <w:tc>
          <w:tcPr>
            <w:tcW w:w="142" w:type="dxa"/>
            <w:tcBorders>
              <w:top w:val="single" w:sz="4" w:space="0" w:color="522398"/>
              <w:left w:val="nil"/>
              <w:bottom w:val="single" w:sz="4" w:space="0" w:color="522398"/>
              <w:right w:val="single" w:sz="4" w:space="0" w:color="522398"/>
            </w:tcBorders>
            <w:vAlign w:val="center"/>
          </w:tcPr>
          <w:p w:rsidR="00C724E0" w:rsidRPr="00754D58" w:rsidRDefault="00C724E0" w:rsidP="00C724E0">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AB446A">
              <w:t>519307</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6D0726" w:rsidRDefault="00C724E0" w:rsidP="00C724E0">
            <w:pPr>
              <w:pStyle w:val="TableText"/>
            </w:pPr>
            <w:r w:rsidRPr="00FF5D6D">
              <w:t>520063</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nil"/>
            </w:tcBorders>
            <w:shd w:val="clear" w:color="auto" w:fill="auto"/>
          </w:tcPr>
          <w:p w:rsidR="00C724E0" w:rsidRPr="006D0726" w:rsidRDefault="00C724E0" w:rsidP="00C724E0">
            <w:pPr>
              <w:pStyle w:val="TableText"/>
            </w:pPr>
          </w:p>
        </w:tc>
      </w:tr>
      <w:tr w:rsidR="00C724E0" w:rsidRPr="00E87892" w:rsidTr="007C6CE2">
        <w:trPr>
          <w:trHeight w:val="198"/>
        </w:trPr>
        <w:tc>
          <w:tcPr>
            <w:tcW w:w="4253" w:type="dxa"/>
            <w:tcBorders>
              <w:top w:val="single" w:sz="4" w:space="0" w:color="522398"/>
              <w:left w:val="nil"/>
              <w:bottom w:val="single" w:sz="4" w:space="0" w:color="522398"/>
              <w:right w:val="nil"/>
            </w:tcBorders>
            <w:vAlign w:val="center"/>
          </w:tcPr>
          <w:p w:rsidR="00C724E0" w:rsidRPr="00754D58" w:rsidRDefault="00C724E0" w:rsidP="00C724E0">
            <w:pPr>
              <w:pStyle w:val="g3"/>
            </w:pPr>
            <w:r w:rsidRPr="00754D58">
              <w:t>w tym spółki handlowe</w:t>
            </w:r>
            <w:r w:rsidRPr="00754D58">
              <w:tab/>
            </w:r>
          </w:p>
        </w:tc>
        <w:tc>
          <w:tcPr>
            <w:tcW w:w="142" w:type="dxa"/>
            <w:tcBorders>
              <w:top w:val="single" w:sz="4" w:space="0" w:color="522398"/>
              <w:left w:val="nil"/>
              <w:bottom w:val="single" w:sz="4" w:space="0" w:color="522398"/>
              <w:right w:val="single" w:sz="4" w:space="0" w:color="522398"/>
            </w:tcBorders>
            <w:vAlign w:val="center"/>
          </w:tcPr>
          <w:p w:rsidR="00C724E0" w:rsidRPr="00754D58" w:rsidRDefault="00C724E0" w:rsidP="00C724E0">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64209</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6D0726" w:rsidRDefault="00C724E0" w:rsidP="00C724E0">
            <w:pPr>
              <w:pStyle w:val="TableText"/>
            </w:pPr>
            <w:r w:rsidRPr="006D0726">
              <w:t>64540</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64782</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65050</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65229</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65404</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65626</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65921</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66110</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66363</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66478</w:t>
            </w:r>
          </w:p>
        </w:tc>
        <w:tc>
          <w:tcPr>
            <w:tcW w:w="892" w:type="dxa"/>
            <w:tcBorders>
              <w:top w:val="single" w:sz="4" w:space="0" w:color="522398"/>
              <w:left w:val="single" w:sz="4" w:space="0" w:color="522398"/>
              <w:bottom w:val="single" w:sz="4" w:space="0" w:color="522398"/>
              <w:right w:val="nil"/>
            </w:tcBorders>
            <w:shd w:val="clear" w:color="auto" w:fill="auto"/>
          </w:tcPr>
          <w:p w:rsidR="00C724E0" w:rsidRPr="006D0726" w:rsidRDefault="00C724E0" w:rsidP="00C724E0">
            <w:pPr>
              <w:pStyle w:val="TableText"/>
            </w:pPr>
            <w:r w:rsidRPr="006D0726">
              <w:t>66583</w:t>
            </w:r>
          </w:p>
        </w:tc>
      </w:tr>
      <w:tr w:rsidR="00C724E0" w:rsidRPr="00E87892" w:rsidTr="007C6CE2">
        <w:trPr>
          <w:trHeight w:val="198"/>
        </w:trPr>
        <w:tc>
          <w:tcPr>
            <w:tcW w:w="4253" w:type="dxa"/>
            <w:tcBorders>
              <w:top w:val="single" w:sz="4" w:space="0" w:color="522398"/>
              <w:left w:val="nil"/>
              <w:bottom w:val="single" w:sz="4" w:space="0" w:color="522398"/>
              <w:right w:val="nil"/>
            </w:tcBorders>
            <w:vAlign w:val="center"/>
          </w:tcPr>
          <w:p w:rsidR="00C724E0" w:rsidRPr="00754D58" w:rsidRDefault="00C724E0" w:rsidP="00C724E0">
            <w:pPr>
              <w:pStyle w:val="g2"/>
            </w:pPr>
          </w:p>
        </w:tc>
        <w:tc>
          <w:tcPr>
            <w:tcW w:w="142" w:type="dxa"/>
            <w:tcBorders>
              <w:top w:val="single" w:sz="4" w:space="0" w:color="522398"/>
              <w:left w:val="nil"/>
              <w:bottom w:val="single" w:sz="4" w:space="0" w:color="522398"/>
              <w:right w:val="single" w:sz="4" w:space="0" w:color="522398"/>
            </w:tcBorders>
            <w:vAlign w:val="center"/>
          </w:tcPr>
          <w:p w:rsidR="00C724E0" w:rsidRPr="00754D58" w:rsidRDefault="00C724E0" w:rsidP="00C724E0">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AB446A">
              <w:t>66737</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6D0726" w:rsidRDefault="00C724E0" w:rsidP="00C724E0">
            <w:pPr>
              <w:pStyle w:val="TableText"/>
            </w:pPr>
            <w:r w:rsidRPr="00FF5D6D">
              <w:t>66938</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single" w:sz="4" w:space="0" w:color="522398"/>
              <w:right w:val="nil"/>
            </w:tcBorders>
            <w:shd w:val="clear" w:color="auto" w:fill="auto"/>
          </w:tcPr>
          <w:p w:rsidR="00C724E0" w:rsidRPr="006D0726" w:rsidRDefault="00C724E0" w:rsidP="00C724E0">
            <w:pPr>
              <w:pStyle w:val="TableText"/>
            </w:pPr>
          </w:p>
        </w:tc>
      </w:tr>
      <w:tr w:rsidR="00C724E0" w:rsidRPr="00E87892" w:rsidTr="007C6CE2">
        <w:trPr>
          <w:trHeight w:val="45"/>
        </w:trPr>
        <w:tc>
          <w:tcPr>
            <w:tcW w:w="4253" w:type="dxa"/>
            <w:tcBorders>
              <w:top w:val="single" w:sz="4" w:space="0" w:color="522398"/>
              <w:left w:val="nil"/>
              <w:bottom w:val="single" w:sz="4" w:space="0" w:color="522398"/>
              <w:right w:val="nil"/>
            </w:tcBorders>
            <w:vAlign w:val="center"/>
          </w:tcPr>
          <w:p w:rsidR="00C724E0" w:rsidRPr="00754D58" w:rsidRDefault="00C724E0" w:rsidP="00C724E0">
            <w:pPr>
              <w:pStyle w:val="g6"/>
            </w:pPr>
            <w:r w:rsidRPr="00754D58">
              <w:t>w tym z udziałem kapitału zagranicznego</w:t>
            </w:r>
            <w:r w:rsidRPr="00754D58">
              <w:tab/>
            </w:r>
          </w:p>
        </w:tc>
        <w:tc>
          <w:tcPr>
            <w:tcW w:w="142" w:type="dxa"/>
            <w:tcBorders>
              <w:top w:val="single" w:sz="4" w:space="0" w:color="522398"/>
              <w:left w:val="nil"/>
              <w:bottom w:val="single" w:sz="4" w:space="0" w:color="522398"/>
              <w:right w:val="single" w:sz="4" w:space="0" w:color="522398"/>
            </w:tcBorders>
            <w:vAlign w:val="center"/>
          </w:tcPr>
          <w:p w:rsidR="00C724E0" w:rsidRPr="00754D58" w:rsidRDefault="00C724E0" w:rsidP="00C724E0">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6166</w:t>
            </w:r>
          </w:p>
        </w:tc>
        <w:tc>
          <w:tcPr>
            <w:tcW w:w="892" w:type="dxa"/>
            <w:tcBorders>
              <w:top w:val="single" w:sz="4" w:space="0" w:color="522398"/>
              <w:left w:val="single" w:sz="4" w:space="0" w:color="522398"/>
              <w:bottom w:val="single" w:sz="4" w:space="0" w:color="522398"/>
              <w:right w:val="single" w:sz="4" w:space="0" w:color="522398"/>
            </w:tcBorders>
            <w:shd w:val="clear" w:color="auto" w:fill="DCD3EA"/>
          </w:tcPr>
          <w:p w:rsidR="00C724E0" w:rsidRPr="006D0726" w:rsidRDefault="00C724E0" w:rsidP="00C724E0">
            <w:pPr>
              <w:pStyle w:val="TableText"/>
            </w:pPr>
            <w:r w:rsidRPr="006D0726">
              <w:t>6157</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6160</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6155</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6177</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6183</w:t>
            </w:r>
          </w:p>
        </w:tc>
        <w:tc>
          <w:tcPr>
            <w:tcW w:w="891"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6183</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6196</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6196</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6210</w:t>
            </w:r>
          </w:p>
        </w:tc>
        <w:tc>
          <w:tcPr>
            <w:tcW w:w="892" w:type="dxa"/>
            <w:tcBorders>
              <w:top w:val="single" w:sz="4" w:space="0" w:color="522398"/>
              <w:left w:val="single" w:sz="4" w:space="0" w:color="522398"/>
              <w:bottom w:val="single" w:sz="4" w:space="0" w:color="522398"/>
              <w:right w:val="single" w:sz="4" w:space="0" w:color="522398"/>
            </w:tcBorders>
            <w:shd w:val="clear" w:color="auto" w:fill="auto"/>
          </w:tcPr>
          <w:p w:rsidR="00C724E0" w:rsidRPr="006D0726" w:rsidRDefault="00C724E0" w:rsidP="00C724E0">
            <w:pPr>
              <w:pStyle w:val="TableText"/>
            </w:pPr>
            <w:r w:rsidRPr="006D0726">
              <w:t>6216</w:t>
            </w:r>
          </w:p>
        </w:tc>
        <w:tc>
          <w:tcPr>
            <w:tcW w:w="892" w:type="dxa"/>
            <w:tcBorders>
              <w:top w:val="single" w:sz="4" w:space="0" w:color="522398"/>
              <w:left w:val="single" w:sz="4" w:space="0" w:color="522398"/>
              <w:bottom w:val="single" w:sz="4" w:space="0" w:color="522398"/>
              <w:right w:val="nil"/>
            </w:tcBorders>
            <w:shd w:val="clear" w:color="auto" w:fill="auto"/>
          </w:tcPr>
          <w:p w:rsidR="00C724E0" w:rsidRPr="006D0726" w:rsidRDefault="00C724E0" w:rsidP="00C724E0">
            <w:pPr>
              <w:pStyle w:val="TableText"/>
            </w:pPr>
            <w:r w:rsidRPr="006D0726">
              <w:t>6206</w:t>
            </w:r>
          </w:p>
        </w:tc>
      </w:tr>
      <w:tr w:rsidR="00C724E0" w:rsidRPr="00E87892" w:rsidTr="007C6CE2">
        <w:trPr>
          <w:trHeight w:val="198"/>
        </w:trPr>
        <w:tc>
          <w:tcPr>
            <w:tcW w:w="4253" w:type="dxa"/>
            <w:tcBorders>
              <w:top w:val="single" w:sz="4" w:space="0" w:color="522398"/>
              <w:left w:val="nil"/>
              <w:bottom w:val="nil"/>
              <w:right w:val="nil"/>
            </w:tcBorders>
            <w:vAlign w:val="center"/>
          </w:tcPr>
          <w:p w:rsidR="00C724E0" w:rsidRPr="00754D58" w:rsidRDefault="00C724E0" w:rsidP="00C724E0">
            <w:pPr>
              <w:pStyle w:val="g3"/>
            </w:pPr>
          </w:p>
        </w:tc>
        <w:tc>
          <w:tcPr>
            <w:tcW w:w="142" w:type="dxa"/>
            <w:tcBorders>
              <w:top w:val="single" w:sz="4" w:space="0" w:color="522398"/>
              <w:left w:val="nil"/>
              <w:bottom w:val="nil"/>
              <w:right w:val="single" w:sz="4" w:space="0" w:color="522398"/>
            </w:tcBorders>
            <w:vAlign w:val="center"/>
          </w:tcPr>
          <w:p w:rsidR="00C724E0" w:rsidRPr="00754D58" w:rsidRDefault="00C724E0" w:rsidP="00C724E0">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nil"/>
              <w:right w:val="single" w:sz="4" w:space="0" w:color="522398"/>
            </w:tcBorders>
            <w:shd w:val="clear" w:color="auto" w:fill="auto"/>
          </w:tcPr>
          <w:p w:rsidR="00C724E0" w:rsidRPr="006D0726" w:rsidRDefault="00C724E0" w:rsidP="00C724E0">
            <w:pPr>
              <w:pStyle w:val="TableText"/>
            </w:pPr>
            <w:r w:rsidRPr="00AB446A">
              <w:t>6182</w:t>
            </w:r>
          </w:p>
        </w:tc>
        <w:tc>
          <w:tcPr>
            <w:tcW w:w="892" w:type="dxa"/>
            <w:tcBorders>
              <w:top w:val="single" w:sz="4" w:space="0" w:color="522398"/>
              <w:left w:val="single" w:sz="4" w:space="0" w:color="522398"/>
              <w:bottom w:val="nil"/>
              <w:right w:val="single" w:sz="4" w:space="0" w:color="522398"/>
            </w:tcBorders>
            <w:shd w:val="clear" w:color="auto" w:fill="DCD3EA"/>
          </w:tcPr>
          <w:p w:rsidR="00C724E0" w:rsidRPr="006D0726" w:rsidRDefault="00C724E0" w:rsidP="00C724E0">
            <w:pPr>
              <w:pStyle w:val="TableText"/>
            </w:pPr>
            <w:r w:rsidRPr="00FF5D6D">
              <w:t>6182</w:t>
            </w:r>
          </w:p>
        </w:tc>
        <w:tc>
          <w:tcPr>
            <w:tcW w:w="892" w:type="dxa"/>
            <w:tcBorders>
              <w:top w:val="single" w:sz="4" w:space="0" w:color="522398"/>
              <w:left w:val="single" w:sz="4" w:space="0" w:color="522398"/>
              <w:bottom w:val="nil"/>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nil"/>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nil"/>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nil"/>
              <w:right w:val="single" w:sz="4" w:space="0" w:color="522398"/>
            </w:tcBorders>
            <w:shd w:val="clear" w:color="auto" w:fill="auto"/>
          </w:tcPr>
          <w:p w:rsidR="00C724E0" w:rsidRPr="006D0726" w:rsidRDefault="00C724E0" w:rsidP="00C724E0">
            <w:pPr>
              <w:pStyle w:val="TableText"/>
            </w:pPr>
          </w:p>
        </w:tc>
        <w:tc>
          <w:tcPr>
            <w:tcW w:w="891" w:type="dxa"/>
            <w:tcBorders>
              <w:top w:val="single" w:sz="4" w:space="0" w:color="522398"/>
              <w:left w:val="single" w:sz="4" w:space="0" w:color="522398"/>
              <w:bottom w:val="nil"/>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nil"/>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nil"/>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nil"/>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nil"/>
              <w:right w:val="single" w:sz="4" w:space="0" w:color="522398"/>
            </w:tcBorders>
            <w:shd w:val="clear" w:color="auto" w:fill="auto"/>
          </w:tcPr>
          <w:p w:rsidR="00C724E0" w:rsidRPr="006D0726" w:rsidRDefault="00C724E0" w:rsidP="00C724E0">
            <w:pPr>
              <w:pStyle w:val="TableText"/>
            </w:pPr>
          </w:p>
        </w:tc>
        <w:tc>
          <w:tcPr>
            <w:tcW w:w="892" w:type="dxa"/>
            <w:tcBorders>
              <w:top w:val="single" w:sz="4" w:space="0" w:color="522398"/>
              <w:left w:val="single" w:sz="4" w:space="0" w:color="522398"/>
              <w:bottom w:val="nil"/>
              <w:right w:val="nil"/>
            </w:tcBorders>
            <w:shd w:val="clear" w:color="auto" w:fill="auto"/>
          </w:tcPr>
          <w:p w:rsidR="00C724E0" w:rsidRDefault="00C724E0" w:rsidP="00C724E0">
            <w:pPr>
              <w:pStyle w:val="TableText"/>
            </w:pPr>
          </w:p>
        </w:tc>
      </w:tr>
      <w:tr w:rsidR="00AC2227" w:rsidRPr="00E87892" w:rsidTr="002D0A49">
        <w:tc>
          <w:tcPr>
            <w:tcW w:w="15097" w:type="dxa"/>
            <w:gridSpan w:val="14"/>
            <w:tcBorders>
              <w:top w:val="nil"/>
              <w:left w:val="nil"/>
              <w:bottom w:val="nil"/>
              <w:right w:val="nil"/>
            </w:tcBorders>
            <w:vAlign w:val="center"/>
          </w:tcPr>
          <w:p w:rsidR="00AC2227" w:rsidRPr="00B45702" w:rsidRDefault="00AC2227" w:rsidP="008C3144">
            <w:pPr>
              <w:pStyle w:val="notka"/>
            </w:pPr>
            <w:r w:rsidRPr="005B26BC">
              <w:t>a Ceny bieżące bez VAT. b W przedsiębiorstwach, w których liczba pracujących przekracza 9. c W przedsiębiorstwach, w których liczba pracujących przekracza 49; dane prezentowane są narastająco. d Relacja wyniku finansowego brutto do przychodów z całokształtu działalności. e Relacja wyniku finansowego netto do przychodów z całokształtu działalności</w:t>
            </w:r>
            <w:r>
              <w:t>.</w:t>
            </w:r>
            <w:r w:rsidRPr="005B26BC">
              <w:t xml:space="preserve"> f W rejestrze REGON, bez osób prowadzących gospodarstwa indywidualne w rolnictwie.</w:t>
            </w:r>
            <w:r w:rsidR="00D5476D" w:rsidRPr="005B26BC">
              <w:t xml:space="preserve"> * Dane zmienione w stosunku do publikowanych wcześniej.</w:t>
            </w:r>
          </w:p>
        </w:tc>
      </w:tr>
      <w:bookmarkEnd w:id="69"/>
    </w:tbl>
    <w:p w:rsidR="00521456" w:rsidRDefault="00521456" w:rsidP="00465C71">
      <w:pPr>
        <w:rPr>
          <w:sz w:val="16"/>
          <w:szCs w:val="16"/>
        </w:rPr>
        <w:sectPr w:rsidR="00521456" w:rsidSect="0022458A">
          <w:pgSz w:w="16838" w:h="11906" w:orient="landscape"/>
          <w:pgMar w:top="720" w:right="720" w:bottom="720" w:left="720" w:header="170" w:footer="283" w:gutter="0"/>
          <w:cols w:space="708"/>
          <w:docGrid w:linePitch="360"/>
        </w:sectPr>
      </w:pPr>
    </w:p>
    <w:p w:rsidR="005364D5" w:rsidRDefault="005364D5" w:rsidP="005364D5">
      <w:pPr>
        <w:pStyle w:val="tekst"/>
        <w:rPr>
          <w:lang w:val="en-GB"/>
        </w:rPr>
      </w:pPr>
    </w:p>
    <w:tbl>
      <w:tblPr>
        <w:tblpPr w:leftFromText="141" w:rightFromText="141" w:vertAnchor="text" w:horzAnchor="margin" w:tblpY="38"/>
        <w:tblW w:w="4741" w:type="pct"/>
        <w:tblLayout w:type="fixed"/>
        <w:tblLook w:val="0420" w:firstRow="1" w:lastRow="0" w:firstColumn="0" w:lastColumn="0" w:noHBand="0" w:noVBand="1"/>
        <w:tblCaption w:val="accessible"/>
      </w:tblPr>
      <w:tblGrid>
        <w:gridCol w:w="4680"/>
        <w:gridCol w:w="5244"/>
      </w:tblGrid>
      <w:tr w:rsidR="005364D5" w:rsidRPr="008F3638" w:rsidTr="00830C7A">
        <w:trPr>
          <w:trHeight w:hRule="exact" w:val="454"/>
        </w:trPr>
        <w:tc>
          <w:tcPr>
            <w:tcW w:w="2358" w:type="pct"/>
            <w:vAlign w:val="center"/>
          </w:tcPr>
          <w:p w:rsidR="005364D5" w:rsidRPr="00750FD8" w:rsidRDefault="005364D5" w:rsidP="00830C7A">
            <w:pPr>
              <w:tabs>
                <w:tab w:val="left" w:pos="3612"/>
              </w:tabs>
              <w:spacing w:before="0" w:after="0" w:line="276" w:lineRule="auto"/>
              <w:rPr>
                <w:rFonts w:cs="Arial"/>
                <w:color w:val="000000" w:themeColor="text1"/>
                <w:sz w:val="20"/>
              </w:rPr>
            </w:pPr>
            <w:r w:rsidRPr="00E93155">
              <w:rPr>
                <w:rFonts w:cs="Arial"/>
                <w:color w:val="000000" w:themeColor="text1"/>
                <w:sz w:val="20"/>
              </w:rPr>
              <w:t>Opracowanie merytoryczne</w:t>
            </w:r>
            <w:r>
              <w:rPr>
                <w:rFonts w:cs="Arial"/>
                <w:color w:val="000000" w:themeColor="text1"/>
                <w:sz w:val="20"/>
              </w:rPr>
              <w:t>:</w:t>
            </w:r>
          </w:p>
        </w:tc>
        <w:tc>
          <w:tcPr>
            <w:tcW w:w="2642" w:type="pct"/>
            <w:vAlign w:val="center"/>
          </w:tcPr>
          <w:p w:rsidR="005364D5" w:rsidRPr="00894016" w:rsidRDefault="005364D5" w:rsidP="00830C7A">
            <w:pPr>
              <w:spacing w:before="0" w:after="0" w:line="276" w:lineRule="auto"/>
              <w:rPr>
                <w:sz w:val="20"/>
                <w:szCs w:val="20"/>
              </w:rPr>
            </w:pPr>
            <w:r w:rsidRPr="00894016">
              <w:rPr>
                <w:sz w:val="20"/>
                <w:szCs w:val="20"/>
              </w:rPr>
              <w:t>Rozpowszechnianie:</w:t>
            </w:r>
          </w:p>
        </w:tc>
      </w:tr>
      <w:tr w:rsidR="005364D5" w:rsidRPr="008F3638" w:rsidTr="00830C7A">
        <w:trPr>
          <w:trHeight w:hRule="exact" w:val="964"/>
        </w:trPr>
        <w:tc>
          <w:tcPr>
            <w:tcW w:w="2358" w:type="pct"/>
            <w:vAlign w:val="center"/>
          </w:tcPr>
          <w:p w:rsidR="005364D5" w:rsidRDefault="005364D5" w:rsidP="00A34247">
            <w:pPr>
              <w:tabs>
                <w:tab w:val="left" w:pos="3612"/>
              </w:tabs>
              <w:spacing w:before="0" w:after="0"/>
              <w:rPr>
                <w:rFonts w:cs="Arial"/>
                <w:b/>
                <w:color w:val="000000" w:themeColor="text1"/>
                <w:sz w:val="20"/>
              </w:rPr>
            </w:pPr>
            <w:r w:rsidRPr="00733605">
              <w:rPr>
                <w:rFonts w:cs="Arial"/>
                <w:b/>
                <w:color w:val="000000" w:themeColor="text1"/>
                <w:sz w:val="20"/>
              </w:rPr>
              <w:t>Urząd Statystyczny w Poznaniu</w:t>
            </w:r>
          </w:p>
          <w:p w:rsidR="00293CC3" w:rsidRDefault="005364D5" w:rsidP="00830C7A">
            <w:pPr>
              <w:tabs>
                <w:tab w:val="left" w:pos="3612"/>
              </w:tabs>
              <w:spacing w:before="0" w:after="0" w:line="276" w:lineRule="auto"/>
              <w:rPr>
                <w:rFonts w:cs="Arial"/>
                <w:b/>
                <w:color w:val="000000" w:themeColor="text1"/>
                <w:sz w:val="20"/>
              </w:rPr>
            </w:pPr>
            <w:r w:rsidRPr="00733605">
              <w:rPr>
                <w:rFonts w:cs="Arial"/>
                <w:b/>
                <w:color w:val="000000" w:themeColor="text1"/>
                <w:sz w:val="20"/>
              </w:rPr>
              <w:t>Dyrektor Jacek Kowalewski</w:t>
            </w:r>
          </w:p>
          <w:p w:rsidR="005364D5" w:rsidRPr="00733605" w:rsidRDefault="005D220F" w:rsidP="00830C7A">
            <w:pPr>
              <w:tabs>
                <w:tab w:val="left" w:pos="3612"/>
              </w:tabs>
              <w:spacing w:before="0" w:line="276" w:lineRule="auto"/>
              <w:rPr>
                <w:rFonts w:cs="Arial"/>
                <w:b/>
                <w:color w:val="000000" w:themeColor="text1"/>
                <w:sz w:val="20"/>
              </w:rPr>
            </w:pPr>
            <w:r>
              <w:rPr>
                <w:sz w:val="20"/>
                <w:szCs w:val="20"/>
              </w:rPr>
              <w:t>T</w:t>
            </w:r>
            <w:r w:rsidR="005364D5">
              <w:rPr>
                <w:sz w:val="20"/>
                <w:szCs w:val="20"/>
              </w:rPr>
              <w:t>el.:</w:t>
            </w:r>
            <w:r w:rsidR="005364D5" w:rsidRPr="009F7EC1">
              <w:rPr>
                <w:sz w:val="20"/>
                <w:szCs w:val="20"/>
              </w:rPr>
              <w:t xml:space="preserve"> 61 2798 266</w:t>
            </w:r>
          </w:p>
        </w:tc>
        <w:tc>
          <w:tcPr>
            <w:tcW w:w="2642" w:type="pct"/>
            <w:vAlign w:val="center"/>
          </w:tcPr>
          <w:p w:rsidR="005364D5" w:rsidRDefault="005364D5" w:rsidP="00A34247">
            <w:pPr>
              <w:spacing w:before="0" w:after="0"/>
              <w:rPr>
                <w:b/>
                <w:sz w:val="20"/>
                <w:szCs w:val="20"/>
              </w:rPr>
            </w:pPr>
            <w:r w:rsidRPr="004E2274">
              <w:rPr>
                <w:b/>
                <w:sz w:val="20"/>
                <w:szCs w:val="20"/>
              </w:rPr>
              <w:t>Wielkopolski Ośrodek Badań Regionalnych</w:t>
            </w:r>
            <w:r w:rsidRPr="00894016">
              <w:rPr>
                <w:b/>
                <w:sz w:val="20"/>
                <w:szCs w:val="20"/>
              </w:rPr>
              <w:t xml:space="preserve"> </w:t>
            </w:r>
          </w:p>
          <w:p w:rsidR="00293CC3" w:rsidRDefault="005364D5" w:rsidP="00A34247">
            <w:pPr>
              <w:spacing w:before="0" w:after="0"/>
              <w:rPr>
                <w:b/>
                <w:sz w:val="20"/>
                <w:szCs w:val="20"/>
              </w:rPr>
            </w:pPr>
            <w:r w:rsidRPr="00894016">
              <w:rPr>
                <w:b/>
                <w:sz w:val="20"/>
                <w:szCs w:val="20"/>
              </w:rPr>
              <w:t>Wojewódzkie Informatorium Statystyczne</w:t>
            </w:r>
          </w:p>
          <w:p w:rsidR="005364D5" w:rsidRPr="00894016" w:rsidRDefault="005D220F" w:rsidP="00A34247">
            <w:pPr>
              <w:spacing w:before="0"/>
              <w:rPr>
                <w:b/>
                <w:sz w:val="20"/>
                <w:szCs w:val="20"/>
              </w:rPr>
            </w:pPr>
            <w:r>
              <w:rPr>
                <w:sz w:val="20"/>
                <w:szCs w:val="20"/>
                <w:lang w:val="en-GB"/>
              </w:rPr>
              <w:t>T</w:t>
            </w:r>
            <w:r w:rsidR="005364D5" w:rsidRPr="009F7EC1">
              <w:rPr>
                <w:sz w:val="20"/>
                <w:szCs w:val="20"/>
                <w:lang w:val="en-GB"/>
              </w:rPr>
              <w:t>el</w:t>
            </w:r>
            <w:r w:rsidR="005364D5">
              <w:rPr>
                <w:sz w:val="20"/>
                <w:szCs w:val="20"/>
                <w:lang w:val="en-GB"/>
              </w:rPr>
              <w:t>.:</w:t>
            </w:r>
            <w:r w:rsidR="005364D5" w:rsidRPr="009F7EC1">
              <w:rPr>
                <w:sz w:val="20"/>
                <w:szCs w:val="20"/>
                <w:lang w:val="en-GB"/>
              </w:rPr>
              <w:t xml:space="preserve"> </w:t>
            </w:r>
            <w:r w:rsidR="005D1D2D" w:rsidRPr="00BB25AF">
              <w:rPr>
                <w:sz w:val="20"/>
              </w:rPr>
              <w:t>61 2798 3</w:t>
            </w:r>
            <w:r w:rsidR="005D1D2D">
              <w:rPr>
                <w:sz w:val="20"/>
              </w:rPr>
              <w:t xml:space="preserve">17, </w:t>
            </w:r>
            <w:r w:rsidR="005364D5" w:rsidRPr="009F7EC1">
              <w:rPr>
                <w:sz w:val="20"/>
                <w:szCs w:val="20"/>
                <w:lang w:val="en-GB"/>
              </w:rPr>
              <w:t>61 2798 320, 61 2798 323</w:t>
            </w:r>
          </w:p>
        </w:tc>
      </w:tr>
      <w:tr w:rsidR="005364D5" w:rsidRPr="008F3638" w:rsidTr="00830C7A">
        <w:trPr>
          <w:trHeight w:hRule="exact" w:val="624"/>
        </w:trPr>
        <w:tc>
          <w:tcPr>
            <w:tcW w:w="2358" w:type="pct"/>
            <w:vMerge w:val="restart"/>
          </w:tcPr>
          <w:p w:rsidR="005364D5" w:rsidRPr="00722BD2" w:rsidRDefault="005364D5" w:rsidP="00830C7A">
            <w:pPr>
              <w:tabs>
                <w:tab w:val="left" w:pos="3612"/>
              </w:tabs>
              <w:rPr>
                <w:sz w:val="20"/>
                <w:szCs w:val="20"/>
              </w:rPr>
            </w:pPr>
            <w:r w:rsidRPr="00722BD2">
              <w:rPr>
                <w:sz w:val="20"/>
                <w:szCs w:val="20"/>
              </w:rPr>
              <w:t xml:space="preserve">Współpraca z Mediami: </w:t>
            </w:r>
          </w:p>
          <w:p w:rsidR="00830C7A" w:rsidRDefault="005364D5" w:rsidP="00A34247">
            <w:pPr>
              <w:tabs>
                <w:tab w:val="left" w:pos="3612"/>
              </w:tabs>
              <w:spacing w:before="0" w:after="0"/>
              <w:rPr>
                <w:rFonts w:cs="Arial"/>
                <w:b/>
                <w:sz w:val="20"/>
                <w:szCs w:val="20"/>
              </w:rPr>
            </w:pPr>
            <w:r w:rsidRPr="00722BD2">
              <w:rPr>
                <w:rFonts w:cs="Arial"/>
                <w:b/>
                <w:sz w:val="20"/>
                <w:szCs w:val="20"/>
              </w:rPr>
              <w:t>Arleta Olbrot</w:t>
            </w:r>
          </w:p>
          <w:p w:rsidR="005364D5" w:rsidRPr="00722BD2" w:rsidRDefault="005364D5" w:rsidP="00830C7A">
            <w:pPr>
              <w:tabs>
                <w:tab w:val="left" w:pos="3612"/>
              </w:tabs>
              <w:spacing w:before="0" w:after="0"/>
              <w:rPr>
                <w:b/>
                <w:sz w:val="20"/>
                <w:szCs w:val="20"/>
              </w:rPr>
            </w:pPr>
            <w:r w:rsidRPr="00722BD2">
              <w:rPr>
                <w:b/>
                <w:sz w:val="20"/>
                <w:szCs w:val="20"/>
              </w:rPr>
              <w:t>Wielkopolski Ośrodek Badań Regionalnych</w:t>
            </w:r>
          </w:p>
          <w:p w:rsidR="005364D5" w:rsidRDefault="005D220F" w:rsidP="00A34247">
            <w:pPr>
              <w:tabs>
                <w:tab w:val="left" w:pos="3612"/>
              </w:tabs>
              <w:spacing w:before="0" w:after="0"/>
              <w:rPr>
                <w:rFonts w:cs="Arial"/>
                <w:sz w:val="20"/>
                <w:szCs w:val="20"/>
                <w:lang w:val="fi-FI"/>
              </w:rPr>
            </w:pPr>
            <w:r>
              <w:rPr>
                <w:rFonts w:cs="Arial"/>
                <w:sz w:val="20"/>
                <w:szCs w:val="20"/>
                <w:lang w:val="fi-FI"/>
              </w:rPr>
              <w:t>T</w:t>
            </w:r>
            <w:r w:rsidR="005364D5" w:rsidRPr="00722BD2">
              <w:rPr>
                <w:rFonts w:cs="Arial"/>
                <w:sz w:val="20"/>
                <w:szCs w:val="20"/>
                <w:lang w:val="fi-FI"/>
              </w:rPr>
              <w:t>el</w:t>
            </w:r>
            <w:r w:rsidR="005364D5">
              <w:rPr>
                <w:rFonts w:cs="Arial"/>
                <w:sz w:val="20"/>
                <w:szCs w:val="20"/>
                <w:lang w:val="fi-FI"/>
              </w:rPr>
              <w:t>.</w:t>
            </w:r>
            <w:r w:rsidR="005364D5" w:rsidRPr="00722BD2">
              <w:rPr>
                <w:rFonts w:cs="Arial"/>
                <w:sz w:val="20"/>
                <w:szCs w:val="20"/>
                <w:lang w:val="fi-FI"/>
              </w:rPr>
              <w:t>: 61 2798 345</w:t>
            </w:r>
          </w:p>
          <w:p w:rsidR="005364D5" w:rsidRPr="00722BD2" w:rsidRDefault="005364D5" w:rsidP="00A34247">
            <w:pPr>
              <w:tabs>
                <w:tab w:val="left" w:pos="3612"/>
              </w:tabs>
              <w:spacing w:before="0"/>
              <w:rPr>
                <w:rFonts w:cs="Arial"/>
                <w:sz w:val="20"/>
                <w:szCs w:val="20"/>
                <w:lang w:val="fi-FI"/>
              </w:rPr>
            </w:pPr>
            <w:r w:rsidRPr="00722BD2">
              <w:rPr>
                <w:rFonts w:cs="Arial"/>
                <w:b/>
                <w:sz w:val="20"/>
                <w:szCs w:val="20"/>
                <w:lang w:val="en-GB"/>
              </w:rPr>
              <w:t xml:space="preserve">e-mail: </w:t>
            </w:r>
            <w:hyperlink r:id="rId36" w:tgtFrame="none" w:history="1">
              <w:r w:rsidRPr="00722BD2">
                <w:rPr>
                  <w:rStyle w:val="Hipercze"/>
                  <w:rFonts w:cs="Arial"/>
                  <w:b/>
                  <w:color w:val="auto"/>
                  <w:sz w:val="20"/>
                  <w:szCs w:val="20"/>
                  <w:lang w:val="en-GB"/>
                </w:rPr>
                <w:t>a.olbrot@stat.gov.pl</w:t>
              </w:r>
            </w:hyperlink>
          </w:p>
          <w:p w:rsidR="005364D5" w:rsidRPr="00F05FC7" w:rsidRDefault="005364D5" w:rsidP="00830C7A">
            <w:pPr>
              <w:tabs>
                <w:tab w:val="left" w:pos="3612"/>
              </w:tabs>
              <w:rPr>
                <w:sz w:val="18"/>
                <w:lang w:val="en-US"/>
              </w:rPr>
            </w:pPr>
          </w:p>
        </w:tc>
        <w:tc>
          <w:tcPr>
            <w:tcW w:w="2642" w:type="pct"/>
            <w:vAlign w:val="center"/>
          </w:tcPr>
          <w:p w:rsidR="005364D5" w:rsidRPr="005A30E9" w:rsidRDefault="005364D5" w:rsidP="00830C7A">
            <w:pPr>
              <w:ind w:firstLine="680"/>
              <w:rPr>
                <w:sz w:val="18"/>
              </w:rPr>
            </w:pPr>
            <w:r w:rsidRPr="005A30E9">
              <w:rPr>
                <w:noProof/>
                <w:lang w:eastAsia="pl-PL"/>
              </w:rPr>
              <w:drawing>
                <wp:anchor distT="0" distB="0" distL="114300" distR="114300" simplePos="0" relativeHeight="252917248" behindDoc="0" locked="0" layoutInCell="1" allowOverlap="1" wp14:anchorId="0F3485EB" wp14:editId="6D024DE7">
                  <wp:simplePos x="0" y="0"/>
                  <wp:positionH relativeFrom="column">
                    <wp:posOffset>78740</wp:posOffset>
                  </wp:positionH>
                  <wp:positionV relativeFrom="paragraph">
                    <wp:posOffset>20320</wp:posOffset>
                  </wp:positionV>
                  <wp:extent cx="251460" cy="251460"/>
                  <wp:effectExtent l="0" t="0" r="0" b="0"/>
                  <wp:wrapNone/>
                  <wp:docPr id="22" name="Obraz 22" descr="Ikonka strony 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38" w:tooltip="Strona Urzędu Statystycznego w Poznaniu" w:history="1">
              <w:r w:rsidRPr="005A30E9">
                <w:rPr>
                  <w:rStyle w:val="Hipercze"/>
                  <w:color w:val="auto"/>
                </w:rPr>
                <w:t>poznan.stat.gov.pl</w:t>
              </w:r>
            </w:hyperlink>
          </w:p>
        </w:tc>
      </w:tr>
      <w:tr w:rsidR="005364D5" w:rsidRPr="008F3638" w:rsidTr="00830C7A">
        <w:trPr>
          <w:trHeight w:hRule="exact" w:val="624"/>
        </w:trPr>
        <w:tc>
          <w:tcPr>
            <w:tcW w:w="2358" w:type="pct"/>
            <w:vMerge/>
          </w:tcPr>
          <w:p w:rsidR="005364D5" w:rsidRPr="00C91687" w:rsidRDefault="005364D5" w:rsidP="00830C7A">
            <w:pPr>
              <w:tabs>
                <w:tab w:val="left" w:pos="3612"/>
              </w:tabs>
              <w:rPr>
                <w:b/>
                <w:sz w:val="20"/>
              </w:rPr>
            </w:pPr>
          </w:p>
        </w:tc>
        <w:tc>
          <w:tcPr>
            <w:tcW w:w="2642" w:type="pct"/>
            <w:vAlign w:val="center"/>
          </w:tcPr>
          <w:p w:rsidR="005364D5" w:rsidRPr="005A30E9" w:rsidRDefault="005364D5" w:rsidP="00830C7A">
            <w:pPr>
              <w:ind w:firstLine="680"/>
              <w:rPr>
                <w:sz w:val="18"/>
              </w:rPr>
            </w:pPr>
            <w:r>
              <w:rPr>
                <w:noProof/>
                <w:lang w:eastAsia="pl-PL"/>
              </w:rPr>
              <w:drawing>
                <wp:anchor distT="0" distB="0" distL="114300" distR="114300" simplePos="0" relativeHeight="252920320" behindDoc="0" locked="0" layoutInCell="1" allowOverlap="1" wp14:anchorId="0C738657" wp14:editId="46F56EFA">
                  <wp:simplePos x="0" y="0"/>
                  <wp:positionH relativeFrom="column">
                    <wp:posOffset>81915</wp:posOffset>
                  </wp:positionH>
                  <wp:positionV relativeFrom="paragraph">
                    <wp:posOffset>31115</wp:posOffset>
                  </wp:positionV>
                  <wp:extent cx="251460" cy="251460"/>
                  <wp:effectExtent l="0" t="0" r="0" b="0"/>
                  <wp:wrapNone/>
                  <wp:docPr id="24" name="Obraz 22" descr="Ikona portalu X (dawniej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2" descr="Ikonka twittera"/>
                          <pic:cNvPicPr>
                            <a:picLocks noChangeAspect="1" noChangeArrowheads="1"/>
                          </pic:cNvPicPr>
                        </pic:nvPicPr>
                        <pic:blipFill>
                          <a:blip r:embed="rId39" cstate="print">
                            <a:extLst>
                              <a:ext uri="{28A0092B-C50C-407E-A947-70E740481C1C}">
                                <a14:useLocalDpi xmlns:a14="http://schemas.microsoft.com/office/drawing/2010/main" val="0"/>
                              </a:ext>
                            </a:extLst>
                          </a:blip>
                          <a:stretch>
                            <a:fillRect/>
                          </a:stretch>
                        </pic:blipFill>
                        <pic:spPr bwMode="auto">
                          <a:xfrm>
                            <a:off x="0" y="0"/>
                            <a:ext cx="251460" cy="25146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40" w:tooltip="X (dawniej twitter) – Urząd Statystyczny w Poznaniu" w:history="1">
              <w:r w:rsidRPr="005A30E9">
                <w:rPr>
                  <w:rStyle w:val="Hipercze"/>
                  <w:color w:val="auto"/>
                </w:rPr>
                <w:t>@Poznan_STAT</w:t>
              </w:r>
            </w:hyperlink>
          </w:p>
        </w:tc>
      </w:tr>
      <w:tr w:rsidR="005364D5" w:rsidRPr="008F3638" w:rsidTr="00830C7A">
        <w:trPr>
          <w:trHeight w:hRule="exact" w:val="624"/>
        </w:trPr>
        <w:tc>
          <w:tcPr>
            <w:tcW w:w="2358" w:type="pct"/>
            <w:vMerge/>
          </w:tcPr>
          <w:p w:rsidR="005364D5" w:rsidRPr="00C91687" w:rsidRDefault="005364D5" w:rsidP="00830C7A">
            <w:pPr>
              <w:tabs>
                <w:tab w:val="left" w:pos="3612"/>
              </w:tabs>
              <w:rPr>
                <w:b/>
                <w:sz w:val="20"/>
              </w:rPr>
            </w:pPr>
          </w:p>
        </w:tc>
        <w:tc>
          <w:tcPr>
            <w:tcW w:w="2642" w:type="pct"/>
          </w:tcPr>
          <w:p w:rsidR="005364D5" w:rsidRPr="005A30E9" w:rsidRDefault="00830C7A" w:rsidP="00830C7A">
            <w:pPr>
              <w:ind w:firstLine="680"/>
              <w:rPr>
                <w:b/>
                <w:noProof/>
                <w:sz w:val="20"/>
              </w:rPr>
            </w:pPr>
            <w:r w:rsidRPr="005A30E9">
              <w:rPr>
                <w:noProof/>
                <w:sz w:val="20"/>
                <w:lang w:eastAsia="pl-PL"/>
              </w:rPr>
              <w:drawing>
                <wp:anchor distT="0" distB="0" distL="114300" distR="114300" simplePos="0" relativeHeight="252919296" behindDoc="0" locked="0" layoutInCell="1" allowOverlap="1" wp14:anchorId="5E70058D" wp14:editId="0A91ED09">
                  <wp:simplePos x="0" y="0"/>
                  <wp:positionH relativeFrom="column">
                    <wp:posOffset>86360</wp:posOffset>
                  </wp:positionH>
                  <wp:positionV relativeFrom="paragraph">
                    <wp:posOffset>443865</wp:posOffset>
                  </wp:positionV>
                  <wp:extent cx="251460" cy="251460"/>
                  <wp:effectExtent l="0" t="0" r="0" b="0"/>
                  <wp:wrapNone/>
                  <wp:docPr id="29" name="Obraz 29" descr="Ikona You 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42" w:tooltip="Facebook – Urząd Statystyczny w Poznaniu" w:history="1">
              <w:r w:rsidR="005364D5" w:rsidRPr="00F92FB5">
                <w:rPr>
                  <w:rStyle w:val="Hipercze"/>
                  <w:rFonts w:cstheme="minorBidi"/>
                  <w:noProof/>
                  <w:color w:val="auto"/>
                  <w:lang w:eastAsia="pl-PL"/>
                </w:rPr>
                <w:drawing>
                  <wp:anchor distT="0" distB="0" distL="114300" distR="114300" simplePos="0" relativeHeight="252918272" behindDoc="0" locked="0" layoutInCell="1" allowOverlap="1" wp14:anchorId="50AF4F93" wp14:editId="708CA3AD">
                    <wp:simplePos x="0" y="0"/>
                    <wp:positionH relativeFrom="column">
                      <wp:posOffset>80645</wp:posOffset>
                    </wp:positionH>
                    <wp:positionV relativeFrom="paragraph">
                      <wp:posOffset>46167</wp:posOffset>
                    </wp:positionV>
                    <wp:extent cx="251460" cy="251460"/>
                    <wp:effectExtent l="0" t="0" r="0" b="0"/>
                    <wp:wrapNone/>
                    <wp:docPr id="28" name="Obraz 28" descr="Ikonka faceboo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5364D5" w:rsidRPr="00F92FB5">
                <w:rPr>
                  <w:rStyle w:val="Hipercze"/>
                  <w:rFonts w:cstheme="minorBidi"/>
                  <w:color w:val="auto"/>
                </w:rPr>
                <w:t>@Pozna</w:t>
              </w:r>
              <w:r w:rsidR="005364D5" w:rsidRPr="005A0E80">
                <w:rPr>
                  <w:rStyle w:val="Hipercze"/>
                  <w:rFonts w:cstheme="minorBidi"/>
                  <w:color w:val="auto"/>
                </w:rPr>
                <w:t>nSTAT</w:t>
              </w:r>
            </w:hyperlink>
          </w:p>
        </w:tc>
      </w:tr>
      <w:tr w:rsidR="005364D5" w:rsidRPr="008F3638" w:rsidTr="00830C7A">
        <w:trPr>
          <w:trHeight w:hRule="exact" w:val="510"/>
        </w:trPr>
        <w:tc>
          <w:tcPr>
            <w:tcW w:w="2358" w:type="pct"/>
          </w:tcPr>
          <w:p w:rsidR="005364D5" w:rsidRPr="00C91687" w:rsidRDefault="005364D5" w:rsidP="00830C7A">
            <w:pPr>
              <w:tabs>
                <w:tab w:val="left" w:pos="3612"/>
              </w:tabs>
              <w:rPr>
                <w:b/>
                <w:sz w:val="20"/>
              </w:rPr>
            </w:pPr>
          </w:p>
        </w:tc>
        <w:tc>
          <w:tcPr>
            <w:tcW w:w="2642" w:type="pct"/>
          </w:tcPr>
          <w:p w:rsidR="005364D5" w:rsidRPr="005A30E9" w:rsidRDefault="005364D5" w:rsidP="00830C7A">
            <w:pPr>
              <w:ind w:firstLine="680"/>
              <w:rPr>
                <w:sz w:val="18"/>
              </w:rPr>
            </w:pPr>
            <w:r w:rsidRPr="005A30E9">
              <w:rPr>
                <w:sz w:val="20"/>
              </w:rPr>
              <w:t>@</w:t>
            </w:r>
            <w:hyperlink r:id="rId44" w:tooltip="link do youtube US Poznań" w:history="1">
              <w:r w:rsidRPr="005A30E9">
                <w:rPr>
                  <w:rStyle w:val="Hipercze"/>
                  <w:rFonts w:cstheme="minorBidi"/>
                  <w:color w:val="auto"/>
                  <w:sz w:val="20"/>
                </w:rPr>
                <w:t>UrzadStatystycznywPoznaniu</w:t>
              </w:r>
            </w:hyperlink>
          </w:p>
        </w:tc>
      </w:tr>
    </w:tbl>
    <w:p w:rsidR="00750FD8" w:rsidRPr="003439F1" w:rsidRDefault="000B2CD0" w:rsidP="00591DA8">
      <w:pPr>
        <w:rPr>
          <w:sz w:val="18"/>
          <w:lang w:val="en-GB"/>
        </w:rPr>
      </w:pPr>
      <w:r w:rsidRPr="008D3734">
        <w:rPr>
          <w:noProof/>
          <w:color w:val="FF0000"/>
          <w:sz w:val="18"/>
          <w:lang w:eastAsia="pl-PL"/>
        </w:rPr>
        <mc:AlternateContent>
          <mc:Choice Requires="wps">
            <w:drawing>
              <wp:anchor distT="45720" distB="45720" distL="114300" distR="114300" simplePos="0" relativeHeight="251735552" behindDoc="0" locked="0" layoutInCell="1" allowOverlap="1" wp14:anchorId="310D5B39" wp14:editId="68716B3A">
                <wp:simplePos x="0" y="0"/>
                <wp:positionH relativeFrom="margin">
                  <wp:posOffset>-19050</wp:posOffset>
                </wp:positionH>
                <wp:positionV relativeFrom="paragraph">
                  <wp:posOffset>2552700</wp:posOffset>
                </wp:positionV>
                <wp:extent cx="6686550" cy="6372225"/>
                <wp:effectExtent l="0" t="0" r="19050" b="28575"/>
                <wp:wrapSquare wrapText="bothSides"/>
                <wp:docPr id="10" name="Pole tekstowe 2" descr="&quot;&quo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6550" cy="6372225"/>
                        </a:xfrm>
                        <a:prstGeom prst="rect">
                          <a:avLst/>
                        </a:prstGeom>
                        <a:solidFill>
                          <a:schemeClr val="bg1">
                            <a:lumMod val="95000"/>
                          </a:schemeClr>
                        </a:solidFill>
                        <a:ln w="9525">
                          <a:solidFill>
                            <a:schemeClr val="bg1"/>
                          </a:solidFill>
                          <a:miter lim="800000"/>
                          <a:headEnd/>
                          <a:tailEnd/>
                        </a:ln>
                      </wps:spPr>
                      <wps:txbx>
                        <w:txbxContent>
                          <w:p w:rsidR="00484427" w:rsidRPr="00D20766" w:rsidRDefault="00484427" w:rsidP="00A9395A">
                            <w:pPr>
                              <w:rPr>
                                <w:b/>
                              </w:rPr>
                            </w:pPr>
                            <w:r w:rsidRPr="00D20766">
                              <w:rPr>
                                <w:b/>
                              </w:rPr>
                              <w:t>Powiązane opracowania</w:t>
                            </w:r>
                          </w:p>
                          <w:p w:rsidR="00484427" w:rsidRPr="00750669" w:rsidRDefault="003F5924" w:rsidP="00A9395A">
                            <w:pPr>
                              <w:rPr>
                                <w:rStyle w:val="Hipercze"/>
                                <w:rFonts w:cs="Arial"/>
                                <w:color w:val="001D77"/>
                                <w:sz w:val="18"/>
                                <w:szCs w:val="30"/>
                                <w:shd w:val="clear" w:color="auto" w:fill="F0F0F0"/>
                              </w:rPr>
                            </w:pPr>
                            <w:hyperlink r:id="rId45" w:tooltip="link do publikacji GUS Sytuacja społeczno-gospodarcza kraju w lutym 2025 r." w:history="1">
                              <w:r w:rsidR="00484427" w:rsidRPr="002C047D">
                                <w:rPr>
                                  <w:rStyle w:val="Hipercze"/>
                                  <w:color w:val="001D77"/>
                                  <w:sz w:val="18"/>
                                  <w:szCs w:val="18"/>
                                </w:rPr>
                                <w:t xml:space="preserve">Sytuacja społeczno-gospodarcza kraju </w:t>
                              </w:r>
                              <w:r w:rsidR="00484427">
                                <w:rPr>
                                  <w:rStyle w:val="Hipercze"/>
                                  <w:color w:val="001D77"/>
                                  <w:sz w:val="18"/>
                                  <w:szCs w:val="18"/>
                                </w:rPr>
                                <w:t>w lutym 2025 r.</w:t>
                              </w:r>
                            </w:hyperlink>
                          </w:p>
                          <w:p w:rsidR="00484427" w:rsidRPr="00EA4CEA" w:rsidRDefault="00484427" w:rsidP="00A9395A">
                            <w:pPr>
                              <w:rPr>
                                <w:rStyle w:val="Hipercze"/>
                                <w:color w:val="001D77"/>
                                <w:sz w:val="18"/>
                                <w:szCs w:val="18"/>
                              </w:rPr>
                            </w:pPr>
                            <w:r w:rsidRPr="00EA4CEA">
                              <w:rPr>
                                <w:rStyle w:val="Hipercze"/>
                                <w:color w:val="001D77"/>
                                <w:sz w:val="18"/>
                                <w:szCs w:val="18"/>
                              </w:rPr>
                              <w:fldChar w:fldCharType="begin"/>
                            </w:r>
                            <w:r>
                              <w:rPr>
                                <w:rStyle w:val="Hipercze"/>
                                <w:color w:val="001D77"/>
                                <w:sz w:val="18"/>
                                <w:szCs w:val="18"/>
                              </w:rPr>
                              <w:instrText>HYPERLINK "https://stat.gov.pl/obszary-tematyczne/inne-opracowania/informacje-o-sytuacji-spoleczno-gospodarczej/biuletyn-statystyczny-nr-22025,4,159.html" \o "link do biuletynu GUS luty 2025"</w:instrText>
                            </w:r>
                            <w:r w:rsidRPr="00EA4CEA">
                              <w:rPr>
                                <w:rStyle w:val="Hipercze"/>
                                <w:color w:val="001D77"/>
                                <w:sz w:val="18"/>
                                <w:szCs w:val="18"/>
                              </w:rPr>
                              <w:fldChar w:fldCharType="separate"/>
                            </w:r>
                            <w:r w:rsidRPr="00EA4CEA">
                              <w:rPr>
                                <w:rStyle w:val="Hipercze"/>
                                <w:color w:val="001D77"/>
                                <w:sz w:val="18"/>
                                <w:szCs w:val="18"/>
                              </w:rPr>
                              <w:t>Biuletyn St</w:t>
                            </w:r>
                            <w:r w:rsidRPr="002C047D">
                              <w:rPr>
                                <w:rStyle w:val="Hipercze"/>
                                <w:color w:val="001D77"/>
                                <w:sz w:val="18"/>
                                <w:szCs w:val="18"/>
                              </w:rPr>
                              <w:t>atystyczn</w:t>
                            </w:r>
                            <w:r w:rsidRPr="00EA4CEA">
                              <w:rPr>
                                <w:rStyle w:val="Hipercze"/>
                                <w:color w:val="001D77"/>
                                <w:sz w:val="18"/>
                                <w:szCs w:val="18"/>
                              </w:rPr>
                              <w:t>y</w:t>
                            </w:r>
                            <w:r w:rsidRPr="00EA4CEA">
                              <w:rPr>
                                <w:rStyle w:val="Hipercze"/>
                                <w:rFonts w:cstheme="minorBidi"/>
                                <w:color w:val="001D77"/>
                                <w:sz w:val="18"/>
                                <w:szCs w:val="18"/>
                              </w:rPr>
                              <w:t xml:space="preserve"> Nr </w:t>
                            </w:r>
                            <w:r>
                              <w:rPr>
                                <w:rStyle w:val="Hipercze"/>
                                <w:rFonts w:cstheme="minorBidi"/>
                                <w:color w:val="001D77"/>
                                <w:sz w:val="18"/>
                                <w:szCs w:val="18"/>
                              </w:rPr>
                              <w:t>02</w:t>
                            </w:r>
                            <w:r w:rsidRPr="00EA4CEA">
                              <w:rPr>
                                <w:rStyle w:val="Hipercze"/>
                                <w:rFonts w:cstheme="minorBidi"/>
                                <w:color w:val="001D77"/>
                                <w:sz w:val="18"/>
                                <w:szCs w:val="18"/>
                              </w:rPr>
                              <w:t>/202</w:t>
                            </w:r>
                            <w:r>
                              <w:rPr>
                                <w:rStyle w:val="Hipercze"/>
                                <w:rFonts w:cstheme="minorBidi"/>
                                <w:color w:val="001D77"/>
                                <w:sz w:val="18"/>
                                <w:szCs w:val="18"/>
                              </w:rPr>
                              <w:t>5</w:t>
                            </w:r>
                          </w:p>
                          <w:p w:rsidR="00484427" w:rsidRPr="00D20766" w:rsidRDefault="00484427" w:rsidP="007D4E70">
                            <w:pPr>
                              <w:spacing w:before="360"/>
                              <w:rPr>
                                <w:b/>
                                <w:color w:val="000000" w:themeColor="text1"/>
                                <w:szCs w:val="24"/>
                              </w:rPr>
                            </w:pPr>
                            <w:r w:rsidRPr="00EA4CEA">
                              <w:rPr>
                                <w:rStyle w:val="Hipercze"/>
                                <w:color w:val="001D77"/>
                                <w:sz w:val="18"/>
                                <w:szCs w:val="18"/>
                              </w:rPr>
                              <w:fldChar w:fldCharType="end"/>
                            </w:r>
                            <w:r w:rsidRPr="00D20766">
                              <w:rPr>
                                <w:b/>
                                <w:color w:val="000000" w:themeColor="text1"/>
                                <w:szCs w:val="24"/>
                              </w:rPr>
                              <w:t>Temat dostępny w bazach danych</w:t>
                            </w:r>
                          </w:p>
                          <w:p w:rsidR="00484427" w:rsidRPr="005B19C1" w:rsidRDefault="003F5924" w:rsidP="00A9395A">
                            <w:pPr>
                              <w:rPr>
                                <w:color w:val="001D77"/>
                                <w:sz w:val="18"/>
                                <w:szCs w:val="18"/>
                              </w:rPr>
                            </w:pPr>
                            <w:hyperlink r:id="rId46" w:tooltip="link do bazy SWAiD" w:history="1">
                              <w:r w:rsidR="00484427" w:rsidRPr="00853FEE">
                                <w:rPr>
                                  <w:rStyle w:val="Hipercze"/>
                                  <w:color w:val="001D77"/>
                                  <w:sz w:val="18"/>
                                  <w:szCs w:val="18"/>
                                </w:rPr>
                                <w:t>Dziedzinowe Bazy Wi</w:t>
                              </w:r>
                              <w:r w:rsidR="00484427" w:rsidRPr="005B19C1">
                                <w:rPr>
                                  <w:rStyle w:val="Hipercze"/>
                                  <w:color w:val="001D77"/>
                                  <w:sz w:val="18"/>
                                  <w:szCs w:val="18"/>
                                </w:rPr>
                                <w:t>edzy</w:t>
                              </w:r>
                            </w:hyperlink>
                          </w:p>
                          <w:p w:rsidR="00484427" w:rsidRPr="00FD612C" w:rsidRDefault="003F5924" w:rsidP="00A9395A">
                            <w:pPr>
                              <w:rPr>
                                <w:b/>
                                <w:color w:val="000000" w:themeColor="text1"/>
                                <w:szCs w:val="24"/>
                              </w:rPr>
                            </w:pPr>
                            <w:hyperlink r:id="rId47" w:tooltip="link do bazy BDL" w:history="1">
                              <w:r w:rsidR="00484427" w:rsidRPr="005B19C1">
                                <w:rPr>
                                  <w:rStyle w:val="Hipercze"/>
                                  <w:color w:val="001D77"/>
                                  <w:sz w:val="18"/>
                                  <w:szCs w:val="18"/>
                                </w:rPr>
                                <w:t>Bank Danych Lokalnych (BDL)</w:t>
                              </w:r>
                            </w:hyperlink>
                          </w:p>
                          <w:p w:rsidR="00484427" w:rsidRDefault="00484427" w:rsidP="007D4E70">
                            <w:pPr>
                              <w:spacing w:before="360"/>
                              <w:rPr>
                                <w:b/>
                                <w:color w:val="000000" w:themeColor="text1"/>
                                <w:szCs w:val="24"/>
                              </w:rPr>
                            </w:pPr>
                            <w:r>
                              <w:rPr>
                                <w:b/>
                                <w:color w:val="000000" w:themeColor="text1"/>
                                <w:szCs w:val="24"/>
                              </w:rPr>
                              <w:t>Ważniejsze</w:t>
                            </w:r>
                            <w:r w:rsidRPr="00505A92">
                              <w:rPr>
                                <w:b/>
                                <w:color w:val="000000" w:themeColor="text1"/>
                                <w:szCs w:val="24"/>
                              </w:rPr>
                              <w:t xml:space="preserve"> pojęcia dostępne w słowniku</w:t>
                            </w:r>
                          </w:p>
                          <w:p w:rsidR="00484427" w:rsidRPr="008E6C31" w:rsidRDefault="00484427" w:rsidP="00A9395A">
                            <w:pPr>
                              <w:spacing w:line="220" w:lineRule="exact"/>
                              <w:rPr>
                                <w:rStyle w:val="Hipercze"/>
                                <w:rFonts w:cstheme="minorBidi"/>
                                <w:color w:val="002060"/>
                              </w:rPr>
                            </w:pPr>
                            <w:r w:rsidRPr="008E6C31">
                              <w:rPr>
                                <w:rStyle w:val="Hipercze"/>
                                <w:rFonts w:cstheme="minorBidi"/>
                                <w:color w:val="002060"/>
                              </w:rPr>
                              <w:fldChar w:fldCharType="begin"/>
                            </w:r>
                            <w:r>
                              <w:rPr>
                                <w:rStyle w:val="Hipercze"/>
                                <w:rFonts w:cstheme="minorBidi"/>
                                <w:color w:val="002060"/>
                              </w:rPr>
                              <w:instrText>HYPERLINK "https://stat.gov.pl/metainformacje/slownik-pojec/pojecia-stosowane-w-statystyce-publicznej/376,pojecie.html" \o "link do słownika pojęć stosowanych w statystyce publicznej"</w:instrText>
                            </w:r>
                            <w:r w:rsidRPr="008E6C31">
                              <w:rPr>
                                <w:rStyle w:val="Hipercze"/>
                                <w:rFonts w:cstheme="minorBidi"/>
                                <w:color w:val="002060"/>
                              </w:rPr>
                              <w:fldChar w:fldCharType="separate"/>
                            </w:r>
                            <w:r w:rsidRPr="008E6C31">
                              <w:rPr>
                                <w:rStyle w:val="Hipercze"/>
                                <w:rFonts w:cstheme="minorBidi"/>
                                <w:color w:val="002060"/>
                              </w:rPr>
                              <w:t>Przeciętne zatrudnienie</w:t>
                            </w:r>
                          </w:p>
                          <w:p w:rsidR="00484427" w:rsidRPr="005B19C1" w:rsidRDefault="00484427" w:rsidP="00A9395A">
                            <w:pPr>
                              <w:spacing w:line="220" w:lineRule="exact"/>
                              <w:rPr>
                                <w:color w:val="001D77"/>
                              </w:rPr>
                            </w:pPr>
                            <w:r w:rsidRPr="008E6C31">
                              <w:rPr>
                                <w:rStyle w:val="Hipercze"/>
                                <w:rFonts w:cstheme="minorBidi"/>
                                <w:color w:val="002060"/>
                              </w:rPr>
                              <w:fldChar w:fldCharType="end"/>
                            </w:r>
                            <w:hyperlink r:id="rId48" w:tooltip="link do słownika pojęć stosowanych w statystyce publicznej" w:history="1">
                              <w:r w:rsidRPr="005B19C1">
                                <w:rPr>
                                  <w:rStyle w:val="Hipercze"/>
                                  <w:rFonts w:cstheme="minorBidi"/>
                                  <w:color w:val="001D77"/>
                                </w:rPr>
                                <w:t>Bezrobotni zarejestrowani</w:t>
                              </w:r>
                            </w:hyperlink>
                            <w:r>
                              <w:rPr>
                                <w:rStyle w:val="Hipercze"/>
                                <w:rFonts w:cstheme="minorBidi"/>
                                <w:color w:val="001D77"/>
                              </w:rPr>
                              <w:t xml:space="preserve"> </w:t>
                            </w:r>
                          </w:p>
                          <w:p w:rsidR="00484427" w:rsidRPr="005B19C1" w:rsidRDefault="003F5924" w:rsidP="00A9395A">
                            <w:pPr>
                              <w:spacing w:line="220" w:lineRule="exact"/>
                              <w:rPr>
                                <w:color w:val="001D77"/>
                              </w:rPr>
                            </w:pPr>
                            <w:hyperlink r:id="rId49" w:tooltip="link do słownika pojęć stosowanych w statystyce publicznej" w:history="1">
                              <w:r w:rsidR="00484427" w:rsidRPr="005B19C1">
                                <w:rPr>
                                  <w:rStyle w:val="Hipercze"/>
                                  <w:rFonts w:cstheme="minorBidi"/>
                                  <w:color w:val="001D77"/>
                                </w:rPr>
                                <w:t>Długotrwale bezrobotni</w:t>
                              </w:r>
                            </w:hyperlink>
                          </w:p>
                          <w:p w:rsidR="00484427" w:rsidRPr="005B19C1" w:rsidRDefault="003F5924" w:rsidP="00A9395A">
                            <w:pPr>
                              <w:spacing w:line="220" w:lineRule="exact"/>
                              <w:rPr>
                                <w:color w:val="001D77"/>
                              </w:rPr>
                            </w:pPr>
                            <w:hyperlink r:id="rId50" w:tooltip="link do słownika pojęć stosowanych w statystyce publicznej" w:history="1">
                              <w:r w:rsidR="00484427" w:rsidRPr="005B19C1">
                                <w:rPr>
                                  <w:rStyle w:val="Hipercze"/>
                                  <w:rFonts w:cstheme="minorBidi"/>
                                  <w:color w:val="001D77"/>
                                </w:rPr>
                                <w:t>Stopa bezrobocia rejestrowanego</w:t>
                              </w:r>
                            </w:hyperlink>
                          </w:p>
                          <w:p w:rsidR="00484427" w:rsidRPr="005B19C1" w:rsidRDefault="003F5924" w:rsidP="00A9395A">
                            <w:pPr>
                              <w:spacing w:line="220" w:lineRule="exact"/>
                              <w:rPr>
                                <w:color w:val="001D77"/>
                              </w:rPr>
                            </w:pPr>
                            <w:hyperlink r:id="rId51" w:tooltip="link do słownika pojęć stosowanych w statystyce publicznej" w:history="1">
                              <w:r w:rsidR="00484427" w:rsidRPr="005B19C1">
                                <w:rPr>
                                  <w:rStyle w:val="Hipercze"/>
                                  <w:rFonts w:cstheme="minorBidi"/>
                                  <w:color w:val="001D77"/>
                                </w:rPr>
                                <w:t>Przeciętne miesięczne wynagrodzenie brutto</w:t>
                              </w:r>
                            </w:hyperlink>
                          </w:p>
                          <w:p w:rsidR="00484427" w:rsidRPr="005B19C1" w:rsidRDefault="00484427" w:rsidP="00A9395A">
                            <w:pPr>
                              <w:spacing w:line="220" w:lineRule="exact"/>
                              <w:rPr>
                                <w:rStyle w:val="Hipercze"/>
                                <w:rFonts w:cstheme="minorBidi"/>
                                <w:color w:val="001D77"/>
                              </w:rPr>
                            </w:pPr>
                            <w:r w:rsidRPr="005B19C1">
                              <w:rPr>
                                <w:color w:val="001D77"/>
                              </w:rPr>
                              <w:fldChar w:fldCharType="begin"/>
                            </w:r>
                            <w:r>
                              <w:rPr>
                                <w:color w:val="001D77"/>
                              </w:rPr>
                              <w:instrText>HYPERLINK "https://stat.gov.pl/metainformacje/slownik-pojec/pojecia-stosowane-w-statystyce-publicznej/4598,pojecie.html" \o "link do słownika pojęć stosowanych w statystyce publicznej"</w:instrText>
                            </w:r>
                            <w:r w:rsidRPr="005B19C1">
                              <w:rPr>
                                <w:color w:val="001D77"/>
                              </w:rPr>
                              <w:fldChar w:fldCharType="separate"/>
                            </w:r>
                            <w:r w:rsidRPr="005B19C1">
                              <w:rPr>
                                <w:rStyle w:val="Hipercze"/>
                                <w:rFonts w:cstheme="minorBidi"/>
                                <w:color w:val="001D77"/>
                              </w:rPr>
                              <w:t>Wskaźnik cen towarów i usług konsumpcyjnych</w:t>
                            </w:r>
                          </w:p>
                          <w:p w:rsidR="00484427" w:rsidRPr="005B19C1" w:rsidRDefault="00484427"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"https://stat.gov.pl/metainformacje/slownik-pojec/pojecia-stosowane-w-statystyce-publicznej/2331,pojecie.html" \o "link do słownika pojęć stosowanych w statystyce publicznej"</w:instrText>
                            </w:r>
                            <w:r w:rsidRPr="005B19C1">
                              <w:rPr>
                                <w:color w:val="001D77"/>
                              </w:rPr>
                              <w:fldChar w:fldCharType="separate"/>
                            </w:r>
                            <w:r w:rsidRPr="005B19C1">
                              <w:rPr>
                                <w:rStyle w:val="Hipercze"/>
                                <w:rFonts w:cstheme="minorBidi"/>
                                <w:color w:val="001D77"/>
                              </w:rPr>
                              <w:t>Skup produktów rolnych</w:t>
                            </w:r>
                          </w:p>
                          <w:p w:rsidR="00484427" w:rsidRPr="005B19C1" w:rsidRDefault="00484427"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"https://stat.gov.pl/metainformacje/slownik-pojec/pojecia-stosowane-w-statystyce-publicznej/3234,pojecie.html" \o "link do słownika pojęć stosowanych w statystyce publicznej"</w:instrText>
                            </w:r>
                            <w:r w:rsidRPr="005B19C1">
                              <w:rPr>
                                <w:color w:val="001D77"/>
                              </w:rPr>
                              <w:fldChar w:fldCharType="separate"/>
                            </w:r>
                            <w:r w:rsidRPr="005B19C1">
                              <w:rPr>
                                <w:rStyle w:val="Hipercze"/>
                                <w:rFonts w:cstheme="minorBidi"/>
                                <w:color w:val="001D77"/>
                              </w:rPr>
                              <w:t>Ceny skupu</w:t>
                            </w:r>
                          </w:p>
                          <w:p w:rsidR="00484427" w:rsidRPr="005B19C1" w:rsidRDefault="00484427"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"https://stat.gov.pl/metainformacje/slownik-pojec/pojecia-stosowane-w-statystyce-publicznej/1718,pojecie.html" \o "link do słownika pojęć stosowanych w statystyce publicznej"</w:instrText>
                            </w:r>
                            <w:r w:rsidRPr="005B19C1">
                              <w:rPr>
                                <w:color w:val="001D77"/>
                              </w:rPr>
                              <w:fldChar w:fldCharType="separate"/>
                            </w:r>
                            <w:r w:rsidRPr="005B19C1">
                              <w:rPr>
                                <w:rStyle w:val="Hipercze"/>
                                <w:rFonts w:cstheme="minorBidi"/>
                                <w:color w:val="001D77"/>
                              </w:rPr>
                              <w:t>Ceny targowiskowe</w:t>
                            </w:r>
                          </w:p>
                          <w:p w:rsidR="00484427" w:rsidRPr="005B19C1" w:rsidRDefault="00484427"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"https://stat.gov.pl/metainformacje/slownik-pojec/pojecia-stosowane-w-statystyce-publicznej/362,pojecie.html" \o "link do słownika pojęć stosowanych w statystyce publicznej"</w:instrText>
                            </w:r>
                            <w:r w:rsidRPr="005B19C1">
                              <w:rPr>
                                <w:color w:val="001D77"/>
                              </w:rPr>
                              <w:fldChar w:fldCharType="separate"/>
                            </w:r>
                            <w:r w:rsidRPr="005B19C1">
                              <w:rPr>
                                <w:rStyle w:val="Hipercze"/>
                                <w:rFonts w:cstheme="minorBidi"/>
                                <w:color w:val="001D77"/>
                              </w:rPr>
                              <w:t>Produkcja sprzedana przemysłu</w:t>
                            </w:r>
                          </w:p>
                          <w:p w:rsidR="00484427" w:rsidRPr="005B19C1" w:rsidRDefault="00484427"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"https://stat.gov.pl/metainformacje/slownik-pojec/pojecia-stosowane-w-statystyce-publicznej/701,pojecie.html" \o "link do słownika pojęć stosowanych w statystyce publicznej"</w:instrText>
                            </w:r>
                            <w:r w:rsidRPr="005B19C1">
                              <w:rPr>
                                <w:color w:val="001D77"/>
                              </w:rPr>
                              <w:fldChar w:fldCharType="separate"/>
                            </w:r>
                            <w:r w:rsidRPr="005B19C1">
                              <w:rPr>
                                <w:rStyle w:val="Hipercze"/>
                                <w:rFonts w:cstheme="minorBidi"/>
                                <w:color w:val="001D77"/>
                              </w:rPr>
                              <w:t>Produkcja budowlano-montażowa</w:t>
                            </w:r>
                          </w:p>
                          <w:p w:rsidR="00484427" w:rsidRPr="005B19C1" w:rsidRDefault="00484427"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"https://stat.gov.pl/metainformacje/slownik-pojec/pojecia-stosowane-w-statystyce-publicznej/201,pojecie.html" \o "link do słownika pojęć stosowanych w statystyce publicznej"</w:instrText>
                            </w:r>
                            <w:r w:rsidRPr="005B19C1">
                              <w:rPr>
                                <w:color w:val="001D77"/>
                              </w:rPr>
                              <w:fldChar w:fldCharType="separate"/>
                            </w:r>
                            <w:r w:rsidRPr="005B19C1">
                              <w:rPr>
                                <w:rStyle w:val="Hipercze"/>
                                <w:rFonts w:cstheme="minorBidi"/>
                                <w:color w:val="001D77"/>
                              </w:rPr>
                              <w:t>Mieszkania oddane do użytkowania</w:t>
                            </w:r>
                          </w:p>
                          <w:p w:rsidR="00484427" w:rsidRPr="005B19C1" w:rsidRDefault="00484427" w:rsidP="00A9395A">
                            <w:pPr>
                              <w:spacing w:line="220" w:lineRule="exact"/>
                              <w:rPr>
                                <w:color w:val="001D77"/>
                              </w:rPr>
                            </w:pPr>
                            <w:r w:rsidRPr="005B19C1">
                              <w:rPr>
                                <w:color w:val="001D77"/>
                              </w:rPr>
                              <w:fldChar w:fldCharType="end"/>
                            </w:r>
                            <w:hyperlink r:id="rId52" w:tooltip="link do słownika pojęć stosowanych w statystyce publicznej" w:history="1">
                              <w:r w:rsidRPr="005B19C1">
                                <w:rPr>
                                  <w:rStyle w:val="Hipercze"/>
                                  <w:rFonts w:cstheme="minorBidi"/>
                                  <w:color w:val="001D77"/>
                                </w:rPr>
                                <w:t>Mieszkania, na które wydano pozwolenia</w:t>
                              </w:r>
                            </w:hyperlink>
                          </w:p>
                          <w:p w:rsidR="00484427" w:rsidRPr="005B19C1" w:rsidRDefault="003F5924" w:rsidP="00A9395A">
                            <w:pPr>
                              <w:spacing w:line="220" w:lineRule="exact"/>
                              <w:rPr>
                                <w:color w:val="001D77"/>
                              </w:rPr>
                            </w:pPr>
                            <w:hyperlink r:id="rId53" w:tooltip="link do słownika pojęć stosowanych w statystyce publicznej" w:history="1">
                              <w:r w:rsidR="00484427" w:rsidRPr="005B19C1">
                                <w:rPr>
                                  <w:rStyle w:val="Hipercze"/>
                                  <w:rFonts w:cstheme="minorBidi"/>
                                  <w:color w:val="001D77"/>
                                </w:rPr>
                                <w:t>Mieszkania, których budowę rozpoczęto</w:t>
                              </w:r>
                            </w:hyperlink>
                          </w:p>
                          <w:p w:rsidR="00484427" w:rsidRPr="005B19C1" w:rsidRDefault="00484427" w:rsidP="00A9395A">
                            <w:pPr>
                              <w:spacing w:line="220" w:lineRule="exact"/>
                              <w:rPr>
                                <w:rStyle w:val="Hipercze"/>
                                <w:rFonts w:cstheme="minorBidi"/>
                                <w:color w:val="001D77"/>
                              </w:rPr>
                            </w:pPr>
                            <w:r w:rsidRPr="005B19C1">
                              <w:rPr>
                                <w:color w:val="001D77"/>
                              </w:rPr>
                              <w:fldChar w:fldCharType="begin"/>
                            </w:r>
                            <w:r>
                              <w:rPr>
                                <w:color w:val="001D77"/>
                              </w:rPr>
                              <w:instrText>HYPERLINK "https://stat.gov.pl/metainformacje/slownik-pojec/pojecia-stosowane-w-statystyce-publicznej/473,pojecie.html" \o "link do słownika pojęć stosowanych w statystyce publicznej"</w:instrText>
                            </w:r>
                            <w:r w:rsidRPr="005B19C1">
                              <w:rPr>
                                <w:color w:val="001D77"/>
                              </w:rPr>
                              <w:fldChar w:fldCharType="separate"/>
                            </w:r>
                            <w:r w:rsidRPr="005B19C1">
                              <w:rPr>
                                <w:rStyle w:val="Hipercze"/>
                                <w:rFonts w:cstheme="minorBidi"/>
                                <w:color w:val="001D77"/>
                              </w:rPr>
                              <w:t>Sprzedaż detaliczna</w:t>
                            </w:r>
                          </w:p>
                          <w:p w:rsidR="00484427" w:rsidRPr="005B19C1" w:rsidRDefault="00484427"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"https://stat.gov.pl/metainformacje/slownik-pojec/pojecia-stosowane-w-statystyce-publicznej/886,pojecie.html" \o "link do słownika pojęć stosowanych w statystyce publicznej"</w:instrText>
                            </w:r>
                            <w:r w:rsidRPr="005B19C1">
                              <w:rPr>
                                <w:color w:val="001D77"/>
                              </w:rPr>
                              <w:fldChar w:fldCharType="separate"/>
                            </w:r>
                            <w:r w:rsidRPr="005B19C1">
                              <w:rPr>
                                <w:rStyle w:val="Hipercze"/>
                                <w:rFonts w:cstheme="minorBidi"/>
                                <w:color w:val="001D77"/>
                              </w:rPr>
                              <w:t>Sprzedaż hurtowa</w:t>
                            </w:r>
                          </w:p>
                          <w:p w:rsidR="00484427" w:rsidRPr="005B19C1" w:rsidRDefault="00484427"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"https://stat.gov.pl/metainformacje/slownik-pojec/pojecia-stosowane-w-statystyce-publicznej/1_61,dziedzina.html" \o "link do słownika pojęć stosowanych w statystyce publicznej"</w:instrText>
                            </w:r>
                            <w:r w:rsidRPr="005B19C1">
                              <w:rPr>
                                <w:color w:val="001D77"/>
                              </w:rPr>
                              <w:fldChar w:fldCharType="separate"/>
                            </w:r>
                            <w:r w:rsidRPr="005B19C1">
                              <w:rPr>
                                <w:rStyle w:val="Hipercze"/>
                                <w:rFonts w:cstheme="minorBidi"/>
                                <w:color w:val="001D77"/>
                              </w:rPr>
                              <w:t>Wyniki</w:t>
                            </w:r>
                            <w:r w:rsidRPr="00901395">
                              <w:rPr>
                                <w:rStyle w:val="Hipercze"/>
                                <w:rFonts w:cstheme="minorBidi"/>
                                <w:color w:val="001D77"/>
                              </w:rPr>
                              <w:t xml:space="preserve"> finansow</w:t>
                            </w:r>
                            <w:r w:rsidRPr="005B19C1">
                              <w:rPr>
                                <w:rStyle w:val="Hipercze"/>
                                <w:rFonts w:cstheme="minorBidi"/>
                                <w:color w:val="001D77"/>
                              </w:rPr>
                              <w:t>e przedsiębiorstw</w:t>
                            </w:r>
                          </w:p>
                          <w:p w:rsidR="00484427" w:rsidRDefault="00484427" w:rsidP="00A9395A">
                            <w:pPr>
                              <w:spacing w:line="220" w:lineRule="exact"/>
                              <w:rPr>
                                <w:rStyle w:val="Hipercze"/>
                                <w:rFonts w:cstheme="minorBidi"/>
                                <w:color w:val="001D77"/>
                              </w:rPr>
                            </w:pPr>
                            <w:r w:rsidRPr="005B19C1">
                              <w:rPr>
                                <w:color w:val="001D77"/>
                              </w:rPr>
                              <w:fldChar w:fldCharType="end"/>
                            </w:r>
                            <w:hyperlink r:id="rId54" w:tooltip="link do słownika pojęć stosowanych w statystyce publicznej" w:history="1">
                              <w:r w:rsidRPr="005B19C1">
                                <w:rPr>
                                  <w:rStyle w:val="Hipercze"/>
                                  <w:rFonts w:cstheme="minorBidi"/>
                                  <w:color w:val="001D77"/>
                                </w:rPr>
                                <w:t>Nakłady inwestycyjne</w:t>
                              </w:r>
                            </w:hyperlink>
                          </w:p>
                          <w:p w:rsidR="00484427" w:rsidRPr="00901395" w:rsidRDefault="003F5924" w:rsidP="00A9395A">
                            <w:pPr>
                              <w:spacing w:line="220" w:lineRule="exact"/>
                              <w:rPr>
                                <w:rStyle w:val="Hipercze"/>
                                <w:rFonts w:cstheme="minorBidi"/>
                                <w:color w:val="001D77"/>
                              </w:rPr>
                            </w:pPr>
                            <w:hyperlink r:id="rId55" w:tooltip="link do słownika pojęć stosowanych w statystyce publicznej" w:history="1">
                              <w:r w:rsidR="00484427" w:rsidRPr="00901395">
                                <w:rPr>
                                  <w:rStyle w:val="Hipercze"/>
                                  <w:rFonts w:cstheme="minorBidi"/>
                                  <w:color w:val="001D77"/>
                                </w:rPr>
                                <w:t>Podmiot gospodarki narodowej</w:t>
                              </w:r>
                            </w:hyperlink>
                          </w:p>
                          <w:p w:rsidR="00484427" w:rsidRPr="00901395" w:rsidRDefault="003F5924" w:rsidP="00A9395A">
                            <w:pPr>
                              <w:spacing w:line="220" w:lineRule="exact"/>
                              <w:rPr>
                                <w:rStyle w:val="Hipercze"/>
                                <w:rFonts w:cstheme="minorBidi"/>
                                <w:color w:val="001D77"/>
                              </w:rPr>
                            </w:pPr>
                            <w:hyperlink r:id="rId56" w:tooltip="link do słownika pojęć stosowanych w statystyce publicznej" w:history="1">
                              <w:r w:rsidR="00484427" w:rsidRPr="00901395">
                                <w:rPr>
                                  <w:rStyle w:val="Hipercze"/>
                                  <w:rFonts w:cstheme="minorBidi"/>
                                  <w:color w:val="001D77"/>
                                </w:rPr>
                                <w:t>Koniunktura gospodarcza</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0D5B39" id="_x0000_t202" coordsize="21600,21600" o:spt="202" path="m,l,21600r21600,l21600,xe">
                <v:stroke joinstyle="miter"/>
                <v:path gradientshapeok="t" o:connecttype="rect"/>
              </v:shapetype>
              <v:shape id="Pole tekstowe 2" o:spid="_x0000_s1027" type="#_x0000_t202" alt="&quot;&quot;" style="position:absolute;margin-left:-1.5pt;margin-top:201pt;width:526.5pt;height:501.75pt;z-index:251735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" fillcolor="#f2f2f2 [3052]" strokecolor="white [3212]">
                <v:textbox>
                  <w:txbxContent>
                    <w:p w:rsidR="00484427" w:rsidRPr="00D20766" w:rsidRDefault="00484427" w:rsidP="00A9395A">
                      <w:pPr>
                        <w:rPr>
                          <w:b/>
                        </w:rPr>
                      </w:pPr>
                      <w:r w:rsidRPr="00D20766">
                        <w:rPr>
                          <w:b/>
                        </w:rPr>
                        <w:t>Powiązane opracowania</w:t>
                      </w:r>
                    </w:p>
                    <w:p w:rsidR="00484427" w:rsidRPr="00750669" w:rsidRDefault="00484427" w:rsidP="00A9395A">
                      <w:pPr>
                        <w:rPr>
                          <w:rStyle w:val="Hipercze"/>
                          <w:rFonts w:cs="Arial"/>
                          <w:color w:val="001D77"/>
                          <w:sz w:val="18"/>
                          <w:szCs w:val="30"/>
                          <w:shd w:val="clear" w:color="auto" w:fill="F0F0F0"/>
                        </w:rPr>
                      </w:pPr>
                      <w:hyperlink r:id="rId57" w:tooltip="link do publikacji GUS Sytuacja społeczno-gospodarcza kraju w lutym 2025 r." w:history="1">
                        <w:r w:rsidRPr="002C047D">
                          <w:rPr>
                            <w:rStyle w:val="Hipercze"/>
                            <w:color w:val="001D77"/>
                            <w:sz w:val="18"/>
                            <w:szCs w:val="18"/>
                          </w:rPr>
                          <w:t xml:space="preserve">Sytuacja społeczno-gospodarcza kraju </w:t>
                        </w:r>
                        <w:r>
                          <w:rPr>
                            <w:rStyle w:val="Hipercze"/>
                            <w:color w:val="001D77"/>
                            <w:sz w:val="18"/>
                            <w:szCs w:val="18"/>
                          </w:rPr>
                          <w:t>w lutym 2025 r.</w:t>
                        </w:r>
                      </w:hyperlink>
                    </w:p>
                    <w:p w:rsidR="00484427" w:rsidRPr="00EA4CEA" w:rsidRDefault="00484427" w:rsidP="00A9395A">
                      <w:pPr>
                        <w:rPr>
                          <w:rStyle w:val="Hipercze"/>
                          <w:color w:val="001D77"/>
                          <w:sz w:val="18"/>
                          <w:szCs w:val="18"/>
                        </w:rPr>
                      </w:pPr>
                      <w:r w:rsidRPr="00EA4CEA">
                        <w:rPr>
                          <w:rStyle w:val="Hipercze"/>
                          <w:color w:val="001D77"/>
                          <w:sz w:val="18"/>
                          <w:szCs w:val="18"/>
                        </w:rPr>
                        <w:fldChar w:fldCharType="begin"/>
                      </w:r>
                      <w:r>
                        <w:rPr>
                          <w:rStyle w:val="Hipercze"/>
                          <w:color w:val="001D77"/>
                          <w:sz w:val="18"/>
                          <w:szCs w:val="18"/>
                        </w:rPr>
                        <w:instrText>HYPERLINK "https://stat.gov.pl/obszary-tematyczne/inne-opracowania/informacje-o-sytuacji-spoleczno-gospodarczej/biuletyn-statystyczny-nr-22025,4,159.html" \o "link do biuletynu GUS luty 2025"</w:instrText>
                      </w:r>
                      <w:r w:rsidRPr="00EA4CEA">
                        <w:rPr>
                          <w:rStyle w:val="Hipercze"/>
                          <w:color w:val="001D77"/>
                          <w:sz w:val="18"/>
                          <w:szCs w:val="18"/>
                        </w:rPr>
                        <w:fldChar w:fldCharType="separate"/>
                      </w:r>
                      <w:r w:rsidRPr="00EA4CEA">
                        <w:rPr>
                          <w:rStyle w:val="Hipercze"/>
                          <w:color w:val="001D77"/>
                          <w:sz w:val="18"/>
                          <w:szCs w:val="18"/>
                        </w:rPr>
                        <w:t>Biuletyn St</w:t>
                      </w:r>
                      <w:r w:rsidRPr="002C047D">
                        <w:rPr>
                          <w:rStyle w:val="Hipercze"/>
                          <w:color w:val="001D77"/>
                          <w:sz w:val="18"/>
                          <w:szCs w:val="18"/>
                        </w:rPr>
                        <w:t>atystyczn</w:t>
                      </w:r>
                      <w:r w:rsidRPr="00EA4CEA">
                        <w:rPr>
                          <w:rStyle w:val="Hipercze"/>
                          <w:color w:val="001D77"/>
                          <w:sz w:val="18"/>
                          <w:szCs w:val="18"/>
                        </w:rPr>
                        <w:t>y</w:t>
                      </w:r>
                      <w:r w:rsidRPr="00EA4CEA">
                        <w:rPr>
                          <w:rStyle w:val="Hipercze"/>
                          <w:rFonts w:cstheme="minorBidi"/>
                          <w:color w:val="001D77"/>
                          <w:sz w:val="18"/>
                          <w:szCs w:val="18"/>
                        </w:rPr>
                        <w:t xml:space="preserve"> Nr </w:t>
                      </w:r>
                      <w:r>
                        <w:rPr>
                          <w:rStyle w:val="Hipercze"/>
                          <w:rFonts w:cstheme="minorBidi"/>
                          <w:color w:val="001D77"/>
                          <w:sz w:val="18"/>
                          <w:szCs w:val="18"/>
                        </w:rPr>
                        <w:t>02</w:t>
                      </w:r>
                      <w:r w:rsidRPr="00EA4CEA">
                        <w:rPr>
                          <w:rStyle w:val="Hipercze"/>
                          <w:rFonts w:cstheme="minorBidi"/>
                          <w:color w:val="001D77"/>
                          <w:sz w:val="18"/>
                          <w:szCs w:val="18"/>
                        </w:rPr>
                        <w:t>/202</w:t>
                      </w:r>
                      <w:r>
                        <w:rPr>
                          <w:rStyle w:val="Hipercze"/>
                          <w:rFonts w:cstheme="minorBidi"/>
                          <w:color w:val="001D77"/>
                          <w:sz w:val="18"/>
                          <w:szCs w:val="18"/>
                        </w:rPr>
                        <w:t>5</w:t>
                      </w:r>
                    </w:p>
                    <w:p w:rsidR="00484427" w:rsidRPr="00D20766" w:rsidRDefault="00484427" w:rsidP="007D4E70">
                      <w:pPr>
                        <w:spacing w:before="360"/>
                        <w:rPr>
                          <w:b/>
                          <w:color w:val="000000" w:themeColor="text1"/>
                          <w:szCs w:val="24"/>
                        </w:rPr>
                      </w:pPr>
                      <w:r w:rsidRPr="00EA4CEA">
                        <w:rPr>
                          <w:rStyle w:val="Hipercze"/>
                          <w:color w:val="001D77"/>
                          <w:sz w:val="18"/>
                          <w:szCs w:val="18"/>
                        </w:rPr>
                        <w:fldChar w:fldCharType="end"/>
                      </w:r>
                      <w:r w:rsidRPr="00D20766">
                        <w:rPr>
                          <w:b/>
                          <w:color w:val="000000" w:themeColor="text1"/>
                          <w:szCs w:val="24"/>
                        </w:rPr>
                        <w:t>Temat dostępny w bazach danych</w:t>
                      </w:r>
                    </w:p>
                    <w:p w:rsidR="00484427" w:rsidRPr="005B19C1" w:rsidRDefault="00484427" w:rsidP="00A9395A">
                      <w:pPr>
                        <w:rPr>
                          <w:color w:val="001D77"/>
                          <w:sz w:val="18"/>
                          <w:szCs w:val="18"/>
                        </w:rPr>
                      </w:pPr>
                      <w:hyperlink r:id="rId58" w:tooltip="link do bazy SWAiD" w:history="1">
                        <w:r w:rsidRPr="00853FEE">
                          <w:rPr>
                            <w:rStyle w:val="Hipercze"/>
                            <w:color w:val="001D77"/>
                            <w:sz w:val="18"/>
                            <w:szCs w:val="18"/>
                          </w:rPr>
                          <w:t>Dziedzinowe Bazy Wi</w:t>
                        </w:r>
                        <w:r w:rsidRPr="005B19C1">
                          <w:rPr>
                            <w:rStyle w:val="Hipercze"/>
                            <w:color w:val="001D77"/>
                            <w:sz w:val="18"/>
                            <w:szCs w:val="18"/>
                          </w:rPr>
                          <w:t>edzy</w:t>
                        </w:r>
                      </w:hyperlink>
                    </w:p>
                    <w:p w:rsidR="00484427" w:rsidRPr="00FD612C" w:rsidRDefault="00484427" w:rsidP="00A9395A">
                      <w:pPr>
                        <w:rPr>
                          <w:b/>
                          <w:color w:val="000000" w:themeColor="text1"/>
                          <w:szCs w:val="24"/>
                        </w:rPr>
                      </w:pPr>
                      <w:hyperlink r:id="rId59" w:tooltip="link do bazy BDL" w:history="1">
                        <w:r w:rsidRPr="005B19C1">
                          <w:rPr>
                            <w:rStyle w:val="Hipercze"/>
                            <w:color w:val="001D77"/>
                            <w:sz w:val="18"/>
                            <w:szCs w:val="18"/>
                          </w:rPr>
                          <w:t>Bank Danych Lokalnych (BDL)</w:t>
                        </w:r>
                      </w:hyperlink>
                    </w:p>
                    <w:p w:rsidR="00484427" w:rsidRDefault="00484427" w:rsidP="007D4E70">
                      <w:pPr>
                        <w:spacing w:before="360"/>
                        <w:rPr>
                          <w:b/>
                          <w:color w:val="000000" w:themeColor="text1"/>
                          <w:szCs w:val="24"/>
                        </w:rPr>
                      </w:pPr>
                      <w:r>
                        <w:rPr>
                          <w:b/>
                          <w:color w:val="000000" w:themeColor="text1"/>
                          <w:szCs w:val="24"/>
                        </w:rPr>
                        <w:t>Ważniejsze</w:t>
                      </w:r>
                      <w:r w:rsidRPr="00505A92">
                        <w:rPr>
                          <w:b/>
                          <w:color w:val="000000" w:themeColor="text1"/>
                          <w:szCs w:val="24"/>
                        </w:rPr>
                        <w:t xml:space="preserve"> pojęcia dostępne w słowniku</w:t>
                      </w:r>
                    </w:p>
                    <w:p w:rsidR="00484427" w:rsidRPr="008E6C31" w:rsidRDefault="00484427" w:rsidP="00A9395A">
                      <w:pPr>
                        <w:spacing w:line="220" w:lineRule="exact"/>
                        <w:rPr>
                          <w:rStyle w:val="Hipercze"/>
                          <w:rFonts w:cstheme="minorBidi"/>
                          <w:color w:val="002060"/>
                        </w:rPr>
                      </w:pPr>
                      <w:r w:rsidRPr="008E6C31">
                        <w:rPr>
                          <w:rStyle w:val="Hipercze"/>
                          <w:rFonts w:cstheme="minorBidi"/>
                          <w:color w:val="002060"/>
                        </w:rPr>
                        <w:fldChar w:fldCharType="begin"/>
                      </w:r>
                      <w:r>
                        <w:rPr>
                          <w:rStyle w:val="Hipercze"/>
                          <w:rFonts w:cstheme="minorBidi"/>
                          <w:color w:val="002060"/>
                        </w:rPr>
                        <w:instrText>HYPERLINK "https://stat.gov.pl/metainformacje/slownik-pojec/pojecia-stosowane-w-statystyce-publicznej/376,pojecie.html" \o "link do słownika pojęć stosowanych w statystyce publicznej"</w:instrText>
                      </w:r>
                      <w:r w:rsidRPr="008E6C31">
                        <w:rPr>
                          <w:rStyle w:val="Hipercze"/>
                          <w:rFonts w:cstheme="minorBidi"/>
                          <w:color w:val="002060"/>
                        </w:rPr>
                        <w:fldChar w:fldCharType="separate"/>
                      </w:r>
                      <w:r w:rsidRPr="008E6C31">
                        <w:rPr>
                          <w:rStyle w:val="Hipercze"/>
                          <w:rFonts w:cstheme="minorBidi"/>
                          <w:color w:val="002060"/>
                        </w:rPr>
                        <w:t>Przeciętne zatrudnienie</w:t>
                      </w:r>
                    </w:p>
                    <w:p w:rsidR="00484427" w:rsidRPr="005B19C1" w:rsidRDefault="00484427" w:rsidP="00A9395A">
                      <w:pPr>
                        <w:spacing w:line="220" w:lineRule="exact"/>
                        <w:rPr>
                          <w:color w:val="001D77"/>
                        </w:rPr>
                      </w:pPr>
                      <w:r w:rsidRPr="008E6C31">
                        <w:rPr>
                          <w:rStyle w:val="Hipercze"/>
                          <w:rFonts w:cstheme="minorBidi"/>
                          <w:color w:val="002060"/>
                        </w:rPr>
                        <w:fldChar w:fldCharType="end"/>
                      </w:r>
                      <w:hyperlink r:id="rId60" w:tooltip="link do słownika pojęć stosowanych w statystyce publicznej" w:history="1">
                        <w:r w:rsidRPr="005B19C1">
                          <w:rPr>
                            <w:rStyle w:val="Hipercze"/>
                            <w:rFonts w:cstheme="minorBidi"/>
                            <w:color w:val="001D77"/>
                          </w:rPr>
                          <w:t>Bezrobotni zarejestrowani</w:t>
                        </w:r>
                      </w:hyperlink>
                      <w:r>
                        <w:rPr>
                          <w:rStyle w:val="Hipercze"/>
                          <w:rFonts w:cstheme="minorBidi"/>
                          <w:color w:val="001D77"/>
                        </w:rPr>
                        <w:t xml:space="preserve"> </w:t>
                      </w:r>
                    </w:p>
                    <w:p w:rsidR="00484427" w:rsidRPr="005B19C1" w:rsidRDefault="00484427" w:rsidP="00A9395A">
                      <w:pPr>
                        <w:spacing w:line="220" w:lineRule="exact"/>
                        <w:rPr>
                          <w:color w:val="001D77"/>
                        </w:rPr>
                      </w:pPr>
                      <w:hyperlink r:id="rId61" w:tooltip="link do słownika pojęć stosowanych w statystyce publicznej" w:history="1">
                        <w:r w:rsidRPr="005B19C1">
                          <w:rPr>
                            <w:rStyle w:val="Hipercze"/>
                            <w:rFonts w:cstheme="minorBidi"/>
                            <w:color w:val="001D77"/>
                          </w:rPr>
                          <w:t>Długotrwale bezrobotni</w:t>
                        </w:r>
                      </w:hyperlink>
                    </w:p>
                    <w:p w:rsidR="00484427" w:rsidRPr="005B19C1" w:rsidRDefault="00484427" w:rsidP="00A9395A">
                      <w:pPr>
                        <w:spacing w:line="220" w:lineRule="exact"/>
                        <w:rPr>
                          <w:color w:val="001D77"/>
                        </w:rPr>
                      </w:pPr>
                      <w:hyperlink r:id="rId62" w:tooltip="link do słownika pojęć stosowanych w statystyce publicznej" w:history="1">
                        <w:r w:rsidRPr="005B19C1">
                          <w:rPr>
                            <w:rStyle w:val="Hipercze"/>
                            <w:rFonts w:cstheme="minorBidi"/>
                            <w:color w:val="001D77"/>
                          </w:rPr>
                          <w:t>Stopa bezrobocia rejestrowanego</w:t>
                        </w:r>
                      </w:hyperlink>
                    </w:p>
                    <w:p w:rsidR="00484427" w:rsidRPr="005B19C1" w:rsidRDefault="00484427" w:rsidP="00A9395A">
                      <w:pPr>
                        <w:spacing w:line="220" w:lineRule="exact"/>
                        <w:rPr>
                          <w:color w:val="001D77"/>
                        </w:rPr>
                      </w:pPr>
                      <w:hyperlink r:id="rId63" w:tooltip="link do słownika pojęć stosowanych w statystyce publicznej" w:history="1">
                        <w:r w:rsidRPr="005B19C1">
                          <w:rPr>
                            <w:rStyle w:val="Hipercze"/>
                            <w:rFonts w:cstheme="minorBidi"/>
                            <w:color w:val="001D77"/>
                          </w:rPr>
                          <w:t>Przeciętne miesięczne wynagrodzenie brutto</w:t>
                        </w:r>
                      </w:hyperlink>
                    </w:p>
                    <w:p w:rsidR="00484427" w:rsidRPr="005B19C1" w:rsidRDefault="00484427" w:rsidP="00A9395A">
                      <w:pPr>
                        <w:spacing w:line="220" w:lineRule="exact"/>
                        <w:rPr>
                          <w:rStyle w:val="Hipercze"/>
                          <w:rFonts w:cstheme="minorBidi"/>
                          <w:color w:val="001D77"/>
                        </w:rPr>
                      </w:pPr>
                      <w:r w:rsidRPr="005B19C1">
                        <w:rPr>
                          <w:color w:val="001D77"/>
                        </w:rPr>
                        <w:fldChar w:fldCharType="begin"/>
                      </w:r>
                      <w:r>
                        <w:rPr>
                          <w:color w:val="001D77"/>
                        </w:rPr>
                        <w:instrText>HYPERLINK "https://stat.gov.pl/metainformacje/slownik-pojec/pojecia-stosowane-w-statystyce-publicznej/4598,pojecie.html" \o "link do słownika pojęć stosowanych w statystyce publicznej"</w:instrText>
                      </w:r>
                      <w:r w:rsidRPr="005B19C1">
                        <w:rPr>
                          <w:color w:val="001D77"/>
                        </w:rPr>
                        <w:fldChar w:fldCharType="separate"/>
                      </w:r>
                      <w:r w:rsidRPr="005B19C1">
                        <w:rPr>
                          <w:rStyle w:val="Hipercze"/>
                          <w:rFonts w:cstheme="minorBidi"/>
                          <w:color w:val="001D77"/>
                        </w:rPr>
                        <w:t>Wskaźnik cen towarów i usług konsumpcyjnych</w:t>
                      </w:r>
                    </w:p>
                    <w:p w:rsidR="00484427" w:rsidRPr="005B19C1" w:rsidRDefault="00484427"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"https://stat.gov.pl/metainformacje/slownik-pojec/pojecia-stosowane-w-statystyce-publicznej/2331,pojecie.html" \o "link do słownika pojęć stosowanych w statystyce publicznej"</w:instrText>
                      </w:r>
                      <w:r w:rsidRPr="005B19C1">
                        <w:rPr>
                          <w:color w:val="001D77"/>
                        </w:rPr>
                        <w:fldChar w:fldCharType="separate"/>
                      </w:r>
                      <w:r w:rsidRPr="005B19C1">
                        <w:rPr>
                          <w:rStyle w:val="Hipercze"/>
                          <w:rFonts w:cstheme="minorBidi"/>
                          <w:color w:val="001D77"/>
                        </w:rPr>
                        <w:t>Skup produktów rolnych</w:t>
                      </w:r>
                    </w:p>
                    <w:p w:rsidR="00484427" w:rsidRPr="005B19C1" w:rsidRDefault="00484427"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"https://stat.gov.pl/metainformacje/slownik-pojec/pojecia-stosowane-w-statystyce-publicznej/3234,pojecie.html" \o "link do słownika pojęć stosowanych w statystyce publicznej"</w:instrText>
                      </w:r>
                      <w:r w:rsidRPr="005B19C1">
                        <w:rPr>
                          <w:color w:val="001D77"/>
                        </w:rPr>
                        <w:fldChar w:fldCharType="separate"/>
                      </w:r>
                      <w:r w:rsidRPr="005B19C1">
                        <w:rPr>
                          <w:rStyle w:val="Hipercze"/>
                          <w:rFonts w:cstheme="minorBidi"/>
                          <w:color w:val="001D77"/>
                        </w:rPr>
                        <w:t>Ceny skupu</w:t>
                      </w:r>
                    </w:p>
                    <w:p w:rsidR="00484427" w:rsidRPr="005B19C1" w:rsidRDefault="00484427"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"https://stat.gov.pl/metainformacje/slownik-pojec/pojecia-stosowane-w-statystyce-publicznej/1718,pojecie.html" \o "link do słownika pojęć stosowanych w statystyce publicznej"</w:instrText>
                      </w:r>
                      <w:r w:rsidRPr="005B19C1">
                        <w:rPr>
                          <w:color w:val="001D77"/>
                        </w:rPr>
                        <w:fldChar w:fldCharType="separate"/>
                      </w:r>
                      <w:r w:rsidRPr="005B19C1">
                        <w:rPr>
                          <w:rStyle w:val="Hipercze"/>
                          <w:rFonts w:cstheme="minorBidi"/>
                          <w:color w:val="001D77"/>
                        </w:rPr>
                        <w:t>Ceny targowiskowe</w:t>
                      </w:r>
                    </w:p>
                    <w:p w:rsidR="00484427" w:rsidRPr="005B19C1" w:rsidRDefault="00484427"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"https://stat.gov.pl/metainformacje/slownik-pojec/pojecia-stosowane-w-statystyce-publicznej/362,pojecie.html" \o "link do słownika pojęć stosowanych w statystyce publicznej"</w:instrText>
                      </w:r>
                      <w:r w:rsidRPr="005B19C1">
                        <w:rPr>
                          <w:color w:val="001D77"/>
                        </w:rPr>
                        <w:fldChar w:fldCharType="separate"/>
                      </w:r>
                      <w:r w:rsidRPr="005B19C1">
                        <w:rPr>
                          <w:rStyle w:val="Hipercze"/>
                          <w:rFonts w:cstheme="minorBidi"/>
                          <w:color w:val="001D77"/>
                        </w:rPr>
                        <w:t>Produkcja sprzedana przemysłu</w:t>
                      </w:r>
                    </w:p>
                    <w:p w:rsidR="00484427" w:rsidRPr="005B19C1" w:rsidRDefault="00484427"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"https://stat.gov.pl/metainformacje/slownik-pojec/pojecia-stosowane-w-statystyce-publicznej/701,pojecie.html" \o "link do słownika pojęć stosowanych w statystyce publicznej"</w:instrText>
                      </w:r>
                      <w:r w:rsidRPr="005B19C1">
                        <w:rPr>
                          <w:color w:val="001D77"/>
                        </w:rPr>
                        <w:fldChar w:fldCharType="separate"/>
                      </w:r>
                      <w:r w:rsidRPr="005B19C1">
                        <w:rPr>
                          <w:rStyle w:val="Hipercze"/>
                          <w:rFonts w:cstheme="minorBidi"/>
                          <w:color w:val="001D77"/>
                        </w:rPr>
                        <w:t>Produkcja budowlano-montażowa</w:t>
                      </w:r>
                    </w:p>
                    <w:p w:rsidR="00484427" w:rsidRPr="005B19C1" w:rsidRDefault="00484427"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"https://stat.gov.pl/metainformacje/slownik-pojec/pojecia-stosowane-w-statystyce-publicznej/201,pojecie.html" \o "link do słownika pojęć stosowanych w statystyce publicznej"</w:instrText>
                      </w:r>
                      <w:r w:rsidRPr="005B19C1">
                        <w:rPr>
                          <w:color w:val="001D77"/>
                        </w:rPr>
                        <w:fldChar w:fldCharType="separate"/>
                      </w:r>
                      <w:r w:rsidRPr="005B19C1">
                        <w:rPr>
                          <w:rStyle w:val="Hipercze"/>
                          <w:rFonts w:cstheme="minorBidi"/>
                          <w:color w:val="001D77"/>
                        </w:rPr>
                        <w:t>Mieszkania oddane do użytkowania</w:t>
                      </w:r>
                    </w:p>
                    <w:p w:rsidR="00484427" w:rsidRPr="005B19C1" w:rsidRDefault="00484427" w:rsidP="00A9395A">
                      <w:pPr>
                        <w:spacing w:line="220" w:lineRule="exact"/>
                        <w:rPr>
                          <w:color w:val="001D77"/>
                        </w:rPr>
                      </w:pPr>
                      <w:r w:rsidRPr="005B19C1">
                        <w:rPr>
                          <w:color w:val="001D77"/>
                        </w:rPr>
                        <w:fldChar w:fldCharType="end"/>
                      </w:r>
                      <w:hyperlink r:id="rId64" w:tooltip="link do słownika pojęć stosowanych w statystyce publicznej" w:history="1">
                        <w:r w:rsidRPr="005B19C1">
                          <w:rPr>
                            <w:rStyle w:val="Hipercze"/>
                            <w:rFonts w:cstheme="minorBidi"/>
                            <w:color w:val="001D77"/>
                          </w:rPr>
                          <w:t>Mieszkania, na które wydano pozwolenia</w:t>
                        </w:r>
                      </w:hyperlink>
                    </w:p>
                    <w:p w:rsidR="00484427" w:rsidRPr="005B19C1" w:rsidRDefault="00484427" w:rsidP="00A9395A">
                      <w:pPr>
                        <w:spacing w:line="220" w:lineRule="exact"/>
                        <w:rPr>
                          <w:color w:val="001D77"/>
                        </w:rPr>
                      </w:pPr>
                      <w:hyperlink r:id="rId65" w:tooltip="link do słownika pojęć stosowanych w statystyce publicznej" w:history="1">
                        <w:r w:rsidRPr="005B19C1">
                          <w:rPr>
                            <w:rStyle w:val="Hipercze"/>
                            <w:rFonts w:cstheme="minorBidi"/>
                            <w:color w:val="001D77"/>
                          </w:rPr>
                          <w:t>Mieszkania, których budowę rozpoczęto</w:t>
                        </w:r>
                      </w:hyperlink>
                    </w:p>
                    <w:p w:rsidR="00484427" w:rsidRPr="005B19C1" w:rsidRDefault="00484427" w:rsidP="00A9395A">
                      <w:pPr>
                        <w:spacing w:line="220" w:lineRule="exact"/>
                        <w:rPr>
                          <w:rStyle w:val="Hipercze"/>
                          <w:rFonts w:cstheme="minorBidi"/>
                          <w:color w:val="001D77"/>
                        </w:rPr>
                      </w:pPr>
                      <w:r w:rsidRPr="005B19C1">
                        <w:rPr>
                          <w:color w:val="001D77"/>
                        </w:rPr>
                        <w:fldChar w:fldCharType="begin"/>
                      </w:r>
                      <w:r>
                        <w:rPr>
                          <w:color w:val="001D77"/>
                        </w:rPr>
                        <w:instrText>HYPERLINK "https://stat.gov.pl/metainformacje/slownik-pojec/pojecia-stosowane-w-statystyce-publicznej/473,pojecie.html" \o "link do słownika pojęć stosowanych w statystyce publicznej"</w:instrText>
                      </w:r>
                      <w:r w:rsidRPr="005B19C1">
                        <w:rPr>
                          <w:color w:val="001D77"/>
                        </w:rPr>
                        <w:fldChar w:fldCharType="separate"/>
                      </w:r>
                      <w:r w:rsidRPr="005B19C1">
                        <w:rPr>
                          <w:rStyle w:val="Hipercze"/>
                          <w:rFonts w:cstheme="minorBidi"/>
                          <w:color w:val="001D77"/>
                        </w:rPr>
                        <w:t>Sprzedaż detaliczna</w:t>
                      </w:r>
                    </w:p>
                    <w:p w:rsidR="00484427" w:rsidRPr="005B19C1" w:rsidRDefault="00484427"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"https://stat.gov.pl/metainformacje/slownik-pojec/pojecia-stosowane-w-statystyce-publicznej/886,pojecie.html" \o "link do słownika pojęć stosowanych w statystyce publicznej"</w:instrText>
                      </w:r>
                      <w:r w:rsidRPr="005B19C1">
                        <w:rPr>
                          <w:color w:val="001D77"/>
                        </w:rPr>
                        <w:fldChar w:fldCharType="separate"/>
                      </w:r>
                      <w:r w:rsidRPr="005B19C1">
                        <w:rPr>
                          <w:rStyle w:val="Hipercze"/>
                          <w:rFonts w:cstheme="minorBidi"/>
                          <w:color w:val="001D77"/>
                        </w:rPr>
                        <w:t>Sprzedaż hurtowa</w:t>
                      </w:r>
                    </w:p>
                    <w:p w:rsidR="00484427" w:rsidRPr="005B19C1" w:rsidRDefault="00484427"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"https://stat.gov.pl/metainformacje/slownik-pojec/pojecia-stosowane-w-statystyce-publicznej/1_61,dziedzina.html" \o "link do słownika pojęć stosowanych w statystyce publicznej"</w:instrText>
                      </w:r>
                      <w:r w:rsidRPr="005B19C1">
                        <w:rPr>
                          <w:color w:val="001D77"/>
                        </w:rPr>
                        <w:fldChar w:fldCharType="separate"/>
                      </w:r>
                      <w:r w:rsidRPr="005B19C1">
                        <w:rPr>
                          <w:rStyle w:val="Hipercze"/>
                          <w:rFonts w:cstheme="minorBidi"/>
                          <w:color w:val="001D77"/>
                        </w:rPr>
                        <w:t>Wyniki</w:t>
                      </w:r>
                      <w:r w:rsidRPr="00901395">
                        <w:rPr>
                          <w:rStyle w:val="Hipercze"/>
                          <w:rFonts w:cstheme="minorBidi"/>
                          <w:color w:val="001D77"/>
                        </w:rPr>
                        <w:t xml:space="preserve"> finansow</w:t>
                      </w:r>
                      <w:r w:rsidRPr="005B19C1">
                        <w:rPr>
                          <w:rStyle w:val="Hipercze"/>
                          <w:rFonts w:cstheme="minorBidi"/>
                          <w:color w:val="001D77"/>
                        </w:rPr>
                        <w:t>e przedsiębiorstw</w:t>
                      </w:r>
                    </w:p>
                    <w:p w:rsidR="00484427" w:rsidRDefault="00484427" w:rsidP="00A9395A">
                      <w:pPr>
                        <w:spacing w:line="220" w:lineRule="exact"/>
                        <w:rPr>
                          <w:rStyle w:val="Hipercze"/>
                          <w:rFonts w:cstheme="minorBidi"/>
                          <w:color w:val="001D77"/>
                        </w:rPr>
                      </w:pPr>
                      <w:r w:rsidRPr="005B19C1">
                        <w:rPr>
                          <w:color w:val="001D77"/>
                        </w:rPr>
                        <w:fldChar w:fldCharType="end"/>
                      </w:r>
                      <w:hyperlink r:id="rId66" w:tooltip="link do słownika pojęć stosowanych w statystyce publicznej" w:history="1">
                        <w:r w:rsidRPr="005B19C1">
                          <w:rPr>
                            <w:rStyle w:val="Hipercze"/>
                            <w:rFonts w:cstheme="minorBidi"/>
                            <w:color w:val="001D77"/>
                          </w:rPr>
                          <w:t>Nakłady inwestycyjne</w:t>
                        </w:r>
                      </w:hyperlink>
                    </w:p>
                    <w:p w:rsidR="00484427" w:rsidRPr="00901395" w:rsidRDefault="00484427" w:rsidP="00A9395A">
                      <w:pPr>
                        <w:spacing w:line="220" w:lineRule="exact"/>
                        <w:rPr>
                          <w:rStyle w:val="Hipercze"/>
                          <w:rFonts w:cstheme="minorBidi"/>
                          <w:color w:val="001D77"/>
                        </w:rPr>
                      </w:pPr>
                      <w:hyperlink r:id="rId67" w:tooltip="link do słownika pojęć stosowanych w statystyce publicznej" w:history="1">
                        <w:r w:rsidRPr="00901395">
                          <w:rPr>
                            <w:rStyle w:val="Hipercze"/>
                            <w:rFonts w:cstheme="minorBidi"/>
                            <w:color w:val="001D77"/>
                          </w:rPr>
                          <w:t>Podmiot gospodarki narodowej</w:t>
                        </w:r>
                      </w:hyperlink>
                    </w:p>
                    <w:p w:rsidR="00484427" w:rsidRPr="00901395" w:rsidRDefault="00484427" w:rsidP="00A9395A">
                      <w:pPr>
                        <w:spacing w:line="220" w:lineRule="exact"/>
                        <w:rPr>
                          <w:rStyle w:val="Hipercze"/>
                          <w:rFonts w:cstheme="minorBidi"/>
                          <w:color w:val="001D77"/>
                        </w:rPr>
                      </w:pPr>
                      <w:hyperlink r:id="rId68" w:tooltip="link do słownika pojęć stosowanych w statystyce publicznej" w:history="1">
                        <w:r w:rsidRPr="00901395">
                          <w:rPr>
                            <w:rStyle w:val="Hipercze"/>
                            <w:rFonts w:cstheme="minorBidi"/>
                            <w:color w:val="001D77"/>
                          </w:rPr>
                          <w:t>Koniunktura gospodarcza</w:t>
                        </w:r>
                      </w:hyperlink>
                    </w:p>
                  </w:txbxContent>
                </v:textbox>
                <w10:wrap type="square" anchorx="margin"/>
              </v:shape>
            </w:pict>
          </mc:Fallback>
        </mc:AlternateContent>
      </w:r>
    </w:p>
    <w:sectPr w:rsidR="00750FD8" w:rsidRPr="003439F1" w:rsidSect="0022458A">
      <w:pgSz w:w="11906" w:h="16838"/>
      <w:pgMar w:top="720" w:right="720"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4427" w:rsidRDefault="00484427" w:rsidP="000662E2">
      <w:pPr>
        <w:spacing w:after="0" w:line="240" w:lineRule="auto"/>
      </w:pPr>
      <w:r>
        <w:separator/>
      </w:r>
    </w:p>
  </w:endnote>
  <w:endnote w:type="continuationSeparator" w:id="0">
    <w:p w:rsidR="00484427" w:rsidRDefault="00484427"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Fira Sans Light">
    <w:panose1 w:val="020B0403050000020004"/>
    <w:charset w:val="EE"/>
    <w:family w:val="swiss"/>
    <w:pitch w:val="variable"/>
    <w:sig w:usb0="600002FF" w:usb1="02000001" w:usb2="00000000" w:usb3="00000000" w:csb0="0000019F" w:csb1="00000000"/>
    <w:embedRegular r:id="rId1" w:fontKey="{70081236-47A8-45C4-873E-C858591EA6D0}"/>
    <w:embedBold r:id="rId2" w:fontKey="{FE872C66-96F1-49E8-AC36-9C52D85750E2}"/>
    <w:embedItalic r:id="rId3" w:fontKey="{BC4F2AD6-1EC0-4114-A92E-8BB3DAB93C05}"/>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4" w:fontKey="{F4310954-FCBD-453E-AF67-60BDB3BEB35B}"/>
    <w:embedBold r:id="rId5" w:fontKey="{6A3170D7-DFEE-4D6A-B182-E849973FAF72}"/>
    <w:embedItalic r:id="rId6" w:fontKey="{4BE28DF4-E27D-4480-8731-C78627FA933F}"/>
  </w:font>
  <w:font w:name="Fira Sans SemiBold">
    <w:panose1 w:val="020B0603050000020004"/>
    <w:charset w:val="EE"/>
    <w:family w:val="swiss"/>
    <w:pitch w:val="variable"/>
    <w:sig w:usb0="600002FF" w:usb1="02000001" w:usb2="00000000" w:usb3="00000000" w:csb0="0000019F" w:csb1="00000000"/>
    <w:embedRegular r:id="rId7" w:fontKey="{B54F0AB5-A43F-43C4-8632-4B21DE5C9BB7}"/>
  </w:font>
  <w:font w:name="FiraSans-Bold">
    <w:altName w:val="Arial"/>
    <w:panose1 w:val="00000000000000000000"/>
    <w:charset w:val="00"/>
    <w:family w:val="swiss"/>
    <w:notTrueType/>
    <w:pitch w:val="default"/>
    <w:sig w:usb0="00000007" w:usb1="00000000" w:usb2="00000000" w:usb3="00000000" w:csb0="00000003" w:csb1="00000000"/>
  </w:font>
  <w:font w:name="Fira Sans Medium">
    <w:panose1 w:val="020B0603050000020004"/>
    <w:charset w:val="EE"/>
    <w:family w:val="swiss"/>
    <w:pitch w:val="variable"/>
    <w:sig w:usb0="600002FF" w:usb1="02000001" w:usb2="00000000" w:usb3="00000000" w:csb0="0000019F" w:csb1="00000000"/>
    <w:embedRegular r:id="rId8" w:fontKey="{5B1AD9CF-5AB9-405F-BB94-4BE976292C50}"/>
    <w:embedBold r:id="rId9" w:fontKey="{EE1EAB52-80B5-4284-9C32-FC63379983AE}"/>
    <w:embedItalic r:id="rId10" w:fontKey="{D346B369-F445-4838-8839-8A4EC64A45F6}"/>
  </w:font>
  <w:font w:name="Segoe UI">
    <w:panose1 w:val="020B0502040204020203"/>
    <w:charset w:val="EE"/>
    <w:family w:val="swiss"/>
    <w:pitch w:val="variable"/>
    <w:sig w:usb0="E4002EFF" w:usb1="C000E47F" w:usb2="00000009" w:usb3="00000000" w:csb0="000001FF" w:csb1="00000000"/>
    <w:embedRegular r:id="rId11" w:fontKey="{BEC957E0-FFC3-4A7A-BB0D-12A1226E9A1C}"/>
  </w:font>
  <w:font w:name="Fira Sans Extra Condensed SemiB">
    <w:altName w:val="Fira Sans Medium"/>
    <w:panose1 w:val="020B0603050000020004"/>
    <w:charset w:val="EE"/>
    <w:family w:val="swiss"/>
    <w:pitch w:val="variable"/>
    <w:sig w:usb0="600002FF" w:usb1="00000001" w:usb2="00000000" w:usb3="00000000" w:csb0="0000019F" w:csb1="00000000"/>
    <w:embedRegular r:id="rId12" w:fontKey="{3C3DF717-841D-4DD4-ACCE-035FCDA884FF}"/>
  </w:font>
  <w:font w:name="Minion Pro">
    <w:panose1 w:val="00000000000000000000"/>
    <w:charset w:val="00"/>
    <w:family w:val="roman"/>
    <w:notTrueType/>
    <w:pitch w:val="variable"/>
    <w:sig w:usb0="60000287" w:usb1="00000001"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embedRegular r:id="rId13" w:fontKey="{A15D6F84-A1D2-47ED-AB2E-4A00D210F9E7}"/>
    <w:embedBoldItalic r:id="rId14" w:fontKey="{A56578AE-DAB4-4433-B6BC-F9B9D1582198}"/>
  </w:font>
  <w:font w:name="Arial">
    <w:panose1 w:val="020B0604020202020204"/>
    <w:charset w:val="EE"/>
    <w:family w:val="swiss"/>
    <w:pitch w:val="variable"/>
    <w:sig w:usb0="E0002EFF" w:usb1="C000785B"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Consolas">
    <w:panose1 w:val="020B0609020204030204"/>
    <w:charset w:val="EE"/>
    <w:family w:val="modern"/>
    <w:pitch w:val="fixed"/>
    <w:sig w:usb0="E00006FF" w:usb1="0000FCFF" w:usb2="00000001" w:usb3="00000000" w:csb0="0000019F" w:csb1="00000000"/>
    <w:embedRegular r:id="rId15" w:fontKey="{93A4EE80-1D7F-462F-AE89-D40A601AFA59}"/>
  </w:font>
  <w:font w:name="FiraSans-Regular">
    <w:panose1 w:val="00000000000000000000"/>
    <w:charset w:val="EE"/>
    <w:family w:val="auto"/>
    <w:notTrueType/>
    <w:pitch w:val="default"/>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589206"/>
      <w:docPartObj>
        <w:docPartGallery w:val="Page Numbers (Bottom of Page)"/>
        <w:docPartUnique/>
      </w:docPartObj>
    </w:sdtPr>
    <w:sdtEndPr/>
    <w:sdtContent>
      <w:p w:rsidR="00484427" w:rsidRDefault="00484427">
        <w:pPr>
          <w:pStyle w:val="Stopka"/>
          <w:jc w:val="right"/>
        </w:pPr>
        <w:r>
          <w:fldChar w:fldCharType="begin"/>
        </w:r>
        <w:r>
          <w:instrText>PAGE   \* MERGEFORMAT</w:instrText>
        </w:r>
        <w:r>
          <w:fldChar w:fldCharType="separate"/>
        </w:r>
        <w:r w:rsidR="00DF719D">
          <w:rPr>
            <w:noProof/>
          </w:rPr>
          <w:t>2</w:t>
        </w:r>
        <w:r>
          <w:fldChar w:fldCharType="end"/>
        </w:r>
      </w:p>
    </w:sdtContent>
  </w:sdt>
  <w:p w:rsidR="00484427" w:rsidRDefault="00484427" w:rsidP="003B18B6">
    <w:pPr>
      <w:pStyle w:val="Stopka"/>
      <w:jc w:val="center"/>
    </w:pPr>
  </w:p>
  <w:p w:rsidR="00484427" w:rsidRDefault="0048442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3275248"/>
      <w:docPartObj>
        <w:docPartGallery w:val="Page Numbers (Bottom of Page)"/>
        <w:docPartUnique/>
      </w:docPartObj>
    </w:sdtPr>
    <w:sdtEndPr/>
    <w:sdtContent>
      <w:p w:rsidR="00484427" w:rsidRDefault="00484427">
        <w:pPr>
          <w:pStyle w:val="Stopka"/>
          <w:jc w:val="right"/>
        </w:pPr>
        <w:r>
          <w:fldChar w:fldCharType="begin"/>
        </w:r>
        <w:r>
          <w:instrText>PAGE   \* MERGEFORMAT</w:instrText>
        </w:r>
        <w:r>
          <w:fldChar w:fldCharType="separate"/>
        </w:r>
        <w:r w:rsidR="003F5924">
          <w:rPr>
            <w:noProof/>
          </w:rPr>
          <w:t>1</w:t>
        </w:r>
        <w:r>
          <w:fldChar w:fldCharType="end"/>
        </w:r>
      </w:p>
    </w:sdtContent>
  </w:sdt>
  <w:p w:rsidR="00484427" w:rsidRDefault="00484427" w:rsidP="003B18B6">
    <w:pPr>
      <w:pStyle w:val="Stopka"/>
      <w:jc w:val="center"/>
    </w:pPr>
  </w:p>
  <w:p w:rsidR="00484427" w:rsidRDefault="00484427"/>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0924397"/>
      <w:docPartObj>
        <w:docPartGallery w:val="Page Numbers (Bottom of Page)"/>
        <w:docPartUnique/>
      </w:docPartObj>
    </w:sdtPr>
    <w:sdtEndPr/>
    <w:sdtContent>
      <w:p w:rsidR="00484427" w:rsidRDefault="00484427">
        <w:pPr>
          <w:pStyle w:val="Stopka"/>
          <w:jc w:val="right"/>
        </w:pPr>
        <w:r>
          <w:fldChar w:fldCharType="begin"/>
        </w:r>
        <w:r>
          <w:instrText>PAGE   \* MERGEFORMAT</w:instrText>
        </w:r>
        <w:r>
          <w:fldChar w:fldCharType="separate"/>
        </w:r>
        <w:r w:rsidR="003F5924">
          <w:rPr>
            <w:noProof/>
          </w:rPr>
          <w:t>21</w:t>
        </w:r>
        <w:r>
          <w:fldChar w:fldCharType="end"/>
        </w:r>
      </w:p>
    </w:sdtContent>
  </w:sdt>
  <w:p w:rsidR="00484427" w:rsidRDefault="00484427" w:rsidP="00C07ADC">
    <w:pPr>
      <w:pStyle w:val="Stopka"/>
      <w:tabs>
        <w:tab w:val="clear" w:pos="9072"/>
        <w:tab w:val="left" w:pos="4963"/>
        <w:tab w:val="left" w:pos="5223"/>
        <w:tab w:val="left" w:pos="5672"/>
        <w:tab w:val="left" w:pos="6381"/>
        <w:tab w:val="left" w:pos="7090"/>
      </w:tabs>
    </w:pPr>
  </w:p>
  <w:p w:rsidR="00484427" w:rsidRDefault="0048442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4427" w:rsidRDefault="00484427" w:rsidP="000662E2">
      <w:pPr>
        <w:spacing w:after="0" w:line="240" w:lineRule="auto"/>
      </w:pPr>
      <w:r>
        <w:separator/>
      </w:r>
    </w:p>
  </w:footnote>
  <w:footnote w:type="continuationSeparator" w:id="0">
    <w:p w:rsidR="00484427" w:rsidRDefault="00484427" w:rsidP="000662E2">
      <w:pPr>
        <w:spacing w:after="0" w:line="240" w:lineRule="auto"/>
      </w:pPr>
      <w:r>
        <w:continuationSeparator/>
      </w:r>
    </w:p>
  </w:footnote>
  <w:footnote w:id="1">
    <w:p w:rsidR="00484427" w:rsidRDefault="00484427" w:rsidP="00BC6BAA">
      <w:pPr>
        <w:pStyle w:val="notka2"/>
      </w:pPr>
      <w:r>
        <w:rPr>
          <w:rStyle w:val="Odwoanieprzypisudolnego"/>
        </w:rPr>
        <w:footnoteRef/>
      </w:r>
      <w:r>
        <w:t xml:space="preserve"> Przeciętne wartości temperatur i opadów obliczono jako średnie arytmetyczne przeciętnych miesięcznych wartości z czterech stacji hydrologiczno-meteorologicznych Instytutu Meteorologii i Gospodarki Wodnej zlokalizowanych w Kaliszu, </w:t>
      </w:r>
      <w:r>
        <w:rPr>
          <w:szCs w:val="16"/>
        </w:rPr>
        <w:t>Lesznie</w:t>
      </w:r>
      <w:r>
        <w:t>, Pile i Poznaniu.</w:t>
      </w:r>
    </w:p>
  </w:footnote>
  <w:footnote w:id="2">
    <w:p w:rsidR="00484427" w:rsidRDefault="00484427" w:rsidP="00E923A7">
      <w:pPr>
        <w:pStyle w:val="notka"/>
      </w:pPr>
      <w:r>
        <w:rPr>
          <w:rStyle w:val="Odwoanieprzypisudolnego"/>
        </w:rPr>
        <w:footnoteRef/>
      </w:r>
      <w:r>
        <w:t xml:space="preserve"> </w:t>
      </w:r>
      <w:r w:rsidRPr="00D20766">
        <w:t>Dane meldunkowe – mogą ulec zmianie po opracowaniu sprawozdań kwartalnych.</w:t>
      </w:r>
    </w:p>
  </w:footnote>
  <w:footnote w:id="3">
    <w:p w:rsidR="00484427" w:rsidRDefault="00484427" w:rsidP="00E923A7">
      <w:pPr>
        <w:pStyle w:val="notka"/>
      </w:pPr>
      <w:r>
        <w:rPr>
          <w:rStyle w:val="Odwoanieprzypisudolnego"/>
        </w:rPr>
        <w:footnoteRef/>
      </w:r>
      <w:r>
        <w:t xml:space="preserve"> Ilekroć jest mowa o deweloperach, oznacza to budownictwo przeznaczone na sprzedaż lub wynajem, realizowane przez różnych inwestorów z zamiarem osiągnięcia zysku, natomiast informacje o inwestorach indywidualnych dotyczą budownictwa realizowanego na ich własny użytek. </w:t>
      </w:r>
    </w:p>
  </w:footnote>
  <w:footnote w:id="4">
    <w:p w:rsidR="00484427" w:rsidRPr="00F8127B" w:rsidRDefault="00484427" w:rsidP="00E923A7">
      <w:pPr>
        <w:pStyle w:val="notka2"/>
        <w:rPr>
          <w:sz w:val="16"/>
          <w:szCs w:val="16"/>
        </w:rPr>
      </w:pPr>
      <w:r w:rsidRPr="00F8127B">
        <w:rPr>
          <w:rStyle w:val="Odwoanieprzypisudolnego"/>
          <w:sz w:val="16"/>
          <w:szCs w:val="16"/>
        </w:rPr>
        <w:footnoteRef/>
      </w:r>
      <w:r w:rsidRPr="00F8127B">
        <w:rPr>
          <w:sz w:val="16"/>
          <w:szCs w:val="16"/>
        </w:rPr>
        <w:t xml:space="preserve"> </w:t>
      </w:r>
      <w:r w:rsidRPr="00F520B9">
        <w:t>Dotyczy osób prawnych, jednostek organizacyjnych niemających osobowości prawnej oraz osób fizycznych prowadzących działalność gospodarczą (bez osób fizycznych prowadzących gospodarstwa indywidualne w rolnictwie).</w:t>
      </w:r>
    </w:p>
  </w:footnote>
  <w:footnote w:id="5">
    <w:p w:rsidR="00484427" w:rsidRPr="004A4DAC" w:rsidRDefault="00484427" w:rsidP="00E923A7">
      <w:pPr>
        <w:pStyle w:val="notka2"/>
        <w:rPr>
          <w:rFonts w:asciiTheme="minorHAnsi" w:hAnsiTheme="minorHAnsi"/>
          <w:sz w:val="22"/>
        </w:rPr>
      </w:pPr>
      <w:r>
        <w:rPr>
          <w:rStyle w:val="Odwoanieprzypisudolnego"/>
        </w:rPr>
        <w:footnoteRef/>
      </w:r>
      <w:r>
        <w:t xml:space="preserve"> </w:t>
      </w:r>
      <w:r w:rsidRPr="00124DDB">
        <w:t xml:space="preserve">Badanie zostało przeprowadzone od 1 do 10 dnia bieżącego miesiąca na próbie jednostek przemysłowych, budowlanych, handlowych i usługowych. Odpowiedzi na cały dodatkowy blok pytań są udzielane na zasadzie dobrowolności. </w:t>
      </w:r>
      <w:r>
        <w:t>W</w:t>
      </w:r>
      <w:r w:rsidRPr="00124DDB">
        <w:t>e wszystkich pytaniach prezentowany jest procent (ważony) odpowiedzi respondentów na dany wariant. Dane zostały zagregowane zgodnie z metodologią agregacji (ważenia) stosowaną standardowo w badaniu koniunktury gospodarczej</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4427" w:rsidRPr="00CB5DE0" w:rsidRDefault="00484427" w:rsidP="00BF1AD1">
    <w:pPr>
      <w:pStyle w:val="Nagwek"/>
      <w:tabs>
        <w:tab w:val="clear" w:pos="4536"/>
        <w:tab w:val="clear" w:pos="9072"/>
        <w:tab w:val="left" w:pos="5877"/>
      </w:tabs>
      <w:rPr>
        <w:noProof/>
        <w:sz w:val="20"/>
        <w:lang w:eastAsia="pl-PL"/>
      </w:rPr>
    </w:pPr>
    <w:r>
      <w:rPr>
        <w:noProof/>
        <w:lang w:eastAsia="pl-PL"/>
      </w:rPr>
      <w:tab/>
    </w:r>
  </w:p>
  <w:p w:rsidR="00484427" w:rsidRDefault="00484427" w:rsidP="001D0C76">
    <w:pPr>
      <w:pStyle w:val="Nagwek"/>
      <w:tabs>
        <w:tab w:val="clear" w:pos="4536"/>
        <w:tab w:val="clear" w:pos="9072"/>
        <w:tab w:val="left" w:pos="3338"/>
      </w:tabs>
      <w:rPr>
        <w:noProof/>
        <w:lang w:eastAsia="pl-PL"/>
      </w:rPr>
    </w:pPr>
    <w:r>
      <w:rPr>
        <w:noProof/>
        <w:lang w:eastAsia="pl-PL"/>
      </w:rPr>
      <w:drawing>
        <wp:anchor distT="0" distB="0" distL="114300" distR="114300" simplePos="0" relativeHeight="251659264" behindDoc="0" locked="0" layoutInCell="1" allowOverlap="1">
          <wp:simplePos x="0" y="0"/>
          <wp:positionH relativeFrom="page">
            <wp:posOffset>5502910</wp:posOffset>
          </wp:positionH>
          <wp:positionV relativeFrom="paragraph">
            <wp:posOffset>210185</wp:posOffset>
          </wp:positionV>
          <wp:extent cx="2048510" cy="347345"/>
          <wp:effectExtent l="0" t="0" r="8890" b="0"/>
          <wp:wrapSquare wrapText="bothSides"/>
          <wp:docPr id="15" name="Obraz 15" descr="Nazwa serii wydawniczej: Informacje sygnal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8510" cy="347345"/>
                  </a:xfrm>
                  <a:prstGeom prst="rect">
                    <a:avLst/>
                  </a:prstGeom>
                  <a:noFill/>
                </pic:spPr>
              </pic:pic>
            </a:graphicData>
          </a:graphic>
        </wp:anchor>
      </w:drawing>
    </w:r>
    <w:r>
      <w:rPr>
        <w:noProof/>
        <w:lang w:eastAsia="pl-PL"/>
      </w:rPr>
      <w:drawing>
        <wp:inline distT="0" distB="0" distL="0" distR="0">
          <wp:extent cx="1737360" cy="572770"/>
          <wp:effectExtent l="0" t="0" r="0" b="0"/>
          <wp:docPr id="16" name="Obraz 16" descr="Logo Urzędu Statystycznego w Poznan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37360" cy="572770"/>
                  </a:xfrm>
                  <a:prstGeom prst="rect">
                    <a:avLst/>
                  </a:prstGeom>
                  <a:noFill/>
                </pic:spPr>
              </pic:pic>
            </a:graphicData>
          </a:graphic>
        </wp:inline>
      </w:drawing>
    </w:r>
    <w:r>
      <w:rPr>
        <w:noProof/>
        <w:lang w:eastAsia="pl-PL"/>
      </w:rPr>
      <w:tab/>
    </w:r>
  </w:p>
  <w:p w:rsidR="00484427" w:rsidRDefault="00484427" w:rsidP="002516AE">
    <w:pPr>
      <w:pStyle w:val="Nagwek"/>
      <w:tabs>
        <w:tab w:val="clear" w:pos="4536"/>
        <w:tab w:val="clear" w:pos="9072"/>
        <w:tab w:val="left" w:pos="3373"/>
        <w:tab w:val="left" w:pos="6222"/>
      </w:tabs>
      <w:rPr>
        <w:noProof/>
        <w:lang w:eastAsia="pl-PL"/>
      </w:rPr>
    </w:pPr>
    <w:r>
      <w:rPr>
        <w:noProof/>
        <w:lang w:eastAsia="pl-PL"/>
      </w:rPr>
      <mc:AlternateContent>
        <mc:Choice Requires="wps">
          <w:drawing>
            <wp:anchor distT="0" distB="0" distL="114300" distR="114300" simplePos="0" relativeHeight="251658240" behindDoc="0" locked="0" layoutInCell="1" allowOverlap="1" wp14:anchorId="4C8F9B1C" wp14:editId="17FF8C66">
              <wp:simplePos x="0" y="0"/>
              <wp:positionH relativeFrom="column">
                <wp:posOffset>5231130</wp:posOffset>
              </wp:positionH>
              <wp:positionV relativeFrom="paragraph">
                <wp:posOffset>324485</wp:posOffset>
              </wp:positionV>
              <wp:extent cx="0" cy="565915"/>
              <wp:effectExtent l="0" t="0" r="19050" b="24765"/>
              <wp:wrapNone/>
              <wp:docPr id="4" name="Łącznik prosty 4" descr="&quot;&quot;"/>
              <wp:cNvGraphicFramePr/>
              <a:graphic xmlns:a="http://schemas.openxmlformats.org/drawingml/2006/main">
                <a:graphicData uri="http://schemas.microsoft.com/office/word/2010/wordprocessingShape">
                  <wps:wsp>
                    <wps:cNvCnPr/>
                    <wps:spPr>
                      <a:xfrm>
                        <a:off x="0" y="0"/>
                        <a:ext cx="0" cy="565915"/>
                      </a:xfrm>
                      <a:prstGeom prst="line">
                        <a:avLst/>
                      </a:prstGeom>
                      <a:ln w="12700">
                        <a:solidFill>
                          <a:srgbClr val="212E79"/>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EC1243B" id="Łącznik prosty 4" o:spid="_x0000_s1026" alt="&quot;&quot;"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1.9pt,25.55pt" to="411.9pt,7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" strokecolor="#212e79" strokeweight="1pt">
              <v:stroke joinstyle="miter"/>
            </v:line>
          </w:pict>
        </mc:Fallback>
      </mc:AlternateContent>
    </w:r>
    <w:r>
      <w:rPr>
        <w:noProof/>
        <w:lang w:eastAsia="pl-PL"/>
      </w:rPr>
      <w:tab/>
    </w:r>
    <w:r>
      <w:rPr>
        <w:noProof/>
        <w:lang w:eastAsia="pl-PL"/>
      </w:rPr>
      <w:tab/>
    </w:r>
  </w:p>
  <w:p w:rsidR="00484427" w:rsidRDefault="00484427">
    <w:r w:rsidRPr="00F37172">
      <w:rPr>
        <w:noProof/>
        <w:lang w:eastAsia="pl-PL"/>
      </w:rPr>
      <mc:AlternateContent>
        <mc:Choice Requires="wps">
          <w:drawing>
            <wp:anchor distT="45720" distB="45720" distL="114300" distR="114300" simplePos="0" relativeHeight="251657216" behindDoc="0" locked="0" layoutInCell="1" allowOverlap="1" wp14:anchorId="712723F6" wp14:editId="16E73CDB">
              <wp:simplePos x="0" y="0"/>
              <wp:positionH relativeFrom="margin">
                <wp:align>right</wp:align>
              </wp:positionH>
              <wp:positionV relativeFrom="paragraph">
                <wp:posOffset>45209</wp:posOffset>
              </wp:positionV>
              <wp:extent cx="1238250" cy="575953"/>
              <wp:effectExtent l="0" t="0" r="0" b="0"/>
              <wp:wrapNone/>
              <wp:docPr id="8" name="Pole tekstowe 2" descr="Data publikacji: 31.03.2025 r. i numer komunikatu: 02/2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575953"/>
                      </a:xfrm>
                      <a:prstGeom prst="rect">
                        <a:avLst/>
                      </a:prstGeom>
                      <a:noFill/>
                      <a:ln w="9525">
                        <a:noFill/>
                        <a:miter lim="800000"/>
                        <a:headEnd/>
                        <a:tailEnd/>
                      </a:ln>
                    </wps:spPr>
                    <wps:txbx>
                      <w:txbxContent>
                        <w:p w:rsidR="00484427" w:rsidRDefault="00484427" w:rsidP="00F37172">
                          <w:pPr>
                            <w:jc w:val="both"/>
                            <w:rPr>
                              <w:rFonts w:ascii="Fira Sans SemiBold" w:hAnsi="Fira Sans SemiBold"/>
                              <w:color w:val="522398"/>
                              <w:sz w:val="28"/>
                              <w:lang w:val="en-GB"/>
                            </w:rPr>
                          </w:pPr>
                          <w:r>
                            <w:rPr>
                              <w:rFonts w:ascii="Fira Sans SemiBold" w:hAnsi="Fira Sans SemiBold"/>
                              <w:color w:val="522398"/>
                              <w:sz w:val="28"/>
                              <w:lang w:val="en-GB"/>
                            </w:rPr>
                            <w:t>31.03</w:t>
                          </w:r>
                          <w:r w:rsidRPr="00FE252C">
                            <w:rPr>
                              <w:rFonts w:ascii="Fira Sans SemiBold" w:hAnsi="Fira Sans SemiBold"/>
                              <w:color w:val="522398"/>
                              <w:sz w:val="28"/>
                              <w:lang w:val="en-GB"/>
                            </w:rPr>
                            <w:t>.</w:t>
                          </w:r>
                          <w:r>
                            <w:rPr>
                              <w:rFonts w:ascii="Fira Sans SemiBold" w:hAnsi="Fira Sans SemiBold"/>
                              <w:color w:val="522398"/>
                              <w:sz w:val="28"/>
                              <w:lang w:val="en-GB"/>
                            </w:rPr>
                            <w:t>2025 r.</w:t>
                          </w:r>
                        </w:p>
                        <w:p w:rsidR="00484427" w:rsidRPr="001D0C76" w:rsidRDefault="00484427" w:rsidP="001D0C76">
                          <w:pPr>
                            <w:spacing w:before="140"/>
                            <w:jc w:val="both"/>
                            <w:rPr>
                              <w:rFonts w:ascii="Fira Sans SemiBold" w:hAnsi="Fira Sans SemiBold"/>
                              <w:color w:val="522398"/>
                              <w:sz w:val="28"/>
                              <w:lang w:val="en-GB"/>
                            </w:rPr>
                          </w:pPr>
                          <w:r w:rsidRPr="00FE252C">
                            <w:rPr>
                              <w:rFonts w:ascii="Fira Sans SemiBold" w:hAnsi="Fira Sans SemiBold"/>
                              <w:color w:val="522398"/>
                              <w:sz w:val="28"/>
                              <w:lang w:val="en-GB"/>
                            </w:rPr>
                            <w:t xml:space="preserve">Nr </w:t>
                          </w:r>
                          <w:r>
                            <w:rPr>
                              <w:rFonts w:ascii="Fira Sans SemiBold" w:hAnsi="Fira Sans SemiBold"/>
                              <w:color w:val="522398"/>
                              <w:sz w:val="28"/>
                              <w:lang w:val="en-GB"/>
                            </w:rPr>
                            <w:t>02</w:t>
                          </w:r>
                          <w:r w:rsidRPr="00FE252C">
                            <w:rPr>
                              <w:rFonts w:ascii="Fira Sans SemiBold" w:hAnsi="Fira Sans SemiBold"/>
                              <w:color w:val="522398"/>
                              <w:sz w:val="28"/>
                              <w:lang w:val="en-GB"/>
                            </w:rPr>
                            <w:t>/</w:t>
                          </w:r>
                          <w:r>
                            <w:rPr>
                              <w:rFonts w:ascii="Fira Sans SemiBold" w:hAnsi="Fira Sans SemiBold"/>
                              <w:color w:val="522398"/>
                              <w:sz w:val="28"/>
                              <w:lang w:val="en-GB"/>
                            </w:rPr>
                            <w:t>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2723F6" id="_x0000_t202" coordsize="21600,21600" o:spt="202" path="m,l,21600r21600,l21600,xe">
              <v:stroke joinstyle="miter"/>
              <v:path gradientshapeok="t" o:connecttype="rect"/>
            </v:shapetype>
            <v:shape id="_x0000_s1028" type="#_x0000_t202" alt="Data publikacji: 31.03.2025 r. i numer komunikatu: 02/2025" style="position:absolute;margin-left:46.3pt;margin-top:3.55pt;width:97.5pt;height:45.35pt;z-index:2516572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" filled="f" stroked="f">
              <v:textbox>
                <w:txbxContent>
                  <w:p w:rsidR="00484427" w:rsidRDefault="00484427" w:rsidP="00F37172">
                    <w:pPr>
                      <w:jc w:val="both"/>
                      <w:rPr>
                        <w:rFonts w:ascii="Fira Sans SemiBold" w:hAnsi="Fira Sans SemiBold"/>
                        <w:color w:val="522398"/>
                        <w:sz w:val="28"/>
                        <w:lang w:val="en-GB"/>
                      </w:rPr>
                    </w:pPr>
                    <w:r>
                      <w:rPr>
                        <w:rFonts w:ascii="Fira Sans SemiBold" w:hAnsi="Fira Sans SemiBold"/>
                        <w:color w:val="522398"/>
                        <w:sz w:val="28"/>
                        <w:lang w:val="en-GB"/>
                      </w:rPr>
                      <w:t>31.03</w:t>
                    </w:r>
                    <w:r w:rsidRPr="00FE252C">
                      <w:rPr>
                        <w:rFonts w:ascii="Fira Sans SemiBold" w:hAnsi="Fira Sans SemiBold"/>
                        <w:color w:val="522398"/>
                        <w:sz w:val="28"/>
                        <w:lang w:val="en-GB"/>
                      </w:rPr>
                      <w:t>.</w:t>
                    </w:r>
                    <w:r>
                      <w:rPr>
                        <w:rFonts w:ascii="Fira Sans SemiBold" w:hAnsi="Fira Sans SemiBold"/>
                        <w:color w:val="522398"/>
                        <w:sz w:val="28"/>
                        <w:lang w:val="en-GB"/>
                      </w:rPr>
                      <w:t>2025 r.</w:t>
                    </w:r>
                  </w:p>
                  <w:p w:rsidR="00484427" w:rsidRPr="001D0C76" w:rsidRDefault="00484427" w:rsidP="001D0C76">
                    <w:pPr>
                      <w:spacing w:before="140"/>
                      <w:jc w:val="both"/>
                      <w:rPr>
                        <w:rFonts w:ascii="Fira Sans SemiBold" w:hAnsi="Fira Sans SemiBold"/>
                        <w:color w:val="522398"/>
                        <w:sz w:val="28"/>
                        <w:lang w:val="en-GB"/>
                      </w:rPr>
                    </w:pPr>
                    <w:r w:rsidRPr="00FE252C">
                      <w:rPr>
                        <w:rFonts w:ascii="Fira Sans SemiBold" w:hAnsi="Fira Sans SemiBold"/>
                        <w:color w:val="522398"/>
                        <w:sz w:val="28"/>
                        <w:lang w:val="en-GB"/>
                      </w:rPr>
                      <w:t xml:space="preserve">Nr </w:t>
                    </w:r>
                    <w:r>
                      <w:rPr>
                        <w:rFonts w:ascii="Fira Sans SemiBold" w:hAnsi="Fira Sans SemiBold"/>
                        <w:color w:val="522398"/>
                        <w:sz w:val="28"/>
                        <w:lang w:val="en-GB"/>
                      </w:rPr>
                      <w:t>02</w:t>
                    </w:r>
                    <w:r w:rsidRPr="00FE252C">
                      <w:rPr>
                        <w:rFonts w:ascii="Fira Sans SemiBold" w:hAnsi="Fira Sans SemiBold"/>
                        <w:color w:val="522398"/>
                        <w:sz w:val="28"/>
                        <w:lang w:val="en-GB"/>
                      </w:rPr>
                      <w:t>/</w:t>
                    </w:r>
                    <w:r>
                      <w:rPr>
                        <w:rFonts w:ascii="Fira Sans SemiBold" w:hAnsi="Fira Sans SemiBold"/>
                        <w:color w:val="522398"/>
                        <w:sz w:val="28"/>
                        <w:lang w:val="en-GB"/>
                      </w:rPr>
                      <w:t>2025</w:t>
                    </w:r>
                  </w:p>
                </w:txbxContent>
              </v:textbox>
              <w10:wrap anchorx="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4427" w:rsidRDefault="00484427">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3.35pt;height:124.6pt;visibility:visible;mso-wrap-style:square" o:bullet="t">
        <v:imagedata r:id="rId1" o:title=""/>
      </v:shape>
    </w:pict>
  </w:numPicBullet>
  <w:numPicBullet w:numPicBulletId="1">
    <w:pict>
      <v:shape id="_x0000_i1027" type="#_x0000_t75" style="width:123.95pt;height:124.6pt;visibility:visible;mso-wrap-style:square" o:bullet="t">
        <v:imagedata r:id="rId2" o:title=""/>
      </v:shape>
    </w:pict>
  </w:numPicBullet>
  <w:abstractNum w:abstractNumId="0" w15:restartNumberingAfterBreak="0">
    <w:nsid w:val="FFFFFF7C"/>
    <w:multiLevelType w:val="singleLevel"/>
    <w:tmpl w:val="93EE8332"/>
    <w:lvl w:ilvl="0">
      <w:start w:val="1"/>
      <w:numFmt w:val="decimal"/>
      <w:pStyle w:val="Listanumerowana5"/>
      <w:lvlText w:val="%1."/>
      <w:lvlJc w:val="left"/>
      <w:pPr>
        <w:tabs>
          <w:tab w:val="num" w:pos="1492"/>
        </w:tabs>
        <w:ind w:left="1492" w:hanging="360"/>
      </w:pPr>
    </w:lvl>
  </w:abstractNum>
  <w:abstractNum w:abstractNumId="1" w15:restartNumberingAfterBreak="0">
    <w:nsid w:val="FFFFFF7D"/>
    <w:multiLevelType w:val="singleLevel"/>
    <w:tmpl w:val="9146BFD2"/>
    <w:lvl w:ilvl="0">
      <w:start w:val="1"/>
      <w:numFmt w:val="decimal"/>
      <w:pStyle w:val="Listanumerowana4"/>
      <w:lvlText w:val="%1."/>
      <w:lvlJc w:val="left"/>
      <w:pPr>
        <w:tabs>
          <w:tab w:val="num" w:pos="1209"/>
        </w:tabs>
        <w:ind w:left="1209" w:hanging="360"/>
      </w:pPr>
    </w:lvl>
  </w:abstractNum>
  <w:abstractNum w:abstractNumId="2" w15:restartNumberingAfterBreak="0">
    <w:nsid w:val="FFFFFF7E"/>
    <w:multiLevelType w:val="singleLevel"/>
    <w:tmpl w:val="461AC11E"/>
    <w:lvl w:ilvl="0">
      <w:start w:val="1"/>
      <w:numFmt w:val="decimal"/>
      <w:pStyle w:val="Listanumerowana3"/>
      <w:lvlText w:val="%1."/>
      <w:lvlJc w:val="left"/>
      <w:pPr>
        <w:tabs>
          <w:tab w:val="num" w:pos="926"/>
        </w:tabs>
        <w:ind w:left="926" w:hanging="360"/>
      </w:pPr>
    </w:lvl>
  </w:abstractNum>
  <w:abstractNum w:abstractNumId="3" w15:restartNumberingAfterBreak="0">
    <w:nsid w:val="FFFFFF7F"/>
    <w:multiLevelType w:val="singleLevel"/>
    <w:tmpl w:val="209445F4"/>
    <w:lvl w:ilvl="0">
      <w:start w:val="1"/>
      <w:numFmt w:val="decimal"/>
      <w:pStyle w:val="Listanumerowana2"/>
      <w:lvlText w:val="%1."/>
      <w:lvlJc w:val="left"/>
      <w:pPr>
        <w:tabs>
          <w:tab w:val="num" w:pos="643"/>
        </w:tabs>
        <w:ind w:left="643" w:hanging="360"/>
      </w:pPr>
    </w:lvl>
  </w:abstractNum>
  <w:abstractNum w:abstractNumId="4" w15:restartNumberingAfterBreak="0">
    <w:nsid w:val="FFFFFF80"/>
    <w:multiLevelType w:val="singleLevel"/>
    <w:tmpl w:val="3D94C60E"/>
    <w:lvl w:ilvl="0">
      <w:start w:val="1"/>
      <w:numFmt w:val="bullet"/>
      <w:pStyle w:val="Listapunktowan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8C2CA6E"/>
    <w:lvl w:ilvl="0">
      <w:start w:val="1"/>
      <w:numFmt w:val="bullet"/>
      <w:pStyle w:val="Listapunktowan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92D348"/>
    <w:lvl w:ilvl="0">
      <w:start w:val="1"/>
      <w:numFmt w:val="bullet"/>
      <w:pStyle w:val="Listapunktowana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B4ACEC0"/>
    <w:lvl w:ilvl="0">
      <w:start w:val="1"/>
      <w:numFmt w:val="bullet"/>
      <w:pStyle w:val="Listapunktowana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8E20F5E"/>
    <w:lvl w:ilvl="0">
      <w:start w:val="1"/>
      <w:numFmt w:val="decimal"/>
      <w:pStyle w:val="Listanumerowana"/>
      <w:lvlText w:val="%1."/>
      <w:lvlJc w:val="left"/>
      <w:pPr>
        <w:tabs>
          <w:tab w:val="num" w:pos="360"/>
        </w:tabs>
        <w:ind w:left="360" w:hanging="360"/>
      </w:pPr>
    </w:lvl>
  </w:abstractNum>
  <w:abstractNum w:abstractNumId="9" w15:restartNumberingAfterBreak="0">
    <w:nsid w:val="FFFFFF89"/>
    <w:multiLevelType w:val="singleLevel"/>
    <w:tmpl w:val="B26208D2"/>
    <w:lvl w:ilvl="0">
      <w:start w:val="1"/>
      <w:numFmt w:val="bullet"/>
      <w:pStyle w:val="Listapunktowana"/>
      <w:lvlText w:val=""/>
      <w:lvlJc w:val="left"/>
      <w:pPr>
        <w:tabs>
          <w:tab w:val="num" w:pos="360"/>
        </w:tabs>
        <w:ind w:left="360" w:hanging="360"/>
      </w:pPr>
      <w:rPr>
        <w:rFonts w:ascii="Symbol" w:hAnsi="Symbol" w:hint="default"/>
      </w:rPr>
    </w:lvl>
  </w:abstractNum>
  <w:abstractNum w:abstractNumId="1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3E1324BA"/>
    <w:multiLevelType w:val="hybridMultilevel"/>
    <w:tmpl w:val="D4C08088"/>
    <w:lvl w:ilvl="0" w:tplc="7D2C76E8">
      <w:numFmt w:val="bullet"/>
      <w:pStyle w:val="Tekstwypunktowany"/>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738727D"/>
    <w:multiLevelType w:val="hybridMultilevel"/>
    <w:tmpl w:val="D1BA7AF2"/>
    <w:lvl w:ilvl="0" w:tplc="10EA5978">
      <w:start w:val="1"/>
      <w:numFmt w:val="bullet"/>
      <w:pStyle w:val="krop1"/>
      <w:lvlText w:val=""/>
      <w:lvlJc w:val="left"/>
      <w:pPr>
        <w:ind w:left="4187" w:hanging="360"/>
      </w:pPr>
      <w:rPr>
        <w:rFonts w:ascii="Wingdings" w:hAnsi="Wingdings" w:hint="default"/>
      </w:rPr>
    </w:lvl>
    <w:lvl w:ilvl="1" w:tplc="04150003" w:tentative="1">
      <w:start w:val="1"/>
      <w:numFmt w:val="bullet"/>
      <w:lvlText w:val="o"/>
      <w:lvlJc w:val="left"/>
      <w:pPr>
        <w:ind w:left="4907" w:hanging="360"/>
      </w:pPr>
      <w:rPr>
        <w:rFonts w:ascii="Courier New" w:hAnsi="Courier New" w:cs="Courier New" w:hint="default"/>
      </w:rPr>
    </w:lvl>
    <w:lvl w:ilvl="2" w:tplc="04150005" w:tentative="1">
      <w:start w:val="1"/>
      <w:numFmt w:val="bullet"/>
      <w:lvlText w:val=""/>
      <w:lvlJc w:val="left"/>
      <w:pPr>
        <w:ind w:left="5627" w:hanging="360"/>
      </w:pPr>
      <w:rPr>
        <w:rFonts w:ascii="Wingdings" w:hAnsi="Wingdings" w:hint="default"/>
      </w:rPr>
    </w:lvl>
    <w:lvl w:ilvl="3" w:tplc="04150001" w:tentative="1">
      <w:start w:val="1"/>
      <w:numFmt w:val="bullet"/>
      <w:lvlText w:val=""/>
      <w:lvlJc w:val="left"/>
      <w:pPr>
        <w:ind w:left="6347" w:hanging="360"/>
      </w:pPr>
      <w:rPr>
        <w:rFonts w:ascii="Symbol" w:hAnsi="Symbol" w:hint="default"/>
      </w:rPr>
    </w:lvl>
    <w:lvl w:ilvl="4" w:tplc="04150003" w:tentative="1">
      <w:start w:val="1"/>
      <w:numFmt w:val="bullet"/>
      <w:lvlText w:val="o"/>
      <w:lvlJc w:val="left"/>
      <w:pPr>
        <w:ind w:left="7067" w:hanging="360"/>
      </w:pPr>
      <w:rPr>
        <w:rFonts w:ascii="Courier New" w:hAnsi="Courier New" w:cs="Courier New" w:hint="default"/>
      </w:rPr>
    </w:lvl>
    <w:lvl w:ilvl="5" w:tplc="04150005" w:tentative="1">
      <w:start w:val="1"/>
      <w:numFmt w:val="bullet"/>
      <w:lvlText w:val=""/>
      <w:lvlJc w:val="left"/>
      <w:pPr>
        <w:ind w:left="7787" w:hanging="360"/>
      </w:pPr>
      <w:rPr>
        <w:rFonts w:ascii="Wingdings" w:hAnsi="Wingdings" w:hint="default"/>
      </w:rPr>
    </w:lvl>
    <w:lvl w:ilvl="6" w:tplc="04150001" w:tentative="1">
      <w:start w:val="1"/>
      <w:numFmt w:val="bullet"/>
      <w:lvlText w:val=""/>
      <w:lvlJc w:val="left"/>
      <w:pPr>
        <w:ind w:left="8507" w:hanging="360"/>
      </w:pPr>
      <w:rPr>
        <w:rFonts w:ascii="Symbol" w:hAnsi="Symbol" w:hint="default"/>
      </w:rPr>
    </w:lvl>
    <w:lvl w:ilvl="7" w:tplc="04150003" w:tentative="1">
      <w:start w:val="1"/>
      <w:numFmt w:val="bullet"/>
      <w:lvlText w:val="o"/>
      <w:lvlJc w:val="left"/>
      <w:pPr>
        <w:ind w:left="9227" w:hanging="360"/>
      </w:pPr>
      <w:rPr>
        <w:rFonts w:ascii="Courier New" w:hAnsi="Courier New" w:cs="Courier New" w:hint="default"/>
      </w:rPr>
    </w:lvl>
    <w:lvl w:ilvl="8" w:tplc="04150005" w:tentative="1">
      <w:start w:val="1"/>
      <w:numFmt w:val="bullet"/>
      <w:lvlText w:val=""/>
      <w:lvlJc w:val="left"/>
      <w:pPr>
        <w:ind w:left="9947" w:hanging="360"/>
      </w:pPr>
      <w:rPr>
        <w:rFonts w:ascii="Wingdings" w:hAnsi="Wingdings" w:hint="default"/>
      </w:rPr>
    </w:lvl>
  </w:abstractNum>
  <w:abstractNum w:abstractNumId="14" w15:restartNumberingAfterBreak="0">
    <w:nsid w:val="5D9620E8"/>
    <w:multiLevelType w:val="hybridMultilevel"/>
    <w:tmpl w:val="879E5FCC"/>
    <w:lvl w:ilvl="0" w:tplc="989ABAA4">
      <w:start w:val="1"/>
      <w:numFmt w:val="bullet"/>
      <w:pStyle w:val="tekstnapierwszejstronie"/>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649F03DB"/>
    <w:multiLevelType w:val="singleLevel"/>
    <w:tmpl w:val="460809C0"/>
    <w:lvl w:ilvl="0">
      <w:start w:val="1"/>
      <w:numFmt w:val="bullet"/>
      <w:pStyle w:val="kropa"/>
      <w:lvlText w:val=""/>
      <w:lvlJc w:val="left"/>
      <w:pPr>
        <w:tabs>
          <w:tab w:val="num" w:pos="454"/>
        </w:tabs>
        <w:ind w:left="454" w:hanging="397"/>
      </w:pPr>
      <w:rPr>
        <w:rFonts w:ascii="Wingdings" w:hAnsi="Wingdings" w:hint="default"/>
      </w:rPr>
    </w:lvl>
  </w:abstractNum>
  <w:abstractNum w:abstractNumId="16" w15:restartNumberingAfterBreak="0">
    <w:nsid w:val="66B628E2"/>
    <w:multiLevelType w:val="hybridMultilevel"/>
    <w:tmpl w:val="4F14200C"/>
    <w:lvl w:ilvl="0" w:tplc="45E24DFA">
      <w:start w:val="1"/>
      <w:numFmt w:val="bullet"/>
      <w:lvlText w:val=""/>
      <w:lvlJc w:val="left"/>
      <w:pPr>
        <w:tabs>
          <w:tab w:val="num" w:pos="624"/>
        </w:tabs>
        <w:ind w:left="624" w:hanging="397"/>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C2649EC"/>
    <w:multiLevelType w:val="hybridMultilevel"/>
    <w:tmpl w:val="2EA01A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7BCA42D6"/>
    <w:multiLevelType w:val="hybridMultilevel"/>
    <w:tmpl w:val="F434321C"/>
    <w:lvl w:ilvl="0" w:tplc="74985338">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17"/>
  </w:num>
  <w:num w:numId="4">
    <w:abstractNumId w:val="18"/>
  </w:num>
  <w:num w:numId="5">
    <w:abstractNumId w:val="12"/>
  </w:num>
  <w:num w:numId="6">
    <w:abstractNumId w:val="14"/>
  </w:num>
  <w:num w:numId="7">
    <w:abstractNumId w:val="16"/>
  </w:num>
  <w:num w:numId="8">
    <w:abstractNumId w:val="15"/>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proofState w:spelling="clean"/>
  <w:defaultTabStop w:val="709"/>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0060"/>
    <w:rsid w:val="00000C8E"/>
    <w:rsid w:val="00000F04"/>
    <w:rsid w:val="00000FE9"/>
    <w:rsid w:val="0000101B"/>
    <w:rsid w:val="00001592"/>
    <w:rsid w:val="00001660"/>
    <w:rsid w:val="00001A3B"/>
    <w:rsid w:val="00001C5B"/>
    <w:rsid w:val="00001DA4"/>
    <w:rsid w:val="0000270B"/>
    <w:rsid w:val="00002751"/>
    <w:rsid w:val="0000286C"/>
    <w:rsid w:val="000029A9"/>
    <w:rsid w:val="00002DAD"/>
    <w:rsid w:val="00002F56"/>
    <w:rsid w:val="00003337"/>
    <w:rsid w:val="00003437"/>
    <w:rsid w:val="00003559"/>
    <w:rsid w:val="00003670"/>
    <w:rsid w:val="000041F4"/>
    <w:rsid w:val="0000478D"/>
    <w:rsid w:val="000048D9"/>
    <w:rsid w:val="00004A38"/>
    <w:rsid w:val="00004B69"/>
    <w:rsid w:val="000054C3"/>
    <w:rsid w:val="00005F74"/>
    <w:rsid w:val="000061FF"/>
    <w:rsid w:val="0000642C"/>
    <w:rsid w:val="00006437"/>
    <w:rsid w:val="00006544"/>
    <w:rsid w:val="00006A95"/>
    <w:rsid w:val="00006AB0"/>
    <w:rsid w:val="00006B17"/>
    <w:rsid w:val="0000709F"/>
    <w:rsid w:val="000071E4"/>
    <w:rsid w:val="0000727B"/>
    <w:rsid w:val="00007526"/>
    <w:rsid w:val="0000785A"/>
    <w:rsid w:val="00007C49"/>
    <w:rsid w:val="0001001B"/>
    <w:rsid w:val="000100E7"/>
    <w:rsid w:val="000101A7"/>
    <w:rsid w:val="00010393"/>
    <w:rsid w:val="000108B8"/>
    <w:rsid w:val="00010A8B"/>
    <w:rsid w:val="00010D21"/>
    <w:rsid w:val="000111D9"/>
    <w:rsid w:val="0001128E"/>
    <w:rsid w:val="0001153F"/>
    <w:rsid w:val="000117E1"/>
    <w:rsid w:val="00011FF9"/>
    <w:rsid w:val="00012254"/>
    <w:rsid w:val="0001230E"/>
    <w:rsid w:val="000126E7"/>
    <w:rsid w:val="00012E0D"/>
    <w:rsid w:val="00013319"/>
    <w:rsid w:val="00013320"/>
    <w:rsid w:val="000137E3"/>
    <w:rsid w:val="00013B3F"/>
    <w:rsid w:val="00013CB0"/>
    <w:rsid w:val="00013D25"/>
    <w:rsid w:val="00014967"/>
    <w:rsid w:val="00014B88"/>
    <w:rsid w:val="00014BDA"/>
    <w:rsid w:val="00014BEE"/>
    <w:rsid w:val="00014C19"/>
    <w:rsid w:val="000152F5"/>
    <w:rsid w:val="000153D7"/>
    <w:rsid w:val="00015969"/>
    <w:rsid w:val="00015A1A"/>
    <w:rsid w:val="00015B4A"/>
    <w:rsid w:val="00015EC9"/>
    <w:rsid w:val="00015FE6"/>
    <w:rsid w:val="000161C0"/>
    <w:rsid w:val="000166EF"/>
    <w:rsid w:val="000167F0"/>
    <w:rsid w:val="00016C37"/>
    <w:rsid w:val="00016DB8"/>
    <w:rsid w:val="00017750"/>
    <w:rsid w:val="000178B5"/>
    <w:rsid w:val="00020303"/>
    <w:rsid w:val="0002030B"/>
    <w:rsid w:val="00020348"/>
    <w:rsid w:val="000206A4"/>
    <w:rsid w:val="0002079C"/>
    <w:rsid w:val="0002096C"/>
    <w:rsid w:val="00020A62"/>
    <w:rsid w:val="00020E9D"/>
    <w:rsid w:val="00021429"/>
    <w:rsid w:val="00021AC7"/>
    <w:rsid w:val="00021E29"/>
    <w:rsid w:val="00022489"/>
    <w:rsid w:val="000224CC"/>
    <w:rsid w:val="00022808"/>
    <w:rsid w:val="00022E33"/>
    <w:rsid w:val="000232B2"/>
    <w:rsid w:val="00023542"/>
    <w:rsid w:val="00024030"/>
    <w:rsid w:val="000241BE"/>
    <w:rsid w:val="0002481D"/>
    <w:rsid w:val="00024873"/>
    <w:rsid w:val="0002487B"/>
    <w:rsid w:val="00024A3D"/>
    <w:rsid w:val="0002540D"/>
    <w:rsid w:val="0002547A"/>
    <w:rsid w:val="000254D9"/>
    <w:rsid w:val="00025539"/>
    <w:rsid w:val="000257A3"/>
    <w:rsid w:val="00025E5B"/>
    <w:rsid w:val="00025ED8"/>
    <w:rsid w:val="0002619E"/>
    <w:rsid w:val="000263D0"/>
    <w:rsid w:val="00026961"/>
    <w:rsid w:val="000272C1"/>
    <w:rsid w:val="0002747B"/>
    <w:rsid w:val="00027480"/>
    <w:rsid w:val="0002771D"/>
    <w:rsid w:val="00027A6C"/>
    <w:rsid w:val="00027A72"/>
    <w:rsid w:val="00027C0F"/>
    <w:rsid w:val="00030368"/>
    <w:rsid w:val="0003057A"/>
    <w:rsid w:val="0003058F"/>
    <w:rsid w:val="0003062F"/>
    <w:rsid w:val="00030B9C"/>
    <w:rsid w:val="00030DE1"/>
    <w:rsid w:val="00030ED6"/>
    <w:rsid w:val="0003116A"/>
    <w:rsid w:val="0003126E"/>
    <w:rsid w:val="00032138"/>
    <w:rsid w:val="0003299E"/>
    <w:rsid w:val="000329C3"/>
    <w:rsid w:val="00032E3C"/>
    <w:rsid w:val="0003371F"/>
    <w:rsid w:val="00033A21"/>
    <w:rsid w:val="00033A82"/>
    <w:rsid w:val="00033B2B"/>
    <w:rsid w:val="00033B7C"/>
    <w:rsid w:val="00033EA0"/>
    <w:rsid w:val="00033FC4"/>
    <w:rsid w:val="0003496E"/>
    <w:rsid w:val="00034B65"/>
    <w:rsid w:val="00034FEB"/>
    <w:rsid w:val="00035020"/>
    <w:rsid w:val="000353CB"/>
    <w:rsid w:val="00035721"/>
    <w:rsid w:val="0003575B"/>
    <w:rsid w:val="00035C86"/>
    <w:rsid w:val="0003677A"/>
    <w:rsid w:val="00036F3C"/>
    <w:rsid w:val="00037035"/>
    <w:rsid w:val="000371AA"/>
    <w:rsid w:val="00037BAA"/>
    <w:rsid w:val="000402EA"/>
    <w:rsid w:val="00040A62"/>
    <w:rsid w:val="00040BCD"/>
    <w:rsid w:val="000413FF"/>
    <w:rsid w:val="000415A8"/>
    <w:rsid w:val="0004174B"/>
    <w:rsid w:val="00042324"/>
    <w:rsid w:val="00042471"/>
    <w:rsid w:val="00042623"/>
    <w:rsid w:val="00042C38"/>
    <w:rsid w:val="00043072"/>
    <w:rsid w:val="0004387C"/>
    <w:rsid w:val="00043DFF"/>
    <w:rsid w:val="00043EB5"/>
    <w:rsid w:val="00043EE1"/>
    <w:rsid w:val="000443FC"/>
    <w:rsid w:val="000444B0"/>
    <w:rsid w:val="000451B8"/>
    <w:rsid w:val="0004532B"/>
    <w:rsid w:val="0004582E"/>
    <w:rsid w:val="00045E6F"/>
    <w:rsid w:val="000468A2"/>
    <w:rsid w:val="00046EEB"/>
    <w:rsid w:val="000470AA"/>
    <w:rsid w:val="00047284"/>
    <w:rsid w:val="00047A84"/>
    <w:rsid w:val="00050049"/>
    <w:rsid w:val="000506C4"/>
    <w:rsid w:val="0005144A"/>
    <w:rsid w:val="00051511"/>
    <w:rsid w:val="000517B9"/>
    <w:rsid w:val="00051CC9"/>
    <w:rsid w:val="00051F28"/>
    <w:rsid w:val="00052AB1"/>
    <w:rsid w:val="00052BDF"/>
    <w:rsid w:val="0005340A"/>
    <w:rsid w:val="0005344A"/>
    <w:rsid w:val="00053EB9"/>
    <w:rsid w:val="00053F9C"/>
    <w:rsid w:val="00055AB3"/>
    <w:rsid w:val="00055B0E"/>
    <w:rsid w:val="00055BFC"/>
    <w:rsid w:val="00056026"/>
    <w:rsid w:val="0005651D"/>
    <w:rsid w:val="000566FC"/>
    <w:rsid w:val="000569DF"/>
    <w:rsid w:val="00056BAC"/>
    <w:rsid w:val="00056E9F"/>
    <w:rsid w:val="0005791A"/>
    <w:rsid w:val="00057CA1"/>
    <w:rsid w:val="00060107"/>
    <w:rsid w:val="000602C9"/>
    <w:rsid w:val="00060403"/>
    <w:rsid w:val="000604C6"/>
    <w:rsid w:val="00060687"/>
    <w:rsid w:val="0006094A"/>
    <w:rsid w:val="000609FE"/>
    <w:rsid w:val="00060EB6"/>
    <w:rsid w:val="000611A7"/>
    <w:rsid w:val="000614AD"/>
    <w:rsid w:val="0006211E"/>
    <w:rsid w:val="000626F9"/>
    <w:rsid w:val="000631FF"/>
    <w:rsid w:val="00063A6A"/>
    <w:rsid w:val="00063AD8"/>
    <w:rsid w:val="00063C8E"/>
    <w:rsid w:val="00064837"/>
    <w:rsid w:val="00064F22"/>
    <w:rsid w:val="00064FEC"/>
    <w:rsid w:val="0006527C"/>
    <w:rsid w:val="000653DE"/>
    <w:rsid w:val="0006594A"/>
    <w:rsid w:val="00065C82"/>
    <w:rsid w:val="00065F74"/>
    <w:rsid w:val="000661B4"/>
    <w:rsid w:val="000662E2"/>
    <w:rsid w:val="00066883"/>
    <w:rsid w:val="00066B37"/>
    <w:rsid w:val="00066D9B"/>
    <w:rsid w:val="000704F8"/>
    <w:rsid w:val="00070F2C"/>
    <w:rsid w:val="0007106A"/>
    <w:rsid w:val="00071257"/>
    <w:rsid w:val="00071894"/>
    <w:rsid w:val="00071D87"/>
    <w:rsid w:val="00071ED9"/>
    <w:rsid w:val="000723BA"/>
    <w:rsid w:val="0007251B"/>
    <w:rsid w:val="00072BD4"/>
    <w:rsid w:val="00072CE1"/>
    <w:rsid w:val="0007356D"/>
    <w:rsid w:val="00073730"/>
    <w:rsid w:val="00073930"/>
    <w:rsid w:val="000739D8"/>
    <w:rsid w:val="00073A4C"/>
    <w:rsid w:val="00073A50"/>
    <w:rsid w:val="00073D62"/>
    <w:rsid w:val="00073FD1"/>
    <w:rsid w:val="000748AE"/>
    <w:rsid w:val="00074944"/>
    <w:rsid w:val="00074B98"/>
    <w:rsid w:val="00074C23"/>
    <w:rsid w:val="00074CB0"/>
    <w:rsid w:val="00074D1B"/>
    <w:rsid w:val="00074DD8"/>
    <w:rsid w:val="0007552D"/>
    <w:rsid w:val="000755E9"/>
    <w:rsid w:val="00075AB9"/>
    <w:rsid w:val="000765F3"/>
    <w:rsid w:val="00076722"/>
    <w:rsid w:val="00076785"/>
    <w:rsid w:val="00076875"/>
    <w:rsid w:val="00076A29"/>
    <w:rsid w:val="00076AF2"/>
    <w:rsid w:val="0007726D"/>
    <w:rsid w:val="00080249"/>
    <w:rsid w:val="00080582"/>
    <w:rsid w:val="000806F7"/>
    <w:rsid w:val="000806FA"/>
    <w:rsid w:val="0008108E"/>
    <w:rsid w:val="000819DC"/>
    <w:rsid w:val="00081FF2"/>
    <w:rsid w:val="00082A5C"/>
    <w:rsid w:val="00082B2E"/>
    <w:rsid w:val="00082C54"/>
    <w:rsid w:val="00082C5C"/>
    <w:rsid w:val="00082DBF"/>
    <w:rsid w:val="00082EDC"/>
    <w:rsid w:val="00082F05"/>
    <w:rsid w:val="00082FB6"/>
    <w:rsid w:val="00082FFD"/>
    <w:rsid w:val="00083406"/>
    <w:rsid w:val="000838EF"/>
    <w:rsid w:val="000839B5"/>
    <w:rsid w:val="00083B8B"/>
    <w:rsid w:val="00084360"/>
    <w:rsid w:val="00085097"/>
    <w:rsid w:val="0008517A"/>
    <w:rsid w:val="00085CB9"/>
    <w:rsid w:val="00086811"/>
    <w:rsid w:val="000870A8"/>
    <w:rsid w:val="00087C7A"/>
    <w:rsid w:val="00087D5C"/>
    <w:rsid w:val="00087EE9"/>
    <w:rsid w:val="00087F60"/>
    <w:rsid w:val="0009019E"/>
    <w:rsid w:val="0009029C"/>
    <w:rsid w:val="000905CE"/>
    <w:rsid w:val="00090B4E"/>
    <w:rsid w:val="00090C31"/>
    <w:rsid w:val="00090C3C"/>
    <w:rsid w:val="00090F21"/>
    <w:rsid w:val="00091442"/>
    <w:rsid w:val="000917FB"/>
    <w:rsid w:val="00091850"/>
    <w:rsid w:val="000918C2"/>
    <w:rsid w:val="000918D8"/>
    <w:rsid w:val="00091EA7"/>
    <w:rsid w:val="00092207"/>
    <w:rsid w:val="000925F4"/>
    <w:rsid w:val="00092E48"/>
    <w:rsid w:val="000931FA"/>
    <w:rsid w:val="0009386A"/>
    <w:rsid w:val="00093936"/>
    <w:rsid w:val="00093FAF"/>
    <w:rsid w:val="00094335"/>
    <w:rsid w:val="00094397"/>
    <w:rsid w:val="000944D5"/>
    <w:rsid w:val="000948FF"/>
    <w:rsid w:val="00094993"/>
    <w:rsid w:val="00095207"/>
    <w:rsid w:val="0009535E"/>
    <w:rsid w:val="00095871"/>
    <w:rsid w:val="00095966"/>
    <w:rsid w:val="00095D93"/>
    <w:rsid w:val="00095E0C"/>
    <w:rsid w:val="00095FE9"/>
    <w:rsid w:val="000962D3"/>
    <w:rsid w:val="00097171"/>
    <w:rsid w:val="0009728D"/>
    <w:rsid w:val="000975EA"/>
    <w:rsid w:val="000977B8"/>
    <w:rsid w:val="00097840"/>
    <w:rsid w:val="000979CD"/>
    <w:rsid w:val="00097A6C"/>
    <w:rsid w:val="000A16CC"/>
    <w:rsid w:val="000A19A8"/>
    <w:rsid w:val="000A19F2"/>
    <w:rsid w:val="000A1FF1"/>
    <w:rsid w:val="000A20BD"/>
    <w:rsid w:val="000A2521"/>
    <w:rsid w:val="000A2856"/>
    <w:rsid w:val="000A29C8"/>
    <w:rsid w:val="000A2D3B"/>
    <w:rsid w:val="000A2E81"/>
    <w:rsid w:val="000A3BFE"/>
    <w:rsid w:val="000A3C54"/>
    <w:rsid w:val="000A3EB9"/>
    <w:rsid w:val="000A4304"/>
    <w:rsid w:val="000A43A8"/>
    <w:rsid w:val="000A49B2"/>
    <w:rsid w:val="000A4DBE"/>
    <w:rsid w:val="000A4F7D"/>
    <w:rsid w:val="000A5219"/>
    <w:rsid w:val="000A52E0"/>
    <w:rsid w:val="000A536A"/>
    <w:rsid w:val="000A579D"/>
    <w:rsid w:val="000A5C57"/>
    <w:rsid w:val="000A5E23"/>
    <w:rsid w:val="000A6318"/>
    <w:rsid w:val="000A6552"/>
    <w:rsid w:val="000A6566"/>
    <w:rsid w:val="000A665A"/>
    <w:rsid w:val="000A6708"/>
    <w:rsid w:val="000A698C"/>
    <w:rsid w:val="000A6B78"/>
    <w:rsid w:val="000A7110"/>
    <w:rsid w:val="000A7699"/>
    <w:rsid w:val="000A7B0D"/>
    <w:rsid w:val="000A7D5E"/>
    <w:rsid w:val="000A7E5A"/>
    <w:rsid w:val="000A7EF0"/>
    <w:rsid w:val="000A7FCA"/>
    <w:rsid w:val="000B062A"/>
    <w:rsid w:val="000B0727"/>
    <w:rsid w:val="000B07D3"/>
    <w:rsid w:val="000B0C40"/>
    <w:rsid w:val="000B0D4F"/>
    <w:rsid w:val="000B0E14"/>
    <w:rsid w:val="000B11FB"/>
    <w:rsid w:val="000B1329"/>
    <w:rsid w:val="000B137A"/>
    <w:rsid w:val="000B14BD"/>
    <w:rsid w:val="000B1764"/>
    <w:rsid w:val="000B19BB"/>
    <w:rsid w:val="000B2405"/>
    <w:rsid w:val="000B2CD0"/>
    <w:rsid w:val="000B2F6E"/>
    <w:rsid w:val="000B2F7F"/>
    <w:rsid w:val="000B30EF"/>
    <w:rsid w:val="000B366F"/>
    <w:rsid w:val="000B36AF"/>
    <w:rsid w:val="000B36BA"/>
    <w:rsid w:val="000B382A"/>
    <w:rsid w:val="000B3873"/>
    <w:rsid w:val="000B3D5F"/>
    <w:rsid w:val="000B4593"/>
    <w:rsid w:val="000B486D"/>
    <w:rsid w:val="000B4A8F"/>
    <w:rsid w:val="000B5216"/>
    <w:rsid w:val="000B5819"/>
    <w:rsid w:val="000B5DFD"/>
    <w:rsid w:val="000B6053"/>
    <w:rsid w:val="000B6E72"/>
    <w:rsid w:val="000B6F7D"/>
    <w:rsid w:val="000B7491"/>
    <w:rsid w:val="000B7678"/>
    <w:rsid w:val="000B76D3"/>
    <w:rsid w:val="000B76F5"/>
    <w:rsid w:val="000B7A06"/>
    <w:rsid w:val="000C0190"/>
    <w:rsid w:val="000C0240"/>
    <w:rsid w:val="000C0281"/>
    <w:rsid w:val="000C05F3"/>
    <w:rsid w:val="000C0AEA"/>
    <w:rsid w:val="000C0F4D"/>
    <w:rsid w:val="000C135D"/>
    <w:rsid w:val="000C1B4B"/>
    <w:rsid w:val="000C1C1E"/>
    <w:rsid w:val="000C1D27"/>
    <w:rsid w:val="000C22C2"/>
    <w:rsid w:val="000C23CF"/>
    <w:rsid w:val="000C2934"/>
    <w:rsid w:val="000C3120"/>
    <w:rsid w:val="000C335A"/>
    <w:rsid w:val="000C3948"/>
    <w:rsid w:val="000C3A23"/>
    <w:rsid w:val="000C3ACA"/>
    <w:rsid w:val="000C3B98"/>
    <w:rsid w:val="000C4775"/>
    <w:rsid w:val="000C5195"/>
    <w:rsid w:val="000C573F"/>
    <w:rsid w:val="000C5836"/>
    <w:rsid w:val="000C590D"/>
    <w:rsid w:val="000C5BC6"/>
    <w:rsid w:val="000C5D9C"/>
    <w:rsid w:val="000C677B"/>
    <w:rsid w:val="000C6D21"/>
    <w:rsid w:val="000C6F5D"/>
    <w:rsid w:val="000C7DA2"/>
    <w:rsid w:val="000D0510"/>
    <w:rsid w:val="000D1397"/>
    <w:rsid w:val="000D1B47"/>
    <w:rsid w:val="000D1D43"/>
    <w:rsid w:val="000D1F29"/>
    <w:rsid w:val="000D225C"/>
    <w:rsid w:val="000D282C"/>
    <w:rsid w:val="000D2A5C"/>
    <w:rsid w:val="000D2BB5"/>
    <w:rsid w:val="000D2D2C"/>
    <w:rsid w:val="000D2FA9"/>
    <w:rsid w:val="000D2FB5"/>
    <w:rsid w:val="000D329A"/>
    <w:rsid w:val="000D3446"/>
    <w:rsid w:val="000D34F0"/>
    <w:rsid w:val="000D3597"/>
    <w:rsid w:val="000D3CF3"/>
    <w:rsid w:val="000D3EB4"/>
    <w:rsid w:val="000D3F68"/>
    <w:rsid w:val="000D3FDA"/>
    <w:rsid w:val="000D41A2"/>
    <w:rsid w:val="000D41FA"/>
    <w:rsid w:val="000D426A"/>
    <w:rsid w:val="000D44FE"/>
    <w:rsid w:val="000D46C3"/>
    <w:rsid w:val="000D48BE"/>
    <w:rsid w:val="000D52A0"/>
    <w:rsid w:val="000D5381"/>
    <w:rsid w:val="000D5D48"/>
    <w:rsid w:val="000D635F"/>
    <w:rsid w:val="000D64C4"/>
    <w:rsid w:val="000D6687"/>
    <w:rsid w:val="000D677E"/>
    <w:rsid w:val="000D6BFA"/>
    <w:rsid w:val="000D6CED"/>
    <w:rsid w:val="000D7288"/>
    <w:rsid w:val="000D7348"/>
    <w:rsid w:val="000D7403"/>
    <w:rsid w:val="000D7A36"/>
    <w:rsid w:val="000D7FD2"/>
    <w:rsid w:val="000E0761"/>
    <w:rsid w:val="000E0860"/>
    <w:rsid w:val="000E0918"/>
    <w:rsid w:val="000E0C39"/>
    <w:rsid w:val="000E0CBF"/>
    <w:rsid w:val="000E1555"/>
    <w:rsid w:val="000E18FE"/>
    <w:rsid w:val="000E1B30"/>
    <w:rsid w:val="000E2999"/>
    <w:rsid w:val="000E306E"/>
    <w:rsid w:val="000E353C"/>
    <w:rsid w:val="000E3692"/>
    <w:rsid w:val="000E3DEC"/>
    <w:rsid w:val="000E3EF4"/>
    <w:rsid w:val="000E3F2F"/>
    <w:rsid w:val="000E43A0"/>
    <w:rsid w:val="000E43FC"/>
    <w:rsid w:val="000E494A"/>
    <w:rsid w:val="000E4B34"/>
    <w:rsid w:val="000E504D"/>
    <w:rsid w:val="000E56F3"/>
    <w:rsid w:val="000E5A98"/>
    <w:rsid w:val="000E60A4"/>
    <w:rsid w:val="000E655A"/>
    <w:rsid w:val="000E663A"/>
    <w:rsid w:val="000E68AE"/>
    <w:rsid w:val="000E6FA1"/>
    <w:rsid w:val="000E7012"/>
    <w:rsid w:val="000E7452"/>
    <w:rsid w:val="000E758E"/>
    <w:rsid w:val="000E76E3"/>
    <w:rsid w:val="000E78A5"/>
    <w:rsid w:val="000F01A9"/>
    <w:rsid w:val="000F079A"/>
    <w:rsid w:val="000F083E"/>
    <w:rsid w:val="000F0C50"/>
    <w:rsid w:val="000F1ECB"/>
    <w:rsid w:val="000F21F0"/>
    <w:rsid w:val="000F25FE"/>
    <w:rsid w:val="000F27A4"/>
    <w:rsid w:val="000F28DA"/>
    <w:rsid w:val="000F2AEA"/>
    <w:rsid w:val="000F2F0D"/>
    <w:rsid w:val="000F32D3"/>
    <w:rsid w:val="000F34FF"/>
    <w:rsid w:val="000F3542"/>
    <w:rsid w:val="000F3DB8"/>
    <w:rsid w:val="000F43AE"/>
    <w:rsid w:val="000F443A"/>
    <w:rsid w:val="000F4923"/>
    <w:rsid w:val="000F535B"/>
    <w:rsid w:val="000F5444"/>
    <w:rsid w:val="000F5693"/>
    <w:rsid w:val="000F5A24"/>
    <w:rsid w:val="000F5B4C"/>
    <w:rsid w:val="000F5D27"/>
    <w:rsid w:val="000F645F"/>
    <w:rsid w:val="000F76DF"/>
    <w:rsid w:val="000F7CB8"/>
    <w:rsid w:val="000F7F5A"/>
    <w:rsid w:val="001004D4"/>
    <w:rsid w:val="00100545"/>
    <w:rsid w:val="0010062B"/>
    <w:rsid w:val="00100676"/>
    <w:rsid w:val="00100C3D"/>
    <w:rsid w:val="001011C3"/>
    <w:rsid w:val="0010145D"/>
    <w:rsid w:val="00101AEE"/>
    <w:rsid w:val="00101E2D"/>
    <w:rsid w:val="00102208"/>
    <w:rsid w:val="00102228"/>
    <w:rsid w:val="001024AB"/>
    <w:rsid w:val="00102C49"/>
    <w:rsid w:val="00102D79"/>
    <w:rsid w:val="00103000"/>
    <w:rsid w:val="001030E6"/>
    <w:rsid w:val="001031E8"/>
    <w:rsid w:val="0010330E"/>
    <w:rsid w:val="001036B6"/>
    <w:rsid w:val="00103858"/>
    <w:rsid w:val="00103B76"/>
    <w:rsid w:val="001040DA"/>
    <w:rsid w:val="00104377"/>
    <w:rsid w:val="00104481"/>
    <w:rsid w:val="00104AF6"/>
    <w:rsid w:val="00105384"/>
    <w:rsid w:val="00105669"/>
    <w:rsid w:val="0010608B"/>
    <w:rsid w:val="001060C4"/>
    <w:rsid w:val="001062CE"/>
    <w:rsid w:val="0010650C"/>
    <w:rsid w:val="00107949"/>
    <w:rsid w:val="00107A4C"/>
    <w:rsid w:val="00110490"/>
    <w:rsid w:val="001107E1"/>
    <w:rsid w:val="001109DB"/>
    <w:rsid w:val="00110B40"/>
    <w:rsid w:val="00110BF5"/>
    <w:rsid w:val="00110D87"/>
    <w:rsid w:val="001110A5"/>
    <w:rsid w:val="0011119A"/>
    <w:rsid w:val="0011131A"/>
    <w:rsid w:val="001116CB"/>
    <w:rsid w:val="0011187F"/>
    <w:rsid w:val="001118B1"/>
    <w:rsid w:val="00111A8B"/>
    <w:rsid w:val="0011208D"/>
    <w:rsid w:val="00112338"/>
    <w:rsid w:val="00112CD3"/>
    <w:rsid w:val="00112FB7"/>
    <w:rsid w:val="0011369D"/>
    <w:rsid w:val="00113D92"/>
    <w:rsid w:val="0011457A"/>
    <w:rsid w:val="0011460F"/>
    <w:rsid w:val="0011475D"/>
    <w:rsid w:val="00114AB9"/>
    <w:rsid w:val="00114DB9"/>
    <w:rsid w:val="001151AA"/>
    <w:rsid w:val="0011520B"/>
    <w:rsid w:val="00115530"/>
    <w:rsid w:val="001159EB"/>
    <w:rsid w:val="00115CA1"/>
    <w:rsid w:val="00116087"/>
    <w:rsid w:val="00116596"/>
    <w:rsid w:val="00116774"/>
    <w:rsid w:val="001174AD"/>
    <w:rsid w:val="001175DC"/>
    <w:rsid w:val="00117631"/>
    <w:rsid w:val="001177F6"/>
    <w:rsid w:val="00117870"/>
    <w:rsid w:val="0011799E"/>
    <w:rsid w:val="00117F23"/>
    <w:rsid w:val="001203C7"/>
    <w:rsid w:val="001206D2"/>
    <w:rsid w:val="00121F22"/>
    <w:rsid w:val="00122DF3"/>
    <w:rsid w:val="00123301"/>
    <w:rsid w:val="001238E5"/>
    <w:rsid w:val="00123BC6"/>
    <w:rsid w:val="0012467E"/>
    <w:rsid w:val="001258E6"/>
    <w:rsid w:val="00125F50"/>
    <w:rsid w:val="00126030"/>
    <w:rsid w:val="0012636F"/>
    <w:rsid w:val="00126464"/>
    <w:rsid w:val="00126919"/>
    <w:rsid w:val="00126AAD"/>
    <w:rsid w:val="001273BF"/>
    <w:rsid w:val="0012741A"/>
    <w:rsid w:val="001277D9"/>
    <w:rsid w:val="00127A38"/>
    <w:rsid w:val="00127D86"/>
    <w:rsid w:val="00127E37"/>
    <w:rsid w:val="00130296"/>
    <w:rsid w:val="001303F7"/>
    <w:rsid w:val="001305F4"/>
    <w:rsid w:val="0013070B"/>
    <w:rsid w:val="00130D1B"/>
    <w:rsid w:val="00130EB0"/>
    <w:rsid w:val="00130FC6"/>
    <w:rsid w:val="00130FEE"/>
    <w:rsid w:val="00131EFA"/>
    <w:rsid w:val="001321E5"/>
    <w:rsid w:val="001322CE"/>
    <w:rsid w:val="00132612"/>
    <w:rsid w:val="00132993"/>
    <w:rsid w:val="00132E42"/>
    <w:rsid w:val="00133343"/>
    <w:rsid w:val="00133790"/>
    <w:rsid w:val="00133834"/>
    <w:rsid w:val="00133B4E"/>
    <w:rsid w:val="001341B8"/>
    <w:rsid w:val="00134221"/>
    <w:rsid w:val="00134603"/>
    <w:rsid w:val="001347AB"/>
    <w:rsid w:val="00134CF9"/>
    <w:rsid w:val="00134DFE"/>
    <w:rsid w:val="00135378"/>
    <w:rsid w:val="00135C0C"/>
    <w:rsid w:val="001361E9"/>
    <w:rsid w:val="001369C3"/>
    <w:rsid w:val="00136E07"/>
    <w:rsid w:val="00136E25"/>
    <w:rsid w:val="0013739F"/>
    <w:rsid w:val="0013767F"/>
    <w:rsid w:val="00137683"/>
    <w:rsid w:val="00137D6D"/>
    <w:rsid w:val="00137F1B"/>
    <w:rsid w:val="001402D4"/>
    <w:rsid w:val="00140622"/>
    <w:rsid w:val="0014096A"/>
    <w:rsid w:val="00140D2C"/>
    <w:rsid w:val="00140FF3"/>
    <w:rsid w:val="0014132F"/>
    <w:rsid w:val="0014146A"/>
    <w:rsid w:val="001423B6"/>
    <w:rsid w:val="001426B1"/>
    <w:rsid w:val="001428CF"/>
    <w:rsid w:val="00142AF5"/>
    <w:rsid w:val="00142B0C"/>
    <w:rsid w:val="00142B54"/>
    <w:rsid w:val="00142C7F"/>
    <w:rsid w:val="00143708"/>
    <w:rsid w:val="00143978"/>
    <w:rsid w:val="00143E8D"/>
    <w:rsid w:val="00143F04"/>
    <w:rsid w:val="00143F32"/>
    <w:rsid w:val="00144087"/>
    <w:rsid w:val="001448A7"/>
    <w:rsid w:val="00144BC3"/>
    <w:rsid w:val="00145460"/>
    <w:rsid w:val="00145570"/>
    <w:rsid w:val="00145649"/>
    <w:rsid w:val="0014597C"/>
    <w:rsid w:val="001459F9"/>
    <w:rsid w:val="00145B4D"/>
    <w:rsid w:val="00145ED2"/>
    <w:rsid w:val="001461F4"/>
    <w:rsid w:val="00146254"/>
    <w:rsid w:val="00146408"/>
    <w:rsid w:val="001464E8"/>
    <w:rsid w:val="00146621"/>
    <w:rsid w:val="00146AAA"/>
    <w:rsid w:val="00147544"/>
    <w:rsid w:val="001478C6"/>
    <w:rsid w:val="00147D2A"/>
    <w:rsid w:val="00150501"/>
    <w:rsid w:val="0015050C"/>
    <w:rsid w:val="0015052B"/>
    <w:rsid w:val="001505CE"/>
    <w:rsid w:val="00150F80"/>
    <w:rsid w:val="00151006"/>
    <w:rsid w:val="00151559"/>
    <w:rsid w:val="001515DF"/>
    <w:rsid w:val="001515E9"/>
    <w:rsid w:val="00151E80"/>
    <w:rsid w:val="00152178"/>
    <w:rsid w:val="001527E3"/>
    <w:rsid w:val="001528E3"/>
    <w:rsid w:val="00152953"/>
    <w:rsid w:val="00152C61"/>
    <w:rsid w:val="00152EAB"/>
    <w:rsid w:val="00152FA0"/>
    <w:rsid w:val="0015453B"/>
    <w:rsid w:val="00154758"/>
    <w:rsid w:val="0015492C"/>
    <w:rsid w:val="00154B38"/>
    <w:rsid w:val="00154C39"/>
    <w:rsid w:val="00156441"/>
    <w:rsid w:val="001564FC"/>
    <w:rsid w:val="00156601"/>
    <w:rsid w:val="001573EA"/>
    <w:rsid w:val="00157D4A"/>
    <w:rsid w:val="0016003D"/>
    <w:rsid w:val="00160161"/>
    <w:rsid w:val="0016047E"/>
    <w:rsid w:val="001604C4"/>
    <w:rsid w:val="00160601"/>
    <w:rsid w:val="00160E2B"/>
    <w:rsid w:val="001611A1"/>
    <w:rsid w:val="0016146F"/>
    <w:rsid w:val="001614D1"/>
    <w:rsid w:val="001618A9"/>
    <w:rsid w:val="00162325"/>
    <w:rsid w:val="001623A6"/>
    <w:rsid w:val="001625E1"/>
    <w:rsid w:val="00162C82"/>
    <w:rsid w:val="001631BE"/>
    <w:rsid w:val="001632F9"/>
    <w:rsid w:val="00163371"/>
    <w:rsid w:val="00163A07"/>
    <w:rsid w:val="00163DF8"/>
    <w:rsid w:val="00164115"/>
    <w:rsid w:val="001642EE"/>
    <w:rsid w:val="0016494E"/>
    <w:rsid w:val="00164E1E"/>
    <w:rsid w:val="0016521E"/>
    <w:rsid w:val="001655F1"/>
    <w:rsid w:val="00165CED"/>
    <w:rsid w:val="001660E2"/>
    <w:rsid w:val="0016629B"/>
    <w:rsid w:val="001668AF"/>
    <w:rsid w:val="00166C05"/>
    <w:rsid w:val="00166F14"/>
    <w:rsid w:val="00167865"/>
    <w:rsid w:val="00170694"/>
    <w:rsid w:val="0017071E"/>
    <w:rsid w:val="00170737"/>
    <w:rsid w:val="001708B7"/>
    <w:rsid w:val="00170912"/>
    <w:rsid w:val="00170BC3"/>
    <w:rsid w:val="00170D20"/>
    <w:rsid w:val="00170F43"/>
    <w:rsid w:val="001717FF"/>
    <w:rsid w:val="00171EF2"/>
    <w:rsid w:val="00172076"/>
    <w:rsid w:val="0017208A"/>
    <w:rsid w:val="0017286E"/>
    <w:rsid w:val="00172EE7"/>
    <w:rsid w:val="001741FF"/>
    <w:rsid w:val="00174381"/>
    <w:rsid w:val="00174772"/>
    <w:rsid w:val="00174881"/>
    <w:rsid w:val="00174ABD"/>
    <w:rsid w:val="00175264"/>
    <w:rsid w:val="00175D71"/>
    <w:rsid w:val="00176204"/>
    <w:rsid w:val="00176369"/>
    <w:rsid w:val="00176563"/>
    <w:rsid w:val="00176B07"/>
    <w:rsid w:val="001771C2"/>
    <w:rsid w:val="00177283"/>
    <w:rsid w:val="00177484"/>
    <w:rsid w:val="00177534"/>
    <w:rsid w:val="0017777E"/>
    <w:rsid w:val="00177F46"/>
    <w:rsid w:val="001810F2"/>
    <w:rsid w:val="00181956"/>
    <w:rsid w:val="00181BE2"/>
    <w:rsid w:val="00181CFE"/>
    <w:rsid w:val="0018207A"/>
    <w:rsid w:val="00182B25"/>
    <w:rsid w:val="0018377B"/>
    <w:rsid w:val="00183830"/>
    <w:rsid w:val="00183973"/>
    <w:rsid w:val="00183A01"/>
    <w:rsid w:val="00183A38"/>
    <w:rsid w:val="00183CFD"/>
    <w:rsid w:val="00183E6E"/>
    <w:rsid w:val="00183FDE"/>
    <w:rsid w:val="00184823"/>
    <w:rsid w:val="00184CF1"/>
    <w:rsid w:val="00185F0A"/>
    <w:rsid w:val="0018606B"/>
    <w:rsid w:val="00186991"/>
    <w:rsid w:val="001871E6"/>
    <w:rsid w:val="00187C72"/>
    <w:rsid w:val="00187D47"/>
    <w:rsid w:val="00187EA3"/>
    <w:rsid w:val="001901E7"/>
    <w:rsid w:val="00190B0C"/>
    <w:rsid w:val="001915DC"/>
    <w:rsid w:val="00191D1B"/>
    <w:rsid w:val="00191EB4"/>
    <w:rsid w:val="00192081"/>
    <w:rsid w:val="00192517"/>
    <w:rsid w:val="00192ADB"/>
    <w:rsid w:val="00192F71"/>
    <w:rsid w:val="0019309F"/>
    <w:rsid w:val="00193165"/>
    <w:rsid w:val="00193275"/>
    <w:rsid w:val="00193842"/>
    <w:rsid w:val="00194242"/>
    <w:rsid w:val="0019448C"/>
    <w:rsid w:val="00194B14"/>
    <w:rsid w:val="00194BF2"/>
    <w:rsid w:val="00194E11"/>
    <w:rsid w:val="00194E6D"/>
    <w:rsid w:val="00194F99"/>
    <w:rsid w:val="001951DA"/>
    <w:rsid w:val="00195440"/>
    <w:rsid w:val="001957BA"/>
    <w:rsid w:val="001960B3"/>
    <w:rsid w:val="00196233"/>
    <w:rsid w:val="00196933"/>
    <w:rsid w:val="00196A9E"/>
    <w:rsid w:val="00196DE4"/>
    <w:rsid w:val="00197033"/>
    <w:rsid w:val="00197260"/>
    <w:rsid w:val="0019775D"/>
    <w:rsid w:val="00197895"/>
    <w:rsid w:val="0019789E"/>
    <w:rsid w:val="001979B8"/>
    <w:rsid w:val="00197E79"/>
    <w:rsid w:val="00197F45"/>
    <w:rsid w:val="001A02EB"/>
    <w:rsid w:val="001A0579"/>
    <w:rsid w:val="001A0D6A"/>
    <w:rsid w:val="001A0E71"/>
    <w:rsid w:val="001A1194"/>
    <w:rsid w:val="001A126F"/>
    <w:rsid w:val="001A19DC"/>
    <w:rsid w:val="001A1A13"/>
    <w:rsid w:val="001A1BD2"/>
    <w:rsid w:val="001A1C46"/>
    <w:rsid w:val="001A1DB4"/>
    <w:rsid w:val="001A1FC1"/>
    <w:rsid w:val="001A2382"/>
    <w:rsid w:val="001A2683"/>
    <w:rsid w:val="001A2A12"/>
    <w:rsid w:val="001A2D68"/>
    <w:rsid w:val="001A372E"/>
    <w:rsid w:val="001A3BBC"/>
    <w:rsid w:val="001A416B"/>
    <w:rsid w:val="001A49C6"/>
    <w:rsid w:val="001A536A"/>
    <w:rsid w:val="001A5435"/>
    <w:rsid w:val="001A55A9"/>
    <w:rsid w:val="001A561E"/>
    <w:rsid w:val="001A5E39"/>
    <w:rsid w:val="001A5FFA"/>
    <w:rsid w:val="001A6B7F"/>
    <w:rsid w:val="001A6C9F"/>
    <w:rsid w:val="001A6FEE"/>
    <w:rsid w:val="001A7666"/>
    <w:rsid w:val="001A7740"/>
    <w:rsid w:val="001A7E65"/>
    <w:rsid w:val="001B0096"/>
    <w:rsid w:val="001B0249"/>
    <w:rsid w:val="001B0263"/>
    <w:rsid w:val="001B035F"/>
    <w:rsid w:val="001B03EC"/>
    <w:rsid w:val="001B0601"/>
    <w:rsid w:val="001B06E8"/>
    <w:rsid w:val="001B06F5"/>
    <w:rsid w:val="001B0A07"/>
    <w:rsid w:val="001B0B5D"/>
    <w:rsid w:val="001B0DC1"/>
    <w:rsid w:val="001B17B9"/>
    <w:rsid w:val="001B1825"/>
    <w:rsid w:val="001B1A8E"/>
    <w:rsid w:val="001B1B57"/>
    <w:rsid w:val="001B2B14"/>
    <w:rsid w:val="001B2D9C"/>
    <w:rsid w:val="001B2D9F"/>
    <w:rsid w:val="001B3DB5"/>
    <w:rsid w:val="001B3E2E"/>
    <w:rsid w:val="001B40FC"/>
    <w:rsid w:val="001B41DE"/>
    <w:rsid w:val="001B43E3"/>
    <w:rsid w:val="001B4664"/>
    <w:rsid w:val="001B48CC"/>
    <w:rsid w:val="001B4EF3"/>
    <w:rsid w:val="001B4FD7"/>
    <w:rsid w:val="001B51F2"/>
    <w:rsid w:val="001B5908"/>
    <w:rsid w:val="001B5A2A"/>
    <w:rsid w:val="001B5E6B"/>
    <w:rsid w:val="001B5FEF"/>
    <w:rsid w:val="001B60FD"/>
    <w:rsid w:val="001B6133"/>
    <w:rsid w:val="001B6566"/>
    <w:rsid w:val="001B66E4"/>
    <w:rsid w:val="001B6BE8"/>
    <w:rsid w:val="001B7673"/>
    <w:rsid w:val="001B7E4A"/>
    <w:rsid w:val="001B7EEA"/>
    <w:rsid w:val="001C01A4"/>
    <w:rsid w:val="001C0547"/>
    <w:rsid w:val="001C0665"/>
    <w:rsid w:val="001C0ECC"/>
    <w:rsid w:val="001C1EE4"/>
    <w:rsid w:val="001C1FE0"/>
    <w:rsid w:val="001C23DC"/>
    <w:rsid w:val="001C250C"/>
    <w:rsid w:val="001C266D"/>
    <w:rsid w:val="001C28FF"/>
    <w:rsid w:val="001C2E82"/>
    <w:rsid w:val="001C3269"/>
    <w:rsid w:val="001C3286"/>
    <w:rsid w:val="001C36D5"/>
    <w:rsid w:val="001C3880"/>
    <w:rsid w:val="001C3C63"/>
    <w:rsid w:val="001C480A"/>
    <w:rsid w:val="001C4A33"/>
    <w:rsid w:val="001C4E73"/>
    <w:rsid w:val="001C579B"/>
    <w:rsid w:val="001C5AF0"/>
    <w:rsid w:val="001C5ED0"/>
    <w:rsid w:val="001C61D1"/>
    <w:rsid w:val="001C6E2C"/>
    <w:rsid w:val="001C7042"/>
    <w:rsid w:val="001C76D9"/>
    <w:rsid w:val="001C79B7"/>
    <w:rsid w:val="001D001D"/>
    <w:rsid w:val="001D00ED"/>
    <w:rsid w:val="001D0824"/>
    <w:rsid w:val="001D0975"/>
    <w:rsid w:val="001D0A57"/>
    <w:rsid w:val="001D0C76"/>
    <w:rsid w:val="001D1913"/>
    <w:rsid w:val="001D1DB4"/>
    <w:rsid w:val="001D2271"/>
    <w:rsid w:val="001D2700"/>
    <w:rsid w:val="001D301E"/>
    <w:rsid w:val="001D35E0"/>
    <w:rsid w:val="001D3846"/>
    <w:rsid w:val="001D3ADA"/>
    <w:rsid w:val="001D42DA"/>
    <w:rsid w:val="001D45D8"/>
    <w:rsid w:val="001D473D"/>
    <w:rsid w:val="001D4968"/>
    <w:rsid w:val="001D4B81"/>
    <w:rsid w:val="001D5C83"/>
    <w:rsid w:val="001D61DD"/>
    <w:rsid w:val="001D67C9"/>
    <w:rsid w:val="001D69FF"/>
    <w:rsid w:val="001D6AEF"/>
    <w:rsid w:val="001D6E0B"/>
    <w:rsid w:val="001D7456"/>
    <w:rsid w:val="001D7697"/>
    <w:rsid w:val="001D7CEB"/>
    <w:rsid w:val="001E00D9"/>
    <w:rsid w:val="001E0335"/>
    <w:rsid w:val="001E0603"/>
    <w:rsid w:val="001E0B6F"/>
    <w:rsid w:val="001E0EF2"/>
    <w:rsid w:val="001E10AA"/>
    <w:rsid w:val="001E1905"/>
    <w:rsid w:val="001E1A90"/>
    <w:rsid w:val="001E2222"/>
    <w:rsid w:val="001E2409"/>
    <w:rsid w:val="001E2BF7"/>
    <w:rsid w:val="001E2C29"/>
    <w:rsid w:val="001E2D41"/>
    <w:rsid w:val="001E3218"/>
    <w:rsid w:val="001E333A"/>
    <w:rsid w:val="001E3F60"/>
    <w:rsid w:val="001E4229"/>
    <w:rsid w:val="001E51F0"/>
    <w:rsid w:val="001E59AA"/>
    <w:rsid w:val="001E5F5B"/>
    <w:rsid w:val="001E6444"/>
    <w:rsid w:val="001E6560"/>
    <w:rsid w:val="001E6941"/>
    <w:rsid w:val="001E6D18"/>
    <w:rsid w:val="001E6DBE"/>
    <w:rsid w:val="001E717E"/>
    <w:rsid w:val="001E77D7"/>
    <w:rsid w:val="001E781A"/>
    <w:rsid w:val="001E78C6"/>
    <w:rsid w:val="001F026D"/>
    <w:rsid w:val="001F0E05"/>
    <w:rsid w:val="001F1907"/>
    <w:rsid w:val="001F19D9"/>
    <w:rsid w:val="001F217E"/>
    <w:rsid w:val="001F21E3"/>
    <w:rsid w:val="001F2506"/>
    <w:rsid w:val="001F25BC"/>
    <w:rsid w:val="001F2790"/>
    <w:rsid w:val="001F2842"/>
    <w:rsid w:val="001F2CAB"/>
    <w:rsid w:val="001F32DB"/>
    <w:rsid w:val="001F3721"/>
    <w:rsid w:val="001F40B1"/>
    <w:rsid w:val="001F40F3"/>
    <w:rsid w:val="001F4ACF"/>
    <w:rsid w:val="001F5546"/>
    <w:rsid w:val="001F590B"/>
    <w:rsid w:val="001F5C74"/>
    <w:rsid w:val="001F626C"/>
    <w:rsid w:val="001F6939"/>
    <w:rsid w:val="001F785A"/>
    <w:rsid w:val="001F7A19"/>
    <w:rsid w:val="001F7C89"/>
    <w:rsid w:val="00200D4A"/>
    <w:rsid w:val="00201010"/>
    <w:rsid w:val="0020140D"/>
    <w:rsid w:val="00201DAA"/>
    <w:rsid w:val="00201F08"/>
    <w:rsid w:val="00202162"/>
    <w:rsid w:val="00202242"/>
    <w:rsid w:val="002024FC"/>
    <w:rsid w:val="00202910"/>
    <w:rsid w:val="00202E7D"/>
    <w:rsid w:val="002030C7"/>
    <w:rsid w:val="00203946"/>
    <w:rsid w:val="00203A22"/>
    <w:rsid w:val="00203E5A"/>
    <w:rsid w:val="0020438F"/>
    <w:rsid w:val="00204416"/>
    <w:rsid w:val="002051D1"/>
    <w:rsid w:val="00205335"/>
    <w:rsid w:val="00205A98"/>
    <w:rsid w:val="00205B13"/>
    <w:rsid w:val="0020618F"/>
    <w:rsid w:val="002061ED"/>
    <w:rsid w:val="00206A2E"/>
    <w:rsid w:val="00206D12"/>
    <w:rsid w:val="00206D61"/>
    <w:rsid w:val="00207054"/>
    <w:rsid w:val="00207CDA"/>
    <w:rsid w:val="00207F6C"/>
    <w:rsid w:val="0021042E"/>
    <w:rsid w:val="002105B5"/>
    <w:rsid w:val="0021066F"/>
    <w:rsid w:val="0021067A"/>
    <w:rsid w:val="002111CB"/>
    <w:rsid w:val="0021146E"/>
    <w:rsid w:val="00211521"/>
    <w:rsid w:val="00211A61"/>
    <w:rsid w:val="002121B4"/>
    <w:rsid w:val="0021222C"/>
    <w:rsid w:val="0021224F"/>
    <w:rsid w:val="00212498"/>
    <w:rsid w:val="002129D2"/>
    <w:rsid w:val="00212B71"/>
    <w:rsid w:val="002131F9"/>
    <w:rsid w:val="002132B6"/>
    <w:rsid w:val="0021358A"/>
    <w:rsid w:val="00213678"/>
    <w:rsid w:val="00213BB9"/>
    <w:rsid w:val="00213D8F"/>
    <w:rsid w:val="00213F11"/>
    <w:rsid w:val="00214159"/>
    <w:rsid w:val="00214636"/>
    <w:rsid w:val="00214749"/>
    <w:rsid w:val="00214BB2"/>
    <w:rsid w:val="00214E72"/>
    <w:rsid w:val="002151F5"/>
    <w:rsid w:val="00215481"/>
    <w:rsid w:val="002159E3"/>
    <w:rsid w:val="00216AA8"/>
    <w:rsid w:val="00216B51"/>
    <w:rsid w:val="00217179"/>
    <w:rsid w:val="00217623"/>
    <w:rsid w:val="00217663"/>
    <w:rsid w:val="002200CE"/>
    <w:rsid w:val="002202B2"/>
    <w:rsid w:val="002208D3"/>
    <w:rsid w:val="00220922"/>
    <w:rsid w:val="00220FE1"/>
    <w:rsid w:val="002212E1"/>
    <w:rsid w:val="0022188D"/>
    <w:rsid w:val="00221A53"/>
    <w:rsid w:val="00221CBB"/>
    <w:rsid w:val="0022235D"/>
    <w:rsid w:val="002225F4"/>
    <w:rsid w:val="002227D7"/>
    <w:rsid w:val="00222EBE"/>
    <w:rsid w:val="002234C6"/>
    <w:rsid w:val="0022363C"/>
    <w:rsid w:val="00223837"/>
    <w:rsid w:val="00223872"/>
    <w:rsid w:val="00223C47"/>
    <w:rsid w:val="00223C48"/>
    <w:rsid w:val="00223F5F"/>
    <w:rsid w:val="0022454D"/>
    <w:rsid w:val="0022458A"/>
    <w:rsid w:val="0022461A"/>
    <w:rsid w:val="002246E5"/>
    <w:rsid w:val="00224A0C"/>
    <w:rsid w:val="00224E03"/>
    <w:rsid w:val="00225AFE"/>
    <w:rsid w:val="00225B36"/>
    <w:rsid w:val="00225DB9"/>
    <w:rsid w:val="00226DDA"/>
    <w:rsid w:val="00227356"/>
    <w:rsid w:val="002274A2"/>
    <w:rsid w:val="00227A67"/>
    <w:rsid w:val="00227E28"/>
    <w:rsid w:val="00230DA1"/>
    <w:rsid w:val="0023118C"/>
    <w:rsid w:val="00231D1A"/>
    <w:rsid w:val="00231DCD"/>
    <w:rsid w:val="00232054"/>
    <w:rsid w:val="0023212E"/>
    <w:rsid w:val="00232713"/>
    <w:rsid w:val="00232A6C"/>
    <w:rsid w:val="00232D8E"/>
    <w:rsid w:val="00233092"/>
    <w:rsid w:val="002331D4"/>
    <w:rsid w:val="002336F7"/>
    <w:rsid w:val="00233F3E"/>
    <w:rsid w:val="00234086"/>
    <w:rsid w:val="00234783"/>
    <w:rsid w:val="00234847"/>
    <w:rsid w:val="0023489C"/>
    <w:rsid w:val="0023492D"/>
    <w:rsid w:val="00234946"/>
    <w:rsid w:val="00234A76"/>
    <w:rsid w:val="002350BB"/>
    <w:rsid w:val="002353B4"/>
    <w:rsid w:val="0023581F"/>
    <w:rsid w:val="00235DA7"/>
    <w:rsid w:val="0023644B"/>
    <w:rsid w:val="00237232"/>
    <w:rsid w:val="00237FC2"/>
    <w:rsid w:val="00240C2F"/>
    <w:rsid w:val="00240D14"/>
    <w:rsid w:val="00241272"/>
    <w:rsid w:val="0024137F"/>
    <w:rsid w:val="002414C0"/>
    <w:rsid w:val="002419F5"/>
    <w:rsid w:val="00241BDB"/>
    <w:rsid w:val="002423C8"/>
    <w:rsid w:val="00242AF1"/>
    <w:rsid w:val="00242E82"/>
    <w:rsid w:val="00242ECB"/>
    <w:rsid w:val="00242FE5"/>
    <w:rsid w:val="002435D8"/>
    <w:rsid w:val="0024361F"/>
    <w:rsid w:val="00243A4F"/>
    <w:rsid w:val="002448CA"/>
    <w:rsid w:val="00244E13"/>
    <w:rsid w:val="00244E76"/>
    <w:rsid w:val="002453BB"/>
    <w:rsid w:val="00245782"/>
    <w:rsid w:val="00245E16"/>
    <w:rsid w:val="00245E6B"/>
    <w:rsid w:val="00245E9B"/>
    <w:rsid w:val="0024659A"/>
    <w:rsid w:val="00246641"/>
    <w:rsid w:val="00246FFA"/>
    <w:rsid w:val="0024718C"/>
    <w:rsid w:val="00247C55"/>
    <w:rsid w:val="00247DD1"/>
    <w:rsid w:val="00247E35"/>
    <w:rsid w:val="00250539"/>
    <w:rsid w:val="0025076B"/>
    <w:rsid w:val="00250837"/>
    <w:rsid w:val="002508C6"/>
    <w:rsid w:val="0025139E"/>
    <w:rsid w:val="00251411"/>
    <w:rsid w:val="002514ED"/>
    <w:rsid w:val="002516AE"/>
    <w:rsid w:val="00251D6C"/>
    <w:rsid w:val="002522AA"/>
    <w:rsid w:val="002532EF"/>
    <w:rsid w:val="00253515"/>
    <w:rsid w:val="00253B81"/>
    <w:rsid w:val="00253C2A"/>
    <w:rsid w:val="00254418"/>
    <w:rsid w:val="0025453C"/>
    <w:rsid w:val="002545A7"/>
    <w:rsid w:val="0025477E"/>
    <w:rsid w:val="002548E4"/>
    <w:rsid w:val="0025498D"/>
    <w:rsid w:val="00255024"/>
    <w:rsid w:val="00255368"/>
    <w:rsid w:val="00255723"/>
    <w:rsid w:val="002558D3"/>
    <w:rsid w:val="00255A3D"/>
    <w:rsid w:val="00255C02"/>
    <w:rsid w:val="00255DBC"/>
    <w:rsid w:val="00256B59"/>
    <w:rsid w:val="00256B63"/>
    <w:rsid w:val="00256F13"/>
    <w:rsid w:val="00256F2C"/>
    <w:rsid w:val="00256FBE"/>
    <w:rsid w:val="0025707B"/>
    <w:rsid w:val="002572E1"/>
    <w:rsid w:val="002574F9"/>
    <w:rsid w:val="002576F7"/>
    <w:rsid w:val="00257917"/>
    <w:rsid w:val="00257A2F"/>
    <w:rsid w:val="00257E66"/>
    <w:rsid w:val="00257E96"/>
    <w:rsid w:val="00257EA1"/>
    <w:rsid w:val="00257EFC"/>
    <w:rsid w:val="002601B6"/>
    <w:rsid w:val="00260393"/>
    <w:rsid w:val="0026066E"/>
    <w:rsid w:val="0026076B"/>
    <w:rsid w:val="002607A7"/>
    <w:rsid w:val="0026102D"/>
    <w:rsid w:val="002610C9"/>
    <w:rsid w:val="0026123C"/>
    <w:rsid w:val="002612A4"/>
    <w:rsid w:val="00261957"/>
    <w:rsid w:val="00262766"/>
    <w:rsid w:val="00262840"/>
    <w:rsid w:val="00262B61"/>
    <w:rsid w:val="002630CA"/>
    <w:rsid w:val="00263216"/>
    <w:rsid w:val="002633DD"/>
    <w:rsid w:val="002635A3"/>
    <w:rsid w:val="002635AF"/>
    <w:rsid w:val="00263DAF"/>
    <w:rsid w:val="002642B8"/>
    <w:rsid w:val="002649B0"/>
    <w:rsid w:val="00265127"/>
    <w:rsid w:val="00265BE4"/>
    <w:rsid w:val="00265CEF"/>
    <w:rsid w:val="00265D6A"/>
    <w:rsid w:val="002660F8"/>
    <w:rsid w:val="00266450"/>
    <w:rsid w:val="002665AE"/>
    <w:rsid w:val="002668EE"/>
    <w:rsid w:val="00266929"/>
    <w:rsid w:val="00266E26"/>
    <w:rsid w:val="00267056"/>
    <w:rsid w:val="002672E8"/>
    <w:rsid w:val="0026747F"/>
    <w:rsid w:val="002677AB"/>
    <w:rsid w:val="00267868"/>
    <w:rsid w:val="002678C0"/>
    <w:rsid w:val="00267C97"/>
    <w:rsid w:val="00267E69"/>
    <w:rsid w:val="0027004B"/>
    <w:rsid w:val="0027015F"/>
    <w:rsid w:val="002707DF"/>
    <w:rsid w:val="0027155A"/>
    <w:rsid w:val="00271780"/>
    <w:rsid w:val="00271834"/>
    <w:rsid w:val="00272691"/>
    <w:rsid w:val="002729F0"/>
    <w:rsid w:val="00272C5F"/>
    <w:rsid w:val="00272F15"/>
    <w:rsid w:val="00273365"/>
    <w:rsid w:val="002736EB"/>
    <w:rsid w:val="00273A6F"/>
    <w:rsid w:val="00273B77"/>
    <w:rsid w:val="002748CC"/>
    <w:rsid w:val="00274C0F"/>
    <w:rsid w:val="0027547F"/>
    <w:rsid w:val="00275B0A"/>
    <w:rsid w:val="002760AE"/>
    <w:rsid w:val="00276535"/>
    <w:rsid w:val="0027659A"/>
    <w:rsid w:val="00276811"/>
    <w:rsid w:val="002774B3"/>
    <w:rsid w:val="002775C5"/>
    <w:rsid w:val="002777EE"/>
    <w:rsid w:val="002777EF"/>
    <w:rsid w:val="00277D64"/>
    <w:rsid w:val="00277F62"/>
    <w:rsid w:val="00277F8E"/>
    <w:rsid w:val="002803C7"/>
    <w:rsid w:val="002806EA"/>
    <w:rsid w:val="00280FFB"/>
    <w:rsid w:val="00281230"/>
    <w:rsid w:val="00281F22"/>
    <w:rsid w:val="00281F3C"/>
    <w:rsid w:val="002824BF"/>
    <w:rsid w:val="00282699"/>
    <w:rsid w:val="0028292B"/>
    <w:rsid w:val="00282B2F"/>
    <w:rsid w:val="00282D65"/>
    <w:rsid w:val="00283339"/>
    <w:rsid w:val="002833A6"/>
    <w:rsid w:val="002836C7"/>
    <w:rsid w:val="00283736"/>
    <w:rsid w:val="002842D6"/>
    <w:rsid w:val="002843A4"/>
    <w:rsid w:val="00284478"/>
    <w:rsid w:val="0028469A"/>
    <w:rsid w:val="00284D4E"/>
    <w:rsid w:val="00285138"/>
    <w:rsid w:val="00285317"/>
    <w:rsid w:val="00285B2D"/>
    <w:rsid w:val="00285C22"/>
    <w:rsid w:val="00286352"/>
    <w:rsid w:val="00286512"/>
    <w:rsid w:val="002868DA"/>
    <w:rsid w:val="00286EE8"/>
    <w:rsid w:val="0028750A"/>
    <w:rsid w:val="002876F2"/>
    <w:rsid w:val="00287A20"/>
    <w:rsid w:val="00291293"/>
    <w:rsid w:val="00291310"/>
    <w:rsid w:val="0029134A"/>
    <w:rsid w:val="00291420"/>
    <w:rsid w:val="002914EA"/>
    <w:rsid w:val="00291D4F"/>
    <w:rsid w:val="002920BF"/>
    <w:rsid w:val="002925FE"/>
    <w:rsid w:val="002926DF"/>
    <w:rsid w:val="0029272A"/>
    <w:rsid w:val="00292A72"/>
    <w:rsid w:val="00292CF3"/>
    <w:rsid w:val="00292DE9"/>
    <w:rsid w:val="00292ED1"/>
    <w:rsid w:val="002930F2"/>
    <w:rsid w:val="002936E1"/>
    <w:rsid w:val="002938BC"/>
    <w:rsid w:val="00293965"/>
    <w:rsid w:val="00293CC3"/>
    <w:rsid w:val="0029413E"/>
    <w:rsid w:val="00294807"/>
    <w:rsid w:val="00294B68"/>
    <w:rsid w:val="00294CC5"/>
    <w:rsid w:val="00295342"/>
    <w:rsid w:val="00295416"/>
    <w:rsid w:val="0029544A"/>
    <w:rsid w:val="00295A3E"/>
    <w:rsid w:val="00295BEB"/>
    <w:rsid w:val="00295CDB"/>
    <w:rsid w:val="0029666B"/>
    <w:rsid w:val="00296697"/>
    <w:rsid w:val="00297116"/>
    <w:rsid w:val="002972E6"/>
    <w:rsid w:val="00297940"/>
    <w:rsid w:val="002A0162"/>
    <w:rsid w:val="002A0374"/>
    <w:rsid w:val="002A0496"/>
    <w:rsid w:val="002A0ABB"/>
    <w:rsid w:val="002A0C2E"/>
    <w:rsid w:val="002A1604"/>
    <w:rsid w:val="002A1702"/>
    <w:rsid w:val="002A175B"/>
    <w:rsid w:val="002A179C"/>
    <w:rsid w:val="002A2663"/>
    <w:rsid w:val="002A2815"/>
    <w:rsid w:val="002A2AEB"/>
    <w:rsid w:val="002A2CA7"/>
    <w:rsid w:val="002A2E21"/>
    <w:rsid w:val="002A3082"/>
    <w:rsid w:val="002A3F4F"/>
    <w:rsid w:val="002A456F"/>
    <w:rsid w:val="002A4A8F"/>
    <w:rsid w:val="002A4B07"/>
    <w:rsid w:val="002A4F9F"/>
    <w:rsid w:val="002A538D"/>
    <w:rsid w:val="002A5B4A"/>
    <w:rsid w:val="002A5C98"/>
    <w:rsid w:val="002A613A"/>
    <w:rsid w:val="002A67DB"/>
    <w:rsid w:val="002A6B5F"/>
    <w:rsid w:val="002A7D30"/>
    <w:rsid w:val="002A7D43"/>
    <w:rsid w:val="002B0472"/>
    <w:rsid w:val="002B0685"/>
    <w:rsid w:val="002B1CF8"/>
    <w:rsid w:val="002B1FE6"/>
    <w:rsid w:val="002B205F"/>
    <w:rsid w:val="002B32A2"/>
    <w:rsid w:val="002B32FF"/>
    <w:rsid w:val="002B34F0"/>
    <w:rsid w:val="002B39F1"/>
    <w:rsid w:val="002B3B3B"/>
    <w:rsid w:val="002B3CF1"/>
    <w:rsid w:val="002B3F27"/>
    <w:rsid w:val="002B417E"/>
    <w:rsid w:val="002B4220"/>
    <w:rsid w:val="002B42F3"/>
    <w:rsid w:val="002B46BB"/>
    <w:rsid w:val="002B4BC8"/>
    <w:rsid w:val="002B4C6C"/>
    <w:rsid w:val="002B5306"/>
    <w:rsid w:val="002B57C8"/>
    <w:rsid w:val="002B57E2"/>
    <w:rsid w:val="002B5DE1"/>
    <w:rsid w:val="002B5EF1"/>
    <w:rsid w:val="002B5F83"/>
    <w:rsid w:val="002B668A"/>
    <w:rsid w:val="002B6892"/>
    <w:rsid w:val="002B6B12"/>
    <w:rsid w:val="002B6BE7"/>
    <w:rsid w:val="002B6E0F"/>
    <w:rsid w:val="002B7301"/>
    <w:rsid w:val="002B731D"/>
    <w:rsid w:val="002B77DB"/>
    <w:rsid w:val="002B79AB"/>
    <w:rsid w:val="002B7C18"/>
    <w:rsid w:val="002B7DD4"/>
    <w:rsid w:val="002B7F82"/>
    <w:rsid w:val="002C01B7"/>
    <w:rsid w:val="002C047D"/>
    <w:rsid w:val="002C086F"/>
    <w:rsid w:val="002C0B70"/>
    <w:rsid w:val="002C1560"/>
    <w:rsid w:val="002C16F9"/>
    <w:rsid w:val="002C1B3B"/>
    <w:rsid w:val="002C1E10"/>
    <w:rsid w:val="002C1E3F"/>
    <w:rsid w:val="002C1E68"/>
    <w:rsid w:val="002C24BC"/>
    <w:rsid w:val="002C24FC"/>
    <w:rsid w:val="002C274E"/>
    <w:rsid w:val="002C303C"/>
    <w:rsid w:val="002C3098"/>
    <w:rsid w:val="002C31CF"/>
    <w:rsid w:val="002C3427"/>
    <w:rsid w:val="002C3A8D"/>
    <w:rsid w:val="002C3C2B"/>
    <w:rsid w:val="002C413D"/>
    <w:rsid w:val="002C4CBC"/>
    <w:rsid w:val="002C4CC0"/>
    <w:rsid w:val="002C4D8F"/>
    <w:rsid w:val="002C5488"/>
    <w:rsid w:val="002C56E5"/>
    <w:rsid w:val="002C60CF"/>
    <w:rsid w:val="002C69D3"/>
    <w:rsid w:val="002C6C4C"/>
    <w:rsid w:val="002C6CFA"/>
    <w:rsid w:val="002C6DA3"/>
    <w:rsid w:val="002C6EB3"/>
    <w:rsid w:val="002C6FE8"/>
    <w:rsid w:val="002C7007"/>
    <w:rsid w:val="002C71AD"/>
    <w:rsid w:val="002C73B4"/>
    <w:rsid w:val="002C75EC"/>
    <w:rsid w:val="002C7887"/>
    <w:rsid w:val="002C78A5"/>
    <w:rsid w:val="002C7A18"/>
    <w:rsid w:val="002C7F0A"/>
    <w:rsid w:val="002D0582"/>
    <w:rsid w:val="002D0A49"/>
    <w:rsid w:val="002D0D2C"/>
    <w:rsid w:val="002D102D"/>
    <w:rsid w:val="002D11A0"/>
    <w:rsid w:val="002D179A"/>
    <w:rsid w:val="002D1AA5"/>
    <w:rsid w:val="002D2114"/>
    <w:rsid w:val="002D217C"/>
    <w:rsid w:val="002D2650"/>
    <w:rsid w:val="002D2653"/>
    <w:rsid w:val="002D28E8"/>
    <w:rsid w:val="002D294B"/>
    <w:rsid w:val="002D2AF2"/>
    <w:rsid w:val="002D2B8B"/>
    <w:rsid w:val="002D3518"/>
    <w:rsid w:val="002D355D"/>
    <w:rsid w:val="002D3C83"/>
    <w:rsid w:val="002D3FCF"/>
    <w:rsid w:val="002D40F9"/>
    <w:rsid w:val="002D53D2"/>
    <w:rsid w:val="002D55F2"/>
    <w:rsid w:val="002D59E1"/>
    <w:rsid w:val="002D5E50"/>
    <w:rsid w:val="002D5EE0"/>
    <w:rsid w:val="002D66B6"/>
    <w:rsid w:val="002D6A39"/>
    <w:rsid w:val="002D6E2F"/>
    <w:rsid w:val="002D71DA"/>
    <w:rsid w:val="002D7856"/>
    <w:rsid w:val="002D7FD8"/>
    <w:rsid w:val="002E0260"/>
    <w:rsid w:val="002E0373"/>
    <w:rsid w:val="002E0FA9"/>
    <w:rsid w:val="002E1259"/>
    <w:rsid w:val="002E1292"/>
    <w:rsid w:val="002E18CF"/>
    <w:rsid w:val="002E19F2"/>
    <w:rsid w:val="002E2009"/>
    <w:rsid w:val="002E2060"/>
    <w:rsid w:val="002E245E"/>
    <w:rsid w:val="002E2A62"/>
    <w:rsid w:val="002E2D5A"/>
    <w:rsid w:val="002E2FA2"/>
    <w:rsid w:val="002E33BF"/>
    <w:rsid w:val="002E34B2"/>
    <w:rsid w:val="002E3759"/>
    <w:rsid w:val="002E3A94"/>
    <w:rsid w:val="002E3DB0"/>
    <w:rsid w:val="002E3F9C"/>
    <w:rsid w:val="002E420F"/>
    <w:rsid w:val="002E4751"/>
    <w:rsid w:val="002E478B"/>
    <w:rsid w:val="002E47D9"/>
    <w:rsid w:val="002E491B"/>
    <w:rsid w:val="002E52CE"/>
    <w:rsid w:val="002E54D0"/>
    <w:rsid w:val="002E5E81"/>
    <w:rsid w:val="002E6140"/>
    <w:rsid w:val="002E6371"/>
    <w:rsid w:val="002E6985"/>
    <w:rsid w:val="002E6B3D"/>
    <w:rsid w:val="002E7037"/>
    <w:rsid w:val="002E71B6"/>
    <w:rsid w:val="002E7479"/>
    <w:rsid w:val="002E7482"/>
    <w:rsid w:val="002E761A"/>
    <w:rsid w:val="002E7934"/>
    <w:rsid w:val="002E7A55"/>
    <w:rsid w:val="002E7F7D"/>
    <w:rsid w:val="002E7FEC"/>
    <w:rsid w:val="002F0297"/>
    <w:rsid w:val="002F0486"/>
    <w:rsid w:val="002F06B7"/>
    <w:rsid w:val="002F083C"/>
    <w:rsid w:val="002F0DCA"/>
    <w:rsid w:val="002F16F6"/>
    <w:rsid w:val="002F186E"/>
    <w:rsid w:val="002F1C32"/>
    <w:rsid w:val="002F1DE2"/>
    <w:rsid w:val="002F1FF6"/>
    <w:rsid w:val="002F20A1"/>
    <w:rsid w:val="002F210A"/>
    <w:rsid w:val="002F2638"/>
    <w:rsid w:val="002F2A55"/>
    <w:rsid w:val="002F2C60"/>
    <w:rsid w:val="002F2C79"/>
    <w:rsid w:val="002F2EA8"/>
    <w:rsid w:val="002F3F02"/>
    <w:rsid w:val="002F3F68"/>
    <w:rsid w:val="002F424F"/>
    <w:rsid w:val="002F4307"/>
    <w:rsid w:val="002F43E4"/>
    <w:rsid w:val="002F472A"/>
    <w:rsid w:val="002F4AA2"/>
    <w:rsid w:val="002F5615"/>
    <w:rsid w:val="002F5750"/>
    <w:rsid w:val="002F5925"/>
    <w:rsid w:val="002F5A12"/>
    <w:rsid w:val="002F5B91"/>
    <w:rsid w:val="002F5C89"/>
    <w:rsid w:val="002F62EA"/>
    <w:rsid w:val="002F62EC"/>
    <w:rsid w:val="002F692D"/>
    <w:rsid w:val="002F6D95"/>
    <w:rsid w:val="002F7098"/>
    <w:rsid w:val="002F710A"/>
    <w:rsid w:val="002F754C"/>
    <w:rsid w:val="002F76E9"/>
    <w:rsid w:val="002F77C8"/>
    <w:rsid w:val="002F7B1B"/>
    <w:rsid w:val="003003B1"/>
    <w:rsid w:val="00300667"/>
    <w:rsid w:val="00301319"/>
    <w:rsid w:val="00301708"/>
    <w:rsid w:val="0030172E"/>
    <w:rsid w:val="00301875"/>
    <w:rsid w:val="0030249B"/>
    <w:rsid w:val="00302724"/>
    <w:rsid w:val="00302C6B"/>
    <w:rsid w:val="00302CB9"/>
    <w:rsid w:val="003031D6"/>
    <w:rsid w:val="00303B78"/>
    <w:rsid w:val="0030400F"/>
    <w:rsid w:val="0030406B"/>
    <w:rsid w:val="00304168"/>
    <w:rsid w:val="0030459D"/>
    <w:rsid w:val="00304B51"/>
    <w:rsid w:val="00304CFA"/>
    <w:rsid w:val="00304F22"/>
    <w:rsid w:val="0030551B"/>
    <w:rsid w:val="003055C7"/>
    <w:rsid w:val="00305915"/>
    <w:rsid w:val="00305AA3"/>
    <w:rsid w:val="00305F79"/>
    <w:rsid w:val="00306C7C"/>
    <w:rsid w:val="003070B0"/>
    <w:rsid w:val="003070FB"/>
    <w:rsid w:val="0030717E"/>
    <w:rsid w:val="00307576"/>
    <w:rsid w:val="0030794C"/>
    <w:rsid w:val="00307AF8"/>
    <w:rsid w:val="00307C22"/>
    <w:rsid w:val="00310C4D"/>
    <w:rsid w:val="00310F27"/>
    <w:rsid w:val="0031107D"/>
    <w:rsid w:val="003111FB"/>
    <w:rsid w:val="003112A7"/>
    <w:rsid w:val="0031149A"/>
    <w:rsid w:val="00311841"/>
    <w:rsid w:val="003124D5"/>
    <w:rsid w:val="00312A78"/>
    <w:rsid w:val="00312BD4"/>
    <w:rsid w:val="0031363B"/>
    <w:rsid w:val="003140FF"/>
    <w:rsid w:val="0031424E"/>
    <w:rsid w:val="0031487C"/>
    <w:rsid w:val="003149FB"/>
    <w:rsid w:val="00314D1E"/>
    <w:rsid w:val="00314D7F"/>
    <w:rsid w:val="00314DC3"/>
    <w:rsid w:val="00315203"/>
    <w:rsid w:val="003152F5"/>
    <w:rsid w:val="003155EF"/>
    <w:rsid w:val="003158B8"/>
    <w:rsid w:val="00315D6E"/>
    <w:rsid w:val="00316144"/>
    <w:rsid w:val="00316609"/>
    <w:rsid w:val="00316679"/>
    <w:rsid w:val="00316B2F"/>
    <w:rsid w:val="00316C1C"/>
    <w:rsid w:val="00316D4A"/>
    <w:rsid w:val="00316EA8"/>
    <w:rsid w:val="003173C9"/>
    <w:rsid w:val="00317496"/>
    <w:rsid w:val="003175EF"/>
    <w:rsid w:val="00320400"/>
    <w:rsid w:val="003204CC"/>
    <w:rsid w:val="00320768"/>
    <w:rsid w:val="003209E1"/>
    <w:rsid w:val="003209F3"/>
    <w:rsid w:val="00320B7F"/>
    <w:rsid w:val="00320D72"/>
    <w:rsid w:val="003212DD"/>
    <w:rsid w:val="0032136A"/>
    <w:rsid w:val="003213F9"/>
    <w:rsid w:val="00322336"/>
    <w:rsid w:val="00322714"/>
    <w:rsid w:val="00322EDD"/>
    <w:rsid w:val="00323134"/>
    <w:rsid w:val="00323176"/>
    <w:rsid w:val="00323259"/>
    <w:rsid w:val="00323442"/>
    <w:rsid w:val="0032353A"/>
    <w:rsid w:val="00323F5E"/>
    <w:rsid w:val="00323FE8"/>
    <w:rsid w:val="0032407F"/>
    <w:rsid w:val="003240FA"/>
    <w:rsid w:val="00324370"/>
    <w:rsid w:val="003243DC"/>
    <w:rsid w:val="00324AE3"/>
    <w:rsid w:val="00324BCA"/>
    <w:rsid w:val="00324EA6"/>
    <w:rsid w:val="00325004"/>
    <w:rsid w:val="003250E4"/>
    <w:rsid w:val="00325859"/>
    <w:rsid w:val="00325871"/>
    <w:rsid w:val="00325883"/>
    <w:rsid w:val="00325976"/>
    <w:rsid w:val="00325995"/>
    <w:rsid w:val="00325F44"/>
    <w:rsid w:val="003263ED"/>
    <w:rsid w:val="00326CDC"/>
    <w:rsid w:val="00326D21"/>
    <w:rsid w:val="003271E5"/>
    <w:rsid w:val="00327440"/>
    <w:rsid w:val="00327988"/>
    <w:rsid w:val="003279A9"/>
    <w:rsid w:val="00327B89"/>
    <w:rsid w:val="00327C35"/>
    <w:rsid w:val="003309CD"/>
    <w:rsid w:val="00330E38"/>
    <w:rsid w:val="00330F43"/>
    <w:rsid w:val="00331098"/>
    <w:rsid w:val="003314EF"/>
    <w:rsid w:val="00331920"/>
    <w:rsid w:val="00331E32"/>
    <w:rsid w:val="00331E9C"/>
    <w:rsid w:val="0033204E"/>
    <w:rsid w:val="00332192"/>
    <w:rsid w:val="00332320"/>
    <w:rsid w:val="0033234F"/>
    <w:rsid w:val="0033279F"/>
    <w:rsid w:val="00332D07"/>
    <w:rsid w:val="0033311C"/>
    <w:rsid w:val="003331A3"/>
    <w:rsid w:val="0033326C"/>
    <w:rsid w:val="00333350"/>
    <w:rsid w:val="003339E0"/>
    <w:rsid w:val="00333CFA"/>
    <w:rsid w:val="00334269"/>
    <w:rsid w:val="0033462E"/>
    <w:rsid w:val="00334DCB"/>
    <w:rsid w:val="00334FAF"/>
    <w:rsid w:val="003351C6"/>
    <w:rsid w:val="00335861"/>
    <w:rsid w:val="00335C0F"/>
    <w:rsid w:val="00335F83"/>
    <w:rsid w:val="00336C6A"/>
    <w:rsid w:val="00336FFA"/>
    <w:rsid w:val="0033720B"/>
    <w:rsid w:val="003373E8"/>
    <w:rsid w:val="0033749C"/>
    <w:rsid w:val="003376AC"/>
    <w:rsid w:val="00337DB3"/>
    <w:rsid w:val="00340226"/>
    <w:rsid w:val="0034064B"/>
    <w:rsid w:val="00340B86"/>
    <w:rsid w:val="00341558"/>
    <w:rsid w:val="003415EF"/>
    <w:rsid w:val="00341689"/>
    <w:rsid w:val="00341706"/>
    <w:rsid w:val="00341978"/>
    <w:rsid w:val="0034263C"/>
    <w:rsid w:val="00343007"/>
    <w:rsid w:val="00343221"/>
    <w:rsid w:val="0034333C"/>
    <w:rsid w:val="00343583"/>
    <w:rsid w:val="003435B1"/>
    <w:rsid w:val="0034365E"/>
    <w:rsid w:val="0034374E"/>
    <w:rsid w:val="0034385D"/>
    <w:rsid w:val="003439F1"/>
    <w:rsid w:val="00343CF3"/>
    <w:rsid w:val="00343E06"/>
    <w:rsid w:val="00344210"/>
    <w:rsid w:val="0034448C"/>
    <w:rsid w:val="00344898"/>
    <w:rsid w:val="00344DE4"/>
    <w:rsid w:val="00344F38"/>
    <w:rsid w:val="00344F69"/>
    <w:rsid w:val="00345137"/>
    <w:rsid w:val="00345426"/>
    <w:rsid w:val="0034551D"/>
    <w:rsid w:val="0034575A"/>
    <w:rsid w:val="0034617E"/>
    <w:rsid w:val="00346864"/>
    <w:rsid w:val="0034695C"/>
    <w:rsid w:val="00346AB8"/>
    <w:rsid w:val="00346F89"/>
    <w:rsid w:val="0034772A"/>
    <w:rsid w:val="00347A15"/>
    <w:rsid w:val="00347D72"/>
    <w:rsid w:val="00347D80"/>
    <w:rsid w:val="00347DA1"/>
    <w:rsid w:val="0035085F"/>
    <w:rsid w:val="00350C14"/>
    <w:rsid w:val="00351049"/>
    <w:rsid w:val="003510A4"/>
    <w:rsid w:val="0035151F"/>
    <w:rsid w:val="003515FA"/>
    <w:rsid w:val="00351B4B"/>
    <w:rsid w:val="00351B87"/>
    <w:rsid w:val="00352212"/>
    <w:rsid w:val="00352308"/>
    <w:rsid w:val="003524E0"/>
    <w:rsid w:val="003525F3"/>
    <w:rsid w:val="003527EC"/>
    <w:rsid w:val="00352F62"/>
    <w:rsid w:val="00352FB0"/>
    <w:rsid w:val="0035319F"/>
    <w:rsid w:val="003536B3"/>
    <w:rsid w:val="0035371D"/>
    <w:rsid w:val="00353FC0"/>
    <w:rsid w:val="00354C78"/>
    <w:rsid w:val="00354E00"/>
    <w:rsid w:val="00355449"/>
    <w:rsid w:val="0035566A"/>
    <w:rsid w:val="003559C3"/>
    <w:rsid w:val="00355A76"/>
    <w:rsid w:val="00355C05"/>
    <w:rsid w:val="00355DBD"/>
    <w:rsid w:val="00356063"/>
    <w:rsid w:val="003560CF"/>
    <w:rsid w:val="00356218"/>
    <w:rsid w:val="003562FC"/>
    <w:rsid w:val="003563D6"/>
    <w:rsid w:val="00357611"/>
    <w:rsid w:val="003577AD"/>
    <w:rsid w:val="00360085"/>
    <w:rsid w:val="00360803"/>
    <w:rsid w:val="00360BB2"/>
    <w:rsid w:val="00360D38"/>
    <w:rsid w:val="00360D6E"/>
    <w:rsid w:val="00360E4D"/>
    <w:rsid w:val="00361258"/>
    <w:rsid w:val="00361507"/>
    <w:rsid w:val="00361B6D"/>
    <w:rsid w:val="003620BB"/>
    <w:rsid w:val="00362275"/>
    <w:rsid w:val="003623C9"/>
    <w:rsid w:val="003625A3"/>
    <w:rsid w:val="0036288C"/>
    <w:rsid w:val="00362C9C"/>
    <w:rsid w:val="00362F88"/>
    <w:rsid w:val="00363152"/>
    <w:rsid w:val="00363DD4"/>
    <w:rsid w:val="00364010"/>
    <w:rsid w:val="00364035"/>
    <w:rsid w:val="00364515"/>
    <w:rsid w:val="003646EA"/>
    <w:rsid w:val="003648EB"/>
    <w:rsid w:val="00364937"/>
    <w:rsid w:val="00364AB1"/>
    <w:rsid w:val="00364E9E"/>
    <w:rsid w:val="00365234"/>
    <w:rsid w:val="003654E0"/>
    <w:rsid w:val="00365A6E"/>
    <w:rsid w:val="00365CB7"/>
    <w:rsid w:val="0036620E"/>
    <w:rsid w:val="00366448"/>
    <w:rsid w:val="00366E47"/>
    <w:rsid w:val="00366E85"/>
    <w:rsid w:val="00367237"/>
    <w:rsid w:val="00367433"/>
    <w:rsid w:val="00367506"/>
    <w:rsid w:val="0037077F"/>
    <w:rsid w:val="00371979"/>
    <w:rsid w:val="003719B5"/>
    <w:rsid w:val="003720CD"/>
    <w:rsid w:val="00372238"/>
    <w:rsid w:val="00372411"/>
    <w:rsid w:val="00372D6A"/>
    <w:rsid w:val="003730C4"/>
    <w:rsid w:val="00373882"/>
    <w:rsid w:val="00373C43"/>
    <w:rsid w:val="00373EF7"/>
    <w:rsid w:val="00373F15"/>
    <w:rsid w:val="00374116"/>
    <w:rsid w:val="0037475E"/>
    <w:rsid w:val="00374B9C"/>
    <w:rsid w:val="00374C98"/>
    <w:rsid w:val="00374CB3"/>
    <w:rsid w:val="00375211"/>
    <w:rsid w:val="0037597E"/>
    <w:rsid w:val="00375DEB"/>
    <w:rsid w:val="00375EA7"/>
    <w:rsid w:val="00375F22"/>
    <w:rsid w:val="00375FC9"/>
    <w:rsid w:val="00376591"/>
    <w:rsid w:val="003766AE"/>
    <w:rsid w:val="0037687F"/>
    <w:rsid w:val="00376E0E"/>
    <w:rsid w:val="00377465"/>
    <w:rsid w:val="00377746"/>
    <w:rsid w:val="00377A2A"/>
    <w:rsid w:val="00377B3D"/>
    <w:rsid w:val="00377B56"/>
    <w:rsid w:val="00377EEE"/>
    <w:rsid w:val="003800A2"/>
    <w:rsid w:val="003801EB"/>
    <w:rsid w:val="003802F4"/>
    <w:rsid w:val="00380ADA"/>
    <w:rsid w:val="00380BC3"/>
    <w:rsid w:val="00381292"/>
    <w:rsid w:val="003812F9"/>
    <w:rsid w:val="00381301"/>
    <w:rsid w:val="00381C37"/>
    <w:rsid w:val="003822D0"/>
    <w:rsid w:val="00382F78"/>
    <w:rsid w:val="00383034"/>
    <w:rsid w:val="00383094"/>
    <w:rsid w:val="00383DCF"/>
    <w:rsid w:val="00383E2A"/>
    <w:rsid w:val="003843DB"/>
    <w:rsid w:val="003847DC"/>
    <w:rsid w:val="0038483B"/>
    <w:rsid w:val="00384CB5"/>
    <w:rsid w:val="00384D57"/>
    <w:rsid w:val="003855BE"/>
    <w:rsid w:val="00385DFA"/>
    <w:rsid w:val="0038656B"/>
    <w:rsid w:val="00386B4D"/>
    <w:rsid w:val="00386C04"/>
    <w:rsid w:val="00387255"/>
    <w:rsid w:val="0038728C"/>
    <w:rsid w:val="0038747E"/>
    <w:rsid w:val="0038764C"/>
    <w:rsid w:val="00390132"/>
    <w:rsid w:val="00390542"/>
    <w:rsid w:val="0039064A"/>
    <w:rsid w:val="003909C7"/>
    <w:rsid w:val="00390FD0"/>
    <w:rsid w:val="00391029"/>
    <w:rsid w:val="00391341"/>
    <w:rsid w:val="00391971"/>
    <w:rsid w:val="00391CAE"/>
    <w:rsid w:val="00391E7B"/>
    <w:rsid w:val="00391F1A"/>
    <w:rsid w:val="00392076"/>
    <w:rsid w:val="003923C0"/>
    <w:rsid w:val="00392776"/>
    <w:rsid w:val="00393569"/>
    <w:rsid w:val="00393761"/>
    <w:rsid w:val="0039386E"/>
    <w:rsid w:val="003938F4"/>
    <w:rsid w:val="00393909"/>
    <w:rsid w:val="00393A74"/>
    <w:rsid w:val="0039449F"/>
    <w:rsid w:val="0039465E"/>
    <w:rsid w:val="0039492A"/>
    <w:rsid w:val="00394D35"/>
    <w:rsid w:val="00395446"/>
    <w:rsid w:val="0039586F"/>
    <w:rsid w:val="003962F6"/>
    <w:rsid w:val="00396D0A"/>
    <w:rsid w:val="00397552"/>
    <w:rsid w:val="003976CA"/>
    <w:rsid w:val="003977C6"/>
    <w:rsid w:val="00397B1D"/>
    <w:rsid w:val="00397C35"/>
    <w:rsid w:val="00397D18"/>
    <w:rsid w:val="003A0019"/>
    <w:rsid w:val="003A065C"/>
    <w:rsid w:val="003A07C3"/>
    <w:rsid w:val="003A108A"/>
    <w:rsid w:val="003A157B"/>
    <w:rsid w:val="003A1B36"/>
    <w:rsid w:val="003A1C36"/>
    <w:rsid w:val="003A2464"/>
    <w:rsid w:val="003A256B"/>
    <w:rsid w:val="003A2B38"/>
    <w:rsid w:val="003A2D6B"/>
    <w:rsid w:val="003A2E9E"/>
    <w:rsid w:val="003A300C"/>
    <w:rsid w:val="003A3C43"/>
    <w:rsid w:val="003A3C50"/>
    <w:rsid w:val="003A3CBC"/>
    <w:rsid w:val="003A3EF7"/>
    <w:rsid w:val="003A438A"/>
    <w:rsid w:val="003A43CA"/>
    <w:rsid w:val="003A491A"/>
    <w:rsid w:val="003A52F3"/>
    <w:rsid w:val="003A5A1E"/>
    <w:rsid w:val="003A5FE8"/>
    <w:rsid w:val="003A6376"/>
    <w:rsid w:val="003A644A"/>
    <w:rsid w:val="003A644B"/>
    <w:rsid w:val="003A6E12"/>
    <w:rsid w:val="003B00E4"/>
    <w:rsid w:val="003B0C7E"/>
    <w:rsid w:val="003B0D69"/>
    <w:rsid w:val="003B0E88"/>
    <w:rsid w:val="003B0F10"/>
    <w:rsid w:val="003B1454"/>
    <w:rsid w:val="003B18B6"/>
    <w:rsid w:val="003B1967"/>
    <w:rsid w:val="003B19CC"/>
    <w:rsid w:val="003B1E91"/>
    <w:rsid w:val="003B22EF"/>
    <w:rsid w:val="003B25F7"/>
    <w:rsid w:val="003B263D"/>
    <w:rsid w:val="003B28FC"/>
    <w:rsid w:val="003B2E1C"/>
    <w:rsid w:val="003B2F73"/>
    <w:rsid w:val="003B396B"/>
    <w:rsid w:val="003B3BF2"/>
    <w:rsid w:val="003B4054"/>
    <w:rsid w:val="003B4245"/>
    <w:rsid w:val="003B4749"/>
    <w:rsid w:val="003B47F6"/>
    <w:rsid w:val="003B51FA"/>
    <w:rsid w:val="003B561D"/>
    <w:rsid w:val="003B563C"/>
    <w:rsid w:val="003B597A"/>
    <w:rsid w:val="003B637A"/>
    <w:rsid w:val="003B67F4"/>
    <w:rsid w:val="003B682E"/>
    <w:rsid w:val="003B6914"/>
    <w:rsid w:val="003B6933"/>
    <w:rsid w:val="003B6AEC"/>
    <w:rsid w:val="003B73F9"/>
    <w:rsid w:val="003B7C89"/>
    <w:rsid w:val="003B7D9C"/>
    <w:rsid w:val="003B7FED"/>
    <w:rsid w:val="003C0B60"/>
    <w:rsid w:val="003C110D"/>
    <w:rsid w:val="003C15F0"/>
    <w:rsid w:val="003C2814"/>
    <w:rsid w:val="003C3090"/>
    <w:rsid w:val="003C3159"/>
    <w:rsid w:val="003C3247"/>
    <w:rsid w:val="003C3363"/>
    <w:rsid w:val="003C34C5"/>
    <w:rsid w:val="003C3830"/>
    <w:rsid w:val="003C3B41"/>
    <w:rsid w:val="003C3CE3"/>
    <w:rsid w:val="003C4185"/>
    <w:rsid w:val="003C422D"/>
    <w:rsid w:val="003C4D42"/>
    <w:rsid w:val="003C59E0"/>
    <w:rsid w:val="003C6841"/>
    <w:rsid w:val="003C6926"/>
    <w:rsid w:val="003C6C8D"/>
    <w:rsid w:val="003C7154"/>
    <w:rsid w:val="003C72A9"/>
    <w:rsid w:val="003C75AD"/>
    <w:rsid w:val="003C75E9"/>
    <w:rsid w:val="003C7F0E"/>
    <w:rsid w:val="003D0663"/>
    <w:rsid w:val="003D0B88"/>
    <w:rsid w:val="003D0E4C"/>
    <w:rsid w:val="003D10F7"/>
    <w:rsid w:val="003D124A"/>
    <w:rsid w:val="003D143F"/>
    <w:rsid w:val="003D194C"/>
    <w:rsid w:val="003D1A91"/>
    <w:rsid w:val="003D1AD4"/>
    <w:rsid w:val="003D1B04"/>
    <w:rsid w:val="003D1BBF"/>
    <w:rsid w:val="003D1CDF"/>
    <w:rsid w:val="003D1EE8"/>
    <w:rsid w:val="003D2147"/>
    <w:rsid w:val="003D23E1"/>
    <w:rsid w:val="003D26AB"/>
    <w:rsid w:val="003D27C7"/>
    <w:rsid w:val="003D294E"/>
    <w:rsid w:val="003D2982"/>
    <w:rsid w:val="003D2CBE"/>
    <w:rsid w:val="003D32F6"/>
    <w:rsid w:val="003D3968"/>
    <w:rsid w:val="003D3F51"/>
    <w:rsid w:val="003D4337"/>
    <w:rsid w:val="003D443E"/>
    <w:rsid w:val="003D4727"/>
    <w:rsid w:val="003D4AFD"/>
    <w:rsid w:val="003D4F3D"/>
    <w:rsid w:val="003D4F95"/>
    <w:rsid w:val="003D4FAB"/>
    <w:rsid w:val="003D5013"/>
    <w:rsid w:val="003D5341"/>
    <w:rsid w:val="003D5A9A"/>
    <w:rsid w:val="003D5CA8"/>
    <w:rsid w:val="003D5F42"/>
    <w:rsid w:val="003D5FE5"/>
    <w:rsid w:val="003D60A9"/>
    <w:rsid w:val="003D65E7"/>
    <w:rsid w:val="003D6808"/>
    <w:rsid w:val="003D6841"/>
    <w:rsid w:val="003D68AA"/>
    <w:rsid w:val="003D6A9F"/>
    <w:rsid w:val="003D6AE2"/>
    <w:rsid w:val="003D6BB6"/>
    <w:rsid w:val="003D719E"/>
    <w:rsid w:val="003D73B8"/>
    <w:rsid w:val="003D7ADF"/>
    <w:rsid w:val="003D7CAB"/>
    <w:rsid w:val="003E046B"/>
    <w:rsid w:val="003E0D91"/>
    <w:rsid w:val="003E189C"/>
    <w:rsid w:val="003E259C"/>
    <w:rsid w:val="003E268B"/>
    <w:rsid w:val="003E2F42"/>
    <w:rsid w:val="003E329A"/>
    <w:rsid w:val="003E355E"/>
    <w:rsid w:val="003E37C7"/>
    <w:rsid w:val="003E400F"/>
    <w:rsid w:val="003E460B"/>
    <w:rsid w:val="003E5365"/>
    <w:rsid w:val="003E5B57"/>
    <w:rsid w:val="003E5C5D"/>
    <w:rsid w:val="003E5D0E"/>
    <w:rsid w:val="003E613A"/>
    <w:rsid w:val="003E61AE"/>
    <w:rsid w:val="003E6538"/>
    <w:rsid w:val="003E68BA"/>
    <w:rsid w:val="003E6C7F"/>
    <w:rsid w:val="003E6E2A"/>
    <w:rsid w:val="003E6F36"/>
    <w:rsid w:val="003E7587"/>
    <w:rsid w:val="003E7944"/>
    <w:rsid w:val="003F016C"/>
    <w:rsid w:val="003F04A6"/>
    <w:rsid w:val="003F050C"/>
    <w:rsid w:val="003F0827"/>
    <w:rsid w:val="003F0883"/>
    <w:rsid w:val="003F0BD4"/>
    <w:rsid w:val="003F0D7F"/>
    <w:rsid w:val="003F12FC"/>
    <w:rsid w:val="003F192B"/>
    <w:rsid w:val="003F1A28"/>
    <w:rsid w:val="003F208F"/>
    <w:rsid w:val="003F21F2"/>
    <w:rsid w:val="003F23F0"/>
    <w:rsid w:val="003F2CCD"/>
    <w:rsid w:val="003F3484"/>
    <w:rsid w:val="003F34FA"/>
    <w:rsid w:val="003F356C"/>
    <w:rsid w:val="003F46CC"/>
    <w:rsid w:val="003F4C97"/>
    <w:rsid w:val="003F5387"/>
    <w:rsid w:val="003F553E"/>
    <w:rsid w:val="003F5924"/>
    <w:rsid w:val="003F5B51"/>
    <w:rsid w:val="003F5C6E"/>
    <w:rsid w:val="003F5E54"/>
    <w:rsid w:val="003F60D6"/>
    <w:rsid w:val="003F62B2"/>
    <w:rsid w:val="003F6677"/>
    <w:rsid w:val="003F6699"/>
    <w:rsid w:val="003F66D2"/>
    <w:rsid w:val="003F6D20"/>
    <w:rsid w:val="003F6D3C"/>
    <w:rsid w:val="003F706F"/>
    <w:rsid w:val="003F70BC"/>
    <w:rsid w:val="003F7200"/>
    <w:rsid w:val="003F7237"/>
    <w:rsid w:val="003F73A0"/>
    <w:rsid w:val="003F74CD"/>
    <w:rsid w:val="003F758C"/>
    <w:rsid w:val="003F7B11"/>
    <w:rsid w:val="003F7BB0"/>
    <w:rsid w:val="003F7FE6"/>
    <w:rsid w:val="00400193"/>
    <w:rsid w:val="004001D6"/>
    <w:rsid w:val="00400408"/>
    <w:rsid w:val="00400568"/>
    <w:rsid w:val="0040075E"/>
    <w:rsid w:val="00400C3E"/>
    <w:rsid w:val="004013D3"/>
    <w:rsid w:val="00401552"/>
    <w:rsid w:val="0040155B"/>
    <w:rsid w:val="00401561"/>
    <w:rsid w:val="00401597"/>
    <w:rsid w:val="0040176C"/>
    <w:rsid w:val="004022F4"/>
    <w:rsid w:val="00402B70"/>
    <w:rsid w:val="00402D01"/>
    <w:rsid w:val="00403401"/>
    <w:rsid w:val="00403655"/>
    <w:rsid w:val="004039B7"/>
    <w:rsid w:val="00403A95"/>
    <w:rsid w:val="00403FBE"/>
    <w:rsid w:val="00403FED"/>
    <w:rsid w:val="00404109"/>
    <w:rsid w:val="00404310"/>
    <w:rsid w:val="004046DE"/>
    <w:rsid w:val="004047DC"/>
    <w:rsid w:val="00404AE4"/>
    <w:rsid w:val="004059EE"/>
    <w:rsid w:val="0040602D"/>
    <w:rsid w:val="004062D0"/>
    <w:rsid w:val="00406831"/>
    <w:rsid w:val="00406972"/>
    <w:rsid w:val="00406B34"/>
    <w:rsid w:val="00406D8E"/>
    <w:rsid w:val="00406FEA"/>
    <w:rsid w:val="00406FEF"/>
    <w:rsid w:val="004105A5"/>
    <w:rsid w:val="00410783"/>
    <w:rsid w:val="00410AC0"/>
    <w:rsid w:val="00410B64"/>
    <w:rsid w:val="00410D01"/>
    <w:rsid w:val="00410D08"/>
    <w:rsid w:val="00411170"/>
    <w:rsid w:val="004118EF"/>
    <w:rsid w:val="0041198A"/>
    <w:rsid w:val="00411C95"/>
    <w:rsid w:val="00411D1D"/>
    <w:rsid w:val="00411F4F"/>
    <w:rsid w:val="00412070"/>
    <w:rsid w:val="004129D8"/>
    <w:rsid w:val="00412B58"/>
    <w:rsid w:val="00412DD9"/>
    <w:rsid w:val="00412FCA"/>
    <w:rsid w:val="004134C0"/>
    <w:rsid w:val="004137C3"/>
    <w:rsid w:val="004139C7"/>
    <w:rsid w:val="00413C85"/>
    <w:rsid w:val="00413D17"/>
    <w:rsid w:val="00413D22"/>
    <w:rsid w:val="00413FED"/>
    <w:rsid w:val="00414061"/>
    <w:rsid w:val="004144FA"/>
    <w:rsid w:val="00414961"/>
    <w:rsid w:val="00414AF3"/>
    <w:rsid w:val="00415034"/>
    <w:rsid w:val="00415859"/>
    <w:rsid w:val="00416074"/>
    <w:rsid w:val="0041613F"/>
    <w:rsid w:val="0041642A"/>
    <w:rsid w:val="004166BE"/>
    <w:rsid w:val="00416F79"/>
    <w:rsid w:val="00417302"/>
    <w:rsid w:val="004174A6"/>
    <w:rsid w:val="0041751D"/>
    <w:rsid w:val="0041763C"/>
    <w:rsid w:val="00417721"/>
    <w:rsid w:val="00417878"/>
    <w:rsid w:val="00417CCB"/>
    <w:rsid w:val="00417D81"/>
    <w:rsid w:val="00417D88"/>
    <w:rsid w:val="004201D4"/>
    <w:rsid w:val="004202B6"/>
    <w:rsid w:val="00420644"/>
    <w:rsid w:val="00420AD5"/>
    <w:rsid w:val="00421127"/>
    <w:rsid w:val="004212E7"/>
    <w:rsid w:val="004214FF"/>
    <w:rsid w:val="00421679"/>
    <w:rsid w:val="00421A21"/>
    <w:rsid w:val="00421E1B"/>
    <w:rsid w:val="004220E1"/>
    <w:rsid w:val="00422470"/>
    <w:rsid w:val="0042281A"/>
    <w:rsid w:val="00422A8B"/>
    <w:rsid w:val="00422CB8"/>
    <w:rsid w:val="00423011"/>
    <w:rsid w:val="00423071"/>
    <w:rsid w:val="00423D9E"/>
    <w:rsid w:val="00423ED1"/>
    <w:rsid w:val="00423F58"/>
    <w:rsid w:val="00424029"/>
    <w:rsid w:val="004240F4"/>
    <w:rsid w:val="00424219"/>
    <w:rsid w:val="0042446D"/>
    <w:rsid w:val="00425189"/>
    <w:rsid w:val="00425AFD"/>
    <w:rsid w:val="00425FF1"/>
    <w:rsid w:val="004262BE"/>
    <w:rsid w:val="0042652B"/>
    <w:rsid w:val="004266F4"/>
    <w:rsid w:val="00426793"/>
    <w:rsid w:val="00426BB2"/>
    <w:rsid w:val="00426C57"/>
    <w:rsid w:val="004277D4"/>
    <w:rsid w:val="004278F3"/>
    <w:rsid w:val="00427BF8"/>
    <w:rsid w:val="00427C53"/>
    <w:rsid w:val="00427DA3"/>
    <w:rsid w:val="00427F00"/>
    <w:rsid w:val="00430398"/>
    <w:rsid w:val="00430550"/>
    <w:rsid w:val="00430847"/>
    <w:rsid w:val="00430889"/>
    <w:rsid w:val="0043190B"/>
    <w:rsid w:val="00431BE0"/>
    <w:rsid w:val="00431C02"/>
    <w:rsid w:val="00432806"/>
    <w:rsid w:val="004329EC"/>
    <w:rsid w:val="00433811"/>
    <w:rsid w:val="00433C21"/>
    <w:rsid w:val="00433CA5"/>
    <w:rsid w:val="00433DC7"/>
    <w:rsid w:val="00433EB0"/>
    <w:rsid w:val="00434052"/>
    <w:rsid w:val="004341F2"/>
    <w:rsid w:val="004344BD"/>
    <w:rsid w:val="00434E3C"/>
    <w:rsid w:val="00434F39"/>
    <w:rsid w:val="00434FB8"/>
    <w:rsid w:val="00435090"/>
    <w:rsid w:val="004371E6"/>
    <w:rsid w:val="00437395"/>
    <w:rsid w:val="00437539"/>
    <w:rsid w:val="00437C89"/>
    <w:rsid w:val="00437D75"/>
    <w:rsid w:val="00437FDD"/>
    <w:rsid w:val="00440982"/>
    <w:rsid w:val="004412E3"/>
    <w:rsid w:val="004414D1"/>
    <w:rsid w:val="0044181F"/>
    <w:rsid w:val="00441CE0"/>
    <w:rsid w:val="004424D0"/>
    <w:rsid w:val="00442664"/>
    <w:rsid w:val="00442698"/>
    <w:rsid w:val="00442E6B"/>
    <w:rsid w:val="00443D58"/>
    <w:rsid w:val="004443CE"/>
    <w:rsid w:val="004444E4"/>
    <w:rsid w:val="004445EE"/>
    <w:rsid w:val="00444C80"/>
    <w:rsid w:val="00445047"/>
    <w:rsid w:val="004450CF"/>
    <w:rsid w:val="004450F5"/>
    <w:rsid w:val="00445240"/>
    <w:rsid w:val="00445242"/>
    <w:rsid w:val="004454A7"/>
    <w:rsid w:val="0044643D"/>
    <w:rsid w:val="004475A5"/>
    <w:rsid w:val="00447BA1"/>
    <w:rsid w:val="00447E54"/>
    <w:rsid w:val="00447F58"/>
    <w:rsid w:val="00450045"/>
    <w:rsid w:val="00450A4C"/>
    <w:rsid w:val="00450B36"/>
    <w:rsid w:val="00450D61"/>
    <w:rsid w:val="004512EF"/>
    <w:rsid w:val="00451635"/>
    <w:rsid w:val="004517F7"/>
    <w:rsid w:val="00451855"/>
    <w:rsid w:val="00451C56"/>
    <w:rsid w:val="00451EDD"/>
    <w:rsid w:val="00452101"/>
    <w:rsid w:val="0045273B"/>
    <w:rsid w:val="0045329A"/>
    <w:rsid w:val="0045332B"/>
    <w:rsid w:val="0045368B"/>
    <w:rsid w:val="0045371A"/>
    <w:rsid w:val="00453915"/>
    <w:rsid w:val="004539D3"/>
    <w:rsid w:val="00453AAB"/>
    <w:rsid w:val="0045433E"/>
    <w:rsid w:val="00454484"/>
    <w:rsid w:val="0045467E"/>
    <w:rsid w:val="0045474A"/>
    <w:rsid w:val="004547C5"/>
    <w:rsid w:val="00455BAF"/>
    <w:rsid w:val="00455DDF"/>
    <w:rsid w:val="004572DE"/>
    <w:rsid w:val="004573B9"/>
    <w:rsid w:val="0045775F"/>
    <w:rsid w:val="00457974"/>
    <w:rsid w:val="00457BA9"/>
    <w:rsid w:val="00457CE7"/>
    <w:rsid w:val="00457D7B"/>
    <w:rsid w:val="004602F0"/>
    <w:rsid w:val="004609FF"/>
    <w:rsid w:val="00460E5D"/>
    <w:rsid w:val="00461247"/>
    <w:rsid w:val="004612E5"/>
    <w:rsid w:val="00461DE7"/>
    <w:rsid w:val="00461E78"/>
    <w:rsid w:val="00462663"/>
    <w:rsid w:val="004630CA"/>
    <w:rsid w:val="0046344E"/>
    <w:rsid w:val="004634F0"/>
    <w:rsid w:val="00463618"/>
    <w:rsid w:val="00463E39"/>
    <w:rsid w:val="0046468F"/>
    <w:rsid w:val="004649B7"/>
    <w:rsid w:val="00464A91"/>
    <w:rsid w:val="00464AB2"/>
    <w:rsid w:val="00464D71"/>
    <w:rsid w:val="004657FC"/>
    <w:rsid w:val="004658DB"/>
    <w:rsid w:val="00465B40"/>
    <w:rsid w:val="00465C71"/>
    <w:rsid w:val="004669B0"/>
    <w:rsid w:val="00466A07"/>
    <w:rsid w:val="00466C59"/>
    <w:rsid w:val="0046740A"/>
    <w:rsid w:val="004675BB"/>
    <w:rsid w:val="00467C98"/>
    <w:rsid w:val="00467D1A"/>
    <w:rsid w:val="00467FFE"/>
    <w:rsid w:val="0047031B"/>
    <w:rsid w:val="004703CB"/>
    <w:rsid w:val="0047061C"/>
    <w:rsid w:val="00470C28"/>
    <w:rsid w:val="004718AC"/>
    <w:rsid w:val="00471A07"/>
    <w:rsid w:val="00472EE0"/>
    <w:rsid w:val="0047328E"/>
    <w:rsid w:val="004732A1"/>
    <w:rsid w:val="004733E8"/>
    <w:rsid w:val="004733F6"/>
    <w:rsid w:val="004749CA"/>
    <w:rsid w:val="00474C1A"/>
    <w:rsid w:val="00474E69"/>
    <w:rsid w:val="00475536"/>
    <w:rsid w:val="004756B3"/>
    <w:rsid w:val="00475819"/>
    <w:rsid w:val="00475BFE"/>
    <w:rsid w:val="004760BF"/>
    <w:rsid w:val="00476135"/>
    <w:rsid w:val="004762DE"/>
    <w:rsid w:val="00476DCB"/>
    <w:rsid w:val="00476DF2"/>
    <w:rsid w:val="004772BE"/>
    <w:rsid w:val="00477345"/>
    <w:rsid w:val="00477474"/>
    <w:rsid w:val="0047755C"/>
    <w:rsid w:val="00477B2F"/>
    <w:rsid w:val="00477E80"/>
    <w:rsid w:val="00480613"/>
    <w:rsid w:val="004809F8"/>
    <w:rsid w:val="00480FCE"/>
    <w:rsid w:val="00481EC5"/>
    <w:rsid w:val="00482757"/>
    <w:rsid w:val="00482AF4"/>
    <w:rsid w:val="00482DA5"/>
    <w:rsid w:val="004832E8"/>
    <w:rsid w:val="00484384"/>
    <w:rsid w:val="00484427"/>
    <w:rsid w:val="00484447"/>
    <w:rsid w:val="00484646"/>
    <w:rsid w:val="0048479D"/>
    <w:rsid w:val="00484ADC"/>
    <w:rsid w:val="00484B40"/>
    <w:rsid w:val="0048506F"/>
    <w:rsid w:val="0048584D"/>
    <w:rsid w:val="00485887"/>
    <w:rsid w:val="00485AEA"/>
    <w:rsid w:val="00485B21"/>
    <w:rsid w:val="00485D5C"/>
    <w:rsid w:val="00485F5E"/>
    <w:rsid w:val="0048605A"/>
    <w:rsid w:val="0048638C"/>
    <w:rsid w:val="00486535"/>
    <w:rsid w:val="00487D5D"/>
    <w:rsid w:val="00490156"/>
    <w:rsid w:val="004913CB"/>
    <w:rsid w:val="00491F05"/>
    <w:rsid w:val="004923A9"/>
    <w:rsid w:val="00492526"/>
    <w:rsid w:val="004926AF"/>
    <w:rsid w:val="004927F0"/>
    <w:rsid w:val="00492957"/>
    <w:rsid w:val="00492BA2"/>
    <w:rsid w:val="004936A2"/>
    <w:rsid w:val="00493788"/>
    <w:rsid w:val="004943D4"/>
    <w:rsid w:val="00494487"/>
    <w:rsid w:val="004948A7"/>
    <w:rsid w:val="00494943"/>
    <w:rsid w:val="00494CCC"/>
    <w:rsid w:val="00494D36"/>
    <w:rsid w:val="00494E13"/>
    <w:rsid w:val="0049532C"/>
    <w:rsid w:val="00495760"/>
    <w:rsid w:val="004957AC"/>
    <w:rsid w:val="00495A25"/>
    <w:rsid w:val="00495E7E"/>
    <w:rsid w:val="004960E6"/>
    <w:rsid w:val="0049621B"/>
    <w:rsid w:val="004968E1"/>
    <w:rsid w:val="00496A63"/>
    <w:rsid w:val="00496F51"/>
    <w:rsid w:val="00496FDF"/>
    <w:rsid w:val="004975C5"/>
    <w:rsid w:val="00497980"/>
    <w:rsid w:val="00497E72"/>
    <w:rsid w:val="004A042B"/>
    <w:rsid w:val="004A0874"/>
    <w:rsid w:val="004A09A8"/>
    <w:rsid w:val="004A190B"/>
    <w:rsid w:val="004A271C"/>
    <w:rsid w:val="004A2735"/>
    <w:rsid w:val="004A287A"/>
    <w:rsid w:val="004A2C43"/>
    <w:rsid w:val="004A3740"/>
    <w:rsid w:val="004A3E33"/>
    <w:rsid w:val="004A40C8"/>
    <w:rsid w:val="004A4CC9"/>
    <w:rsid w:val="004A4D31"/>
    <w:rsid w:val="004A4DAC"/>
    <w:rsid w:val="004A4F70"/>
    <w:rsid w:val="004A4FAE"/>
    <w:rsid w:val="004A55E1"/>
    <w:rsid w:val="004A5C2E"/>
    <w:rsid w:val="004A668E"/>
    <w:rsid w:val="004A66CF"/>
    <w:rsid w:val="004A67AE"/>
    <w:rsid w:val="004A6B8B"/>
    <w:rsid w:val="004A6DC8"/>
    <w:rsid w:val="004A6F06"/>
    <w:rsid w:val="004A723D"/>
    <w:rsid w:val="004A72DD"/>
    <w:rsid w:val="004A780C"/>
    <w:rsid w:val="004A7D56"/>
    <w:rsid w:val="004A7EE1"/>
    <w:rsid w:val="004A7FEA"/>
    <w:rsid w:val="004B00E8"/>
    <w:rsid w:val="004B04D4"/>
    <w:rsid w:val="004B06C4"/>
    <w:rsid w:val="004B10CE"/>
    <w:rsid w:val="004B1467"/>
    <w:rsid w:val="004B19EA"/>
    <w:rsid w:val="004B23D6"/>
    <w:rsid w:val="004B2462"/>
    <w:rsid w:val="004B2507"/>
    <w:rsid w:val="004B27C1"/>
    <w:rsid w:val="004B295B"/>
    <w:rsid w:val="004B29BF"/>
    <w:rsid w:val="004B2BCD"/>
    <w:rsid w:val="004B2D94"/>
    <w:rsid w:val="004B2F07"/>
    <w:rsid w:val="004B2FFF"/>
    <w:rsid w:val="004B3B93"/>
    <w:rsid w:val="004B40EC"/>
    <w:rsid w:val="004B455D"/>
    <w:rsid w:val="004B45E0"/>
    <w:rsid w:val="004B58CF"/>
    <w:rsid w:val="004B59FC"/>
    <w:rsid w:val="004B5C0C"/>
    <w:rsid w:val="004B67D0"/>
    <w:rsid w:val="004B6ADD"/>
    <w:rsid w:val="004B6AEF"/>
    <w:rsid w:val="004B6D34"/>
    <w:rsid w:val="004B72E9"/>
    <w:rsid w:val="004B740A"/>
    <w:rsid w:val="004B7797"/>
    <w:rsid w:val="004B7A83"/>
    <w:rsid w:val="004C0DC8"/>
    <w:rsid w:val="004C128E"/>
    <w:rsid w:val="004C138D"/>
    <w:rsid w:val="004C14E8"/>
    <w:rsid w:val="004C1816"/>
    <w:rsid w:val="004C1895"/>
    <w:rsid w:val="004C1DF7"/>
    <w:rsid w:val="004C1FDC"/>
    <w:rsid w:val="004C3C80"/>
    <w:rsid w:val="004C4110"/>
    <w:rsid w:val="004C4FD8"/>
    <w:rsid w:val="004C5391"/>
    <w:rsid w:val="004C5B94"/>
    <w:rsid w:val="004C5C55"/>
    <w:rsid w:val="004C5ED2"/>
    <w:rsid w:val="004C5F45"/>
    <w:rsid w:val="004C6175"/>
    <w:rsid w:val="004C6301"/>
    <w:rsid w:val="004C6D40"/>
    <w:rsid w:val="004C7183"/>
    <w:rsid w:val="004C72E5"/>
    <w:rsid w:val="004C74B8"/>
    <w:rsid w:val="004C74DE"/>
    <w:rsid w:val="004C7646"/>
    <w:rsid w:val="004C77F5"/>
    <w:rsid w:val="004C7A7A"/>
    <w:rsid w:val="004C7D5E"/>
    <w:rsid w:val="004C7E40"/>
    <w:rsid w:val="004D00E2"/>
    <w:rsid w:val="004D01E7"/>
    <w:rsid w:val="004D04D1"/>
    <w:rsid w:val="004D0BAE"/>
    <w:rsid w:val="004D0CFE"/>
    <w:rsid w:val="004D0D11"/>
    <w:rsid w:val="004D0EEC"/>
    <w:rsid w:val="004D0FE9"/>
    <w:rsid w:val="004D121F"/>
    <w:rsid w:val="004D1271"/>
    <w:rsid w:val="004D1670"/>
    <w:rsid w:val="004D1753"/>
    <w:rsid w:val="004D1847"/>
    <w:rsid w:val="004D1F1E"/>
    <w:rsid w:val="004D2107"/>
    <w:rsid w:val="004D2155"/>
    <w:rsid w:val="004D218E"/>
    <w:rsid w:val="004D24AC"/>
    <w:rsid w:val="004D2C88"/>
    <w:rsid w:val="004D2D7F"/>
    <w:rsid w:val="004D3206"/>
    <w:rsid w:val="004D33DC"/>
    <w:rsid w:val="004D3FE0"/>
    <w:rsid w:val="004D45F9"/>
    <w:rsid w:val="004D4B45"/>
    <w:rsid w:val="004D505B"/>
    <w:rsid w:val="004D5236"/>
    <w:rsid w:val="004D5DEB"/>
    <w:rsid w:val="004D5E88"/>
    <w:rsid w:val="004D6181"/>
    <w:rsid w:val="004D619F"/>
    <w:rsid w:val="004D65FF"/>
    <w:rsid w:val="004D67DD"/>
    <w:rsid w:val="004D6898"/>
    <w:rsid w:val="004D724A"/>
    <w:rsid w:val="004D737C"/>
    <w:rsid w:val="004D78CA"/>
    <w:rsid w:val="004D7BAD"/>
    <w:rsid w:val="004D7C05"/>
    <w:rsid w:val="004E06F3"/>
    <w:rsid w:val="004E0D22"/>
    <w:rsid w:val="004E0E83"/>
    <w:rsid w:val="004E152E"/>
    <w:rsid w:val="004E15B4"/>
    <w:rsid w:val="004E1B2B"/>
    <w:rsid w:val="004E1C8F"/>
    <w:rsid w:val="004E1E4C"/>
    <w:rsid w:val="004E200A"/>
    <w:rsid w:val="004E24AE"/>
    <w:rsid w:val="004E24B1"/>
    <w:rsid w:val="004E2542"/>
    <w:rsid w:val="004E2A97"/>
    <w:rsid w:val="004E2C1C"/>
    <w:rsid w:val="004E2CB3"/>
    <w:rsid w:val="004E34C4"/>
    <w:rsid w:val="004E34DE"/>
    <w:rsid w:val="004E352F"/>
    <w:rsid w:val="004E35E3"/>
    <w:rsid w:val="004E38B3"/>
    <w:rsid w:val="004E3F8D"/>
    <w:rsid w:val="004E405C"/>
    <w:rsid w:val="004E4191"/>
    <w:rsid w:val="004E43C5"/>
    <w:rsid w:val="004E5131"/>
    <w:rsid w:val="004E54FA"/>
    <w:rsid w:val="004E5DE9"/>
    <w:rsid w:val="004E5EBD"/>
    <w:rsid w:val="004E61BF"/>
    <w:rsid w:val="004E62BB"/>
    <w:rsid w:val="004E62CE"/>
    <w:rsid w:val="004E6529"/>
    <w:rsid w:val="004E6E27"/>
    <w:rsid w:val="004E73B9"/>
    <w:rsid w:val="004E746D"/>
    <w:rsid w:val="004E747F"/>
    <w:rsid w:val="004E7B4A"/>
    <w:rsid w:val="004F0AC0"/>
    <w:rsid w:val="004F0BBD"/>
    <w:rsid w:val="004F0C3C"/>
    <w:rsid w:val="004F0FB7"/>
    <w:rsid w:val="004F147A"/>
    <w:rsid w:val="004F14BB"/>
    <w:rsid w:val="004F1987"/>
    <w:rsid w:val="004F19E0"/>
    <w:rsid w:val="004F1C44"/>
    <w:rsid w:val="004F1F2A"/>
    <w:rsid w:val="004F2631"/>
    <w:rsid w:val="004F2B31"/>
    <w:rsid w:val="004F354E"/>
    <w:rsid w:val="004F479B"/>
    <w:rsid w:val="004F4829"/>
    <w:rsid w:val="004F5801"/>
    <w:rsid w:val="004F588D"/>
    <w:rsid w:val="004F5AB2"/>
    <w:rsid w:val="004F63FC"/>
    <w:rsid w:val="004F65BF"/>
    <w:rsid w:val="004F665E"/>
    <w:rsid w:val="004F727F"/>
    <w:rsid w:val="004F7949"/>
    <w:rsid w:val="004F79BC"/>
    <w:rsid w:val="004F7D38"/>
    <w:rsid w:val="004F7DEC"/>
    <w:rsid w:val="00500A68"/>
    <w:rsid w:val="005015B8"/>
    <w:rsid w:val="00501781"/>
    <w:rsid w:val="00501CED"/>
    <w:rsid w:val="00501DCA"/>
    <w:rsid w:val="00501EDB"/>
    <w:rsid w:val="00502093"/>
    <w:rsid w:val="00502310"/>
    <w:rsid w:val="0050238F"/>
    <w:rsid w:val="005026AF"/>
    <w:rsid w:val="00503836"/>
    <w:rsid w:val="00503912"/>
    <w:rsid w:val="00503994"/>
    <w:rsid w:val="00503E5E"/>
    <w:rsid w:val="005040B9"/>
    <w:rsid w:val="00504100"/>
    <w:rsid w:val="005042AA"/>
    <w:rsid w:val="005044C6"/>
    <w:rsid w:val="00504D57"/>
    <w:rsid w:val="00504E58"/>
    <w:rsid w:val="00505167"/>
    <w:rsid w:val="00505A92"/>
    <w:rsid w:val="00506192"/>
    <w:rsid w:val="005061F1"/>
    <w:rsid w:val="005062A2"/>
    <w:rsid w:val="00506330"/>
    <w:rsid w:val="00506351"/>
    <w:rsid w:val="00506389"/>
    <w:rsid w:val="00506E9C"/>
    <w:rsid w:val="00507114"/>
    <w:rsid w:val="005071C1"/>
    <w:rsid w:val="005073ED"/>
    <w:rsid w:val="00507613"/>
    <w:rsid w:val="005078B7"/>
    <w:rsid w:val="005101FE"/>
    <w:rsid w:val="00510AA3"/>
    <w:rsid w:val="00510FC4"/>
    <w:rsid w:val="00511043"/>
    <w:rsid w:val="005113BA"/>
    <w:rsid w:val="005114DA"/>
    <w:rsid w:val="005115EA"/>
    <w:rsid w:val="00511B43"/>
    <w:rsid w:val="00511C84"/>
    <w:rsid w:val="00511CF8"/>
    <w:rsid w:val="0051283C"/>
    <w:rsid w:val="0051286E"/>
    <w:rsid w:val="00512B85"/>
    <w:rsid w:val="00513017"/>
    <w:rsid w:val="00513415"/>
    <w:rsid w:val="00513952"/>
    <w:rsid w:val="005139D4"/>
    <w:rsid w:val="00513B89"/>
    <w:rsid w:val="00513C5F"/>
    <w:rsid w:val="0051404C"/>
    <w:rsid w:val="0051454D"/>
    <w:rsid w:val="0051456D"/>
    <w:rsid w:val="005151CF"/>
    <w:rsid w:val="005152E7"/>
    <w:rsid w:val="005153D7"/>
    <w:rsid w:val="005160D3"/>
    <w:rsid w:val="0051689B"/>
    <w:rsid w:val="00516955"/>
    <w:rsid w:val="00516F25"/>
    <w:rsid w:val="0051737F"/>
    <w:rsid w:val="00517C22"/>
    <w:rsid w:val="00517D81"/>
    <w:rsid w:val="00520120"/>
    <w:rsid w:val="00520297"/>
    <w:rsid w:val="005203F1"/>
    <w:rsid w:val="00520AF7"/>
    <w:rsid w:val="00520B48"/>
    <w:rsid w:val="00520F0D"/>
    <w:rsid w:val="00521456"/>
    <w:rsid w:val="005215DE"/>
    <w:rsid w:val="00521BC3"/>
    <w:rsid w:val="00521D8D"/>
    <w:rsid w:val="00522008"/>
    <w:rsid w:val="00522098"/>
    <w:rsid w:val="005226B5"/>
    <w:rsid w:val="00522A85"/>
    <w:rsid w:val="00522B0B"/>
    <w:rsid w:val="00522B6E"/>
    <w:rsid w:val="00522C7E"/>
    <w:rsid w:val="00523059"/>
    <w:rsid w:val="005234AD"/>
    <w:rsid w:val="00523C73"/>
    <w:rsid w:val="005244E3"/>
    <w:rsid w:val="0052481E"/>
    <w:rsid w:val="0052482F"/>
    <w:rsid w:val="00524990"/>
    <w:rsid w:val="005249C4"/>
    <w:rsid w:val="00524D1B"/>
    <w:rsid w:val="00524E10"/>
    <w:rsid w:val="0052572C"/>
    <w:rsid w:val="00525C12"/>
    <w:rsid w:val="00525DB7"/>
    <w:rsid w:val="00526037"/>
    <w:rsid w:val="005261C3"/>
    <w:rsid w:val="00526508"/>
    <w:rsid w:val="005266F5"/>
    <w:rsid w:val="0052714C"/>
    <w:rsid w:val="005271BF"/>
    <w:rsid w:val="005274CB"/>
    <w:rsid w:val="00527539"/>
    <w:rsid w:val="00527774"/>
    <w:rsid w:val="005277AF"/>
    <w:rsid w:val="00527F76"/>
    <w:rsid w:val="005300A2"/>
    <w:rsid w:val="00530182"/>
    <w:rsid w:val="0053020D"/>
    <w:rsid w:val="0053078F"/>
    <w:rsid w:val="00530999"/>
    <w:rsid w:val="00530AE1"/>
    <w:rsid w:val="00530D58"/>
    <w:rsid w:val="00530E27"/>
    <w:rsid w:val="00531A34"/>
    <w:rsid w:val="00531B5C"/>
    <w:rsid w:val="00531B6E"/>
    <w:rsid w:val="00532795"/>
    <w:rsid w:val="00532999"/>
    <w:rsid w:val="00532B85"/>
    <w:rsid w:val="00532C69"/>
    <w:rsid w:val="00532CA3"/>
    <w:rsid w:val="005330B6"/>
    <w:rsid w:val="00533106"/>
    <w:rsid w:val="00533632"/>
    <w:rsid w:val="00533800"/>
    <w:rsid w:val="00533D0E"/>
    <w:rsid w:val="005348EA"/>
    <w:rsid w:val="00534D75"/>
    <w:rsid w:val="00534EAB"/>
    <w:rsid w:val="00534FAB"/>
    <w:rsid w:val="0053555B"/>
    <w:rsid w:val="005358FC"/>
    <w:rsid w:val="0053601D"/>
    <w:rsid w:val="005364D5"/>
    <w:rsid w:val="00536772"/>
    <w:rsid w:val="00536794"/>
    <w:rsid w:val="0053695E"/>
    <w:rsid w:val="00536CB4"/>
    <w:rsid w:val="005370E6"/>
    <w:rsid w:val="00537571"/>
    <w:rsid w:val="0053788F"/>
    <w:rsid w:val="00537991"/>
    <w:rsid w:val="00537B0C"/>
    <w:rsid w:val="00537CA8"/>
    <w:rsid w:val="0054021D"/>
    <w:rsid w:val="005408F3"/>
    <w:rsid w:val="00540FB4"/>
    <w:rsid w:val="00541E6E"/>
    <w:rsid w:val="0054226B"/>
    <w:rsid w:val="005422B8"/>
    <w:rsid w:val="0054251F"/>
    <w:rsid w:val="0054361A"/>
    <w:rsid w:val="00543885"/>
    <w:rsid w:val="00543B5D"/>
    <w:rsid w:val="00543D12"/>
    <w:rsid w:val="00543D4C"/>
    <w:rsid w:val="00543E32"/>
    <w:rsid w:val="005440CE"/>
    <w:rsid w:val="005441D9"/>
    <w:rsid w:val="005441FB"/>
    <w:rsid w:val="005443A9"/>
    <w:rsid w:val="00544654"/>
    <w:rsid w:val="0054468A"/>
    <w:rsid w:val="00544944"/>
    <w:rsid w:val="00544AD8"/>
    <w:rsid w:val="00544DF7"/>
    <w:rsid w:val="0054531E"/>
    <w:rsid w:val="00545404"/>
    <w:rsid w:val="00545B04"/>
    <w:rsid w:val="00545B69"/>
    <w:rsid w:val="00545FE5"/>
    <w:rsid w:val="00546140"/>
    <w:rsid w:val="005468CE"/>
    <w:rsid w:val="00546E95"/>
    <w:rsid w:val="00546FAE"/>
    <w:rsid w:val="00547121"/>
    <w:rsid w:val="00547367"/>
    <w:rsid w:val="00547676"/>
    <w:rsid w:val="00547BBC"/>
    <w:rsid w:val="00550B09"/>
    <w:rsid w:val="0055139C"/>
    <w:rsid w:val="005518A5"/>
    <w:rsid w:val="00551CCB"/>
    <w:rsid w:val="005520D8"/>
    <w:rsid w:val="00552262"/>
    <w:rsid w:val="005528D8"/>
    <w:rsid w:val="0055291F"/>
    <w:rsid w:val="00552D80"/>
    <w:rsid w:val="00553D49"/>
    <w:rsid w:val="00553EE7"/>
    <w:rsid w:val="005540B0"/>
    <w:rsid w:val="00554394"/>
    <w:rsid w:val="00555389"/>
    <w:rsid w:val="00555529"/>
    <w:rsid w:val="00555A60"/>
    <w:rsid w:val="00555A81"/>
    <w:rsid w:val="00556090"/>
    <w:rsid w:val="00556147"/>
    <w:rsid w:val="00556449"/>
    <w:rsid w:val="0055673B"/>
    <w:rsid w:val="00556CF1"/>
    <w:rsid w:val="00556F53"/>
    <w:rsid w:val="005600D9"/>
    <w:rsid w:val="00560202"/>
    <w:rsid w:val="00560474"/>
    <w:rsid w:val="0056095D"/>
    <w:rsid w:val="00560C17"/>
    <w:rsid w:val="005617E4"/>
    <w:rsid w:val="00561894"/>
    <w:rsid w:val="00561B0F"/>
    <w:rsid w:val="00561C7B"/>
    <w:rsid w:val="0056229B"/>
    <w:rsid w:val="0056239D"/>
    <w:rsid w:val="0056257B"/>
    <w:rsid w:val="00562714"/>
    <w:rsid w:val="00562B63"/>
    <w:rsid w:val="00562D25"/>
    <w:rsid w:val="005630C3"/>
    <w:rsid w:val="0056310E"/>
    <w:rsid w:val="00563209"/>
    <w:rsid w:val="005637C7"/>
    <w:rsid w:val="0056398B"/>
    <w:rsid w:val="00563B72"/>
    <w:rsid w:val="00563BC9"/>
    <w:rsid w:val="00563CE3"/>
    <w:rsid w:val="00563FA8"/>
    <w:rsid w:val="005641E0"/>
    <w:rsid w:val="00564742"/>
    <w:rsid w:val="005649C1"/>
    <w:rsid w:val="00564A8D"/>
    <w:rsid w:val="00564E1C"/>
    <w:rsid w:val="0056505F"/>
    <w:rsid w:val="005650A1"/>
    <w:rsid w:val="00565236"/>
    <w:rsid w:val="0056525E"/>
    <w:rsid w:val="0056559C"/>
    <w:rsid w:val="005657D5"/>
    <w:rsid w:val="00565A14"/>
    <w:rsid w:val="00565C54"/>
    <w:rsid w:val="00566406"/>
    <w:rsid w:val="00566920"/>
    <w:rsid w:val="00566BE3"/>
    <w:rsid w:val="0056729D"/>
    <w:rsid w:val="00567388"/>
    <w:rsid w:val="00567771"/>
    <w:rsid w:val="0056794A"/>
    <w:rsid w:val="00567C4D"/>
    <w:rsid w:val="00567FF8"/>
    <w:rsid w:val="00570022"/>
    <w:rsid w:val="005701A4"/>
    <w:rsid w:val="00570308"/>
    <w:rsid w:val="00570F52"/>
    <w:rsid w:val="00570F6C"/>
    <w:rsid w:val="00571186"/>
    <w:rsid w:val="005714E3"/>
    <w:rsid w:val="0057184E"/>
    <w:rsid w:val="005719BF"/>
    <w:rsid w:val="00571CE7"/>
    <w:rsid w:val="005722D6"/>
    <w:rsid w:val="005723C6"/>
    <w:rsid w:val="005723CE"/>
    <w:rsid w:val="0057261A"/>
    <w:rsid w:val="00572920"/>
    <w:rsid w:val="00572A17"/>
    <w:rsid w:val="00572AEF"/>
    <w:rsid w:val="00572DE6"/>
    <w:rsid w:val="0057335D"/>
    <w:rsid w:val="00573603"/>
    <w:rsid w:val="0057429C"/>
    <w:rsid w:val="00574356"/>
    <w:rsid w:val="00574AA7"/>
    <w:rsid w:val="00575027"/>
    <w:rsid w:val="00575415"/>
    <w:rsid w:val="0057550B"/>
    <w:rsid w:val="00575688"/>
    <w:rsid w:val="005759BB"/>
    <w:rsid w:val="005759D6"/>
    <w:rsid w:val="00575B6C"/>
    <w:rsid w:val="005762A7"/>
    <w:rsid w:val="00576599"/>
    <w:rsid w:val="00576ADD"/>
    <w:rsid w:val="005775DC"/>
    <w:rsid w:val="005776B2"/>
    <w:rsid w:val="00577A36"/>
    <w:rsid w:val="00577B34"/>
    <w:rsid w:val="00577CC6"/>
    <w:rsid w:val="0058013B"/>
    <w:rsid w:val="0058017E"/>
    <w:rsid w:val="00580871"/>
    <w:rsid w:val="0058096C"/>
    <w:rsid w:val="00580A17"/>
    <w:rsid w:val="00581218"/>
    <w:rsid w:val="00581E16"/>
    <w:rsid w:val="00582135"/>
    <w:rsid w:val="0058284C"/>
    <w:rsid w:val="00583392"/>
    <w:rsid w:val="0058371E"/>
    <w:rsid w:val="00583763"/>
    <w:rsid w:val="005837C3"/>
    <w:rsid w:val="005837D6"/>
    <w:rsid w:val="00583C35"/>
    <w:rsid w:val="00583CED"/>
    <w:rsid w:val="0058419D"/>
    <w:rsid w:val="00584272"/>
    <w:rsid w:val="00584849"/>
    <w:rsid w:val="0058498B"/>
    <w:rsid w:val="00584F37"/>
    <w:rsid w:val="00585089"/>
    <w:rsid w:val="005850D7"/>
    <w:rsid w:val="0058559C"/>
    <w:rsid w:val="005856F9"/>
    <w:rsid w:val="00585F9F"/>
    <w:rsid w:val="0058616C"/>
    <w:rsid w:val="00586632"/>
    <w:rsid w:val="00586E83"/>
    <w:rsid w:val="00587575"/>
    <w:rsid w:val="00587793"/>
    <w:rsid w:val="00587D44"/>
    <w:rsid w:val="00590DAE"/>
    <w:rsid w:val="005916D7"/>
    <w:rsid w:val="00591ADE"/>
    <w:rsid w:val="00591DA8"/>
    <w:rsid w:val="00591F6C"/>
    <w:rsid w:val="00592364"/>
    <w:rsid w:val="00592519"/>
    <w:rsid w:val="0059252B"/>
    <w:rsid w:val="0059266F"/>
    <w:rsid w:val="00593016"/>
    <w:rsid w:val="005932C5"/>
    <w:rsid w:val="00593D9B"/>
    <w:rsid w:val="00593E67"/>
    <w:rsid w:val="005943F7"/>
    <w:rsid w:val="00594663"/>
    <w:rsid w:val="0059468D"/>
    <w:rsid w:val="0059495B"/>
    <w:rsid w:val="00594A07"/>
    <w:rsid w:val="00594BF2"/>
    <w:rsid w:val="00594C4C"/>
    <w:rsid w:val="0059543A"/>
    <w:rsid w:val="005955F3"/>
    <w:rsid w:val="005957C3"/>
    <w:rsid w:val="005957D3"/>
    <w:rsid w:val="00595E5B"/>
    <w:rsid w:val="00595F80"/>
    <w:rsid w:val="00595FC8"/>
    <w:rsid w:val="00596024"/>
    <w:rsid w:val="0059620C"/>
    <w:rsid w:val="005967FF"/>
    <w:rsid w:val="00596C9B"/>
    <w:rsid w:val="005970C4"/>
    <w:rsid w:val="00597700"/>
    <w:rsid w:val="00597D0A"/>
    <w:rsid w:val="00597F05"/>
    <w:rsid w:val="005A001B"/>
    <w:rsid w:val="005A05DB"/>
    <w:rsid w:val="005A0BE9"/>
    <w:rsid w:val="005A19B5"/>
    <w:rsid w:val="005A1AFC"/>
    <w:rsid w:val="005A2654"/>
    <w:rsid w:val="005A2CE4"/>
    <w:rsid w:val="005A304D"/>
    <w:rsid w:val="005A3A01"/>
    <w:rsid w:val="005A3A30"/>
    <w:rsid w:val="005A3E67"/>
    <w:rsid w:val="005A438D"/>
    <w:rsid w:val="005A43C6"/>
    <w:rsid w:val="005A478A"/>
    <w:rsid w:val="005A525B"/>
    <w:rsid w:val="005A5A2D"/>
    <w:rsid w:val="005A5D06"/>
    <w:rsid w:val="005A63A1"/>
    <w:rsid w:val="005A698C"/>
    <w:rsid w:val="005A732F"/>
    <w:rsid w:val="005A7A22"/>
    <w:rsid w:val="005A7DB3"/>
    <w:rsid w:val="005B0021"/>
    <w:rsid w:val="005B0141"/>
    <w:rsid w:val="005B0566"/>
    <w:rsid w:val="005B09F1"/>
    <w:rsid w:val="005B0A1E"/>
    <w:rsid w:val="005B1318"/>
    <w:rsid w:val="005B1371"/>
    <w:rsid w:val="005B141B"/>
    <w:rsid w:val="005B219E"/>
    <w:rsid w:val="005B2295"/>
    <w:rsid w:val="005B2388"/>
    <w:rsid w:val="005B24BA"/>
    <w:rsid w:val="005B2728"/>
    <w:rsid w:val="005B29E6"/>
    <w:rsid w:val="005B2D41"/>
    <w:rsid w:val="005B3568"/>
    <w:rsid w:val="005B372D"/>
    <w:rsid w:val="005B380A"/>
    <w:rsid w:val="005B4112"/>
    <w:rsid w:val="005B4279"/>
    <w:rsid w:val="005B4A83"/>
    <w:rsid w:val="005B4CC0"/>
    <w:rsid w:val="005B4CD4"/>
    <w:rsid w:val="005B4D89"/>
    <w:rsid w:val="005B550D"/>
    <w:rsid w:val="005B5B5F"/>
    <w:rsid w:val="005B5F45"/>
    <w:rsid w:val="005B6AB8"/>
    <w:rsid w:val="005B6D80"/>
    <w:rsid w:val="005B7006"/>
    <w:rsid w:val="005B71B6"/>
    <w:rsid w:val="005B7496"/>
    <w:rsid w:val="005B791A"/>
    <w:rsid w:val="005B7A27"/>
    <w:rsid w:val="005B7C30"/>
    <w:rsid w:val="005B7CA7"/>
    <w:rsid w:val="005B7EB2"/>
    <w:rsid w:val="005B7F42"/>
    <w:rsid w:val="005B7F85"/>
    <w:rsid w:val="005C0318"/>
    <w:rsid w:val="005C037B"/>
    <w:rsid w:val="005C05BD"/>
    <w:rsid w:val="005C05DF"/>
    <w:rsid w:val="005C0AC6"/>
    <w:rsid w:val="005C0C24"/>
    <w:rsid w:val="005C0C64"/>
    <w:rsid w:val="005C0DFA"/>
    <w:rsid w:val="005C0FAE"/>
    <w:rsid w:val="005C12DB"/>
    <w:rsid w:val="005C135A"/>
    <w:rsid w:val="005C178D"/>
    <w:rsid w:val="005C1C9C"/>
    <w:rsid w:val="005C2EF4"/>
    <w:rsid w:val="005C3010"/>
    <w:rsid w:val="005C3389"/>
    <w:rsid w:val="005C35A7"/>
    <w:rsid w:val="005C3823"/>
    <w:rsid w:val="005C3996"/>
    <w:rsid w:val="005C3AD0"/>
    <w:rsid w:val="005C44D8"/>
    <w:rsid w:val="005C47B0"/>
    <w:rsid w:val="005C4825"/>
    <w:rsid w:val="005C5099"/>
    <w:rsid w:val="005C56C5"/>
    <w:rsid w:val="005C5A0C"/>
    <w:rsid w:val="005C5D6C"/>
    <w:rsid w:val="005C5E14"/>
    <w:rsid w:val="005C6731"/>
    <w:rsid w:val="005C6B7B"/>
    <w:rsid w:val="005C6D0F"/>
    <w:rsid w:val="005C6E92"/>
    <w:rsid w:val="005C7174"/>
    <w:rsid w:val="005C72FE"/>
    <w:rsid w:val="005C73B2"/>
    <w:rsid w:val="005C73EC"/>
    <w:rsid w:val="005C7AD7"/>
    <w:rsid w:val="005C7E22"/>
    <w:rsid w:val="005D003D"/>
    <w:rsid w:val="005D00DC"/>
    <w:rsid w:val="005D00EA"/>
    <w:rsid w:val="005D00F5"/>
    <w:rsid w:val="005D01AC"/>
    <w:rsid w:val="005D0932"/>
    <w:rsid w:val="005D0F94"/>
    <w:rsid w:val="005D146F"/>
    <w:rsid w:val="005D14EC"/>
    <w:rsid w:val="005D1B18"/>
    <w:rsid w:val="005D1BD4"/>
    <w:rsid w:val="005D1D2D"/>
    <w:rsid w:val="005D1DEE"/>
    <w:rsid w:val="005D220F"/>
    <w:rsid w:val="005D2A01"/>
    <w:rsid w:val="005D2DAC"/>
    <w:rsid w:val="005D310D"/>
    <w:rsid w:val="005D3CFF"/>
    <w:rsid w:val="005D462F"/>
    <w:rsid w:val="005D48C7"/>
    <w:rsid w:val="005D4E87"/>
    <w:rsid w:val="005D4F67"/>
    <w:rsid w:val="005D500F"/>
    <w:rsid w:val="005D51FE"/>
    <w:rsid w:val="005D54B2"/>
    <w:rsid w:val="005D5A7F"/>
    <w:rsid w:val="005D5F8F"/>
    <w:rsid w:val="005D6168"/>
    <w:rsid w:val="005D62EA"/>
    <w:rsid w:val="005D6ABE"/>
    <w:rsid w:val="005D7222"/>
    <w:rsid w:val="005D763D"/>
    <w:rsid w:val="005D7656"/>
    <w:rsid w:val="005D77AE"/>
    <w:rsid w:val="005D7DC5"/>
    <w:rsid w:val="005E010E"/>
    <w:rsid w:val="005E01B3"/>
    <w:rsid w:val="005E0799"/>
    <w:rsid w:val="005E0EA1"/>
    <w:rsid w:val="005E0F03"/>
    <w:rsid w:val="005E0F49"/>
    <w:rsid w:val="005E187A"/>
    <w:rsid w:val="005E19F8"/>
    <w:rsid w:val="005E1B7F"/>
    <w:rsid w:val="005E1BAA"/>
    <w:rsid w:val="005E1DD3"/>
    <w:rsid w:val="005E2282"/>
    <w:rsid w:val="005E24D5"/>
    <w:rsid w:val="005E26B1"/>
    <w:rsid w:val="005E2D7E"/>
    <w:rsid w:val="005E3502"/>
    <w:rsid w:val="005E3ACA"/>
    <w:rsid w:val="005E3B91"/>
    <w:rsid w:val="005E428D"/>
    <w:rsid w:val="005E4B01"/>
    <w:rsid w:val="005E4CDA"/>
    <w:rsid w:val="005E4F2F"/>
    <w:rsid w:val="005E5E42"/>
    <w:rsid w:val="005E61CD"/>
    <w:rsid w:val="005E6303"/>
    <w:rsid w:val="005E6395"/>
    <w:rsid w:val="005E6EEA"/>
    <w:rsid w:val="005E711F"/>
    <w:rsid w:val="005E7430"/>
    <w:rsid w:val="005E762C"/>
    <w:rsid w:val="005E7939"/>
    <w:rsid w:val="005E7C31"/>
    <w:rsid w:val="005E7EF1"/>
    <w:rsid w:val="005E7FA3"/>
    <w:rsid w:val="005F0BE2"/>
    <w:rsid w:val="005F0E58"/>
    <w:rsid w:val="005F1614"/>
    <w:rsid w:val="005F1D1B"/>
    <w:rsid w:val="005F1F55"/>
    <w:rsid w:val="005F1FBD"/>
    <w:rsid w:val="005F2D0E"/>
    <w:rsid w:val="005F32FB"/>
    <w:rsid w:val="005F3410"/>
    <w:rsid w:val="005F341A"/>
    <w:rsid w:val="005F3BA8"/>
    <w:rsid w:val="005F3C33"/>
    <w:rsid w:val="005F3CBE"/>
    <w:rsid w:val="005F3D75"/>
    <w:rsid w:val="005F3ED7"/>
    <w:rsid w:val="005F4177"/>
    <w:rsid w:val="005F41AE"/>
    <w:rsid w:val="005F4354"/>
    <w:rsid w:val="005F465D"/>
    <w:rsid w:val="005F4A3F"/>
    <w:rsid w:val="005F4E82"/>
    <w:rsid w:val="005F51D9"/>
    <w:rsid w:val="005F53A9"/>
    <w:rsid w:val="005F5485"/>
    <w:rsid w:val="005F5559"/>
    <w:rsid w:val="005F58A5"/>
    <w:rsid w:val="005F58B7"/>
    <w:rsid w:val="005F5A80"/>
    <w:rsid w:val="005F5E57"/>
    <w:rsid w:val="005F60A9"/>
    <w:rsid w:val="005F6673"/>
    <w:rsid w:val="005F6847"/>
    <w:rsid w:val="005F72F9"/>
    <w:rsid w:val="005F733D"/>
    <w:rsid w:val="005F75AE"/>
    <w:rsid w:val="005F7E2E"/>
    <w:rsid w:val="005F7E65"/>
    <w:rsid w:val="00600BB8"/>
    <w:rsid w:val="00600CA9"/>
    <w:rsid w:val="006019C7"/>
    <w:rsid w:val="00601C0F"/>
    <w:rsid w:val="00601EAB"/>
    <w:rsid w:val="00602C22"/>
    <w:rsid w:val="00602F46"/>
    <w:rsid w:val="00603370"/>
    <w:rsid w:val="006037B9"/>
    <w:rsid w:val="00603A0A"/>
    <w:rsid w:val="00603EA1"/>
    <w:rsid w:val="006044FF"/>
    <w:rsid w:val="006057E3"/>
    <w:rsid w:val="00605A47"/>
    <w:rsid w:val="00605CF3"/>
    <w:rsid w:val="00605E07"/>
    <w:rsid w:val="00605E08"/>
    <w:rsid w:val="00606325"/>
    <w:rsid w:val="006063A7"/>
    <w:rsid w:val="006063FF"/>
    <w:rsid w:val="006067D9"/>
    <w:rsid w:val="00606D33"/>
    <w:rsid w:val="006071C8"/>
    <w:rsid w:val="00607412"/>
    <w:rsid w:val="00607562"/>
    <w:rsid w:val="0060797A"/>
    <w:rsid w:val="00607AC6"/>
    <w:rsid w:val="00607CB4"/>
    <w:rsid w:val="00607CC5"/>
    <w:rsid w:val="00607EF5"/>
    <w:rsid w:val="00610402"/>
    <w:rsid w:val="0061059E"/>
    <w:rsid w:val="0061087A"/>
    <w:rsid w:val="00610CA4"/>
    <w:rsid w:val="00611537"/>
    <w:rsid w:val="00611718"/>
    <w:rsid w:val="006119DF"/>
    <w:rsid w:val="00611B41"/>
    <w:rsid w:val="00611C8E"/>
    <w:rsid w:val="00611DF8"/>
    <w:rsid w:val="00611F13"/>
    <w:rsid w:val="0061208F"/>
    <w:rsid w:val="006120C0"/>
    <w:rsid w:val="00612D51"/>
    <w:rsid w:val="00613005"/>
    <w:rsid w:val="00613340"/>
    <w:rsid w:val="006135AB"/>
    <w:rsid w:val="00613B5D"/>
    <w:rsid w:val="00614060"/>
    <w:rsid w:val="0061444E"/>
    <w:rsid w:val="00614518"/>
    <w:rsid w:val="006148B5"/>
    <w:rsid w:val="00615382"/>
    <w:rsid w:val="00615486"/>
    <w:rsid w:val="006155B7"/>
    <w:rsid w:val="006157C3"/>
    <w:rsid w:val="00615910"/>
    <w:rsid w:val="00615E5E"/>
    <w:rsid w:val="00616609"/>
    <w:rsid w:val="006166DD"/>
    <w:rsid w:val="00616FF9"/>
    <w:rsid w:val="00617130"/>
    <w:rsid w:val="006173A7"/>
    <w:rsid w:val="00617622"/>
    <w:rsid w:val="006177BE"/>
    <w:rsid w:val="00617804"/>
    <w:rsid w:val="00617888"/>
    <w:rsid w:val="00620178"/>
    <w:rsid w:val="0062027E"/>
    <w:rsid w:val="00620CC7"/>
    <w:rsid w:val="00620DBC"/>
    <w:rsid w:val="00621116"/>
    <w:rsid w:val="00621793"/>
    <w:rsid w:val="00621E3A"/>
    <w:rsid w:val="00622096"/>
    <w:rsid w:val="00622D8F"/>
    <w:rsid w:val="00623073"/>
    <w:rsid w:val="006230AF"/>
    <w:rsid w:val="006231F7"/>
    <w:rsid w:val="006237F9"/>
    <w:rsid w:val="00623FEC"/>
    <w:rsid w:val="00624072"/>
    <w:rsid w:val="006242B5"/>
    <w:rsid w:val="006249A7"/>
    <w:rsid w:val="00624C69"/>
    <w:rsid w:val="006251DF"/>
    <w:rsid w:val="00625486"/>
    <w:rsid w:val="00625663"/>
    <w:rsid w:val="00625787"/>
    <w:rsid w:val="006257C9"/>
    <w:rsid w:val="00625BFA"/>
    <w:rsid w:val="00625FA2"/>
    <w:rsid w:val="00626387"/>
    <w:rsid w:val="006267B9"/>
    <w:rsid w:val="006271CE"/>
    <w:rsid w:val="00627338"/>
    <w:rsid w:val="0062745D"/>
    <w:rsid w:val="006277D0"/>
    <w:rsid w:val="006277F2"/>
    <w:rsid w:val="006309C1"/>
    <w:rsid w:val="00630F32"/>
    <w:rsid w:val="006310A2"/>
    <w:rsid w:val="00631467"/>
    <w:rsid w:val="00631716"/>
    <w:rsid w:val="00631E2E"/>
    <w:rsid w:val="00632743"/>
    <w:rsid w:val="00632D73"/>
    <w:rsid w:val="00632E12"/>
    <w:rsid w:val="00632E63"/>
    <w:rsid w:val="00633014"/>
    <w:rsid w:val="00633042"/>
    <w:rsid w:val="006330AD"/>
    <w:rsid w:val="00633A99"/>
    <w:rsid w:val="00633BDE"/>
    <w:rsid w:val="0063437B"/>
    <w:rsid w:val="006346C5"/>
    <w:rsid w:val="006348C9"/>
    <w:rsid w:val="0063504A"/>
    <w:rsid w:val="00635856"/>
    <w:rsid w:val="006359B9"/>
    <w:rsid w:val="00636271"/>
    <w:rsid w:val="006364A2"/>
    <w:rsid w:val="00636CCB"/>
    <w:rsid w:val="00636E3E"/>
    <w:rsid w:val="00636E76"/>
    <w:rsid w:val="00636EAC"/>
    <w:rsid w:val="00636FE7"/>
    <w:rsid w:val="006378F3"/>
    <w:rsid w:val="00637AC1"/>
    <w:rsid w:val="00637E0A"/>
    <w:rsid w:val="0064043C"/>
    <w:rsid w:val="00640936"/>
    <w:rsid w:val="006409DA"/>
    <w:rsid w:val="00640D8F"/>
    <w:rsid w:val="006417CE"/>
    <w:rsid w:val="00641E35"/>
    <w:rsid w:val="00641EED"/>
    <w:rsid w:val="00642270"/>
    <w:rsid w:val="0064227E"/>
    <w:rsid w:val="006424AF"/>
    <w:rsid w:val="00642D9F"/>
    <w:rsid w:val="00642DEE"/>
    <w:rsid w:val="00642FE1"/>
    <w:rsid w:val="006433D8"/>
    <w:rsid w:val="00643551"/>
    <w:rsid w:val="00643AA5"/>
    <w:rsid w:val="00643B82"/>
    <w:rsid w:val="006447B9"/>
    <w:rsid w:val="00644F68"/>
    <w:rsid w:val="00645367"/>
    <w:rsid w:val="00645672"/>
    <w:rsid w:val="00645CC8"/>
    <w:rsid w:val="00645D1C"/>
    <w:rsid w:val="00646037"/>
    <w:rsid w:val="00646336"/>
    <w:rsid w:val="00646C0B"/>
    <w:rsid w:val="00646C31"/>
    <w:rsid w:val="0064738C"/>
    <w:rsid w:val="006476E8"/>
    <w:rsid w:val="0065011D"/>
    <w:rsid w:val="0065068C"/>
    <w:rsid w:val="006508C3"/>
    <w:rsid w:val="00650D0C"/>
    <w:rsid w:val="00650F9D"/>
    <w:rsid w:val="00651200"/>
    <w:rsid w:val="006512C6"/>
    <w:rsid w:val="0065162E"/>
    <w:rsid w:val="00651B07"/>
    <w:rsid w:val="00651EDA"/>
    <w:rsid w:val="006520F4"/>
    <w:rsid w:val="00652257"/>
    <w:rsid w:val="00652341"/>
    <w:rsid w:val="006529D1"/>
    <w:rsid w:val="006534C9"/>
    <w:rsid w:val="006538D8"/>
    <w:rsid w:val="00653B0B"/>
    <w:rsid w:val="00653DBA"/>
    <w:rsid w:val="00653F2C"/>
    <w:rsid w:val="00653F70"/>
    <w:rsid w:val="0065431C"/>
    <w:rsid w:val="00654508"/>
    <w:rsid w:val="00654A96"/>
    <w:rsid w:val="00654B0C"/>
    <w:rsid w:val="00654BAD"/>
    <w:rsid w:val="00654BC7"/>
    <w:rsid w:val="00654CA2"/>
    <w:rsid w:val="006553AB"/>
    <w:rsid w:val="00655743"/>
    <w:rsid w:val="00655E0F"/>
    <w:rsid w:val="00655FBF"/>
    <w:rsid w:val="006560FA"/>
    <w:rsid w:val="006567D6"/>
    <w:rsid w:val="00656A8C"/>
    <w:rsid w:val="00657001"/>
    <w:rsid w:val="00657386"/>
    <w:rsid w:val="006573AE"/>
    <w:rsid w:val="00657713"/>
    <w:rsid w:val="00657AA8"/>
    <w:rsid w:val="00660046"/>
    <w:rsid w:val="006602AF"/>
    <w:rsid w:val="0066090F"/>
    <w:rsid w:val="00660B2F"/>
    <w:rsid w:val="00661BC3"/>
    <w:rsid w:val="00661F73"/>
    <w:rsid w:val="006620D4"/>
    <w:rsid w:val="0066279A"/>
    <w:rsid w:val="006629B3"/>
    <w:rsid w:val="00662A3B"/>
    <w:rsid w:val="00662CBB"/>
    <w:rsid w:val="00662D0A"/>
    <w:rsid w:val="00662D10"/>
    <w:rsid w:val="00662DA0"/>
    <w:rsid w:val="006633A8"/>
    <w:rsid w:val="006637FB"/>
    <w:rsid w:val="00663826"/>
    <w:rsid w:val="006638AD"/>
    <w:rsid w:val="006638C5"/>
    <w:rsid w:val="00663C75"/>
    <w:rsid w:val="006644C5"/>
    <w:rsid w:val="0066459B"/>
    <w:rsid w:val="0066463F"/>
    <w:rsid w:val="0066467C"/>
    <w:rsid w:val="006648D7"/>
    <w:rsid w:val="00665023"/>
    <w:rsid w:val="0066580C"/>
    <w:rsid w:val="0066588E"/>
    <w:rsid w:val="00665F4A"/>
    <w:rsid w:val="006662B3"/>
    <w:rsid w:val="006665A5"/>
    <w:rsid w:val="00666864"/>
    <w:rsid w:val="006669EF"/>
    <w:rsid w:val="006673CA"/>
    <w:rsid w:val="006673EF"/>
    <w:rsid w:val="00667A30"/>
    <w:rsid w:val="00667B01"/>
    <w:rsid w:val="00667C38"/>
    <w:rsid w:val="00667E28"/>
    <w:rsid w:val="00667F34"/>
    <w:rsid w:val="00670163"/>
    <w:rsid w:val="006703F2"/>
    <w:rsid w:val="006705FA"/>
    <w:rsid w:val="00670706"/>
    <w:rsid w:val="00670B70"/>
    <w:rsid w:val="00670E20"/>
    <w:rsid w:val="006713A3"/>
    <w:rsid w:val="0067173F"/>
    <w:rsid w:val="00671B55"/>
    <w:rsid w:val="00671BF5"/>
    <w:rsid w:val="00671CF5"/>
    <w:rsid w:val="0067206B"/>
    <w:rsid w:val="006725A3"/>
    <w:rsid w:val="0067398C"/>
    <w:rsid w:val="00673C26"/>
    <w:rsid w:val="00673DF2"/>
    <w:rsid w:val="006748C5"/>
    <w:rsid w:val="00674A32"/>
    <w:rsid w:val="00674CC4"/>
    <w:rsid w:val="00675125"/>
    <w:rsid w:val="006755CD"/>
    <w:rsid w:val="00675BE3"/>
    <w:rsid w:val="00675D8D"/>
    <w:rsid w:val="0067620D"/>
    <w:rsid w:val="0067645F"/>
    <w:rsid w:val="006770FD"/>
    <w:rsid w:val="006773AC"/>
    <w:rsid w:val="0067747C"/>
    <w:rsid w:val="0067748A"/>
    <w:rsid w:val="006776FA"/>
    <w:rsid w:val="00677BD7"/>
    <w:rsid w:val="00677EAF"/>
    <w:rsid w:val="006802EF"/>
    <w:rsid w:val="0068087A"/>
    <w:rsid w:val="00680F1A"/>
    <w:rsid w:val="006812AF"/>
    <w:rsid w:val="006813E2"/>
    <w:rsid w:val="00681441"/>
    <w:rsid w:val="00681675"/>
    <w:rsid w:val="00682065"/>
    <w:rsid w:val="006827C3"/>
    <w:rsid w:val="00682D3E"/>
    <w:rsid w:val="00683264"/>
    <w:rsid w:val="0068327D"/>
    <w:rsid w:val="0068387C"/>
    <w:rsid w:val="006839B5"/>
    <w:rsid w:val="00684015"/>
    <w:rsid w:val="00684399"/>
    <w:rsid w:val="00684909"/>
    <w:rsid w:val="00684F03"/>
    <w:rsid w:val="00685B5D"/>
    <w:rsid w:val="00685C1D"/>
    <w:rsid w:val="00685C38"/>
    <w:rsid w:val="00685E6B"/>
    <w:rsid w:val="006861A2"/>
    <w:rsid w:val="00686278"/>
    <w:rsid w:val="006862BE"/>
    <w:rsid w:val="00686323"/>
    <w:rsid w:val="0068653F"/>
    <w:rsid w:val="00686ECA"/>
    <w:rsid w:val="0068793F"/>
    <w:rsid w:val="00687CD2"/>
    <w:rsid w:val="006902CC"/>
    <w:rsid w:val="00690430"/>
    <w:rsid w:val="00690708"/>
    <w:rsid w:val="006910D4"/>
    <w:rsid w:val="00691AF1"/>
    <w:rsid w:val="0069254A"/>
    <w:rsid w:val="0069262E"/>
    <w:rsid w:val="0069266F"/>
    <w:rsid w:val="0069331F"/>
    <w:rsid w:val="00693932"/>
    <w:rsid w:val="00693AD8"/>
    <w:rsid w:val="00693FB2"/>
    <w:rsid w:val="00694333"/>
    <w:rsid w:val="00694637"/>
    <w:rsid w:val="00694880"/>
    <w:rsid w:val="00694AF0"/>
    <w:rsid w:val="00694EAD"/>
    <w:rsid w:val="0069509E"/>
    <w:rsid w:val="006952D5"/>
    <w:rsid w:val="00695A4A"/>
    <w:rsid w:val="00695DD2"/>
    <w:rsid w:val="006960FC"/>
    <w:rsid w:val="006962AF"/>
    <w:rsid w:val="006967A2"/>
    <w:rsid w:val="00696F7D"/>
    <w:rsid w:val="00696F8E"/>
    <w:rsid w:val="006A01ED"/>
    <w:rsid w:val="006A046B"/>
    <w:rsid w:val="006A0940"/>
    <w:rsid w:val="006A0961"/>
    <w:rsid w:val="006A0AEF"/>
    <w:rsid w:val="006A1654"/>
    <w:rsid w:val="006A16DB"/>
    <w:rsid w:val="006A1EDD"/>
    <w:rsid w:val="006A2203"/>
    <w:rsid w:val="006A23FC"/>
    <w:rsid w:val="006A265B"/>
    <w:rsid w:val="006A28A8"/>
    <w:rsid w:val="006A2F30"/>
    <w:rsid w:val="006A3E46"/>
    <w:rsid w:val="006A4686"/>
    <w:rsid w:val="006A4792"/>
    <w:rsid w:val="006A4888"/>
    <w:rsid w:val="006A4BA5"/>
    <w:rsid w:val="006A52C3"/>
    <w:rsid w:val="006A581C"/>
    <w:rsid w:val="006A58C0"/>
    <w:rsid w:val="006A5AFC"/>
    <w:rsid w:val="006A5C10"/>
    <w:rsid w:val="006A5CC6"/>
    <w:rsid w:val="006A5DFD"/>
    <w:rsid w:val="006A5FB7"/>
    <w:rsid w:val="006A605A"/>
    <w:rsid w:val="006A67D7"/>
    <w:rsid w:val="006A686B"/>
    <w:rsid w:val="006A6E03"/>
    <w:rsid w:val="006A7291"/>
    <w:rsid w:val="006A7330"/>
    <w:rsid w:val="006A740D"/>
    <w:rsid w:val="006A7567"/>
    <w:rsid w:val="006A75C7"/>
    <w:rsid w:val="006A787A"/>
    <w:rsid w:val="006A787D"/>
    <w:rsid w:val="006A7ECF"/>
    <w:rsid w:val="006B0249"/>
    <w:rsid w:val="006B03B6"/>
    <w:rsid w:val="006B0411"/>
    <w:rsid w:val="006B0509"/>
    <w:rsid w:val="006B0617"/>
    <w:rsid w:val="006B0621"/>
    <w:rsid w:val="006B0662"/>
    <w:rsid w:val="006B087B"/>
    <w:rsid w:val="006B0E9E"/>
    <w:rsid w:val="006B0F2D"/>
    <w:rsid w:val="006B0F9F"/>
    <w:rsid w:val="006B1073"/>
    <w:rsid w:val="006B1306"/>
    <w:rsid w:val="006B17B6"/>
    <w:rsid w:val="006B1B22"/>
    <w:rsid w:val="006B2094"/>
    <w:rsid w:val="006B288E"/>
    <w:rsid w:val="006B2A42"/>
    <w:rsid w:val="006B2B27"/>
    <w:rsid w:val="006B2DA8"/>
    <w:rsid w:val="006B3131"/>
    <w:rsid w:val="006B3250"/>
    <w:rsid w:val="006B353E"/>
    <w:rsid w:val="006B3719"/>
    <w:rsid w:val="006B3EA6"/>
    <w:rsid w:val="006B4413"/>
    <w:rsid w:val="006B4812"/>
    <w:rsid w:val="006B4A02"/>
    <w:rsid w:val="006B52D5"/>
    <w:rsid w:val="006B5411"/>
    <w:rsid w:val="006B5AE4"/>
    <w:rsid w:val="006B5B6C"/>
    <w:rsid w:val="006B5E36"/>
    <w:rsid w:val="006B6086"/>
    <w:rsid w:val="006B68CD"/>
    <w:rsid w:val="006B6BA8"/>
    <w:rsid w:val="006B6BEB"/>
    <w:rsid w:val="006B6C2D"/>
    <w:rsid w:val="006B6E9B"/>
    <w:rsid w:val="006B7055"/>
    <w:rsid w:val="006B70A8"/>
    <w:rsid w:val="006B737F"/>
    <w:rsid w:val="006B77DF"/>
    <w:rsid w:val="006B7822"/>
    <w:rsid w:val="006B7B73"/>
    <w:rsid w:val="006B7C8B"/>
    <w:rsid w:val="006B7E71"/>
    <w:rsid w:val="006B7FE6"/>
    <w:rsid w:val="006C01CE"/>
    <w:rsid w:val="006C06AB"/>
    <w:rsid w:val="006C098F"/>
    <w:rsid w:val="006C0D2C"/>
    <w:rsid w:val="006C0F9C"/>
    <w:rsid w:val="006C1521"/>
    <w:rsid w:val="006C1BBF"/>
    <w:rsid w:val="006C1BD5"/>
    <w:rsid w:val="006C1CE3"/>
    <w:rsid w:val="006C1E98"/>
    <w:rsid w:val="006C1EBA"/>
    <w:rsid w:val="006C1FBE"/>
    <w:rsid w:val="006C2040"/>
    <w:rsid w:val="006C2360"/>
    <w:rsid w:val="006C25BE"/>
    <w:rsid w:val="006C2CFD"/>
    <w:rsid w:val="006C30E9"/>
    <w:rsid w:val="006C311D"/>
    <w:rsid w:val="006C3701"/>
    <w:rsid w:val="006C3D22"/>
    <w:rsid w:val="006C40B7"/>
    <w:rsid w:val="006C40FE"/>
    <w:rsid w:val="006C4599"/>
    <w:rsid w:val="006C4F25"/>
    <w:rsid w:val="006C51D3"/>
    <w:rsid w:val="006C51E2"/>
    <w:rsid w:val="006C52EA"/>
    <w:rsid w:val="006C52ED"/>
    <w:rsid w:val="006C5407"/>
    <w:rsid w:val="006C5628"/>
    <w:rsid w:val="006C6271"/>
    <w:rsid w:val="006C659E"/>
    <w:rsid w:val="006C6763"/>
    <w:rsid w:val="006C6EF3"/>
    <w:rsid w:val="006C700A"/>
    <w:rsid w:val="006C76EE"/>
    <w:rsid w:val="006C770E"/>
    <w:rsid w:val="006C79E6"/>
    <w:rsid w:val="006D005F"/>
    <w:rsid w:val="006D008C"/>
    <w:rsid w:val="006D0093"/>
    <w:rsid w:val="006D02F2"/>
    <w:rsid w:val="006D0B86"/>
    <w:rsid w:val="006D1268"/>
    <w:rsid w:val="006D1507"/>
    <w:rsid w:val="006D15C6"/>
    <w:rsid w:val="006D1DE5"/>
    <w:rsid w:val="006D2564"/>
    <w:rsid w:val="006D289B"/>
    <w:rsid w:val="006D308D"/>
    <w:rsid w:val="006D312C"/>
    <w:rsid w:val="006D313E"/>
    <w:rsid w:val="006D39C5"/>
    <w:rsid w:val="006D3CEA"/>
    <w:rsid w:val="006D4054"/>
    <w:rsid w:val="006D40D3"/>
    <w:rsid w:val="006D4232"/>
    <w:rsid w:val="006D432A"/>
    <w:rsid w:val="006D44B0"/>
    <w:rsid w:val="006D4D80"/>
    <w:rsid w:val="006D4DA4"/>
    <w:rsid w:val="006D4E34"/>
    <w:rsid w:val="006D516E"/>
    <w:rsid w:val="006D5176"/>
    <w:rsid w:val="006D5232"/>
    <w:rsid w:val="006D54B1"/>
    <w:rsid w:val="006D597F"/>
    <w:rsid w:val="006D5A10"/>
    <w:rsid w:val="006D5C41"/>
    <w:rsid w:val="006D6498"/>
    <w:rsid w:val="006D66E6"/>
    <w:rsid w:val="006D6935"/>
    <w:rsid w:val="006D7722"/>
    <w:rsid w:val="006D7B48"/>
    <w:rsid w:val="006D7C93"/>
    <w:rsid w:val="006D7CDC"/>
    <w:rsid w:val="006D7E56"/>
    <w:rsid w:val="006D7FD1"/>
    <w:rsid w:val="006E02B2"/>
    <w:rsid w:val="006E02EC"/>
    <w:rsid w:val="006E042C"/>
    <w:rsid w:val="006E07DD"/>
    <w:rsid w:val="006E09EE"/>
    <w:rsid w:val="006E14EB"/>
    <w:rsid w:val="006E16B4"/>
    <w:rsid w:val="006E1835"/>
    <w:rsid w:val="006E1A0B"/>
    <w:rsid w:val="006E1BBB"/>
    <w:rsid w:val="006E1C76"/>
    <w:rsid w:val="006E1D1E"/>
    <w:rsid w:val="006E2743"/>
    <w:rsid w:val="006E275A"/>
    <w:rsid w:val="006E2793"/>
    <w:rsid w:val="006E3689"/>
    <w:rsid w:val="006E39C5"/>
    <w:rsid w:val="006E39CD"/>
    <w:rsid w:val="006E3C5E"/>
    <w:rsid w:val="006E3F99"/>
    <w:rsid w:val="006E43ED"/>
    <w:rsid w:val="006E452D"/>
    <w:rsid w:val="006E4AFC"/>
    <w:rsid w:val="006E516E"/>
    <w:rsid w:val="006E545E"/>
    <w:rsid w:val="006E592B"/>
    <w:rsid w:val="006E5AD2"/>
    <w:rsid w:val="006E619C"/>
    <w:rsid w:val="006E6265"/>
    <w:rsid w:val="006E636D"/>
    <w:rsid w:val="006E646D"/>
    <w:rsid w:val="006E65B9"/>
    <w:rsid w:val="006E6CEA"/>
    <w:rsid w:val="006E6F62"/>
    <w:rsid w:val="006E71D4"/>
    <w:rsid w:val="006E77B7"/>
    <w:rsid w:val="006E796E"/>
    <w:rsid w:val="006E7A92"/>
    <w:rsid w:val="006E7CAE"/>
    <w:rsid w:val="006E7FC6"/>
    <w:rsid w:val="006F02B6"/>
    <w:rsid w:val="006F05BD"/>
    <w:rsid w:val="006F05E8"/>
    <w:rsid w:val="006F0B64"/>
    <w:rsid w:val="006F1221"/>
    <w:rsid w:val="006F12B7"/>
    <w:rsid w:val="006F1BA2"/>
    <w:rsid w:val="006F1BEC"/>
    <w:rsid w:val="006F1D1B"/>
    <w:rsid w:val="006F2017"/>
    <w:rsid w:val="006F216B"/>
    <w:rsid w:val="006F2632"/>
    <w:rsid w:val="006F294E"/>
    <w:rsid w:val="006F2BC3"/>
    <w:rsid w:val="006F2BDF"/>
    <w:rsid w:val="006F2EDF"/>
    <w:rsid w:val="006F2F75"/>
    <w:rsid w:val="006F3191"/>
    <w:rsid w:val="006F47D5"/>
    <w:rsid w:val="006F4D5B"/>
    <w:rsid w:val="006F4E2F"/>
    <w:rsid w:val="006F4E93"/>
    <w:rsid w:val="006F54BF"/>
    <w:rsid w:val="006F5B38"/>
    <w:rsid w:val="006F5E8E"/>
    <w:rsid w:val="006F5FC3"/>
    <w:rsid w:val="006F6826"/>
    <w:rsid w:val="006F69D1"/>
    <w:rsid w:val="006F6B72"/>
    <w:rsid w:val="006F6EC3"/>
    <w:rsid w:val="006F72EA"/>
    <w:rsid w:val="006F75CE"/>
    <w:rsid w:val="006F75EC"/>
    <w:rsid w:val="0070021A"/>
    <w:rsid w:val="00700740"/>
    <w:rsid w:val="00700833"/>
    <w:rsid w:val="007008BC"/>
    <w:rsid w:val="00700CDB"/>
    <w:rsid w:val="00701598"/>
    <w:rsid w:val="00701984"/>
    <w:rsid w:val="00701C13"/>
    <w:rsid w:val="00701CD4"/>
    <w:rsid w:val="00701F47"/>
    <w:rsid w:val="00702264"/>
    <w:rsid w:val="007026FF"/>
    <w:rsid w:val="007029D1"/>
    <w:rsid w:val="00702B10"/>
    <w:rsid w:val="00702B4C"/>
    <w:rsid w:val="00702E8D"/>
    <w:rsid w:val="007037A3"/>
    <w:rsid w:val="00703924"/>
    <w:rsid w:val="00703B9F"/>
    <w:rsid w:val="00704217"/>
    <w:rsid w:val="0070480A"/>
    <w:rsid w:val="00705126"/>
    <w:rsid w:val="00705165"/>
    <w:rsid w:val="00705657"/>
    <w:rsid w:val="007056DB"/>
    <w:rsid w:val="0070573A"/>
    <w:rsid w:val="00705829"/>
    <w:rsid w:val="007064A6"/>
    <w:rsid w:val="00707185"/>
    <w:rsid w:val="00707306"/>
    <w:rsid w:val="007075FB"/>
    <w:rsid w:val="00707949"/>
    <w:rsid w:val="00707A69"/>
    <w:rsid w:val="00707C98"/>
    <w:rsid w:val="00707E3D"/>
    <w:rsid w:val="00710208"/>
    <w:rsid w:val="0071024E"/>
    <w:rsid w:val="0071032D"/>
    <w:rsid w:val="00710744"/>
    <w:rsid w:val="00710925"/>
    <w:rsid w:val="00711B9D"/>
    <w:rsid w:val="00711E15"/>
    <w:rsid w:val="00712D39"/>
    <w:rsid w:val="00712FD3"/>
    <w:rsid w:val="007132B2"/>
    <w:rsid w:val="007132C2"/>
    <w:rsid w:val="0071379D"/>
    <w:rsid w:val="0071381E"/>
    <w:rsid w:val="00714454"/>
    <w:rsid w:val="00714791"/>
    <w:rsid w:val="007147D8"/>
    <w:rsid w:val="00714BE9"/>
    <w:rsid w:val="0071511E"/>
    <w:rsid w:val="00715671"/>
    <w:rsid w:val="007156B3"/>
    <w:rsid w:val="00715D50"/>
    <w:rsid w:val="00716841"/>
    <w:rsid w:val="007168F4"/>
    <w:rsid w:val="00716955"/>
    <w:rsid w:val="00716FE0"/>
    <w:rsid w:val="00717075"/>
    <w:rsid w:val="007173A7"/>
    <w:rsid w:val="0071757B"/>
    <w:rsid w:val="0072083B"/>
    <w:rsid w:val="00720C46"/>
    <w:rsid w:val="00720C64"/>
    <w:rsid w:val="007211B1"/>
    <w:rsid w:val="007213E2"/>
    <w:rsid w:val="007213FB"/>
    <w:rsid w:val="00721EF6"/>
    <w:rsid w:val="007223CE"/>
    <w:rsid w:val="00722ACF"/>
    <w:rsid w:val="007230FC"/>
    <w:rsid w:val="0072334E"/>
    <w:rsid w:val="0072339B"/>
    <w:rsid w:val="007239ED"/>
    <w:rsid w:val="00723A42"/>
    <w:rsid w:val="00723D95"/>
    <w:rsid w:val="00723F52"/>
    <w:rsid w:val="007240C6"/>
    <w:rsid w:val="00724B36"/>
    <w:rsid w:val="00724D54"/>
    <w:rsid w:val="00725847"/>
    <w:rsid w:val="00725CEF"/>
    <w:rsid w:val="0072604A"/>
    <w:rsid w:val="007265A3"/>
    <w:rsid w:val="0072671E"/>
    <w:rsid w:val="00726CF9"/>
    <w:rsid w:val="00727143"/>
    <w:rsid w:val="00727504"/>
    <w:rsid w:val="00727AD5"/>
    <w:rsid w:val="00727CED"/>
    <w:rsid w:val="00727D65"/>
    <w:rsid w:val="00727E7E"/>
    <w:rsid w:val="00727FA8"/>
    <w:rsid w:val="007300B4"/>
    <w:rsid w:val="00730357"/>
    <w:rsid w:val="007305F7"/>
    <w:rsid w:val="00731004"/>
    <w:rsid w:val="00731A0E"/>
    <w:rsid w:val="00731A98"/>
    <w:rsid w:val="00731D71"/>
    <w:rsid w:val="00732525"/>
    <w:rsid w:val="00732A8C"/>
    <w:rsid w:val="00732B85"/>
    <w:rsid w:val="00732C32"/>
    <w:rsid w:val="00733396"/>
    <w:rsid w:val="007335FF"/>
    <w:rsid w:val="00733605"/>
    <w:rsid w:val="00733BDF"/>
    <w:rsid w:val="0073418A"/>
    <w:rsid w:val="0073468C"/>
    <w:rsid w:val="007347CF"/>
    <w:rsid w:val="0073480B"/>
    <w:rsid w:val="00734859"/>
    <w:rsid w:val="00735327"/>
    <w:rsid w:val="0073551F"/>
    <w:rsid w:val="00735831"/>
    <w:rsid w:val="0073617A"/>
    <w:rsid w:val="00736672"/>
    <w:rsid w:val="007366A5"/>
    <w:rsid w:val="007367BB"/>
    <w:rsid w:val="00736E95"/>
    <w:rsid w:val="00737796"/>
    <w:rsid w:val="00737F84"/>
    <w:rsid w:val="007400FA"/>
    <w:rsid w:val="0074043D"/>
    <w:rsid w:val="007407F5"/>
    <w:rsid w:val="0074199B"/>
    <w:rsid w:val="00741A32"/>
    <w:rsid w:val="00741D8D"/>
    <w:rsid w:val="0074228C"/>
    <w:rsid w:val="00742E03"/>
    <w:rsid w:val="00743322"/>
    <w:rsid w:val="0074362C"/>
    <w:rsid w:val="00743B6B"/>
    <w:rsid w:val="00743CBF"/>
    <w:rsid w:val="00743CE9"/>
    <w:rsid w:val="00743D4E"/>
    <w:rsid w:val="00744D4B"/>
    <w:rsid w:val="00745411"/>
    <w:rsid w:val="00745660"/>
    <w:rsid w:val="00745CC0"/>
    <w:rsid w:val="00746187"/>
    <w:rsid w:val="0074618E"/>
    <w:rsid w:val="007466D5"/>
    <w:rsid w:val="00746C9A"/>
    <w:rsid w:val="00746DAC"/>
    <w:rsid w:val="00746F55"/>
    <w:rsid w:val="00747084"/>
    <w:rsid w:val="00747487"/>
    <w:rsid w:val="007478D3"/>
    <w:rsid w:val="00747E59"/>
    <w:rsid w:val="00747E65"/>
    <w:rsid w:val="00747F0E"/>
    <w:rsid w:val="007503A7"/>
    <w:rsid w:val="007505E3"/>
    <w:rsid w:val="00750669"/>
    <w:rsid w:val="007509A2"/>
    <w:rsid w:val="00750B50"/>
    <w:rsid w:val="00750FD8"/>
    <w:rsid w:val="007510F3"/>
    <w:rsid w:val="007517A2"/>
    <w:rsid w:val="00752BC6"/>
    <w:rsid w:val="00752CDD"/>
    <w:rsid w:val="00752E82"/>
    <w:rsid w:val="00753050"/>
    <w:rsid w:val="00753872"/>
    <w:rsid w:val="00753EA6"/>
    <w:rsid w:val="007541DF"/>
    <w:rsid w:val="0075498A"/>
    <w:rsid w:val="00754BA2"/>
    <w:rsid w:val="00754FBC"/>
    <w:rsid w:val="00755711"/>
    <w:rsid w:val="00755DE2"/>
    <w:rsid w:val="00755E92"/>
    <w:rsid w:val="00756152"/>
    <w:rsid w:val="00756528"/>
    <w:rsid w:val="00756990"/>
    <w:rsid w:val="007569B4"/>
    <w:rsid w:val="00756C68"/>
    <w:rsid w:val="00756C80"/>
    <w:rsid w:val="00756CF7"/>
    <w:rsid w:val="00756F2D"/>
    <w:rsid w:val="00757482"/>
    <w:rsid w:val="007575A4"/>
    <w:rsid w:val="00757AAF"/>
    <w:rsid w:val="00757C04"/>
    <w:rsid w:val="00757CFD"/>
    <w:rsid w:val="00757D58"/>
    <w:rsid w:val="007602AB"/>
    <w:rsid w:val="0076032A"/>
    <w:rsid w:val="00760974"/>
    <w:rsid w:val="007611DE"/>
    <w:rsid w:val="007613E4"/>
    <w:rsid w:val="00761C4A"/>
    <w:rsid w:val="00761DA0"/>
    <w:rsid w:val="00761DEB"/>
    <w:rsid w:val="00762033"/>
    <w:rsid w:val="007623FC"/>
    <w:rsid w:val="0076254F"/>
    <w:rsid w:val="007626D9"/>
    <w:rsid w:val="007627BD"/>
    <w:rsid w:val="00762E21"/>
    <w:rsid w:val="00762E98"/>
    <w:rsid w:val="00763B0D"/>
    <w:rsid w:val="00763CA5"/>
    <w:rsid w:val="00763D69"/>
    <w:rsid w:val="007641AF"/>
    <w:rsid w:val="007641E6"/>
    <w:rsid w:val="007644C6"/>
    <w:rsid w:val="0076454B"/>
    <w:rsid w:val="00764701"/>
    <w:rsid w:val="00764B4B"/>
    <w:rsid w:val="0076525F"/>
    <w:rsid w:val="00765305"/>
    <w:rsid w:val="007660BA"/>
    <w:rsid w:val="007663CB"/>
    <w:rsid w:val="00766D6A"/>
    <w:rsid w:val="007673E3"/>
    <w:rsid w:val="00767436"/>
    <w:rsid w:val="0076745B"/>
    <w:rsid w:val="00767770"/>
    <w:rsid w:val="00767AB3"/>
    <w:rsid w:val="00767D53"/>
    <w:rsid w:val="00770933"/>
    <w:rsid w:val="00770B00"/>
    <w:rsid w:val="00770B8D"/>
    <w:rsid w:val="00771359"/>
    <w:rsid w:val="007713CD"/>
    <w:rsid w:val="0077147F"/>
    <w:rsid w:val="0077192F"/>
    <w:rsid w:val="00771BA4"/>
    <w:rsid w:val="00772135"/>
    <w:rsid w:val="00772FB0"/>
    <w:rsid w:val="007730D7"/>
    <w:rsid w:val="0077390A"/>
    <w:rsid w:val="00773C75"/>
    <w:rsid w:val="007741B2"/>
    <w:rsid w:val="0077446B"/>
    <w:rsid w:val="007744AA"/>
    <w:rsid w:val="00774773"/>
    <w:rsid w:val="00774B90"/>
    <w:rsid w:val="00775160"/>
    <w:rsid w:val="00775AD8"/>
    <w:rsid w:val="00775BA2"/>
    <w:rsid w:val="00775E44"/>
    <w:rsid w:val="007762A1"/>
    <w:rsid w:val="0077671D"/>
    <w:rsid w:val="007767BC"/>
    <w:rsid w:val="00776F16"/>
    <w:rsid w:val="00776F9A"/>
    <w:rsid w:val="00777132"/>
    <w:rsid w:val="00777245"/>
    <w:rsid w:val="007772ED"/>
    <w:rsid w:val="00777C19"/>
    <w:rsid w:val="00777D6C"/>
    <w:rsid w:val="00777FA0"/>
    <w:rsid w:val="007801F5"/>
    <w:rsid w:val="00780234"/>
    <w:rsid w:val="00780705"/>
    <w:rsid w:val="00780912"/>
    <w:rsid w:val="00780F5A"/>
    <w:rsid w:val="007811C4"/>
    <w:rsid w:val="007811D2"/>
    <w:rsid w:val="007817EA"/>
    <w:rsid w:val="00781A29"/>
    <w:rsid w:val="007822A0"/>
    <w:rsid w:val="00782B6E"/>
    <w:rsid w:val="00782C79"/>
    <w:rsid w:val="00782DA0"/>
    <w:rsid w:val="0078346C"/>
    <w:rsid w:val="007835EE"/>
    <w:rsid w:val="00783CA4"/>
    <w:rsid w:val="007842FB"/>
    <w:rsid w:val="007847A9"/>
    <w:rsid w:val="00784A5C"/>
    <w:rsid w:val="00784B0B"/>
    <w:rsid w:val="00784CA6"/>
    <w:rsid w:val="00784D1D"/>
    <w:rsid w:val="00784EE6"/>
    <w:rsid w:val="00785A0F"/>
    <w:rsid w:val="00785E8F"/>
    <w:rsid w:val="00785F2E"/>
    <w:rsid w:val="00786124"/>
    <w:rsid w:val="0078696D"/>
    <w:rsid w:val="0078741B"/>
    <w:rsid w:val="00787E79"/>
    <w:rsid w:val="0079037B"/>
    <w:rsid w:val="00790983"/>
    <w:rsid w:val="00791598"/>
    <w:rsid w:val="0079190E"/>
    <w:rsid w:val="00791DDA"/>
    <w:rsid w:val="00792BD7"/>
    <w:rsid w:val="00792D38"/>
    <w:rsid w:val="007934C4"/>
    <w:rsid w:val="007936E2"/>
    <w:rsid w:val="007939A8"/>
    <w:rsid w:val="00793A1A"/>
    <w:rsid w:val="00793A92"/>
    <w:rsid w:val="00794005"/>
    <w:rsid w:val="0079500B"/>
    <w:rsid w:val="0079514B"/>
    <w:rsid w:val="00795367"/>
    <w:rsid w:val="007956EA"/>
    <w:rsid w:val="00795905"/>
    <w:rsid w:val="0079632D"/>
    <w:rsid w:val="00796338"/>
    <w:rsid w:val="00796646"/>
    <w:rsid w:val="00796ACA"/>
    <w:rsid w:val="00796C3A"/>
    <w:rsid w:val="00796D1A"/>
    <w:rsid w:val="00797110"/>
    <w:rsid w:val="007975C8"/>
    <w:rsid w:val="00797783"/>
    <w:rsid w:val="00797929"/>
    <w:rsid w:val="007A06F3"/>
    <w:rsid w:val="007A0E91"/>
    <w:rsid w:val="007A102D"/>
    <w:rsid w:val="007A1622"/>
    <w:rsid w:val="007A16A3"/>
    <w:rsid w:val="007A16D7"/>
    <w:rsid w:val="007A1C2C"/>
    <w:rsid w:val="007A2266"/>
    <w:rsid w:val="007A2652"/>
    <w:rsid w:val="007A2701"/>
    <w:rsid w:val="007A2712"/>
    <w:rsid w:val="007A2B88"/>
    <w:rsid w:val="007A2DC1"/>
    <w:rsid w:val="007A3014"/>
    <w:rsid w:val="007A3124"/>
    <w:rsid w:val="007A440D"/>
    <w:rsid w:val="007A44B3"/>
    <w:rsid w:val="007A482A"/>
    <w:rsid w:val="007A4CEB"/>
    <w:rsid w:val="007A4D47"/>
    <w:rsid w:val="007A4EAC"/>
    <w:rsid w:val="007A5232"/>
    <w:rsid w:val="007A5262"/>
    <w:rsid w:val="007A58DA"/>
    <w:rsid w:val="007A5932"/>
    <w:rsid w:val="007A5981"/>
    <w:rsid w:val="007A5AAC"/>
    <w:rsid w:val="007A5D5A"/>
    <w:rsid w:val="007A6172"/>
    <w:rsid w:val="007A65C6"/>
    <w:rsid w:val="007A69B2"/>
    <w:rsid w:val="007A6D0C"/>
    <w:rsid w:val="007A7BD3"/>
    <w:rsid w:val="007B03EE"/>
    <w:rsid w:val="007B08FA"/>
    <w:rsid w:val="007B0958"/>
    <w:rsid w:val="007B0C3C"/>
    <w:rsid w:val="007B1093"/>
    <w:rsid w:val="007B17A9"/>
    <w:rsid w:val="007B18C5"/>
    <w:rsid w:val="007B19D7"/>
    <w:rsid w:val="007B1AF9"/>
    <w:rsid w:val="007B1F9D"/>
    <w:rsid w:val="007B242B"/>
    <w:rsid w:val="007B2570"/>
    <w:rsid w:val="007B2592"/>
    <w:rsid w:val="007B2A28"/>
    <w:rsid w:val="007B2B9B"/>
    <w:rsid w:val="007B2CE6"/>
    <w:rsid w:val="007B2FF4"/>
    <w:rsid w:val="007B3384"/>
    <w:rsid w:val="007B3485"/>
    <w:rsid w:val="007B34D3"/>
    <w:rsid w:val="007B3CA3"/>
    <w:rsid w:val="007B3CB9"/>
    <w:rsid w:val="007B3CBF"/>
    <w:rsid w:val="007B4944"/>
    <w:rsid w:val="007B4CEA"/>
    <w:rsid w:val="007B4E5A"/>
    <w:rsid w:val="007B4E82"/>
    <w:rsid w:val="007B55A3"/>
    <w:rsid w:val="007B59D6"/>
    <w:rsid w:val="007B5A39"/>
    <w:rsid w:val="007B5B8D"/>
    <w:rsid w:val="007B5C7F"/>
    <w:rsid w:val="007B5F14"/>
    <w:rsid w:val="007B6158"/>
    <w:rsid w:val="007B6470"/>
    <w:rsid w:val="007B65E6"/>
    <w:rsid w:val="007B6AD0"/>
    <w:rsid w:val="007B6C8F"/>
    <w:rsid w:val="007B6EA2"/>
    <w:rsid w:val="007B7B58"/>
    <w:rsid w:val="007B7F61"/>
    <w:rsid w:val="007C1000"/>
    <w:rsid w:val="007C12B9"/>
    <w:rsid w:val="007C1739"/>
    <w:rsid w:val="007C1E9F"/>
    <w:rsid w:val="007C1EA8"/>
    <w:rsid w:val="007C2320"/>
    <w:rsid w:val="007C24F3"/>
    <w:rsid w:val="007C2510"/>
    <w:rsid w:val="007C2C3B"/>
    <w:rsid w:val="007C2E61"/>
    <w:rsid w:val="007C31B2"/>
    <w:rsid w:val="007C395B"/>
    <w:rsid w:val="007C3C88"/>
    <w:rsid w:val="007C4274"/>
    <w:rsid w:val="007C4AED"/>
    <w:rsid w:val="007C4E60"/>
    <w:rsid w:val="007C5280"/>
    <w:rsid w:val="007C5465"/>
    <w:rsid w:val="007C593F"/>
    <w:rsid w:val="007C5AAF"/>
    <w:rsid w:val="007C5D21"/>
    <w:rsid w:val="007C64B7"/>
    <w:rsid w:val="007C6CE2"/>
    <w:rsid w:val="007C6D95"/>
    <w:rsid w:val="007C6EBB"/>
    <w:rsid w:val="007C6FC1"/>
    <w:rsid w:val="007C72FD"/>
    <w:rsid w:val="007C73A8"/>
    <w:rsid w:val="007C749D"/>
    <w:rsid w:val="007C7FD5"/>
    <w:rsid w:val="007D020D"/>
    <w:rsid w:val="007D03C8"/>
    <w:rsid w:val="007D0D08"/>
    <w:rsid w:val="007D0E3E"/>
    <w:rsid w:val="007D1262"/>
    <w:rsid w:val="007D1D00"/>
    <w:rsid w:val="007D1DFB"/>
    <w:rsid w:val="007D22D0"/>
    <w:rsid w:val="007D2A1A"/>
    <w:rsid w:val="007D2A98"/>
    <w:rsid w:val="007D2DCF"/>
    <w:rsid w:val="007D2E95"/>
    <w:rsid w:val="007D3319"/>
    <w:rsid w:val="007D335D"/>
    <w:rsid w:val="007D4BED"/>
    <w:rsid w:val="007D4E70"/>
    <w:rsid w:val="007D4FF9"/>
    <w:rsid w:val="007D5074"/>
    <w:rsid w:val="007D50EC"/>
    <w:rsid w:val="007D54D1"/>
    <w:rsid w:val="007D6089"/>
    <w:rsid w:val="007D60A2"/>
    <w:rsid w:val="007D6DA5"/>
    <w:rsid w:val="007D6DB2"/>
    <w:rsid w:val="007D7246"/>
    <w:rsid w:val="007D734F"/>
    <w:rsid w:val="007E085D"/>
    <w:rsid w:val="007E0BC2"/>
    <w:rsid w:val="007E0D57"/>
    <w:rsid w:val="007E1218"/>
    <w:rsid w:val="007E12B1"/>
    <w:rsid w:val="007E16C7"/>
    <w:rsid w:val="007E17C4"/>
    <w:rsid w:val="007E1A97"/>
    <w:rsid w:val="007E1D3A"/>
    <w:rsid w:val="007E259E"/>
    <w:rsid w:val="007E31FB"/>
    <w:rsid w:val="007E3314"/>
    <w:rsid w:val="007E3F38"/>
    <w:rsid w:val="007E40D6"/>
    <w:rsid w:val="007E4B03"/>
    <w:rsid w:val="007E4D01"/>
    <w:rsid w:val="007E538C"/>
    <w:rsid w:val="007E554B"/>
    <w:rsid w:val="007E562D"/>
    <w:rsid w:val="007E5961"/>
    <w:rsid w:val="007E6164"/>
    <w:rsid w:val="007E6245"/>
    <w:rsid w:val="007E65E4"/>
    <w:rsid w:val="007E68B9"/>
    <w:rsid w:val="007E6FD5"/>
    <w:rsid w:val="007E7834"/>
    <w:rsid w:val="007E79E6"/>
    <w:rsid w:val="007E7B4F"/>
    <w:rsid w:val="007E7DB3"/>
    <w:rsid w:val="007F052E"/>
    <w:rsid w:val="007F0570"/>
    <w:rsid w:val="007F0958"/>
    <w:rsid w:val="007F0B76"/>
    <w:rsid w:val="007F0B9B"/>
    <w:rsid w:val="007F0F0F"/>
    <w:rsid w:val="007F0F6A"/>
    <w:rsid w:val="007F160C"/>
    <w:rsid w:val="007F19DE"/>
    <w:rsid w:val="007F1B57"/>
    <w:rsid w:val="007F1EC8"/>
    <w:rsid w:val="007F2B32"/>
    <w:rsid w:val="007F2CCE"/>
    <w:rsid w:val="007F2DE7"/>
    <w:rsid w:val="007F321C"/>
    <w:rsid w:val="007F324B"/>
    <w:rsid w:val="007F3620"/>
    <w:rsid w:val="007F36FF"/>
    <w:rsid w:val="007F3AA1"/>
    <w:rsid w:val="007F4285"/>
    <w:rsid w:val="007F44C3"/>
    <w:rsid w:val="007F451A"/>
    <w:rsid w:val="007F4A29"/>
    <w:rsid w:val="007F50A4"/>
    <w:rsid w:val="007F530E"/>
    <w:rsid w:val="007F54AE"/>
    <w:rsid w:val="007F566A"/>
    <w:rsid w:val="007F5EC7"/>
    <w:rsid w:val="007F646C"/>
    <w:rsid w:val="007F6FD4"/>
    <w:rsid w:val="007F727C"/>
    <w:rsid w:val="007F73D2"/>
    <w:rsid w:val="007F7700"/>
    <w:rsid w:val="007F7C4C"/>
    <w:rsid w:val="007F7CA9"/>
    <w:rsid w:val="0080008C"/>
    <w:rsid w:val="0080039E"/>
    <w:rsid w:val="008008BB"/>
    <w:rsid w:val="00800926"/>
    <w:rsid w:val="00800A9D"/>
    <w:rsid w:val="00800DC8"/>
    <w:rsid w:val="00801742"/>
    <w:rsid w:val="00801808"/>
    <w:rsid w:val="00801832"/>
    <w:rsid w:val="00801A89"/>
    <w:rsid w:val="00801AB0"/>
    <w:rsid w:val="00801F19"/>
    <w:rsid w:val="008020AE"/>
    <w:rsid w:val="008022F5"/>
    <w:rsid w:val="008029BF"/>
    <w:rsid w:val="008031BB"/>
    <w:rsid w:val="008033AF"/>
    <w:rsid w:val="00803809"/>
    <w:rsid w:val="00803AB4"/>
    <w:rsid w:val="0080457A"/>
    <w:rsid w:val="008046C3"/>
    <w:rsid w:val="0080553C"/>
    <w:rsid w:val="00805B46"/>
    <w:rsid w:val="00805DE2"/>
    <w:rsid w:val="008068A4"/>
    <w:rsid w:val="00806C59"/>
    <w:rsid w:val="00807056"/>
    <w:rsid w:val="00807358"/>
    <w:rsid w:val="00807380"/>
    <w:rsid w:val="00807389"/>
    <w:rsid w:val="00807582"/>
    <w:rsid w:val="00807638"/>
    <w:rsid w:val="008076DB"/>
    <w:rsid w:val="0080798D"/>
    <w:rsid w:val="00807B72"/>
    <w:rsid w:val="00807BB0"/>
    <w:rsid w:val="0081011B"/>
    <w:rsid w:val="008101A1"/>
    <w:rsid w:val="00810359"/>
    <w:rsid w:val="00810738"/>
    <w:rsid w:val="00810CE1"/>
    <w:rsid w:val="008110E1"/>
    <w:rsid w:val="00811DC3"/>
    <w:rsid w:val="0081247A"/>
    <w:rsid w:val="0081249E"/>
    <w:rsid w:val="008124C3"/>
    <w:rsid w:val="008124DB"/>
    <w:rsid w:val="0081283F"/>
    <w:rsid w:val="0081292A"/>
    <w:rsid w:val="00812D3D"/>
    <w:rsid w:val="008134FF"/>
    <w:rsid w:val="00813C95"/>
    <w:rsid w:val="00814DB3"/>
    <w:rsid w:val="00814E5B"/>
    <w:rsid w:val="008150B7"/>
    <w:rsid w:val="00815344"/>
    <w:rsid w:val="008157B5"/>
    <w:rsid w:val="00815C82"/>
    <w:rsid w:val="00815F71"/>
    <w:rsid w:val="008161F7"/>
    <w:rsid w:val="008164B3"/>
    <w:rsid w:val="008165CA"/>
    <w:rsid w:val="00816737"/>
    <w:rsid w:val="00816A6B"/>
    <w:rsid w:val="00816B6D"/>
    <w:rsid w:val="00816CAF"/>
    <w:rsid w:val="00816D20"/>
    <w:rsid w:val="00816EB7"/>
    <w:rsid w:val="008171BB"/>
    <w:rsid w:val="008172C8"/>
    <w:rsid w:val="00817395"/>
    <w:rsid w:val="008173C7"/>
    <w:rsid w:val="0081750C"/>
    <w:rsid w:val="0081767D"/>
    <w:rsid w:val="00817950"/>
    <w:rsid w:val="00817BD9"/>
    <w:rsid w:val="00817C5E"/>
    <w:rsid w:val="00817F4A"/>
    <w:rsid w:val="0082047E"/>
    <w:rsid w:val="00820802"/>
    <w:rsid w:val="00820DE3"/>
    <w:rsid w:val="00820E72"/>
    <w:rsid w:val="00821354"/>
    <w:rsid w:val="008213E9"/>
    <w:rsid w:val="00821882"/>
    <w:rsid w:val="00821AD1"/>
    <w:rsid w:val="00821E11"/>
    <w:rsid w:val="0082235E"/>
    <w:rsid w:val="00822A93"/>
    <w:rsid w:val="00823B33"/>
    <w:rsid w:val="008244FD"/>
    <w:rsid w:val="00824E7B"/>
    <w:rsid w:val="00824FA6"/>
    <w:rsid w:val="0082519A"/>
    <w:rsid w:val="00825446"/>
    <w:rsid w:val="00825764"/>
    <w:rsid w:val="008258FB"/>
    <w:rsid w:val="00825BA5"/>
    <w:rsid w:val="00825DC2"/>
    <w:rsid w:val="00825F75"/>
    <w:rsid w:val="0082640A"/>
    <w:rsid w:val="00826540"/>
    <w:rsid w:val="00826599"/>
    <w:rsid w:val="008268A1"/>
    <w:rsid w:val="008268CA"/>
    <w:rsid w:val="00826A37"/>
    <w:rsid w:val="00826D6C"/>
    <w:rsid w:val="008271C5"/>
    <w:rsid w:val="0082796D"/>
    <w:rsid w:val="00830847"/>
    <w:rsid w:val="00830C7A"/>
    <w:rsid w:val="00830F5F"/>
    <w:rsid w:val="00830FC7"/>
    <w:rsid w:val="008316AA"/>
    <w:rsid w:val="00831764"/>
    <w:rsid w:val="00831EEC"/>
    <w:rsid w:val="008324C2"/>
    <w:rsid w:val="00832D92"/>
    <w:rsid w:val="00832E2D"/>
    <w:rsid w:val="00832ECA"/>
    <w:rsid w:val="00833141"/>
    <w:rsid w:val="00833312"/>
    <w:rsid w:val="008334DB"/>
    <w:rsid w:val="00833516"/>
    <w:rsid w:val="00833DBB"/>
    <w:rsid w:val="00834642"/>
    <w:rsid w:val="008348A7"/>
    <w:rsid w:val="00834AD3"/>
    <w:rsid w:val="00834B02"/>
    <w:rsid w:val="00834CF3"/>
    <w:rsid w:val="00834D80"/>
    <w:rsid w:val="00834EC6"/>
    <w:rsid w:val="00835D35"/>
    <w:rsid w:val="00836B20"/>
    <w:rsid w:val="00836BB3"/>
    <w:rsid w:val="008370EE"/>
    <w:rsid w:val="008371FB"/>
    <w:rsid w:val="00837769"/>
    <w:rsid w:val="0083794B"/>
    <w:rsid w:val="00837A74"/>
    <w:rsid w:val="00837D00"/>
    <w:rsid w:val="00840096"/>
    <w:rsid w:val="0084022B"/>
    <w:rsid w:val="008405F0"/>
    <w:rsid w:val="008407CD"/>
    <w:rsid w:val="00840CB9"/>
    <w:rsid w:val="008410FF"/>
    <w:rsid w:val="00841276"/>
    <w:rsid w:val="0084141C"/>
    <w:rsid w:val="008417C0"/>
    <w:rsid w:val="00841FA8"/>
    <w:rsid w:val="00842071"/>
    <w:rsid w:val="00842D86"/>
    <w:rsid w:val="00842EAF"/>
    <w:rsid w:val="0084327C"/>
    <w:rsid w:val="0084352B"/>
    <w:rsid w:val="00843795"/>
    <w:rsid w:val="00843923"/>
    <w:rsid w:val="00843DDA"/>
    <w:rsid w:val="008447C0"/>
    <w:rsid w:val="008449DC"/>
    <w:rsid w:val="00845008"/>
    <w:rsid w:val="00845203"/>
    <w:rsid w:val="00845462"/>
    <w:rsid w:val="0084588C"/>
    <w:rsid w:val="008459F7"/>
    <w:rsid w:val="00845B44"/>
    <w:rsid w:val="00845C9A"/>
    <w:rsid w:val="00845F1D"/>
    <w:rsid w:val="00845FE1"/>
    <w:rsid w:val="008464A8"/>
    <w:rsid w:val="008465EF"/>
    <w:rsid w:val="00847725"/>
    <w:rsid w:val="00847F0F"/>
    <w:rsid w:val="00850140"/>
    <w:rsid w:val="0085039C"/>
    <w:rsid w:val="00850459"/>
    <w:rsid w:val="0085052E"/>
    <w:rsid w:val="0085055D"/>
    <w:rsid w:val="00850632"/>
    <w:rsid w:val="00850679"/>
    <w:rsid w:val="0085118F"/>
    <w:rsid w:val="00851F05"/>
    <w:rsid w:val="008520A7"/>
    <w:rsid w:val="008523F0"/>
    <w:rsid w:val="00852448"/>
    <w:rsid w:val="0085253D"/>
    <w:rsid w:val="008525ED"/>
    <w:rsid w:val="008528C2"/>
    <w:rsid w:val="00853296"/>
    <w:rsid w:val="00853FEE"/>
    <w:rsid w:val="008541AC"/>
    <w:rsid w:val="00854343"/>
    <w:rsid w:val="008548D3"/>
    <w:rsid w:val="00854FBF"/>
    <w:rsid w:val="00855077"/>
    <w:rsid w:val="00855147"/>
    <w:rsid w:val="0085526A"/>
    <w:rsid w:val="0085542D"/>
    <w:rsid w:val="00855EA2"/>
    <w:rsid w:val="0085641F"/>
    <w:rsid w:val="00856508"/>
    <w:rsid w:val="0085690C"/>
    <w:rsid w:val="00856C62"/>
    <w:rsid w:val="00857BCC"/>
    <w:rsid w:val="00857CAA"/>
    <w:rsid w:val="00860033"/>
    <w:rsid w:val="00860140"/>
    <w:rsid w:val="00860A1A"/>
    <w:rsid w:val="00860B27"/>
    <w:rsid w:val="00860D21"/>
    <w:rsid w:val="008610CA"/>
    <w:rsid w:val="00861A07"/>
    <w:rsid w:val="008620E2"/>
    <w:rsid w:val="00862267"/>
    <w:rsid w:val="00862601"/>
    <w:rsid w:val="008628A2"/>
    <w:rsid w:val="00862C6F"/>
    <w:rsid w:val="00862D1A"/>
    <w:rsid w:val="00862E6A"/>
    <w:rsid w:val="0086326F"/>
    <w:rsid w:val="008633D7"/>
    <w:rsid w:val="00863A1D"/>
    <w:rsid w:val="00863AF5"/>
    <w:rsid w:val="00863E91"/>
    <w:rsid w:val="00863EEC"/>
    <w:rsid w:val="00863F6E"/>
    <w:rsid w:val="00864899"/>
    <w:rsid w:val="00864B91"/>
    <w:rsid w:val="00864C6B"/>
    <w:rsid w:val="00864F19"/>
    <w:rsid w:val="008650E1"/>
    <w:rsid w:val="00865117"/>
    <w:rsid w:val="00865310"/>
    <w:rsid w:val="0086546D"/>
    <w:rsid w:val="00865542"/>
    <w:rsid w:val="008657E1"/>
    <w:rsid w:val="008662C2"/>
    <w:rsid w:val="0086638A"/>
    <w:rsid w:val="00866C6F"/>
    <w:rsid w:val="00867084"/>
    <w:rsid w:val="0086767D"/>
    <w:rsid w:val="00867957"/>
    <w:rsid w:val="00867BF7"/>
    <w:rsid w:val="00867E4B"/>
    <w:rsid w:val="0087001C"/>
    <w:rsid w:val="008700B4"/>
    <w:rsid w:val="008702FE"/>
    <w:rsid w:val="0087063C"/>
    <w:rsid w:val="0087079F"/>
    <w:rsid w:val="00870930"/>
    <w:rsid w:val="00870954"/>
    <w:rsid w:val="00870CA6"/>
    <w:rsid w:val="00871288"/>
    <w:rsid w:val="00871426"/>
    <w:rsid w:val="00871FA2"/>
    <w:rsid w:val="00872362"/>
    <w:rsid w:val="00872775"/>
    <w:rsid w:val="008727CE"/>
    <w:rsid w:val="008727EC"/>
    <w:rsid w:val="00872AFD"/>
    <w:rsid w:val="00872CB1"/>
    <w:rsid w:val="00872F99"/>
    <w:rsid w:val="00873571"/>
    <w:rsid w:val="0087361E"/>
    <w:rsid w:val="00873874"/>
    <w:rsid w:val="008739B9"/>
    <w:rsid w:val="00874CA5"/>
    <w:rsid w:val="0087564A"/>
    <w:rsid w:val="008761F1"/>
    <w:rsid w:val="008762CD"/>
    <w:rsid w:val="00876F06"/>
    <w:rsid w:val="00877B63"/>
    <w:rsid w:val="00877FD3"/>
    <w:rsid w:val="008801AA"/>
    <w:rsid w:val="00880654"/>
    <w:rsid w:val="00880894"/>
    <w:rsid w:val="008812A3"/>
    <w:rsid w:val="00881451"/>
    <w:rsid w:val="00881DFF"/>
    <w:rsid w:val="00881F13"/>
    <w:rsid w:val="00882081"/>
    <w:rsid w:val="0088258A"/>
    <w:rsid w:val="00883273"/>
    <w:rsid w:val="0088375B"/>
    <w:rsid w:val="00884217"/>
    <w:rsid w:val="008842EA"/>
    <w:rsid w:val="008844AE"/>
    <w:rsid w:val="008845EF"/>
    <w:rsid w:val="00884603"/>
    <w:rsid w:val="0088473E"/>
    <w:rsid w:val="00884EA3"/>
    <w:rsid w:val="0088500A"/>
    <w:rsid w:val="008856B5"/>
    <w:rsid w:val="00885A31"/>
    <w:rsid w:val="00885BB5"/>
    <w:rsid w:val="00885FE6"/>
    <w:rsid w:val="0088608A"/>
    <w:rsid w:val="00886332"/>
    <w:rsid w:val="008866B7"/>
    <w:rsid w:val="00886C0D"/>
    <w:rsid w:val="00886DA6"/>
    <w:rsid w:val="00886E25"/>
    <w:rsid w:val="00886F8D"/>
    <w:rsid w:val="00887584"/>
    <w:rsid w:val="008876C2"/>
    <w:rsid w:val="00887836"/>
    <w:rsid w:val="0088789E"/>
    <w:rsid w:val="00887A95"/>
    <w:rsid w:val="00887B00"/>
    <w:rsid w:val="00887EC6"/>
    <w:rsid w:val="00887F9C"/>
    <w:rsid w:val="0089017D"/>
    <w:rsid w:val="008905D1"/>
    <w:rsid w:val="00891060"/>
    <w:rsid w:val="00891367"/>
    <w:rsid w:val="00891660"/>
    <w:rsid w:val="00892333"/>
    <w:rsid w:val="008934CA"/>
    <w:rsid w:val="0089371E"/>
    <w:rsid w:val="008938CE"/>
    <w:rsid w:val="00893AF0"/>
    <w:rsid w:val="00894346"/>
    <w:rsid w:val="00894652"/>
    <w:rsid w:val="0089470F"/>
    <w:rsid w:val="00894A7E"/>
    <w:rsid w:val="00895F3F"/>
    <w:rsid w:val="0089630D"/>
    <w:rsid w:val="008965AA"/>
    <w:rsid w:val="008966CE"/>
    <w:rsid w:val="00896A86"/>
    <w:rsid w:val="00897036"/>
    <w:rsid w:val="0089777D"/>
    <w:rsid w:val="008979A2"/>
    <w:rsid w:val="00897CD9"/>
    <w:rsid w:val="008A0187"/>
    <w:rsid w:val="008A018E"/>
    <w:rsid w:val="008A1456"/>
    <w:rsid w:val="008A1699"/>
    <w:rsid w:val="008A18B4"/>
    <w:rsid w:val="008A196F"/>
    <w:rsid w:val="008A20C9"/>
    <w:rsid w:val="008A26D9"/>
    <w:rsid w:val="008A281E"/>
    <w:rsid w:val="008A3AE4"/>
    <w:rsid w:val="008A3C79"/>
    <w:rsid w:val="008A3E9A"/>
    <w:rsid w:val="008A46A9"/>
    <w:rsid w:val="008A48B2"/>
    <w:rsid w:val="008A4BB2"/>
    <w:rsid w:val="008A4E5E"/>
    <w:rsid w:val="008A4E9D"/>
    <w:rsid w:val="008A540F"/>
    <w:rsid w:val="008A5483"/>
    <w:rsid w:val="008A55BE"/>
    <w:rsid w:val="008A6A14"/>
    <w:rsid w:val="008A6BF6"/>
    <w:rsid w:val="008A6EA0"/>
    <w:rsid w:val="008A70A5"/>
    <w:rsid w:val="008A73C1"/>
    <w:rsid w:val="008A7BC0"/>
    <w:rsid w:val="008A7DD3"/>
    <w:rsid w:val="008B0274"/>
    <w:rsid w:val="008B04AE"/>
    <w:rsid w:val="008B05B4"/>
    <w:rsid w:val="008B0678"/>
    <w:rsid w:val="008B0959"/>
    <w:rsid w:val="008B09CD"/>
    <w:rsid w:val="008B0E36"/>
    <w:rsid w:val="008B158A"/>
    <w:rsid w:val="008B19C8"/>
    <w:rsid w:val="008B1FCE"/>
    <w:rsid w:val="008B2332"/>
    <w:rsid w:val="008B23D9"/>
    <w:rsid w:val="008B2EBF"/>
    <w:rsid w:val="008B33F8"/>
    <w:rsid w:val="008B364B"/>
    <w:rsid w:val="008B3872"/>
    <w:rsid w:val="008B38F0"/>
    <w:rsid w:val="008B3FC8"/>
    <w:rsid w:val="008B4132"/>
    <w:rsid w:val="008B4304"/>
    <w:rsid w:val="008B443E"/>
    <w:rsid w:val="008B594C"/>
    <w:rsid w:val="008B5BEB"/>
    <w:rsid w:val="008B6101"/>
    <w:rsid w:val="008B61D7"/>
    <w:rsid w:val="008B63B2"/>
    <w:rsid w:val="008B7336"/>
    <w:rsid w:val="008B74E7"/>
    <w:rsid w:val="008B74E8"/>
    <w:rsid w:val="008B79EB"/>
    <w:rsid w:val="008C08B6"/>
    <w:rsid w:val="008C0C29"/>
    <w:rsid w:val="008C0F20"/>
    <w:rsid w:val="008C1695"/>
    <w:rsid w:val="008C1947"/>
    <w:rsid w:val="008C1AB6"/>
    <w:rsid w:val="008C1AED"/>
    <w:rsid w:val="008C2200"/>
    <w:rsid w:val="008C25A8"/>
    <w:rsid w:val="008C26AB"/>
    <w:rsid w:val="008C2C79"/>
    <w:rsid w:val="008C3042"/>
    <w:rsid w:val="008C3144"/>
    <w:rsid w:val="008C3378"/>
    <w:rsid w:val="008C34EA"/>
    <w:rsid w:val="008C374C"/>
    <w:rsid w:val="008C4A94"/>
    <w:rsid w:val="008C4E35"/>
    <w:rsid w:val="008C5110"/>
    <w:rsid w:val="008C527E"/>
    <w:rsid w:val="008C54EB"/>
    <w:rsid w:val="008C5689"/>
    <w:rsid w:val="008C56D7"/>
    <w:rsid w:val="008C5D85"/>
    <w:rsid w:val="008C5E53"/>
    <w:rsid w:val="008C6050"/>
    <w:rsid w:val="008C622D"/>
    <w:rsid w:val="008C6649"/>
    <w:rsid w:val="008C701F"/>
    <w:rsid w:val="008C72E4"/>
    <w:rsid w:val="008C7A87"/>
    <w:rsid w:val="008D0A07"/>
    <w:rsid w:val="008D0C07"/>
    <w:rsid w:val="008D0E56"/>
    <w:rsid w:val="008D0F14"/>
    <w:rsid w:val="008D17C0"/>
    <w:rsid w:val="008D1EEA"/>
    <w:rsid w:val="008D2C0E"/>
    <w:rsid w:val="008D312F"/>
    <w:rsid w:val="008D344F"/>
    <w:rsid w:val="008D362C"/>
    <w:rsid w:val="008D40AA"/>
    <w:rsid w:val="008D4286"/>
    <w:rsid w:val="008D4458"/>
    <w:rsid w:val="008D49B5"/>
    <w:rsid w:val="008D543F"/>
    <w:rsid w:val="008D556E"/>
    <w:rsid w:val="008D58D7"/>
    <w:rsid w:val="008D5932"/>
    <w:rsid w:val="008D5D64"/>
    <w:rsid w:val="008D5FAD"/>
    <w:rsid w:val="008D6095"/>
    <w:rsid w:val="008D6133"/>
    <w:rsid w:val="008D682E"/>
    <w:rsid w:val="008D6C1F"/>
    <w:rsid w:val="008D717E"/>
    <w:rsid w:val="008D77B0"/>
    <w:rsid w:val="008D7884"/>
    <w:rsid w:val="008D7889"/>
    <w:rsid w:val="008D7D59"/>
    <w:rsid w:val="008D7E1E"/>
    <w:rsid w:val="008E0A7D"/>
    <w:rsid w:val="008E0D6A"/>
    <w:rsid w:val="008E0E7A"/>
    <w:rsid w:val="008E1153"/>
    <w:rsid w:val="008E11F2"/>
    <w:rsid w:val="008E1515"/>
    <w:rsid w:val="008E1A3C"/>
    <w:rsid w:val="008E1A6C"/>
    <w:rsid w:val="008E295D"/>
    <w:rsid w:val="008E2D15"/>
    <w:rsid w:val="008E3612"/>
    <w:rsid w:val="008E3985"/>
    <w:rsid w:val="008E4026"/>
    <w:rsid w:val="008E406F"/>
    <w:rsid w:val="008E41F8"/>
    <w:rsid w:val="008E4A47"/>
    <w:rsid w:val="008E513B"/>
    <w:rsid w:val="008E5A54"/>
    <w:rsid w:val="008E6018"/>
    <w:rsid w:val="008E6184"/>
    <w:rsid w:val="008E64DD"/>
    <w:rsid w:val="008E66BD"/>
    <w:rsid w:val="008E672F"/>
    <w:rsid w:val="008E6A93"/>
    <w:rsid w:val="008E6AF7"/>
    <w:rsid w:val="008E6C31"/>
    <w:rsid w:val="008E6E02"/>
    <w:rsid w:val="008E7183"/>
    <w:rsid w:val="008E7E8E"/>
    <w:rsid w:val="008E7EB5"/>
    <w:rsid w:val="008E7F98"/>
    <w:rsid w:val="008F0047"/>
    <w:rsid w:val="008F0248"/>
    <w:rsid w:val="008F04F9"/>
    <w:rsid w:val="008F0B6B"/>
    <w:rsid w:val="008F1855"/>
    <w:rsid w:val="008F209C"/>
    <w:rsid w:val="008F2143"/>
    <w:rsid w:val="008F27A6"/>
    <w:rsid w:val="008F2936"/>
    <w:rsid w:val="008F2A9B"/>
    <w:rsid w:val="008F2BCC"/>
    <w:rsid w:val="008F32BF"/>
    <w:rsid w:val="008F338D"/>
    <w:rsid w:val="008F3638"/>
    <w:rsid w:val="008F3BE1"/>
    <w:rsid w:val="008F3D9F"/>
    <w:rsid w:val="008F3F8F"/>
    <w:rsid w:val="008F4155"/>
    <w:rsid w:val="008F420F"/>
    <w:rsid w:val="008F4441"/>
    <w:rsid w:val="008F4681"/>
    <w:rsid w:val="008F507A"/>
    <w:rsid w:val="008F51CD"/>
    <w:rsid w:val="008F520F"/>
    <w:rsid w:val="008F57E8"/>
    <w:rsid w:val="008F5A83"/>
    <w:rsid w:val="008F5CE0"/>
    <w:rsid w:val="008F5EB6"/>
    <w:rsid w:val="008F6013"/>
    <w:rsid w:val="008F63F2"/>
    <w:rsid w:val="008F64A3"/>
    <w:rsid w:val="008F6F31"/>
    <w:rsid w:val="008F6FE8"/>
    <w:rsid w:val="008F74DF"/>
    <w:rsid w:val="008F7E83"/>
    <w:rsid w:val="00900470"/>
    <w:rsid w:val="009005BC"/>
    <w:rsid w:val="009008BD"/>
    <w:rsid w:val="00901395"/>
    <w:rsid w:val="009013B1"/>
    <w:rsid w:val="009013C2"/>
    <w:rsid w:val="00901530"/>
    <w:rsid w:val="009015E4"/>
    <w:rsid w:val="009016B0"/>
    <w:rsid w:val="0090220A"/>
    <w:rsid w:val="009025F7"/>
    <w:rsid w:val="009026B0"/>
    <w:rsid w:val="00902B62"/>
    <w:rsid w:val="00903046"/>
    <w:rsid w:val="00903183"/>
    <w:rsid w:val="00903810"/>
    <w:rsid w:val="00903B6D"/>
    <w:rsid w:val="00903C91"/>
    <w:rsid w:val="00903DDA"/>
    <w:rsid w:val="0090408C"/>
    <w:rsid w:val="009042D8"/>
    <w:rsid w:val="009044D4"/>
    <w:rsid w:val="00904551"/>
    <w:rsid w:val="009045DF"/>
    <w:rsid w:val="009048DA"/>
    <w:rsid w:val="00905075"/>
    <w:rsid w:val="00905AFF"/>
    <w:rsid w:val="00905D8A"/>
    <w:rsid w:val="009063DD"/>
    <w:rsid w:val="009066E6"/>
    <w:rsid w:val="00906769"/>
    <w:rsid w:val="00906D43"/>
    <w:rsid w:val="00906E4E"/>
    <w:rsid w:val="00906FA4"/>
    <w:rsid w:val="009071AB"/>
    <w:rsid w:val="009072F7"/>
    <w:rsid w:val="00907954"/>
    <w:rsid w:val="00907F5B"/>
    <w:rsid w:val="00910347"/>
    <w:rsid w:val="009105F2"/>
    <w:rsid w:val="009107F8"/>
    <w:rsid w:val="00910991"/>
    <w:rsid w:val="00910A83"/>
    <w:rsid w:val="00910E3F"/>
    <w:rsid w:val="0091123A"/>
    <w:rsid w:val="009115D0"/>
    <w:rsid w:val="00911890"/>
    <w:rsid w:val="009119FC"/>
    <w:rsid w:val="00911B9B"/>
    <w:rsid w:val="00911E41"/>
    <w:rsid w:val="00911FE1"/>
    <w:rsid w:val="0091205E"/>
    <w:rsid w:val="0091242F"/>
    <w:rsid w:val="009127BA"/>
    <w:rsid w:val="009128DF"/>
    <w:rsid w:val="00912AC6"/>
    <w:rsid w:val="00913B42"/>
    <w:rsid w:val="00913C11"/>
    <w:rsid w:val="0091438E"/>
    <w:rsid w:val="009143D6"/>
    <w:rsid w:val="009144E4"/>
    <w:rsid w:val="00914B2C"/>
    <w:rsid w:val="00914B41"/>
    <w:rsid w:val="00914D84"/>
    <w:rsid w:val="00915331"/>
    <w:rsid w:val="00915394"/>
    <w:rsid w:val="009156E8"/>
    <w:rsid w:val="009158E5"/>
    <w:rsid w:val="009158F2"/>
    <w:rsid w:val="0091621D"/>
    <w:rsid w:val="009165FB"/>
    <w:rsid w:val="00916619"/>
    <w:rsid w:val="0091663B"/>
    <w:rsid w:val="00916D23"/>
    <w:rsid w:val="00916E0D"/>
    <w:rsid w:val="00917476"/>
    <w:rsid w:val="009179F9"/>
    <w:rsid w:val="00917F6C"/>
    <w:rsid w:val="009201D3"/>
    <w:rsid w:val="00920816"/>
    <w:rsid w:val="00920885"/>
    <w:rsid w:val="00920BB4"/>
    <w:rsid w:val="0092132B"/>
    <w:rsid w:val="009213DB"/>
    <w:rsid w:val="0092154D"/>
    <w:rsid w:val="009221E9"/>
    <w:rsid w:val="00922279"/>
    <w:rsid w:val="0092237E"/>
    <w:rsid w:val="009227A6"/>
    <w:rsid w:val="00922A9F"/>
    <w:rsid w:val="009230C3"/>
    <w:rsid w:val="00923342"/>
    <w:rsid w:val="009235F8"/>
    <w:rsid w:val="0092366A"/>
    <w:rsid w:val="0092368C"/>
    <w:rsid w:val="0092377E"/>
    <w:rsid w:val="00923A31"/>
    <w:rsid w:val="00923EE2"/>
    <w:rsid w:val="00923F9E"/>
    <w:rsid w:val="00924526"/>
    <w:rsid w:val="009246B0"/>
    <w:rsid w:val="00924949"/>
    <w:rsid w:val="00924B7D"/>
    <w:rsid w:val="00924D94"/>
    <w:rsid w:val="00924FEA"/>
    <w:rsid w:val="009253F2"/>
    <w:rsid w:val="00925611"/>
    <w:rsid w:val="00926634"/>
    <w:rsid w:val="00926648"/>
    <w:rsid w:val="00926E8E"/>
    <w:rsid w:val="00927A62"/>
    <w:rsid w:val="00927B5D"/>
    <w:rsid w:val="00927CD8"/>
    <w:rsid w:val="00927CF1"/>
    <w:rsid w:val="00930B2C"/>
    <w:rsid w:val="00930F7B"/>
    <w:rsid w:val="00930FD9"/>
    <w:rsid w:val="009310AD"/>
    <w:rsid w:val="0093159C"/>
    <w:rsid w:val="00931901"/>
    <w:rsid w:val="00931ADA"/>
    <w:rsid w:val="00931DFC"/>
    <w:rsid w:val="00931E8E"/>
    <w:rsid w:val="009320F2"/>
    <w:rsid w:val="00932193"/>
    <w:rsid w:val="00932484"/>
    <w:rsid w:val="00932D39"/>
    <w:rsid w:val="00932F8C"/>
    <w:rsid w:val="00932FDD"/>
    <w:rsid w:val="009331CA"/>
    <w:rsid w:val="00933EC1"/>
    <w:rsid w:val="00933FDB"/>
    <w:rsid w:val="009340C3"/>
    <w:rsid w:val="0093416D"/>
    <w:rsid w:val="00934291"/>
    <w:rsid w:val="009345F4"/>
    <w:rsid w:val="0093550E"/>
    <w:rsid w:val="00935569"/>
    <w:rsid w:val="00935718"/>
    <w:rsid w:val="009357C6"/>
    <w:rsid w:val="0093620B"/>
    <w:rsid w:val="0093641E"/>
    <w:rsid w:val="0093642C"/>
    <w:rsid w:val="0093655D"/>
    <w:rsid w:val="009371BE"/>
    <w:rsid w:val="009373F5"/>
    <w:rsid w:val="009375E1"/>
    <w:rsid w:val="009378A2"/>
    <w:rsid w:val="0094001F"/>
    <w:rsid w:val="009400F1"/>
    <w:rsid w:val="00940D6E"/>
    <w:rsid w:val="009410D8"/>
    <w:rsid w:val="009411F1"/>
    <w:rsid w:val="009419FD"/>
    <w:rsid w:val="00941ECC"/>
    <w:rsid w:val="00942A2E"/>
    <w:rsid w:val="00942F7F"/>
    <w:rsid w:val="00943649"/>
    <w:rsid w:val="009438EE"/>
    <w:rsid w:val="00943FC6"/>
    <w:rsid w:val="00944313"/>
    <w:rsid w:val="0094497C"/>
    <w:rsid w:val="00944D33"/>
    <w:rsid w:val="00945776"/>
    <w:rsid w:val="00945966"/>
    <w:rsid w:val="00945D2E"/>
    <w:rsid w:val="00946C49"/>
    <w:rsid w:val="00946D36"/>
    <w:rsid w:val="00946F02"/>
    <w:rsid w:val="00950036"/>
    <w:rsid w:val="0095053A"/>
    <w:rsid w:val="0095057A"/>
    <w:rsid w:val="00950C7C"/>
    <w:rsid w:val="0095116F"/>
    <w:rsid w:val="00951254"/>
    <w:rsid w:val="00951957"/>
    <w:rsid w:val="009520DC"/>
    <w:rsid w:val="0095224C"/>
    <w:rsid w:val="0095240D"/>
    <w:rsid w:val="0095275E"/>
    <w:rsid w:val="0095297B"/>
    <w:rsid w:val="009530DB"/>
    <w:rsid w:val="009532E8"/>
    <w:rsid w:val="00953489"/>
    <w:rsid w:val="00953676"/>
    <w:rsid w:val="009537A9"/>
    <w:rsid w:val="0095395E"/>
    <w:rsid w:val="00953B66"/>
    <w:rsid w:val="00953E09"/>
    <w:rsid w:val="0095446A"/>
    <w:rsid w:val="00954559"/>
    <w:rsid w:val="00954643"/>
    <w:rsid w:val="0095492C"/>
    <w:rsid w:val="00954B9B"/>
    <w:rsid w:val="00954E6F"/>
    <w:rsid w:val="0095523E"/>
    <w:rsid w:val="009554BA"/>
    <w:rsid w:val="0095553C"/>
    <w:rsid w:val="0095559E"/>
    <w:rsid w:val="00955942"/>
    <w:rsid w:val="00955AF7"/>
    <w:rsid w:val="00955B4C"/>
    <w:rsid w:val="00955F2D"/>
    <w:rsid w:val="0095681E"/>
    <w:rsid w:val="0095696B"/>
    <w:rsid w:val="00956CB8"/>
    <w:rsid w:val="00957091"/>
    <w:rsid w:val="0095794B"/>
    <w:rsid w:val="00957DE9"/>
    <w:rsid w:val="009604E6"/>
    <w:rsid w:val="00960B7E"/>
    <w:rsid w:val="0096152F"/>
    <w:rsid w:val="0096183C"/>
    <w:rsid w:val="00961F43"/>
    <w:rsid w:val="00961FC5"/>
    <w:rsid w:val="00962074"/>
    <w:rsid w:val="00962A85"/>
    <w:rsid w:val="00962F7D"/>
    <w:rsid w:val="00963063"/>
    <w:rsid w:val="009631C7"/>
    <w:rsid w:val="0096328B"/>
    <w:rsid w:val="009640E6"/>
    <w:rsid w:val="009648C7"/>
    <w:rsid w:val="00965584"/>
    <w:rsid w:val="009658EE"/>
    <w:rsid w:val="00965A0B"/>
    <w:rsid w:val="00965B31"/>
    <w:rsid w:val="00965CAA"/>
    <w:rsid w:val="00966262"/>
    <w:rsid w:val="00966927"/>
    <w:rsid w:val="00966DBF"/>
    <w:rsid w:val="00966F16"/>
    <w:rsid w:val="009675F1"/>
    <w:rsid w:val="009700E0"/>
    <w:rsid w:val="00970339"/>
    <w:rsid w:val="009705EE"/>
    <w:rsid w:val="00970BFC"/>
    <w:rsid w:val="00970FA8"/>
    <w:rsid w:val="0097112F"/>
    <w:rsid w:val="0097199F"/>
    <w:rsid w:val="00971AC1"/>
    <w:rsid w:val="00971B92"/>
    <w:rsid w:val="009721FD"/>
    <w:rsid w:val="00972393"/>
    <w:rsid w:val="009728C5"/>
    <w:rsid w:val="0097317D"/>
    <w:rsid w:val="009731CA"/>
    <w:rsid w:val="0097331B"/>
    <w:rsid w:val="009733C7"/>
    <w:rsid w:val="00973545"/>
    <w:rsid w:val="009737D4"/>
    <w:rsid w:val="009742A5"/>
    <w:rsid w:val="00974301"/>
    <w:rsid w:val="0097441E"/>
    <w:rsid w:val="00974B3E"/>
    <w:rsid w:val="00974C6F"/>
    <w:rsid w:val="00974D44"/>
    <w:rsid w:val="009750E0"/>
    <w:rsid w:val="009752A2"/>
    <w:rsid w:val="009753BF"/>
    <w:rsid w:val="00975BD6"/>
    <w:rsid w:val="00975CE0"/>
    <w:rsid w:val="00975D37"/>
    <w:rsid w:val="009763BA"/>
    <w:rsid w:val="00976977"/>
    <w:rsid w:val="00976E05"/>
    <w:rsid w:val="0097788A"/>
    <w:rsid w:val="00977927"/>
    <w:rsid w:val="0098021D"/>
    <w:rsid w:val="009804FE"/>
    <w:rsid w:val="0098135C"/>
    <w:rsid w:val="009813F1"/>
    <w:rsid w:val="0098145B"/>
    <w:rsid w:val="0098156A"/>
    <w:rsid w:val="00982FC0"/>
    <w:rsid w:val="00983153"/>
    <w:rsid w:val="0098316A"/>
    <w:rsid w:val="0098377A"/>
    <w:rsid w:val="0098385A"/>
    <w:rsid w:val="009838D7"/>
    <w:rsid w:val="0098391C"/>
    <w:rsid w:val="00983C2E"/>
    <w:rsid w:val="00983C80"/>
    <w:rsid w:val="00984052"/>
    <w:rsid w:val="009849BC"/>
    <w:rsid w:val="00984B34"/>
    <w:rsid w:val="00984BE7"/>
    <w:rsid w:val="00984CC4"/>
    <w:rsid w:val="00984D68"/>
    <w:rsid w:val="009850DE"/>
    <w:rsid w:val="009851F9"/>
    <w:rsid w:val="009852D4"/>
    <w:rsid w:val="00985365"/>
    <w:rsid w:val="00985479"/>
    <w:rsid w:val="00985603"/>
    <w:rsid w:val="00985DC4"/>
    <w:rsid w:val="00985E54"/>
    <w:rsid w:val="00986073"/>
    <w:rsid w:val="00986271"/>
    <w:rsid w:val="00986450"/>
    <w:rsid w:val="0098675F"/>
    <w:rsid w:val="009869CB"/>
    <w:rsid w:val="009871FF"/>
    <w:rsid w:val="00987C84"/>
    <w:rsid w:val="00987F0B"/>
    <w:rsid w:val="00987FC9"/>
    <w:rsid w:val="0099050E"/>
    <w:rsid w:val="009906CD"/>
    <w:rsid w:val="0099113E"/>
    <w:rsid w:val="00991BAC"/>
    <w:rsid w:val="00992738"/>
    <w:rsid w:val="00992C3C"/>
    <w:rsid w:val="00992F72"/>
    <w:rsid w:val="009930F9"/>
    <w:rsid w:val="009935C7"/>
    <w:rsid w:val="0099363F"/>
    <w:rsid w:val="00993804"/>
    <w:rsid w:val="00993ECA"/>
    <w:rsid w:val="00994312"/>
    <w:rsid w:val="009946C4"/>
    <w:rsid w:val="00994A0C"/>
    <w:rsid w:val="00994D49"/>
    <w:rsid w:val="0099532E"/>
    <w:rsid w:val="009953FA"/>
    <w:rsid w:val="00995C6C"/>
    <w:rsid w:val="00996BA8"/>
    <w:rsid w:val="00997B05"/>
    <w:rsid w:val="00997C72"/>
    <w:rsid w:val="00997EE3"/>
    <w:rsid w:val="009A0193"/>
    <w:rsid w:val="009A0A27"/>
    <w:rsid w:val="009A0CB7"/>
    <w:rsid w:val="009A1065"/>
    <w:rsid w:val="009A1079"/>
    <w:rsid w:val="009A1CFB"/>
    <w:rsid w:val="009A2C18"/>
    <w:rsid w:val="009A2DC3"/>
    <w:rsid w:val="009A2FEF"/>
    <w:rsid w:val="009A3076"/>
    <w:rsid w:val="009A361E"/>
    <w:rsid w:val="009A3640"/>
    <w:rsid w:val="009A3BD0"/>
    <w:rsid w:val="009A3E73"/>
    <w:rsid w:val="009A45D9"/>
    <w:rsid w:val="009A4A3F"/>
    <w:rsid w:val="009A4ECE"/>
    <w:rsid w:val="009A5141"/>
    <w:rsid w:val="009A52CD"/>
    <w:rsid w:val="009A5720"/>
    <w:rsid w:val="009A5AA7"/>
    <w:rsid w:val="009A5B35"/>
    <w:rsid w:val="009A6049"/>
    <w:rsid w:val="009A662F"/>
    <w:rsid w:val="009A670D"/>
    <w:rsid w:val="009A6B40"/>
    <w:rsid w:val="009A6DE5"/>
    <w:rsid w:val="009A6EA0"/>
    <w:rsid w:val="009A6F77"/>
    <w:rsid w:val="009A701D"/>
    <w:rsid w:val="009A7078"/>
    <w:rsid w:val="009A735B"/>
    <w:rsid w:val="009A76B3"/>
    <w:rsid w:val="009A7817"/>
    <w:rsid w:val="009A78F8"/>
    <w:rsid w:val="009A7AD8"/>
    <w:rsid w:val="009B0140"/>
    <w:rsid w:val="009B04E3"/>
    <w:rsid w:val="009B0831"/>
    <w:rsid w:val="009B08B6"/>
    <w:rsid w:val="009B0A6E"/>
    <w:rsid w:val="009B106D"/>
    <w:rsid w:val="009B1AAB"/>
    <w:rsid w:val="009B20A2"/>
    <w:rsid w:val="009B216F"/>
    <w:rsid w:val="009B298B"/>
    <w:rsid w:val="009B2F41"/>
    <w:rsid w:val="009B31F4"/>
    <w:rsid w:val="009B3555"/>
    <w:rsid w:val="009B3790"/>
    <w:rsid w:val="009B3A74"/>
    <w:rsid w:val="009B3C15"/>
    <w:rsid w:val="009B3E53"/>
    <w:rsid w:val="009B41D2"/>
    <w:rsid w:val="009B58B1"/>
    <w:rsid w:val="009B5961"/>
    <w:rsid w:val="009B5CFD"/>
    <w:rsid w:val="009B6569"/>
    <w:rsid w:val="009B65A1"/>
    <w:rsid w:val="009B665D"/>
    <w:rsid w:val="009B74B2"/>
    <w:rsid w:val="009B7A32"/>
    <w:rsid w:val="009C0054"/>
    <w:rsid w:val="009C09F2"/>
    <w:rsid w:val="009C0E58"/>
    <w:rsid w:val="009C1041"/>
    <w:rsid w:val="009C1335"/>
    <w:rsid w:val="009C1AB2"/>
    <w:rsid w:val="009C1F44"/>
    <w:rsid w:val="009C2365"/>
    <w:rsid w:val="009C3732"/>
    <w:rsid w:val="009C3F3C"/>
    <w:rsid w:val="009C4091"/>
    <w:rsid w:val="009C486B"/>
    <w:rsid w:val="009C49FE"/>
    <w:rsid w:val="009C4A93"/>
    <w:rsid w:val="009C4CB8"/>
    <w:rsid w:val="009C4D35"/>
    <w:rsid w:val="009C52E4"/>
    <w:rsid w:val="009C585B"/>
    <w:rsid w:val="009C5AEF"/>
    <w:rsid w:val="009C5B32"/>
    <w:rsid w:val="009C7251"/>
    <w:rsid w:val="009C7BAD"/>
    <w:rsid w:val="009D0272"/>
    <w:rsid w:val="009D0363"/>
    <w:rsid w:val="009D0603"/>
    <w:rsid w:val="009D0A0D"/>
    <w:rsid w:val="009D116C"/>
    <w:rsid w:val="009D13BD"/>
    <w:rsid w:val="009D14E9"/>
    <w:rsid w:val="009D2269"/>
    <w:rsid w:val="009D2A21"/>
    <w:rsid w:val="009D2ED9"/>
    <w:rsid w:val="009D2F71"/>
    <w:rsid w:val="009D3116"/>
    <w:rsid w:val="009D3536"/>
    <w:rsid w:val="009D39DE"/>
    <w:rsid w:val="009D4B65"/>
    <w:rsid w:val="009D5AB4"/>
    <w:rsid w:val="009D5B49"/>
    <w:rsid w:val="009D5FB0"/>
    <w:rsid w:val="009D623F"/>
    <w:rsid w:val="009D674A"/>
    <w:rsid w:val="009D6C2C"/>
    <w:rsid w:val="009D6D89"/>
    <w:rsid w:val="009D70CF"/>
    <w:rsid w:val="009D7B59"/>
    <w:rsid w:val="009D7C65"/>
    <w:rsid w:val="009E0740"/>
    <w:rsid w:val="009E09BD"/>
    <w:rsid w:val="009E10FF"/>
    <w:rsid w:val="009E125E"/>
    <w:rsid w:val="009E13C2"/>
    <w:rsid w:val="009E196C"/>
    <w:rsid w:val="009E1A82"/>
    <w:rsid w:val="009E1C88"/>
    <w:rsid w:val="009E1F6D"/>
    <w:rsid w:val="009E2244"/>
    <w:rsid w:val="009E242C"/>
    <w:rsid w:val="009E246F"/>
    <w:rsid w:val="009E2A03"/>
    <w:rsid w:val="009E2C88"/>
    <w:rsid w:val="009E2E91"/>
    <w:rsid w:val="009E36A5"/>
    <w:rsid w:val="009E3A12"/>
    <w:rsid w:val="009E3B2A"/>
    <w:rsid w:val="009E3C7E"/>
    <w:rsid w:val="009E3DF5"/>
    <w:rsid w:val="009E3DFA"/>
    <w:rsid w:val="009E3E8D"/>
    <w:rsid w:val="009E41AA"/>
    <w:rsid w:val="009E420E"/>
    <w:rsid w:val="009E43B6"/>
    <w:rsid w:val="009E46F3"/>
    <w:rsid w:val="009E48D2"/>
    <w:rsid w:val="009E48E0"/>
    <w:rsid w:val="009E4AB0"/>
    <w:rsid w:val="009E4FB3"/>
    <w:rsid w:val="009E51F3"/>
    <w:rsid w:val="009E56D3"/>
    <w:rsid w:val="009E58BB"/>
    <w:rsid w:val="009E5B96"/>
    <w:rsid w:val="009E6233"/>
    <w:rsid w:val="009E640D"/>
    <w:rsid w:val="009E6457"/>
    <w:rsid w:val="009E750E"/>
    <w:rsid w:val="009E7A37"/>
    <w:rsid w:val="009E7C5F"/>
    <w:rsid w:val="009E7E21"/>
    <w:rsid w:val="009E7E4A"/>
    <w:rsid w:val="009E7EB0"/>
    <w:rsid w:val="009E7FF3"/>
    <w:rsid w:val="009F0837"/>
    <w:rsid w:val="009F08CB"/>
    <w:rsid w:val="009F0C78"/>
    <w:rsid w:val="009F0CE8"/>
    <w:rsid w:val="009F1628"/>
    <w:rsid w:val="009F16C0"/>
    <w:rsid w:val="009F2069"/>
    <w:rsid w:val="009F25F5"/>
    <w:rsid w:val="009F2677"/>
    <w:rsid w:val="009F2C75"/>
    <w:rsid w:val="009F318D"/>
    <w:rsid w:val="009F31C2"/>
    <w:rsid w:val="009F3240"/>
    <w:rsid w:val="009F3598"/>
    <w:rsid w:val="009F3B36"/>
    <w:rsid w:val="009F3C92"/>
    <w:rsid w:val="009F49D7"/>
    <w:rsid w:val="009F4D4D"/>
    <w:rsid w:val="009F56CF"/>
    <w:rsid w:val="009F5B26"/>
    <w:rsid w:val="009F6589"/>
    <w:rsid w:val="009F68AC"/>
    <w:rsid w:val="009F6BB5"/>
    <w:rsid w:val="009F6C72"/>
    <w:rsid w:val="009F6F1E"/>
    <w:rsid w:val="009F6F3D"/>
    <w:rsid w:val="009F7103"/>
    <w:rsid w:val="009F73FE"/>
    <w:rsid w:val="009F7614"/>
    <w:rsid w:val="009F781B"/>
    <w:rsid w:val="00A0034F"/>
    <w:rsid w:val="00A00D80"/>
    <w:rsid w:val="00A00FA9"/>
    <w:rsid w:val="00A013FB"/>
    <w:rsid w:val="00A014BF"/>
    <w:rsid w:val="00A02628"/>
    <w:rsid w:val="00A02C20"/>
    <w:rsid w:val="00A02CE0"/>
    <w:rsid w:val="00A02DC1"/>
    <w:rsid w:val="00A02EF1"/>
    <w:rsid w:val="00A0390B"/>
    <w:rsid w:val="00A03980"/>
    <w:rsid w:val="00A03A27"/>
    <w:rsid w:val="00A03D8E"/>
    <w:rsid w:val="00A0429B"/>
    <w:rsid w:val="00A042A0"/>
    <w:rsid w:val="00A04685"/>
    <w:rsid w:val="00A04EFD"/>
    <w:rsid w:val="00A055FA"/>
    <w:rsid w:val="00A05658"/>
    <w:rsid w:val="00A0572D"/>
    <w:rsid w:val="00A05813"/>
    <w:rsid w:val="00A06187"/>
    <w:rsid w:val="00A0625D"/>
    <w:rsid w:val="00A06305"/>
    <w:rsid w:val="00A06828"/>
    <w:rsid w:val="00A06A92"/>
    <w:rsid w:val="00A06BC7"/>
    <w:rsid w:val="00A06D96"/>
    <w:rsid w:val="00A06E3B"/>
    <w:rsid w:val="00A0770B"/>
    <w:rsid w:val="00A0780D"/>
    <w:rsid w:val="00A07AEE"/>
    <w:rsid w:val="00A07C8E"/>
    <w:rsid w:val="00A07CF5"/>
    <w:rsid w:val="00A07DCE"/>
    <w:rsid w:val="00A07EB1"/>
    <w:rsid w:val="00A07FFB"/>
    <w:rsid w:val="00A101A6"/>
    <w:rsid w:val="00A1099A"/>
    <w:rsid w:val="00A109AD"/>
    <w:rsid w:val="00A10A23"/>
    <w:rsid w:val="00A11546"/>
    <w:rsid w:val="00A11983"/>
    <w:rsid w:val="00A11F7F"/>
    <w:rsid w:val="00A11FE4"/>
    <w:rsid w:val="00A12473"/>
    <w:rsid w:val="00A127EA"/>
    <w:rsid w:val="00A12C8B"/>
    <w:rsid w:val="00A12EA3"/>
    <w:rsid w:val="00A13116"/>
    <w:rsid w:val="00A139F5"/>
    <w:rsid w:val="00A13DF6"/>
    <w:rsid w:val="00A1478D"/>
    <w:rsid w:val="00A14B11"/>
    <w:rsid w:val="00A14C94"/>
    <w:rsid w:val="00A14F5D"/>
    <w:rsid w:val="00A153E2"/>
    <w:rsid w:val="00A154A0"/>
    <w:rsid w:val="00A16292"/>
    <w:rsid w:val="00A162F1"/>
    <w:rsid w:val="00A16ACA"/>
    <w:rsid w:val="00A16C02"/>
    <w:rsid w:val="00A1713B"/>
    <w:rsid w:val="00A17347"/>
    <w:rsid w:val="00A1744B"/>
    <w:rsid w:val="00A174AD"/>
    <w:rsid w:val="00A17807"/>
    <w:rsid w:val="00A17835"/>
    <w:rsid w:val="00A17F12"/>
    <w:rsid w:val="00A205D4"/>
    <w:rsid w:val="00A20AAB"/>
    <w:rsid w:val="00A20E25"/>
    <w:rsid w:val="00A20EBA"/>
    <w:rsid w:val="00A212B4"/>
    <w:rsid w:val="00A219BE"/>
    <w:rsid w:val="00A22274"/>
    <w:rsid w:val="00A22315"/>
    <w:rsid w:val="00A22459"/>
    <w:rsid w:val="00A225C2"/>
    <w:rsid w:val="00A227A6"/>
    <w:rsid w:val="00A22EDC"/>
    <w:rsid w:val="00A23022"/>
    <w:rsid w:val="00A2345A"/>
    <w:rsid w:val="00A234CF"/>
    <w:rsid w:val="00A23801"/>
    <w:rsid w:val="00A2394D"/>
    <w:rsid w:val="00A243FB"/>
    <w:rsid w:val="00A245CF"/>
    <w:rsid w:val="00A24B2E"/>
    <w:rsid w:val="00A24B90"/>
    <w:rsid w:val="00A24F2C"/>
    <w:rsid w:val="00A25254"/>
    <w:rsid w:val="00A25A31"/>
    <w:rsid w:val="00A25F59"/>
    <w:rsid w:val="00A2680F"/>
    <w:rsid w:val="00A268C3"/>
    <w:rsid w:val="00A26A06"/>
    <w:rsid w:val="00A26D81"/>
    <w:rsid w:val="00A2711D"/>
    <w:rsid w:val="00A27274"/>
    <w:rsid w:val="00A2753D"/>
    <w:rsid w:val="00A2765B"/>
    <w:rsid w:val="00A2789A"/>
    <w:rsid w:val="00A27A6E"/>
    <w:rsid w:val="00A30190"/>
    <w:rsid w:val="00A313DD"/>
    <w:rsid w:val="00A32213"/>
    <w:rsid w:val="00A32C7E"/>
    <w:rsid w:val="00A3302F"/>
    <w:rsid w:val="00A33165"/>
    <w:rsid w:val="00A33182"/>
    <w:rsid w:val="00A33567"/>
    <w:rsid w:val="00A337B2"/>
    <w:rsid w:val="00A33866"/>
    <w:rsid w:val="00A33DE2"/>
    <w:rsid w:val="00A34247"/>
    <w:rsid w:val="00A3433A"/>
    <w:rsid w:val="00A344FB"/>
    <w:rsid w:val="00A3455E"/>
    <w:rsid w:val="00A34AB2"/>
    <w:rsid w:val="00A34C06"/>
    <w:rsid w:val="00A35F77"/>
    <w:rsid w:val="00A365F4"/>
    <w:rsid w:val="00A366B9"/>
    <w:rsid w:val="00A36AAA"/>
    <w:rsid w:val="00A36CFF"/>
    <w:rsid w:val="00A37BA8"/>
    <w:rsid w:val="00A37C6C"/>
    <w:rsid w:val="00A37D80"/>
    <w:rsid w:val="00A37EF9"/>
    <w:rsid w:val="00A41553"/>
    <w:rsid w:val="00A41572"/>
    <w:rsid w:val="00A41B03"/>
    <w:rsid w:val="00A42157"/>
    <w:rsid w:val="00A42388"/>
    <w:rsid w:val="00A4244D"/>
    <w:rsid w:val="00A429E4"/>
    <w:rsid w:val="00A42ABA"/>
    <w:rsid w:val="00A42E8C"/>
    <w:rsid w:val="00A43094"/>
    <w:rsid w:val="00A433A7"/>
    <w:rsid w:val="00A4370E"/>
    <w:rsid w:val="00A43D24"/>
    <w:rsid w:val="00A43D85"/>
    <w:rsid w:val="00A4492C"/>
    <w:rsid w:val="00A44B45"/>
    <w:rsid w:val="00A451B3"/>
    <w:rsid w:val="00A4550A"/>
    <w:rsid w:val="00A458A8"/>
    <w:rsid w:val="00A4613E"/>
    <w:rsid w:val="00A4621A"/>
    <w:rsid w:val="00A46656"/>
    <w:rsid w:val="00A46907"/>
    <w:rsid w:val="00A46BC9"/>
    <w:rsid w:val="00A46D7D"/>
    <w:rsid w:val="00A4703F"/>
    <w:rsid w:val="00A4797E"/>
    <w:rsid w:val="00A47D15"/>
    <w:rsid w:val="00A47D80"/>
    <w:rsid w:val="00A50DB8"/>
    <w:rsid w:val="00A5120A"/>
    <w:rsid w:val="00A514A3"/>
    <w:rsid w:val="00A5178E"/>
    <w:rsid w:val="00A51CA9"/>
    <w:rsid w:val="00A51D75"/>
    <w:rsid w:val="00A5229A"/>
    <w:rsid w:val="00A52A49"/>
    <w:rsid w:val="00A52E2D"/>
    <w:rsid w:val="00A52F63"/>
    <w:rsid w:val="00A53132"/>
    <w:rsid w:val="00A5319E"/>
    <w:rsid w:val="00A5345C"/>
    <w:rsid w:val="00A53C18"/>
    <w:rsid w:val="00A53C1A"/>
    <w:rsid w:val="00A53E54"/>
    <w:rsid w:val="00A54339"/>
    <w:rsid w:val="00A5455F"/>
    <w:rsid w:val="00A54775"/>
    <w:rsid w:val="00A54F43"/>
    <w:rsid w:val="00A55505"/>
    <w:rsid w:val="00A555FD"/>
    <w:rsid w:val="00A55DBC"/>
    <w:rsid w:val="00A55E14"/>
    <w:rsid w:val="00A56065"/>
    <w:rsid w:val="00A563F2"/>
    <w:rsid w:val="00A56477"/>
    <w:rsid w:val="00A565EA"/>
    <w:rsid w:val="00A566E8"/>
    <w:rsid w:val="00A567AD"/>
    <w:rsid w:val="00A56F17"/>
    <w:rsid w:val="00A571B9"/>
    <w:rsid w:val="00A571BA"/>
    <w:rsid w:val="00A5734B"/>
    <w:rsid w:val="00A57815"/>
    <w:rsid w:val="00A57871"/>
    <w:rsid w:val="00A57C44"/>
    <w:rsid w:val="00A57E0A"/>
    <w:rsid w:val="00A57E3D"/>
    <w:rsid w:val="00A60522"/>
    <w:rsid w:val="00A605A0"/>
    <w:rsid w:val="00A608D7"/>
    <w:rsid w:val="00A60F52"/>
    <w:rsid w:val="00A61348"/>
    <w:rsid w:val="00A61904"/>
    <w:rsid w:val="00A62091"/>
    <w:rsid w:val="00A624F6"/>
    <w:rsid w:val="00A6293F"/>
    <w:rsid w:val="00A62D58"/>
    <w:rsid w:val="00A63031"/>
    <w:rsid w:val="00A636A8"/>
    <w:rsid w:val="00A6378D"/>
    <w:rsid w:val="00A63C79"/>
    <w:rsid w:val="00A63D5E"/>
    <w:rsid w:val="00A64097"/>
    <w:rsid w:val="00A6465E"/>
    <w:rsid w:val="00A649B0"/>
    <w:rsid w:val="00A64B2F"/>
    <w:rsid w:val="00A64F09"/>
    <w:rsid w:val="00A6522B"/>
    <w:rsid w:val="00A652BB"/>
    <w:rsid w:val="00A6571B"/>
    <w:rsid w:val="00A6592E"/>
    <w:rsid w:val="00A65CFF"/>
    <w:rsid w:val="00A65F3A"/>
    <w:rsid w:val="00A661C0"/>
    <w:rsid w:val="00A662E7"/>
    <w:rsid w:val="00A66339"/>
    <w:rsid w:val="00A6660C"/>
    <w:rsid w:val="00A6666A"/>
    <w:rsid w:val="00A6678B"/>
    <w:rsid w:val="00A6683E"/>
    <w:rsid w:val="00A6698B"/>
    <w:rsid w:val="00A66CEA"/>
    <w:rsid w:val="00A674F2"/>
    <w:rsid w:val="00A676FA"/>
    <w:rsid w:val="00A67A1F"/>
    <w:rsid w:val="00A67ABC"/>
    <w:rsid w:val="00A67E0D"/>
    <w:rsid w:val="00A7002F"/>
    <w:rsid w:val="00A70209"/>
    <w:rsid w:val="00A7069C"/>
    <w:rsid w:val="00A70761"/>
    <w:rsid w:val="00A70965"/>
    <w:rsid w:val="00A71377"/>
    <w:rsid w:val="00A7140D"/>
    <w:rsid w:val="00A715BB"/>
    <w:rsid w:val="00A718CE"/>
    <w:rsid w:val="00A7196D"/>
    <w:rsid w:val="00A71ACE"/>
    <w:rsid w:val="00A7228D"/>
    <w:rsid w:val="00A72910"/>
    <w:rsid w:val="00A72FB2"/>
    <w:rsid w:val="00A73B21"/>
    <w:rsid w:val="00A74251"/>
    <w:rsid w:val="00A74529"/>
    <w:rsid w:val="00A74804"/>
    <w:rsid w:val="00A75969"/>
    <w:rsid w:val="00A75A7B"/>
    <w:rsid w:val="00A7614D"/>
    <w:rsid w:val="00A764DC"/>
    <w:rsid w:val="00A76FF1"/>
    <w:rsid w:val="00A77A05"/>
    <w:rsid w:val="00A77C8E"/>
    <w:rsid w:val="00A80FD4"/>
    <w:rsid w:val="00A810F9"/>
    <w:rsid w:val="00A81AD1"/>
    <w:rsid w:val="00A81ECA"/>
    <w:rsid w:val="00A82056"/>
    <w:rsid w:val="00A822AA"/>
    <w:rsid w:val="00A825F1"/>
    <w:rsid w:val="00A825F2"/>
    <w:rsid w:val="00A82962"/>
    <w:rsid w:val="00A82977"/>
    <w:rsid w:val="00A82E98"/>
    <w:rsid w:val="00A834AF"/>
    <w:rsid w:val="00A83940"/>
    <w:rsid w:val="00A841C7"/>
    <w:rsid w:val="00A84D89"/>
    <w:rsid w:val="00A84FD7"/>
    <w:rsid w:val="00A85049"/>
    <w:rsid w:val="00A850D9"/>
    <w:rsid w:val="00A85854"/>
    <w:rsid w:val="00A86ECC"/>
    <w:rsid w:val="00A86FCC"/>
    <w:rsid w:val="00A8705D"/>
    <w:rsid w:val="00A87301"/>
    <w:rsid w:val="00A8751F"/>
    <w:rsid w:val="00A87599"/>
    <w:rsid w:val="00A87AA8"/>
    <w:rsid w:val="00A87C4A"/>
    <w:rsid w:val="00A87D07"/>
    <w:rsid w:val="00A9008F"/>
    <w:rsid w:val="00A90207"/>
    <w:rsid w:val="00A91042"/>
    <w:rsid w:val="00A9117E"/>
    <w:rsid w:val="00A91BEC"/>
    <w:rsid w:val="00A91C97"/>
    <w:rsid w:val="00A91FD8"/>
    <w:rsid w:val="00A923FD"/>
    <w:rsid w:val="00A9300D"/>
    <w:rsid w:val="00A9308C"/>
    <w:rsid w:val="00A932A1"/>
    <w:rsid w:val="00A9345A"/>
    <w:rsid w:val="00A9350A"/>
    <w:rsid w:val="00A93547"/>
    <w:rsid w:val="00A9374E"/>
    <w:rsid w:val="00A938D8"/>
    <w:rsid w:val="00A9395A"/>
    <w:rsid w:val="00A94701"/>
    <w:rsid w:val="00A947B5"/>
    <w:rsid w:val="00A94FEE"/>
    <w:rsid w:val="00A95221"/>
    <w:rsid w:val="00A956C5"/>
    <w:rsid w:val="00A95854"/>
    <w:rsid w:val="00A95FB3"/>
    <w:rsid w:val="00A9680C"/>
    <w:rsid w:val="00A96A55"/>
    <w:rsid w:val="00A97361"/>
    <w:rsid w:val="00A97856"/>
    <w:rsid w:val="00A97F36"/>
    <w:rsid w:val="00A97FBE"/>
    <w:rsid w:val="00AA0071"/>
    <w:rsid w:val="00AA0314"/>
    <w:rsid w:val="00AA087F"/>
    <w:rsid w:val="00AA0EE3"/>
    <w:rsid w:val="00AA11DA"/>
    <w:rsid w:val="00AA11EC"/>
    <w:rsid w:val="00AA158F"/>
    <w:rsid w:val="00AA1A55"/>
    <w:rsid w:val="00AA20A2"/>
    <w:rsid w:val="00AA222D"/>
    <w:rsid w:val="00AA23D3"/>
    <w:rsid w:val="00AA290E"/>
    <w:rsid w:val="00AA2949"/>
    <w:rsid w:val="00AA2B06"/>
    <w:rsid w:val="00AA3A54"/>
    <w:rsid w:val="00AA3C6E"/>
    <w:rsid w:val="00AA3DA7"/>
    <w:rsid w:val="00AA42F2"/>
    <w:rsid w:val="00AA48AF"/>
    <w:rsid w:val="00AA48DA"/>
    <w:rsid w:val="00AA4A5D"/>
    <w:rsid w:val="00AA543D"/>
    <w:rsid w:val="00AA548C"/>
    <w:rsid w:val="00AA5550"/>
    <w:rsid w:val="00AA5562"/>
    <w:rsid w:val="00AA592C"/>
    <w:rsid w:val="00AA5A43"/>
    <w:rsid w:val="00AA6439"/>
    <w:rsid w:val="00AA710D"/>
    <w:rsid w:val="00AA773C"/>
    <w:rsid w:val="00AB0003"/>
    <w:rsid w:val="00AB005E"/>
    <w:rsid w:val="00AB06FC"/>
    <w:rsid w:val="00AB0E6F"/>
    <w:rsid w:val="00AB1131"/>
    <w:rsid w:val="00AB1370"/>
    <w:rsid w:val="00AB1377"/>
    <w:rsid w:val="00AB1531"/>
    <w:rsid w:val="00AB1733"/>
    <w:rsid w:val="00AB21C2"/>
    <w:rsid w:val="00AB226A"/>
    <w:rsid w:val="00AB29CE"/>
    <w:rsid w:val="00AB2BB8"/>
    <w:rsid w:val="00AB2CC8"/>
    <w:rsid w:val="00AB3D20"/>
    <w:rsid w:val="00AB42B6"/>
    <w:rsid w:val="00AB446A"/>
    <w:rsid w:val="00AB4703"/>
    <w:rsid w:val="00AB4B78"/>
    <w:rsid w:val="00AB5555"/>
    <w:rsid w:val="00AB5B7F"/>
    <w:rsid w:val="00AB5DE5"/>
    <w:rsid w:val="00AB5F48"/>
    <w:rsid w:val="00AB5FE4"/>
    <w:rsid w:val="00AB6735"/>
    <w:rsid w:val="00AB69BF"/>
    <w:rsid w:val="00AB6D25"/>
    <w:rsid w:val="00AB6D37"/>
    <w:rsid w:val="00AB70EF"/>
    <w:rsid w:val="00AB7708"/>
    <w:rsid w:val="00AB7979"/>
    <w:rsid w:val="00AB7A3C"/>
    <w:rsid w:val="00AB7F25"/>
    <w:rsid w:val="00AB7FF5"/>
    <w:rsid w:val="00AC08D6"/>
    <w:rsid w:val="00AC0BC1"/>
    <w:rsid w:val="00AC0D39"/>
    <w:rsid w:val="00AC10E8"/>
    <w:rsid w:val="00AC1FD9"/>
    <w:rsid w:val="00AC2227"/>
    <w:rsid w:val="00AC2683"/>
    <w:rsid w:val="00AC2CCE"/>
    <w:rsid w:val="00AC2F57"/>
    <w:rsid w:val="00AC3B97"/>
    <w:rsid w:val="00AC3DBE"/>
    <w:rsid w:val="00AC43C1"/>
    <w:rsid w:val="00AC494C"/>
    <w:rsid w:val="00AC49DC"/>
    <w:rsid w:val="00AC4A03"/>
    <w:rsid w:val="00AC4D8B"/>
    <w:rsid w:val="00AC553D"/>
    <w:rsid w:val="00AC5560"/>
    <w:rsid w:val="00AC5933"/>
    <w:rsid w:val="00AC5B58"/>
    <w:rsid w:val="00AC6091"/>
    <w:rsid w:val="00AC6152"/>
    <w:rsid w:val="00AC6373"/>
    <w:rsid w:val="00AC6824"/>
    <w:rsid w:val="00AC7120"/>
    <w:rsid w:val="00AC7512"/>
    <w:rsid w:val="00AD0019"/>
    <w:rsid w:val="00AD0694"/>
    <w:rsid w:val="00AD0E8E"/>
    <w:rsid w:val="00AD1234"/>
    <w:rsid w:val="00AD12D3"/>
    <w:rsid w:val="00AD14C3"/>
    <w:rsid w:val="00AD16B1"/>
    <w:rsid w:val="00AD21CD"/>
    <w:rsid w:val="00AD23E3"/>
    <w:rsid w:val="00AD2511"/>
    <w:rsid w:val="00AD2AD6"/>
    <w:rsid w:val="00AD2C84"/>
    <w:rsid w:val="00AD2E45"/>
    <w:rsid w:val="00AD358C"/>
    <w:rsid w:val="00AD3BC6"/>
    <w:rsid w:val="00AD3BDF"/>
    <w:rsid w:val="00AD3C52"/>
    <w:rsid w:val="00AD49E9"/>
    <w:rsid w:val="00AD5650"/>
    <w:rsid w:val="00AD5A51"/>
    <w:rsid w:val="00AD5A7C"/>
    <w:rsid w:val="00AD5B15"/>
    <w:rsid w:val="00AD6E74"/>
    <w:rsid w:val="00AD716E"/>
    <w:rsid w:val="00AD7545"/>
    <w:rsid w:val="00AD7824"/>
    <w:rsid w:val="00AD78B3"/>
    <w:rsid w:val="00AD7CC4"/>
    <w:rsid w:val="00AE03A2"/>
    <w:rsid w:val="00AE0557"/>
    <w:rsid w:val="00AE0C58"/>
    <w:rsid w:val="00AE0CEB"/>
    <w:rsid w:val="00AE0EAE"/>
    <w:rsid w:val="00AE143F"/>
    <w:rsid w:val="00AE1A65"/>
    <w:rsid w:val="00AE1BF1"/>
    <w:rsid w:val="00AE2C3B"/>
    <w:rsid w:val="00AE2D4B"/>
    <w:rsid w:val="00AE3634"/>
    <w:rsid w:val="00AE37C3"/>
    <w:rsid w:val="00AE3849"/>
    <w:rsid w:val="00AE3B5A"/>
    <w:rsid w:val="00AE3CEE"/>
    <w:rsid w:val="00AE4782"/>
    <w:rsid w:val="00AE4F99"/>
    <w:rsid w:val="00AE5041"/>
    <w:rsid w:val="00AE5097"/>
    <w:rsid w:val="00AE5572"/>
    <w:rsid w:val="00AE5659"/>
    <w:rsid w:val="00AE5B1B"/>
    <w:rsid w:val="00AE5E4E"/>
    <w:rsid w:val="00AE6001"/>
    <w:rsid w:val="00AE6141"/>
    <w:rsid w:val="00AE6E7E"/>
    <w:rsid w:val="00AE7733"/>
    <w:rsid w:val="00AE7B0C"/>
    <w:rsid w:val="00AE7B33"/>
    <w:rsid w:val="00AF0097"/>
    <w:rsid w:val="00AF0D08"/>
    <w:rsid w:val="00AF120B"/>
    <w:rsid w:val="00AF13E9"/>
    <w:rsid w:val="00AF1484"/>
    <w:rsid w:val="00AF15FC"/>
    <w:rsid w:val="00AF1CB9"/>
    <w:rsid w:val="00AF1DCA"/>
    <w:rsid w:val="00AF2298"/>
    <w:rsid w:val="00AF2499"/>
    <w:rsid w:val="00AF2804"/>
    <w:rsid w:val="00AF2D15"/>
    <w:rsid w:val="00AF2E0F"/>
    <w:rsid w:val="00AF2F38"/>
    <w:rsid w:val="00AF36FC"/>
    <w:rsid w:val="00AF3BBC"/>
    <w:rsid w:val="00AF3D61"/>
    <w:rsid w:val="00AF3F29"/>
    <w:rsid w:val="00AF41F4"/>
    <w:rsid w:val="00AF42DB"/>
    <w:rsid w:val="00AF434E"/>
    <w:rsid w:val="00AF43F9"/>
    <w:rsid w:val="00AF4604"/>
    <w:rsid w:val="00AF46C5"/>
    <w:rsid w:val="00AF46E3"/>
    <w:rsid w:val="00AF47A1"/>
    <w:rsid w:val="00AF492C"/>
    <w:rsid w:val="00AF4F8B"/>
    <w:rsid w:val="00AF546E"/>
    <w:rsid w:val="00AF5D0F"/>
    <w:rsid w:val="00AF5F5B"/>
    <w:rsid w:val="00AF636B"/>
    <w:rsid w:val="00AF670E"/>
    <w:rsid w:val="00AF6CAF"/>
    <w:rsid w:val="00AF6D82"/>
    <w:rsid w:val="00AF76C6"/>
    <w:rsid w:val="00AF778A"/>
    <w:rsid w:val="00B003E2"/>
    <w:rsid w:val="00B00C0F"/>
    <w:rsid w:val="00B00DEF"/>
    <w:rsid w:val="00B00EB0"/>
    <w:rsid w:val="00B0114E"/>
    <w:rsid w:val="00B02053"/>
    <w:rsid w:val="00B020FD"/>
    <w:rsid w:val="00B02193"/>
    <w:rsid w:val="00B021BD"/>
    <w:rsid w:val="00B02A5B"/>
    <w:rsid w:val="00B02CC4"/>
    <w:rsid w:val="00B03121"/>
    <w:rsid w:val="00B034F5"/>
    <w:rsid w:val="00B03646"/>
    <w:rsid w:val="00B0377A"/>
    <w:rsid w:val="00B03CFC"/>
    <w:rsid w:val="00B03DB0"/>
    <w:rsid w:val="00B04211"/>
    <w:rsid w:val="00B044C0"/>
    <w:rsid w:val="00B047AA"/>
    <w:rsid w:val="00B04B69"/>
    <w:rsid w:val="00B04BDE"/>
    <w:rsid w:val="00B0528C"/>
    <w:rsid w:val="00B052C2"/>
    <w:rsid w:val="00B0579B"/>
    <w:rsid w:val="00B0620A"/>
    <w:rsid w:val="00B067C2"/>
    <w:rsid w:val="00B067E4"/>
    <w:rsid w:val="00B06B39"/>
    <w:rsid w:val="00B06DE5"/>
    <w:rsid w:val="00B07080"/>
    <w:rsid w:val="00B071FD"/>
    <w:rsid w:val="00B075FC"/>
    <w:rsid w:val="00B076A3"/>
    <w:rsid w:val="00B076CA"/>
    <w:rsid w:val="00B077C6"/>
    <w:rsid w:val="00B078AC"/>
    <w:rsid w:val="00B07DDA"/>
    <w:rsid w:val="00B1005A"/>
    <w:rsid w:val="00B10296"/>
    <w:rsid w:val="00B1069A"/>
    <w:rsid w:val="00B10F22"/>
    <w:rsid w:val="00B10F3B"/>
    <w:rsid w:val="00B1141A"/>
    <w:rsid w:val="00B1157B"/>
    <w:rsid w:val="00B11B69"/>
    <w:rsid w:val="00B1248D"/>
    <w:rsid w:val="00B12EF7"/>
    <w:rsid w:val="00B13243"/>
    <w:rsid w:val="00B136BD"/>
    <w:rsid w:val="00B13876"/>
    <w:rsid w:val="00B14919"/>
    <w:rsid w:val="00B14952"/>
    <w:rsid w:val="00B14DF4"/>
    <w:rsid w:val="00B14FCC"/>
    <w:rsid w:val="00B15996"/>
    <w:rsid w:val="00B1608E"/>
    <w:rsid w:val="00B1656E"/>
    <w:rsid w:val="00B165F9"/>
    <w:rsid w:val="00B16938"/>
    <w:rsid w:val="00B17192"/>
    <w:rsid w:val="00B17643"/>
    <w:rsid w:val="00B17705"/>
    <w:rsid w:val="00B177FF"/>
    <w:rsid w:val="00B17867"/>
    <w:rsid w:val="00B178B1"/>
    <w:rsid w:val="00B2044A"/>
    <w:rsid w:val="00B2058B"/>
    <w:rsid w:val="00B209D8"/>
    <w:rsid w:val="00B20A71"/>
    <w:rsid w:val="00B21207"/>
    <w:rsid w:val="00B212CD"/>
    <w:rsid w:val="00B214CE"/>
    <w:rsid w:val="00B21502"/>
    <w:rsid w:val="00B2159A"/>
    <w:rsid w:val="00B21C5A"/>
    <w:rsid w:val="00B21CD5"/>
    <w:rsid w:val="00B223D0"/>
    <w:rsid w:val="00B2267B"/>
    <w:rsid w:val="00B22A59"/>
    <w:rsid w:val="00B22DF2"/>
    <w:rsid w:val="00B22E8D"/>
    <w:rsid w:val="00B22F13"/>
    <w:rsid w:val="00B24102"/>
    <w:rsid w:val="00B24186"/>
    <w:rsid w:val="00B2514E"/>
    <w:rsid w:val="00B251B5"/>
    <w:rsid w:val="00B25486"/>
    <w:rsid w:val="00B25A5C"/>
    <w:rsid w:val="00B26181"/>
    <w:rsid w:val="00B26C78"/>
    <w:rsid w:val="00B271A3"/>
    <w:rsid w:val="00B27570"/>
    <w:rsid w:val="00B275D4"/>
    <w:rsid w:val="00B275E8"/>
    <w:rsid w:val="00B300C6"/>
    <w:rsid w:val="00B307EF"/>
    <w:rsid w:val="00B3084E"/>
    <w:rsid w:val="00B30941"/>
    <w:rsid w:val="00B30C84"/>
    <w:rsid w:val="00B31276"/>
    <w:rsid w:val="00B31429"/>
    <w:rsid w:val="00B31E5A"/>
    <w:rsid w:val="00B3215C"/>
    <w:rsid w:val="00B3383F"/>
    <w:rsid w:val="00B33AEA"/>
    <w:rsid w:val="00B34379"/>
    <w:rsid w:val="00B348F0"/>
    <w:rsid w:val="00B349AB"/>
    <w:rsid w:val="00B350CD"/>
    <w:rsid w:val="00B35B4F"/>
    <w:rsid w:val="00B36A62"/>
    <w:rsid w:val="00B36B16"/>
    <w:rsid w:val="00B36C58"/>
    <w:rsid w:val="00B3701A"/>
    <w:rsid w:val="00B373C6"/>
    <w:rsid w:val="00B37406"/>
    <w:rsid w:val="00B378FC"/>
    <w:rsid w:val="00B37A12"/>
    <w:rsid w:val="00B405DF"/>
    <w:rsid w:val="00B40838"/>
    <w:rsid w:val="00B40993"/>
    <w:rsid w:val="00B40C6C"/>
    <w:rsid w:val="00B4124E"/>
    <w:rsid w:val="00B4140D"/>
    <w:rsid w:val="00B41562"/>
    <w:rsid w:val="00B41D62"/>
    <w:rsid w:val="00B41DAF"/>
    <w:rsid w:val="00B42E95"/>
    <w:rsid w:val="00B43069"/>
    <w:rsid w:val="00B432EE"/>
    <w:rsid w:val="00B436E4"/>
    <w:rsid w:val="00B437EC"/>
    <w:rsid w:val="00B44C54"/>
    <w:rsid w:val="00B44C63"/>
    <w:rsid w:val="00B44C86"/>
    <w:rsid w:val="00B45045"/>
    <w:rsid w:val="00B453DA"/>
    <w:rsid w:val="00B45702"/>
    <w:rsid w:val="00B458AA"/>
    <w:rsid w:val="00B45D1A"/>
    <w:rsid w:val="00B460F1"/>
    <w:rsid w:val="00B46393"/>
    <w:rsid w:val="00B46D6D"/>
    <w:rsid w:val="00B46F8C"/>
    <w:rsid w:val="00B4724D"/>
    <w:rsid w:val="00B4769E"/>
    <w:rsid w:val="00B476A1"/>
    <w:rsid w:val="00B47AE8"/>
    <w:rsid w:val="00B50063"/>
    <w:rsid w:val="00B50768"/>
    <w:rsid w:val="00B50885"/>
    <w:rsid w:val="00B51285"/>
    <w:rsid w:val="00B51345"/>
    <w:rsid w:val="00B51E9C"/>
    <w:rsid w:val="00B52BB7"/>
    <w:rsid w:val="00B5311E"/>
    <w:rsid w:val="00B53298"/>
    <w:rsid w:val="00B533B8"/>
    <w:rsid w:val="00B5348B"/>
    <w:rsid w:val="00B53A55"/>
    <w:rsid w:val="00B53AF7"/>
    <w:rsid w:val="00B53CB8"/>
    <w:rsid w:val="00B53DFC"/>
    <w:rsid w:val="00B545A3"/>
    <w:rsid w:val="00B54AD9"/>
    <w:rsid w:val="00B54B8A"/>
    <w:rsid w:val="00B54DF1"/>
    <w:rsid w:val="00B54F88"/>
    <w:rsid w:val="00B55343"/>
    <w:rsid w:val="00B55434"/>
    <w:rsid w:val="00B554D5"/>
    <w:rsid w:val="00B55718"/>
    <w:rsid w:val="00B55F90"/>
    <w:rsid w:val="00B561E0"/>
    <w:rsid w:val="00B56869"/>
    <w:rsid w:val="00B56911"/>
    <w:rsid w:val="00B56B6A"/>
    <w:rsid w:val="00B56F36"/>
    <w:rsid w:val="00B5723E"/>
    <w:rsid w:val="00B578C9"/>
    <w:rsid w:val="00B6026E"/>
    <w:rsid w:val="00B60356"/>
    <w:rsid w:val="00B60A4E"/>
    <w:rsid w:val="00B60FB7"/>
    <w:rsid w:val="00B61313"/>
    <w:rsid w:val="00B61529"/>
    <w:rsid w:val="00B61DC4"/>
    <w:rsid w:val="00B6265E"/>
    <w:rsid w:val="00B62A72"/>
    <w:rsid w:val="00B62C39"/>
    <w:rsid w:val="00B62D8D"/>
    <w:rsid w:val="00B63371"/>
    <w:rsid w:val="00B635CE"/>
    <w:rsid w:val="00B63A49"/>
    <w:rsid w:val="00B63B3A"/>
    <w:rsid w:val="00B63B62"/>
    <w:rsid w:val="00B640FB"/>
    <w:rsid w:val="00B642A4"/>
    <w:rsid w:val="00B6451C"/>
    <w:rsid w:val="00B6455F"/>
    <w:rsid w:val="00B64655"/>
    <w:rsid w:val="00B647B1"/>
    <w:rsid w:val="00B64BC3"/>
    <w:rsid w:val="00B64E7B"/>
    <w:rsid w:val="00B64ED4"/>
    <w:rsid w:val="00B65134"/>
    <w:rsid w:val="00B653AB"/>
    <w:rsid w:val="00B65AB4"/>
    <w:rsid w:val="00B65F9E"/>
    <w:rsid w:val="00B66774"/>
    <w:rsid w:val="00B6680C"/>
    <w:rsid w:val="00B66B19"/>
    <w:rsid w:val="00B66DB7"/>
    <w:rsid w:val="00B67148"/>
    <w:rsid w:val="00B67E4B"/>
    <w:rsid w:val="00B67FF9"/>
    <w:rsid w:val="00B70711"/>
    <w:rsid w:val="00B71887"/>
    <w:rsid w:val="00B72002"/>
    <w:rsid w:val="00B720EA"/>
    <w:rsid w:val="00B72220"/>
    <w:rsid w:val="00B72CB7"/>
    <w:rsid w:val="00B72CBB"/>
    <w:rsid w:val="00B73DF3"/>
    <w:rsid w:val="00B73E56"/>
    <w:rsid w:val="00B73F8E"/>
    <w:rsid w:val="00B740F6"/>
    <w:rsid w:val="00B743D9"/>
    <w:rsid w:val="00B74BEF"/>
    <w:rsid w:val="00B74E1F"/>
    <w:rsid w:val="00B74F52"/>
    <w:rsid w:val="00B75811"/>
    <w:rsid w:val="00B75992"/>
    <w:rsid w:val="00B765B8"/>
    <w:rsid w:val="00B76A31"/>
    <w:rsid w:val="00B76DFA"/>
    <w:rsid w:val="00B7713D"/>
    <w:rsid w:val="00B77330"/>
    <w:rsid w:val="00B773A3"/>
    <w:rsid w:val="00B77782"/>
    <w:rsid w:val="00B77786"/>
    <w:rsid w:val="00B778A0"/>
    <w:rsid w:val="00B77A78"/>
    <w:rsid w:val="00B802A5"/>
    <w:rsid w:val="00B80A8A"/>
    <w:rsid w:val="00B81246"/>
    <w:rsid w:val="00B815E6"/>
    <w:rsid w:val="00B81B67"/>
    <w:rsid w:val="00B81BE6"/>
    <w:rsid w:val="00B81C85"/>
    <w:rsid w:val="00B821A5"/>
    <w:rsid w:val="00B8267B"/>
    <w:rsid w:val="00B82ACD"/>
    <w:rsid w:val="00B82BF4"/>
    <w:rsid w:val="00B830F9"/>
    <w:rsid w:val="00B83465"/>
    <w:rsid w:val="00B83824"/>
    <w:rsid w:val="00B8382D"/>
    <w:rsid w:val="00B839A9"/>
    <w:rsid w:val="00B83A15"/>
    <w:rsid w:val="00B83A28"/>
    <w:rsid w:val="00B83A33"/>
    <w:rsid w:val="00B84133"/>
    <w:rsid w:val="00B84201"/>
    <w:rsid w:val="00B842F5"/>
    <w:rsid w:val="00B84348"/>
    <w:rsid w:val="00B850FE"/>
    <w:rsid w:val="00B852E8"/>
    <w:rsid w:val="00B85E39"/>
    <w:rsid w:val="00B85E6B"/>
    <w:rsid w:val="00B85ED2"/>
    <w:rsid w:val="00B8617E"/>
    <w:rsid w:val="00B867A0"/>
    <w:rsid w:val="00B86805"/>
    <w:rsid w:val="00B86DAB"/>
    <w:rsid w:val="00B87196"/>
    <w:rsid w:val="00B872BD"/>
    <w:rsid w:val="00B87B32"/>
    <w:rsid w:val="00B87BB8"/>
    <w:rsid w:val="00B900A7"/>
    <w:rsid w:val="00B9052A"/>
    <w:rsid w:val="00B91114"/>
    <w:rsid w:val="00B914E9"/>
    <w:rsid w:val="00B91624"/>
    <w:rsid w:val="00B91804"/>
    <w:rsid w:val="00B921CE"/>
    <w:rsid w:val="00B924B7"/>
    <w:rsid w:val="00B92870"/>
    <w:rsid w:val="00B92D0E"/>
    <w:rsid w:val="00B93535"/>
    <w:rsid w:val="00B93A6E"/>
    <w:rsid w:val="00B93AD5"/>
    <w:rsid w:val="00B93E8F"/>
    <w:rsid w:val="00B945BA"/>
    <w:rsid w:val="00B9477F"/>
    <w:rsid w:val="00B94B96"/>
    <w:rsid w:val="00B94C88"/>
    <w:rsid w:val="00B95065"/>
    <w:rsid w:val="00B9519A"/>
    <w:rsid w:val="00B95244"/>
    <w:rsid w:val="00B956EE"/>
    <w:rsid w:val="00B95AF7"/>
    <w:rsid w:val="00B964C9"/>
    <w:rsid w:val="00B9672E"/>
    <w:rsid w:val="00B972CD"/>
    <w:rsid w:val="00B9743C"/>
    <w:rsid w:val="00B974F4"/>
    <w:rsid w:val="00B97A7C"/>
    <w:rsid w:val="00B97EE7"/>
    <w:rsid w:val="00BA0167"/>
    <w:rsid w:val="00BA0247"/>
    <w:rsid w:val="00BA049C"/>
    <w:rsid w:val="00BA06D7"/>
    <w:rsid w:val="00BA0911"/>
    <w:rsid w:val="00BA0C53"/>
    <w:rsid w:val="00BA125D"/>
    <w:rsid w:val="00BA1475"/>
    <w:rsid w:val="00BA1B47"/>
    <w:rsid w:val="00BA1C64"/>
    <w:rsid w:val="00BA21F0"/>
    <w:rsid w:val="00BA2257"/>
    <w:rsid w:val="00BA23C6"/>
    <w:rsid w:val="00BA2B48"/>
    <w:rsid w:val="00BA2BA1"/>
    <w:rsid w:val="00BA2F22"/>
    <w:rsid w:val="00BA2FE8"/>
    <w:rsid w:val="00BA3562"/>
    <w:rsid w:val="00BA35AD"/>
    <w:rsid w:val="00BA35CF"/>
    <w:rsid w:val="00BA3623"/>
    <w:rsid w:val="00BA3914"/>
    <w:rsid w:val="00BA39CC"/>
    <w:rsid w:val="00BA3A98"/>
    <w:rsid w:val="00BA3C55"/>
    <w:rsid w:val="00BA3D64"/>
    <w:rsid w:val="00BA40DC"/>
    <w:rsid w:val="00BA44FD"/>
    <w:rsid w:val="00BA49C2"/>
    <w:rsid w:val="00BA49D0"/>
    <w:rsid w:val="00BA4F0B"/>
    <w:rsid w:val="00BA5AC4"/>
    <w:rsid w:val="00BA5B68"/>
    <w:rsid w:val="00BA5C58"/>
    <w:rsid w:val="00BA5DCD"/>
    <w:rsid w:val="00BA641F"/>
    <w:rsid w:val="00BA6CB7"/>
    <w:rsid w:val="00BA6FC7"/>
    <w:rsid w:val="00BA722D"/>
    <w:rsid w:val="00BA740B"/>
    <w:rsid w:val="00BA780C"/>
    <w:rsid w:val="00BA78C8"/>
    <w:rsid w:val="00BA7AD0"/>
    <w:rsid w:val="00BB0735"/>
    <w:rsid w:val="00BB0B4B"/>
    <w:rsid w:val="00BB10C0"/>
    <w:rsid w:val="00BB11C4"/>
    <w:rsid w:val="00BB1289"/>
    <w:rsid w:val="00BB1407"/>
    <w:rsid w:val="00BB1AB4"/>
    <w:rsid w:val="00BB1D55"/>
    <w:rsid w:val="00BB2794"/>
    <w:rsid w:val="00BB2A12"/>
    <w:rsid w:val="00BB30A0"/>
    <w:rsid w:val="00BB320D"/>
    <w:rsid w:val="00BB346B"/>
    <w:rsid w:val="00BB3634"/>
    <w:rsid w:val="00BB3A58"/>
    <w:rsid w:val="00BB3D6E"/>
    <w:rsid w:val="00BB41E2"/>
    <w:rsid w:val="00BB4454"/>
    <w:rsid w:val="00BB4F09"/>
    <w:rsid w:val="00BB5E2D"/>
    <w:rsid w:val="00BB5FF5"/>
    <w:rsid w:val="00BB614B"/>
    <w:rsid w:val="00BB6275"/>
    <w:rsid w:val="00BB6739"/>
    <w:rsid w:val="00BB72C0"/>
    <w:rsid w:val="00BB79F7"/>
    <w:rsid w:val="00BB7F0A"/>
    <w:rsid w:val="00BC0278"/>
    <w:rsid w:val="00BC031B"/>
    <w:rsid w:val="00BC055E"/>
    <w:rsid w:val="00BC0AEF"/>
    <w:rsid w:val="00BC0E84"/>
    <w:rsid w:val="00BC136E"/>
    <w:rsid w:val="00BC1C63"/>
    <w:rsid w:val="00BC207D"/>
    <w:rsid w:val="00BC2A73"/>
    <w:rsid w:val="00BC2BE2"/>
    <w:rsid w:val="00BC2C3C"/>
    <w:rsid w:val="00BC3205"/>
    <w:rsid w:val="00BC37CA"/>
    <w:rsid w:val="00BC3904"/>
    <w:rsid w:val="00BC3C80"/>
    <w:rsid w:val="00BC3CF5"/>
    <w:rsid w:val="00BC4199"/>
    <w:rsid w:val="00BC44F7"/>
    <w:rsid w:val="00BC45ED"/>
    <w:rsid w:val="00BC4A65"/>
    <w:rsid w:val="00BC51CA"/>
    <w:rsid w:val="00BC531B"/>
    <w:rsid w:val="00BC5389"/>
    <w:rsid w:val="00BC53EB"/>
    <w:rsid w:val="00BC55DB"/>
    <w:rsid w:val="00BC5D82"/>
    <w:rsid w:val="00BC6038"/>
    <w:rsid w:val="00BC6BAA"/>
    <w:rsid w:val="00BC6D4A"/>
    <w:rsid w:val="00BC72AE"/>
    <w:rsid w:val="00BC75A2"/>
    <w:rsid w:val="00BC7DB3"/>
    <w:rsid w:val="00BD020C"/>
    <w:rsid w:val="00BD0239"/>
    <w:rsid w:val="00BD0646"/>
    <w:rsid w:val="00BD0A75"/>
    <w:rsid w:val="00BD11B5"/>
    <w:rsid w:val="00BD13D5"/>
    <w:rsid w:val="00BD151F"/>
    <w:rsid w:val="00BD1C78"/>
    <w:rsid w:val="00BD202B"/>
    <w:rsid w:val="00BD20DC"/>
    <w:rsid w:val="00BD20E5"/>
    <w:rsid w:val="00BD2700"/>
    <w:rsid w:val="00BD2798"/>
    <w:rsid w:val="00BD28B1"/>
    <w:rsid w:val="00BD2AF0"/>
    <w:rsid w:val="00BD2DBD"/>
    <w:rsid w:val="00BD2E0C"/>
    <w:rsid w:val="00BD36F6"/>
    <w:rsid w:val="00BD3721"/>
    <w:rsid w:val="00BD37E5"/>
    <w:rsid w:val="00BD387E"/>
    <w:rsid w:val="00BD3CAB"/>
    <w:rsid w:val="00BD3CE4"/>
    <w:rsid w:val="00BD429B"/>
    <w:rsid w:val="00BD4423"/>
    <w:rsid w:val="00BD467C"/>
    <w:rsid w:val="00BD48E2"/>
    <w:rsid w:val="00BD4C73"/>
    <w:rsid w:val="00BD4E33"/>
    <w:rsid w:val="00BD54E0"/>
    <w:rsid w:val="00BD55AD"/>
    <w:rsid w:val="00BD5769"/>
    <w:rsid w:val="00BD5ECB"/>
    <w:rsid w:val="00BD6185"/>
    <w:rsid w:val="00BD659E"/>
    <w:rsid w:val="00BD6975"/>
    <w:rsid w:val="00BD69D8"/>
    <w:rsid w:val="00BD7600"/>
    <w:rsid w:val="00BD761B"/>
    <w:rsid w:val="00BD7EA8"/>
    <w:rsid w:val="00BE05CF"/>
    <w:rsid w:val="00BE0944"/>
    <w:rsid w:val="00BE0A71"/>
    <w:rsid w:val="00BE0E53"/>
    <w:rsid w:val="00BE0F9D"/>
    <w:rsid w:val="00BE1463"/>
    <w:rsid w:val="00BE1644"/>
    <w:rsid w:val="00BE1672"/>
    <w:rsid w:val="00BE1922"/>
    <w:rsid w:val="00BE2577"/>
    <w:rsid w:val="00BE2598"/>
    <w:rsid w:val="00BE2621"/>
    <w:rsid w:val="00BE27E5"/>
    <w:rsid w:val="00BE28B9"/>
    <w:rsid w:val="00BE2FDB"/>
    <w:rsid w:val="00BE37EC"/>
    <w:rsid w:val="00BE3826"/>
    <w:rsid w:val="00BE3840"/>
    <w:rsid w:val="00BE38EE"/>
    <w:rsid w:val="00BE39DB"/>
    <w:rsid w:val="00BE39E9"/>
    <w:rsid w:val="00BE3C18"/>
    <w:rsid w:val="00BE4397"/>
    <w:rsid w:val="00BE45B2"/>
    <w:rsid w:val="00BE45F1"/>
    <w:rsid w:val="00BE4BEC"/>
    <w:rsid w:val="00BE4F07"/>
    <w:rsid w:val="00BE5970"/>
    <w:rsid w:val="00BE5C49"/>
    <w:rsid w:val="00BE5D0C"/>
    <w:rsid w:val="00BE6002"/>
    <w:rsid w:val="00BE6254"/>
    <w:rsid w:val="00BE62BA"/>
    <w:rsid w:val="00BE638B"/>
    <w:rsid w:val="00BE6524"/>
    <w:rsid w:val="00BE66CB"/>
    <w:rsid w:val="00BE682A"/>
    <w:rsid w:val="00BE68A2"/>
    <w:rsid w:val="00BE6C51"/>
    <w:rsid w:val="00BE7041"/>
    <w:rsid w:val="00BE71F5"/>
    <w:rsid w:val="00BE765A"/>
    <w:rsid w:val="00BE7D7B"/>
    <w:rsid w:val="00BF037C"/>
    <w:rsid w:val="00BF08FA"/>
    <w:rsid w:val="00BF1356"/>
    <w:rsid w:val="00BF135B"/>
    <w:rsid w:val="00BF145A"/>
    <w:rsid w:val="00BF18DB"/>
    <w:rsid w:val="00BF18F9"/>
    <w:rsid w:val="00BF1AD1"/>
    <w:rsid w:val="00BF1B8F"/>
    <w:rsid w:val="00BF1C61"/>
    <w:rsid w:val="00BF20CA"/>
    <w:rsid w:val="00BF214C"/>
    <w:rsid w:val="00BF2444"/>
    <w:rsid w:val="00BF284C"/>
    <w:rsid w:val="00BF2945"/>
    <w:rsid w:val="00BF2B70"/>
    <w:rsid w:val="00BF36AB"/>
    <w:rsid w:val="00BF3A71"/>
    <w:rsid w:val="00BF432C"/>
    <w:rsid w:val="00BF465F"/>
    <w:rsid w:val="00BF4EAB"/>
    <w:rsid w:val="00BF54CD"/>
    <w:rsid w:val="00BF5B06"/>
    <w:rsid w:val="00BF5DC8"/>
    <w:rsid w:val="00BF5E88"/>
    <w:rsid w:val="00BF5F2B"/>
    <w:rsid w:val="00BF6251"/>
    <w:rsid w:val="00BF63C4"/>
    <w:rsid w:val="00BF6CA4"/>
    <w:rsid w:val="00BF7DE0"/>
    <w:rsid w:val="00C00E59"/>
    <w:rsid w:val="00C01D69"/>
    <w:rsid w:val="00C01DBB"/>
    <w:rsid w:val="00C0289F"/>
    <w:rsid w:val="00C02C75"/>
    <w:rsid w:val="00C02D19"/>
    <w:rsid w:val="00C02D5F"/>
    <w:rsid w:val="00C030DE"/>
    <w:rsid w:val="00C03215"/>
    <w:rsid w:val="00C04044"/>
    <w:rsid w:val="00C051A9"/>
    <w:rsid w:val="00C05322"/>
    <w:rsid w:val="00C05751"/>
    <w:rsid w:val="00C05B59"/>
    <w:rsid w:val="00C05E2B"/>
    <w:rsid w:val="00C0653F"/>
    <w:rsid w:val="00C06819"/>
    <w:rsid w:val="00C06CDE"/>
    <w:rsid w:val="00C072F2"/>
    <w:rsid w:val="00C07542"/>
    <w:rsid w:val="00C076E4"/>
    <w:rsid w:val="00C07753"/>
    <w:rsid w:val="00C07ADC"/>
    <w:rsid w:val="00C07C23"/>
    <w:rsid w:val="00C106D6"/>
    <w:rsid w:val="00C1093F"/>
    <w:rsid w:val="00C10BFB"/>
    <w:rsid w:val="00C10C8A"/>
    <w:rsid w:val="00C1116B"/>
    <w:rsid w:val="00C1117F"/>
    <w:rsid w:val="00C11300"/>
    <w:rsid w:val="00C12BA7"/>
    <w:rsid w:val="00C12ECA"/>
    <w:rsid w:val="00C13500"/>
    <w:rsid w:val="00C13878"/>
    <w:rsid w:val="00C14128"/>
    <w:rsid w:val="00C14178"/>
    <w:rsid w:val="00C15889"/>
    <w:rsid w:val="00C15BD5"/>
    <w:rsid w:val="00C15BDD"/>
    <w:rsid w:val="00C15C3C"/>
    <w:rsid w:val="00C160EE"/>
    <w:rsid w:val="00C16826"/>
    <w:rsid w:val="00C1684B"/>
    <w:rsid w:val="00C16A34"/>
    <w:rsid w:val="00C174C0"/>
    <w:rsid w:val="00C17505"/>
    <w:rsid w:val="00C1763E"/>
    <w:rsid w:val="00C17B6E"/>
    <w:rsid w:val="00C17DB2"/>
    <w:rsid w:val="00C2065F"/>
    <w:rsid w:val="00C206DB"/>
    <w:rsid w:val="00C20D82"/>
    <w:rsid w:val="00C20E87"/>
    <w:rsid w:val="00C20F8D"/>
    <w:rsid w:val="00C21194"/>
    <w:rsid w:val="00C2136B"/>
    <w:rsid w:val="00C213DC"/>
    <w:rsid w:val="00C214F4"/>
    <w:rsid w:val="00C21A4C"/>
    <w:rsid w:val="00C22105"/>
    <w:rsid w:val="00C226CA"/>
    <w:rsid w:val="00C22833"/>
    <w:rsid w:val="00C22A08"/>
    <w:rsid w:val="00C22ED3"/>
    <w:rsid w:val="00C2346A"/>
    <w:rsid w:val="00C235C1"/>
    <w:rsid w:val="00C236D5"/>
    <w:rsid w:val="00C2390C"/>
    <w:rsid w:val="00C23B29"/>
    <w:rsid w:val="00C23BA3"/>
    <w:rsid w:val="00C24002"/>
    <w:rsid w:val="00C244B6"/>
    <w:rsid w:val="00C245C2"/>
    <w:rsid w:val="00C246CA"/>
    <w:rsid w:val="00C24928"/>
    <w:rsid w:val="00C24EF4"/>
    <w:rsid w:val="00C25031"/>
    <w:rsid w:val="00C250ED"/>
    <w:rsid w:val="00C2542F"/>
    <w:rsid w:val="00C256F3"/>
    <w:rsid w:val="00C260B9"/>
    <w:rsid w:val="00C2685D"/>
    <w:rsid w:val="00C26BDC"/>
    <w:rsid w:val="00C26C4D"/>
    <w:rsid w:val="00C27383"/>
    <w:rsid w:val="00C27484"/>
    <w:rsid w:val="00C2790C"/>
    <w:rsid w:val="00C3009F"/>
    <w:rsid w:val="00C31156"/>
    <w:rsid w:val="00C31BC1"/>
    <w:rsid w:val="00C31D33"/>
    <w:rsid w:val="00C3216E"/>
    <w:rsid w:val="00C323C4"/>
    <w:rsid w:val="00C324B0"/>
    <w:rsid w:val="00C326DF"/>
    <w:rsid w:val="00C33219"/>
    <w:rsid w:val="00C33D9E"/>
    <w:rsid w:val="00C33E52"/>
    <w:rsid w:val="00C33F3C"/>
    <w:rsid w:val="00C3401C"/>
    <w:rsid w:val="00C340D1"/>
    <w:rsid w:val="00C34812"/>
    <w:rsid w:val="00C3522A"/>
    <w:rsid w:val="00C35C5B"/>
    <w:rsid w:val="00C35F05"/>
    <w:rsid w:val="00C36C0F"/>
    <w:rsid w:val="00C36EBC"/>
    <w:rsid w:val="00C36FB0"/>
    <w:rsid w:val="00C3702F"/>
    <w:rsid w:val="00C3704F"/>
    <w:rsid w:val="00C37696"/>
    <w:rsid w:val="00C37C0B"/>
    <w:rsid w:val="00C4003C"/>
    <w:rsid w:val="00C40041"/>
    <w:rsid w:val="00C40238"/>
    <w:rsid w:val="00C40322"/>
    <w:rsid w:val="00C408CC"/>
    <w:rsid w:val="00C40D20"/>
    <w:rsid w:val="00C410BB"/>
    <w:rsid w:val="00C41142"/>
    <w:rsid w:val="00C412BE"/>
    <w:rsid w:val="00C416F1"/>
    <w:rsid w:val="00C41C98"/>
    <w:rsid w:val="00C41D02"/>
    <w:rsid w:val="00C42022"/>
    <w:rsid w:val="00C420D0"/>
    <w:rsid w:val="00C42712"/>
    <w:rsid w:val="00C43428"/>
    <w:rsid w:val="00C436DD"/>
    <w:rsid w:val="00C43873"/>
    <w:rsid w:val="00C43EAD"/>
    <w:rsid w:val="00C440ED"/>
    <w:rsid w:val="00C44168"/>
    <w:rsid w:val="00C444F0"/>
    <w:rsid w:val="00C4470C"/>
    <w:rsid w:val="00C4478F"/>
    <w:rsid w:val="00C44B7E"/>
    <w:rsid w:val="00C44FC5"/>
    <w:rsid w:val="00C44FEB"/>
    <w:rsid w:val="00C4500A"/>
    <w:rsid w:val="00C45B50"/>
    <w:rsid w:val="00C463BD"/>
    <w:rsid w:val="00C468C6"/>
    <w:rsid w:val="00C46BFE"/>
    <w:rsid w:val="00C46DEB"/>
    <w:rsid w:val="00C46F1F"/>
    <w:rsid w:val="00C4726D"/>
    <w:rsid w:val="00C4733B"/>
    <w:rsid w:val="00C47CFA"/>
    <w:rsid w:val="00C502D9"/>
    <w:rsid w:val="00C5054E"/>
    <w:rsid w:val="00C50D80"/>
    <w:rsid w:val="00C5161E"/>
    <w:rsid w:val="00C51DD4"/>
    <w:rsid w:val="00C51F14"/>
    <w:rsid w:val="00C51F54"/>
    <w:rsid w:val="00C520A5"/>
    <w:rsid w:val="00C5219D"/>
    <w:rsid w:val="00C52202"/>
    <w:rsid w:val="00C52540"/>
    <w:rsid w:val="00C528B9"/>
    <w:rsid w:val="00C52A63"/>
    <w:rsid w:val="00C52CFC"/>
    <w:rsid w:val="00C531BF"/>
    <w:rsid w:val="00C53236"/>
    <w:rsid w:val="00C53398"/>
    <w:rsid w:val="00C53B56"/>
    <w:rsid w:val="00C54108"/>
    <w:rsid w:val="00C545BD"/>
    <w:rsid w:val="00C54CCB"/>
    <w:rsid w:val="00C5534B"/>
    <w:rsid w:val="00C5544D"/>
    <w:rsid w:val="00C555A1"/>
    <w:rsid w:val="00C5583D"/>
    <w:rsid w:val="00C55D67"/>
    <w:rsid w:val="00C55F4F"/>
    <w:rsid w:val="00C56629"/>
    <w:rsid w:val="00C56CD8"/>
    <w:rsid w:val="00C56E51"/>
    <w:rsid w:val="00C5715E"/>
    <w:rsid w:val="00C572B3"/>
    <w:rsid w:val="00C57517"/>
    <w:rsid w:val="00C57634"/>
    <w:rsid w:val="00C5784B"/>
    <w:rsid w:val="00C57EF1"/>
    <w:rsid w:val="00C60169"/>
    <w:rsid w:val="00C603C7"/>
    <w:rsid w:val="00C60FAF"/>
    <w:rsid w:val="00C610E0"/>
    <w:rsid w:val="00C61361"/>
    <w:rsid w:val="00C614B0"/>
    <w:rsid w:val="00C61ADC"/>
    <w:rsid w:val="00C61FC2"/>
    <w:rsid w:val="00C6216C"/>
    <w:rsid w:val="00C62543"/>
    <w:rsid w:val="00C625D4"/>
    <w:rsid w:val="00C62759"/>
    <w:rsid w:val="00C62D02"/>
    <w:rsid w:val="00C638A2"/>
    <w:rsid w:val="00C63D22"/>
    <w:rsid w:val="00C6417B"/>
    <w:rsid w:val="00C6417F"/>
    <w:rsid w:val="00C643F1"/>
    <w:rsid w:val="00C64A37"/>
    <w:rsid w:val="00C6517E"/>
    <w:rsid w:val="00C651D7"/>
    <w:rsid w:val="00C652F6"/>
    <w:rsid w:val="00C65760"/>
    <w:rsid w:val="00C65BF3"/>
    <w:rsid w:val="00C66730"/>
    <w:rsid w:val="00C667DF"/>
    <w:rsid w:val="00C668A5"/>
    <w:rsid w:val="00C66DCF"/>
    <w:rsid w:val="00C67213"/>
    <w:rsid w:val="00C6799C"/>
    <w:rsid w:val="00C67B26"/>
    <w:rsid w:val="00C67BFD"/>
    <w:rsid w:val="00C67ECE"/>
    <w:rsid w:val="00C701C7"/>
    <w:rsid w:val="00C705C2"/>
    <w:rsid w:val="00C706C0"/>
    <w:rsid w:val="00C70FFF"/>
    <w:rsid w:val="00C7158E"/>
    <w:rsid w:val="00C715C2"/>
    <w:rsid w:val="00C71AC3"/>
    <w:rsid w:val="00C71CE5"/>
    <w:rsid w:val="00C720EC"/>
    <w:rsid w:val="00C724E0"/>
    <w:rsid w:val="00C724EF"/>
    <w:rsid w:val="00C7250B"/>
    <w:rsid w:val="00C725AD"/>
    <w:rsid w:val="00C72B6F"/>
    <w:rsid w:val="00C730E8"/>
    <w:rsid w:val="00C7346B"/>
    <w:rsid w:val="00C734B8"/>
    <w:rsid w:val="00C73C14"/>
    <w:rsid w:val="00C73CAA"/>
    <w:rsid w:val="00C742B1"/>
    <w:rsid w:val="00C74F78"/>
    <w:rsid w:val="00C75001"/>
    <w:rsid w:val="00C75593"/>
    <w:rsid w:val="00C755C6"/>
    <w:rsid w:val="00C7582C"/>
    <w:rsid w:val="00C7613D"/>
    <w:rsid w:val="00C7643D"/>
    <w:rsid w:val="00C76A00"/>
    <w:rsid w:val="00C7724E"/>
    <w:rsid w:val="00C774F2"/>
    <w:rsid w:val="00C778B1"/>
    <w:rsid w:val="00C778BD"/>
    <w:rsid w:val="00C7798A"/>
    <w:rsid w:val="00C77C0E"/>
    <w:rsid w:val="00C802F9"/>
    <w:rsid w:val="00C8037B"/>
    <w:rsid w:val="00C805D1"/>
    <w:rsid w:val="00C80AEB"/>
    <w:rsid w:val="00C80C4F"/>
    <w:rsid w:val="00C81904"/>
    <w:rsid w:val="00C81993"/>
    <w:rsid w:val="00C81A0F"/>
    <w:rsid w:val="00C81B1C"/>
    <w:rsid w:val="00C81B7F"/>
    <w:rsid w:val="00C81F83"/>
    <w:rsid w:val="00C8220F"/>
    <w:rsid w:val="00C824A7"/>
    <w:rsid w:val="00C824D5"/>
    <w:rsid w:val="00C825FA"/>
    <w:rsid w:val="00C82BB9"/>
    <w:rsid w:val="00C83127"/>
    <w:rsid w:val="00C833E4"/>
    <w:rsid w:val="00C83628"/>
    <w:rsid w:val="00C844F8"/>
    <w:rsid w:val="00C849D6"/>
    <w:rsid w:val="00C849DB"/>
    <w:rsid w:val="00C84CD1"/>
    <w:rsid w:val="00C84E00"/>
    <w:rsid w:val="00C8514D"/>
    <w:rsid w:val="00C8684E"/>
    <w:rsid w:val="00C86A23"/>
    <w:rsid w:val="00C86DE8"/>
    <w:rsid w:val="00C86EDD"/>
    <w:rsid w:val="00C86FE0"/>
    <w:rsid w:val="00C87812"/>
    <w:rsid w:val="00C87A8F"/>
    <w:rsid w:val="00C90187"/>
    <w:rsid w:val="00C9036A"/>
    <w:rsid w:val="00C9096C"/>
    <w:rsid w:val="00C91174"/>
    <w:rsid w:val="00C912E6"/>
    <w:rsid w:val="00C91476"/>
    <w:rsid w:val="00C9163A"/>
    <w:rsid w:val="00C91687"/>
    <w:rsid w:val="00C917E7"/>
    <w:rsid w:val="00C91B45"/>
    <w:rsid w:val="00C924A8"/>
    <w:rsid w:val="00C93303"/>
    <w:rsid w:val="00C936F0"/>
    <w:rsid w:val="00C93B24"/>
    <w:rsid w:val="00C93E2A"/>
    <w:rsid w:val="00C94345"/>
    <w:rsid w:val="00C945FE"/>
    <w:rsid w:val="00C94CB5"/>
    <w:rsid w:val="00C95002"/>
    <w:rsid w:val="00C9648C"/>
    <w:rsid w:val="00C96DF1"/>
    <w:rsid w:val="00C96F1F"/>
    <w:rsid w:val="00C96FAA"/>
    <w:rsid w:val="00C97323"/>
    <w:rsid w:val="00C97A04"/>
    <w:rsid w:val="00C97C1C"/>
    <w:rsid w:val="00CA0B53"/>
    <w:rsid w:val="00CA0E3C"/>
    <w:rsid w:val="00CA107B"/>
    <w:rsid w:val="00CA11A0"/>
    <w:rsid w:val="00CA17E0"/>
    <w:rsid w:val="00CA1CBC"/>
    <w:rsid w:val="00CA1CD9"/>
    <w:rsid w:val="00CA1E63"/>
    <w:rsid w:val="00CA20CF"/>
    <w:rsid w:val="00CA21A1"/>
    <w:rsid w:val="00CA21B5"/>
    <w:rsid w:val="00CA2617"/>
    <w:rsid w:val="00CA28E7"/>
    <w:rsid w:val="00CA2C11"/>
    <w:rsid w:val="00CA2E97"/>
    <w:rsid w:val="00CA35FF"/>
    <w:rsid w:val="00CA43D9"/>
    <w:rsid w:val="00CA4831"/>
    <w:rsid w:val="00CA484D"/>
    <w:rsid w:val="00CA4F07"/>
    <w:rsid w:val="00CA4FB6"/>
    <w:rsid w:val="00CA50F5"/>
    <w:rsid w:val="00CA510E"/>
    <w:rsid w:val="00CA54AD"/>
    <w:rsid w:val="00CA5B3B"/>
    <w:rsid w:val="00CA5D17"/>
    <w:rsid w:val="00CA5E11"/>
    <w:rsid w:val="00CA652A"/>
    <w:rsid w:val="00CA6973"/>
    <w:rsid w:val="00CA6C2F"/>
    <w:rsid w:val="00CA712F"/>
    <w:rsid w:val="00CA715B"/>
    <w:rsid w:val="00CA73B2"/>
    <w:rsid w:val="00CA77D2"/>
    <w:rsid w:val="00CA7ABA"/>
    <w:rsid w:val="00CA7B80"/>
    <w:rsid w:val="00CB047A"/>
    <w:rsid w:val="00CB0F54"/>
    <w:rsid w:val="00CB160F"/>
    <w:rsid w:val="00CB1D2D"/>
    <w:rsid w:val="00CB20D2"/>
    <w:rsid w:val="00CB2111"/>
    <w:rsid w:val="00CB22A1"/>
    <w:rsid w:val="00CB2646"/>
    <w:rsid w:val="00CB2780"/>
    <w:rsid w:val="00CB2840"/>
    <w:rsid w:val="00CB286F"/>
    <w:rsid w:val="00CB2A72"/>
    <w:rsid w:val="00CB2EB7"/>
    <w:rsid w:val="00CB30CA"/>
    <w:rsid w:val="00CB3684"/>
    <w:rsid w:val="00CB37A5"/>
    <w:rsid w:val="00CB3BF6"/>
    <w:rsid w:val="00CB3CBE"/>
    <w:rsid w:val="00CB3F00"/>
    <w:rsid w:val="00CB4384"/>
    <w:rsid w:val="00CB439C"/>
    <w:rsid w:val="00CB49A6"/>
    <w:rsid w:val="00CB4A82"/>
    <w:rsid w:val="00CB4C57"/>
    <w:rsid w:val="00CB4F24"/>
    <w:rsid w:val="00CB4F54"/>
    <w:rsid w:val="00CB519C"/>
    <w:rsid w:val="00CB52E4"/>
    <w:rsid w:val="00CB5DE0"/>
    <w:rsid w:val="00CB6405"/>
    <w:rsid w:val="00CB66CE"/>
    <w:rsid w:val="00CB6AA3"/>
    <w:rsid w:val="00CB7116"/>
    <w:rsid w:val="00CB72BE"/>
    <w:rsid w:val="00CB72C9"/>
    <w:rsid w:val="00CB757E"/>
    <w:rsid w:val="00CB76EE"/>
    <w:rsid w:val="00CB78AB"/>
    <w:rsid w:val="00CB7AA4"/>
    <w:rsid w:val="00CB7E50"/>
    <w:rsid w:val="00CC0196"/>
    <w:rsid w:val="00CC0DF5"/>
    <w:rsid w:val="00CC10F8"/>
    <w:rsid w:val="00CC1BD1"/>
    <w:rsid w:val="00CC1D72"/>
    <w:rsid w:val="00CC2B57"/>
    <w:rsid w:val="00CC3173"/>
    <w:rsid w:val="00CC37BF"/>
    <w:rsid w:val="00CC3E4C"/>
    <w:rsid w:val="00CC4365"/>
    <w:rsid w:val="00CC444F"/>
    <w:rsid w:val="00CC44AB"/>
    <w:rsid w:val="00CC4754"/>
    <w:rsid w:val="00CC4811"/>
    <w:rsid w:val="00CC4BBC"/>
    <w:rsid w:val="00CC4F04"/>
    <w:rsid w:val="00CC5C13"/>
    <w:rsid w:val="00CC5CBA"/>
    <w:rsid w:val="00CC6194"/>
    <w:rsid w:val="00CC739E"/>
    <w:rsid w:val="00CC759F"/>
    <w:rsid w:val="00CC76CC"/>
    <w:rsid w:val="00CC7BE0"/>
    <w:rsid w:val="00CC7D0B"/>
    <w:rsid w:val="00CD00DB"/>
    <w:rsid w:val="00CD0202"/>
    <w:rsid w:val="00CD03D5"/>
    <w:rsid w:val="00CD0820"/>
    <w:rsid w:val="00CD0881"/>
    <w:rsid w:val="00CD0B90"/>
    <w:rsid w:val="00CD0FB4"/>
    <w:rsid w:val="00CD21E3"/>
    <w:rsid w:val="00CD2509"/>
    <w:rsid w:val="00CD27DC"/>
    <w:rsid w:val="00CD29DB"/>
    <w:rsid w:val="00CD2AC1"/>
    <w:rsid w:val="00CD36B0"/>
    <w:rsid w:val="00CD3A6F"/>
    <w:rsid w:val="00CD3A93"/>
    <w:rsid w:val="00CD3C79"/>
    <w:rsid w:val="00CD3D11"/>
    <w:rsid w:val="00CD3DD5"/>
    <w:rsid w:val="00CD42E7"/>
    <w:rsid w:val="00CD42FC"/>
    <w:rsid w:val="00CD451F"/>
    <w:rsid w:val="00CD4647"/>
    <w:rsid w:val="00CD50B7"/>
    <w:rsid w:val="00CD52B5"/>
    <w:rsid w:val="00CD58B7"/>
    <w:rsid w:val="00CD5FED"/>
    <w:rsid w:val="00CD610F"/>
    <w:rsid w:val="00CD68FC"/>
    <w:rsid w:val="00CD6A1A"/>
    <w:rsid w:val="00CD6DEA"/>
    <w:rsid w:val="00CD79C2"/>
    <w:rsid w:val="00CD7B7B"/>
    <w:rsid w:val="00CE0570"/>
    <w:rsid w:val="00CE118E"/>
    <w:rsid w:val="00CE11EB"/>
    <w:rsid w:val="00CE18CC"/>
    <w:rsid w:val="00CE194A"/>
    <w:rsid w:val="00CE19E5"/>
    <w:rsid w:val="00CE1D85"/>
    <w:rsid w:val="00CE239F"/>
    <w:rsid w:val="00CE3017"/>
    <w:rsid w:val="00CE330B"/>
    <w:rsid w:val="00CE3449"/>
    <w:rsid w:val="00CE3632"/>
    <w:rsid w:val="00CE371A"/>
    <w:rsid w:val="00CE39AB"/>
    <w:rsid w:val="00CE410D"/>
    <w:rsid w:val="00CE42DB"/>
    <w:rsid w:val="00CE4657"/>
    <w:rsid w:val="00CE48A4"/>
    <w:rsid w:val="00CE51E5"/>
    <w:rsid w:val="00CE5609"/>
    <w:rsid w:val="00CE5859"/>
    <w:rsid w:val="00CE6438"/>
    <w:rsid w:val="00CE64B9"/>
    <w:rsid w:val="00CE65F7"/>
    <w:rsid w:val="00CE678E"/>
    <w:rsid w:val="00CE741E"/>
    <w:rsid w:val="00CE7DF6"/>
    <w:rsid w:val="00CE7F40"/>
    <w:rsid w:val="00CF0402"/>
    <w:rsid w:val="00CF0610"/>
    <w:rsid w:val="00CF1050"/>
    <w:rsid w:val="00CF141E"/>
    <w:rsid w:val="00CF15C4"/>
    <w:rsid w:val="00CF15E4"/>
    <w:rsid w:val="00CF17BF"/>
    <w:rsid w:val="00CF1995"/>
    <w:rsid w:val="00CF1BAF"/>
    <w:rsid w:val="00CF1D18"/>
    <w:rsid w:val="00CF1EFC"/>
    <w:rsid w:val="00CF1F2A"/>
    <w:rsid w:val="00CF22EF"/>
    <w:rsid w:val="00CF2488"/>
    <w:rsid w:val="00CF273E"/>
    <w:rsid w:val="00CF29EE"/>
    <w:rsid w:val="00CF2C29"/>
    <w:rsid w:val="00CF2E5A"/>
    <w:rsid w:val="00CF2F4C"/>
    <w:rsid w:val="00CF2FF3"/>
    <w:rsid w:val="00CF3AED"/>
    <w:rsid w:val="00CF3C02"/>
    <w:rsid w:val="00CF3E44"/>
    <w:rsid w:val="00CF4099"/>
    <w:rsid w:val="00CF4EF2"/>
    <w:rsid w:val="00CF5B46"/>
    <w:rsid w:val="00CF6205"/>
    <w:rsid w:val="00CF6519"/>
    <w:rsid w:val="00CF6776"/>
    <w:rsid w:val="00CF6895"/>
    <w:rsid w:val="00CF6EA8"/>
    <w:rsid w:val="00CF70DC"/>
    <w:rsid w:val="00CF7122"/>
    <w:rsid w:val="00CF7322"/>
    <w:rsid w:val="00CF7AB8"/>
    <w:rsid w:val="00CF7F3B"/>
    <w:rsid w:val="00D00796"/>
    <w:rsid w:val="00D00893"/>
    <w:rsid w:val="00D00915"/>
    <w:rsid w:val="00D00C96"/>
    <w:rsid w:val="00D01168"/>
    <w:rsid w:val="00D0133E"/>
    <w:rsid w:val="00D01406"/>
    <w:rsid w:val="00D01D0C"/>
    <w:rsid w:val="00D01ED2"/>
    <w:rsid w:val="00D0282E"/>
    <w:rsid w:val="00D02DE2"/>
    <w:rsid w:val="00D03195"/>
    <w:rsid w:val="00D0363C"/>
    <w:rsid w:val="00D03A17"/>
    <w:rsid w:val="00D03A67"/>
    <w:rsid w:val="00D04119"/>
    <w:rsid w:val="00D04A05"/>
    <w:rsid w:val="00D04A9F"/>
    <w:rsid w:val="00D04E53"/>
    <w:rsid w:val="00D05454"/>
    <w:rsid w:val="00D05741"/>
    <w:rsid w:val="00D05867"/>
    <w:rsid w:val="00D05EA4"/>
    <w:rsid w:val="00D0667F"/>
    <w:rsid w:val="00D06698"/>
    <w:rsid w:val="00D068D3"/>
    <w:rsid w:val="00D06B77"/>
    <w:rsid w:val="00D0712D"/>
    <w:rsid w:val="00D073F4"/>
    <w:rsid w:val="00D07451"/>
    <w:rsid w:val="00D07BFE"/>
    <w:rsid w:val="00D07C41"/>
    <w:rsid w:val="00D07FD4"/>
    <w:rsid w:val="00D11803"/>
    <w:rsid w:val="00D11A99"/>
    <w:rsid w:val="00D11AA4"/>
    <w:rsid w:val="00D11E28"/>
    <w:rsid w:val="00D1208F"/>
    <w:rsid w:val="00D1279A"/>
    <w:rsid w:val="00D1291F"/>
    <w:rsid w:val="00D12F4A"/>
    <w:rsid w:val="00D136EE"/>
    <w:rsid w:val="00D138FB"/>
    <w:rsid w:val="00D1393E"/>
    <w:rsid w:val="00D13E71"/>
    <w:rsid w:val="00D13FEF"/>
    <w:rsid w:val="00D1445F"/>
    <w:rsid w:val="00D14667"/>
    <w:rsid w:val="00D14919"/>
    <w:rsid w:val="00D14931"/>
    <w:rsid w:val="00D14B13"/>
    <w:rsid w:val="00D14BB3"/>
    <w:rsid w:val="00D14DA6"/>
    <w:rsid w:val="00D150AC"/>
    <w:rsid w:val="00D151A8"/>
    <w:rsid w:val="00D15CEA"/>
    <w:rsid w:val="00D16117"/>
    <w:rsid w:val="00D1659B"/>
    <w:rsid w:val="00D172AB"/>
    <w:rsid w:val="00D174D8"/>
    <w:rsid w:val="00D17E91"/>
    <w:rsid w:val="00D17E9E"/>
    <w:rsid w:val="00D20766"/>
    <w:rsid w:val="00D207A3"/>
    <w:rsid w:val="00D20C70"/>
    <w:rsid w:val="00D216D5"/>
    <w:rsid w:val="00D21749"/>
    <w:rsid w:val="00D21817"/>
    <w:rsid w:val="00D22388"/>
    <w:rsid w:val="00D224ED"/>
    <w:rsid w:val="00D226AD"/>
    <w:rsid w:val="00D22815"/>
    <w:rsid w:val="00D22B64"/>
    <w:rsid w:val="00D2344B"/>
    <w:rsid w:val="00D236D3"/>
    <w:rsid w:val="00D23A2D"/>
    <w:rsid w:val="00D23BFD"/>
    <w:rsid w:val="00D23E6D"/>
    <w:rsid w:val="00D23F73"/>
    <w:rsid w:val="00D24A5D"/>
    <w:rsid w:val="00D24DFB"/>
    <w:rsid w:val="00D25311"/>
    <w:rsid w:val="00D25729"/>
    <w:rsid w:val="00D25BC3"/>
    <w:rsid w:val="00D25DDA"/>
    <w:rsid w:val="00D25E4E"/>
    <w:rsid w:val="00D261A2"/>
    <w:rsid w:val="00D261DF"/>
    <w:rsid w:val="00D26267"/>
    <w:rsid w:val="00D265C0"/>
    <w:rsid w:val="00D269A4"/>
    <w:rsid w:val="00D26B69"/>
    <w:rsid w:val="00D27B37"/>
    <w:rsid w:val="00D30022"/>
    <w:rsid w:val="00D3048F"/>
    <w:rsid w:val="00D30822"/>
    <w:rsid w:val="00D30AF8"/>
    <w:rsid w:val="00D30B93"/>
    <w:rsid w:val="00D30C24"/>
    <w:rsid w:val="00D31133"/>
    <w:rsid w:val="00D312B3"/>
    <w:rsid w:val="00D316D2"/>
    <w:rsid w:val="00D31758"/>
    <w:rsid w:val="00D31E2F"/>
    <w:rsid w:val="00D31EBF"/>
    <w:rsid w:val="00D3212F"/>
    <w:rsid w:val="00D3246C"/>
    <w:rsid w:val="00D328EC"/>
    <w:rsid w:val="00D32AFE"/>
    <w:rsid w:val="00D32FDF"/>
    <w:rsid w:val="00D332A8"/>
    <w:rsid w:val="00D33390"/>
    <w:rsid w:val="00D33EED"/>
    <w:rsid w:val="00D34221"/>
    <w:rsid w:val="00D344FA"/>
    <w:rsid w:val="00D34519"/>
    <w:rsid w:val="00D34C39"/>
    <w:rsid w:val="00D351EC"/>
    <w:rsid w:val="00D35C6D"/>
    <w:rsid w:val="00D35CF8"/>
    <w:rsid w:val="00D35FFE"/>
    <w:rsid w:val="00D36509"/>
    <w:rsid w:val="00D36969"/>
    <w:rsid w:val="00D369F5"/>
    <w:rsid w:val="00D36DEB"/>
    <w:rsid w:val="00D36E99"/>
    <w:rsid w:val="00D37095"/>
    <w:rsid w:val="00D3728E"/>
    <w:rsid w:val="00D402A2"/>
    <w:rsid w:val="00D4039C"/>
    <w:rsid w:val="00D40503"/>
    <w:rsid w:val="00D40A85"/>
    <w:rsid w:val="00D41358"/>
    <w:rsid w:val="00D421EE"/>
    <w:rsid w:val="00D423CD"/>
    <w:rsid w:val="00D42814"/>
    <w:rsid w:val="00D42A2B"/>
    <w:rsid w:val="00D42B6F"/>
    <w:rsid w:val="00D4320B"/>
    <w:rsid w:val="00D4372F"/>
    <w:rsid w:val="00D43A8A"/>
    <w:rsid w:val="00D43ECE"/>
    <w:rsid w:val="00D445C2"/>
    <w:rsid w:val="00D446BC"/>
    <w:rsid w:val="00D4478E"/>
    <w:rsid w:val="00D45F4F"/>
    <w:rsid w:val="00D4613A"/>
    <w:rsid w:val="00D46C9B"/>
    <w:rsid w:val="00D47075"/>
    <w:rsid w:val="00D47343"/>
    <w:rsid w:val="00D47732"/>
    <w:rsid w:val="00D47779"/>
    <w:rsid w:val="00D47FB0"/>
    <w:rsid w:val="00D50083"/>
    <w:rsid w:val="00D500BA"/>
    <w:rsid w:val="00D50AA0"/>
    <w:rsid w:val="00D51A65"/>
    <w:rsid w:val="00D51AB9"/>
    <w:rsid w:val="00D51BAA"/>
    <w:rsid w:val="00D51D99"/>
    <w:rsid w:val="00D5237E"/>
    <w:rsid w:val="00D529EB"/>
    <w:rsid w:val="00D52DE6"/>
    <w:rsid w:val="00D533DC"/>
    <w:rsid w:val="00D534C2"/>
    <w:rsid w:val="00D5416C"/>
    <w:rsid w:val="00D54386"/>
    <w:rsid w:val="00D543C9"/>
    <w:rsid w:val="00D5476D"/>
    <w:rsid w:val="00D54DC4"/>
    <w:rsid w:val="00D54E8C"/>
    <w:rsid w:val="00D54F6B"/>
    <w:rsid w:val="00D550C1"/>
    <w:rsid w:val="00D55270"/>
    <w:rsid w:val="00D557B6"/>
    <w:rsid w:val="00D55B0E"/>
    <w:rsid w:val="00D55D57"/>
    <w:rsid w:val="00D56A94"/>
    <w:rsid w:val="00D56B09"/>
    <w:rsid w:val="00D56B8B"/>
    <w:rsid w:val="00D56F8C"/>
    <w:rsid w:val="00D573F6"/>
    <w:rsid w:val="00D57793"/>
    <w:rsid w:val="00D57B5A"/>
    <w:rsid w:val="00D606E6"/>
    <w:rsid w:val="00D61602"/>
    <w:rsid w:val="00D616D2"/>
    <w:rsid w:val="00D61C0C"/>
    <w:rsid w:val="00D61CAB"/>
    <w:rsid w:val="00D620AB"/>
    <w:rsid w:val="00D62400"/>
    <w:rsid w:val="00D6260F"/>
    <w:rsid w:val="00D627D8"/>
    <w:rsid w:val="00D62963"/>
    <w:rsid w:val="00D63AB6"/>
    <w:rsid w:val="00D63B5F"/>
    <w:rsid w:val="00D63E1B"/>
    <w:rsid w:val="00D6429D"/>
    <w:rsid w:val="00D64D8E"/>
    <w:rsid w:val="00D65008"/>
    <w:rsid w:val="00D6519F"/>
    <w:rsid w:val="00D6531C"/>
    <w:rsid w:val="00D65450"/>
    <w:rsid w:val="00D65972"/>
    <w:rsid w:val="00D65D76"/>
    <w:rsid w:val="00D6629C"/>
    <w:rsid w:val="00D666B1"/>
    <w:rsid w:val="00D6728F"/>
    <w:rsid w:val="00D67666"/>
    <w:rsid w:val="00D677A0"/>
    <w:rsid w:val="00D67CD5"/>
    <w:rsid w:val="00D700F6"/>
    <w:rsid w:val="00D70517"/>
    <w:rsid w:val="00D70A14"/>
    <w:rsid w:val="00D70B0C"/>
    <w:rsid w:val="00D70EF7"/>
    <w:rsid w:val="00D7186E"/>
    <w:rsid w:val="00D71B4B"/>
    <w:rsid w:val="00D71BA1"/>
    <w:rsid w:val="00D71F90"/>
    <w:rsid w:val="00D72546"/>
    <w:rsid w:val="00D72931"/>
    <w:rsid w:val="00D72A0F"/>
    <w:rsid w:val="00D72D44"/>
    <w:rsid w:val="00D738EE"/>
    <w:rsid w:val="00D73993"/>
    <w:rsid w:val="00D73D48"/>
    <w:rsid w:val="00D73FD1"/>
    <w:rsid w:val="00D740E0"/>
    <w:rsid w:val="00D74785"/>
    <w:rsid w:val="00D74938"/>
    <w:rsid w:val="00D749D5"/>
    <w:rsid w:val="00D74F68"/>
    <w:rsid w:val="00D7504F"/>
    <w:rsid w:val="00D75081"/>
    <w:rsid w:val="00D75312"/>
    <w:rsid w:val="00D75B5F"/>
    <w:rsid w:val="00D75D80"/>
    <w:rsid w:val="00D7625F"/>
    <w:rsid w:val="00D768E6"/>
    <w:rsid w:val="00D76C5D"/>
    <w:rsid w:val="00D76F8C"/>
    <w:rsid w:val="00D77288"/>
    <w:rsid w:val="00D77DEE"/>
    <w:rsid w:val="00D800C0"/>
    <w:rsid w:val="00D80221"/>
    <w:rsid w:val="00D8091C"/>
    <w:rsid w:val="00D80986"/>
    <w:rsid w:val="00D80BAA"/>
    <w:rsid w:val="00D80BEB"/>
    <w:rsid w:val="00D80F62"/>
    <w:rsid w:val="00D81F2B"/>
    <w:rsid w:val="00D820D9"/>
    <w:rsid w:val="00D82147"/>
    <w:rsid w:val="00D82173"/>
    <w:rsid w:val="00D823D7"/>
    <w:rsid w:val="00D82A1B"/>
    <w:rsid w:val="00D82A96"/>
    <w:rsid w:val="00D82D02"/>
    <w:rsid w:val="00D83173"/>
    <w:rsid w:val="00D837EF"/>
    <w:rsid w:val="00D8397C"/>
    <w:rsid w:val="00D83D3B"/>
    <w:rsid w:val="00D83F40"/>
    <w:rsid w:val="00D84070"/>
    <w:rsid w:val="00D846C4"/>
    <w:rsid w:val="00D84ED5"/>
    <w:rsid w:val="00D8531C"/>
    <w:rsid w:val="00D8538B"/>
    <w:rsid w:val="00D8573E"/>
    <w:rsid w:val="00D85943"/>
    <w:rsid w:val="00D86325"/>
    <w:rsid w:val="00D8658A"/>
    <w:rsid w:val="00D86CD3"/>
    <w:rsid w:val="00D8706A"/>
    <w:rsid w:val="00D8736D"/>
    <w:rsid w:val="00D874F7"/>
    <w:rsid w:val="00D87EA2"/>
    <w:rsid w:val="00D90529"/>
    <w:rsid w:val="00D90C1A"/>
    <w:rsid w:val="00D917F3"/>
    <w:rsid w:val="00D9182A"/>
    <w:rsid w:val="00D918CD"/>
    <w:rsid w:val="00D91B88"/>
    <w:rsid w:val="00D91CB9"/>
    <w:rsid w:val="00D91E70"/>
    <w:rsid w:val="00D91FD3"/>
    <w:rsid w:val="00D92100"/>
    <w:rsid w:val="00D92696"/>
    <w:rsid w:val="00D927C3"/>
    <w:rsid w:val="00D92FE7"/>
    <w:rsid w:val="00D932E1"/>
    <w:rsid w:val="00D934B3"/>
    <w:rsid w:val="00D935CA"/>
    <w:rsid w:val="00D93986"/>
    <w:rsid w:val="00D93F9F"/>
    <w:rsid w:val="00D9452A"/>
    <w:rsid w:val="00D94650"/>
    <w:rsid w:val="00D94EED"/>
    <w:rsid w:val="00D950B2"/>
    <w:rsid w:val="00D95377"/>
    <w:rsid w:val="00D9574A"/>
    <w:rsid w:val="00D957A3"/>
    <w:rsid w:val="00D95D6F"/>
    <w:rsid w:val="00D95EEC"/>
    <w:rsid w:val="00D96026"/>
    <w:rsid w:val="00D963E3"/>
    <w:rsid w:val="00D967EA"/>
    <w:rsid w:val="00D97284"/>
    <w:rsid w:val="00D97833"/>
    <w:rsid w:val="00D97DBC"/>
    <w:rsid w:val="00D97F27"/>
    <w:rsid w:val="00DA03C9"/>
    <w:rsid w:val="00DA03F6"/>
    <w:rsid w:val="00DA0C89"/>
    <w:rsid w:val="00DA122A"/>
    <w:rsid w:val="00DA156F"/>
    <w:rsid w:val="00DA1578"/>
    <w:rsid w:val="00DA1857"/>
    <w:rsid w:val="00DA1A27"/>
    <w:rsid w:val="00DA1FAB"/>
    <w:rsid w:val="00DA25C3"/>
    <w:rsid w:val="00DA2D12"/>
    <w:rsid w:val="00DA307B"/>
    <w:rsid w:val="00DA3124"/>
    <w:rsid w:val="00DA34F6"/>
    <w:rsid w:val="00DA4229"/>
    <w:rsid w:val="00DA4C46"/>
    <w:rsid w:val="00DA56E2"/>
    <w:rsid w:val="00DA5B23"/>
    <w:rsid w:val="00DA62AB"/>
    <w:rsid w:val="00DA637C"/>
    <w:rsid w:val="00DA65D5"/>
    <w:rsid w:val="00DA6F0D"/>
    <w:rsid w:val="00DA7911"/>
    <w:rsid w:val="00DA7C1C"/>
    <w:rsid w:val="00DB072C"/>
    <w:rsid w:val="00DB08CF"/>
    <w:rsid w:val="00DB0B41"/>
    <w:rsid w:val="00DB1341"/>
    <w:rsid w:val="00DB147A"/>
    <w:rsid w:val="00DB147B"/>
    <w:rsid w:val="00DB1509"/>
    <w:rsid w:val="00DB175B"/>
    <w:rsid w:val="00DB1949"/>
    <w:rsid w:val="00DB1AE4"/>
    <w:rsid w:val="00DB1B7A"/>
    <w:rsid w:val="00DB2318"/>
    <w:rsid w:val="00DB24C3"/>
    <w:rsid w:val="00DB256E"/>
    <w:rsid w:val="00DB2608"/>
    <w:rsid w:val="00DB2727"/>
    <w:rsid w:val="00DB2B90"/>
    <w:rsid w:val="00DB2C38"/>
    <w:rsid w:val="00DB2F12"/>
    <w:rsid w:val="00DB2F84"/>
    <w:rsid w:val="00DB3024"/>
    <w:rsid w:val="00DB3176"/>
    <w:rsid w:val="00DB3DB0"/>
    <w:rsid w:val="00DB52DE"/>
    <w:rsid w:val="00DB6217"/>
    <w:rsid w:val="00DB628B"/>
    <w:rsid w:val="00DB630E"/>
    <w:rsid w:val="00DB65EF"/>
    <w:rsid w:val="00DB6804"/>
    <w:rsid w:val="00DB6947"/>
    <w:rsid w:val="00DB6C1A"/>
    <w:rsid w:val="00DB71A7"/>
    <w:rsid w:val="00DB768F"/>
    <w:rsid w:val="00DB769A"/>
    <w:rsid w:val="00DB78AE"/>
    <w:rsid w:val="00DB7B5F"/>
    <w:rsid w:val="00DB7B82"/>
    <w:rsid w:val="00DC00C4"/>
    <w:rsid w:val="00DC0BF7"/>
    <w:rsid w:val="00DC13F2"/>
    <w:rsid w:val="00DC17EF"/>
    <w:rsid w:val="00DC1843"/>
    <w:rsid w:val="00DC1B5B"/>
    <w:rsid w:val="00DC1B9C"/>
    <w:rsid w:val="00DC1FE3"/>
    <w:rsid w:val="00DC2092"/>
    <w:rsid w:val="00DC20FB"/>
    <w:rsid w:val="00DC27DF"/>
    <w:rsid w:val="00DC30AA"/>
    <w:rsid w:val="00DC37F9"/>
    <w:rsid w:val="00DC3AEB"/>
    <w:rsid w:val="00DC458E"/>
    <w:rsid w:val="00DC45FA"/>
    <w:rsid w:val="00DC46EA"/>
    <w:rsid w:val="00DC46F9"/>
    <w:rsid w:val="00DC520B"/>
    <w:rsid w:val="00DC5C33"/>
    <w:rsid w:val="00DC5D9C"/>
    <w:rsid w:val="00DC5E61"/>
    <w:rsid w:val="00DC61AA"/>
    <w:rsid w:val="00DC6265"/>
    <w:rsid w:val="00DC63AE"/>
    <w:rsid w:val="00DC6708"/>
    <w:rsid w:val="00DC6BC3"/>
    <w:rsid w:val="00DC702D"/>
    <w:rsid w:val="00DC72CF"/>
    <w:rsid w:val="00DD033F"/>
    <w:rsid w:val="00DD0684"/>
    <w:rsid w:val="00DD0750"/>
    <w:rsid w:val="00DD091B"/>
    <w:rsid w:val="00DD0BB3"/>
    <w:rsid w:val="00DD0BC9"/>
    <w:rsid w:val="00DD0EED"/>
    <w:rsid w:val="00DD16BE"/>
    <w:rsid w:val="00DD1CCF"/>
    <w:rsid w:val="00DD21AC"/>
    <w:rsid w:val="00DD24D2"/>
    <w:rsid w:val="00DD2709"/>
    <w:rsid w:val="00DD2F78"/>
    <w:rsid w:val="00DD3288"/>
    <w:rsid w:val="00DD3649"/>
    <w:rsid w:val="00DD3798"/>
    <w:rsid w:val="00DD3BED"/>
    <w:rsid w:val="00DD3D12"/>
    <w:rsid w:val="00DD3E7C"/>
    <w:rsid w:val="00DD491B"/>
    <w:rsid w:val="00DD536C"/>
    <w:rsid w:val="00DD54BF"/>
    <w:rsid w:val="00DD5ED6"/>
    <w:rsid w:val="00DD668A"/>
    <w:rsid w:val="00DD67DA"/>
    <w:rsid w:val="00DD6826"/>
    <w:rsid w:val="00DD6BD9"/>
    <w:rsid w:val="00DD6D59"/>
    <w:rsid w:val="00DD7252"/>
    <w:rsid w:val="00DD7DCA"/>
    <w:rsid w:val="00DE0642"/>
    <w:rsid w:val="00DE0F1C"/>
    <w:rsid w:val="00DE1556"/>
    <w:rsid w:val="00DE16C3"/>
    <w:rsid w:val="00DE1731"/>
    <w:rsid w:val="00DE204B"/>
    <w:rsid w:val="00DE2471"/>
    <w:rsid w:val="00DE3189"/>
    <w:rsid w:val="00DE34CA"/>
    <w:rsid w:val="00DE364A"/>
    <w:rsid w:val="00DE4262"/>
    <w:rsid w:val="00DE465E"/>
    <w:rsid w:val="00DE485B"/>
    <w:rsid w:val="00DE4F08"/>
    <w:rsid w:val="00DE514B"/>
    <w:rsid w:val="00DE5420"/>
    <w:rsid w:val="00DE55E2"/>
    <w:rsid w:val="00DE5BF0"/>
    <w:rsid w:val="00DE5D4D"/>
    <w:rsid w:val="00DE5D7D"/>
    <w:rsid w:val="00DE6FE9"/>
    <w:rsid w:val="00DE78C0"/>
    <w:rsid w:val="00DF00A1"/>
    <w:rsid w:val="00DF01EE"/>
    <w:rsid w:val="00DF0247"/>
    <w:rsid w:val="00DF0881"/>
    <w:rsid w:val="00DF09E4"/>
    <w:rsid w:val="00DF16DC"/>
    <w:rsid w:val="00DF29B1"/>
    <w:rsid w:val="00DF29F2"/>
    <w:rsid w:val="00DF2EEB"/>
    <w:rsid w:val="00DF3339"/>
    <w:rsid w:val="00DF33FD"/>
    <w:rsid w:val="00DF37AC"/>
    <w:rsid w:val="00DF3C7A"/>
    <w:rsid w:val="00DF430C"/>
    <w:rsid w:val="00DF4E94"/>
    <w:rsid w:val="00DF4FBF"/>
    <w:rsid w:val="00DF51D0"/>
    <w:rsid w:val="00DF5924"/>
    <w:rsid w:val="00DF5C69"/>
    <w:rsid w:val="00DF60B5"/>
    <w:rsid w:val="00DF610C"/>
    <w:rsid w:val="00DF67A3"/>
    <w:rsid w:val="00DF6809"/>
    <w:rsid w:val="00DF6967"/>
    <w:rsid w:val="00DF6D2E"/>
    <w:rsid w:val="00DF6DC6"/>
    <w:rsid w:val="00DF719D"/>
    <w:rsid w:val="00DF77CB"/>
    <w:rsid w:val="00E003D5"/>
    <w:rsid w:val="00E00541"/>
    <w:rsid w:val="00E00927"/>
    <w:rsid w:val="00E00E4C"/>
    <w:rsid w:val="00E010BC"/>
    <w:rsid w:val="00E01436"/>
    <w:rsid w:val="00E0157E"/>
    <w:rsid w:val="00E01827"/>
    <w:rsid w:val="00E018EE"/>
    <w:rsid w:val="00E01D8D"/>
    <w:rsid w:val="00E01DA3"/>
    <w:rsid w:val="00E01F0A"/>
    <w:rsid w:val="00E02067"/>
    <w:rsid w:val="00E0242D"/>
    <w:rsid w:val="00E02A8C"/>
    <w:rsid w:val="00E0304F"/>
    <w:rsid w:val="00E03069"/>
    <w:rsid w:val="00E03137"/>
    <w:rsid w:val="00E03A77"/>
    <w:rsid w:val="00E03CD2"/>
    <w:rsid w:val="00E03E2D"/>
    <w:rsid w:val="00E045BD"/>
    <w:rsid w:val="00E0483A"/>
    <w:rsid w:val="00E048BE"/>
    <w:rsid w:val="00E05550"/>
    <w:rsid w:val="00E0633A"/>
    <w:rsid w:val="00E068A3"/>
    <w:rsid w:val="00E06CB1"/>
    <w:rsid w:val="00E06E07"/>
    <w:rsid w:val="00E06E0C"/>
    <w:rsid w:val="00E06FB1"/>
    <w:rsid w:val="00E075A6"/>
    <w:rsid w:val="00E100CB"/>
    <w:rsid w:val="00E115AE"/>
    <w:rsid w:val="00E116F9"/>
    <w:rsid w:val="00E118AA"/>
    <w:rsid w:val="00E12043"/>
    <w:rsid w:val="00E12077"/>
    <w:rsid w:val="00E12F60"/>
    <w:rsid w:val="00E13787"/>
    <w:rsid w:val="00E137E3"/>
    <w:rsid w:val="00E13A0C"/>
    <w:rsid w:val="00E13CDE"/>
    <w:rsid w:val="00E14351"/>
    <w:rsid w:val="00E146A7"/>
    <w:rsid w:val="00E147E1"/>
    <w:rsid w:val="00E14EC0"/>
    <w:rsid w:val="00E1560E"/>
    <w:rsid w:val="00E1590B"/>
    <w:rsid w:val="00E15BDF"/>
    <w:rsid w:val="00E16060"/>
    <w:rsid w:val="00E1631A"/>
    <w:rsid w:val="00E16380"/>
    <w:rsid w:val="00E164FF"/>
    <w:rsid w:val="00E16931"/>
    <w:rsid w:val="00E16A29"/>
    <w:rsid w:val="00E16DDE"/>
    <w:rsid w:val="00E16E50"/>
    <w:rsid w:val="00E171DF"/>
    <w:rsid w:val="00E17B6C"/>
    <w:rsid w:val="00E17B77"/>
    <w:rsid w:val="00E17C7F"/>
    <w:rsid w:val="00E2000A"/>
    <w:rsid w:val="00E20E5A"/>
    <w:rsid w:val="00E2124D"/>
    <w:rsid w:val="00E2170B"/>
    <w:rsid w:val="00E21D00"/>
    <w:rsid w:val="00E21DD4"/>
    <w:rsid w:val="00E21F94"/>
    <w:rsid w:val="00E22245"/>
    <w:rsid w:val="00E22E79"/>
    <w:rsid w:val="00E23337"/>
    <w:rsid w:val="00E239BF"/>
    <w:rsid w:val="00E239CB"/>
    <w:rsid w:val="00E23D53"/>
    <w:rsid w:val="00E23D99"/>
    <w:rsid w:val="00E23E1C"/>
    <w:rsid w:val="00E23F26"/>
    <w:rsid w:val="00E23FCF"/>
    <w:rsid w:val="00E23FF7"/>
    <w:rsid w:val="00E24638"/>
    <w:rsid w:val="00E2476B"/>
    <w:rsid w:val="00E251A8"/>
    <w:rsid w:val="00E259EA"/>
    <w:rsid w:val="00E25C0C"/>
    <w:rsid w:val="00E25FF0"/>
    <w:rsid w:val="00E2652A"/>
    <w:rsid w:val="00E269E6"/>
    <w:rsid w:val="00E26E1A"/>
    <w:rsid w:val="00E26EA7"/>
    <w:rsid w:val="00E26EA8"/>
    <w:rsid w:val="00E308D1"/>
    <w:rsid w:val="00E30B38"/>
    <w:rsid w:val="00E30E36"/>
    <w:rsid w:val="00E30FB2"/>
    <w:rsid w:val="00E31830"/>
    <w:rsid w:val="00E318C6"/>
    <w:rsid w:val="00E31DC1"/>
    <w:rsid w:val="00E31F16"/>
    <w:rsid w:val="00E32061"/>
    <w:rsid w:val="00E325E5"/>
    <w:rsid w:val="00E3301B"/>
    <w:rsid w:val="00E339B5"/>
    <w:rsid w:val="00E33C18"/>
    <w:rsid w:val="00E3402B"/>
    <w:rsid w:val="00E340E1"/>
    <w:rsid w:val="00E341CF"/>
    <w:rsid w:val="00E34344"/>
    <w:rsid w:val="00E343BB"/>
    <w:rsid w:val="00E343EA"/>
    <w:rsid w:val="00E34404"/>
    <w:rsid w:val="00E34866"/>
    <w:rsid w:val="00E34C83"/>
    <w:rsid w:val="00E35C00"/>
    <w:rsid w:val="00E35C11"/>
    <w:rsid w:val="00E35D80"/>
    <w:rsid w:val="00E3649B"/>
    <w:rsid w:val="00E36732"/>
    <w:rsid w:val="00E367D3"/>
    <w:rsid w:val="00E369F1"/>
    <w:rsid w:val="00E36F0A"/>
    <w:rsid w:val="00E3747F"/>
    <w:rsid w:val="00E376AC"/>
    <w:rsid w:val="00E378AC"/>
    <w:rsid w:val="00E37B05"/>
    <w:rsid w:val="00E405BA"/>
    <w:rsid w:val="00E40D36"/>
    <w:rsid w:val="00E40D85"/>
    <w:rsid w:val="00E40E15"/>
    <w:rsid w:val="00E41B9D"/>
    <w:rsid w:val="00E41F62"/>
    <w:rsid w:val="00E41F75"/>
    <w:rsid w:val="00E42042"/>
    <w:rsid w:val="00E42139"/>
    <w:rsid w:val="00E426EC"/>
    <w:rsid w:val="00E42FC9"/>
    <w:rsid w:val="00E42FF9"/>
    <w:rsid w:val="00E4384F"/>
    <w:rsid w:val="00E43925"/>
    <w:rsid w:val="00E44184"/>
    <w:rsid w:val="00E4418A"/>
    <w:rsid w:val="00E448F9"/>
    <w:rsid w:val="00E45091"/>
    <w:rsid w:val="00E454FB"/>
    <w:rsid w:val="00E4577D"/>
    <w:rsid w:val="00E45B46"/>
    <w:rsid w:val="00E46186"/>
    <w:rsid w:val="00E461E4"/>
    <w:rsid w:val="00E4620A"/>
    <w:rsid w:val="00E4643D"/>
    <w:rsid w:val="00E4714C"/>
    <w:rsid w:val="00E473A8"/>
    <w:rsid w:val="00E47501"/>
    <w:rsid w:val="00E4770F"/>
    <w:rsid w:val="00E50831"/>
    <w:rsid w:val="00E50AC6"/>
    <w:rsid w:val="00E5109F"/>
    <w:rsid w:val="00E51732"/>
    <w:rsid w:val="00E51AEB"/>
    <w:rsid w:val="00E522A7"/>
    <w:rsid w:val="00E52CA2"/>
    <w:rsid w:val="00E52CE4"/>
    <w:rsid w:val="00E52F90"/>
    <w:rsid w:val="00E532F2"/>
    <w:rsid w:val="00E53971"/>
    <w:rsid w:val="00E53B58"/>
    <w:rsid w:val="00E53C5B"/>
    <w:rsid w:val="00E53E98"/>
    <w:rsid w:val="00E53EB4"/>
    <w:rsid w:val="00E541ED"/>
    <w:rsid w:val="00E5432D"/>
    <w:rsid w:val="00E543DE"/>
    <w:rsid w:val="00E54452"/>
    <w:rsid w:val="00E5479C"/>
    <w:rsid w:val="00E547A7"/>
    <w:rsid w:val="00E547C6"/>
    <w:rsid w:val="00E54923"/>
    <w:rsid w:val="00E54A1D"/>
    <w:rsid w:val="00E54F52"/>
    <w:rsid w:val="00E555FF"/>
    <w:rsid w:val="00E55A0E"/>
    <w:rsid w:val="00E55F9C"/>
    <w:rsid w:val="00E566C7"/>
    <w:rsid w:val="00E5682C"/>
    <w:rsid w:val="00E56989"/>
    <w:rsid w:val="00E56BB0"/>
    <w:rsid w:val="00E56D2E"/>
    <w:rsid w:val="00E56E1A"/>
    <w:rsid w:val="00E60932"/>
    <w:rsid w:val="00E609CD"/>
    <w:rsid w:val="00E60CB3"/>
    <w:rsid w:val="00E61B05"/>
    <w:rsid w:val="00E62460"/>
    <w:rsid w:val="00E624CF"/>
    <w:rsid w:val="00E62641"/>
    <w:rsid w:val="00E626B2"/>
    <w:rsid w:val="00E631B5"/>
    <w:rsid w:val="00E633FD"/>
    <w:rsid w:val="00E6386D"/>
    <w:rsid w:val="00E63950"/>
    <w:rsid w:val="00E63C6A"/>
    <w:rsid w:val="00E63F87"/>
    <w:rsid w:val="00E63FC8"/>
    <w:rsid w:val="00E6425F"/>
    <w:rsid w:val="00E643C3"/>
    <w:rsid w:val="00E644D3"/>
    <w:rsid w:val="00E647C7"/>
    <w:rsid w:val="00E64DF4"/>
    <w:rsid w:val="00E64FAB"/>
    <w:rsid w:val="00E6509C"/>
    <w:rsid w:val="00E6574B"/>
    <w:rsid w:val="00E659D2"/>
    <w:rsid w:val="00E65A30"/>
    <w:rsid w:val="00E65A9C"/>
    <w:rsid w:val="00E664C5"/>
    <w:rsid w:val="00E669B0"/>
    <w:rsid w:val="00E66CB9"/>
    <w:rsid w:val="00E671A2"/>
    <w:rsid w:val="00E67587"/>
    <w:rsid w:val="00E6793D"/>
    <w:rsid w:val="00E67BE7"/>
    <w:rsid w:val="00E67DEE"/>
    <w:rsid w:val="00E70433"/>
    <w:rsid w:val="00E705A6"/>
    <w:rsid w:val="00E706F2"/>
    <w:rsid w:val="00E70988"/>
    <w:rsid w:val="00E70AFA"/>
    <w:rsid w:val="00E70BA7"/>
    <w:rsid w:val="00E7105A"/>
    <w:rsid w:val="00E71A15"/>
    <w:rsid w:val="00E71F17"/>
    <w:rsid w:val="00E7202F"/>
    <w:rsid w:val="00E7267C"/>
    <w:rsid w:val="00E72701"/>
    <w:rsid w:val="00E72766"/>
    <w:rsid w:val="00E72C84"/>
    <w:rsid w:val="00E72D05"/>
    <w:rsid w:val="00E7314D"/>
    <w:rsid w:val="00E73D03"/>
    <w:rsid w:val="00E7468F"/>
    <w:rsid w:val="00E7557B"/>
    <w:rsid w:val="00E75917"/>
    <w:rsid w:val="00E75C18"/>
    <w:rsid w:val="00E75EF4"/>
    <w:rsid w:val="00E7683F"/>
    <w:rsid w:val="00E76D26"/>
    <w:rsid w:val="00E76E14"/>
    <w:rsid w:val="00E7757E"/>
    <w:rsid w:val="00E777D1"/>
    <w:rsid w:val="00E779E6"/>
    <w:rsid w:val="00E77B2A"/>
    <w:rsid w:val="00E77C67"/>
    <w:rsid w:val="00E77DCD"/>
    <w:rsid w:val="00E77F75"/>
    <w:rsid w:val="00E80152"/>
    <w:rsid w:val="00E80178"/>
    <w:rsid w:val="00E803C3"/>
    <w:rsid w:val="00E80A68"/>
    <w:rsid w:val="00E80BE3"/>
    <w:rsid w:val="00E8162B"/>
    <w:rsid w:val="00E817DA"/>
    <w:rsid w:val="00E81C36"/>
    <w:rsid w:val="00E81D43"/>
    <w:rsid w:val="00E81E65"/>
    <w:rsid w:val="00E822A7"/>
    <w:rsid w:val="00E82444"/>
    <w:rsid w:val="00E82626"/>
    <w:rsid w:val="00E82B51"/>
    <w:rsid w:val="00E8321F"/>
    <w:rsid w:val="00E836A9"/>
    <w:rsid w:val="00E83798"/>
    <w:rsid w:val="00E83A92"/>
    <w:rsid w:val="00E83B28"/>
    <w:rsid w:val="00E83C20"/>
    <w:rsid w:val="00E83F59"/>
    <w:rsid w:val="00E84523"/>
    <w:rsid w:val="00E84575"/>
    <w:rsid w:val="00E847BD"/>
    <w:rsid w:val="00E84A80"/>
    <w:rsid w:val="00E84DDA"/>
    <w:rsid w:val="00E84E14"/>
    <w:rsid w:val="00E84EB9"/>
    <w:rsid w:val="00E84F6F"/>
    <w:rsid w:val="00E8524E"/>
    <w:rsid w:val="00E85272"/>
    <w:rsid w:val="00E85705"/>
    <w:rsid w:val="00E85AA5"/>
    <w:rsid w:val="00E860D2"/>
    <w:rsid w:val="00E864D3"/>
    <w:rsid w:val="00E866FE"/>
    <w:rsid w:val="00E8685F"/>
    <w:rsid w:val="00E86BF2"/>
    <w:rsid w:val="00E86F34"/>
    <w:rsid w:val="00E87076"/>
    <w:rsid w:val="00E871FD"/>
    <w:rsid w:val="00E87350"/>
    <w:rsid w:val="00E87B40"/>
    <w:rsid w:val="00E87C2C"/>
    <w:rsid w:val="00E90118"/>
    <w:rsid w:val="00E90145"/>
    <w:rsid w:val="00E90412"/>
    <w:rsid w:val="00E90638"/>
    <w:rsid w:val="00E91276"/>
    <w:rsid w:val="00E913D2"/>
    <w:rsid w:val="00E9150E"/>
    <w:rsid w:val="00E91895"/>
    <w:rsid w:val="00E91E12"/>
    <w:rsid w:val="00E91ED1"/>
    <w:rsid w:val="00E923A7"/>
    <w:rsid w:val="00E92B02"/>
    <w:rsid w:val="00E92D3B"/>
    <w:rsid w:val="00E92D4F"/>
    <w:rsid w:val="00E92FC9"/>
    <w:rsid w:val="00E9306C"/>
    <w:rsid w:val="00E93155"/>
    <w:rsid w:val="00E932C7"/>
    <w:rsid w:val="00E9347D"/>
    <w:rsid w:val="00E94011"/>
    <w:rsid w:val="00E946E5"/>
    <w:rsid w:val="00E947EA"/>
    <w:rsid w:val="00E948A7"/>
    <w:rsid w:val="00E9500B"/>
    <w:rsid w:val="00E950FD"/>
    <w:rsid w:val="00E9515C"/>
    <w:rsid w:val="00E95179"/>
    <w:rsid w:val="00E95789"/>
    <w:rsid w:val="00E95A21"/>
    <w:rsid w:val="00E95EE8"/>
    <w:rsid w:val="00E960C5"/>
    <w:rsid w:val="00E96190"/>
    <w:rsid w:val="00E961BE"/>
    <w:rsid w:val="00E96AEB"/>
    <w:rsid w:val="00E96D54"/>
    <w:rsid w:val="00E96F07"/>
    <w:rsid w:val="00E979AF"/>
    <w:rsid w:val="00E97B02"/>
    <w:rsid w:val="00EA0013"/>
    <w:rsid w:val="00EA0218"/>
    <w:rsid w:val="00EA02C9"/>
    <w:rsid w:val="00EA02F9"/>
    <w:rsid w:val="00EA0605"/>
    <w:rsid w:val="00EA065F"/>
    <w:rsid w:val="00EA0A1C"/>
    <w:rsid w:val="00EA1617"/>
    <w:rsid w:val="00EA1E35"/>
    <w:rsid w:val="00EA2586"/>
    <w:rsid w:val="00EA2850"/>
    <w:rsid w:val="00EA3A25"/>
    <w:rsid w:val="00EA3C2D"/>
    <w:rsid w:val="00EA4396"/>
    <w:rsid w:val="00EA4CEA"/>
    <w:rsid w:val="00EA4E21"/>
    <w:rsid w:val="00EA4E75"/>
    <w:rsid w:val="00EA58D7"/>
    <w:rsid w:val="00EA5A28"/>
    <w:rsid w:val="00EA5A2E"/>
    <w:rsid w:val="00EA5AAF"/>
    <w:rsid w:val="00EA5EBB"/>
    <w:rsid w:val="00EA658A"/>
    <w:rsid w:val="00EA6BEA"/>
    <w:rsid w:val="00EA6ED3"/>
    <w:rsid w:val="00EA7279"/>
    <w:rsid w:val="00EA72AF"/>
    <w:rsid w:val="00EA74EC"/>
    <w:rsid w:val="00EA7593"/>
    <w:rsid w:val="00EA7A0A"/>
    <w:rsid w:val="00EA7A0F"/>
    <w:rsid w:val="00EA7AF0"/>
    <w:rsid w:val="00EB0A4D"/>
    <w:rsid w:val="00EB0A4E"/>
    <w:rsid w:val="00EB0AC6"/>
    <w:rsid w:val="00EB0D3A"/>
    <w:rsid w:val="00EB0F14"/>
    <w:rsid w:val="00EB0F46"/>
    <w:rsid w:val="00EB1129"/>
    <w:rsid w:val="00EB1390"/>
    <w:rsid w:val="00EB1760"/>
    <w:rsid w:val="00EB180D"/>
    <w:rsid w:val="00EB1DAD"/>
    <w:rsid w:val="00EB221A"/>
    <w:rsid w:val="00EB2C46"/>
    <w:rsid w:val="00EB2C71"/>
    <w:rsid w:val="00EB3102"/>
    <w:rsid w:val="00EB322A"/>
    <w:rsid w:val="00EB33E2"/>
    <w:rsid w:val="00EB40B6"/>
    <w:rsid w:val="00EB4340"/>
    <w:rsid w:val="00EB4670"/>
    <w:rsid w:val="00EB48B1"/>
    <w:rsid w:val="00EB4F4A"/>
    <w:rsid w:val="00EB53BB"/>
    <w:rsid w:val="00EB556D"/>
    <w:rsid w:val="00EB57F8"/>
    <w:rsid w:val="00EB5A7D"/>
    <w:rsid w:val="00EB5D29"/>
    <w:rsid w:val="00EB5DF8"/>
    <w:rsid w:val="00EB62D4"/>
    <w:rsid w:val="00EB6623"/>
    <w:rsid w:val="00EB66B8"/>
    <w:rsid w:val="00EB6993"/>
    <w:rsid w:val="00EB7295"/>
    <w:rsid w:val="00EB7602"/>
    <w:rsid w:val="00EB78D8"/>
    <w:rsid w:val="00EB7A47"/>
    <w:rsid w:val="00EB7AE0"/>
    <w:rsid w:val="00EB7E7A"/>
    <w:rsid w:val="00EC045A"/>
    <w:rsid w:val="00EC079C"/>
    <w:rsid w:val="00EC09F4"/>
    <w:rsid w:val="00EC0CD5"/>
    <w:rsid w:val="00EC1223"/>
    <w:rsid w:val="00EC17F6"/>
    <w:rsid w:val="00EC185F"/>
    <w:rsid w:val="00EC1D39"/>
    <w:rsid w:val="00EC1DB9"/>
    <w:rsid w:val="00EC2267"/>
    <w:rsid w:val="00EC2823"/>
    <w:rsid w:val="00EC2C5D"/>
    <w:rsid w:val="00EC316F"/>
    <w:rsid w:val="00EC346B"/>
    <w:rsid w:val="00EC3AD5"/>
    <w:rsid w:val="00EC3B26"/>
    <w:rsid w:val="00EC3C4B"/>
    <w:rsid w:val="00EC3EB8"/>
    <w:rsid w:val="00EC3F26"/>
    <w:rsid w:val="00EC41B9"/>
    <w:rsid w:val="00EC4206"/>
    <w:rsid w:val="00EC4279"/>
    <w:rsid w:val="00EC43C0"/>
    <w:rsid w:val="00EC446D"/>
    <w:rsid w:val="00EC4563"/>
    <w:rsid w:val="00EC478A"/>
    <w:rsid w:val="00EC5092"/>
    <w:rsid w:val="00EC5103"/>
    <w:rsid w:val="00EC5298"/>
    <w:rsid w:val="00EC571F"/>
    <w:rsid w:val="00EC5A1B"/>
    <w:rsid w:val="00EC5E78"/>
    <w:rsid w:val="00EC5FB3"/>
    <w:rsid w:val="00EC60B7"/>
    <w:rsid w:val="00EC74E6"/>
    <w:rsid w:val="00EC7510"/>
    <w:rsid w:val="00EC77D4"/>
    <w:rsid w:val="00EC7894"/>
    <w:rsid w:val="00EC7F1D"/>
    <w:rsid w:val="00ED011E"/>
    <w:rsid w:val="00ED0791"/>
    <w:rsid w:val="00ED083F"/>
    <w:rsid w:val="00ED0E9A"/>
    <w:rsid w:val="00ED0FD7"/>
    <w:rsid w:val="00ED1B02"/>
    <w:rsid w:val="00ED1D5B"/>
    <w:rsid w:val="00ED1D87"/>
    <w:rsid w:val="00ED278F"/>
    <w:rsid w:val="00ED2BEC"/>
    <w:rsid w:val="00ED2F25"/>
    <w:rsid w:val="00ED3003"/>
    <w:rsid w:val="00ED32F4"/>
    <w:rsid w:val="00ED364C"/>
    <w:rsid w:val="00ED39E8"/>
    <w:rsid w:val="00ED3A0C"/>
    <w:rsid w:val="00ED42F9"/>
    <w:rsid w:val="00ED4342"/>
    <w:rsid w:val="00ED454B"/>
    <w:rsid w:val="00ED558D"/>
    <w:rsid w:val="00ED55B0"/>
    <w:rsid w:val="00ED55C0"/>
    <w:rsid w:val="00ED5E65"/>
    <w:rsid w:val="00ED61FD"/>
    <w:rsid w:val="00ED682B"/>
    <w:rsid w:val="00ED6888"/>
    <w:rsid w:val="00ED69E5"/>
    <w:rsid w:val="00ED6C62"/>
    <w:rsid w:val="00ED6E77"/>
    <w:rsid w:val="00ED6F11"/>
    <w:rsid w:val="00ED77E4"/>
    <w:rsid w:val="00ED7A55"/>
    <w:rsid w:val="00ED7B18"/>
    <w:rsid w:val="00ED7C7F"/>
    <w:rsid w:val="00ED7E3B"/>
    <w:rsid w:val="00EE0938"/>
    <w:rsid w:val="00EE0A9D"/>
    <w:rsid w:val="00EE0B93"/>
    <w:rsid w:val="00EE14CB"/>
    <w:rsid w:val="00EE2055"/>
    <w:rsid w:val="00EE28B2"/>
    <w:rsid w:val="00EE2AAA"/>
    <w:rsid w:val="00EE310F"/>
    <w:rsid w:val="00EE332F"/>
    <w:rsid w:val="00EE344B"/>
    <w:rsid w:val="00EE3A4A"/>
    <w:rsid w:val="00EE3E4D"/>
    <w:rsid w:val="00EE3ED7"/>
    <w:rsid w:val="00EE41D5"/>
    <w:rsid w:val="00EE41FB"/>
    <w:rsid w:val="00EE4368"/>
    <w:rsid w:val="00EE43C7"/>
    <w:rsid w:val="00EE461B"/>
    <w:rsid w:val="00EE4BF2"/>
    <w:rsid w:val="00EE4CF4"/>
    <w:rsid w:val="00EE4EA1"/>
    <w:rsid w:val="00EE5A98"/>
    <w:rsid w:val="00EE5E37"/>
    <w:rsid w:val="00EE684B"/>
    <w:rsid w:val="00EE6FB2"/>
    <w:rsid w:val="00EE70A1"/>
    <w:rsid w:val="00EE722B"/>
    <w:rsid w:val="00EE7554"/>
    <w:rsid w:val="00EE755A"/>
    <w:rsid w:val="00EE790F"/>
    <w:rsid w:val="00EE7C5C"/>
    <w:rsid w:val="00EF007E"/>
    <w:rsid w:val="00EF02F2"/>
    <w:rsid w:val="00EF06C3"/>
    <w:rsid w:val="00EF0F8D"/>
    <w:rsid w:val="00EF13B9"/>
    <w:rsid w:val="00EF13EB"/>
    <w:rsid w:val="00EF17FF"/>
    <w:rsid w:val="00EF21C8"/>
    <w:rsid w:val="00EF25CC"/>
    <w:rsid w:val="00EF2F14"/>
    <w:rsid w:val="00EF315E"/>
    <w:rsid w:val="00EF3171"/>
    <w:rsid w:val="00EF320E"/>
    <w:rsid w:val="00EF3787"/>
    <w:rsid w:val="00EF3982"/>
    <w:rsid w:val="00EF3BB0"/>
    <w:rsid w:val="00EF3F39"/>
    <w:rsid w:val="00EF4053"/>
    <w:rsid w:val="00EF44E0"/>
    <w:rsid w:val="00EF485F"/>
    <w:rsid w:val="00EF4EC4"/>
    <w:rsid w:val="00EF5660"/>
    <w:rsid w:val="00EF58D3"/>
    <w:rsid w:val="00EF5B79"/>
    <w:rsid w:val="00EF5E1C"/>
    <w:rsid w:val="00EF6749"/>
    <w:rsid w:val="00EF68E4"/>
    <w:rsid w:val="00EF6D8E"/>
    <w:rsid w:val="00EF7D3F"/>
    <w:rsid w:val="00F0012C"/>
    <w:rsid w:val="00F0021A"/>
    <w:rsid w:val="00F0055B"/>
    <w:rsid w:val="00F00A19"/>
    <w:rsid w:val="00F00D06"/>
    <w:rsid w:val="00F010A8"/>
    <w:rsid w:val="00F01FAD"/>
    <w:rsid w:val="00F021C3"/>
    <w:rsid w:val="00F022B6"/>
    <w:rsid w:val="00F0235B"/>
    <w:rsid w:val="00F03598"/>
    <w:rsid w:val="00F037A4"/>
    <w:rsid w:val="00F03CB7"/>
    <w:rsid w:val="00F0407A"/>
    <w:rsid w:val="00F0422E"/>
    <w:rsid w:val="00F049E3"/>
    <w:rsid w:val="00F04A1D"/>
    <w:rsid w:val="00F04BEF"/>
    <w:rsid w:val="00F04E66"/>
    <w:rsid w:val="00F05837"/>
    <w:rsid w:val="00F05F55"/>
    <w:rsid w:val="00F061B1"/>
    <w:rsid w:val="00F066C1"/>
    <w:rsid w:val="00F06C6E"/>
    <w:rsid w:val="00F06C86"/>
    <w:rsid w:val="00F06CA3"/>
    <w:rsid w:val="00F0734D"/>
    <w:rsid w:val="00F079BA"/>
    <w:rsid w:val="00F07AC8"/>
    <w:rsid w:val="00F105D8"/>
    <w:rsid w:val="00F106DB"/>
    <w:rsid w:val="00F108BD"/>
    <w:rsid w:val="00F114E1"/>
    <w:rsid w:val="00F11769"/>
    <w:rsid w:val="00F11CEA"/>
    <w:rsid w:val="00F11FFB"/>
    <w:rsid w:val="00F12C83"/>
    <w:rsid w:val="00F12DDC"/>
    <w:rsid w:val="00F12EB3"/>
    <w:rsid w:val="00F1326C"/>
    <w:rsid w:val="00F1350A"/>
    <w:rsid w:val="00F13F5F"/>
    <w:rsid w:val="00F1403C"/>
    <w:rsid w:val="00F154B1"/>
    <w:rsid w:val="00F16054"/>
    <w:rsid w:val="00F1634A"/>
    <w:rsid w:val="00F16FE1"/>
    <w:rsid w:val="00F1726F"/>
    <w:rsid w:val="00F173B5"/>
    <w:rsid w:val="00F1770A"/>
    <w:rsid w:val="00F17961"/>
    <w:rsid w:val="00F2053D"/>
    <w:rsid w:val="00F20740"/>
    <w:rsid w:val="00F2075F"/>
    <w:rsid w:val="00F207EC"/>
    <w:rsid w:val="00F20A51"/>
    <w:rsid w:val="00F21459"/>
    <w:rsid w:val="00F2146A"/>
    <w:rsid w:val="00F21947"/>
    <w:rsid w:val="00F219A2"/>
    <w:rsid w:val="00F21A86"/>
    <w:rsid w:val="00F21D2D"/>
    <w:rsid w:val="00F21D7B"/>
    <w:rsid w:val="00F220BD"/>
    <w:rsid w:val="00F22FEC"/>
    <w:rsid w:val="00F23B39"/>
    <w:rsid w:val="00F23E5D"/>
    <w:rsid w:val="00F240DE"/>
    <w:rsid w:val="00F2441E"/>
    <w:rsid w:val="00F246D2"/>
    <w:rsid w:val="00F24B5F"/>
    <w:rsid w:val="00F25325"/>
    <w:rsid w:val="00F25827"/>
    <w:rsid w:val="00F25AF4"/>
    <w:rsid w:val="00F26221"/>
    <w:rsid w:val="00F264C8"/>
    <w:rsid w:val="00F26541"/>
    <w:rsid w:val="00F26815"/>
    <w:rsid w:val="00F269D8"/>
    <w:rsid w:val="00F26AEF"/>
    <w:rsid w:val="00F26DAF"/>
    <w:rsid w:val="00F272DF"/>
    <w:rsid w:val="00F27C8F"/>
    <w:rsid w:val="00F27F7D"/>
    <w:rsid w:val="00F301CF"/>
    <w:rsid w:val="00F3069F"/>
    <w:rsid w:val="00F30A2F"/>
    <w:rsid w:val="00F30D1E"/>
    <w:rsid w:val="00F312B8"/>
    <w:rsid w:val="00F31A61"/>
    <w:rsid w:val="00F32749"/>
    <w:rsid w:val="00F3361E"/>
    <w:rsid w:val="00F33DD9"/>
    <w:rsid w:val="00F340C9"/>
    <w:rsid w:val="00F34104"/>
    <w:rsid w:val="00F3493D"/>
    <w:rsid w:val="00F34A90"/>
    <w:rsid w:val="00F34CD8"/>
    <w:rsid w:val="00F34D55"/>
    <w:rsid w:val="00F34D68"/>
    <w:rsid w:val="00F350A6"/>
    <w:rsid w:val="00F35417"/>
    <w:rsid w:val="00F354C3"/>
    <w:rsid w:val="00F355D7"/>
    <w:rsid w:val="00F356E6"/>
    <w:rsid w:val="00F35980"/>
    <w:rsid w:val="00F35B16"/>
    <w:rsid w:val="00F35C93"/>
    <w:rsid w:val="00F35FF3"/>
    <w:rsid w:val="00F36266"/>
    <w:rsid w:val="00F36FD5"/>
    <w:rsid w:val="00F37062"/>
    <w:rsid w:val="00F37172"/>
    <w:rsid w:val="00F371D2"/>
    <w:rsid w:val="00F373CF"/>
    <w:rsid w:val="00F374F5"/>
    <w:rsid w:val="00F3793A"/>
    <w:rsid w:val="00F37A1C"/>
    <w:rsid w:val="00F4033B"/>
    <w:rsid w:val="00F4061F"/>
    <w:rsid w:val="00F40786"/>
    <w:rsid w:val="00F40F71"/>
    <w:rsid w:val="00F41153"/>
    <w:rsid w:val="00F41C07"/>
    <w:rsid w:val="00F42035"/>
    <w:rsid w:val="00F427CE"/>
    <w:rsid w:val="00F42CA8"/>
    <w:rsid w:val="00F42CAB"/>
    <w:rsid w:val="00F42D53"/>
    <w:rsid w:val="00F42ED2"/>
    <w:rsid w:val="00F42F33"/>
    <w:rsid w:val="00F4341F"/>
    <w:rsid w:val="00F436CC"/>
    <w:rsid w:val="00F43838"/>
    <w:rsid w:val="00F43969"/>
    <w:rsid w:val="00F43AD9"/>
    <w:rsid w:val="00F43B6F"/>
    <w:rsid w:val="00F43D03"/>
    <w:rsid w:val="00F43DC8"/>
    <w:rsid w:val="00F4477E"/>
    <w:rsid w:val="00F44818"/>
    <w:rsid w:val="00F45027"/>
    <w:rsid w:val="00F45647"/>
    <w:rsid w:val="00F458CE"/>
    <w:rsid w:val="00F45A31"/>
    <w:rsid w:val="00F46587"/>
    <w:rsid w:val="00F46935"/>
    <w:rsid w:val="00F469A3"/>
    <w:rsid w:val="00F46EB0"/>
    <w:rsid w:val="00F4712E"/>
    <w:rsid w:val="00F4721C"/>
    <w:rsid w:val="00F47548"/>
    <w:rsid w:val="00F4758C"/>
    <w:rsid w:val="00F4758E"/>
    <w:rsid w:val="00F47B6E"/>
    <w:rsid w:val="00F47CB3"/>
    <w:rsid w:val="00F47F1B"/>
    <w:rsid w:val="00F501BA"/>
    <w:rsid w:val="00F502ED"/>
    <w:rsid w:val="00F50408"/>
    <w:rsid w:val="00F50C7F"/>
    <w:rsid w:val="00F50CC3"/>
    <w:rsid w:val="00F50E80"/>
    <w:rsid w:val="00F5119F"/>
    <w:rsid w:val="00F51934"/>
    <w:rsid w:val="00F51968"/>
    <w:rsid w:val="00F51C3D"/>
    <w:rsid w:val="00F520B9"/>
    <w:rsid w:val="00F52102"/>
    <w:rsid w:val="00F52809"/>
    <w:rsid w:val="00F52B4C"/>
    <w:rsid w:val="00F52E78"/>
    <w:rsid w:val="00F53A98"/>
    <w:rsid w:val="00F53DBC"/>
    <w:rsid w:val="00F53FE1"/>
    <w:rsid w:val="00F5408B"/>
    <w:rsid w:val="00F54193"/>
    <w:rsid w:val="00F55365"/>
    <w:rsid w:val="00F557DA"/>
    <w:rsid w:val="00F558FD"/>
    <w:rsid w:val="00F55A27"/>
    <w:rsid w:val="00F55AD2"/>
    <w:rsid w:val="00F55B66"/>
    <w:rsid w:val="00F55C8A"/>
    <w:rsid w:val="00F566EA"/>
    <w:rsid w:val="00F56768"/>
    <w:rsid w:val="00F567D7"/>
    <w:rsid w:val="00F5690B"/>
    <w:rsid w:val="00F56B3C"/>
    <w:rsid w:val="00F56D50"/>
    <w:rsid w:val="00F57313"/>
    <w:rsid w:val="00F57630"/>
    <w:rsid w:val="00F57631"/>
    <w:rsid w:val="00F57711"/>
    <w:rsid w:val="00F57C64"/>
    <w:rsid w:val="00F57E1D"/>
    <w:rsid w:val="00F57E62"/>
    <w:rsid w:val="00F60072"/>
    <w:rsid w:val="00F60ADD"/>
    <w:rsid w:val="00F60FD5"/>
    <w:rsid w:val="00F61034"/>
    <w:rsid w:val="00F6137E"/>
    <w:rsid w:val="00F61518"/>
    <w:rsid w:val="00F61819"/>
    <w:rsid w:val="00F61E71"/>
    <w:rsid w:val="00F623A7"/>
    <w:rsid w:val="00F62657"/>
    <w:rsid w:val="00F62904"/>
    <w:rsid w:val="00F62A36"/>
    <w:rsid w:val="00F63263"/>
    <w:rsid w:val="00F634E4"/>
    <w:rsid w:val="00F6350F"/>
    <w:rsid w:val="00F639E0"/>
    <w:rsid w:val="00F63EE4"/>
    <w:rsid w:val="00F6471B"/>
    <w:rsid w:val="00F64EA4"/>
    <w:rsid w:val="00F64FD9"/>
    <w:rsid w:val="00F650B8"/>
    <w:rsid w:val="00F6516D"/>
    <w:rsid w:val="00F6554B"/>
    <w:rsid w:val="00F65B92"/>
    <w:rsid w:val="00F65EB8"/>
    <w:rsid w:val="00F664B2"/>
    <w:rsid w:val="00F6656C"/>
    <w:rsid w:val="00F6665E"/>
    <w:rsid w:val="00F66AB3"/>
    <w:rsid w:val="00F66DB5"/>
    <w:rsid w:val="00F67C38"/>
    <w:rsid w:val="00F67D30"/>
    <w:rsid w:val="00F67D8F"/>
    <w:rsid w:val="00F67FE0"/>
    <w:rsid w:val="00F70380"/>
    <w:rsid w:val="00F70481"/>
    <w:rsid w:val="00F70858"/>
    <w:rsid w:val="00F70B6C"/>
    <w:rsid w:val="00F71244"/>
    <w:rsid w:val="00F71287"/>
    <w:rsid w:val="00F713E9"/>
    <w:rsid w:val="00F717CD"/>
    <w:rsid w:val="00F71DBE"/>
    <w:rsid w:val="00F71FC4"/>
    <w:rsid w:val="00F72335"/>
    <w:rsid w:val="00F73644"/>
    <w:rsid w:val="00F73A76"/>
    <w:rsid w:val="00F7485E"/>
    <w:rsid w:val="00F750C1"/>
    <w:rsid w:val="00F754C9"/>
    <w:rsid w:val="00F75687"/>
    <w:rsid w:val="00F75B75"/>
    <w:rsid w:val="00F75CB5"/>
    <w:rsid w:val="00F75D9B"/>
    <w:rsid w:val="00F7669E"/>
    <w:rsid w:val="00F772E3"/>
    <w:rsid w:val="00F77887"/>
    <w:rsid w:val="00F778D5"/>
    <w:rsid w:val="00F77B0F"/>
    <w:rsid w:val="00F77C2B"/>
    <w:rsid w:val="00F802BE"/>
    <w:rsid w:val="00F805C9"/>
    <w:rsid w:val="00F80C35"/>
    <w:rsid w:val="00F80D3F"/>
    <w:rsid w:val="00F80E93"/>
    <w:rsid w:val="00F81201"/>
    <w:rsid w:val="00F81409"/>
    <w:rsid w:val="00F81922"/>
    <w:rsid w:val="00F819F5"/>
    <w:rsid w:val="00F81B7E"/>
    <w:rsid w:val="00F81B81"/>
    <w:rsid w:val="00F8212C"/>
    <w:rsid w:val="00F82189"/>
    <w:rsid w:val="00F828C8"/>
    <w:rsid w:val="00F8310A"/>
    <w:rsid w:val="00F8332F"/>
    <w:rsid w:val="00F83BA9"/>
    <w:rsid w:val="00F83BEF"/>
    <w:rsid w:val="00F843B9"/>
    <w:rsid w:val="00F843FD"/>
    <w:rsid w:val="00F846D3"/>
    <w:rsid w:val="00F84DC1"/>
    <w:rsid w:val="00F85636"/>
    <w:rsid w:val="00F8595B"/>
    <w:rsid w:val="00F86024"/>
    <w:rsid w:val="00F8611A"/>
    <w:rsid w:val="00F87366"/>
    <w:rsid w:val="00F874EE"/>
    <w:rsid w:val="00F904A7"/>
    <w:rsid w:val="00F90D0C"/>
    <w:rsid w:val="00F90EF3"/>
    <w:rsid w:val="00F9103D"/>
    <w:rsid w:val="00F916E4"/>
    <w:rsid w:val="00F91A46"/>
    <w:rsid w:val="00F91D3E"/>
    <w:rsid w:val="00F91D4A"/>
    <w:rsid w:val="00F9204B"/>
    <w:rsid w:val="00F923BE"/>
    <w:rsid w:val="00F92898"/>
    <w:rsid w:val="00F92C26"/>
    <w:rsid w:val="00F92F62"/>
    <w:rsid w:val="00F931E0"/>
    <w:rsid w:val="00F93788"/>
    <w:rsid w:val="00F9388D"/>
    <w:rsid w:val="00F938ED"/>
    <w:rsid w:val="00F944B1"/>
    <w:rsid w:val="00F9513C"/>
    <w:rsid w:val="00F95935"/>
    <w:rsid w:val="00F95CBC"/>
    <w:rsid w:val="00F96343"/>
    <w:rsid w:val="00F964E9"/>
    <w:rsid w:val="00F9650B"/>
    <w:rsid w:val="00F96A4C"/>
    <w:rsid w:val="00F96DFF"/>
    <w:rsid w:val="00F97055"/>
    <w:rsid w:val="00F977A4"/>
    <w:rsid w:val="00F97956"/>
    <w:rsid w:val="00F97DA1"/>
    <w:rsid w:val="00F97E44"/>
    <w:rsid w:val="00F97F66"/>
    <w:rsid w:val="00FA0061"/>
    <w:rsid w:val="00FA03C1"/>
    <w:rsid w:val="00FA08BD"/>
    <w:rsid w:val="00FA0CE5"/>
    <w:rsid w:val="00FA0E47"/>
    <w:rsid w:val="00FA0F04"/>
    <w:rsid w:val="00FA1F2F"/>
    <w:rsid w:val="00FA23E4"/>
    <w:rsid w:val="00FA2618"/>
    <w:rsid w:val="00FA29A0"/>
    <w:rsid w:val="00FA30D5"/>
    <w:rsid w:val="00FA32CD"/>
    <w:rsid w:val="00FA37BA"/>
    <w:rsid w:val="00FA3839"/>
    <w:rsid w:val="00FA387B"/>
    <w:rsid w:val="00FA3FC4"/>
    <w:rsid w:val="00FA426C"/>
    <w:rsid w:val="00FA4374"/>
    <w:rsid w:val="00FA45F8"/>
    <w:rsid w:val="00FA469F"/>
    <w:rsid w:val="00FA4776"/>
    <w:rsid w:val="00FA5128"/>
    <w:rsid w:val="00FA5D7C"/>
    <w:rsid w:val="00FA6B11"/>
    <w:rsid w:val="00FA7612"/>
    <w:rsid w:val="00FA77E9"/>
    <w:rsid w:val="00FA793A"/>
    <w:rsid w:val="00FA7A77"/>
    <w:rsid w:val="00FA7CC2"/>
    <w:rsid w:val="00FA7D99"/>
    <w:rsid w:val="00FB02B3"/>
    <w:rsid w:val="00FB0C8C"/>
    <w:rsid w:val="00FB0CE5"/>
    <w:rsid w:val="00FB0EBF"/>
    <w:rsid w:val="00FB0F41"/>
    <w:rsid w:val="00FB110F"/>
    <w:rsid w:val="00FB160C"/>
    <w:rsid w:val="00FB1F0D"/>
    <w:rsid w:val="00FB1F2D"/>
    <w:rsid w:val="00FB2372"/>
    <w:rsid w:val="00FB2740"/>
    <w:rsid w:val="00FB31DE"/>
    <w:rsid w:val="00FB3650"/>
    <w:rsid w:val="00FB3B54"/>
    <w:rsid w:val="00FB42D4"/>
    <w:rsid w:val="00FB45E1"/>
    <w:rsid w:val="00FB49AE"/>
    <w:rsid w:val="00FB4A93"/>
    <w:rsid w:val="00FB4C36"/>
    <w:rsid w:val="00FB4E60"/>
    <w:rsid w:val="00FB5567"/>
    <w:rsid w:val="00FB562E"/>
    <w:rsid w:val="00FB5906"/>
    <w:rsid w:val="00FB6978"/>
    <w:rsid w:val="00FB6BFC"/>
    <w:rsid w:val="00FB7204"/>
    <w:rsid w:val="00FB762F"/>
    <w:rsid w:val="00FB7FC2"/>
    <w:rsid w:val="00FC0006"/>
    <w:rsid w:val="00FC015D"/>
    <w:rsid w:val="00FC0353"/>
    <w:rsid w:val="00FC0560"/>
    <w:rsid w:val="00FC06B4"/>
    <w:rsid w:val="00FC0749"/>
    <w:rsid w:val="00FC0ACC"/>
    <w:rsid w:val="00FC11E0"/>
    <w:rsid w:val="00FC1E1B"/>
    <w:rsid w:val="00FC22C0"/>
    <w:rsid w:val="00FC26C4"/>
    <w:rsid w:val="00FC28F4"/>
    <w:rsid w:val="00FC2AED"/>
    <w:rsid w:val="00FC2CC2"/>
    <w:rsid w:val="00FC2E73"/>
    <w:rsid w:val="00FC3134"/>
    <w:rsid w:val="00FC3228"/>
    <w:rsid w:val="00FC3348"/>
    <w:rsid w:val="00FC3763"/>
    <w:rsid w:val="00FC3C6D"/>
    <w:rsid w:val="00FC4239"/>
    <w:rsid w:val="00FC429A"/>
    <w:rsid w:val="00FC4CC8"/>
    <w:rsid w:val="00FC4F0C"/>
    <w:rsid w:val="00FC57D7"/>
    <w:rsid w:val="00FC5A66"/>
    <w:rsid w:val="00FC5BD5"/>
    <w:rsid w:val="00FC5C06"/>
    <w:rsid w:val="00FC5C94"/>
    <w:rsid w:val="00FC5DBE"/>
    <w:rsid w:val="00FC5FEC"/>
    <w:rsid w:val="00FC601F"/>
    <w:rsid w:val="00FC624D"/>
    <w:rsid w:val="00FC68EE"/>
    <w:rsid w:val="00FC6A2A"/>
    <w:rsid w:val="00FC6F23"/>
    <w:rsid w:val="00FC7042"/>
    <w:rsid w:val="00FC7370"/>
    <w:rsid w:val="00FC76C2"/>
    <w:rsid w:val="00FC7B13"/>
    <w:rsid w:val="00FC7B4C"/>
    <w:rsid w:val="00FD0335"/>
    <w:rsid w:val="00FD0A54"/>
    <w:rsid w:val="00FD1227"/>
    <w:rsid w:val="00FD1C69"/>
    <w:rsid w:val="00FD2076"/>
    <w:rsid w:val="00FD2213"/>
    <w:rsid w:val="00FD2357"/>
    <w:rsid w:val="00FD2525"/>
    <w:rsid w:val="00FD25C8"/>
    <w:rsid w:val="00FD2ADB"/>
    <w:rsid w:val="00FD2BFA"/>
    <w:rsid w:val="00FD311F"/>
    <w:rsid w:val="00FD336D"/>
    <w:rsid w:val="00FD36EF"/>
    <w:rsid w:val="00FD38BF"/>
    <w:rsid w:val="00FD39B9"/>
    <w:rsid w:val="00FD4117"/>
    <w:rsid w:val="00FD4DD3"/>
    <w:rsid w:val="00FD555D"/>
    <w:rsid w:val="00FD5961"/>
    <w:rsid w:val="00FD5E0E"/>
    <w:rsid w:val="00FD5EA7"/>
    <w:rsid w:val="00FD5F5B"/>
    <w:rsid w:val="00FD60A9"/>
    <w:rsid w:val="00FD686F"/>
    <w:rsid w:val="00FD6E84"/>
    <w:rsid w:val="00FD7282"/>
    <w:rsid w:val="00FD7390"/>
    <w:rsid w:val="00FD77E2"/>
    <w:rsid w:val="00FD79A4"/>
    <w:rsid w:val="00FD79F0"/>
    <w:rsid w:val="00FE00A0"/>
    <w:rsid w:val="00FE00E9"/>
    <w:rsid w:val="00FE0907"/>
    <w:rsid w:val="00FE0E08"/>
    <w:rsid w:val="00FE130D"/>
    <w:rsid w:val="00FE14EC"/>
    <w:rsid w:val="00FE219F"/>
    <w:rsid w:val="00FE252C"/>
    <w:rsid w:val="00FE2E69"/>
    <w:rsid w:val="00FE2EFD"/>
    <w:rsid w:val="00FE3186"/>
    <w:rsid w:val="00FE36F3"/>
    <w:rsid w:val="00FE3B2D"/>
    <w:rsid w:val="00FE3B76"/>
    <w:rsid w:val="00FE3BE6"/>
    <w:rsid w:val="00FE3F57"/>
    <w:rsid w:val="00FE3F71"/>
    <w:rsid w:val="00FE404E"/>
    <w:rsid w:val="00FE4140"/>
    <w:rsid w:val="00FE42EC"/>
    <w:rsid w:val="00FE440E"/>
    <w:rsid w:val="00FE47BB"/>
    <w:rsid w:val="00FE4970"/>
    <w:rsid w:val="00FE4AFB"/>
    <w:rsid w:val="00FE4C50"/>
    <w:rsid w:val="00FE5307"/>
    <w:rsid w:val="00FE5CAA"/>
    <w:rsid w:val="00FE601A"/>
    <w:rsid w:val="00FE6B50"/>
    <w:rsid w:val="00FE6B6E"/>
    <w:rsid w:val="00FE7367"/>
    <w:rsid w:val="00FE761D"/>
    <w:rsid w:val="00FE762A"/>
    <w:rsid w:val="00FE7690"/>
    <w:rsid w:val="00FE7B91"/>
    <w:rsid w:val="00FE7D11"/>
    <w:rsid w:val="00FF0369"/>
    <w:rsid w:val="00FF07C3"/>
    <w:rsid w:val="00FF080D"/>
    <w:rsid w:val="00FF100D"/>
    <w:rsid w:val="00FF1631"/>
    <w:rsid w:val="00FF1B7B"/>
    <w:rsid w:val="00FF22B7"/>
    <w:rsid w:val="00FF2305"/>
    <w:rsid w:val="00FF24BD"/>
    <w:rsid w:val="00FF2834"/>
    <w:rsid w:val="00FF2FC4"/>
    <w:rsid w:val="00FF3369"/>
    <w:rsid w:val="00FF3485"/>
    <w:rsid w:val="00FF36C3"/>
    <w:rsid w:val="00FF425B"/>
    <w:rsid w:val="00FF4407"/>
    <w:rsid w:val="00FF48CC"/>
    <w:rsid w:val="00FF491D"/>
    <w:rsid w:val="00FF4C2B"/>
    <w:rsid w:val="00FF5462"/>
    <w:rsid w:val="00FF5886"/>
    <w:rsid w:val="00FF5D6D"/>
    <w:rsid w:val="00FF5DDA"/>
    <w:rsid w:val="00FF6953"/>
    <w:rsid w:val="00FF6AEE"/>
    <w:rsid w:val="00FF6F72"/>
    <w:rsid w:val="00FF71AD"/>
    <w:rsid w:val="00FF7230"/>
    <w:rsid w:val="00FF781B"/>
    <w:rsid w:val="00FF787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FC015D"/>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D24A5D"/>
    <w:pPr>
      <w:keepNext/>
      <w:spacing w:before="360" w:after="360" w:line="240" w:lineRule="auto"/>
      <w:outlineLvl w:val="0"/>
    </w:pPr>
    <w:rPr>
      <w:rFonts w:ascii="Fira Sans SemiBold" w:eastAsia="Times New Roman" w:hAnsi="Fira Sans SemiBold" w:cs="Times New Roman"/>
      <w:bCs/>
      <w:color w:val="522398"/>
      <w:sz w:val="24"/>
      <w:szCs w:val="24"/>
      <w:lang w:eastAsia="pl-PL"/>
    </w:rPr>
  </w:style>
  <w:style w:type="paragraph" w:styleId="Nagwek2">
    <w:name w:val="heading 2"/>
    <w:basedOn w:val="Nagwek1"/>
    <w:next w:val="Normalny"/>
    <w:link w:val="Nagwek2Znak"/>
    <w:uiPriority w:val="9"/>
    <w:unhideWhenUsed/>
    <w:rsid w:val="00EE0B93"/>
    <w:pPr>
      <w:outlineLvl w:val="1"/>
    </w:pPr>
  </w:style>
  <w:style w:type="paragraph" w:styleId="Nagwek3">
    <w:name w:val="heading 3"/>
    <w:basedOn w:val="Normalny"/>
    <w:next w:val="Normalny"/>
    <w:link w:val="Nagwek3Znak"/>
    <w:uiPriority w:val="9"/>
    <w:unhideWhenUsed/>
    <w:rsid w:val="00130FC6"/>
    <w:pPr>
      <w:outlineLvl w:val="2"/>
    </w:pPr>
    <w:rPr>
      <w:rFonts w:ascii="Fira Sans SemiBold" w:hAnsi="Fira Sans SemiBold" w:cs="FiraSans-Bold"/>
      <w:bCs/>
      <w:szCs w:val="19"/>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Normalny"/>
    <w:link w:val="Nagwek6Znak"/>
    <w:uiPriority w:val="9"/>
    <w:semiHidden/>
    <w:unhideWhenUsed/>
    <w:qFormat/>
    <w:rsid w:val="00AC494C"/>
    <w:pPr>
      <w:keepNext/>
      <w:keepLines/>
      <w:spacing w:before="40" w:after="0"/>
      <w:outlineLvl w:val="5"/>
    </w:pPr>
    <w:rPr>
      <w:rFonts w:asciiTheme="majorHAnsi" w:eastAsiaTheme="majorEastAsia" w:hAnsiTheme="majorHAnsi" w:cstheme="majorBidi"/>
      <w:color w:val="1F4D78" w:themeColor="accent1" w:themeShade="7F"/>
    </w:rPr>
  </w:style>
  <w:style w:type="paragraph" w:styleId="Nagwek7">
    <w:name w:val="heading 7"/>
    <w:basedOn w:val="Normalny"/>
    <w:next w:val="Normalny"/>
    <w:link w:val="Nagwek7Znak"/>
    <w:uiPriority w:val="9"/>
    <w:semiHidden/>
    <w:unhideWhenUsed/>
    <w:qFormat/>
    <w:rsid w:val="00AC494C"/>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D24A5D"/>
    <w:rPr>
      <w:rFonts w:ascii="Fira Sans SemiBold" w:eastAsia="Times New Roman" w:hAnsi="Fira Sans SemiBold" w:cs="Times New Roman"/>
      <w:bCs/>
      <w:color w:val="522398"/>
      <w:sz w:val="24"/>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EE0B93"/>
    <w:rPr>
      <w:rFonts w:ascii="Fira Sans SemiBold" w:eastAsia="Times New Roman" w:hAnsi="Fira Sans SemiBold" w:cs="Times New Roman"/>
      <w:bCs/>
      <w:color w:val="522398"/>
      <w:sz w:val="24"/>
      <w:szCs w:val="24"/>
      <w:lang w:eastAsia="pl-PL"/>
    </w:rPr>
  </w:style>
  <w:style w:type="character" w:customStyle="1" w:styleId="Nagwek3Znak">
    <w:name w:val="Nagłówek 3 Znak"/>
    <w:basedOn w:val="Domylnaczcionkaakapitu"/>
    <w:link w:val="Nagwek3"/>
    <w:uiPriority w:val="9"/>
    <w:rsid w:val="00130FC6"/>
    <w:rPr>
      <w:rFonts w:ascii="Fira Sans SemiBold" w:hAnsi="Fira Sans SemiBold" w:cs="FiraSans-Bold"/>
      <w:bCs/>
      <w:sz w:val="19"/>
      <w:szCs w:val="19"/>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uiPriority w:val="99"/>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Nagwek10">
    <w:name w:val="Nagówek 1"/>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6F2BDF"/>
    <w:pPr>
      <w:tabs>
        <w:tab w:val="left" w:pos="992"/>
      </w:tabs>
      <w:spacing w:before="480" w:after="0"/>
    </w:pPr>
    <w:rPr>
      <w:b/>
      <w:spacing w:val="-2"/>
    </w:rPr>
  </w:style>
  <w:style w:type="paragraph" w:customStyle="1" w:styleId="tekstnaniebieskimtle">
    <w:name w:val="tekst na niebieskim tle"/>
    <w:basedOn w:val="Normalny"/>
    <w:qFormat/>
    <w:rsid w:val="00074DD8"/>
    <w:pPr>
      <w:spacing w:before="0" w:after="0" w:line="240" w:lineRule="auto"/>
    </w:pPr>
    <w:rPr>
      <w:sz w:val="20"/>
    </w:rPr>
  </w:style>
  <w:style w:type="paragraph" w:customStyle="1" w:styleId="Podstawowyakapit">
    <w:name w:val="[Podstawowy akapit]"/>
    <w:basedOn w:val="Normalny"/>
    <w:uiPriority w:val="99"/>
    <w:rsid w:val="00F469A3"/>
    <w:pPr>
      <w:autoSpaceDE w:val="0"/>
      <w:autoSpaceDN w:val="0"/>
      <w:adjustRightInd w:val="0"/>
      <w:spacing w:before="0" w:after="0" w:line="288" w:lineRule="auto"/>
      <w:textAlignment w:val="center"/>
    </w:pPr>
    <w:rPr>
      <w:rFonts w:ascii="Minion Pro" w:hAnsi="Minion Pro" w:cs="Minion Pro"/>
      <w:color w:val="000000"/>
      <w:sz w:val="24"/>
      <w:szCs w:val="24"/>
    </w:rPr>
  </w:style>
  <w:style w:type="paragraph" w:customStyle="1" w:styleId="Spistreci">
    <w:name w:val="Spis treści"/>
    <w:basedOn w:val="LID"/>
    <w:link w:val="SpistreciZnak"/>
    <w:qFormat/>
    <w:rsid w:val="008E1A3C"/>
    <w:pPr>
      <w:tabs>
        <w:tab w:val="right" w:leader="dot" w:pos="10466"/>
      </w:tabs>
    </w:pPr>
    <w:rPr>
      <w:b w:val="0"/>
      <w:sz w:val="22"/>
    </w:rPr>
  </w:style>
  <w:style w:type="paragraph" w:customStyle="1" w:styleId="tekstnapierwszejstronie">
    <w:name w:val="tekst na pierwszej stronie"/>
    <w:basedOn w:val="Nagwek1"/>
    <w:link w:val="tekstnapierwszejstronieZnak"/>
    <w:qFormat/>
    <w:rsid w:val="00100C3D"/>
    <w:pPr>
      <w:numPr>
        <w:numId w:val="6"/>
      </w:numPr>
      <w:spacing w:before="120" w:after="120"/>
      <w:ind w:left="357" w:hanging="357"/>
    </w:pPr>
    <w:rPr>
      <w:rFonts w:ascii="Fira Sans" w:hAnsi="Fira Sans"/>
      <w:color w:val="000000" w:themeColor="text1"/>
      <w:sz w:val="19"/>
    </w:rPr>
  </w:style>
  <w:style w:type="character" w:customStyle="1" w:styleId="LIDZnak">
    <w:name w:val="LID Znak"/>
    <w:basedOn w:val="Domylnaczcionkaakapitu"/>
    <w:link w:val="LID"/>
    <w:rsid w:val="009400F1"/>
    <w:rPr>
      <w:rFonts w:ascii="Fira Sans" w:hAnsi="Fira Sans"/>
      <w:b/>
      <w:noProof/>
      <w:sz w:val="19"/>
      <w:szCs w:val="19"/>
      <w:lang w:eastAsia="pl-PL"/>
    </w:rPr>
  </w:style>
  <w:style w:type="character" w:customStyle="1" w:styleId="SpistreciZnak">
    <w:name w:val="Spis treści Znak"/>
    <w:basedOn w:val="LIDZnak"/>
    <w:link w:val="Spistreci"/>
    <w:rsid w:val="008E1A3C"/>
    <w:rPr>
      <w:rFonts w:ascii="Fira Sans" w:hAnsi="Fira Sans"/>
      <w:b w:val="0"/>
      <w:noProof/>
      <w:sz w:val="19"/>
      <w:szCs w:val="19"/>
      <w:lang w:eastAsia="pl-PL"/>
    </w:rPr>
  </w:style>
  <w:style w:type="character" w:customStyle="1" w:styleId="tekstnapierwszejstronieZnak">
    <w:name w:val="tekst na pierwszej stronie Znak"/>
    <w:basedOn w:val="Domylnaczcionkaakapitu"/>
    <w:link w:val="tekstnapierwszejstronie"/>
    <w:rsid w:val="00100C3D"/>
    <w:rPr>
      <w:rFonts w:ascii="Fira Sans" w:eastAsia="Times New Roman" w:hAnsi="Fira Sans" w:cs="Times New Roman"/>
      <w:bCs/>
      <w:color w:val="000000" w:themeColor="text1"/>
      <w:sz w:val="19"/>
      <w:szCs w:val="24"/>
      <w:lang w:eastAsia="pl-PL"/>
    </w:rPr>
  </w:style>
  <w:style w:type="paragraph" w:customStyle="1" w:styleId="Tekstwypunktowany">
    <w:name w:val="Tekst wypunktowany"/>
    <w:basedOn w:val="Normalny"/>
    <w:link w:val="TekstwypunktowanyZnak"/>
    <w:qFormat/>
    <w:rsid w:val="006B2A42"/>
    <w:pPr>
      <w:numPr>
        <w:numId w:val="5"/>
      </w:numPr>
      <w:ind w:left="714" w:hanging="357"/>
    </w:pPr>
    <w:rPr>
      <w:shd w:val="clear" w:color="auto" w:fill="FFFFFF"/>
    </w:rPr>
  </w:style>
  <w:style w:type="character" w:customStyle="1" w:styleId="TekstwypunktowanyZnak">
    <w:name w:val="Tekst wypunktowany Znak"/>
    <w:basedOn w:val="Domylnaczcionkaakapitu"/>
    <w:link w:val="Tekstwypunktowany"/>
    <w:rsid w:val="006B2A42"/>
    <w:rPr>
      <w:rFonts w:ascii="Fira Sans" w:hAnsi="Fira Sans"/>
      <w:sz w:val="19"/>
    </w:rPr>
  </w:style>
  <w:style w:type="paragraph" w:customStyle="1" w:styleId="podt1">
    <w:name w:val="podt1"/>
    <w:basedOn w:val="Normalny"/>
    <w:autoRedefine/>
    <w:qFormat/>
    <w:rsid w:val="0014096A"/>
    <w:pPr>
      <w:spacing w:before="240" w:after="240"/>
    </w:pPr>
    <w:rPr>
      <w:rFonts w:ascii="Fira Sans SemiBold" w:hAnsi="Fira Sans SemiBold"/>
      <w:color w:val="522398"/>
      <w:sz w:val="24"/>
      <w:szCs w:val="24"/>
      <w:shd w:val="clear" w:color="auto" w:fill="FFFFFF"/>
      <w:lang w:eastAsia="pl-PL"/>
    </w:rPr>
  </w:style>
  <w:style w:type="paragraph" w:customStyle="1" w:styleId="tekst">
    <w:name w:val="tekst"/>
    <w:basedOn w:val="Normalny"/>
    <w:qFormat/>
    <w:rsid w:val="00BE0E53"/>
    <w:rPr>
      <w:lang w:eastAsia="pl-PL"/>
    </w:rPr>
  </w:style>
  <w:style w:type="paragraph" w:customStyle="1" w:styleId="glowka1">
    <w:name w:val="glowka1"/>
    <w:basedOn w:val="Normalny"/>
    <w:rsid w:val="00BA3914"/>
    <w:pPr>
      <w:spacing w:before="0" w:after="0" w:line="220" w:lineRule="exact"/>
      <w:jc w:val="center"/>
    </w:pPr>
    <w:rPr>
      <w:rFonts w:eastAsia="Times New Roman" w:cs="Times New Roman"/>
      <w:sz w:val="16"/>
      <w:szCs w:val="18"/>
      <w:lang w:eastAsia="pl-PL"/>
    </w:rPr>
  </w:style>
  <w:style w:type="character" w:customStyle="1" w:styleId="boczekZnak">
    <w:name w:val="boczek Znak"/>
    <w:rsid w:val="007C12B9"/>
    <w:rPr>
      <w:sz w:val="16"/>
      <w:szCs w:val="16"/>
      <w:lang w:val="pl-PL" w:eastAsia="pl-PL"/>
    </w:rPr>
  </w:style>
  <w:style w:type="paragraph" w:customStyle="1" w:styleId="boczekbez">
    <w:name w:val="boczek_bez"/>
    <w:autoRedefine/>
    <w:rsid w:val="007C12B9"/>
    <w:pPr>
      <w:widowControl w:val="0"/>
      <w:tabs>
        <w:tab w:val="left" w:pos="340"/>
        <w:tab w:val="left" w:pos="567"/>
        <w:tab w:val="left" w:pos="1701"/>
        <w:tab w:val="left" w:pos="3402"/>
        <w:tab w:val="left" w:pos="5103"/>
      </w:tabs>
      <w:autoSpaceDE w:val="0"/>
      <w:autoSpaceDN w:val="0"/>
      <w:adjustRightInd w:val="0"/>
      <w:spacing w:after="0" w:line="240" w:lineRule="exact"/>
      <w:ind w:left="176"/>
    </w:pPr>
    <w:rPr>
      <w:rFonts w:ascii="Fira Sans" w:eastAsia="Times New Roman" w:hAnsi="Fira Sans" w:cs="Times New Roman"/>
      <w:color w:val="000000"/>
      <w:sz w:val="16"/>
      <w:szCs w:val="16"/>
      <w:lang w:eastAsia="pl-PL"/>
    </w:rPr>
  </w:style>
  <w:style w:type="paragraph" w:customStyle="1" w:styleId="boczek1">
    <w:name w:val="boczek1"/>
    <w:basedOn w:val="Normalny"/>
    <w:autoRedefine/>
    <w:qFormat/>
    <w:rsid w:val="005C3010"/>
    <w:pPr>
      <w:tabs>
        <w:tab w:val="left" w:pos="5103"/>
      </w:tabs>
      <w:spacing w:before="0" w:after="0"/>
    </w:pPr>
    <w:rPr>
      <w:rFonts w:eastAsia="Times New Roman" w:cs="Times New Roman"/>
      <w:spacing w:val="-4"/>
      <w:sz w:val="16"/>
      <w:szCs w:val="16"/>
      <w:lang w:eastAsia="pl-PL"/>
    </w:rPr>
  </w:style>
  <w:style w:type="paragraph" w:customStyle="1" w:styleId="tableteksttab">
    <w:name w:val="table_tekst_tab"/>
    <w:basedOn w:val="Normalny"/>
    <w:autoRedefine/>
    <w:qFormat/>
    <w:rsid w:val="006602AF"/>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pPr>
    <w:rPr>
      <w:rFonts w:eastAsia="Arial Unicode MS" w:cs="Calibri"/>
      <w:bCs/>
      <w:iCs/>
      <w:color w:val="000000"/>
      <w:sz w:val="16"/>
      <w:lang w:eastAsia="pl-PL"/>
    </w:rPr>
  </w:style>
  <w:style w:type="paragraph" w:customStyle="1" w:styleId="tablet">
    <w:name w:val="table_tł"/>
    <w:basedOn w:val="tableteksttab"/>
    <w:autoRedefine/>
    <w:qFormat/>
    <w:rsid w:val="007C12B9"/>
    <w:pPr>
      <w:tabs>
        <w:tab w:val="clear" w:pos="5760"/>
        <w:tab w:val="left" w:pos="1843"/>
      </w:tabs>
    </w:pPr>
    <w:rPr>
      <w:b/>
      <w:szCs w:val="16"/>
    </w:rPr>
  </w:style>
  <w:style w:type="paragraph" w:customStyle="1" w:styleId="bocz1t">
    <w:name w:val="bocz1_tł"/>
    <w:basedOn w:val="Normalny"/>
    <w:autoRedefine/>
    <w:qFormat/>
    <w:rsid w:val="00D11E28"/>
    <w:pPr>
      <w:tabs>
        <w:tab w:val="left" w:pos="5103"/>
      </w:tabs>
      <w:spacing w:before="0" w:after="0"/>
    </w:pPr>
    <w:rPr>
      <w:rFonts w:eastAsia="Times New Roman" w:cs="Times New Roman"/>
      <w:b/>
      <w:caps/>
      <w:sz w:val="16"/>
      <w:szCs w:val="16"/>
      <w:lang w:eastAsia="pl-PL"/>
    </w:rPr>
  </w:style>
  <w:style w:type="paragraph" w:customStyle="1" w:styleId="boczek2">
    <w:name w:val="boczek2"/>
    <w:basedOn w:val="boczek1"/>
    <w:autoRedefine/>
    <w:qFormat/>
    <w:rsid w:val="00FC0006"/>
    <w:pPr>
      <w:tabs>
        <w:tab w:val="clear" w:pos="5103"/>
      </w:tabs>
      <w:ind w:left="176"/>
    </w:pPr>
  </w:style>
  <w:style w:type="paragraph" w:customStyle="1" w:styleId="W">
    <w:name w:val="W"/>
    <w:autoRedefine/>
    <w:rsid w:val="00F70B6C"/>
    <w:pPr>
      <w:widowControl w:val="0"/>
      <w:tabs>
        <w:tab w:val="left" w:pos="851"/>
        <w:tab w:val="left" w:pos="9214"/>
      </w:tabs>
      <w:autoSpaceDE w:val="0"/>
      <w:autoSpaceDN w:val="0"/>
      <w:adjustRightInd w:val="0"/>
      <w:spacing w:after="0" w:line="276" w:lineRule="auto"/>
    </w:pPr>
    <w:rPr>
      <w:rFonts w:ascii="Calibri" w:eastAsia="Times New Roman" w:hAnsi="Calibri" w:cs="Times New Roman"/>
      <w:iCs/>
      <w:kern w:val="32"/>
      <w:sz w:val="6"/>
      <w:szCs w:val="20"/>
      <w:lang w:eastAsia="pl-PL"/>
    </w:rPr>
  </w:style>
  <w:style w:type="paragraph" w:customStyle="1" w:styleId="notka">
    <w:name w:val="notka"/>
    <w:autoRedefine/>
    <w:rsid w:val="008C31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120" w:after="0" w:line="240" w:lineRule="auto"/>
      <w:jc w:val="both"/>
    </w:pPr>
    <w:rPr>
      <w:rFonts w:ascii="Fira Sans" w:eastAsiaTheme="majorEastAsia" w:hAnsi="Fira Sans" w:cs="Times New Roman"/>
      <w:sz w:val="14"/>
      <w:szCs w:val="15"/>
      <w:lang w:eastAsia="pl-PL"/>
    </w:rPr>
  </w:style>
  <w:style w:type="paragraph" w:customStyle="1" w:styleId="Tytultabeli">
    <w:name w:val="Tytul tabeli"/>
    <w:rsid w:val="009B41D2"/>
    <w:pPr>
      <w:widowControl w:val="0"/>
      <w:tabs>
        <w:tab w:val="left" w:pos="170"/>
        <w:tab w:val="left" w:pos="340"/>
        <w:tab w:val="left" w:pos="510"/>
        <w:tab w:val="left" w:pos="680"/>
        <w:tab w:val="left" w:pos="964"/>
        <w:tab w:val="left" w:pos="1021"/>
        <w:tab w:val="left" w:pos="1191"/>
        <w:tab w:val="left" w:pos="1361"/>
        <w:tab w:val="left" w:pos="1531"/>
        <w:tab w:val="left" w:pos="1701"/>
        <w:tab w:val="left" w:pos="1871"/>
        <w:tab w:val="left" w:pos="2041"/>
        <w:tab w:val="left" w:pos="2211"/>
        <w:tab w:val="left" w:pos="2381"/>
        <w:tab w:val="left" w:pos="2551"/>
        <w:tab w:val="left" w:pos="2721"/>
      </w:tabs>
      <w:autoSpaceDE w:val="0"/>
      <w:autoSpaceDN w:val="0"/>
      <w:adjustRightInd w:val="0"/>
      <w:spacing w:before="480" w:after="120" w:line="240" w:lineRule="exact"/>
      <w:ind w:left="958" w:hanging="958"/>
    </w:pPr>
    <w:rPr>
      <w:rFonts w:ascii="Fira Sans" w:eastAsia="Times New Roman" w:hAnsi="Fira Sans" w:cs="Times New Roman"/>
      <w:b/>
      <w:bCs/>
      <w:kern w:val="24"/>
      <w:sz w:val="19"/>
      <w:szCs w:val="19"/>
      <w:lang w:eastAsia="pl-PL"/>
    </w:rPr>
  </w:style>
  <w:style w:type="paragraph" w:customStyle="1" w:styleId="opis">
    <w:name w:val="opis"/>
    <w:basedOn w:val="Normalny"/>
    <w:qFormat/>
    <w:rsid w:val="00756152"/>
    <w:pPr>
      <w:spacing w:before="0" w:after="0"/>
    </w:pPr>
    <w:rPr>
      <w:sz w:val="16"/>
      <w:szCs w:val="16"/>
      <w:shd w:val="clear" w:color="auto" w:fill="FFFFFF"/>
    </w:rPr>
  </w:style>
  <w:style w:type="paragraph" w:customStyle="1" w:styleId="skrt">
    <w:name w:val="skrót"/>
    <w:basedOn w:val="Normalny"/>
    <w:qFormat/>
    <w:rsid w:val="004E24AE"/>
    <w:pPr>
      <w:tabs>
        <w:tab w:val="right" w:leader="dot" w:pos="4156"/>
      </w:tabs>
      <w:spacing w:before="0" w:after="0"/>
      <w:contextualSpacing/>
    </w:pPr>
    <w:rPr>
      <w:color w:val="000000" w:themeColor="text1"/>
      <w:sz w:val="16"/>
      <w:szCs w:val="16"/>
    </w:rPr>
  </w:style>
  <w:style w:type="paragraph" w:customStyle="1" w:styleId="gwiazdka">
    <w:name w:val="gwiazdka"/>
    <w:basedOn w:val="Normalny"/>
    <w:autoRedefine/>
    <w:rsid w:val="000944D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line="276" w:lineRule="auto"/>
      <w:jc w:val="center"/>
      <w:outlineLvl w:val="0"/>
    </w:pPr>
    <w:rPr>
      <w:rFonts w:eastAsia="Arial Unicode MS" w:cs="Times New Roman"/>
      <w:bCs/>
      <w:iCs/>
      <w:spacing w:val="4"/>
      <w:sz w:val="24"/>
      <w:szCs w:val="24"/>
      <w:lang w:eastAsia="pl-PL"/>
    </w:rPr>
  </w:style>
  <w:style w:type="paragraph" w:customStyle="1" w:styleId="tytutablicy">
    <w:name w:val="tytuł tablicy"/>
    <w:basedOn w:val="Normalny"/>
    <w:autoRedefine/>
    <w:rsid w:val="00E77DCD"/>
    <w:pPr>
      <w:tabs>
        <w:tab w:val="left" w:pos="170"/>
      </w:tabs>
      <w:spacing w:before="240"/>
      <w:ind w:left="958" w:hanging="958"/>
    </w:pPr>
    <w:rPr>
      <w:rFonts w:eastAsia="Times New Roman" w:cs="Times New Roman"/>
      <w:b/>
      <w:spacing w:val="2"/>
      <w:sz w:val="18"/>
      <w:szCs w:val="18"/>
      <w:lang w:eastAsia="pl-PL"/>
    </w:rPr>
  </w:style>
  <w:style w:type="paragraph" w:customStyle="1" w:styleId="TableText">
    <w:name w:val="Table Text"/>
    <w:basedOn w:val="Tekstprzypisudolnego"/>
    <w:autoRedefine/>
    <w:rsid w:val="004C5B9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line="180" w:lineRule="exact"/>
      <w:ind w:right="57"/>
      <w:jc w:val="right"/>
    </w:pPr>
    <w:rPr>
      <w:rFonts w:eastAsia="Arial Unicode MS" w:cs="Times New Roman"/>
      <w:bCs/>
      <w:iCs/>
      <w:spacing w:val="4"/>
      <w:sz w:val="16"/>
      <w:szCs w:val="16"/>
      <w:lang w:eastAsia="pl-PL"/>
    </w:rPr>
  </w:style>
  <w:style w:type="paragraph" w:customStyle="1" w:styleId="boczek">
    <w:name w:val="boczek"/>
    <w:basedOn w:val="Normalny"/>
    <w:autoRedefine/>
    <w:rsid w:val="00F55C8A"/>
    <w:pPr>
      <w:tabs>
        <w:tab w:val="left" w:leader="dot" w:pos="2835"/>
      </w:tabs>
      <w:spacing w:before="0" w:after="0" w:line="180" w:lineRule="exact"/>
    </w:pPr>
    <w:rPr>
      <w:rFonts w:eastAsia="Times New Roman" w:cs="Times New Roman"/>
      <w:sz w:val="16"/>
      <w:szCs w:val="16"/>
      <w:lang w:eastAsia="pl-PL"/>
    </w:rPr>
  </w:style>
  <w:style w:type="paragraph" w:customStyle="1" w:styleId="glowka">
    <w:name w:val="glowka"/>
    <w:autoRedefine/>
    <w:rsid w:val="00465C7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57" w:after="57" w:line="200" w:lineRule="exact"/>
      <w:jc w:val="center"/>
    </w:pPr>
    <w:rPr>
      <w:rFonts w:ascii="Times New Roman" w:eastAsia="Times New Roman" w:hAnsi="Times New Roman" w:cs="Times New Roman"/>
      <w:sz w:val="16"/>
      <w:szCs w:val="16"/>
      <w:lang w:eastAsia="pl-PL"/>
    </w:rPr>
  </w:style>
  <w:style w:type="character" w:customStyle="1" w:styleId="StylboczekCzarnyZnak">
    <w:name w:val="Styl boczek + Czarny Znak"/>
    <w:rsid w:val="00465C71"/>
    <w:rPr>
      <w:color w:val="000000"/>
      <w:sz w:val="16"/>
      <w:szCs w:val="16"/>
      <w:lang w:val="pl-PL" w:eastAsia="pl-PL"/>
    </w:rPr>
  </w:style>
  <w:style w:type="paragraph" w:customStyle="1" w:styleId="a">
    <w:name w:val="a"/>
    <w:autoRedefine/>
    <w:rsid w:val="00465C7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180" w:lineRule="exact"/>
      <w:ind w:right="85"/>
      <w:jc w:val="center"/>
    </w:pPr>
    <w:rPr>
      <w:rFonts w:ascii="Times New Roman" w:eastAsia="Times New Roman" w:hAnsi="Times New Roman" w:cs="Times New Roman"/>
      <w:sz w:val="16"/>
      <w:szCs w:val="16"/>
      <w:lang w:eastAsia="pl-PL"/>
    </w:rPr>
  </w:style>
  <w:style w:type="paragraph" w:customStyle="1" w:styleId="g1">
    <w:name w:val="g1"/>
    <w:basedOn w:val="boczek"/>
    <w:autoRedefine/>
    <w:rsid w:val="00611DF8"/>
    <w:pPr>
      <w:tabs>
        <w:tab w:val="clear" w:pos="2835"/>
        <w:tab w:val="right" w:pos="3969"/>
      </w:tabs>
    </w:pPr>
  </w:style>
  <w:style w:type="paragraph" w:customStyle="1" w:styleId="g2">
    <w:name w:val="g2"/>
    <w:basedOn w:val="g1"/>
    <w:autoRedefine/>
    <w:rsid w:val="008B74E8"/>
    <w:pPr>
      <w:widowControl w:val="0"/>
      <w:tabs>
        <w:tab w:val="clear" w:pos="396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ind w:left="170" w:right="85"/>
    </w:pPr>
  </w:style>
  <w:style w:type="paragraph" w:customStyle="1" w:styleId="g3">
    <w:name w:val="g3"/>
    <w:basedOn w:val="g2"/>
    <w:autoRedefine/>
    <w:rsid w:val="008B74E8"/>
    <w:pPr>
      <w:tabs>
        <w:tab w:val="left" w:pos="227"/>
        <w:tab w:val="left" w:pos="340"/>
      </w:tabs>
      <w:ind w:left="176" w:right="0"/>
    </w:pPr>
  </w:style>
  <w:style w:type="paragraph" w:customStyle="1" w:styleId="StylboczekCzarny">
    <w:name w:val="Styl boczek + Czarny"/>
    <w:basedOn w:val="boczek"/>
    <w:rsid w:val="00465C71"/>
    <w:pPr>
      <w:widowControl w:val="0"/>
      <w:tabs>
        <w:tab w:val="clear" w:pos="2835"/>
        <w:tab w:val="left" w:pos="170"/>
        <w:tab w:val="left" w:pos="340"/>
        <w:tab w:val="left" w:leader="dot" w:pos="4253"/>
        <w:tab w:val="right" w:pos="17010"/>
        <w:tab w:val="right" w:leader="dot" w:pos="28350"/>
      </w:tabs>
      <w:autoSpaceDE w:val="0"/>
      <w:autoSpaceDN w:val="0"/>
      <w:adjustRightInd w:val="0"/>
      <w:spacing w:line="190" w:lineRule="exact"/>
    </w:pPr>
    <w:rPr>
      <w:color w:val="000000"/>
    </w:rPr>
  </w:style>
  <w:style w:type="paragraph" w:customStyle="1" w:styleId="bocy1">
    <w:name w:val="bocy1"/>
    <w:basedOn w:val="boczekbez"/>
    <w:autoRedefine/>
    <w:qFormat/>
    <w:rsid w:val="008B4132"/>
    <w:pPr>
      <w:spacing w:line="180" w:lineRule="exact"/>
    </w:pPr>
  </w:style>
  <w:style w:type="paragraph" w:customStyle="1" w:styleId="kropa">
    <w:name w:val="kropa"/>
    <w:basedOn w:val="Normalny"/>
    <w:autoRedefine/>
    <w:rsid w:val="00CA6973"/>
    <w:pPr>
      <w:numPr>
        <w:numId w:val="8"/>
      </w:numPr>
      <w:tabs>
        <w:tab w:val="clear" w:pos="454"/>
      </w:tabs>
      <w:spacing w:before="0" w:after="80" w:line="240" w:lineRule="auto"/>
      <w:jc w:val="both"/>
    </w:pPr>
    <w:rPr>
      <w:rFonts w:ascii="Calibri" w:eastAsia="Times New Roman" w:hAnsi="Calibri" w:cs="Times New Roman"/>
      <w:spacing w:val="-4"/>
      <w:sz w:val="22"/>
      <w:szCs w:val="20"/>
      <w:lang w:eastAsia="pl-PL"/>
    </w:rPr>
  </w:style>
  <w:style w:type="paragraph" w:customStyle="1" w:styleId="tablegwiazd">
    <w:name w:val="table_gwiazd"/>
    <w:basedOn w:val="TableText"/>
    <w:autoRedefine/>
    <w:qFormat/>
    <w:rsid w:val="00ED6888"/>
    <w:pPr>
      <w:ind w:right="0"/>
    </w:pPr>
  </w:style>
  <w:style w:type="paragraph" w:customStyle="1" w:styleId="gwka">
    <w:name w:val="główka"/>
    <w:basedOn w:val="Normalny"/>
    <w:autoRedefine/>
    <w:qFormat/>
    <w:rsid w:val="00FE3F71"/>
    <w:pPr>
      <w:jc w:val="center"/>
    </w:pPr>
    <w:rPr>
      <w:sz w:val="16"/>
      <w:szCs w:val="16"/>
    </w:rPr>
  </w:style>
  <w:style w:type="paragraph" w:customStyle="1" w:styleId="tyttab">
    <w:name w:val="tyt_tab"/>
    <w:basedOn w:val="tytutablicy"/>
    <w:qFormat/>
    <w:rsid w:val="00AD0694"/>
    <w:pPr>
      <w:spacing w:before="0" w:after="0"/>
    </w:pPr>
  </w:style>
  <w:style w:type="paragraph" w:customStyle="1" w:styleId="krop1">
    <w:name w:val="krop_1"/>
    <w:basedOn w:val="tekstnapierwszejstronie"/>
    <w:autoRedefine/>
    <w:qFormat/>
    <w:rsid w:val="00A956C5"/>
    <w:pPr>
      <w:numPr>
        <w:numId w:val="19"/>
      </w:numPr>
      <w:tabs>
        <w:tab w:val="left" w:pos="10065"/>
      </w:tabs>
      <w:spacing w:before="0" w:after="60"/>
      <w:ind w:left="568" w:right="284" w:hanging="284"/>
      <w:outlineLvl w:val="9"/>
    </w:pPr>
    <w:rPr>
      <w:color w:val="auto"/>
      <w:spacing w:val="-2"/>
      <w:szCs w:val="19"/>
    </w:rPr>
  </w:style>
  <w:style w:type="paragraph" w:customStyle="1" w:styleId="tekstuwagi">
    <w:name w:val="tekst_uwagi"/>
    <w:basedOn w:val="Tekstpodstawowywcity2"/>
    <w:rsid w:val="0048479D"/>
    <w:pPr>
      <w:spacing w:line="240" w:lineRule="exact"/>
      <w:ind w:left="0"/>
    </w:pPr>
    <w:rPr>
      <w:rFonts w:eastAsia="Times New Roman" w:cs="Arial"/>
      <w:bCs/>
      <w:szCs w:val="18"/>
      <w:lang w:eastAsia="pl-PL"/>
    </w:rPr>
  </w:style>
  <w:style w:type="paragraph" w:styleId="Tekstpodstawowywcity2">
    <w:name w:val="Body Text Indent 2"/>
    <w:basedOn w:val="Normalny"/>
    <w:link w:val="Tekstpodstawowywcity2Znak"/>
    <w:uiPriority w:val="99"/>
    <w:semiHidden/>
    <w:unhideWhenUsed/>
    <w:rsid w:val="00272F15"/>
    <w:pPr>
      <w:spacing w:line="480" w:lineRule="auto"/>
      <w:ind w:left="283"/>
    </w:pPr>
  </w:style>
  <w:style w:type="character" w:customStyle="1" w:styleId="Tekstpodstawowywcity2Znak">
    <w:name w:val="Tekst podstawowy wcięty 2 Znak"/>
    <w:basedOn w:val="Domylnaczcionkaakapitu"/>
    <w:link w:val="Tekstpodstawowywcity2"/>
    <w:uiPriority w:val="99"/>
    <w:semiHidden/>
    <w:rsid w:val="00272F15"/>
    <w:rPr>
      <w:rFonts w:ascii="Fira Sans" w:hAnsi="Fira Sans"/>
      <w:sz w:val="19"/>
    </w:rPr>
  </w:style>
  <w:style w:type="character" w:styleId="UyteHipercze">
    <w:name w:val="FollowedHyperlink"/>
    <w:basedOn w:val="Domylnaczcionkaakapitu"/>
    <w:uiPriority w:val="99"/>
    <w:semiHidden/>
    <w:unhideWhenUsed/>
    <w:rsid w:val="004927F0"/>
    <w:rPr>
      <w:color w:val="954F72" w:themeColor="followedHyperlink"/>
      <w:u w:val="single"/>
    </w:rPr>
  </w:style>
  <w:style w:type="paragraph" w:customStyle="1" w:styleId="notka2">
    <w:name w:val="notka2"/>
    <w:basedOn w:val="notka"/>
    <w:qFormat/>
    <w:rsid w:val="00D620AB"/>
  </w:style>
  <w:style w:type="paragraph" w:customStyle="1" w:styleId="Boczek0">
    <w:name w:val="Boczek"/>
    <w:basedOn w:val="Normalny"/>
    <w:uiPriority w:val="99"/>
    <w:rsid w:val="0026747F"/>
    <w:pPr>
      <w:autoSpaceDE w:val="0"/>
      <w:autoSpaceDN w:val="0"/>
      <w:adjustRightInd w:val="0"/>
      <w:spacing w:before="0" w:after="0" w:line="288" w:lineRule="auto"/>
      <w:ind w:left="57"/>
      <w:textAlignment w:val="center"/>
    </w:pPr>
    <w:rPr>
      <w:rFonts w:ascii="Myriad Pro" w:hAnsi="Myriad Pro" w:cs="Myriad Pro"/>
      <w:color w:val="000000"/>
      <w:szCs w:val="19"/>
    </w:rPr>
  </w:style>
  <w:style w:type="paragraph" w:customStyle="1" w:styleId="Default">
    <w:name w:val="Default"/>
    <w:rsid w:val="00920885"/>
    <w:pPr>
      <w:autoSpaceDE w:val="0"/>
      <w:autoSpaceDN w:val="0"/>
      <w:adjustRightInd w:val="0"/>
      <w:spacing w:after="0" w:line="240" w:lineRule="auto"/>
    </w:pPr>
    <w:rPr>
      <w:rFonts w:ascii="Fira Sans" w:hAnsi="Fira Sans" w:cs="Fira Sans"/>
      <w:color w:val="000000"/>
      <w:sz w:val="24"/>
      <w:szCs w:val="24"/>
    </w:rPr>
  </w:style>
  <w:style w:type="paragraph" w:customStyle="1" w:styleId="Tekstkomunikat">
    <w:name w:val="Tekst_komunikat"/>
    <w:basedOn w:val="Normalny"/>
    <w:qFormat/>
    <w:rsid w:val="00817950"/>
    <w:rPr>
      <w:rFonts w:eastAsia="Times New Roman" w:cs="Times New Roman"/>
      <w:szCs w:val="20"/>
      <w:lang w:eastAsia="pl-PL"/>
    </w:rPr>
  </w:style>
  <w:style w:type="paragraph" w:customStyle="1" w:styleId="pytkoniunkt">
    <w:name w:val="pyt.koniunkt"/>
    <w:basedOn w:val="Default"/>
    <w:qFormat/>
    <w:rsid w:val="008F51CD"/>
    <w:pPr>
      <w:spacing w:before="360" w:after="120" w:line="240" w:lineRule="exact"/>
    </w:pPr>
    <w:rPr>
      <w:i/>
      <w:color w:val="auto"/>
      <w:sz w:val="19"/>
      <w:szCs w:val="19"/>
    </w:rPr>
  </w:style>
  <w:style w:type="paragraph" w:customStyle="1" w:styleId="korekta">
    <w:name w:val="korekta"/>
    <w:basedOn w:val="tablegwiazd"/>
    <w:qFormat/>
    <w:rsid w:val="00B85E6B"/>
  </w:style>
  <w:style w:type="paragraph" w:styleId="Adresnakopercie">
    <w:name w:val="envelope address"/>
    <w:basedOn w:val="Normalny"/>
    <w:uiPriority w:val="99"/>
    <w:semiHidden/>
    <w:unhideWhenUsed/>
    <w:rsid w:val="00AC494C"/>
    <w:pPr>
      <w:framePr w:w="7920" w:h="1980" w:hRule="exact" w:hSpace="141"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Adreszwrotnynakopercie">
    <w:name w:val="envelope return"/>
    <w:basedOn w:val="Normalny"/>
    <w:uiPriority w:val="99"/>
    <w:semiHidden/>
    <w:unhideWhenUsed/>
    <w:rsid w:val="00AC494C"/>
    <w:pPr>
      <w:spacing w:before="0" w:after="0" w:line="240" w:lineRule="auto"/>
    </w:pPr>
    <w:rPr>
      <w:rFonts w:asciiTheme="majorHAnsi" w:eastAsiaTheme="majorEastAsia" w:hAnsiTheme="majorHAnsi" w:cstheme="majorBidi"/>
      <w:sz w:val="20"/>
      <w:szCs w:val="20"/>
    </w:rPr>
  </w:style>
  <w:style w:type="paragraph" w:styleId="Bezodstpw">
    <w:name w:val="No Spacing"/>
    <w:uiPriority w:val="1"/>
    <w:rsid w:val="00AC494C"/>
    <w:pPr>
      <w:spacing w:after="0" w:line="240" w:lineRule="auto"/>
    </w:pPr>
    <w:rPr>
      <w:rFonts w:ascii="Fira Sans" w:hAnsi="Fira Sans"/>
      <w:sz w:val="19"/>
    </w:rPr>
  </w:style>
  <w:style w:type="paragraph" w:styleId="Bibliografia">
    <w:name w:val="Bibliography"/>
    <w:basedOn w:val="Normalny"/>
    <w:next w:val="Normalny"/>
    <w:uiPriority w:val="37"/>
    <w:semiHidden/>
    <w:unhideWhenUsed/>
    <w:rsid w:val="00AC494C"/>
  </w:style>
  <w:style w:type="paragraph" w:styleId="Cytat">
    <w:name w:val="Quote"/>
    <w:basedOn w:val="Normalny"/>
    <w:next w:val="Normalny"/>
    <w:link w:val="CytatZnak"/>
    <w:uiPriority w:val="29"/>
    <w:qFormat/>
    <w:rsid w:val="00AC494C"/>
    <w:pPr>
      <w:spacing w:before="200" w:after="160"/>
      <w:ind w:left="864" w:right="864"/>
      <w:jc w:val="center"/>
    </w:pPr>
    <w:rPr>
      <w:i/>
      <w:iCs/>
      <w:color w:val="404040" w:themeColor="text1" w:themeTint="BF"/>
    </w:rPr>
  </w:style>
  <w:style w:type="character" w:customStyle="1" w:styleId="CytatZnak">
    <w:name w:val="Cytat Znak"/>
    <w:basedOn w:val="Domylnaczcionkaakapitu"/>
    <w:link w:val="Cytat"/>
    <w:uiPriority w:val="29"/>
    <w:rsid w:val="00AC494C"/>
    <w:rPr>
      <w:rFonts w:ascii="Fira Sans" w:hAnsi="Fira Sans"/>
      <w:i/>
      <w:iCs/>
      <w:color w:val="404040" w:themeColor="text1" w:themeTint="BF"/>
      <w:sz w:val="19"/>
    </w:rPr>
  </w:style>
  <w:style w:type="paragraph" w:styleId="Cytatintensywny">
    <w:name w:val="Intense Quote"/>
    <w:basedOn w:val="Normalny"/>
    <w:next w:val="Normalny"/>
    <w:link w:val="CytatintensywnyZnak"/>
    <w:uiPriority w:val="30"/>
    <w:qFormat/>
    <w:rsid w:val="00AC494C"/>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ytatintensywnyZnak">
    <w:name w:val="Cytat intensywny Znak"/>
    <w:basedOn w:val="Domylnaczcionkaakapitu"/>
    <w:link w:val="Cytatintensywny"/>
    <w:uiPriority w:val="30"/>
    <w:rsid w:val="00AC494C"/>
    <w:rPr>
      <w:rFonts w:ascii="Fira Sans" w:hAnsi="Fira Sans"/>
      <w:i/>
      <w:iCs/>
      <w:color w:val="5B9BD5" w:themeColor="accent1"/>
      <w:sz w:val="19"/>
    </w:rPr>
  </w:style>
  <w:style w:type="paragraph" w:styleId="Data">
    <w:name w:val="Date"/>
    <w:basedOn w:val="Normalny"/>
    <w:next w:val="Normalny"/>
    <w:link w:val="DataZnak"/>
    <w:uiPriority w:val="99"/>
    <w:semiHidden/>
    <w:unhideWhenUsed/>
    <w:rsid w:val="00AC494C"/>
  </w:style>
  <w:style w:type="character" w:customStyle="1" w:styleId="DataZnak">
    <w:name w:val="Data Znak"/>
    <w:basedOn w:val="Domylnaczcionkaakapitu"/>
    <w:link w:val="Data"/>
    <w:uiPriority w:val="99"/>
    <w:semiHidden/>
    <w:rsid w:val="00AC494C"/>
    <w:rPr>
      <w:rFonts w:ascii="Fira Sans" w:hAnsi="Fira Sans"/>
      <w:sz w:val="19"/>
    </w:rPr>
  </w:style>
  <w:style w:type="paragraph" w:styleId="HTML-adres">
    <w:name w:val="HTML Address"/>
    <w:basedOn w:val="Normalny"/>
    <w:link w:val="HTML-adresZnak"/>
    <w:uiPriority w:val="99"/>
    <w:semiHidden/>
    <w:unhideWhenUsed/>
    <w:rsid w:val="00AC494C"/>
    <w:pPr>
      <w:spacing w:before="0" w:after="0" w:line="240" w:lineRule="auto"/>
    </w:pPr>
    <w:rPr>
      <w:i/>
      <w:iCs/>
    </w:rPr>
  </w:style>
  <w:style w:type="character" w:customStyle="1" w:styleId="HTML-adresZnak">
    <w:name w:val="HTML - adres Znak"/>
    <w:basedOn w:val="Domylnaczcionkaakapitu"/>
    <w:link w:val="HTML-adres"/>
    <w:uiPriority w:val="99"/>
    <w:semiHidden/>
    <w:rsid w:val="00AC494C"/>
    <w:rPr>
      <w:rFonts w:ascii="Fira Sans" w:hAnsi="Fira Sans"/>
      <w:i/>
      <w:iCs/>
      <w:sz w:val="19"/>
    </w:rPr>
  </w:style>
  <w:style w:type="paragraph" w:styleId="HTML-wstpniesformatowany">
    <w:name w:val="HTML Preformatted"/>
    <w:basedOn w:val="Normalny"/>
    <w:link w:val="HTML-wstpniesformatowanyZnak"/>
    <w:uiPriority w:val="99"/>
    <w:semiHidden/>
    <w:unhideWhenUsed/>
    <w:rsid w:val="00AC494C"/>
    <w:pPr>
      <w:spacing w:before="0" w:after="0" w:line="240" w:lineRule="auto"/>
    </w:pPr>
    <w:rPr>
      <w:rFonts w:ascii="Consolas" w:hAnsi="Consolas"/>
      <w:sz w:val="20"/>
      <w:szCs w:val="20"/>
    </w:rPr>
  </w:style>
  <w:style w:type="character" w:customStyle="1" w:styleId="HTML-wstpniesformatowanyZnak">
    <w:name w:val="HTML - wstępnie sformatowany Znak"/>
    <w:basedOn w:val="Domylnaczcionkaakapitu"/>
    <w:link w:val="HTML-wstpniesformatowany"/>
    <w:uiPriority w:val="99"/>
    <w:semiHidden/>
    <w:rsid w:val="00AC494C"/>
    <w:rPr>
      <w:rFonts w:ascii="Consolas" w:hAnsi="Consolas"/>
      <w:sz w:val="20"/>
      <w:szCs w:val="20"/>
    </w:rPr>
  </w:style>
  <w:style w:type="paragraph" w:styleId="Indeks1">
    <w:name w:val="index 1"/>
    <w:basedOn w:val="Normalny"/>
    <w:next w:val="Normalny"/>
    <w:autoRedefine/>
    <w:uiPriority w:val="99"/>
    <w:semiHidden/>
    <w:unhideWhenUsed/>
    <w:rsid w:val="00AC494C"/>
    <w:pPr>
      <w:spacing w:before="0" w:after="0" w:line="240" w:lineRule="auto"/>
      <w:ind w:left="190" w:hanging="190"/>
    </w:pPr>
  </w:style>
  <w:style w:type="paragraph" w:styleId="Indeks2">
    <w:name w:val="index 2"/>
    <w:basedOn w:val="Normalny"/>
    <w:next w:val="Normalny"/>
    <w:autoRedefine/>
    <w:uiPriority w:val="99"/>
    <w:semiHidden/>
    <w:unhideWhenUsed/>
    <w:rsid w:val="00AC494C"/>
    <w:pPr>
      <w:spacing w:before="0" w:after="0" w:line="240" w:lineRule="auto"/>
      <w:ind w:left="380" w:hanging="190"/>
    </w:pPr>
  </w:style>
  <w:style w:type="paragraph" w:styleId="Indeks3">
    <w:name w:val="index 3"/>
    <w:basedOn w:val="Normalny"/>
    <w:next w:val="Normalny"/>
    <w:autoRedefine/>
    <w:uiPriority w:val="99"/>
    <w:semiHidden/>
    <w:unhideWhenUsed/>
    <w:rsid w:val="00AC494C"/>
    <w:pPr>
      <w:spacing w:before="0" w:after="0" w:line="240" w:lineRule="auto"/>
      <w:ind w:left="570" w:hanging="190"/>
    </w:pPr>
  </w:style>
  <w:style w:type="paragraph" w:styleId="Indeks4">
    <w:name w:val="index 4"/>
    <w:basedOn w:val="Normalny"/>
    <w:next w:val="Normalny"/>
    <w:autoRedefine/>
    <w:uiPriority w:val="99"/>
    <w:semiHidden/>
    <w:unhideWhenUsed/>
    <w:rsid w:val="00AC494C"/>
    <w:pPr>
      <w:spacing w:before="0" w:after="0" w:line="240" w:lineRule="auto"/>
      <w:ind w:left="760" w:hanging="190"/>
    </w:pPr>
  </w:style>
  <w:style w:type="paragraph" w:styleId="Indeks5">
    <w:name w:val="index 5"/>
    <w:basedOn w:val="Normalny"/>
    <w:next w:val="Normalny"/>
    <w:autoRedefine/>
    <w:uiPriority w:val="99"/>
    <w:semiHidden/>
    <w:unhideWhenUsed/>
    <w:rsid w:val="00AC494C"/>
    <w:pPr>
      <w:spacing w:before="0" w:after="0" w:line="240" w:lineRule="auto"/>
      <w:ind w:left="950" w:hanging="190"/>
    </w:pPr>
  </w:style>
  <w:style w:type="paragraph" w:styleId="Indeks6">
    <w:name w:val="index 6"/>
    <w:basedOn w:val="Normalny"/>
    <w:next w:val="Normalny"/>
    <w:autoRedefine/>
    <w:uiPriority w:val="99"/>
    <w:semiHidden/>
    <w:unhideWhenUsed/>
    <w:rsid w:val="00AC494C"/>
    <w:pPr>
      <w:spacing w:before="0" w:after="0" w:line="240" w:lineRule="auto"/>
      <w:ind w:left="1140" w:hanging="190"/>
    </w:pPr>
  </w:style>
  <w:style w:type="paragraph" w:styleId="Indeks7">
    <w:name w:val="index 7"/>
    <w:basedOn w:val="Normalny"/>
    <w:next w:val="Normalny"/>
    <w:autoRedefine/>
    <w:uiPriority w:val="99"/>
    <w:semiHidden/>
    <w:unhideWhenUsed/>
    <w:rsid w:val="00AC494C"/>
    <w:pPr>
      <w:spacing w:before="0" w:after="0" w:line="240" w:lineRule="auto"/>
      <w:ind w:left="1330" w:hanging="190"/>
    </w:pPr>
  </w:style>
  <w:style w:type="paragraph" w:styleId="Indeks8">
    <w:name w:val="index 8"/>
    <w:basedOn w:val="Normalny"/>
    <w:next w:val="Normalny"/>
    <w:autoRedefine/>
    <w:uiPriority w:val="99"/>
    <w:semiHidden/>
    <w:unhideWhenUsed/>
    <w:rsid w:val="00AC494C"/>
    <w:pPr>
      <w:spacing w:before="0" w:after="0" w:line="240" w:lineRule="auto"/>
      <w:ind w:left="1520" w:hanging="190"/>
    </w:pPr>
  </w:style>
  <w:style w:type="paragraph" w:styleId="Indeks9">
    <w:name w:val="index 9"/>
    <w:basedOn w:val="Normalny"/>
    <w:next w:val="Normalny"/>
    <w:autoRedefine/>
    <w:uiPriority w:val="99"/>
    <w:semiHidden/>
    <w:unhideWhenUsed/>
    <w:rsid w:val="00AC494C"/>
    <w:pPr>
      <w:spacing w:before="0" w:after="0" w:line="240" w:lineRule="auto"/>
      <w:ind w:left="1710" w:hanging="190"/>
    </w:pPr>
  </w:style>
  <w:style w:type="paragraph" w:styleId="Legenda">
    <w:name w:val="caption"/>
    <w:basedOn w:val="Normalny"/>
    <w:next w:val="Normalny"/>
    <w:uiPriority w:val="35"/>
    <w:semiHidden/>
    <w:unhideWhenUsed/>
    <w:qFormat/>
    <w:rsid w:val="00AC494C"/>
    <w:pPr>
      <w:spacing w:before="0" w:after="200" w:line="240" w:lineRule="auto"/>
    </w:pPr>
    <w:rPr>
      <w:i/>
      <w:iCs/>
      <w:color w:val="44546A" w:themeColor="text2"/>
      <w:sz w:val="18"/>
      <w:szCs w:val="18"/>
    </w:rPr>
  </w:style>
  <w:style w:type="paragraph" w:styleId="Lista">
    <w:name w:val="List"/>
    <w:basedOn w:val="Normalny"/>
    <w:uiPriority w:val="99"/>
    <w:semiHidden/>
    <w:unhideWhenUsed/>
    <w:rsid w:val="00AC494C"/>
    <w:pPr>
      <w:ind w:left="283" w:hanging="283"/>
      <w:contextualSpacing/>
    </w:pPr>
  </w:style>
  <w:style w:type="paragraph" w:styleId="Lista-kontynuacja">
    <w:name w:val="List Continue"/>
    <w:basedOn w:val="Normalny"/>
    <w:uiPriority w:val="99"/>
    <w:semiHidden/>
    <w:unhideWhenUsed/>
    <w:rsid w:val="00AC494C"/>
    <w:pPr>
      <w:ind w:left="283"/>
      <w:contextualSpacing/>
    </w:pPr>
  </w:style>
  <w:style w:type="paragraph" w:styleId="Lista-kontynuacja2">
    <w:name w:val="List Continue 2"/>
    <w:basedOn w:val="Normalny"/>
    <w:uiPriority w:val="99"/>
    <w:semiHidden/>
    <w:unhideWhenUsed/>
    <w:rsid w:val="00AC494C"/>
    <w:pPr>
      <w:ind w:left="566"/>
      <w:contextualSpacing/>
    </w:pPr>
  </w:style>
  <w:style w:type="paragraph" w:styleId="Lista-kontynuacja3">
    <w:name w:val="List Continue 3"/>
    <w:basedOn w:val="Normalny"/>
    <w:uiPriority w:val="99"/>
    <w:semiHidden/>
    <w:unhideWhenUsed/>
    <w:rsid w:val="00AC494C"/>
    <w:pPr>
      <w:ind w:left="849"/>
      <w:contextualSpacing/>
    </w:pPr>
  </w:style>
  <w:style w:type="paragraph" w:styleId="Lista-kontynuacja4">
    <w:name w:val="List Continue 4"/>
    <w:basedOn w:val="Normalny"/>
    <w:uiPriority w:val="99"/>
    <w:semiHidden/>
    <w:unhideWhenUsed/>
    <w:rsid w:val="00AC494C"/>
    <w:pPr>
      <w:ind w:left="1132"/>
      <w:contextualSpacing/>
    </w:pPr>
  </w:style>
  <w:style w:type="paragraph" w:styleId="Lista-kontynuacja5">
    <w:name w:val="List Continue 5"/>
    <w:basedOn w:val="Normalny"/>
    <w:uiPriority w:val="99"/>
    <w:semiHidden/>
    <w:unhideWhenUsed/>
    <w:rsid w:val="00AC494C"/>
    <w:pPr>
      <w:ind w:left="1415"/>
      <w:contextualSpacing/>
    </w:pPr>
  </w:style>
  <w:style w:type="paragraph" w:styleId="Lista2">
    <w:name w:val="List 2"/>
    <w:basedOn w:val="Normalny"/>
    <w:uiPriority w:val="99"/>
    <w:semiHidden/>
    <w:unhideWhenUsed/>
    <w:rsid w:val="00AC494C"/>
    <w:pPr>
      <w:ind w:left="566" w:hanging="283"/>
      <w:contextualSpacing/>
    </w:pPr>
  </w:style>
  <w:style w:type="paragraph" w:styleId="Lista3">
    <w:name w:val="List 3"/>
    <w:basedOn w:val="Normalny"/>
    <w:uiPriority w:val="99"/>
    <w:semiHidden/>
    <w:unhideWhenUsed/>
    <w:rsid w:val="00AC494C"/>
    <w:pPr>
      <w:ind w:left="849" w:hanging="283"/>
      <w:contextualSpacing/>
    </w:pPr>
  </w:style>
  <w:style w:type="paragraph" w:styleId="Lista4">
    <w:name w:val="List 4"/>
    <w:basedOn w:val="Normalny"/>
    <w:uiPriority w:val="99"/>
    <w:semiHidden/>
    <w:unhideWhenUsed/>
    <w:rsid w:val="00AC494C"/>
    <w:pPr>
      <w:ind w:left="1132" w:hanging="283"/>
      <w:contextualSpacing/>
    </w:pPr>
  </w:style>
  <w:style w:type="paragraph" w:styleId="Lista5">
    <w:name w:val="List 5"/>
    <w:basedOn w:val="Normalny"/>
    <w:uiPriority w:val="99"/>
    <w:semiHidden/>
    <w:unhideWhenUsed/>
    <w:rsid w:val="00AC494C"/>
    <w:pPr>
      <w:ind w:left="1415" w:hanging="283"/>
      <w:contextualSpacing/>
    </w:pPr>
  </w:style>
  <w:style w:type="paragraph" w:styleId="Listanumerowana">
    <w:name w:val="List Number"/>
    <w:basedOn w:val="Normalny"/>
    <w:uiPriority w:val="99"/>
    <w:semiHidden/>
    <w:unhideWhenUsed/>
    <w:rsid w:val="00AC494C"/>
    <w:pPr>
      <w:numPr>
        <w:numId w:val="9"/>
      </w:numPr>
      <w:contextualSpacing/>
    </w:pPr>
  </w:style>
  <w:style w:type="paragraph" w:styleId="Listanumerowana2">
    <w:name w:val="List Number 2"/>
    <w:basedOn w:val="Normalny"/>
    <w:uiPriority w:val="99"/>
    <w:semiHidden/>
    <w:unhideWhenUsed/>
    <w:rsid w:val="00AC494C"/>
    <w:pPr>
      <w:numPr>
        <w:numId w:val="10"/>
      </w:numPr>
      <w:contextualSpacing/>
    </w:pPr>
  </w:style>
  <w:style w:type="paragraph" w:styleId="Listanumerowana3">
    <w:name w:val="List Number 3"/>
    <w:basedOn w:val="Normalny"/>
    <w:uiPriority w:val="99"/>
    <w:semiHidden/>
    <w:unhideWhenUsed/>
    <w:rsid w:val="00AC494C"/>
    <w:pPr>
      <w:numPr>
        <w:numId w:val="11"/>
      </w:numPr>
      <w:contextualSpacing/>
    </w:pPr>
  </w:style>
  <w:style w:type="paragraph" w:styleId="Listanumerowana4">
    <w:name w:val="List Number 4"/>
    <w:basedOn w:val="Normalny"/>
    <w:uiPriority w:val="99"/>
    <w:semiHidden/>
    <w:unhideWhenUsed/>
    <w:rsid w:val="00AC494C"/>
    <w:pPr>
      <w:numPr>
        <w:numId w:val="12"/>
      </w:numPr>
      <w:contextualSpacing/>
    </w:pPr>
  </w:style>
  <w:style w:type="paragraph" w:styleId="Listanumerowana5">
    <w:name w:val="List Number 5"/>
    <w:basedOn w:val="Normalny"/>
    <w:uiPriority w:val="99"/>
    <w:semiHidden/>
    <w:unhideWhenUsed/>
    <w:rsid w:val="00AC494C"/>
    <w:pPr>
      <w:numPr>
        <w:numId w:val="13"/>
      </w:numPr>
      <w:contextualSpacing/>
    </w:pPr>
  </w:style>
  <w:style w:type="paragraph" w:styleId="Listapunktowana">
    <w:name w:val="List Bullet"/>
    <w:basedOn w:val="Normalny"/>
    <w:uiPriority w:val="99"/>
    <w:semiHidden/>
    <w:unhideWhenUsed/>
    <w:rsid w:val="00AC494C"/>
    <w:pPr>
      <w:numPr>
        <w:numId w:val="14"/>
      </w:numPr>
      <w:contextualSpacing/>
    </w:pPr>
  </w:style>
  <w:style w:type="paragraph" w:styleId="Listapunktowana2">
    <w:name w:val="List Bullet 2"/>
    <w:basedOn w:val="Normalny"/>
    <w:uiPriority w:val="99"/>
    <w:semiHidden/>
    <w:unhideWhenUsed/>
    <w:rsid w:val="00AC494C"/>
    <w:pPr>
      <w:numPr>
        <w:numId w:val="15"/>
      </w:numPr>
      <w:contextualSpacing/>
    </w:pPr>
  </w:style>
  <w:style w:type="paragraph" w:styleId="Listapunktowana3">
    <w:name w:val="List Bullet 3"/>
    <w:basedOn w:val="Normalny"/>
    <w:uiPriority w:val="99"/>
    <w:semiHidden/>
    <w:unhideWhenUsed/>
    <w:rsid w:val="00AC494C"/>
    <w:pPr>
      <w:numPr>
        <w:numId w:val="16"/>
      </w:numPr>
      <w:contextualSpacing/>
    </w:pPr>
  </w:style>
  <w:style w:type="paragraph" w:styleId="Listapunktowana4">
    <w:name w:val="List Bullet 4"/>
    <w:basedOn w:val="Normalny"/>
    <w:uiPriority w:val="99"/>
    <w:semiHidden/>
    <w:unhideWhenUsed/>
    <w:rsid w:val="00AC494C"/>
    <w:pPr>
      <w:numPr>
        <w:numId w:val="17"/>
      </w:numPr>
      <w:contextualSpacing/>
    </w:pPr>
  </w:style>
  <w:style w:type="paragraph" w:styleId="Listapunktowana5">
    <w:name w:val="List Bullet 5"/>
    <w:basedOn w:val="Normalny"/>
    <w:uiPriority w:val="99"/>
    <w:semiHidden/>
    <w:unhideWhenUsed/>
    <w:rsid w:val="00AC494C"/>
    <w:pPr>
      <w:numPr>
        <w:numId w:val="18"/>
      </w:numPr>
      <w:contextualSpacing/>
    </w:pPr>
  </w:style>
  <w:style w:type="paragraph" w:styleId="Mapadokumentu">
    <w:name w:val="Document Map"/>
    <w:basedOn w:val="Normalny"/>
    <w:link w:val="MapadokumentuZnak"/>
    <w:uiPriority w:val="99"/>
    <w:semiHidden/>
    <w:unhideWhenUsed/>
    <w:rsid w:val="00AC494C"/>
    <w:pPr>
      <w:spacing w:before="0" w:after="0" w:line="240" w:lineRule="auto"/>
    </w:pPr>
    <w:rPr>
      <w:rFonts w:ascii="Segoe UI" w:hAnsi="Segoe UI" w:cs="Segoe UI"/>
      <w:sz w:val="16"/>
      <w:szCs w:val="16"/>
    </w:rPr>
  </w:style>
  <w:style w:type="character" w:customStyle="1" w:styleId="MapadokumentuZnak">
    <w:name w:val="Mapa dokumentu Znak"/>
    <w:basedOn w:val="Domylnaczcionkaakapitu"/>
    <w:link w:val="Mapadokumentu"/>
    <w:uiPriority w:val="99"/>
    <w:semiHidden/>
    <w:rsid w:val="00AC494C"/>
    <w:rPr>
      <w:rFonts w:ascii="Segoe UI" w:hAnsi="Segoe UI" w:cs="Segoe UI"/>
      <w:sz w:val="16"/>
      <w:szCs w:val="16"/>
    </w:rPr>
  </w:style>
  <w:style w:type="character" w:customStyle="1" w:styleId="Nagwek6Znak">
    <w:name w:val="Nagłówek 6 Znak"/>
    <w:basedOn w:val="Domylnaczcionkaakapitu"/>
    <w:link w:val="Nagwek6"/>
    <w:uiPriority w:val="9"/>
    <w:semiHidden/>
    <w:rsid w:val="00AC494C"/>
    <w:rPr>
      <w:rFonts w:asciiTheme="majorHAnsi" w:eastAsiaTheme="majorEastAsia" w:hAnsiTheme="majorHAnsi" w:cstheme="majorBidi"/>
      <w:color w:val="1F4D78" w:themeColor="accent1" w:themeShade="7F"/>
      <w:sz w:val="19"/>
    </w:rPr>
  </w:style>
  <w:style w:type="character" w:customStyle="1" w:styleId="Nagwek7Znak">
    <w:name w:val="Nagłówek 7 Znak"/>
    <w:basedOn w:val="Domylnaczcionkaakapitu"/>
    <w:link w:val="Nagwek7"/>
    <w:uiPriority w:val="9"/>
    <w:semiHidden/>
    <w:rsid w:val="00AC494C"/>
    <w:rPr>
      <w:rFonts w:asciiTheme="majorHAnsi" w:eastAsiaTheme="majorEastAsia" w:hAnsiTheme="majorHAnsi" w:cstheme="majorBidi"/>
      <w:i/>
      <w:iCs/>
      <w:color w:val="1F4D78" w:themeColor="accent1" w:themeShade="7F"/>
      <w:sz w:val="19"/>
    </w:rPr>
  </w:style>
  <w:style w:type="paragraph" w:styleId="Nagwekindeksu">
    <w:name w:val="index heading"/>
    <w:basedOn w:val="Normalny"/>
    <w:next w:val="Indeks1"/>
    <w:uiPriority w:val="99"/>
    <w:semiHidden/>
    <w:unhideWhenUsed/>
    <w:rsid w:val="00AC494C"/>
    <w:rPr>
      <w:rFonts w:asciiTheme="majorHAnsi" w:eastAsiaTheme="majorEastAsia" w:hAnsiTheme="majorHAnsi" w:cstheme="majorBidi"/>
      <w:b/>
      <w:bCs/>
    </w:rPr>
  </w:style>
  <w:style w:type="paragraph" w:styleId="Nagweknotatki">
    <w:name w:val="Note Heading"/>
    <w:basedOn w:val="Normalny"/>
    <w:next w:val="Normalny"/>
    <w:link w:val="NagweknotatkiZnak"/>
    <w:uiPriority w:val="99"/>
    <w:semiHidden/>
    <w:unhideWhenUsed/>
    <w:rsid w:val="00AC494C"/>
    <w:pPr>
      <w:spacing w:before="0" w:after="0" w:line="240" w:lineRule="auto"/>
    </w:pPr>
  </w:style>
  <w:style w:type="character" w:customStyle="1" w:styleId="NagweknotatkiZnak">
    <w:name w:val="Nagłówek notatki Znak"/>
    <w:basedOn w:val="Domylnaczcionkaakapitu"/>
    <w:link w:val="Nagweknotatki"/>
    <w:uiPriority w:val="99"/>
    <w:semiHidden/>
    <w:rsid w:val="00AC494C"/>
    <w:rPr>
      <w:rFonts w:ascii="Fira Sans" w:hAnsi="Fira Sans"/>
      <w:sz w:val="19"/>
    </w:rPr>
  </w:style>
  <w:style w:type="paragraph" w:styleId="Nagwekspisutreci">
    <w:name w:val="TOC Heading"/>
    <w:basedOn w:val="Nagwek1"/>
    <w:next w:val="Normalny"/>
    <w:uiPriority w:val="39"/>
    <w:unhideWhenUsed/>
    <w:qFormat/>
    <w:rsid w:val="00AC494C"/>
    <w:pPr>
      <w:keepLines/>
      <w:spacing w:before="240" w:after="0" w:line="240" w:lineRule="exact"/>
      <w:outlineLvl w:val="9"/>
    </w:pPr>
    <w:rPr>
      <w:rFonts w:asciiTheme="majorHAnsi" w:eastAsiaTheme="majorEastAsia" w:hAnsiTheme="majorHAnsi" w:cstheme="majorBidi"/>
      <w:bCs w:val="0"/>
      <w:color w:val="2E74B5" w:themeColor="accent1" w:themeShade="BF"/>
      <w:sz w:val="32"/>
      <w:szCs w:val="32"/>
      <w:lang w:eastAsia="en-US"/>
    </w:rPr>
  </w:style>
  <w:style w:type="paragraph" w:styleId="Nagwekwiadomoci">
    <w:name w:val="Message Header"/>
    <w:basedOn w:val="Normalny"/>
    <w:link w:val="NagwekwiadomociZnak"/>
    <w:uiPriority w:val="99"/>
    <w:semiHidden/>
    <w:unhideWhenUsed/>
    <w:rsid w:val="00AC494C"/>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sz w:val="24"/>
      <w:szCs w:val="24"/>
    </w:rPr>
  </w:style>
  <w:style w:type="character" w:customStyle="1" w:styleId="NagwekwiadomociZnak">
    <w:name w:val="Nagłówek wiadomości Znak"/>
    <w:basedOn w:val="Domylnaczcionkaakapitu"/>
    <w:link w:val="Nagwekwiadomoci"/>
    <w:uiPriority w:val="99"/>
    <w:semiHidden/>
    <w:rsid w:val="00AC494C"/>
    <w:rPr>
      <w:rFonts w:asciiTheme="majorHAnsi" w:eastAsiaTheme="majorEastAsia" w:hAnsiTheme="majorHAnsi" w:cstheme="majorBidi"/>
      <w:sz w:val="24"/>
      <w:szCs w:val="24"/>
      <w:shd w:val="pct20" w:color="auto" w:fill="auto"/>
    </w:rPr>
  </w:style>
  <w:style w:type="paragraph" w:styleId="Nagwekwykazurde">
    <w:name w:val="toa heading"/>
    <w:basedOn w:val="Normalny"/>
    <w:next w:val="Normalny"/>
    <w:uiPriority w:val="99"/>
    <w:semiHidden/>
    <w:unhideWhenUsed/>
    <w:rsid w:val="00AC494C"/>
    <w:rPr>
      <w:rFonts w:asciiTheme="majorHAnsi" w:eastAsiaTheme="majorEastAsia" w:hAnsiTheme="majorHAnsi" w:cstheme="majorBidi"/>
      <w:b/>
      <w:bCs/>
      <w:sz w:val="24"/>
      <w:szCs w:val="24"/>
    </w:rPr>
  </w:style>
  <w:style w:type="paragraph" w:styleId="NormalnyWeb">
    <w:name w:val="Normal (Web)"/>
    <w:basedOn w:val="Normalny"/>
    <w:uiPriority w:val="99"/>
    <w:semiHidden/>
    <w:unhideWhenUsed/>
    <w:rsid w:val="00AC494C"/>
    <w:rPr>
      <w:rFonts w:ascii="Times New Roman" w:hAnsi="Times New Roman" w:cs="Times New Roman"/>
      <w:sz w:val="24"/>
      <w:szCs w:val="24"/>
    </w:rPr>
  </w:style>
  <w:style w:type="paragraph" w:styleId="Podpis">
    <w:name w:val="Signature"/>
    <w:basedOn w:val="Normalny"/>
    <w:link w:val="PodpisZnak"/>
    <w:uiPriority w:val="99"/>
    <w:semiHidden/>
    <w:unhideWhenUsed/>
    <w:rsid w:val="00AC494C"/>
    <w:pPr>
      <w:spacing w:before="0" w:after="0" w:line="240" w:lineRule="auto"/>
      <w:ind w:left="4252"/>
    </w:pPr>
  </w:style>
  <w:style w:type="character" w:customStyle="1" w:styleId="PodpisZnak">
    <w:name w:val="Podpis Znak"/>
    <w:basedOn w:val="Domylnaczcionkaakapitu"/>
    <w:link w:val="Podpis"/>
    <w:uiPriority w:val="99"/>
    <w:semiHidden/>
    <w:rsid w:val="00AC494C"/>
    <w:rPr>
      <w:rFonts w:ascii="Fira Sans" w:hAnsi="Fira Sans"/>
      <w:sz w:val="19"/>
    </w:rPr>
  </w:style>
  <w:style w:type="paragraph" w:styleId="Podpise-mail">
    <w:name w:val="E-mail Signature"/>
    <w:basedOn w:val="Normalny"/>
    <w:link w:val="Podpise-mailZnak"/>
    <w:uiPriority w:val="99"/>
    <w:semiHidden/>
    <w:unhideWhenUsed/>
    <w:rsid w:val="00AC494C"/>
    <w:pPr>
      <w:spacing w:before="0" w:after="0" w:line="240" w:lineRule="auto"/>
    </w:pPr>
  </w:style>
  <w:style w:type="character" w:customStyle="1" w:styleId="Podpise-mailZnak">
    <w:name w:val="Podpis e-mail Znak"/>
    <w:basedOn w:val="Domylnaczcionkaakapitu"/>
    <w:link w:val="Podpise-mail"/>
    <w:uiPriority w:val="99"/>
    <w:semiHidden/>
    <w:rsid w:val="00AC494C"/>
    <w:rPr>
      <w:rFonts w:ascii="Fira Sans" w:hAnsi="Fira Sans"/>
      <w:sz w:val="19"/>
    </w:rPr>
  </w:style>
  <w:style w:type="paragraph" w:styleId="Podtytu">
    <w:name w:val="Subtitle"/>
    <w:basedOn w:val="Normalny"/>
    <w:next w:val="Normalny"/>
    <w:link w:val="PodtytuZnak"/>
    <w:uiPriority w:val="11"/>
    <w:qFormat/>
    <w:rsid w:val="00AC494C"/>
    <w:pPr>
      <w:numPr>
        <w:ilvl w:val="1"/>
      </w:numPr>
      <w:spacing w:after="160"/>
    </w:pPr>
    <w:rPr>
      <w:rFonts w:asciiTheme="minorHAnsi" w:eastAsiaTheme="minorEastAsia" w:hAnsiTheme="minorHAnsi"/>
      <w:color w:val="5A5A5A" w:themeColor="text1" w:themeTint="A5"/>
      <w:spacing w:val="15"/>
      <w:sz w:val="22"/>
    </w:rPr>
  </w:style>
  <w:style w:type="character" w:customStyle="1" w:styleId="PodtytuZnak">
    <w:name w:val="Podtytuł Znak"/>
    <w:basedOn w:val="Domylnaczcionkaakapitu"/>
    <w:link w:val="Podtytu"/>
    <w:uiPriority w:val="11"/>
    <w:rsid w:val="00AC494C"/>
    <w:rPr>
      <w:rFonts w:eastAsiaTheme="minorEastAsia"/>
      <w:color w:val="5A5A5A" w:themeColor="text1" w:themeTint="A5"/>
      <w:spacing w:val="15"/>
    </w:rPr>
  </w:style>
  <w:style w:type="paragraph" w:styleId="Spisilustracji">
    <w:name w:val="table of figures"/>
    <w:basedOn w:val="Normalny"/>
    <w:next w:val="Normalny"/>
    <w:uiPriority w:val="99"/>
    <w:semiHidden/>
    <w:unhideWhenUsed/>
    <w:rsid w:val="00AC494C"/>
    <w:pPr>
      <w:spacing w:after="0"/>
    </w:pPr>
  </w:style>
  <w:style w:type="paragraph" w:styleId="Spistreci1">
    <w:name w:val="toc 1"/>
    <w:basedOn w:val="Normalny"/>
    <w:next w:val="Normalny"/>
    <w:autoRedefine/>
    <w:uiPriority w:val="39"/>
    <w:unhideWhenUsed/>
    <w:rsid w:val="0010608B"/>
    <w:pPr>
      <w:tabs>
        <w:tab w:val="right" w:leader="dot" w:pos="10469"/>
      </w:tabs>
      <w:spacing w:after="100"/>
    </w:pPr>
    <w:rPr>
      <w:noProof/>
    </w:rPr>
  </w:style>
  <w:style w:type="paragraph" w:styleId="Spistreci2">
    <w:name w:val="toc 2"/>
    <w:basedOn w:val="Normalny"/>
    <w:next w:val="Normalny"/>
    <w:autoRedefine/>
    <w:uiPriority w:val="39"/>
    <w:unhideWhenUsed/>
    <w:rsid w:val="00776F16"/>
    <w:pPr>
      <w:tabs>
        <w:tab w:val="right" w:leader="dot" w:pos="10469"/>
      </w:tabs>
      <w:spacing w:after="100"/>
    </w:pPr>
    <w:rPr>
      <w:noProof/>
      <w:color w:val="000000" w:themeColor="text1"/>
    </w:rPr>
  </w:style>
  <w:style w:type="paragraph" w:styleId="Spistreci3">
    <w:name w:val="toc 3"/>
    <w:basedOn w:val="Normalny"/>
    <w:next w:val="Normalny"/>
    <w:autoRedefine/>
    <w:uiPriority w:val="39"/>
    <w:semiHidden/>
    <w:unhideWhenUsed/>
    <w:rsid w:val="00AC494C"/>
    <w:pPr>
      <w:spacing w:after="100"/>
      <w:ind w:left="380"/>
    </w:pPr>
  </w:style>
  <w:style w:type="paragraph" w:styleId="Spistreci4">
    <w:name w:val="toc 4"/>
    <w:basedOn w:val="Normalny"/>
    <w:next w:val="Normalny"/>
    <w:autoRedefine/>
    <w:uiPriority w:val="39"/>
    <w:semiHidden/>
    <w:unhideWhenUsed/>
    <w:rsid w:val="00AC494C"/>
    <w:pPr>
      <w:spacing w:after="100"/>
      <w:ind w:left="570"/>
    </w:pPr>
  </w:style>
  <w:style w:type="paragraph" w:styleId="Spistreci5">
    <w:name w:val="toc 5"/>
    <w:basedOn w:val="Normalny"/>
    <w:next w:val="Normalny"/>
    <w:autoRedefine/>
    <w:uiPriority w:val="39"/>
    <w:semiHidden/>
    <w:unhideWhenUsed/>
    <w:rsid w:val="00AC494C"/>
    <w:pPr>
      <w:spacing w:after="100"/>
      <w:ind w:left="760"/>
    </w:pPr>
  </w:style>
  <w:style w:type="paragraph" w:styleId="Spistreci6">
    <w:name w:val="toc 6"/>
    <w:basedOn w:val="Normalny"/>
    <w:next w:val="Normalny"/>
    <w:autoRedefine/>
    <w:uiPriority w:val="39"/>
    <w:semiHidden/>
    <w:unhideWhenUsed/>
    <w:rsid w:val="00AC494C"/>
    <w:pPr>
      <w:spacing w:after="100"/>
      <w:ind w:left="950"/>
    </w:pPr>
  </w:style>
  <w:style w:type="paragraph" w:styleId="Spistreci7">
    <w:name w:val="toc 7"/>
    <w:basedOn w:val="Normalny"/>
    <w:next w:val="Normalny"/>
    <w:autoRedefine/>
    <w:uiPriority w:val="39"/>
    <w:semiHidden/>
    <w:unhideWhenUsed/>
    <w:rsid w:val="00AC494C"/>
    <w:pPr>
      <w:spacing w:after="100"/>
      <w:ind w:left="1140"/>
    </w:pPr>
  </w:style>
  <w:style w:type="paragraph" w:styleId="Spistreci8">
    <w:name w:val="toc 8"/>
    <w:basedOn w:val="Normalny"/>
    <w:next w:val="Normalny"/>
    <w:autoRedefine/>
    <w:uiPriority w:val="39"/>
    <w:semiHidden/>
    <w:unhideWhenUsed/>
    <w:rsid w:val="00AC494C"/>
    <w:pPr>
      <w:spacing w:after="100"/>
      <w:ind w:left="1330"/>
    </w:pPr>
  </w:style>
  <w:style w:type="paragraph" w:styleId="Spistreci9">
    <w:name w:val="toc 9"/>
    <w:basedOn w:val="Normalny"/>
    <w:next w:val="Normalny"/>
    <w:autoRedefine/>
    <w:uiPriority w:val="39"/>
    <w:semiHidden/>
    <w:unhideWhenUsed/>
    <w:rsid w:val="00AC494C"/>
    <w:pPr>
      <w:spacing w:after="100"/>
      <w:ind w:left="1520"/>
    </w:pPr>
  </w:style>
  <w:style w:type="paragraph" w:styleId="Tekstblokowy">
    <w:name w:val="Block Text"/>
    <w:basedOn w:val="Normalny"/>
    <w:uiPriority w:val="99"/>
    <w:semiHidden/>
    <w:unhideWhenUsed/>
    <w:rsid w:val="00AC494C"/>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i/>
      <w:iCs/>
      <w:color w:val="5B9BD5" w:themeColor="accent1"/>
    </w:rPr>
  </w:style>
  <w:style w:type="paragraph" w:styleId="Tekstkomentarza">
    <w:name w:val="annotation text"/>
    <w:basedOn w:val="Normalny"/>
    <w:link w:val="TekstkomentarzaZnak"/>
    <w:uiPriority w:val="99"/>
    <w:semiHidden/>
    <w:unhideWhenUsed/>
    <w:rsid w:val="00AC494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C494C"/>
    <w:rPr>
      <w:rFonts w:ascii="Fira Sans" w:hAnsi="Fira Sans"/>
      <w:sz w:val="20"/>
      <w:szCs w:val="20"/>
    </w:rPr>
  </w:style>
  <w:style w:type="paragraph" w:styleId="Tekstmakra">
    <w:name w:val="macro"/>
    <w:link w:val="TekstmakraZnak"/>
    <w:uiPriority w:val="99"/>
    <w:semiHidden/>
    <w:unhideWhenUsed/>
    <w:rsid w:val="00AC494C"/>
    <w:pPr>
      <w:tabs>
        <w:tab w:val="left" w:pos="480"/>
        <w:tab w:val="left" w:pos="960"/>
        <w:tab w:val="left" w:pos="1440"/>
        <w:tab w:val="left" w:pos="1920"/>
        <w:tab w:val="left" w:pos="2400"/>
        <w:tab w:val="left" w:pos="2880"/>
        <w:tab w:val="left" w:pos="3360"/>
        <w:tab w:val="left" w:pos="3840"/>
        <w:tab w:val="left" w:pos="4320"/>
      </w:tabs>
      <w:spacing w:before="120" w:after="0" w:line="240" w:lineRule="exact"/>
    </w:pPr>
    <w:rPr>
      <w:rFonts w:ascii="Consolas" w:hAnsi="Consolas"/>
      <w:sz w:val="20"/>
      <w:szCs w:val="20"/>
    </w:rPr>
  </w:style>
  <w:style w:type="character" w:customStyle="1" w:styleId="TekstmakraZnak">
    <w:name w:val="Tekst makra Znak"/>
    <w:basedOn w:val="Domylnaczcionkaakapitu"/>
    <w:link w:val="Tekstmakra"/>
    <w:uiPriority w:val="99"/>
    <w:semiHidden/>
    <w:rsid w:val="00AC494C"/>
    <w:rPr>
      <w:rFonts w:ascii="Consolas" w:hAnsi="Consolas"/>
      <w:sz w:val="20"/>
      <w:szCs w:val="20"/>
    </w:rPr>
  </w:style>
  <w:style w:type="paragraph" w:styleId="Tekstpodstawowy">
    <w:name w:val="Body Text"/>
    <w:basedOn w:val="Normalny"/>
    <w:link w:val="TekstpodstawowyZnak"/>
    <w:uiPriority w:val="99"/>
    <w:semiHidden/>
    <w:unhideWhenUsed/>
    <w:rsid w:val="00AC494C"/>
  </w:style>
  <w:style w:type="character" w:customStyle="1" w:styleId="TekstpodstawowyZnak">
    <w:name w:val="Tekst podstawowy Znak"/>
    <w:basedOn w:val="Domylnaczcionkaakapitu"/>
    <w:link w:val="Tekstpodstawowy"/>
    <w:uiPriority w:val="99"/>
    <w:semiHidden/>
    <w:rsid w:val="00AC494C"/>
    <w:rPr>
      <w:rFonts w:ascii="Fira Sans" w:hAnsi="Fira Sans"/>
      <w:sz w:val="19"/>
    </w:rPr>
  </w:style>
  <w:style w:type="paragraph" w:styleId="Tekstpodstawowy2">
    <w:name w:val="Body Text 2"/>
    <w:basedOn w:val="Normalny"/>
    <w:link w:val="Tekstpodstawowy2Znak"/>
    <w:uiPriority w:val="99"/>
    <w:semiHidden/>
    <w:unhideWhenUsed/>
    <w:rsid w:val="00AC494C"/>
    <w:pPr>
      <w:spacing w:line="480" w:lineRule="auto"/>
    </w:pPr>
  </w:style>
  <w:style w:type="character" w:customStyle="1" w:styleId="Tekstpodstawowy2Znak">
    <w:name w:val="Tekst podstawowy 2 Znak"/>
    <w:basedOn w:val="Domylnaczcionkaakapitu"/>
    <w:link w:val="Tekstpodstawowy2"/>
    <w:uiPriority w:val="99"/>
    <w:semiHidden/>
    <w:rsid w:val="00AC494C"/>
    <w:rPr>
      <w:rFonts w:ascii="Fira Sans" w:hAnsi="Fira Sans"/>
      <w:sz w:val="19"/>
    </w:rPr>
  </w:style>
  <w:style w:type="paragraph" w:styleId="Tekstpodstawowy3">
    <w:name w:val="Body Text 3"/>
    <w:basedOn w:val="Normalny"/>
    <w:link w:val="Tekstpodstawowy3Znak"/>
    <w:uiPriority w:val="99"/>
    <w:semiHidden/>
    <w:unhideWhenUsed/>
    <w:rsid w:val="00AC494C"/>
    <w:rPr>
      <w:sz w:val="16"/>
      <w:szCs w:val="16"/>
    </w:rPr>
  </w:style>
  <w:style w:type="character" w:customStyle="1" w:styleId="Tekstpodstawowy3Znak">
    <w:name w:val="Tekst podstawowy 3 Znak"/>
    <w:basedOn w:val="Domylnaczcionkaakapitu"/>
    <w:link w:val="Tekstpodstawowy3"/>
    <w:uiPriority w:val="99"/>
    <w:semiHidden/>
    <w:rsid w:val="00AC494C"/>
    <w:rPr>
      <w:rFonts w:ascii="Fira Sans" w:hAnsi="Fira Sans"/>
      <w:sz w:val="16"/>
      <w:szCs w:val="16"/>
    </w:rPr>
  </w:style>
  <w:style w:type="paragraph" w:styleId="Tekstpodstawowywcity">
    <w:name w:val="Body Text Indent"/>
    <w:basedOn w:val="Normalny"/>
    <w:link w:val="TekstpodstawowywcityZnak"/>
    <w:uiPriority w:val="99"/>
    <w:semiHidden/>
    <w:unhideWhenUsed/>
    <w:rsid w:val="00AC494C"/>
    <w:pPr>
      <w:ind w:left="283"/>
    </w:pPr>
  </w:style>
  <w:style w:type="character" w:customStyle="1" w:styleId="TekstpodstawowywcityZnak">
    <w:name w:val="Tekst podstawowy wcięty Znak"/>
    <w:basedOn w:val="Domylnaczcionkaakapitu"/>
    <w:link w:val="Tekstpodstawowywcity"/>
    <w:uiPriority w:val="99"/>
    <w:semiHidden/>
    <w:rsid w:val="00AC494C"/>
    <w:rPr>
      <w:rFonts w:ascii="Fira Sans" w:hAnsi="Fira Sans"/>
      <w:sz w:val="19"/>
    </w:rPr>
  </w:style>
  <w:style w:type="paragraph" w:styleId="Tekstpodstawowywcity3">
    <w:name w:val="Body Text Indent 3"/>
    <w:basedOn w:val="Normalny"/>
    <w:link w:val="Tekstpodstawowywcity3Znak"/>
    <w:uiPriority w:val="99"/>
    <w:semiHidden/>
    <w:unhideWhenUsed/>
    <w:rsid w:val="00AC494C"/>
    <w:pPr>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AC494C"/>
    <w:rPr>
      <w:rFonts w:ascii="Fira Sans" w:hAnsi="Fira Sans"/>
      <w:sz w:val="16"/>
      <w:szCs w:val="16"/>
    </w:rPr>
  </w:style>
  <w:style w:type="paragraph" w:styleId="Tekstpodstawowyzwciciem">
    <w:name w:val="Body Text First Indent"/>
    <w:basedOn w:val="Tekstpodstawowy"/>
    <w:link w:val="TekstpodstawowyzwciciemZnak"/>
    <w:uiPriority w:val="99"/>
    <w:semiHidden/>
    <w:unhideWhenUsed/>
    <w:rsid w:val="00AC494C"/>
    <w:pPr>
      <w:ind w:firstLine="360"/>
    </w:pPr>
  </w:style>
  <w:style w:type="character" w:customStyle="1" w:styleId="TekstpodstawowyzwciciemZnak">
    <w:name w:val="Tekst podstawowy z wcięciem Znak"/>
    <w:basedOn w:val="TekstpodstawowyZnak"/>
    <w:link w:val="Tekstpodstawowyzwciciem"/>
    <w:uiPriority w:val="99"/>
    <w:semiHidden/>
    <w:rsid w:val="00AC494C"/>
    <w:rPr>
      <w:rFonts w:ascii="Fira Sans" w:hAnsi="Fira Sans"/>
      <w:sz w:val="19"/>
    </w:rPr>
  </w:style>
  <w:style w:type="paragraph" w:styleId="Tekstpodstawowyzwciciem2">
    <w:name w:val="Body Text First Indent 2"/>
    <w:basedOn w:val="Tekstpodstawowywcity"/>
    <w:link w:val="Tekstpodstawowyzwciciem2Znak"/>
    <w:uiPriority w:val="99"/>
    <w:semiHidden/>
    <w:unhideWhenUsed/>
    <w:rsid w:val="00AC494C"/>
    <w:pPr>
      <w:ind w:left="360" w:firstLine="360"/>
    </w:pPr>
  </w:style>
  <w:style w:type="character" w:customStyle="1" w:styleId="Tekstpodstawowyzwciciem2Znak">
    <w:name w:val="Tekst podstawowy z wcięciem 2 Znak"/>
    <w:basedOn w:val="TekstpodstawowywcityZnak"/>
    <w:link w:val="Tekstpodstawowyzwciciem2"/>
    <w:uiPriority w:val="99"/>
    <w:semiHidden/>
    <w:rsid w:val="00AC494C"/>
    <w:rPr>
      <w:rFonts w:ascii="Fira Sans" w:hAnsi="Fira Sans"/>
      <w:sz w:val="19"/>
    </w:rPr>
  </w:style>
  <w:style w:type="paragraph" w:styleId="Tekstprzypisukocowego">
    <w:name w:val="endnote text"/>
    <w:basedOn w:val="Normalny"/>
    <w:link w:val="TekstprzypisukocowegoZnak"/>
    <w:uiPriority w:val="99"/>
    <w:semiHidden/>
    <w:unhideWhenUsed/>
    <w:rsid w:val="00AC494C"/>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C494C"/>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AC494C"/>
    <w:rPr>
      <w:b/>
      <w:bCs/>
    </w:rPr>
  </w:style>
  <w:style w:type="character" w:customStyle="1" w:styleId="TematkomentarzaZnak">
    <w:name w:val="Temat komentarza Znak"/>
    <w:basedOn w:val="TekstkomentarzaZnak"/>
    <w:link w:val="Tematkomentarza"/>
    <w:uiPriority w:val="99"/>
    <w:semiHidden/>
    <w:rsid w:val="00AC494C"/>
    <w:rPr>
      <w:rFonts w:ascii="Fira Sans" w:hAnsi="Fira Sans"/>
      <w:b/>
      <w:bCs/>
      <w:sz w:val="20"/>
      <w:szCs w:val="20"/>
    </w:rPr>
  </w:style>
  <w:style w:type="paragraph" w:styleId="Tytu">
    <w:name w:val="Title"/>
    <w:basedOn w:val="Normalny"/>
    <w:next w:val="Normalny"/>
    <w:link w:val="TytuZnak"/>
    <w:uiPriority w:val="10"/>
    <w:qFormat/>
    <w:rsid w:val="00AC494C"/>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AC494C"/>
    <w:rPr>
      <w:rFonts w:asciiTheme="majorHAnsi" w:eastAsiaTheme="majorEastAsia" w:hAnsiTheme="majorHAnsi" w:cstheme="majorBidi"/>
      <w:spacing w:val="-10"/>
      <w:kern w:val="28"/>
      <w:sz w:val="56"/>
      <w:szCs w:val="56"/>
    </w:rPr>
  </w:style>
  <w:style w:type="paragraph" w:styleId="Wcicienormalne">
    <w:name w:val="Normal Indent"/>
    <w:basedOn w:val="Normalny"/>
    <w:uiPriority w:val="99"/>
    <w:semiHidden/>
    <w:unhideWhenUsed/>
    <w:rsid w:val="00AC494C"/>
    <w:pPr>
      <w:ind w:left="708"/>
    </w:pPr>
  </w:style>
  <w:style w:type="paragraph" w:styleId="Wykazrde">
    <w:name w:val="table of authorities"/>
    <w:basedOn w:val="Normalny"/>
    <w:next w:val="Normalny"/>
    <w:uiPriority w:val="99"/>
    <w:semiHidden/>
    <w:unhideWhenUsed/>
    <w:rsid w:val="00AC494C"/>
    <w:pPr>
      <w:spacing w:after="0"/>
      <w:ind w:left="190" w:hanging="190"/>
    </w:pPr>
  </w:style>
  <w:style w:type="paragraph" w:styleId="Zwrotgrzecznociowy">
    <w:name w:val="Salutation"/>
    <w:basedOn w:val="Normalny"/>
    <w:next w:val="Normalny"/>
    <w:link w:val="ZwrotgrzecznociowyZnak"/>
    <w:uiPriority w:val="99"/>
    <w:semiHidden/>
    <w:unhideWhenUsed/>
    <w:rsid w:val="00AC494C"/>
  </w:style>
  <w:style w:type="character" w:customStyle="1" w:styleId="ZwrotgrzecznociowyZnak">
    <w:name w:val="Zwrot grzecznościowy Znak"/>
    <w:basedOn w:val="Domylnaczcionkaakapitu"/>
    <w:link w:val="Zwrotgrzecznociowy"/>
    <w:uiPriority w:val="99"/>
    <w:semiHidden/>
    <w:rsid w:val="00AC494C"/>
    <w:rPr>
      <w:rFonts w:ascii="Fira Sans" w:hAnsi="Fira Sans"/>
      <w:sz w:val="19"/>
    </w:rPr>
  </w:style>
  <w:style w:type="paragraph" w:styleId="Zwrotpoegnalny">
    <w:name w:val="Closing"/>
    <w:basedOn w:val="Normalny"/>
    <w:link w:val="ZwrotpoegnalnyZnak"/>
    <w:uiPriority w:val="99"/>
    <w:semiHidden/>
    <w:unhideWhenUsed/>
    <w:rsid w:val="00AC494C"/>
    <w:pPr>
      <w:spacing w:before="0" w:after="0" w:line="240" w:lineRule="auto"/>
      <w:ind w:left="4252"/>
    </w:pPr>
  </w:style>
  <w:style w:type="character" w:customStyle="1" w:styleId="ZwrotpoegnalnyZnak">
    <w:name w:val="Zwrot pożegnalny Znak"/>
    <w:basedOn w:val="Domylnaczcionkaakapitu"/>
    <w:link w:val="Zwrotpoegnalny"/>
    <w:uiPriority w:val="99"/>
    <w:semiHidden/>
    <w:rsid w:val="00AC494C"/>
    <w:rPr>
      <w:rFonts w:ascii="Fira Sans" w:hAnsi="Fira Sans"/>
      <w:sz w:val="19"/>
    </w:rPr>
  </w:style>
  <w:style w:type="paragraph" w:styleId="Zwykytekst">
    <w:name w:val="Plain Text"/>
    <w:basedOn w:val="Normalny"/>
    <w:link w:val="ZwykytekstZnak"/>
    <w:uiPriority w:val="99"/>
    <w:semiHidden/>
    <w:unhideWhenUsed/>
    <w:rsid w:val="00AC494C"/>
    <w:pPr>
      <w:spacing w:before="0" w:after="0" w:line="240" w:lineRule="auto"/>
    </w:pPr>
    <w:rPr>
      <w:rFonts w:ascii="Consolas" w:hAnsi="Consolas"/>
      <w:sz w:val="21"/>
      <w:szCs w:val="21"/>
    </w:rPr>
  </w:style>
  <w:style w:type="character" w:customStyle="1" w:styleId="ZwykytekstZnak">
    <w:name w:val="Zwykły tekst Znak"/>
    <w:basedOn w:val="Domylnaczcionkaakapitu"/>
    <w:link w:val="Zwykytekst"/>
    <w:uiPriority w:val="99"/>
    <w:semiHidden/>
    <w:rsid w:val="00AC494C"/>
    <w:rPr>
      <w:rFonts w:ascii="Consolas" w:hAnsi="Consolas"/>
      <w:sz w:val="21"/>
      <w:szCs w:val="21"/>
    </w:rPr>
  </w:style>
  <w:style w:type="paragraph" w:customStyle="1" w:styleId="podt2">
    <w:name w:val="podt2"/>
    <w:basedOn w:val="Nagwek2"/>
    <w:qFormat/>
    <w:rsid w:val="00D24A5D"/>
  </w:style>
  <w:style w:type="paragraph" w:customStyle="1" w:styleId="g6">
    <w:name w:val="g6"/>
    <w:basedOn w:val="g3"/>
    <w:autoRedefine/>
    <w:qFormat/>
    <w:rsid w:val="008B4132"/>
    <w:pPr>
      <w:ind w:left="346"/>
    </w:pPr>
  </w:style>
  <w:style w:type="character" w:styleId="Odwoanieprzypisukocowego">
    <w:name w:val="endnote reference"/>
    <w:basedOn w:val="Domylnaczcionkaakapitu"/>
    <w:uiPriority w:val="99"/>
    <w:semiHidden/>
    <w:unhideWhenUsed/>
    <w:rsid w:val="001136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99832">
      <w:bodyDiv w:val="1"/>
      <w:marLeft w:val="0"/>
      <w:marRight w:val="0"/>
      <w:marTop w:val="0"/>
      <w:marBottom w:val="0"/>
      <w:divBdr>
        <w:top w:val="none" w:sz="0" w:space="0" w:color="auto"/>
        <w:left w:val="none" w:sz="0" w:space="0" w:color="auto"/>
        <w:bottom w:val="none" w:sz="0" w:space="0" w:color="auto"/>
        <w:right w:val="none" w:sz="0" w:space="0" w:color="auto"/>
      </w:divBdr>
    </w:div>
    <w:div w:id="17396494">
      <w:bodyDiv w:val="1"/>
      <w:marLeft w:val="0"/>
      <w:marRight w:val="0"/>
      <w:marTop w:val="0"/>
      <w:marBottom w:val="0"/>
      <w:divBdr>
        <w:top w:val="none" w:sz="0" w:space="0" w:color="auto"/>
        <w:left w:val="none" w:sz="0" w:space="0" w:color="auto"/>
        <w:bottom w:val="none" w:sz="0" w:space="0" w:color="auto"/>
        <w:right w:val="none" w:sz="0" w:space="0" w:color="auto"/>
      </w:divBdr>
    </w:div>
    <w:div w:id="34426953">
      <w:bodyDiv w:val="1"/>
      <w:marLeft w:val="0"/>
      <w:marRight w:val="0"/>
      <w:marTop w:val="0"/>
      <w:marBottom w:val="0"/>
      <w:divBdr>
        <w:top w:val="none" w:sz="0" w:space="0" w:color="auto"/>
        <w:left w:val="none" w:sz="0" w:space="0" w:color="auto"/>
        <w:bottom w:val="none" w:sz="0" w:space="0" w:color="auto"/>
        <w:right w:val="none" w:sz="0" w:space="0" w:color="auto"/>
      </w:divBdr>
    </w:div>
    <w:div w:id="47190787">
      <w:bodyDiv w:val="1"/>
      <w:marLeft w:val="0"/>
      <w:marRight w:val="0"/>
      <w:marTop w:val="0"/>
      <w:marBottom w:val="0"/>
      <w:divBdr>
        <w:top w:val="none" w:sz="0" w:space="0" w:color="auto"/>
        <w:left w:val="none" w:sz="0" w:space="0" w:color="auto"/>
        <w:bottom w:val="none" w:sz="0" w:space="0" w:color="auto"/>
        <w:right w:val="none" w:sz="0" w:space="0" w:color="auto"/>
      </w:divBdr>
    </w:div>
    <w:div w:id="62485119">
      <w:bodyDiv w:val="1"/>
      <w:marLeft w:val="0"/>
      <w:marRight w:val="0"/>
      <w:marTop w:val="0"/>
      <w:marBottom w:val="0"/>
      <w:divBdr>
        <w:top w:val="none" w:sz="0" w:space="0" w:color="auto"/>
        <w:left w:val="none" w:sz="0" w:space="0" w:color="auto"/>
        <w:bottom w:val="none" w:sz="0" w:space="0" w:color="auto"/>
        <w:right w:val="none" w:sz="0" w:space="0" w:color="auto"/>
      </w:divBdr>
    </w:div>
    <w:div w:id="63840003">
      <w:bodyDiv w:val="1"/>
      <w:marLeft w:val="0"/>
      <w:marRight w:val="0"/>
      <w:marTop w:val="0"/>
      <w:marBottom w:val="0"/>
      <w:divBdr>
        <w:top w:val="none" w:sz="0" w:space="0" w:color="auto"/>
        <w:left w:val="none" w:sz="0" w:space="0" w:color="auto"/>
        <w:bottom w:val="none" w:sz="0" w:space="0" w:color="auto"/>
        <w:right w:val="none" w:sz="0" w:space="0" w:color="auto"/>
      </w:divBdr>
    </w:div>
    <w:div w:id="80563498">
      <w:bodyDiv w:val="1"/>
      <w:marLeft w:val="0"/>
      <w:marRight w:val="0"/>
      <w:marTop w:val="0"/>
      <w:marBottom w:val="0"/>
      <w:divBdr>
        <w:top w:val="none" w:sz="0" w:space="0" w:color="auto"/>
        <w:left w:val="none" w:sz="0" w:space="0" w:color="auto"/>
        <w:bottom w:val="none" w:sz="0" w:space="0" w:color="auto"/>
        <w:right w:val="none" w:sz="0" w:space="0" w:color="auto"/>
      </w:divBdr>
    </w:div>
    <w:div w:id="83260788">
      <w:bodyDiv w:val="1"/>
      <w:marLeft w:val="0"/>
      <w:marRight w:val="0"/>
      <w:marTop w:val="0"/>
      <w:marBottom w:val="0"/>
      <w:divBdr>
        <w:top w:val="none" w:sz="0" w:space="0" w:color="auto"/>
        <w:left w:val="none" w:sz="0" w:space="0" w:color="auto"/>
        <w:bottom w:val="none" w:sz="0" w:space="0" w:color="auto"/>
        <w:right w:val="none" w:sz="0" w:space="0" w:color="auto"/>
      </w:divBdr>
    </w:div>
    <w:div w:id="105975779">
      <w:bodyDiv w:val="1"/>
      <w:marLeft w:val="0"/>
      <w:marRight w:val="0"/>
      <w:marTop w:val="0"/>
      <w:marBottom w:val="0"/>
      <w:divBdr>
        <w:top w:val="none" w:sz="0" w:space="0" w:color="auto"/>
        <w:left w:val="none" w:sz="0" w:space="0" w:color="auto"/>
        <w:bottom w:val="none" w:sz="0" w:space="0" w:color="auto"/>
        <w:right w:val="none" w:sz="0" w:space="0" w:color="auto"/>
      </w:divBdr>
    </w:div>
    <w:div w:id="108597886">
      <w:bodyDiv w:val="1"/>
      <w:marLeft w:val="0"/>
      <w:marRight w:val="0"/>
      <w:marTop w:val="0"/>
      <w:marBottom w:val="0"/>
      <w:divBdr>
        <w:top w:val="none" w:sz="0" w:space="0" w:color="auto"/>
        <w:left w:val="none" w:sz="0" w:space="0" w:color="auto"/>
        <w:bottom w:val="none" w:sz="0" w:space="0" w:color="auto"/>
        <w:right w:val="none" w:sz="0" w:space="0" w:color="auto"/>
      </w:divBdr>
    </w:div>
    <w:div w:id="122575990">
      <w:bodyDiv w:val="1"/>
      <w:marLeft w:val="0"/>
      <w:marRight w:val="0"/>
      <w:marTop w:val="0"/>
      <w:marBottom w:val="0"/>
      <w:divBdr>
        <w:top w:val="none" w:sz="0" w:space="0" w:color="auto"/>
        <w:left w:val="none" w:sz="0" w:space="0" w:color="auto"/>
        <w:bottom w:val="none" w:sz="0" w:space="0" w:color="auto"/>
        <w:right w:val="none" w:sz="0" w:space="0" w:color="auto"/>
      </w:divBdr>
    </w:div>
    <w:div w:id="126777494">
      <w:bodyDiv w:val="1"/>
      <w:marLeft w:val="0"/>
      <w:marRight w:val="0"/>
      <w:marTop w:val="0"/>
      <w:marBottom w:val="0"/>
      <w:divBdr>
        <w:top w:val="none" w:sz="0" w:space="0" w:color="auto"/>
        <w:left w:val="none" w:sz="0" w:space="0" w:color="auto"/>
        <w:bottom w:val="none" w:sz="0" w:space="0" w:color="auto"/>
        <w:right w:val="none" w:sz="0" w:space="0" w:color="auto"/>
      </w:divBdr>
    </w:div>
    <w:div w:id="130294321">
      <w:bodyDiv w:val="1"/>
      <w:marLeft w:val="0"/>
      <w:marRight w:val="0"/>
      <w:marTop w:val="0"/>
      <w:marBottom w:val="0"/>
      <w:divBdr>
        <w:top w:val="none" w:sz="0" w:space="0" w:color="auto"/>
        <w:left w:val="none" w:sz="0" w:space="0" w:color="auto"/>
        <w:bottom w:val="none" w:sz="0" w:space="0" w:color="auto"/>
        <w:right w:val="none" w:sz="0" w:space="0" w:color="auto"/>
      </w:divBdr>
    </w:div>
    <w:div w:id="132720719">
      <w:bodyDiv w:val="1"/>
      <w:marLeft w:val="0"/>
      <w:marRight w:val="0"/>
      <w:marTop w:val="0"/>
      <w:marBottom w:val="0"/>
      <w:divBdr>
        <w:top w:val="none" w:sz="0" w:space="0" w:color="auto"/>
        <w:left w:val="none" w:sz="0" w:space="0" w:color="auto"/>
        <w:bottom w:val="none" w:sz="0" w:space="0" w:color="auto"/>
        <w:right w:val="none" w:sz="0" w:space="0" w:color="auto"/>
      </w:divBdr>
    </w:div>
    <w:div w:id="132842053">
      <w:bodyDiv w:val="1"/>
      <w:marLeft w:val="0"/>
      <w:marRight w:val="0"/>
      <w:marTop w:val="0"/>
      <w:marBottom w:val="0"/>
      <w:divBdr>
        <w:top w:val="none" w:sz="0" w:space="0" w:color="auto"/>
        <w:left w:val="none" w:sz="0" w:space="0" w:color="auto"/>
        <w:bottom w:val="none" w:sz="0" w:space="0" w:color="auto"/>
        <w:right w:val="none" w:sz="0" w:space="0" w:color="auto"/>
      </w:divBdr>
    </w:div>
    <w:div w:id="175927104">
      <w:bodyDiv w:val="1"/>
      <w:marLeft w:val="0"/>
      <w:marRight w:val="0"/>
      <w:marTop w:val="0"/>
      <w:marBottom w:val="0"/>
      <w:divBdr>
        <w:top w:val="none" w:sz="0" w:space="0" w:color="auto"/>
        <w:left w:val="none" w:sz="0" w:space="0" w:color="auto"/>
        <w:bottom w:val="none" w:sz="0" w:space="0" w:color="auto"/>
        <w:right w:val="none" w:sz="0" w:space="0" w:color="auto"/>
      </w:divBdr>
    </w:div>
    <w:div w:id="177081454">
      <w:bodyDiv w:val="1"/>
      <w:marLeft w:val="0"/>
      <w:marRight w:val="0"/>
      <w:marTop w:val="0"/>
      <w:marBottom w:val="0"/>
      <w:divBdr>
        <w:top w:val="none" w:sz="0" w:space="0" w:color="auto"/>
        <w:left w:val="none" w:sz="0" w:space="0" w:color="auto"/>
        <w:bottom w:val="none" w:sz="0" w:space="0" w:color="auto"/>
        <w:right w:val="none" w:sz="0" w:space="0" w:color="auto"/>
      </w:divBdr>
    </w:div>
    <w:div w:id="177238361">
      <w:bodyDiv w:val="1"/>
      <w:marLeft w:val="0"/>
      <w:marRight w:val="0"/>
      <w:marTop w:val="0"/>
      <w:marBottom w:val="0"/>
      <w:divBdr>
        <w:top w:val="none" w:sz="0" w:space="0" w:color="auto"/>
        <w:left w:val="none" w:sz="0" w:space="0" w:color="auto"/>
        <w:bottom w:val="none" w:sz="0" w:space="0" w:color="auto"/>
        <w:right w:val="none" w:sz="0" w:space="0" w:color="auto"/>
      </w:divBdr>
    </w:div>
    <w:div w:id="186330124">
      <w:bodyDiv w:val="1"/>
      <w:marLeft w:val="0"/>
      <w:marRight w:val="0"/>
      <w:marTop w:val="0"/>
      <w:marBottom w:val="0"/>
      <w:divBdr>
        <w:top w:val="none" w:sz="0" w:space="0" w:color="auto"/>
        <w:left w:val="none" w:sz="0" w:space="0" w:color="auto"/>
        <w:bottom w:val="none" w:sz="0" w:space="0" w:color="auto"/>
        <w:right w:val="none" w:sz="0" w:space="0" w:color="auto"/>
      </w:divBdr>
    </w:div>
    <w:div w:id="189223558">
      <w:bodyDiv w:val="1"/>
      <w:marLeft w:val="0"/>
      <w:marRight w:val="0"/>
      <w:marTop w:val="0"/>
      <w:marBottom w:val="0"/>
      <w:divBdr>
        <w:top w:val="none" w:sz="0" w:space="0" w:color="auto"/>
        <w:left w:val="none" w:sz="0" w:space="0" w:color="auto"/>
        <w:bottom w:val="none" w:sz="0" w:space="0" w:color="auto"/>
        <w:right w:val="none" w:sz="0" w:space="0" w:color="auto"/>
      </w:divBdr>
    </w:div>
    <w:div w:id="191042591">
      <w:bodyDiv w:val="1"/>
      <w:marLeft w:val="0"/>
      <w:marRight w:val="0"/>
      <w:marTop w:val="0"/>
      <w:marBottom w:val="0"/>
      <w:divBdr>
        <w:top w:val="none" w:sz="0" w:space="0" w:color="auto"/>
        <w:left w:val="none" w:sz="0" w:space="0" w:color="auto"/>
        <w:bottom w:val="none" w:sz="0" w:space="0" w:color="auto"/>
        <w:right w:val="none" w:sz="0" w:space="0" w:color="auto"/>
      </w:divBdr>
    </w:div>
    <w:div w:id="203292951">
      <w:bodyDiv w:val="1"/>
      <w:marLeft w:val="0"/>
      <w:marRight w:val="0"/>
      <w:marTop w:val="0"/>
      <w:marBottom w:val="0"/>
      <w:divBdr>
        <w:top w:val="none" w:sz="0" w:space="0" w:color="auto"/>
        <w:left w:val="none" w:sz="0" w:space="0" w:color="auto"/>
        <w:bottom w:val="none" w:sz="0" w:space="0" w:color="auto"/>
        <w:right w:val="none" w:sz="0" w:space="0" w:color="auto"/>
      </w:divBdr>
    </w:div>
    <w:div w:id="209584308">
      <w:bodyDiv w:val="1"/>
      <w:marLeft w:val="0"/>
      <w:marRight w:val="0"/>
      <w:marTop w:val="0"/>
      <w:marBottom w:val="0"/>
      <w:divBdr>
        <w:top w:val="none" w:sz="0" w:space="0" w:color="auto"/>
        <w:left w:val="none" w:sz="0" w:space="0" w:color="auto"/>
        <w:bottom w:val="none" w:sz="0" w:space="0" w:color="auto"/>
        <w:right w:val="none" w:sz="0" w:space="0" w:color="auto"/>
      </w:divBdr>
    </w:div>
    <w:div w:id="264922452">
      <w:bodyDiv w:val="1"/>
      <w:marLeft w:val="0"/>
      <w:marRight w:val="0"/>
      <w:marTop w:val="0"/>
      <w:marBottom w:val="0"/>
      <w:divBdr>
        <w:top w:val="none" w:sz="0" w:space="0" w:color="auto"/>
        <w:left w:val="none" w:sz="0" w:space="0" w:color="auto"/>
        <w:bottom w:val="none" w:sz="0" w:space="0" w:color="auto"/>
        <w:right w:val="none" w:sz="0" w:space="0" w:color="auto"/>
      </w:divBdr>
    </w:div>
    <w:div w:id="331638650">
      <w:bodyDiv w:val="1"/>
      <w:marLeft w:val="0"/>
      <w:marRight w:val="0"/>
      <w:marTop w:val="0"/>
      <w:marBottom w:val="0"/>
      <w:divBdr>
        <w:top w:val="none" w:sz="0" w:space="0" w:color="auto"/>
        <w:left w:val="none" w:sz="0" w:space="0" w:color="auto"/>
        <w:bottom w:val="none" w:sz="0" w:space="0" w:color="auto"/>
        <w:right w:val="none" w:sz="0" w:space="0" w:color="auto"/>
      </w:divBdr>
    </w:div>
    <w:div w:id="355498015">
      <w:bodyDiv w:val="1"/>
      <w:marLeft w:val="0"/>
      <w:marRight w:val="0"/>
      <w:marTop w:val="0"/>
      <w:marBottom w:val="0"/>
      <w:divBdr>
        <w:top w:val="none" w:sz="0" w:space="0" w:color="auto"/>
        <w:left w:val="none" w:sz="0" w:space="0" w:color="auto"/>
        <w:bottom w:val="none" w:sz="0" w:space="0" w:color="auto"/>
        <w:right w:val="none" w:sz="0" w:space="0" w:color="auto"/>
      </w:divBdr>
    </w:div>
    <w:div w:id="361437302">
      <w:bodyDiv w:val="1"/>
      <w:marLeft w:val="0"/>
      <w:marRight w:val="0"/>
      <w:marTop w:val="0"/>
      <w:marBottom w:val="0"/>
      <w:divBdr>
        <w:top w:val="none" w:sz="0" w:space="0" w:color="auto"/>
        <w:left w:val="none" w:sz="0" w:space="0" w:color="auto"/>
        <w:bottom w:val="none" w:sz="0" w:space="0" w:color="auto"/>
        <w:right w:val="none" w:sz="0" w:space="0" w:color="auto"/>
      </w:divBdr>
    </w:div>
    <w:div w:id="367996119">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372464303">
      <w:bodyDiv w:val="1"/>
      <w:marLeft w:val="0"/>
      <w:marRight w:val="0"/>
      <w:marTop w:val="0"/>
      <w:marBottom w:val="0"/>
      <w:divBdr>
        <w:top w:val="none" w:sz="0" w:space="0" w:color="auto"/>
        <w:left w:val="none" w:sz="0" w:space="0" w:color="auto"/>
        <w:bottom w:val="none" w:sz="0" w:space="0" w:color="auto"/>
        <w:right w:val="none" w:sz="0" w:space="0" w:color="auto"/>
      </w:divBdr>
    </w:div>
    <w:div w:id="381485960">
      <w:bodyDiv w:val="1"/>
      <w:marLeft w:val="0"/>
      <w:marRight w:val="0"/>
      <w:marTop w:val="0"/>
      <w:marBottom w:val="0"/>
      <w:divBdr>
        <w:top w:val="none" w:sz="0" w:space="0" w:color="auto"/>
        <w:left w:val="none" w:sz="0" w:space="0" w:color="auto"/>
        <w:bottom w:val="none" w:sz="0" w:space="0" w:color="auto"/>
        <w:right w:val="none" w:sz="0" w:space="0" w:color="auto"/>
      </w:divBdr>
    </w:div>
    <w:div w:id="385031345">
      <w:bodyDiv w:val="1"/>
      <w:marLeft w:val="0"/>
      <w:marRight w:val="0"/>
      <w:marTop w:val="0"/>
      <w:marBottom w:val="0"/>
      <w:divBdr>
        <w:top w:val="none" w:sz="0" w:space="0" w:color="auto"/>
        <w:left w:val="none" w:sz="0" w:space="0" w:color="auto"/>
        <w:bottom w:val="none" w:sz="0" w:space="0" w:color="auto"/>
        <w:right w:val="none" w:sz="0" w:space="0" w:color="auto"/>
      </w:divBdr>
    </w:div>
    <w:div w:id="395469506">
      <w:bodyDiv w:val="1"/>
      <w:marLeft w:val="0"/>
      <w:marRight w:val="0"/>
      <w:marTop w:val="0"/>
      <w:marBottom w:val="0"/>
      <w:divBdr>
        <w:top w:val="none" w:sz="0" w:space="0" w:color="auto"/>
        <w:left w:val="none" w:sz="0" w:space="0" w:color="auto"/>
        <w:bottom w:val="none" w:sz="0" w:space="0" w:color="auto"/>
        <w:right w:val="none" w:sz="0" w:space="0" w:color="auto"/>
      </w:divBdr>
    </w:div>
    <w:div w:id="412550743">
      <w:bodyDiv w:val="1"/>
      <w:marLeft w:val="0"/>
      <w:marRight w:val="0"/>
      <w:marTop w:val="0"/>
      <w:marBottom w:val="0"/>
      <w:divBdr>
        <w:top w:val="none" w:sz="0" w:space="0" w:color="auto"/>
        <w:left w:val="none" w:sz="0" w:space="0" w:color="auto"/>
        <w:bottom w:val="none" w:sz="0" w:space="0" w:color="auto"/>
        <w:right w:val="none" w:sz="0" w:space="0" w:color="auto"/>
      </w:divBdr>
    </w:div>
    <w:div w:id="414742468">
      <w:bodyDiv w:val="1"/>
      <w:marLeft w:val="0"/>
      <w:marRight w:val="0"/>
      <w:marTop w:val="0"/>
      <w:marBottom w:val="0"/>
      <w:divBdr>
        <w:top w:val="none" w:sz="0" w:space="0" w:color="auto"/>
        <w:left w:val="none" w:sz="0" w:space="0" w:color="auto"/>
        <w:bottom w:val="none" w:sz="0" w:space="0" w:color="auto"/>
        <w:right w:val="none" w:sz="0" w:space="0" w:color="auto"/>
      </w:divBdr>
    </w:div>
    <w:div w:id="421804532">
      <w:bodyDiv w:val="1"/>
      <w:marLeft w:val="0"/>
      <w:marRight w:val="0"/>
      <w:marTop w:val="0"/>
      <w:marBottom w:val="0"/>
      <w:divBdr>
        <w:top w:val="none" w:sz="0" w:space="0" w:color="auto"/>
        <w:left w:val="none" w:sz="0" w:space="0" w:color="auto"/>
        <w:bottom w:val="none" w:sz="0" w:space="0" w:color="auto"/>
        <w:right w:val="none" w:sz="0" w:space="0" w:color="auto"/>
      </w:divBdr>
    </w:div>
    <w:div w:id="436678224">
      <w:bodyDiv w:val="1"/>
      <w:marLeft w:val="0"/>
      <w:marRight w:val="0"/>
      <w:marTop w:val="0"/>
      <w:marBottom w:val="0"/>
      <w:divBdr>
        <w:top w:val="none" w:sz="0" w:space="0" w:color="auto"/>
        <w:left w:val="none" w:sz="0" w:space="0" w:color="auto"/>
        <w:bottom w:val="none" w:sz="0" w:space="0" w:color="auto"/>
        <w:right w:val="none" w:sz="0" w:space="0" w:color="auto"/>
      </w:divBdr>
    </w:div>
    <w:div w:id="446389090">
      <w:bodyDiv w:val="1"/>
      <w:marLeft w:val="0"/>
      <w:marRight w:val="0"/>
      <w:marTop w:val="0"/>
      <w:marBottom w:val="0"/>
      <w:divBdr>
        <w:top w:val="none" w:sz="0" w:space="0" w:color="auto"/>
        <w:left w:val="none" w:sz="0" w:space="0" w:color="auto"/>
        <w:bottom w:val="none" w:sz="0" w:space="0" w:color="auto"/>
        <w:right w:val="none" w:sz="0" w:space="0" w:color="auto"/>
      </w:divBdr>
    </w:div>
    <w:div w:id="453863388">
      <w:bodyDiv w:val="1"/>
      <w:marLeft w:val="0"/>
      <w:marRight w:val="0"/>
      <w:marTop w:val="0"/>
      <w:marBottom w:val="0"/>
      <w:divBdr>
        <w:top w:val="none" w:sz="0" w:space="0" w:color="auto"/>
        <w:left w:val="none" w:sz="0" w:space="0" w:color="auto"/>
        <w:bottom w:val="none" w:sz="0" w:space="0" w:color="auto"/>
        <w:right w:val="none" w:sz="0" w:space="0" w:color="auto"/>
      </w:divBdr>
    </w:div>
    <w:div w:id="474492435">
      <w:bodyDiv w:val="1"/>
      <w:marLeft w:val="0"/>
      <w:marRight w:val="0"/>
      <w:marTop w:val="0"/>
      <w:marBottom w:val="0"/>
      <w:divBdr>
        <w:top w:val="none" w:sz="0" w:space="0" w:color="auto"/>
        <w:left w:val="none" w:sz="0" w:space="0" w:color="auto"/>
        <w:bottom w:val="none" w:sz="0" w:space="0" w:color="auto"/>
        <w:right w:val="none" w:sz="0" w:space="0" w:color="auto"/>
      </w:divBdr>
    </w:div>
    <w:div w:id="479078232">
      <w:bodyDiv w:val="1"/>
      <w:marLeft w:val="0"/>
      <w:marRight w:val="0"/>
      <w:marTop w:val="0"/>
      <w:marBottom w:val="0"/>
      <w:divBdr>
        <w:top w:val="none" w:sz="0" w:space="0" w:color="auto"/>
        <w:left w:val="none" w:sz="0" w:space="0" w:color="auto"/>
        <w:bottom w:val="none" w:sz="0" w:space="0" w:color="auto"/>
        <w:right w:val="none" w:sz="0" w:space="0" w:color="auto"/>
      </w:divBdr>
    </w:div>
    <w:div w:id="484517417">
      <w:bodyDiv w:val="1"/>
      <w:marLeft w:val="0"/>
      <w:marRight w:val="0"/>
      <w:marTop w:val="0"/>
      <w:marBottom w:val="0"/>
      <w:divBdr>
        <w:top w:val="none" w:sz="0" w:space="0" w:color="auto"/>
        <w:left w:val="none" w:sz="0" w:space="0" w:color="auto"/>
        <w:bottom w:val="none" w:sz="0" w:space="0" w:color="auto"/>
        <w:right w:val="none" w:sz="0" w:space="0" w:color="auto"/>
      </w:divBdr>
    </w:div>
    <w:div w:id="489369938">
      <w:bodyDiv w:val="1"/>
      <w:marLeft w:val="0"/>
      <w:marRight w:val="0"/>
      <w:marTop w:val="0"/>
      <w:marBottom w:val="0"/>
      <w:divBdr>
        <w:top w:val="none" w:sz="0" w:space="0" w:color="auto"/>
        <w:left w:val="none" w:sz="0" w:space="0" w:color="auto"/>
        <w:bottom w:val="none" w:sz="0" w:space="0" w:color="auto"/>
        <w:right w:val="none" w:sz="0" w:space="0" w:color="auto"/>
      </w:divBdr>
    </w:div>
    <w:div w:id="499201999">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10682713">
      <w:bodyDiv w:val="1"/>
      <w:marLeft w:val="0"/>
      <w:marRight w:val="0"/>
      <w:marTop w:val="0"/>
      <w:marBottom w:val="0"/>
      <w:divBdr>
        <w:top w:val="none" w:sz="0" w:space="0" w:color="auto"/>
        <w:left w:val="none" w:sz="0" w:space="0" w:color="auto"/>
        <w:bottom w:val="none" w:sz="0" w:space="0" w:color="auto"/>
        <w:right w:val="none" w:sz="0" w:space="0" w:color="auto"/>
      </w:divBdr>
    </w:div>
    <w:div w:id="532422583">
      <w:bodyDiv w:val="1"/>
      <w:marLeft w:val="0"/>
      <w:marRight w:val="0"/>
      <w:marTop w:val="0"/>
      <w:marBottom w:val="0"/>
      <w:divBdr>
        <w:top w:val="none" w:sz="0" w:space="0" w:color="auto"/>
        <w:left w:val="none" w:sz="0" w:space="0" w:color="auto"/>
        <w:bottom w:val="none" w:sz="0" w:space="0" w:color="auto"/>
        <w:right w:val="none" w:sz="0" w:space="0" w:color="auto"/>
      </w:divBdr>
    </w:div>
    <w:div w:id="534393734">
      <w:bodyDiv w:val="1"/>
      <w:marLeft w:val="0"/>
      <w:marRight w:val="0"/>
      <w:marTop w:val="0"/>
      <w:marBottom w:val="0"/>
      <w:divBdr>
        <w:top w:val="none" w:sz="0" w:space="0" w:color="auto"/>
        <w:left w:val="none" w:sz="0" w:space="0" w:color="auto"/>
        <w:bottom w:val="none" w:sz="0" w:space="0" w:color="auto"/>
        <w:right w:val="none" w:sz="0" w:space="0" w:color="auto"/>
      </w:divBdr>
    </w:div>
    <w:div w:id="552694185">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567888085">
      <w:bodyDiv w:val="1"/>
      <w:marLeft w:val="0"/>
      <w:marRight w:val="0"/>
      <w:marTop w:val="0"/>
      <w:marBottom w:val="0"/>
      <w:divBdr>
        <w:top w:val="none" w:sz="0" w:space="0" w:color="auto"/>
        <w:left w:val="none" w:sz="0" w:space="0" w:color="auto"/>
        <w:bottom w:val="none" w:sz="0" w:space="0" w:color="auto"/>
        <w:right w:val="none" w:sz="0" w:space="0" w:color="auto"/>
      </w:divBdr>
    </w:div>
    <w:div w:id="570046038">
      <w:bodyDiv w:val="1"/>
      <w:marLeft w:val="0"/>
      <w:marRight w:val="0"/>
      <w:marTop w:val="0"/>
      <w:marBottom w:val="0"/>
      <w:divBdr>
        <w:top w:val="none" w:sz="0" w:space="0" w:color="auto"/>
        <w:left w:val="none" w:sz="0" w:space="0" w:color="auto"/>
        <w:bottom w:val="none" w:sz="0" w:space="0" w:color="auto"/>
        <w:right w:val="none" w:sz="0" w:space="0" w:color="auto"/>
      </w:divBdr>
    </w:div>
    <w:div w:id="571164135">
      <w:bodyDiv w:val="1"/>
      <w:marLeft w:val="0"/>
      <w:marRight w:val="0"/>
      <w:marTop w:val="0"/>
      <w:marBottom w:val="0"/>
      <w:divBdr>
        <w:top w:val="none" w:sz="0" w:space="0" w:color="auto"/>
        <w:left w:val="none" w:sz="0" w:space="0" w:color="auto"/>
        <w:bottom w:val="none" w:sz="0" w:space="0" w:color="auto"/>
        <w:right w:val="none" w:sz="0" w:space="0" w:color="auto"/>
      </w:divBdr>
    </w:div>
    <w:div w:id="581986394">
      <w:bodyDiv w:val="1"/>
      <w:marLeft w:val="0"/>
      <w:marRight w:val="0"/>
      <w:marTop w:val="0"/>
      <w:marBottom w:val="0"/>
      <w:divBdr>
        <w:top w:val="none" w:sz="0" w:space="0" w:color="auto"/>
        <w:left w:val="none" w:sz="0" w:space="0" w:color="auto"/>
        <w:bottom w:val="none" w:sz="0" w:space="0" w:color="auto"/>
        <w:right w:val="none" w:sz="0" w:space="0" w:color="auto"/>
      </w:divBdr>
    </w:div>
    <w:div w:id="600260285">
      <w:bodyDiv w:val="1"/>
      <w:marLeft w:val="0"/>
      <w:marRight w:val="0"/>
      <w:marTop w:val="0"/>
      <w:marBottom w:val="0"/>
      <w:divBdr>
        <w:top w:val="none" w:sz="0" w:space="0" w:color="auto"/>
        <w:left w:val="none" w:sz="0" w:space="0" w:color="auto"/>
        <w:bottom w:val="none" w:sz="0" w:space="0" w:color="auto"/>
        <w:right w:val="none" w:sz="0" w:space="0" w:color="auto"/>
      </w:divBdr>
    </w:div>
    <w:div w:id="607733652">
      <w:bodyDiv w:val="1"/>
      <w:marLeft w:val="0"/>
      <w:marRight w:val="0"/>
      <w:marTop w:val="0"/>
      <w:marBottom w:val="0"/>
      <w:divBdr>
        <w:top w:val="none" w:sz="0" w:space="0" w:color="auto"/>
        <w:left w:val="none" w:sz="0" w:space="0" w:color="auto"/>
        <w:bottom w:val="none" w:sz="0" w:space="0" w:color="auto"/>
        <w:right w:val="none" w:sz="0" w:space="0" w:color="auto"/>
      </w:divBdr>
    </w:div>
    <w:div w:id="608507714">
      <w:bodyDiv w:val="1"/>
      <w:marLeft w:val="0"/>
      <w:marRight w:val="0"/>
      <w:marTop w:val="0"/>
      <w:marBottom w:val="0"/>
      <w:divBdr>
        <w:top w:val="none" w:sz="0" w:space="0" w:color="auto"/>
        <w:left w:val="none" w:sz="0" w:space="0" w:color="auto"/>
        <w:bottom w:val="none" w:sz="0" w:space="0" w:color="auto"/>
        <w:right w:val="none" w:sz="0" w:space="0" w:color="auto"/>
      </w:divBdr>
    </w:div>
    <w:div w:id="619528734">
      <w:bodyDiv w:val="1"/>
      <w:marLeft w:val="0"/>
      <w:marRight w:val="0"/>
      <w:marTop w:val="0"/>
      <w:marBottom w:val="0"/>
      <w:divBdr>
        <w:top w:val="none" w:sz="0" w:space="0" w:color="auto"/>
        <w:left w:val="none" w:sz="0" w:space="0" w:color="auto"/>
        <w:bottom w:val="none" w:sz="0" w:space="0" w:color="auto"/>
        <w:right w:val="none" w:sz="0" w:space="0" w:color="auto"/>
      </w:divBdr>
    </w:div>
    <w:div w:id="629626065">
      <w:bodyDiv w:val="1"/>
      <w:marLeft w:val="0"/>
      <w:marRight w:val="0"/>
      <w:marTop w:val="0"/>
      <w:marBottom w:val="0"/>
      <w:divBdr>
        <w:top w:val="none" w:sz="0" w:space="0" w:color="auto"/>
        <w:left w:val="none" w:sz="0" w:space="0" w:color="auto"/>
        <w:bottom w:val="none" w:sz="0" w:space="0" w:color="auto"/>
        <w:right w:val="none" w:sz="0" w:space="0" w:color="auto"/>
      </w:divBdr>
    </w:div>
    <w:div w:id="634330361">
      <w:bodyDiv w:val="1"/>
      <w:marLeft w:val="0"/>
      <w:marRight w:val="0"/>
      <w:marTop w:val="0"/>
      <w:marBottom w:val="0"/>
      <w:divBdr>
        <w:top w:val="none" w:sz="0" w:space="0" w:color="auto"/>
        <w:left w:val="none" w:sz="0" w:space="0" w:color="auto"/>
        <w:bottom w:val="none" w:sz="0" w:space="0" w:color="auto"/>
        <w:right w:val="none" w:sz="0" w:space="0" w:color="auto"/>
      </w:divBdr>
    </w:div>
    <w:div w:id="638002017">
      <w:bodyDiv w:val="1"/>
      <w:marLeft w:val="0"/>
      <w:marRight w:val="0"/>
      <w:marTop w:val="0"/>
      <w:marBottom w:val="0"/>
      <w:divBdr>
        <w:top w:val="none" w:sz="0" w:space="0" w:color="auto"/>
        <w:left w:val="none" w:sz="0" w:space="0" w:color="auto"/>
        <w:bottom w:val="none" w:sz="0" w:space="0" w:color="auto"/>
        <w:right w:val="none" w:sz="0" w:space="0" w:color="auto"/>
      </w:divBdr>
    </w:div>
    <w:div w:id="654263422">
      <w:bodyDiv w:val="1"/>
      <w:marLeft w:val="0"/>
      <w:marRight w:val="0"/>
      <w:marTop w:val="0"/>
      <w:marBottom w:val="0"/>
      <w:divBdr>
        <w:top w:val="none" w:sz="0" w:space="0" w:color="auto"/>
        <w:left w:val="none" w:sz="0" w:space="0" w:color="auto"/>
        <w:bottom w:val="none" w:sz="0" w:space="0" w:color="auto"/>
        <w:right w:val="none" w:sz="0" w:space="0" w:color="auto"/>
      </w:divBdr>
    </w:div>
    <w:div w:id="655457715">
      <w:bodyDiv w:val="1"/>
      <w:marLeft w:val="0"/>
      <w:marRight w:val="0"/>
      <w:marTop w:val="0"/>
      <w:marBottom w:val="0"/>
      <w:divBdr>
        <w:top w:val="none" w:sz="0" w:space="0" w:color="auto"/>
        <w:left w:val="none" w:sz="0" w:space="0" w:color="auto"/>
        <w:bottom w:val="none" w:sz="0" w:space="0" w:color="auto"/>
        <w:right w:val="none" w:sz="0" w:space="0" w:color="auto"/>
      </w:divBdr>
    </w:div>
    <w:div w:id="657658331">
      <w:bodyDiv w:val="1"/>
      <w:marLeft w:val="0"/>
      <w:marRight w:val="0"/>
      <w:marTop w:val="0"/>
      <w:marBottom w:val="0"/>
      <w:divBdr>
        <w:top w:val="none" w:sz="0" w:space="0" w:color="auto"/>
        <w:left w:val="none" w:sz="0" w:space="0" w:color="auto"/>
        <w:bottom w:val="none" w:sz="0" w:space="0" w:color="auto"/>
        <w:right w:val="none" w:sz="0" w:space="0" w:color="auto"/>
      </w:divBdr>
    </w:div>
    <w:div w:id="661665258">
      <w:bodyDiv w:val="1"/>
      <w:marLeft w:val="0"/>
      <w:marRight w:val="0"/>
      <w:marTop w:val="0"/>
      <w:marBottom w:val="0"/>
      <w:divBdr>
        <w:top w:val="none" w:sz="0" w:space="0" w:color="auto"/>
        <w:left w:val="none" w:sz="0" w:space="0" w:color="auto"/>
        <w:bottom w:val="none" w:sz="0" w:space="0" w:color="auto"/>
        <w:right w:val="none" w:sz="0" w:space="0" w:color="auto"/>
      </w:divBdr>
    </w:div>
    <w:div w:id="673730747">
      <w:bodyDiv w:val="1"/>
      <w:marLeft w:val="0"/>
      <w:marRight w:val="0"/>
      <w:marTop w:val="0"/>
      <w:marBottom w:val="0"/>
      <w:divBdr>
        <w:top w:val="none" w:sz="0" w:space="0" w:color="auto"/>
        <w:left w:val="none" w:sz="0" w:space="0" w:color="auto"/>
        <w:bottom w:val="none" w:sz="0" w:space="0" w:color="auto"/>
        <w:right w:val="none" w:sz="0" w:space="0" w:color="auto"/>
      </w:divBdr>
    </w:div>
    <w:div w:id="683440113">
      <w:bodyDiv w:val="1"/>
      <w:marLeft w:val="0"/>
      <w:marRight w:val="0"/>
      <w:marTop w:val="0"/>
      <w:marBottom w:val="0"/>
      <w:divBdr>
        <w:top w:val="none" w:sz="0" w:space="0" w:color="auto"/>
        <w:left w:val="none" w:sz="0" w:space="0" w:color="auto"/>
        <w:bottom w:val="none" w:sz="0" w:space="0" w:color="auto"/>
        <w:right w:val="none" w:sz="0" w:space="0" w:color="auto"/>
      </w:divBdr>
    </w:div>
    <w:div w:id="697507573">
      <w:bodyDiv w:val="1"/>
      <w:marLeft w:val="0"/>
      <w:marRight w:val="0"/>
      <w:marTop w:val="0"/>
      <w:marBottom w:val="0"/>
      <w:divBdr>
        <w:top w:val="none" w:sz="0" w:space="0" w:color="auto"/>
        <w:left w:val="none" w:sz="0" w:space="0" w:color="auto"/>
        <w:bottom w:val="none" w:sz="0" w:space="0" w:color="auto"/>
        <w:right w:val="none" w:sz="0" w:space="0" w:color="auto"/>
      </w:divBdr>
    </w:div>
    <w:div w:id="727460256">
      <w:bodyDiv w:val="1"/>
      <w:marLeft w:val="0"/>
      <w:marRight w:val="0"/>
      <w:marTop w:val="0"/>
      <w:marBottom w:val="0"/>
      <w:divBdr>
        <w:top w:val="none" w:sz="0" w:space="0" w:color="auto"/>
        <w:left w:val="none" w:sz="0" w:space="0" w:color="auto"/>
        <w:bottom w:val="none" w:sz="0" w:space="0" w:color="auto"/>
        <w:right w:val="none" w:sz="0" w:space="0" w:color="auto"/>
      </w:divBdr>
    </w:div>
    <w:div w:id="733049644">
      <w:bodyDiv w:val="1"/>
      <w:marLeft w:val="0"/>
      <w:marRight w:val="0"/>
      <w:marTop w:val="0"/>
      <w:marBottom w:val="0"/>
      <w:divBdr>
        <w:top w:val="none" w:sz="0" w:space="0" w:color="auto"/>
        <w:left w:val="none" w:sz="0" w:space="0" w:color="auto"/>
        <w:bottom w:val="none" w:sz="0" w:space="0" w:color="auto"/>
        <w:right w:val="none" w:sz="0" w:space="0" w:color="auto"/>
      </w:divBdr>
    </w:div>
    <w:div w:id="734476327">
      <w:bodyDiv w:val="1"/>
      <w:marLeft w:val="0"/>
      <w:marRight w:val="0"/>
      <w:marTop w:val="0"/>
      <w:marBottom w:val="0"/>
      <w:divBdr>
        <w:top w:val="none" w:sz="0" w:space="0" w:color="auto"/>
        <w:left w:val="none" w:sz="0" w:space="0" w:color="auto"/>
        <w:bottom w:val="none" w:sz="0" w:space="0" w:color="auto"/>
        <w:right w:val="none" w:sz="0" w:space="0" w:color="auto"/>
      </w:divBdr>
    </w:div>
    <w:div w:id="746726021">
      <w:bodyDiv w:val="1"/>
      <w:marLeft w:val="0"/>
      <w:marRight w:val="0"/>
      <w:marTop w:val="0"/>
      <w:marBottom w:val="0"/>
      <w:divBdr>
        <w:top w:val="none" w:sz="0" w:space="0" w:color="auto"/>
        <w:left w:val="none" w:sz="0" w:space="0" w:color="auto"/>
        <w:bottom w:val="none" w:sz="0" w:space="0" w:color="auto"/>
        <w:right w:val="none" w:sz="0" w:space="0" w:color="auto"/>
      </w:divBdr>
    </w:div>
    <w:div w:id="746732180">
      <w:bodyDiv w:val="1"/>
      <w:marLeft w:val="0"/>
      <w:marRight w:val="0"/>
      <w:marTop w:val="0"/>
      <w:marBottom w:val="0"/>
      <w:divBdr>
        <w:top w:val="none" w:sz="0" w:space="0" w:color="auto"/>
        <w:left w:val="none" w:sz="0" w:space="0" w:color="auto"/>
        <w:bottom w:val="none" w:sz="0" w:space="0" w:color="auto"/>
        <w:right w:val="none" w:sz="0" w:space="0" w:color="auto"/>
      </w:divBdr>
    </w:div>
    <w:div w:id="747461042">
      <w:bodyDiv w:val="1"/>
      <w:marLeft w:val="0"/>
      <w:marRight w:val="0"/>
      <w:marTop w:val="0"/>
      <w:marBottom w:val="0"/>
      <w:divBdr>
        <w:top w:val="none" w:sz="0" w:space="0" w:color="auto"/>
        <w:left w:val="none" w:sz="0" w:space="0" w:color="auto"/>
        <w:bottom w:val="none" w:sz="0" w:space="0" w:color="auto"/>
        <w:right w:val="none" w:sz="0" w:space="0" w:color="auto"/>
      </w:divBdr>
    </w:div>
    <w:div w:id="754860078">
      <w:bodyDiv w:val="1"/>
      <w:marLeft w:val="0"/>
      <w:marRight w:val="0"/>
      <w:marTop w:val="0"/>
      <w:marBottom w:val="0"/>
      <w:divBdr>
        <w:top w:val="none" w:sz="0" w:space="0" w:color="auto"/>
        <w:left w:val="none" w:sz="0" w:space="0" w:color="auto"/>
        <w:bottom w:val="none" w:sz="0" w:space="0" w:color="auto"/>
        <w:right w:val="none" w:sz="0" w:space="0" w:color="auto"/>
      </w:divBdr>
    </w:div>
    <w:div w:id="758256477">
      <w:bodyDiv w:val="1"/>
      <w:marLeft w:val="0"/>
      <w:marRight w:val="0"/>
      <w:marTop w:val="0"/>
      <w:marBottom w:val="0"/>
      <w:divBdr>
        <w:top w:val="none" w:sz="0" w:space="0" w:color="auto"/>
        <w:left w:val="none" w:sz="0" w:space="0" w:color="auto"/>
        <w:bottom w:val="none" w:sz="0" w:space="0" w:color="auto"/>
        <w:right w:val="none" w:sz="0" w:space="0" w:color="auto"/>
      </w:divBdr>
    </w:div>
    <w:div w:id="758329332">
      <w:bodyDiv w:val="1"/>
      <w:marLeft w:val="0"/>
      <w:marRight w:val="0"/>
      <w:marTop w:val="0"/>
      <w:marBottom w:val="0"/>
      <w:divBdr>
        <w:top w:val="none" w:sz="0" w:space="0" w:color="auto"/>
        <w:left w:val="none" w:sz="0" w:space="0" w:color="auto"/>
        <w:bottom w:val="none" w:sz="0" w:space="0" w:color="auto"/>
        <w:right w:val="none" w:sz="0" w:space="0" w:color="auto"/>
      </w:divBdr>
    </w:div>
    <w:div w:id="761991437">
      <w:bodyDiv w:val="1"/>
      <w:marLeft w:val="0"/>
      <w:marRight w:val="0"/>
      <w:marTop w:val="0"/>
      <w:marBottom w:val="0"/>
      <w:divBdr>
        <w:top w:val="none" w:sz="0" w:space="0" w:color="auto"/>
        <w:left w:val="none" w:sz="0" w:space="0" w:color="auto"/>
        <w:bottom w:val="none" w:sz="0" w:space="0" w:color="auto"/>
        <w:right w:val="none" w:sz="0" w:space="0" w:color="auto"/>
      </w:divBdr>
    </w:div>
    <w:div w:id="768507675">
      <w:bodyDiv w:val="1"/>
      <w:marLeft w:val="0"/>
      <w:marRight w:val="0"/>
      <w:marTop w:val="0"/>
      <w:marBottom w:val="0"/>
      <w:divBdr>
        <w:top w:val="none" w:sz="0" w:space="0" w:color="auto"/>
        <w:left w:val="none" w:sz="0" w:space="0" w:color="auto"/>
        <w:bottom w:val="none" w:sz="0" w:space="0" w:color="auto"/>
        <w:right w:val="none" w:sz="0" w:space="0" w:color="auto"/>
      </w:divBdr>
    </w:div>
    <w:div w:id="798955712">
      <w:bodyDiv w:val="1"/>
      <w:marLeft w:val="0"/>
      <w:marRight w:val="0"/>
      <w:marTop w:val="0"/>
      <w:marBottom w:val="0"/>
      <w:divBdr>
        <w:top w:val="none" w:sz="0" w:space="0" w:color="auto"/>
        <w:left w:val="none" w:sz="0" w:space="0" w:color="auto"/>
        <w:bottom w:val="none" w:sz="0" w:space="0" w:color="auto"/>
        <w:right w:val="none" w:sz="0" w:space="0" w:color="auto"/>
      </w:divBdr>
    </w:div>
    <w:div w:id="800616359">
      <w:bodyDiv w:val="1"/>
      <w:marLeft w:val="0"/>
      <w:marRight w:val="0"/>
      <w:marTop w:val="0"/>
      <w:marBottom w:val="0"/>
      <w:divBdr>
        <w:top w:val="none" w:sz="0" w:space="0" w:color="auto"/>
        <w:left w:val="none" w:sz="0" w:space="0" w:color="auto"/>
        <w:bottom w:val="none" w:sz="0" w:space="0" w:color="auto"/>
        <w:right w:val="none" w:sz="0" w:space="0" w:color="auto"/>
      </w:divBdr>
    </w:div>
    <w:div w:id="829177351">
      <w:bodyDiv w:val="1"/>
      <w:marLeft w:val="0"/>
      <w:marRight w:val="0"/>
      <w:marTop w:val="0"/>
      <w:marBottom w:val="0"/>
      <w:divBdr>
        <w:top w:val="none" w:sz="0" w:space="0" w:color="auto"/>
        <w:left w:val="none" w:sz="0" w:space="0" w:color="auto"/>
        <w:bottom w:val="none" w:sz="0" w:space="0" w:color="auto"/>
        <w:right w:val="none" w:sz="0" w:space="0" w:color="auto"/>
      </w:divBdr>
    </w:div>
    <w:div w:id="842430502">
      <w:bodyDiv w:val="1"/>
      <w:marLeft w:val="0"/>
      <w:marRight w:val="0"/>
      <w:marTop w:val="0"/>
      <w:marBottom w:val="0"/>
      <w:divBdr>
        <w:top w:val="none" w:sz="0" w:space="0" w:color="auto"/>
        <w:left w:val="none" w:sz="0" w:space="0" w:color="auto"/>
        <w:bottom w:val="none" w:sz="0" w:space="0" w:color="auto"/>
        <w:right w:val="none" w:sz="0" w:space="0" w:color="auto"/>
      </w:divBdr>
    </w:div>
    <w:div w:id="853611477">
      <w:bodyDiv w:val="1"/>
      <w:marLeft w:val="0"/>
      <w:marRight w:val="0"/>
      <w:marTop w:val="0"/>
      <w:marBottom w:val="0"/>
      <w:divBdr>
        <w:top w:val="none" w:sz="0" w:space="0" w:color="auto"/>
        <w:left w:val="none" w:sz="0" w:space="0" w:color="auto"/>
        <w:bottom w:val="none" w:sz="0" w:space="0" w:color="auto"/>
        <w:right w:val="none" w:sz="0" w:space="0" w:color="auto"/>
      </w:divBdr>
    </w:div>
    <w:div w:id="855734322">
      <w:bodyDiv w:val="1"/>
      <w:marLeft w:val="0"/>
      <w:marRight w:val="0"/>
      <w:marTop w:val="0"/>
      <w:marBottom w:val="0"/>
      <w:divBdr>
        <w:top w:val="none" w:sz="0" w:space="0" w:color="auto"/>
        <w:left w:val="none" w:sz="0" w:space="0" w:color="auto"/>
        <w:bottom w:val="none" w:sz="0" w:space="0" w:color="auto"/>
        <w:right w:val="none" w:sz="0" w:space="0" w:color="auto"/>
      </w:divBdr>
    </w:div>
    <w:div w:id="884099951">
      <w:bodyDiv w:val="1"/>
      <w:marLeft w:val="0"/>
      <w:marRight w:val="0"/>
      <w:marTop w:val="0"/>
      <w:marBottom w:val="0"/>
      <w:divBdr>
        <w:top w:val="none" w:sz="0" w:space="0" w:color="auto"/>
        <w:left w:val="none" w:sz="0" w:space="0" w:color="auto"/>
        <w:bottom w:val="none" w:sz="0" w:space="0" w:color="auto"/>
        <w:right w:val="none" w:sz="0" w:space="0" w:color="auto"/>
      </w:divBdr>
    </w:div>
    <w:div w:id="889221685">
      <w:bodyDiv w:val="1"/>
      <w:marLeft w:val="0"/>
      <w:marRight w:val="0"/>
      <w:marTop w:val="0"/>
      <w:marBottom w:val="0"/>
      <w:divBdr>
        <w:top w:val="none" w:sz="0" w:space="0" w:color="auto"/>
        <w:left w:val="none" w:sz="0" w:space="0" w:color="auto"/>
        <w:bottom w:val="none" w:sz="0" w:space="0" w:color="auto"/>
        <w:right w:val="none" w:sz="0" w:space="0" w:color="auto"/>
      </w:divBdr>
    </w:div>
    <w:div w:id="894581835">
      <w:bodyDiv w:val="1"/>
      <w:marLeft w:val="0"/>
      <w:marRight w:val="0"/>
      <w:marTop w:val="0"/>
      <w:marBottom w:val="0"/>
      <w:divBdr>
        <w:top w:val="none" w:sz="0" w:space="0" w:color="auto"/>
        <w:left w:val="none" w:sz="0" w:space="0" w:color="auto"/>
        <w:bottom w:val="none" w:sz="0" w:space="0" w:color="auto"/>
        <w:right w:val="none" w:sz="0" w:space="0" w:color="auto"/>
      </w:divBdr>
    </w:div>
    <w:div w:id="900292008">
      <w:bodyDiv w:val="1"/>
      <w:marLeft w:val="0"/>
      <w:marRight w:val="0"/>
      <w:marTop w:val="0"/>
      <w:marBottom w:val="0"/>
      <w:divBdr>
        <w:top w:val="none" w:sz="0" w:space="0" w:color="auto"/>
        <w:left w:val="none" w:sz="0" w:space="0" w:color="auto"/>
        <w:bottom w:val="none" w:sz="0" w:space="0" w:color="auto"/>
        <w:right w:val="none" w:sz="0" w:space="0" w:color="auto"/>
      </w:divBdr>
    </w:div>
    <w:div w:id="916938882">
      <w:bodyDiv w:val="1"/>
      <w:marLeft w:val="0"/>
      <w:marRight w:val="0"/>
      <w:marTop w:val="0"/>
      <w:marBottom w:val="0"/>
      <w:divBdr>
        <w:top w:val="none" w:sz="0" w:space="0" w:color="auto"/>
        <w:left w:val="none" w:sz="0" w:space="0" w:color="auto"/>
        <w:bottom w:val="none" w:sz="0" w:space="0" w:color="auto"/>
        <w:right w:val="none" w:sz="0" w:space="0" w:color="auto"/>
      </w:divBdr>
    </w:div>
    <w:div w:id="928545770">
      <w:bodyDiv w:val="1"/>
      <w:marLeft w:val="0"/>
      <w:marRight w:val="0"/>
      <w:marTop w:val="0"/>
      <w:marBottom w:val="0"/>
      <w:divBdr>
        <w:top w:val="none" w:sz="0" w:space="0" w:color="auto"/>
        <w:left w:val="none" w:sz="0" w:space="0" w:color="auto"/>
        <w:bottom w:val="none" w:sz="0" w:space="0" w:color="auto"/>
        <w:right w:val="none" w:sz="0" w:space="0" w:color="auto"/>
      </w:divBdr>
    </w:div>
    <w:div w:id="931549476">
      <w:bodyDiv w:val="1"/>
      <w:marLeft w:val="0"/>
      <w:marRight w:val="0"/>
      <w:marTop w:val="0"/>
      <w:marBottom w:val="0"/>
      <w:divBdr>
        <w:top w:val="none" w:sz="0" w:space="0" w:color="auto"/>
        <w:left w:val="none" w:sz="0" w:space="0" w:color="auto"/>
        <w:bottom w:val="none" w:sz="0" w:space="0" w:color="auto"/>
        <w:right w:val="none" w:sz="0" w:space="0" w:color="auto"/>
      </w:divBdr>
    </w:div>
    <w:div w:id="937640636">
      <w:bodyDiv w:val="1"/>
      <w:marLeft w:val="0"/>
      <w:marRight w:val="0"/>
      <w:marTop w:val="0"/>
      <w:marBottom w:val="0"/>
      <w:divBdr>
        <w:top w:val="none" w:sz="0" w:space="0" w:color="auto"/>
        <w:left w:val="none" w:sz="0" w:space="0" w:color="auto"/>
        <w:bottom w:val="none" w:sz="0" w:space="0" w:color="auto"/>
        <w:right w:val="none" w:sz="0" w:space="0" w:color="auto"/>
      </w:divBdr>
    </w:div>
    <w:div w:id="949244042">
      <w:bodyDiv w:val="1"/>
      <w:marLeft w:val="0"/>
      <w:marRight w:val="0"/>
      <w:marTop w:val="0"/>
      <w:marBottom w:val="0"/>
      <w:divBdr>
        <w:top w:val="none" w:sz="0" w:space="0" w:color="auto"/>
        <w:left w:val="none" w:sz="0" w:space="0" w:color="auto"/>
        <w:bottom w:val="none" w:sz="0" w:space="0" w:color="auto"/>
        <w:right w:val="none" w:sz="0" w:space="0" w:color="auto"/>
      </w:divBdr>
    </w:div>
    <w:div w:id="965545243">
      <w:bodyDiv w:val="1"/>
      <w:marLeft w:val="0"/>
      <w:marRight w:val="0"/>
      <w:marTop w:val="0"/>
      <w:marBottom w:val="0"/>
      <w:divBdr>
        <w:top w:val="none" w:sz="0" w:space="0" w:color="auto"/>
        <w:left w:val="none" w:sz="0" w:space="0" w:color="auto"/>
        <w:bottom w:val="none" w:sz="0" w:space="0" w:color="auto"/>
        <w:right w:val="none" w:sz="0" w:space="0" w:color="auto"/>
      </w:divBdr>
    </w:div>
    <w:div w:id="986203935">
      <w:bodyDiv w:val="1"/>
      <w:marLeft w:val="0"/>
      <w:marRight w:val="0"/>
      <w:marTop w:val="0"/>
      <w:marBottom w:val="0"/>
      <w:divBdr>
        <w:top w:val="none" w:sz="0" w:space="0" w:color="auto"/>
        <w:left w:val="none" w:sz="0" w:space="0" w:color="auto"/>
        <w:bottom w:val="none" w:sz="0" w:space="0" w:color="auto"/>
        <w:right w:val="none" w:sz="0" w:space="0" w:color="auto"/>
      </w:divBdr>
    </w:div>
    <w:div w:id="986518987">
      <w:bodyDiv w:val="1"/>
      <w:marLeft w:val="0"/>
      <w:marRight w:val="0"/>
      <w:marTop w:val="0"/>
      <w:marBottom w:val="0"/>
      <w:divBdr>
        <w:top w:val="none" w:sz="0" w:space="0" w:color="auto"/>
        <w:left w:val="none" w:sz="0" w:space="0" w:color="auto"/>
        <w:bottom w:val="none" w:sz="0" w:space="0" w:color="auto"/>
        <w:right w:val="none" w:sz="0" w:space="0" w:color="auto"/>
      </w:divBdr>
    </w:div>
    <w:div w:id="993874688">
      <w:bodyDiv w:val="1"/>
      <w:marLeft w:val="0"/>
      <w:marRight w:val="0"/>
      <w:marTop w:val="0"/>
      <w:marBottom w:val="0"/>
      <w:divBdr>
        <w:top w:val="none" w:sz="0" w:space="0" w:color="auto"/>
        <w:left w:val="none" w:sz="0" w:space="0" w:color="auto"/>
        <w:bottom w:val="none" w:sz="0" w:space="0" w:color="auto"/>
        <w:right w:val="none" w:sz="0" w:space="0" w:color="auto"/>
      </w:divBdr>
    </w:div>
    <w:div w:id="1004406455">
      <w:bodyDiv w:val="1"/>
      <w:marLeft w:val="0"/>
      <w:marRight w:val="0"/>
      <w:marTop w:val="0"/>
      <w:marBottom w:val="0"/>
      <w:divBdr>
        <w:top w:val="none" w:sz="0" w:space="0" w:color="auto"/>
        <w:left w:val="none" w:sz="0" w:space="0" w:color="auto"/>
        <w:bottom w:val="none" w:sz="0" w:space="0" w:color="auto"/>
        <w:right w:val="none" w:sz="0" w:space="0" w:color="auto"/>
      </w:divBdr>
    </w:div>
    <w:div w:id="1012410737">
      <w:bodyDiv w:val="1"/>
      <w:marLeft w:val="0"/>
      <w:marRight w:val="0"/>
      <w:marTop w:val="0"/>
      <w:marBottom w:val="0"/>
      <w:divBdr>
        <w:top w:val="none" w:sz="0" w:space="0" w:color="auto"/>
        <w:left w:val="none" w:sz="0" w:space="0" w:color="auto"/>
        <w:bottom w:val="none" w:sz="0" w:space="0" w:color="auto"/>
        <w:right w:val="none" w:sz="0" w:space="0" w:color="auto"/>
      </w:divBdr>
    </w:div>
    <w:div w:id="1025984286">
      <w:bodyDiv w:val="1"/>
      <w:marLeft w:val="0"/>
      <w:marRight w:val="0"/>
      <w:marTop w:val="0"/>
      <w:marBottom w:val="0"/>
      <w:divBdr>
        <w:top w:val="none" w:sz="0" w:space="0" w:color="auto"/>
        <w:left w:val="none" w:sz="0" w:space="0" w:color="auto"/>
        <w:bottom w:val="none" w:sz="0" w:space="0" w:color="auto"/>
        <w:right w:val="none" w:sz="0" w:space="0" w:color="auto"/>
      </w:divBdr>
    </w:div>
    <w:div w:id="1042680197">
      <w:bodyDiv w:val="1"/>
      <w:marLeft w:val="0"/>
      <w:marRight w:val="0"/>
      <w:marTop w:val="0"/>
      <w:marBottom w:val="0"/>
      <w:divBdr>
        <w:top w:val="none" w:sz="0" w:space="0" w:color="auto"/>
        <w:left w:val="none" w:sz="0" w:space="0" w:color="auto"/>
        <w:bottom w:val="none" w:sz="0" w:space="0" w:color="auto"/>
        <w:right w:val="none" w:sz="0" w:space="0" w:color="auto"/>
      </w:divBdr>
    </w:div>
    <w:div w:id="1045251725">
      <w:bodyDiv w:val="1"/>
      <w:marLeft w:val="0"/>
      <w:marRight w:val="0"/>
      <w:marTop w:val="0"/>
      <w:marBottom w:val="0"/>
      <w:divBdr>
        <w:top w:val="none" w:sz="0" w:space="0" w:color="auto"/>
        <w:left w:val="none" w:sz="0" w:space="0" w:color="auto"/>
        <w:bottom w:val="none" w:sz="0" w:space="0" w:color="auto"/>
        <w:right w:val="none" w:sz="0" w:space="0" w:color="auto"/>
      </w:divBdr>
    </w:div>
    <w:div w:id="1074667957">
      <w:bodyDiv w:val="1"/>
      <w:marLeft w:val="0"/>
      <w:marRight w:val="0"/>
      <w:marTop w:val="0"/>
      <w:marBottom w:val="0"/>
      <w:divBdr>
        <w:top w:val="none" w:sz="0" w:space="0" w:color="auto"/>
        <w:left w:val="none" w:sz="0" w:space="0" w:color="auto"/>
        <w:bottom w:val="none" w:sz="0" w:space="0" w:color="auto"/>
        <w:right w:val="none" w:sz="0" w:space="0" w:color="auto"/>
      </w:divBdr>
    </w:div>
    <w:div w:id="1087077369">
      <w:bodyDiv w:val="1"/>
      <w:marLeft w:val="0"/>
      <w:marRight w:val="0"/>
      <w:marTop w:val="0"/>
      <w:marBottom w:val="0"/>
      <w:divBdr>
        <w:top w:val="none" w:sz="0" w:space="0" w:color="auto"/>
        <w:left w:val="none" w:sz="0" w:space="0" w:color="auto"/>
        <w:bottom w:val="none" w:sz="0" w:space="0" w:color="auto"/>
        <w:right w:val="none" w:sz="0" w:space="0" w:color="auto"/>
      </w:divBdr>
    </w:div>
    <w:div w:id="1100489345">
      <w:bodyDiv w:val="1"/>
      <w:marLeft w:val="0"/>
      <w:marRight w:val="0"/>
      <w:marTop w:val="0"/>
      <w:marBottom w:val="0"/>
      <w:divBdr>
        <w:top w:val="none" w:sz="0" w:space="0" w:color="auto"/>
        <w:left w:val="none" w:sz="0" w:space="0" w:color="auto"/>
        <w:bottom w:val="none" w:sz="0" w:space="0" w:color="auto"/>
        <w:right w:val="none" w:sz="0" w:space="0" w:color="auto"/>
      </w:divBdr>
    </w:div>
    <w:div w:id="1118646703">
      <w:bodyDiv w:val="1"/>
      <w:marLeft w:val="0"/>
      <w:marRight w:val="0"/>
      <w:marTop w:val="0"/>
      <w:marBottom w:val="0"/>
      <w:divBdr>
        <w:top w:val="none" w:sz="0" w:space="0" w:color="auto"/>
        <w:left w:val="none" w:sz="0" w:space="0" w:color="auto"/>
        <w:bottom w:val="none" w:sz="0" w:space="0" w:color="auto"/>
        <w:right w:val="none" w:sz="0" w:space="0" w:color="auto"/>
      </w:divBdr>
    </w:div>
    <w:div w:id="1119302174">
      <w:bodyDiv w:val="1"/>
      <w:marLeft w:val="0"/>
      <w:marRight w:val="0"/>
      <w:marTop w:val="0"/>
      <w:marBottom w:val="0"/>
      <w:divBdr>
        <w:top w:val="none" w:sz="0" w:space="0" w:color="auto"/>
        <w:left w:val="none" w:sz="0" w:space="0" w:color="auto"/>
        <w:bottom w:val="none" w:sz="0" w:space="0" w:color="auto"/>
        <w:right w:val="none" w:sz="0" w:space="0" w:color="auto"/>
      </w:divBdr>
    </w:div>
    <w:div w:id="1144657125">
      <w:bodyDiv w:val="1"/>
      <w:marLeft w:val="0"/>
      <w:marRight w:val="0"/>
      <w:marTop w:val="0"/>
      <w:marBottom w:val="0"/>
      <w:divBdr>
        <w:top w:val="none" w:sz="0" w:space="0" w:color="auto"/>
        <w:left w:val="none" w:sz="0" w:space="0" w:color="auto"/>
        <w:bottom w:val="none" w:sz="0" w:space="0" w:color="auto"/>
        <w:right w:val="none" w:sz="0" w:space="0" w:color="auto"/>
      </w:divBdr>
    </w:div>
    <w:div w:id="1148017273">
      <w:bodyDiv w:val="1"/>
      <w:marLeft w:val="0"/>
      <w:marRight w:val="0"/>
      <w:marTop w:val="0"/>
      <w:marBottom w:val="0"/>
      <w:divBdr>
        <w:top w:val="none" w:sz="0" w:space="0" w:color="auto"/>
        <w:left w:val="none" w:sz="0" w:space="0" w:color="auto"/>
        <w:bottom w:val="none" w:sz="0" w:space="0" w:color="auto"/>
        <w:right w:val="none" w:sz="0" w:space="0" w:color="auto"/>
      </w:divBdr>
    </w:div>
    <w:div w:id="1159886122">
      <w:bodyDiv w:val="1"/>
      <w:marLeft w:val="0"/>
      <w:marRight w:val="0"/>
      <w:marTop w:val="0"/>
      <w:marBottom w:val="0"/>
      <w:divBdr>
        <w:top w:val="none" w:sz="0" w:space="0" w:color="auto"/>
        <w:left w:val="none" w:sz="0" w:space="0" w:color="auto"/>
        <w:bottom w:val="none" w:sz="0" w:space="0" w:color="auto"/>
        <w:right w:val="none" w:sz="0" w:space="0" w:color="auto"/>
      </w:divBdr>
    </w:div>
    <w:div w:id="1162820551">
      <w:bodyDiv w:val="1"/>
      <w:marLeft w:val="0"/>
      <w:marRight w:val="0"/>
      <w:marTop w:val="0"/>
      <w:marBottom w:val="0"/>
      <w:divBdr>
        <w:top w:val="none" w:sz="0" w:space="0" w:color="auto"/>
        <w:left w:val="none" w:sz="0" w:space="0" w:color="auto"/>
        <w:bottom w:val="none" w:sz="0" w:space="0" w:color="auto"/>
        <w:right w:val="none" w:sz="0" w:space="0" w:color="auto"/>
      </w:divBdr>
    </w:div>
    <w:div w:id="1163741930">
      <w:bodyDiv w:val="1"/>
      <w:marLeft w:val="0"/>
      <w:marRight w:val="0"/>
      <w:marTop w:val="0"/>
      <w:marBottom w:val="0"/>
      <w:divBdr>
        <w:top w:val="none" w:sz="0" w:space="0" w:color="auto"/>
        <w:left w:val="none" w:sz="0" w:space="0" w:color="auto"/>
        <w:bottom w:val="none" w:sz="0" w:space="0" w:color="auto"/>
        <w:right w:val="none" w:sz="0" w:space="0" w:color="auto"/>
      </w:divBdr>
    </w:div>
    <w:div w:id="1170019668">
      <w:bodyDiv w:val="1"/>
      <w:marLeft w:val="0"/>
      <w:marRight w:val="0"/>
      <w:marTop w:val="0"/>
      <w:marBottom w:val="0"/>
      <w:divBdr>
        <w:top w:val="none" w:sz="0" w:space="0" w:color="auto"/>
        <w:left w:val="none" w:sz="0" w:space="0" w:color="auto"/>
        <w:bottom w:val="none" w:sz="0" w:space="0" w:color="auto"/>
        <w:right w:val="none" w:sz="0" w:space="0" w:color="auto"/>
      </w:divBdr>
    </w:div>
    <w:div w:id="1178353199">
      <w:bodyDiv w:val="1"/>
      <w:marLeft w:val="0"/>
      <w:marRight w:val="0"/>
      <w:marTop w:val="0"/>
      <w:marBottom w:val="0"/>
      <w:divBdr>
        <w:top w:val="none" w:sz="0" w:space="0" w:color="auto"/>
        <w:left w:val="none" w:sz="0" w:space="0" w:color="auto"/>
        <w:bottom w:val="none" w:sz="0" w:space="0" w:color="auto"/>
        <w:right w:val="none" w:sz="0" w:space="0" w:color="auto"/>
      </w:divBdr>
    </w:div>
    <w:div w:id="1190533349">
      <w:bodyDiv w:val="1"/>
      <w:marLeft w:val="0"/>
      <w:marRight w:val="0"/>
      <w:marTop w:val="0"/>
      <w:marBottom w:val="0"/>
      <w:divBdr>
        <w:top w:val="none" w:sz="0" w:space="0" w:color="auto"/>
        <w:left w:val="none" w:sz="0" w:space="0" w:color="auto"/>
        <w:bottom w:val="none" w:sz="0" w:space="0" w:color="auto"/>
        <w:right w:val="none" w:sz="0" w:space="0" w:color="auto"/>
      </w:divBdr>
    </w:div>
    <w:div w:id="1195777138">
      <w:bodyDiv w:val="1"/>
      <w:marLeft w:val="0"/>
      <w:marRight w:val="0"/>
      <w:marTop w:val="0"/>
      <w:marBottom w:val="0"/>
      <w:divBdr>
        <w:top w:val="none" w:sz="0" w:space="0" w:color="auto"/>
        <w:left w:val="none" w:sz="0" w:space="0" w:color="auto"/>
        <w:bottom w:val="none" w:sz="0" w:space="0" w:color="auto"/>
        <w:right w:val="none" w:sz="0" w:space="0" w:color="auto"/>
      </w:divBdr>
    </w:div>
    <w:div w:id="1198547039">
      <w:bodyDiv w:val="1"/>
      <w:marLeft w:val="0"/>
      <w:marRight w:val="0"/>
      <w:marTop w:val="0"/>
      <w:marBottom w:val="0"/>
      <w:divBdr>
        <w:top w:val="none" w:sz="0" w:space="0" w:color="auto"/>
        <w:left w:val="none" w:sz="0" w:space="0" w:color="auto"/>
        <w:bottom w:val="none" w:sz="0" w:space="0" w:color="auto"/>
        <w:right w:val="none" w:sz="0" w:space="0" w:color="auto"/>
      </w:divBdr>
    </w:div>
    <w:div w:id="1228808325">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75675989">
      <w:bodyDiv w:val="1"/>
      <w:marLeft w:val="0"/>
      <w:marRight w:val="0"/>
      <w:marTop w:val="0"/>
      <w:marBottom w:val="0"/>
      <w:divBdr>
        <w:top w:val="none" w:sz="0" w:space="0" w:color="auto"/>
        <w:left w:val="none" w:sz="0" w:space="0" w:color="auto"/>
        <w:bottom w:val="none" w:sz="0" w:space="0" w:color="auto"/>
        <w:right w:val="none" w:sz="0" w:space="0" w:color="auto"/>
      </w:divBdr>
    </w:div>
    <w:div w:id="1301377265">
      <w:bodyDiv w:val="1"/>
      <w:marLeft w:val="0"/>
      <w:marRight w:val="0"/>
      <w:marTop w:val="0"/>
      <w:marBottom w:val="0"/>
      <w:divBdr>
        <w:top w:val="none" w:sz="0" w:space="0" w:color="auto"/>
        <w:left w:val="none" w:sz="0" w:space="0" w:color="auto"/>
        <w:bottom w:val="none" w:sz="0" w:space="0" w:color="auto"/>
        <w:right w:val="none" w:sz="0" w:space="0" w:color="auto"/>
      </w:divBdr>
    </w:div>
    <w:div w:id="1314138118">
      <w:bodyDiv w:val="1"/>
      <w:marLeft w:val="0"/>
      <w:marRight w:val="0"/>
      <w:marTop w:val="0"/>
      <w:marBottom w:val="0"/>
      <w:divBdr>
        <w:top w:val="none" w:sz="0" w:space="0" w:color="auto"/>
        <w:left w:val="none" w:sz="0" w:space="0" w:color="auto"/>
        <w:bottom w:val="none" w:sz="0" w:space="0" w:color="auto"/>
        <w:right w:val="none" w:sz="0" w:space="0" w:color="auto"/>
      </w:divBdr>
    </w:div>
    <w:div w:id="1324965681">
      <w:bodyDiv w:val="1"/>
      <w:marLeft w:val="0"/>
      <w:marRight w:val="0"/>
      <w:marTop w:val="0"/>
      <w:marBottom w:val="0"/>
      <w:divBdr>
        <w:top w:val="none" w:sz="0" w:space="0" w:color="auto"/>
        <w:left w:val="none" w:sz="0" w:space="0" w:color="auto"/>
        <w:bottom w:val="none" w:sz="0" w:space="0" w:color="auto"/>
        <w:right w:val="none" w:sz="0" w:space="0" w:color="auto"/>
      </w:divBdr>
    </w:div>
    <w:div w:id="1326477519">
      <w:bodyDiv w:val="1"/>
      <w:marLeft w:val="0"/>
      <w:marRight w:val="0"/>
      <w:marTop w:val="0"/>
      <w:marBottom w:val="0"/>
      <w:divBdr>
        <w:top w:val="none" w:sz="0" w:space="0" w:color="auto"/>
        <w:left w:val="none" w:sz="0" w:space="0" w:color="auto"/>
        <w:bottom w:val="none" w:sz="0" w:space="0" w:color="auto"/>
        <w:right w:val="none" w:sz="0" w:space="0" w:color="auto"/>
      </w:divBdr>
    </w:div>
    <w:div w:id="1333948218">
      <w:bodyDiv w:val="1"/>
      <w:marLeft w:val="0"/>
      <w:marRight w:val="0"/>
      <w:marTop w:val="0"/>
      <w:marBottom w:val="0"/>
      <w:divBdr>
        <w:top w:val="none" w:sz="0" w:space="0" w:color="auto"/>
        <w:left w:val="none" w:sz="0" w:space="0" w:color="auto"/>
        <w:bottom w:val="none" w:sz="0" w:space="0" w:color="auto"/>
        <w:right w:val="none" w:sz="0" w:space="0" w:color="auto"/>
      </w:divBdr>
    </w:div>
    <w:div w:id="1342505825">
      <w:bodyDiv w:val="1"/>
      <w:marLeft w:val="0"/>
      <w:marRight w:val="0"/>
      <w:marTop w:val="0"/>
      <w:marBottom w:val="0"/>
      <w:divBdr>
        <w:top w:val="none" w:sz="0" w:space="0" w:color="auto"/>
        <w:left w:val="none" w:sz="0" w:space="0" w:color="auto"/>
        <w:bottom w:val="none" w:sz="0" w:space="0" w:color="auto"/>
        <w:right w:val="none" w:sz="0" w:space="0" w:color="auto"/>
      </w:divBdr>
    </w:div>
    <w:div w:id="1347712789">
      <w:bodyDiv w:val="1"/>
      <w:marLeft w:val="0"/>
      <w:marRight w:val="0"/>
      <w:marTop w:val="0"/>
      <w:marBottom w:val="0"/>
      <w:divBdr>
        <w:top w:val="none" w:sz="0" w:space="0" w:color="auto"/>
        <w:left w:val="none" w:sz="0" w:space="0" w:color="auto"/>
        <w:bottom w:val="none" w:sz="0" w:space="0" w:color="auto"/>
        <w:right w:val="none" w:sz="0" w:space="0" w:color="auto"/>
      </w:divBdr>
    </w:div>
    <w:div w:id="1359743425">
      <w:bodyDiv w:val="1"/>
      <w:marLeft w:val="0"/>
      <w:marRight w:val="0"/>
      <w:marTop w:val="0"/>
      <w:marBottom w:val="0"/>
      <w:divBdr>
        <w:top w:val="none" w:sz="0" w:space="0" w:color="auto"/>
        <w:left w:val="none" w:sz="0" w:space="0" w:color="auto"/>
        <w:bottom w:val="none" w:sz="0" w:space="0" w:color="auto"/>
        <w:right w:val="none" w:sz="0" w:space="0" w:color="auto"/>
      </w:divBdr>
    </w:div>
    <w:div w:id="1369378780">
      <w:bodyDiv w:val="1"/>
      <w:marLeft w:val="0"/>
      <w:marRight w:val="0"/>
      <w:marTop w:val="0"/>
      <w:marBottom w:val="0"/>
      <w:divBdr>
        <w:top w:val="none" w:sz="0" w:space="0" w:color="auto"/>
        <w:left w:val="none" w:sz="0" w:space="0" w:color="auto"/>
        <w:bottom w:val="none" w:sz="0" w:space="0" w:color="auto"/>
        <w:right w:val="none" w:sz="0" w:space="0" w:color="auto"/>
      </w:divBdr>
    </w:div>
    <w:div w:id="1371494784">
      <w:bodyDiv w:val="1"/>
      <w:marLeft w:val="0"/>
      <w:marRight w:val="0"/>
      <w:marTop w:val="0"/>
      <w:marBottom w:val="0"/>
      <w:divBdr>
        <w:top w:val="none" w:sz="0" w:space="0" w:color="auto"/>
        <w:left w:val="none" w:sz="0" w:space="0" w:color="auto"/>
        <w:bottom w:val="none" w:sz="0" w:space="0" w:color="auto"/>
        <w:right w:val="none" w:sz="0" w:space="0" w:color="auto"/>
      </w:divBdr>
    </w:div>
    <w:div w:id="1393457954">
      <w:bodyDiv w:val="1"/>
      <w:marLeft w:val="0"/>
      <w:marRight w:val="0"/>
      <w:marTop w:val="0"/>
      <w:marBottom w:val="0"/>
      <w:divBdr>
        <w:top w:val="none" w:sz="0" w:space="0" w:color="auto"/>
        <w:left w:val="none" w:sz="0" w:space="0" w:color="auto"/>
        <w:bottom w:val="none" w:sz="0" w:space="0" w:color="auto"/>
        <w:right w:val="none" w:sz="0" w:space="0" w:color="auto"/>
      </w:divBdr>
    </w:div>
    <w:div w:id="1403987947">
      <w:bodyDiv w:val="1"/>
      <w:marLeft w:val="0"/>
      <w:marRight w:val="0"/>
      <w:marTop w:val="0"/>
      <w:marBottom w:val="0"/>
      <w:divBdr>
        <w:top w:val="none" w:sz="0" w:space="0" w:color="auto"/>
        <w:left w:val="none" w:sz="0" w:space="0" w:color="auto"/>
        <w:bottom w:val="none" w:sz="0" w:space="0" w:color="auto"/>
        <w:right w:val="none" w:sz="0" w:space="0" w:color="auto"/>
      </w:divBdr>
    </w:div>
    <w:div w:id="1411152450">
      <w:bodyDiv w:val="1"/>
      <w:marLeft w:val="0"/>
      <w:marRight w:val="0"/>
      <w:marTop w:val="0"/>
      <w:marBottom w:val="0"/>
      <w:divBdr>
        <w:top w:val="none" w:sz="0" w:space="0" w:color="auto"/>
        <w:left w:val="none" w:sz="0" w:space="0" w:color="auto"/>
        <w:bottom w:val="none" w:sz="0" w:space="0" w:color="auto"/>
        <w:right w:val="none" w:sz="0" w:space="0" w:color="auto"/>
      </w:divBdr>
    </w:div>
    <w:div w:id="1412507531">
      <w:bodyDiv w:val="1"/>
      <w:marLeft w:val="0"/>
      <w:marRight w:val="0"/>
      <w:marTop w:val="0"/>
      <w:marBottom w:val="0"/>
      <w:divBdr>
        <w:top w:val="none" w:sz="0" w:space="0" w:color="auto"/>
        <w:left w:val="none" w:sz="0" w:space="0" w:color="auto"/>
        <w:bottom w:val="none" w:sz="0" w:space="0" w:color="auto"/>
        <w:right w:val="none" w:sz="0" w:space="0" w:color="auto"/>
      </w:divBdr>
    </w:div>
    <w:div w:id="1429891533">
      <w:bodyDiv w:val="1"/>
      <w:marLeft w:val="0"/>
      <w:marRight w:val="0"/>
      <w:marTop w:val="0"/>
      <w:marBottom w:val="0"/>
      <w:divBdr>
        <w:top w:val="none" w:sz="0" w:space="0" w:color="auto"/>
        <w:left w:val="none" w:sz="0" w:space="0" w:color="auto"/>
        <w:bottom w:val="none" w:sz="0" w:space="0" w:color="auto"/>
        <w:right w:val="none" w:sz="0" w:space="0" w:color="auto"/>
      </w:divBdr>
    </w:div>
    <w:div w:id="1440835900">
      <w:bodyDiv w:val="1"/>
      <w:marLeft w:val="0"/>
      <w:marRight w:val="0"/>
      <w:marTop w:val="0"/>
      <w:marBottom w:val="0"/>
      <w:divBdr>
        <w:top w:val="none" w:sz="0" w:space="0" w:color="auto"/>
        <w:left w:val="none" w:sz="0" w:space="0" w:color="auto"/>
        <w:bottom w:val="none" w:sz="0" w:space="0" w:color="auto"/>
        <w:right w:val="none" w:sz="0" w:space="0" w:color="auto"/>
      </w:divBdr>
    </w:div>
    <w:div w:id="1448963069">
      <w:bodyDiv w:val="1"/>
      <w:marLeft w:val="0"/>
      <w:marRight w:val="0"/>
      <w:marTop w:val="0"/>
      <w:marBottom w:val="0"/>
      <w:divBdr>
        <w:top w:val="none" w:sz="0" w:space="0" w:color="auto"/>
        <w:left w:val="none" w:sz="0" w:space="0" w:color="auto"/>
        <w:bottom w:val="none" w:sz="0" w:space="0" w:color="auto"/>
        <w:right w:val="none" w:sz="0" w:space="0" w:color="auto"/>
      </w:divBdr>
    </w:div>
    <w:div w:id="1456022847">
      <w:bodyDiv w:val="1"/>
      <w:marLeft w:val="0"/>
      <w:marRight w:val="0"/>
      <w:marTop w:val="0"/>
      <w:marBottom w:val="0"/>
      <w:divBdr>
        <w:top w:val="none" w:sz="0" w:space="0" w:color="auto"/>
        <w:left w:val="none" w:sz="0" w:space="0" w:color="auto"/>
        <w:bottom w:val="none" w:sz="0" w:space="0" w:color="auto"/>
        <w:right w:val="none" w:sz="0" w:space="0" w:color="auto"/>
      </w:divBdr>
    </w:div>
    <w:div w:id="1466236985">
      <w:bodyDiv w:val="1"/>
      <w:marLeft w:val="0"/>
      <w:marRight w:val="0"/>
      <w:marTop w:val="0"/>
      <w:marBottom w:val="0"/>
      <w:divBdr>
        <w:top w:val="none" w:sz="0" w:space="0" w:color="auto"/>
        <w:left w:val="none" w:sz="0" w:space="0" w:color="auto"/>
        <w:bottom w:val="none" w:sz="0" w:space="0" w:color="auto"/>
        <w:right w:val="none" w:sz="0" w:space="0" w:color="auto"/>
      </w:divBdr>
    </w:div>
    <w:div w:id="1472136543">
      <w:bodyDiv w:val="1"/>
      <w:marLeft w:val="0"/>
      <w:marRight w:val="0"/>
      <w:marTop w:val="0"/>
      <w:marBottom w:val="0"/>
      <w:divBdr>
        <w:top w:val="none" w:sz="0" w:space="0" w:color="auto"/>
        <w:left w:val="none" w:sz="0" w:space="0" w:color="auto"/>
        <w:bottom w:val="none" w:sz="0" w:space="0" w:color="auto"/>
        <w:right w:val="none" w:sz="0" w:space="0" w:color="auto"/>
      </w:divBdr>
    </w:div>
    <w:div w:id="1498110200">
      <w:bodyDiv w:val="1"/>
      <w:marLeft w:val="0"/>
      <w:marRight w:val="0"/>
      <w:marTop w:val="0"/>
      <w:marBottom w:val="0"/>
      <w:divBdr>
        <w:top w:val="none" w:sz="0" w:space="0" w:color="auto"/>
        <w:left w:val="none" w:sz="0" w:space="0" w:color="auto"/>
        <w:bottom w:val="none" w:sz="0" w:space="0" w:color="auto"/>
        <w:right w:val="none" w:sz="0" w:space="0" w:color="auto"/>
      </w:divBdr>
    </w:div>
    <w:div w:id="1508520308">
      <w:bodyDiv w:val="1"/>
      <w:marLeft w:val="0"/>
      <w:marRight w:val="0"/>
      <w:marTop w:val="0"/>
      <w:marBottom w:val="0"/>
      <w:divBdr>
        <w:top w:val="none" w:sz="0" w:space="0" w:color="auto"/>
        <w:left w:val="none" w:sz="0" w:space="0" w:color="auto"/>
        <w:bottom w:val="none" w:sz="0" w:space="0" w:color="auto"/>
        <w:right w:val="none" w:sz="0" w:space="0" w:color="auto"/>
      </w:divBdr>
    </w:div>
    <w:div w:id="1509104358">
      <w:bodyDiv w:val="1"/>
      <w:marLeft w:val="0"/>
      <w:marRight w:val="0"/>
      <w:marTop w:val="0"/>
      <w:marBottom w:val="0"/>
      <w:divBdr>
        <w:top w:val="none" w:sz="0" w:space="0" w:color="auto"/>
        <w:left w:val="none" w:sz="0" w:space="0" w:color="auto"/>
        <w:bottom w:val="none" w:sz="0" w:space="0" w:color="auto"/>
        <w:right w:val="none" w:sz="0" w:space="0" w:color="auto"/>
      </w:divBdr>
    </w:div>
    <w:div w:id="1511410863">
      <w:bodyDiv w:val="1"/>
      <w:marLeft w:val="0"/>
      <w:marRight w:val="0"/>
      <w:marTop w:val="0"/>
      <w:marBottom w:val="0"/>
      <w:divBdr>
        <w:top w:val="none" w:sz="0" w:space="0" w:color="auto"/>
        <w:left w:val="none" w:sz="0" w:space="0" w:color="auto"/>
        <w:bottom w:val="none" w:sz="0" w:space="0" w:color="auto"/>
        <w:right w:val="none" w:sz="0" w:space="0" w:color="auto"/>
      </w:divBdr>
    </w:div>
    <w:div w:id="1519392423">
      <w:bodyDiv w:val="1"/>
      <w:marLeft w:val="0"/>
      <w:marRight w:val="0"/>
      <w:marTop w:val="0"/>
      <w:marBottom w:val="0"/>
      <w:divBdr>
        <w:top w:val="none" w:sz="0" w:space="0" w:color="auto"/>
        <w:left w:val="none" w:sz="0" w:space="0" w:color="auto"/>
        <w:bottom w:val="none" w:sz="0" w:space="0" w:color="auto"/>
        <w:right w:val="none" w:sz="0" w:space="0" w:color="auto"/>
      </w:divBdr>
    </w:div>
    <w:div w:id="1529249125">
      <w:bodyDiv w:val="1"/>
      <w:marLeft w:val="0"/>
      <w:marRight w:val="0"/>
      <w:marTop w:val="0"/>
      <w:marBottom w:val="0"/>
      <w:divBdr>
        <w:top w:val="none" w:sz="0" w:space="0" w:color="auto"/>
        <w:left w:val="none" w:sz="0" w:space="0" w:color="auto"/>
        <w:bottom w:val="none" w:sz="0" w:space="0" w:color="auto"/>
        <w:right w:val="none" w:sz="0" w:space="0" w:color="auto"/>
      </w:divBdr>
    </w:div>
    <w:div w:id="1536573769">
      <w:bodyDiv w:val="1"/>
      <w:marLeft w:val="0"/>
      <w:marRight w:val="0"/>
      <w:marTop w:val="0"/>
      <w:marBottom w:val="0"/>
      <w:divBdr>
        <w:top w:val="none" w:sz="0" w:space="0" w:color="auto"/>
        <w:left w:val="none" w:sz="0" w:space="0" w:color="auto"/>
        <w:bottom w:val="none" w:sz="0" w:space="0" w:color="auto"/>
        <w:right w:val="none" w:sz="0" w:space="0" w:color="auto"/>
      </w:divBdr>
    </w:div>
    <w:div w:id="1539926881">
      <w:bodyDiv w:val="1"/>
      <w:marLeft w:val="0"/>
      <w:marRight w:val="0"/>
      <w:marTop w:val="0"/>
      <w:marBottom w:val="0"/>
      <w:divBdr>
        <w:top w:val="none" w:sz="0" w:space="0" w:color="auto"/>
        <w:left w:val="none" w:sz="0" w:space="0" w:color="auto"/>
        <w:bottom w:val="none" w:sz="0" w:space="0" w:color="auto"/>
        <w:right w:val="none" w:sz="0" w:space="0" w:color="auto"/>
      </w:divBdr>
    </w:div>
    <w:div w:id="1553077223">
      <w:bodyDiv w:val="1"/>
      <w:marLeft w:val="0"/>
      <w:marRight w:val="0"/>
      <w:marTop w:val="0"/>
      <w:marBottom w:val="0"/>
      <w:divBdr>
        <w:top w:val="none" w:sz="0" w:space="0" w:color="auto"/>
        <w:left w:val="none" w:sz="0" w:space="0" w:color="auto"/>
        <w:bottom w:val="none" w:sz="0" w:space="0" w:color="auto"/>
        <w:right w:val="none" w:sz="0" w:space="0" w:color="auto"/>
      </w:divBdr>
    </w:div>
    <w:div w:id="1566137366">
      <w:bodyDiv w:val="1"/>
      <w:marLeft w:val="0"/>
      <w:marRight w:val="0"/>
      <w:marTop w:val="0"/>
      <w:marBottom w:val="0"/>
      <w:divBdr>
        <w:top w:val="none" w:sz="0" w:space="0" w:color="auto"/>
        <w:left w:val="none" w:sz="0" w:space="0" w:color="auto"/>
        <w:bottom w:val="none" w:sz="0" w:space="0" w:color="auto"/>
        <w:right w:val="none" w:sz="0" w:space="0" w:color="auto"/>
      </w:divBdr>
    </w:div>
    <w:div w:id="1567838796">
      <w:bodyDiv w:val="1"/>
      <w:marLeft w:val="0"/>
      <w:marRight w:val="0"/>
      <w:marTop w:val="0"/>
      <w:marBottom w:val="0"/>
      <w:divBdr>
        <w:top w:val="none" w:sz="0" w:space="0" w:color="auto"/>
        <w:left w:val="none" w:sz="0" w:space="0" w:color="auto"/>
        <w:bottom w:val="none" w:sz="0" w:space="0" w:color="auto"/>
        <w:right w:val="none" w:sz="0" w:space="0" w:color="auto"/>
      </w:divBdr>
    </w:div>
    <w:div w:id="1595556898">
      <w:bodyDiv w:val="1"/>
      <w:marLeft w:val="0"/>
      <w:marRight w:val="0"/>
      <w:marTop w:val="0"/>
      <w:marBottom w:val="0"/>
      <w:divBdr>
        <w:top w:val="none" w:sz="0" w:space="0" w:color="auto"/>
        <w:left w:val="none" w:sz="0" w:space="0" w:color="auto"/>
        <w:bottom w:val="none" w:sz="0" w:space="0" w:color="auto"/>
        <w:right w:val="none" w:sz="0" w:space="0" w:color="auto"/>
      </w:divBdr>
    </w:div>
    <w:div w:id="1596283692">
      <w:bodyDiv w:val="1"/>
      <w:marLeft w:val="0"/>
      <w:marRight w:val="0"/>
      <w:marTop w:val="0"/>
      <w:marBottom w:val="0"/>
      <w:divBdr>
        <w:top w:val="none" w:sz="0" w:space="0" w:color="auto"/>
        <w:left w:val="none" w:sz="0" w:space="0" w:color="auto"/>
        <w:bottom w:val="none" w:sz="0" w:space="0" w:color="auto"/>
        <w:right w:val="none" w:sz="0" w:space="0" w:color="auto"/>
      </w:divBdr>
    </w:div>
    <w:div w:id="1598830593">
      <w:bodyDiv w:val="1"/>
      <w:marLeft w:val="0"/>
      <w:marRight w:val="0"/>
      <w:marTop w:val="0"/>
      <w:marBottom w:val="0"/>
      <w:divBdr>
        <w:top w:val="none" w:sz="0" w:space="0" w:color="auto"/>
        <w:left w:val="none" w:sz="0" w:space="0" w:color="auto"/>
        <w:bottom w:val="none" w:sz="0" w:space="0" w:color="auto"/>
        <w:right w:val="none" w:sz="0" w:space="0" w:color="auto"/>
      </w:divBdr>
    </w:div>
    <w:div w:id="1602179899">
      <w:bodyDiv w:val="1"/>
      <w:marLeft w:val="0"/>
      <w:marRight w:val="0"/>
      <w:marTop w:val="0"/>
      <w:marBottom w:val="0"/>
      <w:divBdr>
        <w:top w:val="none" w:sz="0" w:space="0" w:color="auto"/>
        <w:left w:val="none" w:sz="0" w:space="0" w:color="auto"/>
        <w:bottom w:val="none" w:sz="0" w:space="0" w:color="auto"/>
        <w:right w:val="none" w:sz="0" w:space="0" w:color="auto"/>
      </w:divBdr>
    </w:div>
    <w:div w:id="1613441640">
      <w:bodyDiv w:val="1"/>
      <w:marLeft w:val="0"/>
      <w:marRight w:val="0"/>
      <w:marTop w:val="0"/>
      <w:marBottom w:val="0"/>
      <w:divBdr>
        <w:top w:val="none" w:sz="0" w:space="0" w:color="auto"/>
        <w:left w:val="none" w:sz="0" w:space="0" w:color="auto"/>
        <w:bottom w:val="none" w:sz="0" w:space="0" w:color="auto"/>
        <w:right w:val="none" w:sz="0" w:space="0" w:color="auto"/>
      </w:divBdr>
    </w:div>
    <w:div w:id="1618097375">
      <w:bodyDiv w:val="1"/>
      <w:marLeft w:val="0"/>
      <w:marRight w:val="0"/>
      <w:marTop w:val="0"/>
      <w:marBottom w:val="0"/>
      <w:divBdr>
        <w:top w:val="none" w:sz="0" w:space="0" w:color="auto"/>
        <w:left w:val="none" w:sz="0" w:space="0" w:color="auto"/>
        <w:bottom w:val="none" w:sz="0" w:space="0" w:color="auto"/>
        <w:right w:val="none" w:sz="0" w:space="0" w:color="auto"/>
      </w:divBdr>
    </w:div>
    <w:div w:id="1624385979">
      <w:bodyDiv w:val="1"/>
      <w:marLeft w:val="0"/>
      <w:marRight w:val="0"/>
      <w:marTop w:val="0"/>
      <w:marBottom w:val="0"/>
      <w:divBdr>
        <w:top w:val="none" w:sz="0" w:space="0" w:color="auto"/>
        <w:left w:val="none" w:sz="0" w:space="0" w:color="auto"/>
        <w:bottom w:val="none" w:sz="0" w:space="0" w:color="auto"/>
        <w:right w:val="none" w:sz="0" w:space="0" w:color="auto"/>
      </w:divBdr>
    </w:div>
    <w:div w:id="1628926696">
      <w:bodyDiv w:val="1"/>
      <w:marLeft w:val="0"/>
      <w:marRight w:val="0"/>
      <w:marTop w:val="0"/>
      <w:marBottom w:val="0"/>
      <w:divBdr>
        <w:top w:val="none" w:sz="0" w:space="0" w:color="auto"/>
        <w:left w:val="none" w:sz="0" w:space="0" w:color="auto"/>
        <w:bottom w:val="none" w:sz="0" w:space="0" w:color="auto"/>
        <w:right w:val="none" w:sz="0" w:space="0" w:color="auto"/>
      </w:divBdr>
    </w:div>
    <w:div w:id="1635404569">
      <w:bodyDiv w:val="1"/>
      <w:marLeft w:val="0"/>
      <w:marRight w:val="0"/>
      <w:marTop w:val="0"/>
      <w:marBottom w:val="0"/>
      <w:divBdr>
        <w:top w:val="none" w:sz="0" w:space="0" w:color="auto"/>
        <w:left w:val="none" w:sz="0" w:space="0" w:color="auto"/>
        <w:bottom w:val="none" w:sz="0" w:space="0" w:color="auto"/>
        <w:right w:val="none" w:sz="0" w:space="0" w:color="auto"/>
      </w:divBdr>
    </w:div>
    <w:div w:id="1657419910">
      <w:bodyDiv w:val="1"/>
      <w:marLeft w:val="0"/>
      <w:marRight w:val="0"/>
      <w:marTop w:val="0"/>
      <w:marBottom w:val="0"/>
      <w:divBdr>
        <w:top w:val="none" w:sz="0" w:space="0" w:color="auto"/>
        <w:left w:val="none" w:sz="0" w:space="0" w:color="auto"/>
        <w:bottom w:val="none" w:sz="0" w:space="0" w:color="auto"/>
        <w:right w:val="none" w:sz="0" w:space="0" w:color="auto"/>
      </w:divBdr>
    </w:div>
    <w:div w:id="1659765658">
      <w:bodyDiv w:val="1"/>
      <w:marLeft w:val="0"/>
      <w:marRight w:val="0"/>
      <w:marTop w:val="0"/>
      <w:marBottom w:val="0"/>
      <w:divBdr>
        <w:top w:val="none" w:sz="0" w:space="0" w:color="auto"/>
        <w:left w:val="none" w:sz="0" w:space="0" w:color="auto"/>
        <w:bottom w:val="none" w:sz="0" w:space="0" w:color="auto"/>
        <w:right w:val="none" w:sz="0" w:space="0" w:color="auto"/>
      </w:divBdr>
    </w:div>
    <w:div w:id="1705985890">
      <w:bodyDiv w:val="1"/>
      <w:marLeft w:val="0"/>
      <w:marRight w:val="0"/>
      <w:marTop w:val="0"/>
      <w:marBottom w:val="0"/>
      <w:divBdr>
        <w:top w:val="none" w:sz="0" w:space="0" w:color="auto"/>
        <w:left w:val="none" w:sz="0" w:space="0" w:color="auto"/>
        <w:bottom w:val="none" w:sz="0" w:space="0" w:color="auto"/>
        <w:right w:val="none" w:sz="0" w:space="0" w:color="auto"/>
      </w:divBdr>
    </w:div>
    <w:div w:id="1714377893">
      <w:bodyDiv w:val="1"/>
      <w:marLeft w:val="0"/>
      <w:marRight w:val="0"/>
      <w:marTop w:val="0"/>
      <w:marBottom w:val="0"/>
      <w:divBdr>
        <w:top w:val="none" w:sz="0" w:space="0" w:color="auto"/>
        <w:left w:val="none" w:sz="0" w:space="0" w:color="auto"/>
        <w:bottom w:val="none" w:sz="0" w:space="0" w:color="auto"/>
        <w:right w:val="none" w:sz="0" w:space="0" w:color="auto"/>
      </w:divBdr>
    </w:div>
    <w:div w:id="1725905567">
      <w:bodyDiv w:val="1"/>
      <w:marLeft w:val="0"/>
      <w:marRight w:val="0"/>
      <w:marTop w:val="0"/>
      <w:marBottom w:val="0"/>
      <w:divBdr>
        <w:top w:val="none" w:sz="0" w:space="0" w:color="auto"/>
        <w:left w:val="none" w:sz="0" w:space="0" w:color="auto"/>
        <w:bottom w:val="none" w:sz="0" w:space="0" w:color="auto"/>
        <w:right w:val="none" w:sz="0" w:space="0" w:color="auto"/>
      </w:divBdr>
    </w:div>
    <w:div w:id="1748305867">
      <w:bodyDiv w:val="1"/>
      <w:marLeft w:val="0"/>
      <w:marRight w:val="0"/>
      <w:marTop w:val="0"/>
      <w:marBottom w:val="0"/>
      <w:divBdr>
        <w:top w:val="none" w:sz="0" w:space="0" w:color="auto"/>
        <w:left w:val="none" w:sz="0" w:space="0" w:color="auto"/>
        <w:bottom w:val="none" w:sz="0" w:space="0" w:color="auto"/>
        <w:right w:val="none" w:sz="0" w:space="0" w:color="auto"/>
      </w:divBdr>
    </w:div>
    <w:div w:id="1774977577">
      <w:bodyDiv w:val="1"/>
      <w:marLeft w:val="0"/>
      <w:marRight w:val="0"/>
      <w:marTop w:val="0"/>
      <w:marBottom w:val="0"/>
      <w:divBdr>
        <w:top w:val="none" w:sz="0" w:space="0" w:color="auto"/>
        <w:left w:val="none" w:sz="0" w:space="0" w:color="auto"/>
        <w:bottom w:val="none" w:sz="0" w:space="0" w:color="auto"/>
        <w:right w:val="none" w:sz="0" w:space="0" w:color="auto"/>
      </w:divBdr>
    </w:div>
    <w:div w:id="1775049603">
      <w:bodyDiv w:val="1"/>
      <w:marLeft w:val="0"/>
      <w:marRight w:val="0"/>
      <w:marTop w:val="0"/>
      <w:marBottom w:val="0"/>
      <w:divBdr>
        <w:top w:val="none" w:sz="0" w:space="0" w:color="auto"/>
        <w:left w:val="none" w:sz="0" w:space="0" w:color="auto"/>
        <w:bottom w:val="none" w:sz="0" w:space="0" w:color="auto"/>
        <w:right w:val="none" w:sz="0" w:space="0" w:color="auto"/>
      </w:divBdr>
    </w:div>
    <w:div w:id="1788625117">
      <w:bodyDiv w:val="1"/>
      <w:marLeft w:val="0"/>
      <w:marRight w:val="0"/>
      <w:marTop w:val="0"/>
      <w:marBottom w:val="0"/>
      <w:divBdr>
        <w:top w:val="none" w:sz="0" w:space="0" w:color="auto"/>
        <w:left w:val="none" w:sz="0" w:space="0" w:color="auto"/>
        <w:bottom w:val="none" w:sz="0" w:space="0" w:color="auto"/>
        <w:right w:val="none" w:sz="0" w:space="0" w:color="auto"/>
      </w:divBdr>
    </w:div>
    <w:div w:id="1817338046">
      <w:bodyDiv w:val="1"/>
      <w:marLeft w:val="0"/>
      <w:marRight w:val="0"/>
      <w:marTop w:val="0"/>
      <w:marBottom w:val="0"/>
      <w:divBdr>
        <w:top w:val="none" w:sz="0" w:space="0" w:color="auto"/>
        <w:left w:val="none" w:sz="0" w:space="0" w:color="auto"/>
        <w:bottom w:val="none" w:sz="0" w:space="0" w:color="auto"/>
        <w:right w:val="none" w:sz="0" w:space="0" w:color="auto"/>
      </w:divBdr>
    </w:div>
    <w:div w:id="1838500102">
      <w:bodyDiv w:val="1"/>
      <w:marLeft w:val="0"/>
      <w:marRight w:val="0"/>
      <w:marTop w:val="0"/>
      <w:marBottom w:val="0"/>
      <w:divBdr>
        <w:top w:val="none" w:sz="0" w:space="0" w:color="auto"/>
        <w:left w:val="none" w:sz="0" w:space="0" w:color="auto"/>
        <w:bottom w:val="none" w:sz="0" w:space="0" w:color="auto"/>
        <w:right w:val="none" w:sz="0" w:space="0" w:color="auto"/>
      </w:divBdr>
    </w:div>
    <w:div w:id="1859931942">
      <w:bodyDiv w:val="1"/>
      <w:marLeft w:val="0"/>
      <w:marRight w:val="0"/>
      <w:marTop w:val="0"/>
      <w:marBottom w:val="0"/>
      <w:divBdr>
        <w:top w:val="none" w:sz="0" w:space="0" w:color="auto"/>
        <w:left w:val="none" w:sz="0" w:space="0" w:color="auto"/>
        <w:bottom w:val="none" w:sz="0" w:space="0" w:color="auto"/>
        <w:right w:val="none" w:sz="0" w:space="0" w:color="auto"/>
      </w:divBdr>
    </w:div>
    <w:div w:id="1866290143">
      <w:bodyDiv w:val="1"/>
      <w:marLeft w:val="0"/>
      <w:marRight w:val="0"/>
      <w:marTop w:val="0"/>
      <w:marBottom w:val="0"/>
      <w:divBdr>
        <w:top w:val="none" w:sz="0" w:space="0" w:color="auto"/>
        <w:left w:val="none" w:sz="0" w:space="0" w:color="auto"/>
        <w:bottom w:val="none" w:sz="0" w:space="0" w:color="auto"/>
        <w:right w:val="none" w:sz="0" w:space="0" w:color="auto"/>
      </w:divBdr>
    </w:div>
    <w:div w:id="1868519581">
      <w:bodyDiv w:val="1"/>
      <w:marLeft w:val="0"/>
      <w:marRight w:val="0"/>
      <w:marTop w:val="0"/>
      <w:marBottom w:val="0"/>
      <w:divBdr>
        <w:top w:val="none" w:sz="0" w:space="0" w:color="auto"/>
        <w:left w:val="none" w:sz="0" w:space="0" w:color="auto"/>
        <w:bottom w:val="none" w:sz="0" w:space="0" w:color="auto"/>
        <w:right w:val="none" w:sz="0" w:space="0" w:color="auto"/>
      </w:divBdr>
    </w:div>
    <w:div w:id="1872067989">
      <w:bodyDiv w:val="1"/>
      <w:marLeft w:val="0"/>
      <w:marRight w:val="0"/>
      <w:marTop w:val="0"/>
      <w:marBottom w:val="0"/>
      <w:divBdr>
        <w:top w:val="none" w:sz="0" w:space="0" w:color="auto"/>
        <w:left w:val="none" w:sz="0" w:space="0" w:color="auto"/>
        <w:bottom w:val="none" w:sz="0" w:space="0" w:color="auto"/>
        <w:right w:val="none" w:sz="0" w:space="0" w:color="auto"/>
      </w:divBdr>
    </w:div>
    <w:div w:id="1883012170">
      <w:bodyDiv w:val="1"/>
      <w:marLeft w:val="0"/>
      <w:marRight w:val="0"/>
      <w:marTop w:val="0"/>
      <w:marBottom w:val="0"/>
      <w:divBdr>
        <w:top w:val="none" w:sz="0" w:space="0" w:color="auto"/>
        <w:left w:val="none" w:sz="0" w:space="0" w:color="auto"/>
        <w:bottom w:val="none" w:sz="0" w:space="0" w:color="auto"/>
        <w:right w:val="none" w:sz="0" w:space="0" w:color="auto"/>
      </w:divBdr>
    </w:div>
    <w:div w:id="1893808236">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1909026873">
      <w:bodyDiv w:val="1"/>
      <w:marLeft w:val="0"/>
      <w:marRight w:val="0"/>
      <w:marTop w:val="0"/>
      <w:marBottom w:val="0"/>
      <w:divBdr>
        <w:top w:val="none" w:sz="0" w:space="0" w:color="auto"/>
        <w:left w:val="none" w:sz="0" w:space="0" w:color="auto"/>
        <w:bottom w:val="none" w:sz="0" w:space="0" w:color="auto"/>
        <w:right w:val="none" w:sz="0" w:space="0" w:color="auto"/>
      </w:divBdr>
    </w:div>
    <w:div w:id="1909152377">
      <w:bodyDiv w:val="1"/>
      <w:marLeft w:val="0"/>
      <w:marRight w:val="0"/>
      <w:marTop w:val="0"/>
      <w:marBottom w:val="0"/>
      <w:divBdr>
        <w:top w:val="none" w:sz="0" w:space="0" w:color="auto"/>
        <w:left w:val="none" w:sz="0" w:space="0" w:color="auto"/>
        <w:bottom w:val="none" w:sz="0" w:space="0" w:color="auto"/>
        <w:right w:val="none" w:sz="0" w:space="0" w:color="auto"/>
      </w:divBdr>
    </w:div>
    <w:div w:id="1913470721">
      <w:bodyDiv w:val="1"/>
      <w:marLeft w:val="0"/>
      <w:marRight w:val="0"/>
      <w:marTop w:val="0"/>
      <w:marBottom w:val="0"/>
      <w:divBdr>
        <w:top w:val="none" w:sz="0" w:space="0" w:color="auto"/>
        <w:left w:val="none" w:sz="0" w:space="0" w:color="auto"/>
        <w:bottom w:val="none" w:sz="0" w:space="0" w:color="auto"/>
        <w:right w:val="none" w:sz="0" w:space="0" w:color="auto"/>
      </w:divBdr>
    </w:div>
    <w:div w:id="1918856300">
      <w:bodyDiv w:val="1"/>
      <w:marLeft w:val="0"/>
      <w:marRight w:val="0"/>
      <w:marTop w:val="0"/>
      <w:marBottom w:val="0"/>
      <w:divBdr>
        <w:top w:val="none" w:sz="0" w:space="0" w:color="auto"/>
        <w:left w:val="none" w:sz="0" w:space="0" w:color="auto"/>
        <w:bottom w:val="none" w:sz="0" w:space="0" w:color="auto"/>
        <w:right w:val="none" w:sz="0" w:space="0" w:color="auto"/>
      </w:divBdr>
    </w:div>
    <w:div w:id="1920671306">
      <w:bodyDiv w:val="1"/>
      <w:marLeft w:val="0"/>
      <w:marRight w:val="0"/>
      <w:marTop w:val="0"/>
      <w:marBottom w:val="0"/>
      <w:divBdr>
        <w:top w:val="none" w:sz="0" w:space="0" w:color="auto"/>
        <w:left w:val="none" w:sz="0" w:space="0" w:color="auto"/>
        <w:bottom w:val="none" w:sz="0" w:space="0" w:color="auto"/>
        <w:right w:val="none" w:sz="0" w:space="0" w:color="auto"/>
      </w:divBdr>
    </w:div>
    <w:div w:id="1924677104">
      <w:bodyDiv w:val="1"/>
      <w:marLeft w:val="0"/>
      <w:marRight w:val="0"/>
      <w:marTop w:val="0"/>
      <w:marBottom w:val="0"/>
      <w:divBdr>
        <w:top w:val="none" w:sz="0" w:space="0" w:color="auto"/>
        <w:left w:val="none" w:sz="0" w:space="0" w:color="auto"/>
        <w:bottom w:val="none" w:sz="0" w:space="0" w:color="auto"/>
        <w:right w:val="none" w:sz="0" w:space="0" w:color="auto"/>
      </w:divBdr>
    </w:div>
    <w:div w:id="1925530932">
      <w:bodyDiv w:val="1"/>
      <w:marLeft w:val="0"/>
      <w:marRight w:val="0"/>
      <w:marTop w:val="0"/>
      <w:marBottom w:val="0"/>
      <w:divBdr>
        <w:top w:val="none" w:sz="0" w:space="0" w:color="auto"/>
        <w:left w:val="none" w:sz="0" w:space="0" w:color="auto"/>
        <w:bottom w:val="none" w:sz="0" w:space="0" w:color="auto"/>
        <w:right w:val="none" w:sz="0" w:space="0" w:color="auto"/>
      </w:divBdr>
    </w:div>
    <w:div w:id="1934700234">
      <w:bodyDiv w:val="1"/>
      <w:marLeft w:val="0"/>
      <w:marRight w:val="0"/>
      <w:marTop w:val="0"/>
      <w:marBottom w:val="0"/>
      <w:divBdr>
        <w:top w:val="none" w:sz="0" w:space="0" w:color="auto"/>
        <w:left w:val="none" w:sz="0" w:space="0" w:color="auto"/>
        <w:bottom w:val="none" w:sz="0" w:space="0" w:color="auto"/>
        <w:right w:val="none" w:sz="0" w:space="0" w:color="auto"/>
      </w:divBdr>
    </w:div>
    <w:div w:id="1962154132">
      <w:bodyDiv w:val="1"/>
      <w:marLeft w:val="0"/>
      <w:marRight w:val="0"/>
      <w:marTop w:val="0"/>
      <w:marBottom w:val="0"/>
      <w:divBdr>
        <w:top w:val="none" w:sz="0" w:space="0" w:color="auto"/>
        <w:left w:val="none" w:sz="0" w:space="0" w:color="auto"/>
        <w:bottom w:val="none" w:sz="0" w:space="0" w:color="auto"/>
        <w:right w:val="none" w:sz="0" w:space="0" w:color="auto"/>
      </w:divBdr>
    </w:div>
    <w:div w:id="1971010819">
      <w:bodyDiv w:val="1"/>
      <w:marLeft w:val="0"/>
      <w:marRight w:val="0"/>
      <w:marTop w:val="0"/>
      <w:marBottom w:val="0"/>
      <w:divBdr>
        <w:top w:val="none" w:sz="0" w:space="0" w:color="auto"/>
        <w:left w:val="none" w:sz="0" w:space="0" w:color="auto"/>
        <w:bottom w:val="none" w:sz="0" w:space="0" w:color="auto"/>
        <w:right w:val="none" w:sz="0" w:space="0" w:color="auto"/>
      </w:divBdr>
    </w:div>
    <w:div w:id="1975982671">
      <w:bodyDiv w:val="1"/>
      <w:marLeft w:val="0"/>
      <w:marRight w:val="0"/>
      <w:marTop w:val="0"/>
      <w:marBottom w:val="0"/>
      <w:divBdr>
        <w:top w:val="none" w:sz="0" w:space="0" w:color="auto"/>
        <w:left w:val="none" w:sz="0" w:space="0" w:color="auto"/>
        <w:bottom w:val="none" w:sz="0" w:space="0" w:color="auto"/>
        <w:right w:val="none" w:sz="0" w:space="0" w:color="auto"/>
      </w:divBdr>
    </w:div>
    <w:div w:id="1997490821">
      <w:bodyDiv w:val="1"/>
      <w:marLeft w:val="0"/>
      <w:marRight w:val="0"/>
      <w:marTop w:val="0"/>
      <w:marBottom w:val="0"/>
      <w:divBdr>
        <w:top w:val="none" w:sz="0" w:space="0" w:color="auto"/>
        <w:left w:val="none" w:sz="0" w:space="0" w:color="auto"/>
        <w:bottom w:val="none" w:sz="0" w:space="0" w:color="auto"/>
        <w:right w:val="none" w:sz="0" w:space="0" w:color="auto"/>
      </w:divBdr>
    </w:div>
    <w:div w:id="2001543550">
      <w:bodyDiv w:val="1"/>
      <w:marLeft w:val="0"/>
      <w:marRight w:val="0"/>
      <w:marTop w:val="0"/>
      <w:marBottom w:val="0"/>
      <w:divBdr>
        <w:top w:val="none" w:sz="0" w:space="0" w:color="auto"/>
        <w:left w:val="none" w:sz="0" w:space="0" w:color="auto"/>
        <w:bottom w:val="none" w:sz="0" w:space="0" w:color="auto"/>
        <w:right w:val="none" w:sz="0" w:space="0" w:color="auto"/>
      </w:divBdr>
    </w:div>
    <w:div w:id="2014454711">
      <w:bodyDiv w:val="1"/>
      <w:marLeft w:val="0"/>
      <w:marRight w:val="0"/>
      <w:marTop w:val="0"/>
      <w:marBottom w:val="0"/>
      <w:divBdr>
        <w:top w:val="none" w:sz="0" w:space="0" w:color="auto"/>
        <w:left w:val="none" w:sz="0" w:space="0" w:color="auto"/>
        <w:bottom w:val="none" w:sz="0" w:space="0" w:color="auto"/>
        <w:right w:val="none" w:sz="0" w:space="0" w:color="auto"/>
      </w:divBdr>
    </w:div>
    <w:div w:id="2027978195">
      <w:bodyDiv w:val="1"/>
      <w:marLeft w:val="0"/>
      <w:marRight w:val="0"/>
      <w:marTop w:val="0"/>
      <w:marBottom w:val="0"/>
      <w:divBdr>
        <w:top w:val="none" w:sz="0" w:space="0" w:color="auto"/>
        <w:left w:val="none" w:sz="0" w:space="0" w:color="auto"/>
        <w:bottom w:val="none" w:sz="0" w:space="0" w:color="auto"/>
        <w:right w:val="none" w:sz="0" w:space="0" w:color="auto"/>
      </w:divBdr>
    </w:div>
    <w:div w:id="2032876839">
      <w:bodyDiv w:val="1"/>
      <w:marLeft w:val="0"/>
      <w:marRight w:val="0"/>
      <w:marTop w:val="0"/>
      <w:marBottom w:val="0"/>
      <w:divBdr>
        <w:top w:val="none" w:sz="0" w:space="0" w:color="auto"/>
        <w:left w:val="none" w:sz="0" w:space="0" w:color="auto"/>
        <w:bottom w:val="none" w:sz="0" w:space="0" w:color="auto"/>
        <w:right w:val="none" w:sz="0" w:space="0" w:color="auto"/>
      </w:divBdr>
    </w:div>
    <w:div w:id="2035766693">
      <w:bodyDiv w:val="1"/>
      <w:marLeft w:val="0"/>
      <w:marRight w:val="0"/>
      <w:marTop w:val="0"/>
      <w:marBottom w:val="0"/>
      <w:divBdr>
        <w:top w:val="none" w:sz="0" w:space="0" w:color="auto"/>
        <w:left w:val="none" w:sz="0" w:space="0" w:color="auto"/>
        <w:bottom w:val="none" w:sz="0" w:space="0" w:color="auto"/>
        <w:right w:val="none" w:sz="0" w:space="0" w:color="auto"/>
      </w:divBdr>
    </w:div>
    <w:div w:id="2037846881">
      <w:bodyDiv w:val="1"/>
      <w:marLeft w:val="0"/>
      <w:marRight w:val="0"/>
      <w:marTop w:val="0"/>
      <w:marBottom w:val="0"/>
      <w:divBdr>
        <w:top w:val="none" w:sz="0" w:space="0" w:color="auto"/>
        <w:left w:val="none" w:sz="0" w:space="0" w:color="auto"/>
        <w:bottom w:val="none" w:sz="0" w:space="0" w:color="auto"/>
        <w:right w:val="none" w:sz="0" w:space="0" w:color="auto"/>
      </w:divBdr>
    </w:div>
    <w:div w:id="2042129274">
      <w:bodyDiv w:val="1"/>
      <w:marLeft w:val="0"/>
      <w:marRight w:val="0"/>
      <w:marTop w:val="0"/>
      <w:marBottom w:val="0"/>
      <w:divBdr>
        <w:top w:val="none" w:sz="0" w:space="0" w:color="auto"/>
        <w:left w:val="none" w:sz="0" w:space="0" w:color="auto"/>
        <w:bottom w:val="none" w:sz="0" w:space="0" w:color="auto"/>
        <w:right w:val="none" w:sz="0" w:space="0" w:color="auto"/>
      </w:divBdr>
    </w:div>
    <w:div w:id="2049989302">
      <w:bodyDiv w:val="1"/>
      <w:marLeft w:val="0"/>
      <w:marRight w:val="0"/>
      <w:marTop w:val="0"/>
      <w:marBottom w:val="0"/>
      <w:divBdr>
        <w:top w:val="none" w:sz="0" w:space="0" w:color="auto"/>
        <w:left w:val="none" w:sz="0" w:space="0" w:color="auto"/>
        <w:bottom w:val="none" w:sz="0" w:space="0" w:color="auto"/>
        <w:right w:val="none" w:sz="0" w:space="0" w:color="auto"/>
      </w:divBdr>
    </w:div>
    <w:div w:id="2068795464">
      <w:bodyDiv w:val="1"/>
      <w:marLeft w:val="0"/>
      <w:marRight w:val="0"/>
      <w:marTop w:val="0"/>
      <w:marBottom w:val="0"/>
      <w:divBdr>
        <w:top w:val="none" w:sz="0" w:space="0" w:color="auto"/>
        <w:left w:val="none" w:sz="0" w:space="0" w:color="auto"/>
        <w:bottom w:val="none" w:sz="0" w:space="0" w:color="auto"/>
        <w:right w:val="none" w:sz="0" w:space="0" w:color="auto"/>
      </w:divBdr>
    </w:div>
    <w:div w:id="2083330954">
      <w:bodyDiv w:val="1"/>
      <w:marLeft w:val="0"/>
      <w:marRight w:val="0"/>
      <w:marTop w:val="0"/>
      <w:marBottom w:val="0"/>
      <w:divBdr>
        <w:top w:val="none" w:sz="0" w:space="0" w:color="auto"/>
        <w:left w:val="none" w:sz="0" w:space="0" w:color="auto"/>
        <w:bottom w:val="none" w:sz="0" w:space="0" w:color="auto"/>
        <w:right w:val="none" w:sz="0" w:space="0" w:color="auto"/>
      </w:divBdr>
    </w:div>
    <w:div w:id="2087412102">
      <w:bodyDiv w:val="1"/>
      <w:marLeft w:val="0"/>
      <w:marRight w:val="0"/>
      <w:marTop w:val="0"/>
      <w:marBottom w:val="0"/>
      <w:divBdr>
        <w:top w:val="none" w:sz="0" w:space="0" w:color="auto"/>
        <w:left w:val="none" w:sz="0" w:space="0" w:color="auto"/>
        <w:bottom w:val="none" w:sz="0" w:space="0" w:color="auto"/>
        <w:right w:val="none" w:sz="0" w:space="0" w:color="auto"/>
      </w:divBdr>
    </w:div>
    <w:div w:id="2090734380">
      <w:bodyDiv w:val="1"/>
      <w:marLeft w:val="0"/>
      <w:marRight w:val="0"/>
      <w:marTop w:val="0"/>
      <w:marBottom w:val="0"/>
      <w:divBdr>
        <w:top w:val="none" w:sz="0" w:space="0" w:color="auto"/>
        <w:left w:val="none" w:sz="0" w:space="0" w:color="auto"/>
        <w:bottom w:val="none" w:sz="0" w:space="0" w:color="auto"/>
        <w:right w:val="none" w:sz="0" w:space="0" w:color="auto"/>
      </w:divBdr>
    </w:div>
    <w:div w:id="2094350242">
      <w:bodyDiv w:val="1"/>
      <w:marLeft w:val="0"/>
      <w:marRight w:val="0"/>
      <w:marTop w:val="0"/>
      <w:marBottom w:val="0"/>
      <w:divBdr>
        <w:top w:val="none" w:sz="0" w:space="0" w:color="auto"/>
        <w:left w:val="none" w:sz="0" w:space="0" w:color="auto"/>
        <w:bottom w:val="none" w:sz="0" w:space="0" w:color="auto"/>
        <w:right w:val="none" w:sz="0" w:space="0" w:color="auto"/>
      </w:divBdr>
    </w:div>
    <w:div w:id="2104493574">
      <w:bodyDiv w:val="1"/>
      <w:marLeft w:val="0"/>
      <w:marRight w:val="0"/>
      <w:marTop w:val="0"/>
      <w:marBottom w:val="0"/>
      <w:divBdr>
        <w:top w:val="none" w:sz="0" w:space="0" w:color="auto"/>
        <w:left w:val="none" w:sz="0" w:space="0" w:color="auto"/>
        <w:bottom w:val="none" w:sz="0" w:space="0" w:color="auto"/>
        <w:right w:val="none" w:sz="0" w:space="0" w:color="auto"/>
      </w:divBdr>
    </w:div>
    <w:div w:id="2121105336">
      <w:bodyDiv w:val="1"/>
      <w:marLeft w:val="0"/>
      <w:marRight w:val="0"/>
      <w:marTop w:val="0"/>
      <w:marBottom w:val="0"/>
      <w:divBdr>
        <w:top w:val="none" w:sz="0" w:space="0" w:color="auto"/>
        <w:left w:val="none" w:sz="0" w:space="0" w:color="auto"/>
        <w:bottom w:val="none" w:sz="0" w:space="0" w:color="auto"/>
        <w:right w:val="none" w:sz="0" w:space="0" w:color="auto"/>
      </w:divBdr>
    </w:div>
    <w:div w:id="2123914576">
      <w:bodyDiv w:val="1"/>
      <w:marLeft w:val="0"/>
      <w:marRight w:val="0"/>
      <w:marTop w:val="0"/>
      <w:marBottom w:val="0"/>
      <w:divBdr>
        <w:top w:val="none" w:sz="0" w:space="0" w:color="auto"/>
        <w:left w:val="none" w:sz="0" w:space="0" w:color="auto"/>
        <w:bottom w:val="none" w:sz="0" w:space="0" w:color="auto"/>
        <w:right w:val="none" w:sz="0" w:space="0" w:color="auto"/>
      </w:divBdr>
    </w:div>
    <w:div w:id="2124231284">
      <w:bodyDiv w:val="1"/>
      <w:marLeft w:val="0"/>
      <w:marRight w:val="0"/>
      <w:marTop w:val="0"/>
      <w:marBottom w:val="0"/>
      <w:divBdr>
        <w:top w:val="none" w:sz="0" w:space="0" w:color="auto"/>
        <w:left w:val="none" w:sz="0" w:space="0" w:color="auto"/>
        <w:bottom w:val="none" w:sz="0" w:space="0" w:color="auto"/>
        <w:right w:val="none" w:sz="0" w:space="0" w:color="auto"/>
      </w:divBdr>
    </w:div>
    <w:div w:id="2133667496">
      <w:bodyDiv w:val="1"/>
      <w:marLeft w:val="0"/>
      <w:marRight w:val="0"/>
      <w:marTop w:val="0"/>
      <w:marBottom w:val="0"/>
      <w:divBdr>
        <w:top w:val="none" w:sz="0" w:space="0" w:color="auto"/>
        <w:left w:val="none" w:sz="0" w:space="0" w:color="auto"/>
        <w:bottom w:val="none" w:sz="0" w:space="0" w:color="auto"/>
        <w:right w:val="none" w:sz="0" w:space="0" w:color="auto"/>
      </w:divBdr>
    </w:div>
    <w:div w:id="2144540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emf"/><Relationship Id="rId21" Type="http://schemas.openxmlformats.org/officeDocument/2006/relationships/image" Target="media/image11.emf"/><Relationship Id="rId42" Type="http://schemas.openxmlformats.org/officeDocument/2006/relationships/hyperlink" Target="https://www.facebook.com/PoznanSTAT/" TargetMode="External"/><Relationship Id="rId47" Type="http://schemas.openxmlformats.org/officeDocument/2006/relationships/hyperlink" Target="https://bdl.stat.gov.pl/BDL/start" TargetMode="External"/><Relationship Id="rId63" Type="http://schemas.openxmlformats.org/officeDocument/2006/relationships/hyperlink" Target="https://stat.gov.pl/metainformacje/slownik-pojec/pojecia-stosowane-w-statystyce-publicznej/693,pojecie.html" TargetMode="External"/><Relationship Id="rId68" Type="http://schemas.openxmlformats.org/officeDocument/2006/relationships/hyperlink" Target="https://stat.gov.pl/metainformacje/slownik-pojec/pojecia-stosowane-w-statystyce-publicznej/2076,pojecie.html"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6.emf"/><Relationship Id="rId29" Type="http://schemas.openxmlformats.org/officeDocument/2006/relationships/image" Target="media/image19.emf"/><Relationship Id="rId11" Type="http://schemas.openxmlformats.org/officeDocument/2006/relationships/endnotes" Target="endnotes.xml"/><Relationship Id="rId24" Type="http://schemas.openxmlformats.org/officeDocument/2006/relationships/image" Target="media/image14.emf"/><Relationship Id="rId32" Type="http://schemas.openxmlformats.org/officeDocument/2006/relationships/image" Target="media/image22.emf"/><Relationship Id="rId37" Type="http://schemas.openxmlformats.org/officeDocument/2006/relationships/image" Target="media/image24.png"/><Relationship Id="rId40" Type="http://schemas.openxmlformats.org/officeDocument/2006/relationships/hyperlink" Target="https://x.com/poznan_stat" TargetMode="External"/><Relationship Id="rId45" Type="http://schemas.openxmlformats.org/officeDocument/2006/relationships/hyperlink" Target="https://ssgk.stat.gov.pl/" TargetMode="External"/><Relationship Id="rId53" Type="http://schemas.openxmlformats.org/officeDocument/2006/relationships/hyperlink" Target="https://stat.gov.pl/metainformacje/slownik-pojec/pojecia-stosowane-w-statystyce-publicznej/945,pojecie.html" TargetMode="External"/><Relationship Id="rId58" Type="http://schemas.openxmlformats.org/officeDocument/2006/relationships/hyperlink" Target="http://stat.gov.pl/banki-i-bazy-danych/platforma-analityczna-swaid-dziedzinowe-bazy-wiedzy/" TargetMode="External"/><Relationship Id="rId66" Type="http://schemas.openxmlformats.org/officeDocument/2006/relationships/hyperlink" Target="https://stat.gov.pl/metainformacje/slownik-pojec/pojecia-stosowane-w-statystyce-publicznej/223,pojecie.html" TargetMode="External"/><Relationship Id="rId5" Type="http://schemas.openxmlformats.org/officeDocument/2006/relationships/customXml" Target="../customXml/item5.xml"/><Relationship Id="rId61" Type="http://schemas.openxmlformats.org/officeDocument/2006/relationships/hyperlink" Target="https://stat.gov.pl/metainformacje/slownik-pojec/pojecia-stosowane-w-statystyce-publicznej/2389,pojecie.html" TargetMode="External"/><Relationship Id="rId19" Type="http://schemas.openxmlformats.org/officeDocument/2006/relationships/image" Target="media/image9.emf"/><Relationship Id="rId14" Type="http://schemas.openxmlformats.org/officeDocument/2006/relationships/footer" Target="footer2.xml"/><Relationship Id="rId22" Type="http://schemas.openxmlformats.org/officeDocument/2006/relationships/image" Target="media/image12.emf"/><Relationship Id="rId27" Type="http://schemas.openxmlformats.org/officeDocument/2006/relationships/image" Target="media/image17.emf"/><Relationship Id="rId30" Type="http://schemas.openxmlformats.org/officeDocument/2006/relationships/image" Target="media/image20.emf"/><Relationship Id="rId35" Type="http://schemas.openxmlformats.org/officeDocument/2006/relationships/footer" Target="footer3.xml"/><Relationship Id="rId43" Type="http://schemas.openxmlformats.org/officeDocument/2006/relationships/image" Target="media/image27.png"/><Relationship Id="rId48" Type="http://schemas.openxmlformats.org/officeDocument/2006/relationships/hyperlink" Target="https://stat.gov.pl/metainformacje/slownik-pojec/pojecia-stosowane-w-statystyce-publicznej/2958,pojecie.html" TargetMode="External"/><Relationship Id="rId56" Type="http://schemas.openxmlformats.org/officeDocument/2006/relationships/hyperlink" Target="https://stat.gov.pl/metainformacje/slownik-pojec/pojecia-stosowane-w-statystyce-publicznej/2076,pojecie.html" TargetMode="External"/><Relationship Id="rId64" Type="http://schemas.openxmlformats.org/officeDocument/2006/relationships/hyperlink" Target="https://stat.gov.pl/metainformacje/slownik-pojec/pojecia-stosowane-w-statystyce-publicznej/3763,pojecie.html" TargetMode="External"/><Relationship Id="rId69"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s://stat.gov.pl/metainformacje/slownik-pojec/pojecia-stosowane-w-statystyce-publicznej/693,pojecie.html"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7.emf"/><Relationship Id="rId25" Type="http://schemas.openxmlformats.org/officeDocument/2006/relationships/image" Target="media/image15.emf"/><Relationship Id="rId33" Type="http://schemas.openxmlformats.org/officeDocument/2006/relationships/image" Target="media/image23.emf"/><Relationship Id="rId38" Type="http://schemas.openxmlformats.org/officeDocument/2006/relationships/hyperlink" Target="http://poznan.stat.gov.pl/" TargetMode="External"/><Relationship Id="rId46" Type="http://schemas.openxmlformats.org/officeDocument/2006/relationships/hyperlink" Target="http://stat.gov.pl/banki-i-bazy-danych/platforma-analityczna-swaid-dziedzinowe-bazy-wiedzy/" TargetMode="External"/><Relationship Id="rId59" Type="http://schemas.openxmlformats.org/officeDocument/2006/relationships/hyperlink" Target="https://bdl.stat.gov.pl/BDL/start" TargetMode="External"/><Relationship Id="rId67" Type="http://schemas.openxmlformats.org/officeDocument/2006/relationships/hyperlink" Target="https://stat.gov.pl/metainformacje/slownik-pojec/pojecia-stosowane-w-statystyce-publicznej/814,pojecie.html" TargetMode="External"/><Relationship Id="rId20" Type="http://schemas.openxmlformats.org/officeDocument/2006/relationships/image" Target="media/image10.emf"/><Relationship Id="rId41" Type="http://schemas.openxmlformats.org/officeDocument/2006/relationships/image" Target="media/image26.png"/><Relationship Id="rId54" Type="http://schemas.openxmlformats.org/officeDocument/2006/relationships/hyperlink" Target="https://stat.gov.pl/metainformacje/slownik-pojec/pojecia-stosowane-w-statystyce-publicznej/223,pojecie.html" TargetMode="External"/><Relationship Id="rId62" Type="http://schemas.openxmlformats.org/officeDocument/2006/relationships/hyperlink" Target="https://stat.gov.pl/metainformacje/slownik-pojec/pojecia-stosowane-w-statystyce-publicznej/2390,pojecie.html"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image" Target="media/image18.emf"/><Relationship Id="rId36" Type="http://schemas.openxmlformats.org/officeDocument/2006/relationships/hyperlink" Target="mailto:a.olbrot@stat.gov.pl" TargetMode="External"/><Relationship Id="rId49" Type="http://schemas.openxmlformats.org/officeDocument/2006/relationships/hyperlink" Target="https://stat.gov.pl/metainformacje/slownik-pojec/pojecia-stosowane-w-statystyce-publicznej/2389,pojecie.html" TargetMode="External"/><Relationship Id="rId57" Type="http://schemas.openxmlformats.org/officeDocument/2006/relationships/hyperlink" Target="https://ssgk.stat.gov.pl/" TargetMode="External"/><Relationship Id="rId10" Type="http://schemas.openxmlformats.org/officeDocument/2006/relationships/footnotes" Target="footnotes.xml"/><Relationship Id="rId31" Type="http://schemas.openxmlformats.org/officeDocument/2006/relationships/image" Target="media/image21.emf"/><Relationship Id="rId44" Type="http://schemas.openxmlformats.org/officeDocument/2006/relationships/hyperlink" Target="https://www.youtube.com/@UrzadStatystycznywPoznaniu" TargetMode="External"/><Relationship Id="rId52" Type="http://schemas.openxmlformats.org/officeDocument/2006/relationships/hyperlink" Target="https://stat.gov.pl/metainformacje/slownik-pojec/pojecia-stosowane-w-statystyce-publicznej/3763,pojecie.html" TargetMode="External"/><Relationship Id="rId60" Type="http://schemas.openxmlformats.org/officeDocument/2006/relationships/hyperlink" Target="https://stat.gov.pl/metainformacje/slownik-pojec/pojecia-stosowane-w-statystyce-publicznej/2958,pojecie.html" TargetMode="External"/><Relationship Id="rId65" Type="http://schemas.openxmlformats.org/officeDocument/2006/relationships/hyperlink" Target="https://stat.gov.pl/metainformacje/slownik-pojec/pojecia-stosowane-w-statystyce-publicznej/945,pojecie.html"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8.emf"/><Relationship Id="rId39" Type="http://schemas.openxmlformats.org/officeDocument/2006/relationships/image" Target="media/image25.png"/><Relationship Id="rId34" Type="http://schemas.openxmlformats.org/officeDocument/2006/relationships/header" Target="header2.xml"/><Relationship Id="rId50" Type="http://schemas.openxmlformats.org/officeDocument/2006/relationships/hyperlink" Target="https://stat.gov.pl/metainformacje/slownik-pojec/pojecia-stosowane-w-statystyce-publicznej/2390,pojecie.html" TargetMode="External"/><Relationship Id="rId55" Type="http://schemas.openxmlformats.org/officeDocument/2006/relationships/hyperlink" Target="https://stat.gov.pl/metainformacje/slownik-pojec/pojecia-stosowane-w-statystyce-publicznej/814,pojecie.html"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0" ma:contentTypeDescription="Utwórz nowy dokument." ma:contentTypeScope="" ma:versionID="862468e506de763a75f0c99d3ddc06de">
  <xsd:schema xmlns:xsd="http://www.w3.org/2001/XMLSchema" xmlns:xs="http://www.w3.org/2001/XMLSchema" xmlns:p="http://schemas.microsoft.com/office/2006/metadata/properties" targetNamespace="http://schemas.microsoft.com/office/2006/metadata/properties" ma:root="true" ma:fieldsID="b2fdb080088ddf1bdd98b8e55b33ddc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FCB642-C1E9-4590-A884-732586E76322}">
  <ds:schemaRefs>
    <ds:schemaRef ds:uri="http://schemas.microsoft.com/sharepoint/v3/contenttype/forms"/>
  </ds:schemaRefs>
</ds:datastoreItem>
</file>

<file path=customXml/itemProps2.xml><?xml version="1.0" encoding="utf-8"?>
<ds:datastoreItem xmlns:ds="http://schemas.openxmlformats.org/officeDocument/2006/customXml" ds:itemID="{09E4560F-FFFB-4E37-BCAF-D51C900601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AD39804-E15D-40D9-A3F2-808567566B96}">
  <ds:schemaRefs>
    <ds:schemaRef ds:uri="http://purl.org/dc/elements/1.1/"/>
    <ds:schemaRef ds:uri="http://schemas.microsoft.com/office/infopath/2007/PartnerControls"/>
    <ds:schemaRef ds:uri="http://purl.org/dc/dcmitype/"/>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http://purl.org/dc/terms/"/>
  </ds:schemaRefs>
</ds:datastoreItem>
</file>

<file path=customXml/itemProps4.xml><?xml version="1.0" encoding="utf-8"?>
<ds:datastoreItem xmlns:ds="http://schemas.openxmlformats.org/officeDocument/2006/customXml" ds:itemID="{EA718087-BBE3-4E1B-BE84-A2EE385D1791}">
  <ds:schemaRefs>
    <ds:schemaRef ds:uri="http://www.w3.org/2001/XMLSchema"/>
    <ds:schemaRef ds:uri="http://www.zhaw.ch/AccessibilityAddIn"/>
  </ds:schemaRefs>
</ds:datastoreItem>
</file>

<file path=customXml/itemProps5.xml><?xml version="1.0" encoding="utf-8"?>
<ds:datastoreItem xmlns:ds="http://schemas.openxmlformats.org/officeDocument/2006/customXml" ds:itemID="{0EB7723D-CC72-4627-8E32-3D7B7EEA6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1763</TotalTime>
  <Pages>29</Pages>
  <Words>10125</Words>
  <Characters>59841</Characters>
  <Application>Microsoft Office Word</Application>
  <DocSecurity>0</DocSecurity>
  <Lines>2720</Lines>
  <Paragraphs>1793</Paragraphs>
  <ScaleCrop>false</ScaleCrop>
  <HeadingPairs>
    <vt:vector size="2" baseType="variant">
      <vt:variant>
        <vt:lpstr>Tytuł</vt:lpstr>
      </vt:variant>
      <vt:variant>
        <vt:i4>1</vt:i4>
      </vt:variant>
    </vt:vector>
  </HeadingPairs>
  <TitlesOfParts>
    <vt:vector size="1" baseType="lpstr">
      <vt:lpstr>Komunikat o sytuacji społeczno-gospodarczej województwa wielkopolskiego w lutym 2025 r.</vt:lpstr>
    </vt:vector>
  </TitlesOfParts>
  <Company/>
  <LinksUpToDate>false</LinksUpToDate>
  <CharactersWithSpaces>68173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Komunikat o sytuacji społeczno-gospodarczej województwa wielkopolskiego w lutym 2025 r.</dc:title>
  <dc:subject/>
  <cp:keywords/>
  <dc:description/>
  <cp:revision>186</cp:revision>
  <cp:lastPrinted>2025-03-28T08:56:00Z</cp:lastPrinted>
  <dcterms:created xsi:type="dcterms:W3CDTF">2025-03-13T10:38:00Z</dcterms:created>
  <dcterms:modified xsi:type="dcterms:W3CDTF">2025-03-28T08:57:00Z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