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w </w:t>
      </w:r>
      <w:r w:rsidR="008F04F2">
        <w:t>lutym</w:t>
      </w:r>
      <w:r>
        <w:t xml:space="preserve"> 202</w:t>
      </w:r>
      <w:r w:rsidR="008F04F2">
        <w:t>5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805CA2">
        <w:t>poprawa w relacji do poprzedniego okresu</w:t>
      </w:r>
      <w:r>
        <w:t>):</w:t>
      </w:r>
    </w:p>
    <w:p w:rsidR="00E77441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8F04F2">
        <w:t>styczniu</w:t>
      </w:r>
      <w:r>
        <w:t xml:space="preserve"> 20</w:t>
      </w:r>
      <w:r w:rsidR="008F04F2">
        <w:t>25</w:t>
      </w:r>
      <w:r>
        <w:t xml:space="preserve"> roku </w:t>
      </w:r>
      <w:r w:rsidR="00E77441">
        <w:t xml:space="preserve">– </w:t>
      </w:r>
      <w:r w:rsidR="008F04F2">
        <w:t>minus 2,6;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 xml:space="preserve">Wskaźnik w </w:t>
      </w:r>
      <w:r w:rsidR="008F04F2">
        <w:t>lutym</w:t>
      </w:r>
      <w:r>
        <w:t xml:space="preserve"> 202</w:t>
      </w:r>
      <w:r w:rsidR="008F04F2">
        <w:t>5</w:t>
      </w:r>
      <w:r>
        <w:t xml:space="preserve"> roku</w:t>
      </w:r>
      <w:r w:rsidR="00E77441">
        <w:t xml:space="preserve"> – minus</w:t>
      </w:r>
      <w:r w:rsidR="008F04F2">
        <w:t xml:space="preserve"> 2,2;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E77441">
        <w:t>pogorszenie</w:t>
      </w:r>
      <w:r w:rsidR="000E1C2B">
        <w:t xml:space="preserve"> </w:t>
      </w:r>
      <w:r w:rsidR="001B2C72">
        <w:t>w relacji do poprzedniego okresu):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styczniu 2025 roku – minus</w:t>
      </w:r>
      <w:r>
        <w:t xml:space="preserve"> 8,7;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lutym 2025 roku – minus</w:t>
      </w:r>
      <w:r>
        <w:t xml:space="preserve"> 11,0;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8F04F2">
        <w:t>poprawa</w:t>
      </w:r>
      <w:r w:rsidR="000E1C2B">
        <w:t xml:space="preserve"> </w:t>
      </w:r>
      <w:r w:rsidR="001B2C72">
        <w:t>w relacji do poprzedniego okresu):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styczniu 2025 roku – minus</w:t>
      </w:r>
      <w:r>
        <w:t xml:space="preserve"> 16,0;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lutym 2025 roku – minus</w:t>
      </w:r>
      <w:r>
        <w:t xml:space="preserve"> 6,9;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E77441">
        <w:t>poprawa</w:t>
      </w:r>
      <w:r w:rsidR="00805CA2">
        <w:t xml:space="preserve"> w relacji do poprzedniego okresu</w:t>
      </w:r>
      <w:r w:rsidR="001B2C72">
        <w:t>):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styczniu 2025 roku – minus</w:t>
      </w:r>
      <w:r>
        <w:t xml:space="preserve"> 9,3;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lutym 2025 roku – minus</w:t>
      </w:r>
      <w:r>
        <w:t xml:space="preserve"> 7,5;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8F04F2">
        <w:t>poprawa</w:t>
      </w:r>
      <w:r w:rsidR="00805CA2">
        <w:t xml:space="preserve"> w relacji do poprzedniego okresu</w:t>
      </w:r>
      <w:r w:rsidR="001B2C72">
        <w:t>):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styczniu 2025 roku – minus</w:t>
      </w:r>
      <w:r>
        <w:t xml:space="preserve"> 47,7;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lutym 2025 roku – minus</w:t>
      </w:r>
      <w:r>
        <w:t xml:space="preserve"> 30,9;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8F04F2">
        <w:t>poprawa</w:t>
      </w:r>
      <w:r w:rsidR="00805CA2">
        <w:t xml:space="preserve"> w relacji do poprzedniego okresu</w:t>
      </w:r>
      <w:r w:rsidR="001B2C72">
        <w:t>):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>Wskaźnik w styczniu 2025 roku –</w:t>
      </w:r>
      <w:r>
        <w:t xml:space="preserve"> 21,9;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 xml:space="preserve">Wskaźnik w lutym 2025 roku – </w:t>
      </w:r>
      <w:r>
        <w:t>37,7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8F04F2">
        <w:t>pogorszenie</w:t>
      </w:r>
      <w:r w:rsidR="00805CA2">
        <w:t xml:space="preserve"> w relacji do poprzedniego okresu</w:t>
      </w:r>
      <w:r w:rsidR="001B2C72">
        <w:t>):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 xml:space="preserve">Wskaźnik w styczniu 2025 roku – </w:t>
      </w:r>
      <w:r>
        <w:t>43,5;</w:t>
      </w:r>
    </w:p>
    <w:p w:rsidR="008F04F2" w:rsidRDefault="008F04F2" w:rsidP="008F04F2">
      <w:pPr>
        <w:pStyle w:val="Akapitzlist"/>
        <w:numPr>
          <w:ilvl w:val="1"/>
          <w:numId w:val="17"/>
        </w:numPr>
      </w:pPr>
      <w:r>
        <w:t xml:space="preserve">Wskaźnik w lutym 2025 roku – </w:t>
      </w:r>
      <w:r>
        <w:t>8,9.</w:t>
      </w:r>
    </w:p>
    <w:p w:rsidR="000E1C2B" w:rsidRDefault="00413962" w:rsidP="000E1C2B">
      <w:pPr>
        <w:pStyle w:val="Nagwek2"/>
      </w:pPr>
      <w:r>
        <w:t>Inwestycje</w:t>
      </w:r>
    </w:p>
    <w:p w:rsidR="00413962" w:rsidRDefault="00413962" w:rsidP="00413962">
      <w:r>
        <w:t>Przewidywania przedsiębiorców, co do poziomu inwestycji w ich firmach w 202</w:t>
      </w:r>
      <w:r w:rsidR="008F04F2">
        <w:t>5</w:t>
      </w:r>
      <w:r>
        <w:t xml:space="preserve"> roku w odniesieniu do inwestycji zrealizowanych w 202</w:t>
      </w:r>
      <w:r w:rsidR="008F04F2">
        <w:t>4</w:t>
      </w:r>
      <w:r>
        <w:t xml:space="preserve"> roku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Wzrost poziomu inwestycji: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Przetwórstwo przemysłowe </w:t>
      </w:r>
      <w:r w:rsidR="00504270">
        <w:t>–</w:t>
      </w:r>
      <w:r w:rsidR="008F04F2">
        <w:t xml:space="preserve"> 23,6%;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Budownictwo </w:t>
      </w:r>
      <w:r w:rsidR="00504270">
        <w:t>–</w:t>
      </w:r>
      <w:r w:rsidR="004024C8">
        <w:t xml:space="preserve"> </w:t>
      </w:r>
      <w:r w:rsidR="008F04F2">
        <w:t>15,5%;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Usługi </w:t>
      </w:r>
      <w:r w:rsidR="00504270">
        <w:t>–</w:t>
      </w:r>
      <w:r w:rsidR="004024C8">
        <w:t xml:space="preserve"> </w:t>
      </w:r>
      <w:r w:rsidR="008F04F2">
        <w:t>9,4%;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hurtowy </w:t>
      </w:r>
      <w:r w:rsidR="00504270">
        <w:t>–</w:t>
      </w:r>
      <w:r w:rsidR="004024C8">
        <w:t xml:space="preserve"> </w:t>
      </w:r>
      <w:r w:rsidR="008F04F2">
        <w:t>7,4%;</w:t>
      </w:r>
    </w:p>
    <w:p w:rsidR="00413962" w:rsidRDefault="00413962" w:rsidP="00413962">
      <w:pPr>
        <w:pStyle w:val="Akapitzlist"/>
        <w:numPr>
          <w:ilvl w:val="1"/>
          <w:numId w:val="20"/>
        </w:numPr>
      </w:pPr>
      <w:r>
        <w:t xml:space="preserve">Handel detaliczny </w:t>
      </w:r>
      <w:r w:rsidR="00504270">
        <w:t>–</w:t>
      </w:r>
      <w:r w:rsidR="004024C8">
        <w:t xml:space="preserve"> </w:t>
      </w:r>
      <w:r w:rsidR="008F04F2">
        <w:t>11,7%;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Utrzymanie poziomu inwestycji: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lastRenderedPageBreak/>
        <w:t>Przetwórstwo przemysłowe –</w:t>
      </w:r>
      <w:r>
        <w:t xml:space="preserve"> 45,5%;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Budownictwo – </w:t>
      </w:r>
      <w:r>
        <w:t>60,9%;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Usługi – </w:t>
      </w:r>
      <w:r>
        <w:t>69,4%;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Handel hurtowy – </w:t>
      </w:r>
      <w:r>
        <w:t>52,1%;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Handel detaliczny – </w:t>
      </w:r>
      <w:r>
        <w:t>60,4%;</w:t>
      </w:r>
    </w:p>
    <w:p w:rsidR="00413962" w:rsidRDefault="00413962" w:rsidP="00413962">
      <w:pPr>
        <w:pStyle w:val="Akapitzlist"/>
        <w:numPr>
          <w:ilvl w:val="0"/>
          <w:numId w:val="20"/>
        </w:numPr>
      </w:pPr>
      <w:r>
        <w:t>Spadek poziomu inwestycji: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>Przetwórstwo przemysłowe –</w:t>
      </w:r>
      <w:r>
        <w:t xml:space="preserve"> 30,9%;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Budownictwo – </w:t>
      </w:r>
      <w:r>
        <w:t>23,6%;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Usługi – </w:t>
      </w:r>
      <w:r>
        <w:t>21,2%;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Handel hurtowy – </w:t>
      </w:r>
      <w:r>
        <w:t>40,5%;</w:t>
      </w:r>
    </w:p>
    <w:p w:rsidR="008F04F2" w:rsidRDefault="008F04F2" w:rsidP="008F04F2">
      <w:pPr>
        <w:pStyle w:val="Akapitzlist"/>
        <w:numPr>
          <w:ilvl w:val="1"/>
          <w:numId w:val="20"/>
        </w:numPr>
      </w:pPr>
      <w:r>
        <w:t xml:space="preserve">Handel detaliczny – </w:t>
      </w:r>
      <w:r>
        <w:t>27,9%.</w:t>
      </w:r>
    </w:p>
    <w:p w:rsidR="00982605" w:rsidRDefault="00982605" w:rsidP="00982605">
      <w:pPr>
        <w:pStyle w:val="Nagwek2"/>
      </w:pPr>
      <w:r>
        <w:t>Bariery</w:t>
      </w:r>
    </w:p>
    <w:p w:rsidR="00982605" w:rsidRDefault="00982605" w:rsidP="00982605">
      <w:r>
        <w:t>Bariery, które w największym stopniu wpływają na skalę inwestycji firmy w bieżącym roku. W % ogóły odpowiedzi</w:t>
      </w:r>
    </w:p>
    <w:p w:rsidR="00982605" w:rsidRDefault="006E7DA6" w:rsidP="006E7DA6">
      <w:pPr>
        <w:pStyle w:val="Akapitzlist"/>
        <w:numPr>
          <w:ilvl w:val="0"/>
          <w:numId w:val="21"/>
        </w:numPr>
      </w:pPr>
      <w:r>
        <w:t>Wysokie koszty realizacji inwestycji: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55,2%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41,1%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36,6%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55,8%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59,0%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Trudności w pozyskaniu zewnętrznych źródeł finansowania: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13,1%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13,3%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17,3%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23,4%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17,0%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Długotrwałe procedury uzyskania zgody na inwestycji: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13,4%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8,5%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8,6%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8,4%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14,2%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Problemy z zatrudnieniem pracowników: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9,3%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23,5%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16,5%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7,4%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27,7%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lastRenderedPageBreak/>
        <w:t>Zerwane łańcuchy dostaw: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0,7%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0,5%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0,3%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0,2%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Wysoka inflacja: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21,5%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26,7%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23,9%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17,9%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22,3%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Niejasne, niespójne przepisy prawne: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22,6%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20,5%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23,1%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 w:rsidR="00474BA6">
        <w:t>35,0%;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2</w:t>
      </w:r>
      <w:r w:rsidR="00474BA6">
        <w:t>7,2%;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Niepewna sytuacja makroekonomiczna: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37,2%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23,0%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31,0%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36,4%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21,6%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Niedostateczny popyt na produkty/usługi oferowane przez firmę: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25,1%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29,4%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20,1%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22,1%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15,0%</w:t>
      </w:r>
      <w:r w:rsidR="00474BA6">
        <w:t>;</w:t>
      </w:r>
    </w:p>
    <w:p w:rsidR="006E7DA6" w:rsidRDefault="006E7DA6" w:rsidP="006E7DA6">
      <w:pPr>
        <w:pStyle w:val="Akapitzlist"/>
        <w:numPr>
          <w:ilvl w:val="0"/>
          <w:numId w:val="21"/>
        </w:numPr>
      </w:pPr>
      <w:r>
        <w:t>Brak barier: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>Przetwórstwo przemysłowe –</w:t>
      </w:r>
      <w:r>
        <w:t xml:space="preserve"> 18,1%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Budownictwo – </w:t>
      </w:r>
      <w:r>
        <w:t>8,9%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Usługi – </w:t>
      </w:r>
      <w:r>
        <w:t>12,1%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hurtowy – </w:t>
      </w:r>
      <w:r>
        <w:t>10,5%</w:t>
      </w:r>
      <w:r w:rsidR="00474BA6">
        <w:t>;</w:t>
      </w:r>
    </w:p>
    <w:p w:rsidR="008F04F2" w:rsidRDefault="008F04F2" w:rsidP="008F04F2">
      <w:pPr>
        <w:pStyle w:val="Akapitzlist"/>
        <w:numPr>
          <w:ilvl w:val="1"/>
          <w:numId w:val="21"/>
        </w:numPr>
      </w:pPr>
      <w:r>
        <w:t xml:space="preserve">Handel detaliczny – </w:t>
      </w:r>
      <w:r>
        <w:t>8,3%</w:t>
      </w:r>
      <w:r w:rsidR="00474BA6">
        <w:t>.</w:t>
      </w:r>
    </w:p>
    <w:p w:rsidR="00E749BD" w:rsidRDefault="00495D47" w:rsidP="00E749BD">
      <w:pPr>
        <w:pStyle w:val="Nagwek2"/>
      </w:pPr>
      <w:r>
        <w:lastRenderedPageBreak/>
        <w:t>Podejmowanie inwestycji</w:t>
      </w:r>
    </w:p>
    <w:p w:rsidR="000E1C2B" w:rsidRPr="000E1C2B" w:rsidRDefault="00495D47" w:rsidP="000E1C2B">
      <w:r>
        <w:t>Wpływ bieżących zmian sytuacji firmy oraz otoczenia rynkowego na skłonność do podejmowania inwestycji przez przedsiębiorców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Pozytywny</w:t>
      </w:r>
      <w:r w:rsidR="00E749BD">
        <w:t xml:space="preserve"> </w:t>
      </w:r>
      <w:r w:rsidR="00844797">
        <w:t>–</w:t>
      </w:r>
      <w:r w:rsidR="008F04F2">
        <w:t xml:space="preserve"> </w:t>
      </w:r>
      <w:r w:rsidR="00474BA6">
        <w:t>7,8%;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Neutralny</w:t>
      </w:r>
      <w:r w:rsidR="00E749BD">
        <w:t xml:space="preserve"> </w:t>
      </w:r>
      <w:r w:rsidR="00844797">
        <w:t>–</w:t>
      </w:r>
      <w:r w:rsidR="008F04F2">
        <w:t xml:space="preserve"> </w:t>
      </w:r>
      <w:r w:rsidR="00474BA6">
        <w:t>59,9%;</w:t>
      </w:r>
    </w:p>
    <w:p w:rsidR="00E749BD" w:rsidRDefault="00495D47" w:rsidP="00E749BD">
      <w:pPr>
        <w:pStyle w:val="Akapitzlist"/>
        <w:numPr>
          <w:ilvl w:val="1"/>
          <w:numId w:val="18"/>
        </w:numPr>
      </w:pPr>
      <w:r>
        <w:t>Negatywny</w:t>
      </w:r>
      <w:r w:rsidR="00E749BD">
        <w:t xml:space="preserve"> </w:t>
      </w:r>
      <w:r w:rsidR="00844797">
        <w:t xml:space="preserve">– </w:t>
      </w:r>
      <w:r w:rsidR="00474BA6">
        <w:t>32,3%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Pozytywny – </w:t>
      </w:r>
      <w:r w:rsidR="00474BA6">
        <w:t>4,6%;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Neutralny – </w:t>
      </w:r>
      <w:r w:rsidR="00474BA6">
        <w:t>70,3%;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Negatywny – </w:t>
      </w:r>
      <w:r w:rsidR="00474BA6">
        <w:t>25,1%;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Pozytywny – </w:t>
      </w:r>
      <w:r w:rsidR="00474BA6">
        <w:t>5,3%;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Neutralny – </w:t>
      </w:r>
      <w:r w:rsidR="00474BA6">
        <w:t>51,0%;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Negatywny – </w:t>
      </w:r>
      <w:r w:rsidR="00474BA6">
        <w:t>43,7%;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Pozytywny – </w:t>
      </w:r>
      <w:r w:rsidR="00474BA6">
        <w:t>2,3%;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Neutralny – </w:t>
      </w:r>
      <w:r w:rsidR="00474BA6">
        <w:t>64,7%;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Negatywny – </w:t>
      </w:r>
      <w:r w:rsidR="00474BA6">
        <w:t>33,0%;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>Pozytywny –</w:t>
      </w:r>
      <w:r w:rsidR="008F04F2">
        <w:t xml:space="preserve"> </w:t>
      </w:r>
      <w:r w:rsidR="00474BA6">
        <w:t>10,3%;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Neutralny – </w:t>
      </w:r>
      <w:r w:rsidR="00474BA6">
        <w:t>60,5%;</w:t>
      </w:r>
    </w:p>
    <w:p w:rsidR="00844797" w:rsidRDefault="00844797" w:rsidP="00844797">
      <w:pPr>
        <w:pStyle w:val="Akapitzlist"/>
        <w:numPr>
          <w:ilvl w:val="1"/>
          <w:numId w:val="18"/>
        </w:numPr>
      </w:pPr>
      <w:r>
        <w:t xml:space="preserve">Negatywny – </w:t>
      </w:r>
      <w:r w:rsidR="00474BA6">
        <w:t>29,2%.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413962" w:rsidRDefault="00E749BD" w:rsidP="00E749BD">
      <w:r>
        <w:t xml:space="preserve">przez jednostki z siedzibą w województwie Lubelskim – </w:t>
      </w:r>
      <w:r w:rsidR="00844797">
        <w:t>listopad</w:t>
      </w:r>
      <w:r>
        <w:t xml:space="preserve"> 202</w:t>
      </w:r>
      <w:r w:rsidR="00495D47">
        <w:t>4</w:t>
      </w:r>
      <w:r>
        <w:t xml:space="preserve"> rok”</w:t>
      </w:r>
      <w:r w:rsidR="000F2650">
        <w:t>. L</w:t>
      </w:r>
      <w:r>
        <w:t>ink</w:t>
      </w:r>
      <w:r w:rsidR="000F2650">
        <w:t xml:space="preserve"> </w:t>
      </w:r>
      <w:hyperlink r:id="rId5" w:history="1">
        <w:r w:rsidR="00844797">
          <w:rPr>
            <w:rStyle w:val="Hipercze"/>
          </w:rPr>
          <w:t xml:space="preserve">Urząd Statystyczny w Lublinie / Opracowania bieżące / Opracowania sygnalne / Inne opracowania / Koniunktura gospodarcza w województwie lubelskim - </w:t>
        </w:r>
        <w:r w:rsidR="00474BA6">
          <w:rPr>
            <w:rStyle w:val="Hipercze"/>
          </w:rPr>
          <w:t>luty</w:t>
        </w:r>
        <w:r w:rsidR="00844797">
          <w:rPr>
            <w:rStyle w:val="Hipercze"/>
          </w:rPr>
          <w:t xml:space="preserve"> 202</w:t>
        </w:r>
        <w:r w:rsidR="00474BA6">
          <w:rPr>
            <w:rStyle w:val="Hipercze"/>
          </w:rPr>
          <w:t>5</w:t>
        </w:r>
        <w:r w:rsidR="00844797">
          <w:rPr>
            <w:rStyle w:val="Hipercze"/>
          </w:rPr>
          <w:t xml:space="preserve"> r.</w:t>
        </w:r>
      </w:hyperlink>
      <w:bookmarkStart w:id="0" w:name="_GoBack"/>
      <w:bookmarkEnd w:id="0"/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CD1C25" w:rsidP="003508D2">
      <w:pPr>
        <w:pStyle w:val="Akapitzlist"/>
        <w:numPr>
          <w:ilvl w:val="0"/>
          <w:numId w:val="1"/>
        </w:numPr>
      </w:pPr>
      <w:r>
        <w:t>Platforma</w:t>
      </w:r>
      <w:r w:rsidR="00495D47">
        <w:t xml:space="preserve"> X</w:t>
      </w:r>
      <w:r w:rsidR="003508D2">
        <w:t xml:space="preserve"> </w:t>
      </w:r>
      <w:hyperlink r:id="rId7" w:history="1">
        <w:r w:rsidR="00805CA2" w:rsidRPr="004E6342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A8D"/>
    <w:multiLevelType w:val="hybridMultilevel"/>
    <w:tmpl w:val="70D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96E7C"/>
    <w:multiLevelType w:val="hybridMultilevel"/>
    <w:tmpl w:val="C54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3"/>
  </w:num>
  <w:num w:numId="16">
    <w:abstractNumId w:val="9"/>
  </w:num>
  <w:num w:numId="17">
    <w:abstractNumId w:val="11"/>
  </w:num>
  <w:num w:numId="18">
    <w:abstractNumId w:val="0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43359"/>
    <w:rsid w:val="000B3914"/>
    <w:rsid w:val="000D04A8"/>
    <w:rsid w:val="000E1C2B"/>
    <w:rsid w:val="000F1FC4"/>
    <w:rsid w:val="000F2650"/>
    <w:rsid w:val="001A5B8E"/>
    <w:rsid w:val="001B2C72"/>
    <w:rsid w:val="00204B60"/>
    <w:rsid w:val="002918E4"/>
    <w:rsid w:val="003508D2"/>
    <w:rsid w:val="004024C8"/>
    <w:rsid w:val="00413962"/>
    <w:rsid w:val="00447BB7"/>
    <w:rsid w:val="00474BA6"/>
    <w:rsid w:val="00495D47"/>
    <w:rsid w:val="004C2548"/>
    <w:rsid w:val="00504270"/>
    <w:rsid w:val="00582254"/>
    <w:rsid w:val="005D7340"/>
    <w:rsid w:val="0060617C"/>
    <w:rsid w:val="006E7DA6"/>
    <w:rsid w:val="00782CBC"/>
    <w:rsid w:val="00805CA2"/>
    <w:rsid w:val="00807D8A"/>
    <w:rsid w:val="00815241"/>
    <w:rsid w:val="00844797"/>
    <w:rsid w:val="008456CE"/>
    <w:rsid w:val="008559F5"/>
    <w:rsid w:val="008E6E1A"/>
    <w:rsid w:val="008F04F2"/>
    <w:rsid w:val="009774E3"/>
    <w:rsid w:val="00982605"/>
    <w:rsid w:val="00993A0E"/>
    <w:rsid w:val="009D7921"/>
    <w:rsid w:val="009F7763"/>
    <w:rsid w:val="00A0138B"/>
    <w:rsid w:val="00A2093E"/>
    <w:rsid w:val="00B933A9"/>
    <w:rsid w:val="00BE657D"/>
    <w:rsid w:val="00C67AA2"/>
    <w:rsid w:val="00C855BD"/>
    <w:rsid w:val="00CA5A50"/>
    <w:rsid w:val="00CD1C25"/>
    <w:rsid w:val="00CD406E"/>
    <w:rsid w:val="00DA19B8"/>
    <w:rsid w:val="00E02D2F"/>
    <w:rsid w:val="00E166AD"/>
    <w:rsid w:val="00E37013"/>
    <w:rsid w:val="00E50B3A"/>
    <w:rsid w:val="00E66315"/>
    <w:rsid w:val="00E749BD"/>
    <w:rsid w:val="00E77441"/>
    <w:rsid w:val="00E91EA6"/>
    <w:rsid w:val="00E9258D"/>
    <w:rsid w:val="00E94442"/>
    <w:rsid w:val="00EF5235"/>
    <w:rsid w:val="00F06035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5D9B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9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9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96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962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9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luty-2025-r-,3,18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listopadzie 2024 roku (infografika) – opis alternatywny</vt:lpstr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lutym 2025 roku (infografika) – opis alternatywny</dc:title>
  <dc:subject/>
  <dc:creator>Szymkiewicz Szymon</dc:creator>
  <cp:keywords/>
  <dc:description/>
  <cp:lastModifiedBy>Szymkiewicz Szymon</cp:lastModifiedBy>
  <cp:revision>30</cp:revision>
  <dcterms:created xsi:type="dcterms:W3CDTF">2023-06-14T09:24:00Z</dcterms:created>
  <dcterms:modified xsi:type="dcterms:W3CDTF">2025-03-04T13:55:00Z</dcterms:modified>
</cp:coreProperties>
</file>