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54895220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sz w:val="19"/>
          <w:szCs w:val="19"/>
          <w:lang w:eastAsia="pl-PL"/>
        </w:rPr>
        <w:t>kwietniu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46AC8CD8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19132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sz w:val="19"/>
          <w:szCs w:val="20"/>
          <w:lang w:eastAsia="pl-PL"/>
        </w:rPr>
        <w:t>kwietniu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D203D3">
        <w:rPr>
          <w:rFonts w:ascii="Fira Sans" w:eastAsia="Times New Roman" w:hAnsi="Fira Sans" w:cs="Times New Roman"/>
          <w:sz w:val="19"/>
          <w:szCs w:val="20"/>
          <w:lang w:eastAsia="pl-PL"/>
        </w:rPr>
        <w:t>75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D203D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D203D3">
        <w:rPr>
          <w:rFonts w:ascii="Fira Sans" w:eastAsia="Times New Roman" w:hAnsi="Fira Sans" w:cs="Times New Roman"/>
          <w:sz w:val="19"/>
          <w:szCs w:val="20"/>
          <w:lang w:eastAsia="pl-PL"/>
        </w:rPr>
        <w:t>, a w Warszawie 1115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D203D3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 </w:t>
      </w:r>
      <w:r w:rsidR="00D203D3">
        <w:rPr>
          <w:rFonts w:ascii="Fira Sans" w:eastAsia="Times New Roman" w:hAnsi="Fira Sans" w:cs="Times New Roman"/>
          <w:sz w:val="19"/>
          <w:szCs w:val="19"/>
          <w:lang w:eastAsia="pl-PL"/>
        </w:rPr>
        <w:t>600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7A9D452C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5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–6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zakwaterowaniu i gastronomii,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219B1B3A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 granicach 1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03FDB" w:rsidRPr="00003FDB">
        <w:rPr>
          <w:rFonts w:ascii="Fira Sans" w:eastAsia="Times New Roman" w:hAnsi="Fira Sans" w:cs="Times New Roman"/>
          <w:sz w:val="19"/>
          <w:szCs w:val="20"/>
          <w:lang w:eastAsia="pl-PL"/>
        </w:rPr>
        <w:t>przemyśle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>,</w:t>
      </w:r>
      <w:r w:rsidR="00003FDB" w:rsidRPr="00003FD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</w:t>
      </w:r>
      <w:r w:rsidR="004F6B8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orcie i gospodarce magazynowej oraz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administrowaniu i działalności wspierającej</w:t>
      </w:r>
      <w:r w:rsidR="000810E0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.</w:t>
      </w:r>
    </w:p>
    <w:p w14:paraId="7DB83A6B" w14:textId="1478FC76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D203D3">
        <w:rPr>
          <w:rFonts w:ascii="Fira Sans" w:eastAsia="Times New Roman" w:hAnsi="Fira Sans" w:cs="Times New Roman"/>
          <w:sz w:val="19"/>
          <w:szCs w:val="20"/>
          <w:lang w:eastAsia="pl-PL"/>
        </w:rPr>
        <w:t>kwietnia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99302B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58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tysięcy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99302B">
        <w:rPr>
          <w:rFonts w:ascii="Fira Sans" w:eastAsia="Times New Roman" w:hAnsi="Fira Sans" w:cs="Times New Roman"/>
          <w:sz w:val="19"/>
          <w:szCs w:val="20"/>
          <w:lang w:eastAsia="pl-PL"/>
        </w:rPr>
        <w:t>1,4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99302B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99302B">
        <w:rPr>
          <w:rFonts w:ascii="Fira Sans" w:eastAsia="Times New Roman" w:hAnsi="Fira Sans" w:cs="Times New Roman"/>
          <w:sz w:val="19"/>
          <w:szCs w:val="20"/>
          <w:lang w:eastAsia="pl-PL"/>
        </w:rPr>
        <w:t>2,5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99302B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 </w:t>
      </w:r>
      <w:r w:rsidR="0099302B">
        <w:rPr>
          <w:rFonts w:ascii="Fira Sans" w:eastAsia="Times New Roman" w:hAnsi="Fira Sans" w:cs="Times New Roman"/>
          <w:sz w:val="19"/>
          <w:szCs w:val="20"/>
          <w:lang w:eastAsia="pl-PL"/>
        </w:rPr>
        <w:t>4,7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99302B">
        <w:rPr>
          <w:rFonts w:ascii="Fira Sans" w:eastAsia="Times New Roman" w:hAnsi="Fira Sans" w:cs="Times New Roman"/>
          <w:sz w:val="19"/>
          <w:szCs w:val="20"/>
          <w:lang w:eastAsia="pl-PL"/>
        </w:rPr>
        <w:t>wzrost o 3,6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068F724B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>35–4</w:t>
      </w:r>
      <w:r w:rsidR="00855519" w:rsidRP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4 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>la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ta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odpowiednio: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4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i 29%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)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>, a ponadto wśród mężczyzn w grupie wieku 45–54 lata (24%). W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50277889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D203D3">
        <w:rPr>
          <w:rFonts w:ascii="Fira Sans" w:eastAsia="Times New Roman" w:hAnsi="Fira Sans" w:cs="Arial"/>
          <w:bCs/>
          <w:sz w:val="19"/>
          <w:szCs w:val="19"/>
          <w:lang w:eastAsia="pl-PL"/>
        </w:rPr>
        <w:t>kwietnia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>zmalał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2,3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wzrosła o 2,2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4D0EA488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D203D3">
        <w:rPr>
          <w:shd w:val="clear" w:color="auto" w:fill="FFFFFF"/>
        </w:rPr>
        <w:t>kwietnia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4,1</w:t>
      </w:r>
      <w:r w:rsidRPr="001B0FB3">
        <w:rPr>
          <w:shd w:val="clear" w:color="auto" w:fill="FFFFFF"/>
        </w:rPr>
        <w:t>%</w:t>
      </w:r>
      <w:r w:rsidR="00FA21E3" w:rsidRPr="001B0FB3">
        <w:rPr>
          <w:shd w:val="clear" w:color="auto" w:fill="FFFFFF"/>
        </w:rPr>
        <w:t xml:space="preserve"> (</w:t>
      </w:r>
      <w:r w:rsidR="004F6B82">
        <w:rPr>
          <w:shd w:val="clear" w:color="auto" w:fill="FFFFFF"/>
        </w:rPr>
        <w:t>bez zmian w skali roku</w:t>
      </w:r>
      <w:r w:rsidR="00593CE9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8F0864">
        <w:rPr>
          <w:shd w:val="clear" w:color="auto" w:fill="FFFFFF"/>
        </w:rPr>
        <w:t>Warszawie 1,5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8F0864">
        <w:rPr>
          <w:shd w:val="clear" w:color="auto" w:fill="FFFFFF"/>
        </w:rPr>
        <w:t xml:space="preserve">wzrost o 0,1 </w:t>
      </w:r>
      <w:r w:rsidR="008F0864" w:rsidRPr="008F0864">
        <w:rPr>
          <w:shd w:val="clear" w:color="auto" w:fill="FFFFFF"/>
        </w:rPr>
        <w:t xml:space="preserve">punktu procentowego </w:t>
      </w:r>
      <w:r w:rsidR="001B0FB3" w:rsidRPr="001B0FB3">
        <w:rPr>
          <w:shd w:val="clear" w:color="auto" w:fill="FFFFFF"/>
        </w:rPr>
        <w:t>w skali roku</w:t>
      </w:r>
      <w:r w:rsidRPr="001B0FB3">
        <w:t>).</w:t>
      </w:r>
    </w:p>
    <w:p w14:paraId="673A4951" w14:textId="3BC6B535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kwietniem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spadek zanotowano w powiatach: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szydłowieckim (o 1,7</w:t>
      </w:r>
      <w:r w:rsidR="00B91125" w:rsidRP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>puł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tuskim (o 1,0 punkt procentowy) oraz makowskim (o 0,9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u procentowego).</w:t>
      </w:r>
    </w:p>
    <w:p w14:paraId="70566DDB" w14:textId="438C9376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1,9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17,9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spadek o 0,1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16,3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0,1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bez zmian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7AC63666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wyniosła 8,4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4A8CE16A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1,2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Grudzią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>dz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bookmarkStart w:id="0" w:name="_GoBack"/>
      <w:bookmarkEnd w:id="0"/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3F42-62CE-4AD5-A903-EA106F9F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5</cp:revision>
  <cp:lastPrinted>2025-03-25T06:45:00Z</cp:lastPrinted>
  <dcterms:created xsi:type="dcterms:W3CDTF">2025-04-25T08:36:00Z</dcterms:created>
  <dcterms:modified xsi:type="dcterms:W3CDTF">2025-05-22T10:58:00Z</dcterms:modified>
</cp:coreProperties>
</file>