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8D2" w:rsidRDefault="001B2C72" w:rsidP="003508D2">
      <w:pPr>
        <w:pStyle w:val="Nagwek1"/>
      </w:pPr>
      <w:r>
        <w:t xml:space="preserve">Koniunktura gospodarcza w województwie lubelskim w </w:t>
      </w:r>
      <w:r w:rsidR="00E77441">
        <w:t>listopadzie</w:t>
      </w:r>
      <w:r>
        <w:t xml:space="preserve"> 202</w:t>
      </w:r>
      <w:r w:rsidR="000B3914">
        <w:t>4</w:t>
      </w:r>
      <w:r>
        <w:t xml:space="preserve"> roku </w:t>
      </w:r>
      <w:r w:rsidR="003508D2">
        <w:t>(infografika) – opis alternatywny</w:t>
      </w:r>
    </w:p>
    <w:p w:rsidR="001B2C72" w:rsidRPr="001B2C72" w:rsidRDefault="001B2C72" w:rsidP="001B2C72">
      <w:pPr>
        <w:pStyle w:val="Nagwek2"/>
      </w:pPr>
      <w:r>
        <w:t>Wskaźniki ogólnego klimatu koniunktury</w:t>
      </w:r>
    </w:p>
    <w:p w:rsidR="003508D2" w:rsidRDefault="001B2C72" w:rsidP="001B2C72">
      <w:pPr>
        <w:pStyle w:val="Akapitzlist"/>
        <w:numPr>
          <w:ilvl w:val="0"/>
          <w:numId w:val="17"/>
        </w:numPr>
      </w:pPr>
      <w:r>
        <w:t>Przetwórstwo przemysłowe (</w:t>
      </w:r>
      <w:r w:rsidR="00805CA2">
        <w:t>poprawa w relacji do poprzedniego okresu</w:t>
      </w:r>
      <w:r>
        <w:t>):</w:t>
      </w:r>
    </w:p>
    <w:p w:rsidR="00E77441" w:rsidRDefault="001B2C72" w:rsidP="001B2C72">
      <w:pPr>
        <w:pStyle w:val="Akapitzlist"/>
        <w:numPr>
          <w:ilvl w:val="1"/>
          <w:numId w:val="17"/>
        </w:numPr>
      </w:pPr>
      <w:r>
        <w:t xml:space="preserve">Wskaźnik w </w:t>
      </w:r>
      <w:r w:rsidR="00E77441">
        <w:t>październiku</w:t>
      </w:r>
      <w:r>
        <w:t xml:space="preserve"> 202</w:t>
      </w:r>
      <w:r w:rsidR="009D7921">
        <w:t>4</w:t>
      </w:r>
      <w:r>
        <w:t xml:space="preserve"> roku </w:t>
      </w:r>
      <w:r w:rsidR="00E77441">
        <w:t>– minus 5,7;</w:t>
      </w:r>
    </w:p>
    <w:p w:rsidR="001B2C72" w:rsidRDefault="001B2C72" w:rsidP="001B2C72">
      <w:pPr>
        <w:pStyle w:val="Akapitzlist"/>
        <w:numPr>
          <w:ilvl w:val="1"/>
          <w:numId w:val="17"/>
        </w:numPr>
      </w:pPr>
      <w:r>
        <w:t xml:space="preserve">Wskaźnik w </w:t>
      </w:r>
      <w:r w:rsidR="00E77441">
        <w:t>listopadzie</w:t>
      </w:r>
      <w:r>
        <w:t xml:space="preserve"> 202</w:t>
      </w:r>
      <w:r w:rsidR="009D7921">
        <w:t>4</w:t>
      </w:r>
      <w:r>
        <w:t xml:space="preserve"> roku</w:t>
      </w:r>
      <w:r w:rsidR="00E77441">
        <w:t xml:space="preserve"> – minus 4,0;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Budownictwo</w:t>
      </w:r>
      <w:r w:rsidR="001B2C72">
        <w:t xml:space="preserve"> (</w:t>
      </w:r>
      <w:r w:rsidR="00E77441">
        <w:t>pogorszenie</w:t>
      </w:r>
      <w:r w:rsidR="000E1C2B">
        <w:t xml:space="preserve"> </w:t>
      </w:r>
      <w:r w:rsidR="001B2C72">
        <w:t>w relacji do poprzedniego okresu):</w:t>
      </w:r>
    </w:p>
    <w:p w:rsidR="00E77441" w:rsidRDefault="00E77441" w:rsidP="00E77441">
      <w:pPr>
        <w:pStyle w:val="Akapitzlist"/>
        <w:numPr>
          <w:ilvl w:val="1"/>
          <w:numId w:val="17"/>
        </w:numPr>
      </w:pPr>
      <w:r>
        <w:t>Wskaźnik w październiku 2024 roku – 0,8;</w:t>
      </w:r>
    </w:p>
    <w:p w:rsidR="00E77441" w:rsidRDefault="00E77441" w:rsidP="00E77441">
      <w:pPr>
        <w:pStyle w:val="Akapitzlist"/>
        <w:numPr>
          <w:ilvl w:val="1"/>
          <w:numId w:val="17"/>
        </w:numPr>
      </w:pPr>
      <w:r>
        <w:t>Wskaźnik w listopadzie 2024 roku – minus 10,1;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Handel hurtowy</w:t>
      </w:r>
      <w:r w:rsidR="001B2C72">
        <w:t xml:space="preserve"> (</w:t>
      </w:r>
      <w:r w:rsidR="009D7921">
        <w:t>pogorszenie</w:t>
      </w:r>
      <w:r w:rsidR="000E1C2B">
        <w:t xml:space="preserve"> </w:t>
      </w:r>
      <w:r w:rsidR="001B2C72">
        <w:t>w relacji do poprzedniego okresu):</w:t>
      </w:r>
    </w:p>
    <w:p w:rsidR="00E77441" w:rsidRDefault="00E77441" w:rsidP="00E77441">
      <w:pPr>
        <w:pStyle w:val="Akapitzlist"/>
        <w:numPr>
          <w:ilvl w:val="1"/>
          <w:numId w:val="17"/>
        </w:numPr>
      </w:pPr>
      <w:r>
        <w:t>Wskaźnik w październiku 2024 roku – minus 8,1;</w:t>
      </w:r>
    </w:p>
    <w:p w:rsidR="00E77441" w:rsidRDefault="00E77441" w:rsidP="00E77441">
      <w:pPr>
        <w:pStyle w:val="Akapitzlist"/>
        <w:numPr>
          <w:ilvl w:val="1"/>
          <w:numId w:val="17"/>
        </w:numPr>
      </w:pPr>
      <w:r>
        <w:t>Wskaźnik w listopadzie 2024 roku – minus 10,5;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 xml:space="preserve">Handel detaliczny </w:t>
      </w:r>
      <w:r w:rsidR="001B2C72">
        <w:t>(</w:t>
      </w:r>
      <w:r w:rsidR="00E77441">
        <w:t>poprawa</w:t>
      </w:r>
      <w:r w:rsidR="00805CA2">
        <w:t xml:space="preserve"> w relacji do poprzedniego okresu</w:t>
      </w:r>
      <w:r w:rsidR="001B2C72">
        <w:t>):</w:t>
      </w:r>
    </w:p>
    <w:p w:rsidR="00805CA2" w:rsidRDefault="00805CA2" w:rsidP="00805CA2">
      <w:pPr>
        <w:pStyle w:val="Akapitzlist"/>
        <w:numPr>
          <w:ilvl w:val="1"/>
          <w:numId w:val="17"/>
        </w:numPr>
      </w:pPr>
      <w:r>
        <w:t xml:space="preserve">Wskaźnik w lipcu 2024 roku — minus </w:t>
      </w:r>
      <w:r w:rsidR="00E77441">
        <w:t>16,0</w:t>
      </w:r>
    </w:p>
    <w:p w:rsidR="00805CA2" w:rsidRDefault="00805CA2" w:rsidP="00805CA2">
      <w:pPr>
        <w:pStyle w:val="Akapitzlist"/>
        <w:numPr>
          <w:ilvl w:val="1"/>
          <w:numId w:val="17"/>
        </w:numPr>
      </w:pPr>
      <w:r>
        <w:t xml:space="preserve">Wskaźnik w sierpniu 2024 roku — minus </w:t>
      </w:r>
      <w:r w:rsidR="00E77441">
        <w:t>11,8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Transport i gospodarka magazynowa</w:t>
      </w:r>
      <w:r w:rsidR="001B2C72">
        <w:t xml:space="preserve"> (</w:t>
      </w:r>
      <w:r w:rsidR="00E77441">
        <w:t>pogorszenie</w:t>
      </w:r>
      <w:r w:rsidR="00805CA2">
        <w:t xml:space="preserve"> w relacji do poprzedniego okresu</w:t>
      </w:r>
      <w:r w:rsidR="001B2C72">
        <w:t>):</w:t>
      </w:r>
    </w:p>
    <w:p w:rsidR="00E77441" w:rsidRDefault="00E77441" w:rsidP="00E77441">
      <w:pPr>
        <w:pStyle w:val="Akapitzlist"/>
        <w:numPr>
          <w:ilvl w:val="1"/>
          <w:numId w:val="17"/>
        </w:numPr>
      </w:pPr>
      <w:r>
        <w:t>Wskaźnik w październiku 2024 roku – 2,1</w:t>
      </w:r>
    </w:p>
    <w:p w:rsidR="00E77441" w:rsidRDefault="00E77441" w:rsidP="00E77441">
      <w:pPr>
        <w:pStyle w:val="Akapitzlist"/>
        <w:numPr>
          <w:ilvl w:val="1"/>
          <w:numId w:val="17"/>
        </w:numPr>
      </w:pPr>
      <w:r>
        <w:t>Wskaźnik w listopadzie 2024 roku – minus 15,6;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Zakwaterowanie i gastronomia</w:t>
      </w:r>
      <w:r w:rsidR="001B2C72">
        <w:t xml:space="preserve"> (</w:t>
      </w:r>
      <w:r w:rsidR="00E77441">
        <w:t>pogorszenie</w:t>
      </w:r>
      <w:r w:rsidR="00805CA2">
        <w:t xml:space="preserve"> w relacji do poprzedniego okresu</w:t>
      </w:r>
      <w:r w:rsidR="001B2C72">
        <w:t>):</w:t>
      </w:r>
    </w:p>
    <w:p w:rsidR="00E77441" w:rsidRDefault="00E77441" w:rsidP="00E77441">
      <w:pPr>
        <w:pStyle w:val="Akapitzlist"/>
        <w:numPr>
          <w:ilvl w:val="1"/>
          <w:numId w:val="17"/>
        </w:numPr>
      </w:pPr>
      <w:r>
        <w:t>Wskaźnik w październiku 2024 roku – 6,3;</w:t>
      </w:r>
    </w:p>
    <w:p w:rsidR="00E77441" w:rsidRDefault="00E77441" w:rsidP="00E77441">
      <w:pPr>
        <w:pStyle w:val="Akapitzlist"/>
        <w:numPr>
          <w:ilvl w:val="1"/>
          <w:numId w:val="17"/>
        </w:numPr>
      </w:pPr>
      <w:r>
        <w:t>Wskaźnik w listopadzie 2024 roku – 4,3;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Informacja i komunikacja</w:t>
      </w:r>
      <w:r w:rsidR="001B2C72">
        <w:t xml:space="preserve"> (</w:t>
      </w:r>
      <w:r w:rsidR="00805CA2">
        <w:t>poprawa w relacji do poprzedniego okresu</w:t>
      </w:r>
      <w:r w:rsidR="001B2C72">
        <w:t>):</w:t>
      </w:r>
    </w:p>
    <w:p w:rsidR="00E77441" w:rsidRDefault="00E77441" w:rsidP="00E77441">
      <w:pPr>
        <w:pStyle w:val="Akapitzlist"/>
        <w:numPr>
          <w:ilvl w:val="1"/>
          <w:numId w:val="17"/>
        </w:numPr>
      </w:pPr>
      <w:r>
        <w:t>Wskaźnik w październiku 2024 roku – 9,5;</w:t>
      </w:r>
    </w:p>
    <w:p w:rsidR="00E77441" w:rsidRDefault="00E77441" w:rsidP="00E77441">
      <w:pPr>
        <w:pStyle w:val="Akapitzlist"/>
        <w:numPr>
          <w:ilvl w:val="1"/>
          <w:numId w:val="17"/>
        </w:numPr>
      </w:pPr>
      <w:r>
        <w:t>Wskaźnik w listopadzie 2024 roku – 11,9;</w:t>
      </w:r>
    </w:p>
    <w:p w:rsidR="000E1C2B" w:rsidRDefault="00413962" w:rsidP="000E1C2B">
      <w:pPr>
        <w:pStyle w:val="Nagwek2"/>
      </w:pPr>
      <w:r>
        <w:t>Inwestycje</w:t>
      </w:r>
    </w:p>
    <w:p w:rsidR="00413962" w:rsidRDefault="00413962" w:rsidP="00413962">
      <w:r>
        <w:t>Przewidywania przedsiębiorców, co do poziomu inwestycji w ich firmach w 202</w:t>
      </w:r>
      <w:r w:rsidR="00982605">
        <w:t>4</w:t>
      </w:r>
      <w:r>
        <w:t xml:space="preserve"> roku w odniesieniu do inwestycji zrealizowanych w 202</w:t>
      </w:r>
      <w:r w:rsidR="00982605">
        <w:t>3</w:t>
      </w:r>
      <w:r>
        <w:t xml:space="preserve"> roku</w:t>
      </w:r>
    </w:p>
    <w:p w:rsidR="00413962" w:rsidRDefault="00413962" w:rsidP="00413962">
      <w:pPr>
        <w:pStyle w:val="Akapitzlist"/>
        <w:numPr>
          <w:ilvl w:val="0"/>
          <w:numId w:val="20"/>
        </w:numPr>
      </w:pPr>
      <w:r>
        <w:t>Wzrost poziomu inwestycji: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Przetwórstwo przemysłowe  </w:t>
      </w:r>
      <w:r w:rsidR="00504270">
        <w:t xml:space="preserve">– </w:t>
      </w:r>
      <w:r w:rsidR="004024C8">
        <w:t>20,3%;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Budownictwo </w:t>
      </w:r>
      <w:r w:rsidR="00504270">
        <w:t>–</w:t>
      </w:r>
      <w:r w:rsidR="004024C8">
        <w:t xml:space="preserve"> 11,2%;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Usługi </w:t>
      </w:r>
      <w:r w:rsidR="00504270">
        <w:t>–</w:t>
      </w:r>
      <w:r w:rsidR="004024C8">
        <w:t xml:space="preserve"> 6,8%;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hurtowy </w:t>
      </w:r>
      <w:r w:rsidR="00504270">
        <w:t>–</w:t>
      </w:r>
      <w:r w:rsidR="004024C8">
        <w:t xml:space="preserve"> 6,</w:t>
      </w:r>
      <w:r w:rsidR="00BE657D">
        <w:t>0</w:t>
      </w:r>
      <w:r w:rsidR="004024C8">
        <w:t>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detaliczny </w:t>
      </w:r>
      <w:r w:rsidR="00504270">
        <w:t>–</w:t>
      </w:r>
      <w:r w:rsidR="004024C8">
        <w:t xml:space="preserve"> 11,2%;</w:t>
      </w:r>
    </w:p>
    <w:p w:rsidR="00413962" w:rsidRDefault="00413962" w:rsidP="00413962">
      <w:pPr>
        <w:pStyle w:val="Akapitzlist"/>
        <w:numPr>
          <w:ilvl w:val="0"/>
          <w:numId w:val="20"/>
        </w:numPr>
      </w:pPr>
      <w:r>
        <w:t>Utrzymanie poziomu inwestycji: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lastRenderedPageBreak/>
        <w:t xml:space="preserve">Przetwórstwo przemysłowe </w:t>
      </w:r>
      <w:r w:rsidR="00504270">
        <w:t>–</w:t>
      </w:r>
      <w:r w:rsidR="004024C8">
        <w:t xml:space="preserve"> 49,8%;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Budownictwo </w:t>
      </w:r>
      <w:r w:rsidR="00504270">
        <w:t>–</w:t>
      </w:r>
      <w:r w:rsidR="004024C8">
        <w:t xml:space="preserve"> 51,6%;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Usługi </w:t>
      </w:r>
      <w:r w:rsidR="00504270">
        <w:t>–</w:t>
      </w:r>
      <w:r w:rsidR="004024C8">
        <w:t xml:space="preserve"> 56,2%;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hurtowy </w:t>
      </w:r>
      <w:r w:rsidR="00504270">
        <w:t>–</w:t>
      </w:r>
      <w:r w:rsidR="004024C8">
        <w:t xml:space="preserve"> 56,6%;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detaliczny </w:t>
      </w:r>
      <w:r w:rsidR="00504270">
        <w:t>–</w:t>
      </w:r>
      <w:r w:rsidR="004024C8">
        <w:t xml:space="preserve"> 68,4%;</w:t>
      </w:r>
    </w:p>
    <w:p w:rsidR="00413962" w:rsidRDefault="00413962" w:rsidP="00413962">
      <w:pPr>
        <w:pStyle w:val="Akapitzlist"/>
        <w:numPr>
          <w:ilvl w:val="0"/>
          <w:numId w:val="20"/>
        </w:numPr>
      </w:pPr>
      <w:r>
        <w:t>Spadek poziomu inwestycji: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Przetwórstwo przemysłowe </w:t>
      </w:r>
      <w:r w:rsidR="00504270">
        <w:t>–</w:t>
      </w:r>
      <w:r w:rsidR="004024C8">
        <w:t xml:space="preserve"> 29,9%;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Budownictwo </w:t>
      </w:r>
      <w:r w:rsidR="00504270">
        <w:t>–</w:t>
      </w:r>
      <w:r w:rsidR="004024C8">
        <w:t xml:space="preserve"> 37,2%;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Usługi </w:t>
      </w:r>
      <w:r w:rsidR="00504270">
        <w:t>–</w:t>
      </w:r>
      <w:r w:rsidR="004024C8">
        <w:t xml:space="preserve"> 37,0%;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hurtowy </w:t>
      </w:r>
      <w:r w:rsidR="00504270">
        <w:t>–</w:t>
      </w:r>
      <w:r w:rsidR="004024C8">
        <w:t xml:space="preserve"> 37,4%;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detaliczny </w:t>
      </w:r>
      <w:r w:rsidR="00504270">
        <w:t>–</w:t>
      </w:r>
      <w:r w:rsidR="004024C8">
        <w:t xml:space="preserve"> 20,4%.</w:t>
      </w:r>
    </w:p>
    <w:p w:rsidR="00982605" w:rsidRDefault="00982605" w:rsidP="00982605">
      <w:pPr>
        <w:pStyle w:val="Nagwek2"/>
      </w:pPr>
      <w:r>
        <w:t>Bariery</w:t>
      </w:r>
    </w:p>
    <w:p w:rsidR="00982605" w:rsidRDefault="00982605" w:rsidP="00982605">
      <w:r>
        <w:t>Bariery, które w największym stopniu wpływają na skalę inwestycji firmy w bieżącym roku. W % ogóły odpowiedzi</w:t>
      </w:r>
    </w:p>
    <w:p w:rsidR="00982605" w:rsidRDefault="006E7DA6" w:rsidP="006E7DA6">
      <w:pPr>
        <w:pStyle w:val="Akapitzlist"/>
        <w:numPr>
          <w:ilvl w:val="0"/>
          <w:numId w:val="21"/>
        </w:numPr>
      </w:pPr>
      <w:r>
        <w:t>Wysokie koszty realizacji inwestycji:</w:t>
      </w:r>
    </w:p>
    <w:p w:rsidR="004024C8" w:rsidRDefault="004024C8" w:rsidP="004024C8">
      <w:pPr>
        <w:pStyle w:val="Akapitzlist"/>
        <w:numPr>
          <w:ilvl w:val="1"/>
          <w:numId w:val="21"/>
        </w:numPr>
      </w:pPr>
      <w:r>
        <w:t>Przetwórstwo przemysłowe – 59,5%:</w:t>
      </w:r>
    </w:p>
    <w:p w:rsidR="004024C8" w:rsidRDefault="004024C8" w:rsidP="004024C8">
      <w:pPr>
        <w:pStyle w:val="Akapitzlist"/>
        <w:numPr>
          <w:ilvl w:val="1"/>
          <w:numId w:val="21"/>
        </w:numPr>
      </w:pPr>
      <w:r>
        <w:t>Budownictwo – 54,1%:</w:t>
      </w:r>
    </w:p>
    <w:p w:rsidR="004024C8" w:rsidRDefault="004024C8" w:rsidP="004024C8">
      <w:pPr>
        <w:pStyle w:val="Akapitzlist"/>
        <w:numPr>
          <w:ilvl w:val="1"/>
          <w:numId w:val="21"/>
        </w:numPr>
      </w:pPr>
      <w:r>
        <w:t xml:space="preserve">Usługi – </w:t>
      </w:r>
      <w:r w:rsidR="008456CE">
        <w:t>50,5%;</w:t>
      </w:r>
    </w:p>
    <w:p w:rsidR="004024C8" w:rsidRDefault="004024C8" w:rsidP="004024C8">
      <w:pPr>
        <w:pStyle w:val="Akapitzlist"/>
        <w:numPr>
          <w:ilvl w:val="1"/>
          <w:numId w:val="21"/>
        </w:numPr>
      </w:pPr>
      <w:r>
        <w:t xml:space="preserve">Handel hurtowy – </w:t>
      </w:r>
      <w:r w:rsidR="008456CE">
        <w:t>41,9</w:t>
      </w:r>
      <w:r w:rsidR="008456CE">
        <w:t>%;</w:t>
      </w:r>
    </w:p>
    <w:p w:rsidR="004024C8" w:rsidRDefault="004024C8" w:rsidP="004024C8">
      <w:pPr>
        <w:pStyle w:val="Akapitzlist"/>
        <w:numPr>
          <w:ilvl w:val="1"/>
          <w:numId w:val="21"/>
        </w:numPr>
      </w:pPr>
      <w:r>
        <w:t xml:space="preserve">Handel detaliczny – </w:t>
      </w:r>
      <w:r w:rsidR="008456CE">
        <w:t>46,5</w:t>
      </w:r>
      <w:r w:rsidR="008456CE"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Trudności w pozyskaniu zewnętrznych źródeł finansowania:</w:t>
      </w:r>
    </w:p>
    <w:p w:rsidR="004024C8" w:rsidRDefault="004024C8" w:rsidP="004024C8">
      <w:pPr>
        <w:pStyle w:val="Akapitzlist"/>
        <w:numPr>
          <w:ilvl w:val="1"/>
          <w:numId w:val="21"/>
        </w:numPr>
      </w:pPr>
      <w:r>
        <w:t>Przetwórstwo przemysłowe – 11,4%:</w:t>
      </w:r>
    </w:p>
    <w:p w:rsidR="004024C8" w:rsidRDefault="004024C8" w:rsidP="004024C8">
      <w:pPr>
        <w:pStyle w:val="Akapitzlist"/>
        <w:numPr>
          <w:ilvl w:val="1"/>
          <w:numId w:val="21"/>
        </w:numPr>
      </w:pPr>
      <w:r>
        <w:t>Budownictwo – 15,4%: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Usługi – </w:t>
      </w:r>
      <w:r>
        <w:t>14,5</w:t>
      </w:r>
      <w:r>
        <w:t>%;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Handel hurtowy – </w:t>
      </w:r>
      <w:r>
        <w:t>18,9</w:t>
      </w:r>
      <w:r>
        <w:t>%;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Handel detaliczny – </w:t>
      </w:r>
      <w:r>
        <w:t>10,3</w:t>
      </w:r>
      <w:r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Długotrwałe procedury uzyskania zgody na inwestycji:</w:t>
      </w:r>
    </w:p>
    <w:p w:rsidR="004024C8" w:rsidRDefault="004024C8" w:rsidP="004024C8">
      <w:pPr>
        <w:pStyle w:val="Akapitzlist"/>
        <w:numPr>
          <w:ilvl w:val="1"/>
          <w:numId w:val="21"/>
        </w:numPr>
      </w:pPr>
      <w:r>
        <w:t>Przetwórstwo przemysłowe – 13,2%:</w:t>
      </w:r>
    </w:p>
    <w:p w:rsidR="004024C8" w:rsidRDefault="004024C8" w:rsidP="004024C8">
      <w:pPr>
        <w:pStyle w:val="Akapitzlist"/>
        <w:numPr>
          <w:ilvl w:val="1"/>
          <w:numId w:val="21"/>
        </w:numPr>
      </w:pPr>
      <w:r>
        <w:t>Budownictwo – 9,5%: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Usługi – </w:t>
      </w:r>
      <w:r>
        <w:t>17,0</w:t>
      </w:r>
      <w:r>
        <w:t>%;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Handel hurtowy – </w:t>
      </w:r>
      <w:r>
        <w:t>14,3</w:t>
      </w:r>
      <w:r>
        <w:t>%;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Handel detaliczny – </w:t>
      </w:r>
      <w:r>
        <w:t>13,2</w:t>
      </w:r>
      <w:r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Problemy z zatrudnieniem pracowników:</w:t>
      </w:r>
    </w:p>
    <w:p w:rsidR="004024C8" w:rsidRDefault="004024C8" w:rsidP="004024C8">
      <w:pPr>
        <w:pStyle w:val="Akapitzlist"/>
        <w:numPr>
          <w:ilvl w:val="1"/>
          <w:numId w:val="21"/>
        </w:numPr>
      </w:pPr>
      <w:r>
        <w:t>Przetwórstwo przemysłowe – 14,0%:</w:t>
      </w:r>
    </w:p>
    <w:p w:rsidR="004024C8" w:rsidRDefault="004024C8" w:rsidP="004024C8">
      <w:pPr>
        <w:pStyle w:val="Akapitzlist"/>
        <w:numPr>
          <w:ilvl w:val="1"/>
          <w:numId w:val="21"/>
        </w:numPr>
      </w:pPr>
      <w:r>
        <w:t>Budownictwo – 34,5%: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Usługi – </w:t>
      </w:r>
      <w:r>
        <w:t>19,5</w:t>
      </w:r>
      <w:r>
        <w:t>%;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Handel hurtowy – </w:t>
      </w:r>
      <w:r>
        <w:t>14,5</w:t>
      </w:r>
      <w:r>
        <w:t>%;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Handel detaliczny – </w:t>
      </w:r>
      <w:r>
        <w:t>13,9</w:t>
      </w:r>
      <w:r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lastRenderedPageBreak/>
        <w:t>Zerwane łańcuchy dostaw:</w:t>
      </w:r>
    </w:p>
    <w:p w:rsidR="004024C8" w:rsidRDefault="004024C8" w:rsidP="004024C8">
      <w:pPr>
        <w:pStyle w:val="Akapitzlist"/>
        <w:numPr>
          <w:ilvl w:val="1"/>
          <w:numId w:val="21"/>
        </w:numPr>
      </w:pPr>
      <w:r>
        <w:t>Przetwórstwo przemysłowe – 1,5%:</w:t>
      </w:r>
    </w:p>
    <w:p w:rsidR="004024C8" w:rsidRDefault="004024C8" w:rsidP="004024C8">
      <w:pPr>
        <w:pStyle w:val="Akapitzlist"/>
        <w:numPr>
          <w:ilvl w:val="1"/>
          <w:numId w:val="21"/>
        </w:numPr>
      </w:pPr>
      <w:r>
        <w:t>Budownictwo – 4,5%: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Usługi – </w:t>
      </w:r>
      <w:r>
        <w:t>4,9</w:t>
      </w:r>
      <w:r>
        <w:t>%;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Handel hurtowy – </w:t>
      </w:r>
      <w:r>
        <w:t>7,7</w:t>
      </w:r>
      <w:r>
        <w:t>%;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Handel detaliczny – </w:t>
      </w:r>
      <w:r>
        <w:t>1,8</w:t>
      </w:r>
      <w:r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Wysoka inflacja:</w:t>
      </w:r>
    </w:p>
    <w:p w:rsidR="004024C8" w:rsidRDefault="004024C8" w:rsidP="004024C8">
      <w:pPr>
        <w:pStyle w:val="Akapitzlist"/>
        <w:numPr>
          <w:ilvl w:val="1"/>
          <w:numId w:val="21"/>
        </w:numPr>
      </w:pPr>
      <w:r>
        <w:t>Przetwórstwo przemysłowe – 18,4%:</w:t>
      </w:r>
    </w:p>
    <w:p w:rsidR="004024C8" w:rsidRDefault="004024C8" w:rsidP="004024C8">
      <w:pPr>
        <w:pStyle w:val="Akapitzlist"/>
        <w:numPr>
          <w:ilvl w:val="1"/>
          <w:numId w:val="21"/>
        </w:numPr>
      </w:pPr>
      <w:r>
        <w:t>Budownictwo – 35,2%: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Usługi – </w:t>
      </w:r>
      <w:r>
        <w:t>38,5</w:t>
      </w:r>
      <w:r>
        <w:t>%;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Handel hurtowy – </w:t>
      </w:r>
      <w:r>
        <w:t>36,7</w:t>
      </w:r>
      <w:r>
        <w:t>%;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Handel detaliczny – </w:t>
      </w:r>
      <w:r>
        <w:t>27,1</w:t>
      </w:r>
      <w:r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Niejasne, niespójne przepisy prawne:</w:t>
      </w:r>
    </w:p>
    <w:p w:rsidR="004024C8" w:rsidRDefault="004024C8" w:rsidP="004024C8">
      <w:pPr>
        <w:pStyle w:val="Akapitzlist"/>
        <w:numPr>
          <w:ilvl w:val="1"/>
          <w:numId w:val="21"/>
        </w:numPr>
      </w:pPr>
      <w:r>
        <w:t>Przetwórstwo przemysłowe – 18,9%:</w:t>
      </w:r>
    </w:p>
    <w:p w:rsidR="004024C8" w:rsidRDefault="004024C8" w:rsidP="004024C8">
      <w:pPr>
        <w:pStyle w:val="Akapitzlist"/>
        <w:numPr>
          <w:ilvl w:val="1"/>
          <w:numId w:val="21"/>
        </w:numPr>
      </w:pPr>
      <w:r>
        <w:t xml:space="preserve">Budownictwo – </w:t>
      </w:r>
      <w:r w:rsidR="00844797">
        <w:t>38,1%: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Usługi – </w:t>
      </w:r>
      <w:r>
        <w:t>29,9</w:t>
      </w:r>
      <w:r>
        <w:t>%;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Handel hurtowy – </w:t>
      </w:r>
      <w:r>
        <w:t>37,7</w:t>
      </w:r>
      <w:r>
        <w:t>%;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Handel detaliczny – </w:t>
      </w:r>
      <w:r>
        <w:t>32,8</w:t>
      </w:r>
      <w:r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Niepewna sytuacja makroekonomiczna:</w:t>
      </w:r>
    </w:p>
    <w:p w:rsidR="004024C8" w:rsidRDefault="004024C8" w:rsidP="004024C8">
      <w:pPr>
        <w:pStyle w:val="Akapitzlist"/>
        <w:numPr>
          <w:ilvl w:val="1"/>
          <w:numId w:val="21"/>
        </w:numPr>
      </w:pPr>
      <w:r>
        <w:t xml:space="preserve">Przetwórstwo przemysłowe – </w:t>
      </w:r>
      <w:r w:rsidR="00844797">
        <w:t>36,4%:</w:t>
      </w:r>
    </w:p>
    <w:p w:rsidR="004024C8" w:rsidRDefault="004024C8" w:rsidP="004024C8">
      <w:pPr>
        <w:pStyle w:val="Akapitzlist"/>
        <w:numPr>
          <w:ilvl w:val="1"/>
          <w:numId w:val="21"/>
        </w:numPr>
      </w:pPr>
      <w:r>
        <w:t xml:space="preserve">Budownictwo – </w:t>
      </w:r>
      <w:r w:rsidR="00844797">
        <w:t>30,0%: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Usługi – </w:t>
      </w:r>
      <w:r>
        <w:t>29,2</w:t>
      </w:r>
      <w:r>
        <w:t>%;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Handel hurtowy – </w:t>
      </w:r>
      <w:r>
        <w:t>46,5</w:t>
      </w:r>
      <w:r>
        <w:t>%;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Handel detaliczny – </w:t>
      </w:r>
      <w:r>
        <w:t>24,3</w:t>
      </w:r>
      <w:r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Niedostateczny popyt na produkty/usługi oferowane przez firmę:</w:t>
      </w:r>
    </w:p>
    <w:p w:rsidR="004024C8" w:rsidRDefault="004024C8" w:rsidP="004024C8">
      <w:pPr>
        <w:pStyle w:val="Akapitzlist"/>
        <w:numPr>
          <w:ilvl w:val="1"/>
          <w:numId w:val="21"/>
        </w:numPr>
      </w:pPr>
      <w:r>
        <w:t xml:space="preserve">Przetwórstwo przemysłowe – </w:t>
      </w:r>
      <w:r w:rsidR="00844797">
        <w:t>25,7%:</w:t>
      </w:r>
    </w:p>
    <w:p w:rsidR="004024C8" w:rsidRDefault="004024C8" w:rsidP="004024C8">
      <w:pPr>
        <w:pStyle w:val="Akapitzlist"/>
        <w:numPr>
          <w:ilvl w:val="1"/>
          <w:numId w:val="21"/>
        </w:numPr>
      </w:pPr>
      <w:r>
        <w:t xml:space="preserve">Budownictwo – </w:t>
      </w:r>
      <w:r w:rsidR="00844797">
        <w:t>23,7%: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Usługi – </w:t>
      </w:r>
      <w:r>
        <w:t>22,1</w:t>
      </w:r>
      <w:r>
        <w:t>%;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Handel hurtowy – </w:t>
      </w:r>
      <w:r>
        <w:t>25,9</w:t>
      </w:r>
      <w:r>
        <w:t>%;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Handel detaliczny – </w:t>
      </w:r>
      <w:r>
        <w:t xml:space="preserve"> 23,0</w:t>
      </w:r>
      <w:r>
        <w:t>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Brak barier:</w:t>
      </w:r>
    </w:p>
    <w:p w:rsidR="004024C8" w:rsidRDefault="004024C8" w:rsidP="004024C8">
      <w:pPr>
        <w:pStyle w:val="Akapitzlist"/>
        <w:numPr>
          <w:ilvl w:val="1"/>
          <w:numId w:val="21"/>
        </w:numPr>
      </w:pPr>
      <w:r>
        <w:t xml:space="preserve">Przetwórstwo przemysłowe – </w:t>
      </w:r>
      <w:r w:rsidR="00844797">
        <w:t>12,6%:</w:t>
      </w:r>
    </w:p>
    <w:p w:rsidR="004024C8" w:rsidRDefault="004024C8" w:rsidP="004024C8">
      <w:pPr>
        <w:pStyle w:val="Akapitzlist"/>
        <w:numPr>
          <w:ilvl w:val="1"/>
          <w:numId w:val="21"/>
        </w:numPr>
      </w:pPr>
      <w:r>
        <w:t xml:space="preserve">Budownictwo – </w:t>
      </w:r>
      <w:r w:rsidR="00844797">
        <w:t>3,2%: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Usługi – </w:t>
      </w:r>
      <w:r>
        <w:t>8,8</w:t>
      </w:r>
      <w:r>
        <w:t>%;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Handel hurtowy – </w:t>
      </w:r>
      <w:r>
        <w:t>15,3</w:t>
      </w:r>
      <w:r>
        <w:t>%;</w:t>
      </w:r>
    </w:p>
    <w:p w:rsidR="008456CE" w:rsidRDefault="008456CE" w:rsidP="008456CE">
      <w:pPr>
        <w:pStyle w:val="Akapitzlist"/>
        <w:numPr>
          <w:ilvl w:val="1"/>
          <w:numId w:val="21"/>
        </w:numPr>
      </w:pPr>
      <w:r>
        <w:t xml:space="preserve">Handel detaliczny – </w:t>
      </w:r>
      <w:r>
        <w:t>14,6</w:t>
      </w:r>
      <w:r>
        <w:t>%</w:t>
      </w:r>
      <w:r>
        <w:t>.</w:t>
      </w:r>
      <w:bookmarkStart w:id="0" w:name="_GoBack"/>
      <w:bookmarkEnd w:id="0"/>
    </w:p>
    <w:p w:rsidR="00E749BD" w:rsidRDefault="00495D47" w:rsidP="00E749BD">
      <w:pPr>
        <w:pStyle w:val="Nagwek2"/>
      </w:pPr>
      <w:r>
        <w:lastRenderedPageBreak/>
        <w:t>Podejmowanie inwestycji</w:t>
      </w:r>
    </w:p>
    <w:p w:rsidR="000E1C2B" w:rsidRPr="000E1C2B" w:rsidRDefault="00495D47" w:rsidP="000E1C2B">
      <w:r>
        <w:t>Wpływ bieżących zmian sytuacji firmy oraz otoczenia rynkowego na skłonność do podejmowania inwestycji przez przedsiębiorców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Przetwórstwo przemysłowe:</w:t>
      </w:r>
    </w:p>
    <w:p w:rsidR="00E749BD" w:rsidRDefault="00495D47" w:rsidP="00E749BD">
      <w:pPr>
        <w:pStyle w:val="Akapitzlist"/>
        <w:numPr>
          <w:ilvl w:val="1"/>
          <w:numId w:val="18"/>
        </w:numPr>
      </w:pPr>
      <w:r>
        <w:t>Pozytywny</w:t>
      </w:r>
      <w:r w:rsidR="00E749BD">
        <w:t xml:space="preserve"> </w:t>
      </w:r>
      <w:r w:rsidR="00844797">
        <w:t>– 11,5%;</w:t>
      </w:r>
    </w:p>
    <w:p w:rsidR="00E749BD" w:rsidRDefault="00495D47" w:rsidP="00E749BD">
      <w:pPr>
        <w:pStyle w:val="Akapitzlist"/>
        <w:numPr>
          <w:ilvl w:val="1"/>
          <w:numId w:val="18"/>
        </w:numPr>
      </w:pPr>
      <w:r>
        <w:t>Neutralny</w:t>
      </w:r>
      <w:r w:rsidR="00E749BD">
        <w:t xml:space="preserve"> </w:t>
      </w:r>
      <w:r w:rsidR="00844797">
        <w:t>– 60,8%;</w:t>
      </w:r>
    </w:p>
    <w:p w:rsidR="00E749BD" w:rsidRDefault="00495D47" w:rsidP="00E749BD">
      <w:pPr>
        <w:pStyle w:val="Akapitzlist"/>
        <w:numPr>
          <w:ilvl w:val="1"/>
          <w:numId w:val="18"/>
        </w:numPr>
      </w:pPr>
      <w:r>
        <w:t>Negatywny</w:t>
      </w:r>
      <w:r w:rsidR="00E749BD">
        <w:t xml:space="preserve"> </w:t>
      </w:r>
      <w:r w:rsidR="00844797">
        <w:t>– 27,7%;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Budownictwo:</w:t>
      </w:r>
    </w:p>
    <w:p w:rsidR="00844797" w:rsidRDefault="00844797" w:rsidP="00844797">
      <w:pPr>
        <w:pStyle w:val="Akapitzlist"/>
        <w:numPr>
          <w:ilvl w:val="1"/>
          <w:numId w:val="18"/>
        </w:numPr>
      </w:pPr>
      <w:r>
        <w:t>Pozytywny – 4,8%;</w:t>
      </w:r>
    </w:p>
    <w:p w:rsidR="00844797" w:rsidRDefault="00844797" w:rsidP="00844797">
      <w:pPr>
        <w:pStyle w:val="Akapitzlist"/>
        <w:numPr>
          <w:ilvl w:val="1"/>
          <w:numId w:val="18"/>
        </w:numPr>
      </w:pPr>
      <w:r>
        <w:t>Neutralny – 73,5%;</w:t>
      </w:r>
    </w:p>
    <w:p w:rsidR="00844797" w:rsidRDefault="00844797" w:rsidP="00844797">
      <w:pPr>
        <w:pStyle w:val="Akapitzlist"/>
        <w:numPr>
          <w:ilvl w:val="1"/>
          <w:numId w:val="18"/>
        </w:numPr>
      </w:pPr>
      <w:r>
        <w:t>Negatywny – 21,7%;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Handel hurtowy:</w:t>
      </w:r>
    </w:p>
    <w:p w:rsidR="00844797" w:rsidRDefault="00844797" w:rsidP="00844797">
      <w:pPr>
        <w:pStyle w:val="Akapitzlist"/>
        <w:numPr>
          <w:ilvl w:val="1"/>
          <w:numId w:val="18"/>
        </w:numPr>
      </w:pPr>
      <w:r>
        <w:t>Pozytywny – 3,4%;</w:t>
      </w:r>
    </w:p>
    <w:p w:rsidR="00844797" w:rsidRDefault="00844797" w:rsidP="00844797">
      <w:pPr>
        <w:pStyle w:val="Akapitzlist"/>
        <w:numPr>
          <w:ilvl w:val="1"/>
          <w:numId w:val="18"/>
        </w:numPr>
      </w:pPr>
      <w:r>
        <w:t>Neutralny – 49,2%;</w:t>
      </w:r>
    </w:p>
    <w:p w:rsidR="00844797" w:rsidRDefault="00844797" w:rsidP="00844797">
      <w:pPr>
        <w:pStyle w:val="Akapitzlist"/>
        <w:numPr>
          <w:ilvl w:val="1"/>
          <w:numId w:val="18"/>
        </w:numPr>
      </w:pPr>
      <w:r>
        <w:t>Negatywny – 47,4%;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Handel detaliczny:</w:t>
      </w:r>
    </w:p>
    <w:p w:rsidR="00844797" w:rsidRDefault="00844797" w:rsidP="00844797">
      <w:pPr>
        <w:pStyle w:val="Akapitzlist"/>
        <w:numPr>
          <w:ilvl w:val="1"/>
          <w:numId w:val="18"/>
        </w:numPr>
      </w:pPr>
      <w:r>
        <w:t>Pozytywny – 1,0%;</w:t>
      </w:r>
    </w:p>
    <w:p w:rsidR="00844797" w:rsidRDefault="00844797" w:rsidP="00844797">
      <w:pPr>
        <w:pStyle w:val="Akapitzlist"/>
        <w:numPr>
          <w:ilvl w:val="1"/>
          <w:numId w:val="18"/>
        </w:numPr>
      </w:pPr>
      <w:r>
        <w:t>Neutralny – 68,7%;</w:t>
      </w:r>
    </w:p>
    <w:p w:rsidR="00844797" w:rsidRDefault="00844797" w:rsidP="00844797">
      <w:pPr>
        <w:pStyle w:val="Akapitzlist"/>
        <w:numPr>
          <w:ilvl w:val="1"/>
          <w:numId w:val="18"/>
        </w:numPr>
      </w:pPr>
      <w:r>
        <w:t>Negatywny – 30,3%;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Usługi:</w:t>
      </w:r>
    </w:p>
    <w:p w:rsidR="00844797" w:rsidRDefault="00844797" w:rsidP="00844797">
      <w:pPr>
        <w:pStyle w:val="Akapitzlist"/>
        <w:numPr>
          <w:ilvl w:val="1"/>
          <w:numId w:val="18"/>
        </w:numPr>
      </w:pPr>
      <w:r>
        <w:t>Pozytywny – 1,7%;</w:t>
      </w:r>
    </w:p>
    <w:p w:rsidR="00844797" w:rsidRDefault="00844797" w:rsidP="00844797">
      <w:pPr>
        <w:pStyle w:val="Akapitzlist"/>
        <w:numPr>
          <w:ilvl w:val="1"/>
          <w:numId w:val="18"/>
        </w:numPr>
      </w:pPr>
      <w:r>
        <w:t>Neutralny – 65,8%;</w:t>
      </w:r>
    </w:p>
    <w:p w:rsidR="00844797" w:rsidRDefault="00844797" w:rsidP="00844797">
      <w:pPr>
        <w:pStyle w:val="Akapitzlist"/>
        <w:numPr>
          <w:ilvl w:val="1"/>
          <w:numId w:val="18"/>
        </w:numPr>
      </w:pPr>
      <w:r>
        <w:t>Negatywny – 32,5%.</w:t>
      </w:r>
    </w:p>
    <w:p w:rsidR="003508D2" w:rsidRDefault="003508D2" w:rsidP="003508D2">
      <w:pPr>
        <w:pStyle w:val="Nagwek2"/>
      </w:pPr>
      <w:r>
        <w:t>Dolny pasek w infografice</w:t>
      </w:r>
    </w:p>
    <w:p w:rsidR="00E749BD" w:rsidRDefault="00E749BD" w:rsidP="00E749BD">
      <w:r>
        <w:t xml:space="preserve">Więcej do przeczytania w informacji sygnalnej „Koniunktura gospodarcza, opinie formułowane </w:t>
      </w:r>
    </w:p>
    <w:p w:rsidR="00413962" w:rsidRDefault="00E749BD" w:rsidP="00E749BD">
      <w:r>
        <w:t xml:space="preserve">przez jednostki z siedzibą w województwie Lubelskim – </w:t>
      </w:r>
      <w:r w:rsidR="00844797">
        <w:t>listopad</w:t>
      </w:r>
      <w:r>
        <w:t xml:space="preserve"> 202</w:t>
      </w:r>
      <w:r w:rsidR="00495D47">
        <w:t>4</w:t>
      </w:r>
      <w:r>
        <w:t xml:space="preserve"> rok”</w:t>
      </w:r>
      <w:r w:rsidR="000F2650">
        <w:t>. L</w:t>
      </w:r>
      <w:r>
        <w:t>ink</w:t>
      </w:r>
      <w:r w:rsidR="000F2650">
        <w:t xml:space="preserve"> </w:t>
      </w:r>
      <w:hyperlink r:id="rId5" w:history="1">
        <w:r w:rsidR="00844797">
          <w:rPr>
            <w:rStyle w:val="Hipercze"/>
          </w:rPr>
          <w:t>Urząd Statystyczny w Lublinie / Opracowania bieżące / Opracowania sygnalne / Inne opracowania / Koniunktura gospodarcza w województwie lubelskim - listopad 2024 r.</w:t>
        </w:r>
      </w:hyperlink>
    </w:p>
    <w:p w:rsidR="003508D2" w:rsidRDefault="003508D2" w:rsidP="003508D2">
      <w:r>
        <w:t>Dane: Urząd Statystyczny w Lublinie</w:t>
      </w:r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6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CD1C25" w:rsidP="003508D2">
      <w:pPr>
        <w:pStyle w:val="Akapitzlist"/>
        <w:numPr>
          <w:ilvl w:val="0"/>
          <w:numId w:val="1"/>
        </w:numPr>
      </w:pPr>
      <w:r>
        <w:t>Platforma</w:t>
      </w:r>
      <w:r w:rsidR="00495D47">
        <w:t xml:space="preserve"> X</w:t>
      </w:r>
      <w:r w:rsidR="003508D2">
        <w:t xml:space="preserve"> </w:t>
      </w:r>
      <w:hyperlink r:id="rId7" w:history="1">
        <w:r w:rsidR="00805CA2" w:rsidRPr="004E6342">
          <w:rPr>
            <w:rStyle w:val="Hipercze"/>
          </w:rPr>
          <w:t>https://x.com/Lublin_STAT</w:t>
        </w:r>
      </w:hyperlink>
      <w:r w:rsidR="003508D2">
        <w:t xml:space="preserve"> </w:t>
      </w:r>
    </w:p>
    <w:p w:rsidR="003508D2" w:rsidRDefault="003508D2" w:rsidP="003508D2">
      <w:r>
        <w:t xml:space="preserve">Link na stronę internetową Urzędu Statystycznego w Lublinie </w:t>
      </w:r>
      <w:hyperlink r:id="rId8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p w:rsidR="003508D2" w:rsidRPr="00E877BA" w:rsidRDefault="003508D2" w:rsidP="003508D2"/>
    <w:p w:rsidR="000D04A8" w:rsidRDefault="000D04A8"/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0AB5"/>
    <w:multiLevelType w:val="hybridMultilevel"/>
    <w:tmpl w:val="FA009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47A8D"/>
    <w:multiLevelType w:val="hybridMultilevel"/>
    <w:tmpl w:val="70DAC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F4D"/>
    <w:multiLevelType w:val="hybridMultilevel"/>
    <w:tmpl w:val="0510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F5954"/>
    <w:multiLevelType w:val="hybridMultilevel"/>
    <w:tmpl w:val="50543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11D7B"/>
    <w:multiLevelType w:val="hybridMultilevel"/>
    <w:tmpl w:val="77FE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23600"/>
    <w:multiLevelType w:val="hybridMultilevel"/>
    <w:tmpl w:val="AE14C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36564"/>
    <w:multiLevelType w:val="hybridMultilevel"/>
    <w:tmpl w:val="134EE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96E7C"/>
    <w:multiLevelType w:val="hybridMultilevel"/>
    <w:tmpl w:val="C54C7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07A8F"/>
    <w:multiLevelType w:val="hybridMultilevel"/>
    <w:tmpl w:val="FFCCF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83FC0"/>
    <w:multiLevelType w:val="hybridMultilevel"/>
    <w:tmpl w:val="FA88C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50B7F"/>
    <w:multiLevelType w:val="hybridMultilevel"/>
    <w:tmpl w:val="681A0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00500"/>
    <w:multiLevelType w:val="hybridMultilevel"/>
    <w:tmpl w:val="E1F28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75D20"/>
    <w:multiLevelType w:val="hybridMultilevel"/>
    <w:tmpl w:val="97506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1DAB"/>
    <w:multiLevelType w:val="hybridMultilevel"/>
    <w:tmpl w:val="CD363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F7483"/>
    <w:multiLevelType w:val="hybridMultilevel"/>
    <w:tmpl w:val="091E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D3211"/>
    <w:multiLevelType w:val="hybridMultilevel"/>
    <w:tmpl w:val="CA7EE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72819"/>
    <w:multiLevelType w:val="hybridMultilevel"/>
    <w:tmpl w:val="E6FE3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148E3"/>
    <w:multiLevelType w:val="hybridMultilevel"/>
    <w:tmpl w:val="E0E2E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472B9"/>
    <w:multiLevelType w:val="hybridMultilevel"/>
    <w:tmpl w:val="D4BE3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7"/>
  </w:num>
  <w:num w:numId="5">
    <w:abstractNumId w:val="16"/>
  </w:num>
  <w:num w:numId="6">
    <w:abstractNumId w:val="4"/>
  </w:num>
  <w:num w:numId="7">
    <w:abstractNumId w:val="19"/>
  </w:num>
  <w:num w:numId="8">
    <w:abstractNumId w:val="5"/>
  </w:num>
  <w:num w:numId="9">
    <w:abstractNumId w:val="14"/>
  </w:num>
  <w:num w:numId="10">
    <w:abstractNumId w:val="2"/>
  </w:num>
  <w:num w:numId="11">
    <w:abstractNumId w:val="6"/>
  </w:num>
  <w:num w:numId="12">
    <w:abstractNumId w:val="10"/>
  </w:num>
  <w:num w:numId="13">
    <w:abstractNumId w:val="12"/>
  </w:num>
  <w:num w:numId="14">
    <w:abstractNumId w:val="20"/>
  </w:num>
  <w:num w:numId="15">
    <w:abstractNumId w:val="13"/>
  </w:num>
  <w:num w:numId="16">
    <w:abstractNumId w:val="9"/>
  </w:num>
  <w:num w:numId="17">
    <w:abstractNumId w:val="11"/>
  </w:num>
  <w:num w:numId="18">
    <w:abstractNumId w:val="0"/>
  </w:num>
  <w:num w:numId="19">
    <w:abstractNumId w:val="18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43359"/>
    <w:rsid w:val="000B3914"/>
    <w:rsid w:val="000D04A8"/>
    <w:rsid w:val="000E1C2B"/>
    <w:rsid w:val="000F1FC4"/>
    <w:rsid w:val="000F2650"/>
    <w:rsid w:val="001A5B8E"/>
    <w:rsid w:val="001B2C72"/>
    <w:rsid w:val="00204B60"/>
    <w:rsid w:val="002918E4"/>
    <w:rsid w:val="003508D2"/>
    <w:rsid w:val="004024C8"/>
    <w:rsid w:val="00413962"/>
    <w:rsid w:val="00447BB7"/>
    <w:rsid w:val="00495D47"/>
    <w:rsid w:val="004C2548"/>
    <w:rsid w:val="00504270"/>
    <w:rsid w:val="00582254"/>
    <w:rsid w:val="005D7340"/>
    <w:rsid w:val="0060617C"/>
    <w:rsid w:val="006E7DA6"/>
    <w:rsid w:val="00782CBC"/>
    <w:rsid w:val="00805CA2"/>
    <w:rsid w:val="00807D8A"/>
    <w:rsid w:val="00815241"/>
    <w:rsid w:val="00844797"/>
    <w:rsid w:val="008456CE"/>
    <w:rsid w:val="008559F5"/>
    <w:rsid w:val="008E6E1A"/>
    <w:rsid w:val="009774E3"/>
    <w:rsid w:val="00982605"/>
    <w:rsid w:val="00993A0E"/>
    <w:rsid w:val="009D7921"/>
    <w:rsid w:val="009F7763"/>
    <w:rsid w:val="00A0138B"/>
    <w:rsid w:val="00A2093E"/>
    <w:rsid w:val="00B933A9"/>
    <w:rsid w:val="00BE657D"/>
    <w:rsid w:val="00C67AA2"/>
    <w:rsid w:val="00C855BD"/>
    <w:rsid w:val="00CA5A50"/>
    <w:rsid w:val="00CD1C25"/>
    <w:rsid w:val="00CD406E"/>
    <w:rsid w:val="00DA19B8"/>
    <w:rsid w:val="00E02D2F"/>
    <w:rsid w:val="00E166AD"/>
    <w:rsid w:val="00E37013"/>
    <w:rsid w:val="00E50B3A"/>
    <w:rsid w:val="00E66315"/>
    <w:rsid w:val="00E749BD"/>
    <w:rsid w:val="00E77441"/>
    <w:rsid w:val="00E91EA6"/>
    <w:rsid w:val="00E9258D"/>
    <w:rsid w:val="00E94442"/>
    <w:rsid w:val="00EF5235"/>
    <w:rsid w:val="00F06035"/>
    <w:rsid w:val="00F9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BAA8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8D2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49B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39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39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396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9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962"/>
    <w:rPr>
      <w:rFonts w:ascii="Fira Sans" w:hAnsi="Fira San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9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lin.stat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.com/Lublin_S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UrzadStatystycznyLublin/" TargetMode="External"/><Relationship Id="rId5" Type="http://schemas.openxmlformats.org/officeDocument/2006/relationships/hyperlink" Target="https://lublin.stat.gov.pl/opracowania-biezace/opracowania-sygnalne/inne-opracowania/koniunktura-gospodarcza-w-wojewodztwie-lubelskim-listopad-2024-r-,3,179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736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Koniunktura gospodarcza w województwie lubelskim w listopadzie 2024 roku (infografika) – opis alternatywny</vt:lpstr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gospodarcza w województwie lubelskim w listopadzie 2024 roku (infografika) – opis alternatywny</dc:title>
  <dc:subject/>
  <dc:creator>Szymkiewicz Szymon</dc:creator>
  <cp:keywords/>
  <dc:description/>
  <cp:lastModifiedBy>Szymkiewicz Szymon</cp:lastModifiedBy>
  <cp:revision>29</cp:revision>
  <dcterms:created xsi:type="dcterms:W3CDTF">2023-06-14T09:24:00Z</dcterms:created>
  <dcterms:modified xsi:type="dcterms:W3CDTF">2024-11-29T13:17:00Z</dcterms:modified>
</cp:coreProperties>
</file>