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5C6719" w:rsidP="008C089D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align>center</wp:align>
                </wp:positionH>
                <wp:positionV relativeFrom="paragraph">
                  <wp:posOffset>815340</wp:posOffset>
                </wp:positionV>
                <wp:extent cx="6877050" cy="706755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7067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44C" w:rsidRDefault="009A544C" w:rsidP="00CB047A"/>
                          <w:p w:rsidR="009A544C" w:rsidRDefault="009A544C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0;margin-top:64.2pt;width:541.5pt;height:556.5pt;z-index:-250875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YLSQMAAJAGAAAOAAAAZHJzL2Uyb0RvYy54bWysVU9PIzcUv1fqd7BcqafCDAjIbpYBRSCq&#10;ShSihRVnx/MmceLxc20Pk+S40n6Iqh+Da2/A99pnzySwW9RD1cvE79/v/X85Pl3Wmt2D8wpNwfd2&#10;c87ASCyVmRb80+3FzjvOfBCmFBoNFHwFnp+e/PjDcWuHsI8z1CU4RiDGD1tb8FkIdphlXs6gFn4X&#10;LRgSVuhqEYh006x0oiX0Wmf7eX6UtehK61CC98Q974T8JOFXFchwXVUeAtMFp9hC+rr0ncRvdnIs&#10;hlMn7EzJPgzxH6KohTLkdAt1LoJgjVP/gKqVdOixCrsS6wyrSklIOVA2e/l32dzMhIWUCxXH222Z&#10;/P8HK6/ux46pknrHmRE1tWhMAQZcPH0JjHgleEn1GmNJbWyxBaZMaoecAysxrOT66YsE1irQC3z+&#10;S6pf2EKBa8zi8aFl61oJwxQLYEoajLliOPHgCEiYlZyxlqaDIIxq2MTtEukeH57/TiJSXAsnSGnh&#10;10E8fw7NnFxFK78KjZDzpz+Zt/j8GQgAd37+aTn6sDNFYpXCxbBYi3NoHx/KdWhFH6FF7Sm+KcbW&#10;t9YPqQI3dux6ytMz9nFZuTr+UofYMo3LajsusAxMEvPo3WCQH9JUSZIN8qPBIRGEk72YW+fDr4A1&#10;i4+CO5rHNCbi/tKHTnWjEr151Kq8UFonIu4AnGnH7gVN72S6l0x1U/+OZcd7f5jnG5dpZaJ6CuAb&#10;JG0insGI3DmNnCxm3+WbXmGlIepp8xEqGgnKcD953CJ3ToWUYEIXjJ+JEjp2DOXtWBJgRK7I/xa7&#10;B/g2yQ12F2WvH00h7fLWOP+3wDrjrUXyjCZsjWtl0L0FoCmr3nOnvylSV5pYpbCcLEklPidYrmh3&#10;HHZHxVt5oajLl8KHMc1tGhq6jOGaPpXGtuDYvziboVu/xY/6tNwk5aylq1Rw/0cjHHCmfzO09u/3&#10;Dg7iGUvEweFgnwj3WjJ5LTFNfYY0OrTGFF16Rv2gN8/KYX1HB3QUvZJIGEm+Cy6D2xBnobuWtPMS&#10;RqOkRqfLinBpbqyM4LHAcYpvl3fC2X7UA23JFW4umBh+N/GdbrQ0OGoCViqtw0td+9LT2Uvz3J/o&#10;eFdf00nr5Y/k5CsAAAD//wMAUEsDBBQABgAIAAAAIQDDi6ZU3gAAAAoBAAAPAAAAZHJzL2Rvd25y&#10;ZXYueG1sTI9BT4QwEIXvJv6HZky8ue0iEmQpG7PJxpMHV2LirdBZINIp0rLgv7ec3ON87+XNe/l+&#10;MT274Og6SxK2GwEMqba6o0ZC+XF8SIE5r0ir3hJK+EUH++L2JleZtjO94+XkGxZCyGVKQuv9kHHu&#10;6haNchs7IAXtbEejfDjHhutRzSHc9DwSIuFGdRQ+tGrAQ4v192kyEqJyeYrmt+Pz51dZvYpk+jlE&#10;mEh5f7e87IB5XPy/Gdb6oToUoVNlJ9KO9RLCEB9olMbAVlmkjwFVK4q3MfAi59cTij8AAAD//wMA&#10;UEsBAi0AFAAGAAgAAAAhALaDOJL+AAAA4QEAABMAAAAAAAAAAAAAAAAAAAAAAFtDb250ZW50X1R5&#10;cGVzXS54bWxQSwECLQAUAAYACAAAACEAOP0h/9YAAACUAQAACwAAAAAAAAAAAAAAAAAvAQAAX3Jl&#10;bHMvLnJlbHNQSwECLQAUAAYACAAAACEAmAZWC0kDAACQBgAADgAAAAAAAAAAAAAAAAAuAgAAZHJz&#10;L2Uyb0RvYy54bWxQSwECLQAUAAYACAAAACEAw4umVN4AAAAKAQAADwAAAAAAAAAAAAAAAACjBQAA&#10;ZHJzL2Rvd25yZXYueG1sUEsFBgAAAAAEAAQA8wAAAK4GAAAAAA==&#10;" fillcolor="#f2f2f2 [3052]" stroked="f" strokeweight="1pt">
                <v:textbox>
                  <w:txbxContent>
                    <w:p w:rsidR="009A544C" w:rsidRDefault="009A544C" w:rsidP="00CB047A"/>
                    <w:p w:rsidR="009A544C" w:rsidRDefault="009A544C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044A67">
        <w:rPr>
          <w:color w:val="auto"/>
          <w:spacing w:val="-4"/>
          <w:shd w:val="clear" w:color="auto" w:fill="FFFFFF"/>
        </w:rPr>
        <w:t>w</w:t>
      </w:r>
      <w:r w:rsidR="001063D1" w:rsidRPr="00BB1AB6">
        <w:rPr>
          <w:color w:val="auto"/>
          <w:spacing w:val="-4"/>
          <w:shd w:val="clear" w:color="auto" w:fill="FFFFFF"/>
        </w:rPr>
        <w:t xml:space="preserve"> </w:t>
      </w:r>
      <w:r w:rsidR="00044A67">
        <w:rPr>
          <w:color w:val="auto"/>
          <w:spacing w:val="-4"/>
          <w:shd w:val="clear" w:color="auto" w:fill="FFFFFF"/>
        </w:rPr>
        <w:t>październik</w:t>
      </w:r>
      <w:r w:rsidR="001063D1" w:rsidRPr="00BB1AB6">
        <w:rPr>
          <w:color w:val="auto"/>
          <w:spacing w:val="-4"/>
          <w:shd w:val="clear" w:color="auto" w:fill="FFFFFF"/>
        </w:rPr>
        <w:t>u</w:t>
      </w:r>
      <w:r w:rsidR="00AF43F9" w:rsidRPr="00BB1AB6">
        <w:rPr>
          <w:color w:val="auto"/>
          <w:spacing w:val="-4"/>
          <w:shd w:val="clear" w:color="auto" w:fill="FFFFFF"/>
        </w:rPr>
        <w:t xml:space="preserve"> </w:t>
      </w:r>
      <w:r w:rsidR="00071ED9" w:rsidRPr="0004417E">
        <w:rPr>
          <w:color w:val="auto"/>
          <w:spacing w:val="-4"/>
          <w:shd w:val="clear" w:color="auto" w:fill="FFFFFF"/>
        </w:rPr>
        <w:t>2024 r.</w:t>
      </w:r>
    </w:p>
    <w:p w:rsidR="008B4963" w:rsidRPr="007B5B8D" w:rsidRDefault="008B4963" w:rsidP="008B4963">
      <w:pPr>
        <w:pStyle w:val="krop1"/>
      </w:pPr>
      <w:r w:rsidRPr="00D940AB">
        <w:t xml:space="preserve">Na rynku pracy ponownie odnotowano </w:t>
      </w:r>
      <w:r>
        <w:t>spadek</w:t>
      </w:r>
      <w:r w:rsidRPr="00D940AB">
        <w:t xml:space="preserve"> przeciętnego zatrudnienia w sektorze przedsiębiorstw w stosunku do analogicznego okresu poprzedniego roku. </w:t>
      </w:r>
      <w:r>
        <w:t>Podobnie jak</w:t>
      </w:r>
      <w:r w:rsidRPr="003F134B">
        <w:t xml:space="preserve"> </w:t>
      </w:r>
      <w:r w:rsidRPr="00D940AB">
        <w:t>przed miesiącem</w:t>
      </w:r>
      <w:r>
        <w:t xml:space="preserve"> spadek</w:t>
      </w:r>
      <w:r w:rsidRPr="00D940AB">
        <w:t xml:space="preserve"> ten wyniósł 0,</w:t>
      </w:r>
      <w:r>
        <w:t>3%</w:t>
      </w:r>
      <w:r w:rsidRPr="00D940AB">
        <w:t>.</w:t>
      </w:r>
    </w:p>
    <w:p w:rsidR="008B4963" w:rsidRPr="00BB1AB6" w:rsidRDefault="008B4963" w:rsidP="008B4963">
      <w:pPr>
        <w:pStyle w:val="krop1"/>
      </w:pPr>
      <w:r w:rsidRPr="00BB1AB6">
        <w:t xml:space="preserve">Stopa bezrobocia rejestrowanego wyniosła </w:t>
      </w:r>
      <w:r>
        <w:t>2,9</w:t>
      </w:r>
      <w:r w:rsidRPr="00BB1AB6">
        <w:t xml:space="preserve">%, tj. </w:t>
      </w:r>
      <w:r>
        <w:t xml:space="preserve">o 0,1 p.proc. mniej niż </w:t>
      </w:r>
      <w:r w:rsidRPr="00BB1AB6">
        <w:t>przed miesiącem</w:t>
      </w:r>
      <w:r w:rsidR="00117207">
        <w:t xml:space="preserve"> i przed rokiem.</w:t>
      </w:r>
      <w:r w:rsidRPr="00BB1AB6">
        <w:t xml:space="preserve"> Wielkopolskie wciąż wyróżnia się najniższą stopą bezrobocia, kształtującą się o 2,</w:t>
      </w:r>
      <w:r>
        <w:t>0</w:t>
      </w:r>
      <w:r w:rsidRPr="00BB1AB6">
        <w:t xml:space="preserve"> p.proc. poniżej przeciętnego poziomu w kraju.</w:t>
      </w:r>
    </w:p>
    <w:p w:rsidR="008B4963" w:rsidRPr="00C821F9" w:rsidRDefault="008B4963" w:rsidP="008B4963">
      <w:pPr>
        <w:pStyle w:val="krop1"/>
      </w:pPr>
      <w:r w:rsidRPr="00C821F9">
        <w:t xml:space="preserve">Przeciętne miesięczne wynagrodzenie brutto w sektorze przedsiębiorstw utrzymało tendencję wzrostową w skali roku, przy czym wzrost notowany </w:t>
      </w:r>
      <w:r>
        <w:t>w październiku</w:t>
      </w:r>
      <w:r w:rsidRPr="00C821F9">
        <w:t xml:space="preserve"> był nieco </w:t>
      </w:r>
      <w:r>
        <w:t>więk</w:t>
      </w:r>
      <w:r w:rsidRPr="00C821F9">
        <w:t xml:space="preserve">szy niż przed miesiącem i wyniósł </w:t>
      </w:r>
      <w:r>
        <w:t>11,4</w:t>
      </w:r>
      <w:r w:rsidRPr="00C821F9">
        <w:t xml:space="preserve">% (wobec </w:t>
      </w:r>
      <w:r>
        <w:t>10,8</w:t>
      </w:r>
      <w:r w:rsidRPr="00C821F9">
        <w:t xml:space="preserve">% </w:t>
      </w:r>
      <w:r>
        <w:t>we wrześniu</w:t>
      </w:r>
      <w:r w:rsidRPr="00D940AB">
        <w:t xml:space="preserve"> </w:t>
      </w:r>
      <w:r w:rsidRPr="00C821F9">
        <w:t xml:space="preserve">br.). </w:t>
      </w:r>
    </w:p>
    <w:p w:rsidR="003503B1" w:rsidRPr="00AE3974" w:rsidRDefault="003503B1" w:rsidP="002F3E21">
      <w:pPr>
        <w:pStyle w:val="krop1"/>
      </w:pPr>
      <w:r w:rsidRPr="00BB2F74">
        <w:t>W porównaniu z poprzednim mies</w:t>
      </w:r>
      <w:r>
        <w:t>iącem w skupie odnotowano wzrost</w:t>
      </w:r>
      <w:r w:rsidRPr="00BB2F74">
        <w:t xml:space="preserve"> cen większości obserwowanych produktów rolnych, z wyjątkiem </w:t>
      </w:r>
      <w:r>
        <w:t>ziemniaków, żywca wieprzowego i drobiowego</w:t>
      </w:r>
      <w:r w:rsidRPr="00BB2F74">
        <w:t xml:space="preserve">. W odniesieniu do </w:t>
      </w:r>
      <w:r>
        <w:t>października</w:t>
      </w:r>
      <w:r w:rsidRPr="00BB2F74">
        <w:t xml:space="preserve"> ub. roku obniżyły się ceny skupu produktów roślinnych, a spośród zwierzęcych – żywca wieprzowego i drobiu rzeźnego. W skali roku więcej płacono jedynie za żywiec wołowy oraz mleko. </w:t>
      </w:r>
      <w:r w:rsidR="002F3E21" w:rsidRPr="003933E2">
        <w:t>Na wolnym rynku w relacji do września br. zaobserwowano wzrost cen większości badanych produktów rolnych, oprócz pszenicy i ziemniaków. W ujęciu rocznym wzrost cen zanotowano jedynie w przypadku owsa.</w:t>
      </w:r>
    </w:p>
    <w:p w:rsidR="008B4963" w:rsidRDefault="003503B1" w:rsidP="003503B1">
      <w:pPr>
        <w:pStyle w:val="krop1"/>
      </w:pPr>
      <w:r>
        <w:t>W stosunku do września</w:t>
      </w:r>
      <w:r w:rsidRPr="007C0C0C">
        <w:t xml:space="preserve"> br. w skupie odnotowano </w:t>
      </w:r>
      <w:r>
        <w:t>wzrost dostaw żyta</w:t>
      </w:r>
      <w:r w:rsidRPr="007C0C0C">
        <w:t xml:space="preserve"> </w:t>
      </w:r>
      <w:r>
        <w:t xml:space="preserve">oraz </w:t>
      </w:r>
      <w:r w:rsidRPr="007C0C0C">
        <w:t xml:space="preserve">produktów </w:t>
      </w:r>
      <w:r>
        <w:t>zwierzęcych</w:t>
      </w:r>
      <w:r w:rsidRPr="007C0C0C">
        <w:t xml:space="preserve">. W relacji do </w:t>
      </w:r>
      <w:r>
        <w:t xml:space="preserve">października ub. roku zaobserwowano mniejszą podaż ziaren zbóż podstawowych, a większą obserwowanych </w:t>
      </w:r>
      <w:r w:rsidRPr="007C0C0C">
        <w:t>produktów</w:t>
      </w:r>
      <w:r>
        <w:t xml:space="preserve"> pochodzenia zwierzęcego</w:t>
      </w:r>
      <w:r w:rsidR="008B4963">
        <w:t>.</w:t>
      </w:r>
    </w:p>
    <w:p w:rsidR="008B4963" w:rsidRPr="007B5B8D" w:rsidRDefault="008B4963" w:rsidP="008B4963">
      <w:pPr>
        <w:pStyle w:val="krop1"/>
      </w:pPr>
      <w:r>
        <w:t>W</w:t>
      </w:r>
      <w:r w:rsidRPr="007B5B8D">
        <w:t xml:space="preserve">artość produkcji sprzedanej przemysłu </w:t>
      </w:r>
      <w:r>
        <w:t xml:space="preserve">zwiększyła się </w:t>
      </w:r>
      <w:r w:rsidRPr="007B5B8D">
        <w:t xml:space="preserve">w porównaniu </w:t>
      </w:r>
      <w:r>
        <w:t xml:space="preserve">z </w:t>
      </w:r>
      <w:r w:rsidRPr="007B5B8D">
        <w:t>poprzedni</w:t>
      </w:r>
      <w:r>
        <w:t>m</w:t>
      </w:r>
      <w:r w:rsidRPr="007B5B8D">
        <w:t xml:space="preserve"> miesiąc</w:t>
      </w:r>
      <w:r>
        <w:t>em – o 10,1% (</w:t>
      </w:r>
      <w:r w:rsidRPr="007B5B8D">
        <w:t>lic</w:t>
      </w:r>
      <w:r>
        <w:t>ząc w </w:t>
      </w:r>
      <w:r w:rsidRPr="007B5B8D">
        <w:t>cenach stałych</w:t>
      </w:r>
      <w:r>
        <w:t>) i</w:t>
      </w:r>
      <w:r w:rsidRPr="00BD4F22">
        <w:t xml:space="preserve"> </w:t>
      </w:r>
      <w:r>
        <w:t>w</w:t>
      </w:r>
      <w:r w:rsidRPr="007B5B8D">
        <w:t xml:space="preserve"> skali roku </w:t>
      </w:r>
      <w:r>
        <w:t xml:space="preserve">– </w:t>
      </w:r>
      <w:r w:rsidRPr="007B5B8D">
        <w:t xml:space="preserve">o </w:t>
      </w:r>
      <w:r>
        <w:t>11,4</w:t>
      </w:r>
      <w:r w:rsidRPr="007B5B8D">
        <w:t>% (</w:t>
      </w:r>
      <w:r>
        <w:t>we wrześniu</w:t>
      </w:r>
      <w:r w:rsidRPr="00D940AB">
        <w:t xml:space="preserve"> </w:t>
      </w:r>
      <w:r>
        <w:t>br.</w:t>
      </w:r>
      <w:r w:rsidRPr="007B5B8D">
        <w:t xml:space="preserve"> </w:t>
      </w:r>
      <w:r>
        <w:t xml:space="preserve">wzrost </w:t>
      </w:r>
      <w:r w:rsidRPr="007B5B8D">
        <w:t>wartości sprzedaży</w:t>
      </w:r>
      <w:r>
        <w:t xml:space="preserve"> wyniósł 8,2% w ujęciu miesięcznym</w:t>
      </w:r>
      <w:r w:rsidRPr="007B5B8D">
        <w:t xml:space="preserve"> </w:t>
      </w:r>
      <w:r>
        <w:t xml:space="preserve">i 4,6% </w:t>
      </w:r>
      <w:r w:rsidRPr="007B5B8D">
        <w:t>w stosunku rocznym).</w:t>
      </w:r>
    </w:p>
    <w:p w:rsidR="008B4963" w:rsidRPr="007B5B8D" w:rsidRDefault="008B4963" w:rsidP="008B4963">
      <w:pPr>
        <w:pStyle w:val="krop1"/>
      </w:pPr>
      <w:r w:rsidRPr="007B5B8D">
        <w:t>Wartość produkcji budowlano-montażowej z</w:t>
      </w:r>
      <w:r>
        <w:t>więk</w:t>
      </w:r>
      <w:r w:rsidRPr="007B5B8D">
        <w:t xml:space="preserve">szyła się o </w:t>
      </w:r>
      <w:r>
        <w:t>10,3</w:t>
      </w:r>
      <w:r w:rsidRPr="007B5B8D">
        <w:t xml:space="preserve">% w porównaniu </w:t>
      </w:r>
      <w:r>
        <w:t>z wrześniem br., ale obniżyła się o 5,7% w relacji do października</w:t>
      </w:r>
      <w:r w:rsidRPr="007B5B8D">
        <w:t xml:space="preserve"> </w:t>
      </w:r>
      <w:r>
        <w:t>ub. roku</w:t>
      </w:r>
      <w:r w:rsidRPr="007B5B8D">
        <w:t xml:space="preserve"> (</w:t>
      </w:r>
      <w:r>
        <w:t>we wrześniu</w:t>
      </w:r>
      <w:r w:rsidRPr="00D940AB">
        <w:t xml:space="preserve"> </w:t>
      </w:r>
      <w:r>
        <w:t>br.</w:t>
      </w:r>
      <w:r w:rsidRPr="007B5B8D">
        <w:t xml:space="preserve"> </w:t>
      </w:r>
      <w:r>
        <w:t>obserwowano</w:t>
      </w:r>
      <w:r w:rsidRPr="007B5B8D">
        <w:t xml:space="preserve"> </w:t>
      </w:r>
      <w:r>
        <w:t>wzrost</w:t>
      </w:r>
      <w:r w:rsidRPr="007B5B8D">
        <w:t xml:space="preserve"> wartości produkcji budowlano-</w:t>
      </w:r>
      <w:r w:rsidR="00E02A92">
        <w:br/>
        <w:t>-</w:t>
      </w:r>
      <w:r w:rsidRPr="007B5B8D">
        <w:t>montażowej</w:t>
      </w:r>
      <w:r>
        <w:t xml:space="preserve"> </w:t>
      </w:r>
      <w:r w:rsidRPr="007B5B8D">
        <w:t>w</w:t>
      </w:r>
      <w:r>
        <w:t xml:space="preserve"> skali</w:t>
      </w:r>
      <w:r w:rsidRPr="007B5B8D">
        <w:t xml:space="preserve"> miesi</w:t>
      </w:r>
      <w:r>
        <w:t xml:space="preserve">ąca – </w:t>
      </w:r>
      <w:r w:rsidRPr="007B5B8D">
        <w:t xml:space="preserve">o </w:t>
      </w:r>
      <w:r>
        <w:t>10,9</w:t>
      </w:r>
      <w:r w:rsidRPr="007B5B8D">
        <w:t>%</w:t>
      </w:r>
      <w:r>
        <w:t xml:space="preserve"> i </w:t>
      </w:r>
      <w:r w:rsidRPr="007B5B8D">
        <w:t xml:space="preserve">w </w:t>
      </w:r>
      <w:r>
        <w:t>ujęciu</w:t>
      </w:r>
      <w:r w:rsidRPr="007B5B8D">
        <w:t xml:space="preserve"> ro</w:t>
      </w:r>
      <w:r>
        <w:t>cznym</w:t>
      </w:r>
      <w:r w:rsidRPr="007B5B8D">
        <w:t xml:space="preserve"> </w:t>
      </w:r>
      <w:r>
        <w:t>– o 3,0</w:t>
      </w:r>
      <w:r w:rsidRPr="007B5B8D">
        <w:t>%).</w:t>
      </w:r>
    </w:p>
    <w:p w:rsidR="008B4963" w:rsidRPr="005C011D" w:rsidRDefault="008B4963" w:rsidP="008B4963">
      <w:pPr>
        <w:pStyle w:val="krop1"/>
      </w:pPr>
      <w:r>
        <w:t>W październiku</w:t>
      </w:r>
      <w:r w:rsidRPr="005C011D">
        <w:t xml:space="preserve"> br. do użytkowania oddano o </w:t>
      </w:r>
      <w:r w:rsidRPr="00646BF1">
        <w:t>9,2</w:t>
      </w:r>
      <w:r w:rsidRPr="005C011D">
        <w:t>% więcej mieszkań niż rok wcześniej. Większa była również</w:t>
      </w:r>
      <w:r>
        <w:t xml:space="preserve"> </w:t>
      </w:r>
      <w:r w:rsidRPr="005C011D">
        <w:t>liczba nowo rozpoczętyc</w:t>
      </w:r>
      <w:r>
        <w:t>h inwestycji mieszkaniowych (o 11,6</w:t>
      </w:r>
      <w:r w:rsidRPr="005C011D">
        <w:t>%)</w:t>
      </w:r>
      <w:r>
        <w:t>.</w:t>
      </w:r>
      <w:r w:rsidRPr="005C011D">
        <w:t xml:space="preserve"> </w:t>
      </w:r>
      <w:r>
        <w:t xml:space="preserve">Obniżyła się natomiast </w:t>
      </w:r>
      <w:r w:rsidRPr="005C011D">
        <w:t xml:space="preserve">liczba mieszkań, na budowę których wydano pozwolenia lub dokonano zgłoszenia z projektem budowlanym (o </w:t>
      </w:r>
      <w:r>
        <w:t>18,8%)</w:t>
      </w:r>
      <w:r w:rsidRPr="005C011D">
        <w:t xml:space="preserve">. </w:t>
      </w:r>
    </w:p>
    <w:p w:rsidR="008B4963" w:rsidRPr="007B5B8D" w:rsidRDefault="008B4963" w:rsidP="00425D55">
      <w:pPr>
        <w:pStyle w:val="krop1"/>
      </w:pPr>
      <w:r w:rsidRPr="007B5B8D">
        <w:t xml:space="preserve">Utrzymała się tendencja wzrostowa wartości sprzedaży detalicznej ogółu przedsiębiorstw handlowych i niehandlowych w stosunku rocznym. Wzrost ten w relacji do </w:t>
      </w:r>
      <w:r>
        <w:t>października</w:t>
      </w:r>
      <w:r w:rsidRPr="007B5B8D">
        <w:t xml:space="preserve"> </w:t>
      </w:r>
      <w:r>
        <w:t>ub. roku</w:t>
      </w:r>
      <w:r w:rsidRPr="007B5B8D">
        <w:t xml:space="preserve"> wyniósł </w:t>
      </w:r>
      <w:r>
        <w:t>9,9</w:t>
      </w:r>
      <w:r w:rsidRPr="007B5B8D">
        <w:t>% (</w:t>
      </w:r>
      <w:r>
        <w:t>3,8</w:t>
      </w:r>
      <w:r w:rsidRPr="007B5B8D">
        <w:t>% przed miesiącem), a</w:t>
      </w:r>
      <w:r>
        <w:t> </w:t>
      </w:r>
      <w:r w:rsidRPr="007B5B8D">
        <w:t xml:space="preserve">dotyczył </w:t>
      </w:r>
      <w:r>
        <w:t>szczególnie</w:t>
      </w:r>
      <w:r w:rsidRPr="007B5B8D">
        <w:t xml:space="preserve"> sprzedaży </w:t>
      </w:r>
      <w:r>
        <w:t>paliw</w:t>
      </w:r>
      <w:r w:rsidRPr="007B5B8D">
        <w:t xml:space="preserve"> </w:t>
      </w:r>
      <w:r>
        <w:t xml:space="preserve">(o </w:t>
      </w:r>
      <w:r w:rsidR="00425D55" w:rsidRPr="00425D55">
        <w:t>20,4</w:t>
      </w:r>
      <w:r>
        <w:t>%)</w:t>
      </w:r>
      <w:r w:rsidRPr="007B5B8D">
        <w:t xml:space="preserve">. </w:t>
      </w:r>
    </w:p>
    <w:p w:rsidR="008B4963" w:rsidRDefault="008B4963" w:rsidP="008B4963">
      <w:pPr>
        <w:pStyle w:val="krop1"/>
      </w:pPr>
      <w:r w:rsidRPr="00337B06">
        <w:t xml:space="preserve">Wartość sprzedaży hurtowej jednostek handlowych ogółem </w:t>
      </w:r>
      <w:r>
        <w:t>w październiku</w:t>
      </w:r>
      <w:r w:rsidRPr="00337B06">
        <w:t xml:space="preserve"> br. </w:t>
      </w:r>
      <w:r>
        <w:t>zwiększy</w:t>
      </w:r>
      <w:r w:rsidRPr="00337B06">
        <w:t xml:space="preserve">ła się o </w:t>
      </w:r>
      <w:r>
        <w:t>6,2% w ujęciu rocznym. W </w:t>
      </w:r>
      <w:r w:rsidRPr="00337B06">
        <w:t xml:space="preserve">grupie przedsiębiorstw handlu hurtowego </w:t>
      </w:r>
      <w:r>
        <w:t>wzrost</w:t>
      </w:r>
      <w:r w:rsidRPr="00337B06">
        <w:t xml:space="preserve"> ten wyniósł </w:t>
      </w:r>
      <w:r>
        <w:t>2,7</w:t>
      </w:r>
      <w:r w:rsidRPr="00337B06">
        <w:t xml:space="preserve">% (przed </w:t>
      </w:r>
      <w:r>
        <w:t>miesiącem przedsiębiorstwa te w </w:t>
      </w:r>
      <w:r w:rsidRPr="00337B06">
        <w:t xml:space="preserve">skali roku wykazały spadek </w:t>
      </w:r>
      <w:r>
        <w:t>odpowiednio o 7,7% i o 11,4%).</w:t>
      </w:r>
      <w:r w:rsidRPr="007B5B8D">
        <w:t xml:space="preserve"> </w:t>
      </w:r>
    </w:p>
    <w:p w:rsidR="008B4963" w:rsidRPr="00A00CD4" w:rsidRDefault="008B4963" w:rsidP="008B4963">
      <w:pPr>
        <w:pStyle w:val="krop1"/>
        <w:spacing w:before="120" w:after="120"/>
      </w:pPr>
      <w:r w:rsidRPr="00A00CD4">
        <w:t xml:space="preserve">W okresie styczeń-wrzesień br. przedsiębiorstwa niefinansowe uzyskały </w:t>
      </w:r>
      <w:r>
        <w:t>gorsze</w:t>
      </w:r>
      <w:r w:rsidRPr="00A00CD4">
        <w:t xml:space="preserve"> wyniki finansowe od notowanych przed rokiem. </w:t>
      </w:r>
      <w:r>
        <w:t>Mniej k</w:t>
      </w:r>
      <w:r w:rsidRPr="00A00CD4">
        <w:t xml:space="preserve">orzystniej kształtowały się też podstawowe wskaźniki ekonomiczno-finansowe. </w:t>
      </w:r>
    </w:p>
    <w:p w:rsidR="008B4963" w:rsidRDefault="008B4963" w:rsidP="008B4963">
      <w:pPr>
        <w:pStyle w:val="krop1"/>
      </w:pPr>
      <w:r w:rsidRPr="00205F09">
        <w:t xml:space="preserve">Przedsiębiorstwa mające siedzibę na terenie województwa wielkopolskiego w okresie styczeń-wrzesień br. poniosły nakłady inwestycyjne w kwocie o </w:t>
      </w:r>
      <w:r>
        <w:t>8,5</w:t>
      </w:r>
      <w:r w:rsidRPr="00205F09">
        <w:t xml:space="preserve">% </w:t>
      </w:r>
      <w:r>
        <w:t>mniejs</w:t>
      </w:r>
      <w:r w:rsidRPr="00205F09">
        <w:t>zej niż przed rokiem.</w:t>
      </w:r>
    </w:p>
    <w:p w:rsidR="008B4963" w:rsidRPr="00FF1B94" w:rsidRDefault="008B4963" w:rsidP="008B4963">
      <w:pPr>
        <w:pStyle w:val="krop1"/>
      </w:pPr>
      <w:r w:rsidRPr="00FF1B94">
        <w:t xml:space="preserve">W końcu </w:t>
      </w:r>
      <w:r>
        <w:t>października</w:t>
      </w:r>
      <w:r w:rsidRPr="00FF1B94">
        <w:t xml:space="preserve"> br. w rejestrze REGON dla województwa wielkopolskiego zawieszoną działalność miało 71,</w:t>
      </w:r>
      <w:r>
        <w:t>8 </w:t>
      </w:r>
      <w:r w:rsidRPr="00FF1B94">
        <w:t xml:space="preserve">tys. podmiotów, </w:t>
      </w:r>
      <w:r>
        <w:t xml:space="preserve">nieco więcej </w:t>
      </w:r>
      <w:r w:rsidRPr="00FF1B94">
        <w:t>niż w poprzednim miesiącu (71,</w:t>
      </w:r>
      <w:r>
        <w:t>4</w:t>
      </w:r>
      <w:r w:rsidRPr="00FF1B94">
        <w:t xml:space="preserve"> tys.).</w:t>
      </w:r>
    </w:p>
    <w:p w:rsidR="004D5060" w:rsidRDefault="003D01A3" w:rsidP="003D01A3">
      <w:pPr>
        <w:pStyle w:val="krop1"/>
      </w:pPr>
      <w:r w:rsidRPr="003D01A3">
        <w:t>W listopadzie br. w większości badanych obszarów gospodarki oceny koniunktury formułowane przez przedsiębiorców są negatywne. Największy spadek wartości wskaźnika ogólnego klimatu koniunktury odnotowano w budownictwie, a największy jego wzrost zaobserwowano w zakwaterowaniu i gastronomii.</w:t>
      </w:r>
    </w:p>
    <w:p w:rsidR="003D01A3" w:rsidRDefault="003D01A3" w:rsidP="003D01A3">
      <w:pPr>
        <w:pStyle w:val="krop1"/>
        <w:numPr>
          <w:ilvl w:val="0"/>
          <w:numId w:val="0"/>
        </w:numPr>
        <w:ind w:left="568"/>
      </w:pPr>
    </w:p>
    <w:p w:rsidR="00082FFD" w:rsidRPr="00082FFD" w:rsidRDefault="00082FFD" w:rsidP="005A5088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44A67" w:rsidRDefault="00044A67" w:rsidP="00044A67">
          <w:pPr>
            <w:pStyle w:val="podt1"/>
            <w:tabs>
              <w:tab w:val="left" w:pos="3105"/>
            </w:tabs>
          </w:pPr>
          <w:r>
            <w:t>Spis treści</w:t>
          </w:r>
          <w:r>
            <w:tab/>
          </w:r>
        </w:p>
        <w:p w:rsidR="00AD7317" w:rsidRDefault="00044A6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3619735" w:history="1">
            <w:r w:rsidR="00AD7317" w:rsidRPr="00863DD2">
              <w:rPr>
                <w:rStyle w:val="Hipercze"/>
              </w:rPr>
              <w:t>Rynek pracy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_Toc183619735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 w:rsidR="000634E8">
              <w:rPr>
                <w:webHidden/>
              </w:rPr>
              <w:t>4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36" w:history="1">
            <w:r w:rsidR="00AD7317" w:rsidRPr="00863DD2">
              <w:rPr>
                <w:rStyle w:val="Hipercze"/>
              </w:rPr>
              <w:t>Wynagrodzenia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_Toc183619736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37" w:history="1">
            <w:r w:rsidR="00AD7317" w:rsidRPr="00863DD2">
              <w:rPr>
                <w:rStyle w:val="Hipercze"/>
              </w:rPr>
              <w:t>Rolnictwo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_Toc183619737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38" w:history="1">
            <w:r w:rsidR="00AD7317" w:rsidRPr="00863DD2">
              <w:rPr>
                <w:rStyle w:val="Hipercze"/>
              </w:rPr>
              <w:t>Przemysł i budownictwo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_Toc183619738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39" w:history="1">
            <w:r w:rsidR="00AD7317" w:rsidRPr="00863DD2">
              <w:rPr>
                <w:rStyle w:val="Hipercze"/>
              </w:rPr>
              <w:t>Budownictwo mieszkaniowe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_Toc183619739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40" w:history="1">
            <w:r w:rsidR="00AD7317" w:rsidRPr="00863DD2">
              <w:rPr>
                <w:rStyle w:val="Hipercze"/>
              </w:rPr>
              <w:t>Rynek wewnętrzny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_Toc183619740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41" w:history="1">
            <w:r w:rsidR="00AD7317" w:rsidRPr="00863DD2">
              <w:rPr>
                <w:rStyle w:val="Hipercze"/>
              </w:rPr>
              <w:t>Wyniki finansowe przedsiębiorstw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_Toc183619741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42" w:history="1">
            <w:r w:rsidR="00AD7317" w:rsidRPr="00863DD2">
              <w:rPr>
                <w:rStyle w:val="Hipercze"/>
              </w:rPr>
              <w:t>Nakłady inwestycyjne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_Toc183619742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43" w:history="1">
            <w:r w:rsidR="00AD7317" w:rsidRPr="00863DD2">
              <w:rPr>
                <w:rStyle w:val="Hipercze"/>
              </w:rPr>
              <w:t>Podmioty gospodarki narodowej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_Toc183619743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 w:rsidR="00AD7317">
              <w:rPr>
                <w:webHidden/>
              </w:rPr>
              <w:fldChar w:fldCharType="end"/>
            </w:r>
          </w:hyperlink>
        </w:p>
        <w:p w:rsidR="00AD7317" w:rsidRDefault="000634E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3619744" w:history="1">
            <w:r w:rsidR="00AD7317" w:rsidRPr="00863DD2">
              <w:rPr>
                <w:rStyle w:val="Hipercze"/>
              </w:rPr>
              <w:t>Koniunktura gospodarcza</w:t>
            </w:r>
            <w:r w:rsidR="00AD7317">
              <w:rPr>
                <w:webHidden/>
              </w:rPr>
              <w:tab/>
            </w:r>
            <w:r w:rsidR="00AD7317">
              <w:rPr>
                <w:webHidden/>
              </w:rPr>
              <w:fldChar w:fldCharType="begin"/>
            </w:r>
            <w:r w:rsidR="00AD7317">
              <w:rPr>
                <w:webHidden/>
              </w:rPr>
              <w:instrText xml:space="preserve"> PAGEREF _Toc183619744 \h </w:instrText>
            </w:r>
            <w:r w:rsidR="00AD7317">
              <w:rPr>
                <w:webHidden/>
              </w:rPr>
            </w:r>
            <w:r w:rsidR="00AD7317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AD7317">
              <w:rPr>
                <w:webHidden/>
              </w:rPr>
              <w:fldChar w:fldCharType="end"/>
            </w:r>
          </w:hyperlink>
        </w:p>
        <w:p w:rsidR="00044A67" w:rsidRDefault="00044A67" w:rsidP="00044A67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Pr="0010608B">
              <w:rPr>
                <w:webHidden/>
              </w:rPr>
              <w:tab/>
            </w:r>
            <w:r>
              <w:rPr>
                <w:webHidden/>
              </w:rPr>
              <w:t>2</w:t>
            </w:r>
          </w:hyperlink>
          <w:r w:rsidR="00C66712">
            <w:t>7</w:t>
          </w:r>
        </w:p>
      </w:sdtContent>
    </w:sdt>
    <w:p w:rsidR="00044A67" w:rsidRPr="0010330E" w:rsidRDefault="00044A67" w:rsidP="00044A67">
      <w:pPr>
        <w:pStyle w:val="podt1"/>
      </w:pPr>
      <w:r w:rsidRPr="0010330E">
        <w:t>Uwagi ogólne</w:t>
      </w:r>
    </w:p>
    <w:p w:rsidR="00044A67" w:rsidRPr="008E7E8E" w:rsidRDefault="00044A67" w:rsidP="00044A67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044A67" w:rsidRDefault="00044A67" w:rsidP="00044A67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044A67" w:rsidRDefault="00044A67" w:rsidP="00044A67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044A67" w:rsidRPr="008F520F" w:rsidRDefault="00044A67" w:rsidP="00044A67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044A67" w:rsidRPr="008F520F" w:rsidRDefault="00044A67" w:rsidP="00044A67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044A67" w:rsidRDefault="00044A67" w:rsidP="00044A67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:rsidR="00044A67" w:rsidRDefault="00044A67" w:rsidP="00044A67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044A67" w:rsidRDefault="00044A67" w:rsidP="00044A67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>
        <w:rPr>
          <w:shd w:val="clear" w:color="auto" w:fill="FFFFFF"/>
        </w:rPr>
        <w:br w:type="page"/>
      </w:r>
    </w:p>
    <w:p w:rsidR="00044A67" w:rsidRPr="00EC079C" w:rsidRDefault="00044A67" w:rsidP="00044A67">
      <w:pPr>
        <w:pStyle w:val="podt1"/>
      </w:pPr>
      <w:bookmarkStart w:id="0" w:name="_Toc64884825"/>
      <w:r w:rsidRPr="00EC079C">
        <w:lastRenderedPageBreak/>
        <w:t>Polska klasyfikacja działalności 2007 (PKD 2007)</w:t>
      </w:r>
      <w:bookmarkEnd w:id="0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044A67" w:rsidRPr="00FA5128" w:rsidTr="009A544C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12" w:space="0" w:color="7030A0"/>
              <w:right w:val="single" w:sz="4" w:space="0" w:color="522398"/>
            </w:tcBorders>
            <w:vAlign w:val="center"/>
          </w:tcPr>
          <w:p w:rsidR="00044A67" w:rsidRPr="008E6E02" w:rsidRDefault="00044A67" w:rsidP="00707A0E">
            <w:r w:rsidRPr="008E6E02">
              <w:t>Skrót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12" w:space="0" w:color="7030A0"/>
            </w:tcBorders>
          </w:tcPr>
          <w:p w:rsidR="00044A67" w:rsidRPr="00EC7F1D" w:rsidRDefault="00044A67" w:rsidP="00707A0E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044A67" w:rsidRPr="003B597A" w:rsidTr="009A544C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7030A0"/>
              <w:bottom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044A67" w:rsidRPr="003B597A" w:rsidTr="00707A0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3B597A" w:rsidRDefault="00044A67" w:rsidP="00707A0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>
              <w:t xml:space="preserve"> </w:t>
            </w:r>
            <w:r w:rsidRPr="0000727B">
              <w:t xml:space="preserve">gorącą wodę </w:t>
            </w:r>
            <w:r>
              <w:br/>
            </w:r>
            <w:r w:rsidRPr="0000727B">
              <w:t>i powietrze do układów klimatyzacyjnych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>
              <w:br/>
            </w:r>
            <w:r w:rsidRPr="0000727B">
              <w:t>z rekultywacją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044A67" w:rsidRPr="008E7E8E" w:rsidTr="00707A0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EC7F1D">
              <w:t xml:space="preserve">Produkcja wyrobów z drewna, korka, słomy </w:t>
            </w:r>
            <w:r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044A67" w:rsidRPr="00EC7F1D" w:rsidTr="00707A0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044A67" w:rsidRPr="003439F1" w:rsidRDefault="00044A67" w:rsidP="00044A67">
      <w:pPr>
        <w:pStyle w:val="podt1"/>
      </w:pPr>
      <w:bookmarkStart w:id="1" w:name="_Toc64884826"/>
      <w:r w:rsidRPr="003439F1">
        <w:t>Objaśnienia znaków umownych</w:t>
      </w:r>
      <w:bookmarkEnd w:id="1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044A67" w:rsidRPr="00FA5128" w:rsidTr="00707A0E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044A67" w:rsidRPr="00BC55DB" w:rsidRDefault="00044A67" w:rsidP="00707A0E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044A67" w:rsidRPr="00850632" w:rsidRDefault="00044A67" w:rsidP="00707A0E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044A67" w:rsidRPr="00FA5128" w:rsidTr="00707A0E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26747F" w:rsidRDefault="00044A67" w:rsidP="00707A0E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4A67" w:rsidRPr="0000727B" w:rsidRDefault="00044A67" w:rsidP="00707A0E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044A67" w:rsidRPr="0026747F" w:rsidRDefault="00044A67" w:rsidP="00707A0E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044A67" w:rsidRPr="0000727B" w:rsidRDefault="00044A67" w:rsidP="00707A0E">
            <w:pPr>
              <w:pStyle w:val="skrt"/>
            </w:pPr>
            <w:r w:rsidRPr="0000727B">
              <w:t>Znak  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oznacza, że dane zostały zmienione w</w:t>
            </w:r>
            <w:r>
              <w:t xml:space="preserve"> stosunku do już opublikowanych</w:t>
            </w:r>
          </w:p>
        </w:tc>
      </w:tr>
      <w:tr w:rsidR="00044A67" w:rsidRPr="008E7E8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044A67" w:rsidRPr="0000727B" w:rsidRDefault="00044A67" w:rsidP="00707A0E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044A67" w:rsidRDefault="00044A67" w:rsidP="00044A67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044A67" w:rsidRPr="00272F15" w:rsidRDefault="00044A67" w:rsidP="00044A67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044A67" w:rsidRPr="00471D3A" w:rsidRDefault="00044A67" w:rsidP="00044A67">
      <w:pPr>
        <w:pStyle w:val="Nagwek1"/>
        <w:rPr>
          <w:color w:val="auto"/>
        </w:rPr>
      </w:pPr>
      <w:bookmarkStart w:id="2" w:name="_Toc64884827"/>
      <w:bookmarkStart w:id="3" w:name="_Toc64884996"/>
      <w:bookmarkStart w:id="4" w:name="_Toc64891649"/>
      <w:bookmarkStart w:id="5" w:name="_Toc183619735"/>
      <w:r w:rsidRPr="00887EC6">
        <w:lastRenderedPageBreak/>
        <w:t>Rynek pracy</w:t>
      </w:r>
      <w:bookmarkEnd w:id="2"/>
      <w:bookmarkEnd w:id="3"/>
      <w:bookmarkEnd w:id="4"/>
      <w:bookmarkEnd w:id="5"/>
    </w:p>
    <w:p w:rsidR="00044A67" w:rsidRPr="00C23F9B" w:rsidRDefault="00044A67" w:rsidP="00044A67">
      <w:pPr>
        <w:pStyle w:val="tekst"/>
      </w:pPr>
      <w:r>
        <w:t>W październiku</w:t>
      </w:r>
      <w:r w:rsidRPr="003703CF">
        <w:t xml:space="preserve"> br. zanotowano niewielki spadek przeciętnego miesięcznego zatrudnienia w sektorze przedsiębiorstw w</w:t>
      </w:r>
      <w:r>
        <w:t> </w:t>
      </w:r>
      <w:r w:rsidRPr="003703CF">
        <w:t xml:space="preserve">odniesieniu do analogicznego okresu poprzedniego roku. </w:t>
      </w:r>
      <w:r>
        <w:t xml:space="preserve">W tym czasie obniżyła się także </w:t>
      </w:r>
      <w:r w:rsidRPr="00471D3A">
        <w:t>stopa bezrobocia rejestrowanego</w:t>
      </w:r>
      <w:r w:rsidRPr="00C23F9B">
        <w:t>. Wskaźnik dla województwa wielkopolskiego wciąż pozostaje najniższy w kraju.</w:t>
      </w:r>
    </w:p>
    <w:p w:rsidR="00044A67" w:rsidRDefault="00044A67" w:rsidP="00044A67">
      <w:pPr>
        <w:pStyle w:val="tekst"/>
      </w:pPr>
      <w:r w:rsidRPr="003703CF">
        <w:rPr>
          <w:b/>
        </w:rPr>
        <w:t>Przeciętne zatrudnienie</w:t>
      </w:r>
      <w:r w:rsidRPr="003703CF">
        <w:t xml:space="preserve"> w sektorze przedsiębiorstw </w:t>
      </w:r>
      <w:r>
        <w:t>w październiku</w:t>
      </w:r>
      <w:r w:rsidRPr="003703CF">
        <w:t xml:space="preserve"> br. wyniosło </w:t>
      </w:r>
      <w:r w:rsidRPr="00EE5E68">
        <w:t>852,7</w:t>
      </w:r>
      <w:r>
        <w:t xml:space="preserve"> </w:t>
      </w:r>
      <w:r w:rsidRPr="003703CF">
        <w:t xml:space="preserve">tys. osób, </w:t>
      </w:r>
      <w:r>
        <w:t>tj. o 0,1% więcej niż we wrześniu br. i 0,3% mniej niż</w:t>
      </w:r>
      <w:r w:rsidRPr="003703CF">
        <w:t xml:space="preserve"> </w:t>
      </w:r>
      <w:r>
        <w:t>w</w:t>
      </w:r>
      <w:r w:rsidRPr="003703CF">
        <w:t xml:space="preserve"> </w:t>
      </w:r>
      <w:r>
        <w:t>październiku</w:t>
      </w:r>
      <w:r w:rsidRPr="003703CF">
        <w:t xml:space="preserve"> ub. roku (przed rokiem </w:t>
      </w:r>
      <w:r>
        <w:t xml:space="preserve">zatrudnienie </w:t>
      </w:r>
      <w:r w:rsidRPr="00E709C4">
        <w:t xml:space="preserve">nie zmieniło się znacząco ani </w:t>
      </w:r>
      <w:r w:rsidRPr="003703CF">
        <w:t>w ujęciu miesięcznym</w:t>
      </w:r>
      <w:r w:rsidRPr="00E709C4">
        <w:t xml:space="preserve">, ani </w:t>
      </w:r>
      <w:r w:rsidRPr="003703CF">
        <w:t>w stosunku rocznym).</w:t>
      </w:r>
    </w:p>
    <w:p w:rsidR="00044A67" w:rsidRPr="00471D3A" w:rsidRDefault="00044A67" w:rsidP="00044A67">
      <w:pPr>
        <w:pStyle w:val="Tytultabeli"/>
        <w:spacing w:before="360"/>
      </w:pPr>
      <w:r w:rsidRPr="00471D3A">
        <w:t>Tablica 1.</w:t>
      </w:r>
      <w:r w:rsidRPr="00471D3A">
        <w:tab/>
        <w:t xml:space="preserve">Przeciętne zatrudnienie w sektorze przedsiębiorstw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październik br.) i w okresie narastającym (styczeń-październik br.) oraz jego dynamikę w 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44A67" w:rsidRDefault="00044A67" w:rsidP="00707A0E">
            <w:pPr>
              <w:pStyle w:val="glowka1"/>
            </w:pPr>
            <w:r>
              <w:t>10</w:t>
            </w:r>
            <w:r w:rsidRPr="00823825">
              <w:t xml:space="preserve"> 20</w:t>
            </w:r>
            <w:r>
              <w:t>24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>
              <w:t xml:space="preserve">01–10 </w:t>
            </w:r>
            <w:r w:rsidRPr="00823825">
              <w:t>20</w:t>
            </w:r>
            <w:r>
              <w:t>24</w:t>
            </w:r>
          </w:p>
        </w:tc>
      </w:tr>
      <w:tr w:rsidR="00044A67" w:rsidRPr="00E87892" w:rsidTr="00707A0E">
        <w:trPr>
          <w:trHeight w:val="369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>
              <w:t>10</w:t>
            </w:r>
            <w:r w:rsidRPr="00823825">
              <w:t xml:space="preserve"> 20</w:t>
            </w:r>
            <w:r>
              <w:t>23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>
              <w:t xml:space="preserve">01–10 </w:t>
            </w:r>
            <w:r w:rsidRPr="00823825">
              <w:t>20</w:t>
            </w:r>
            <w:r>
              <w:t>23</w:t>
            </w:r>
            <w:r w:rsidRPr="00823825">
              <w:t>=100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F8084C" w:rsidRDefault="00044A67" w:rsidP="00707A0E">
            <w:pPr>
              <w:pStyle w:val="tableteksttab"/>
              <w:rPr>
                <w:b/>
              </w:rPr>
            </w:pPr>
            <w:r w:rsidRPr="00F8084C">
              <w:rPr>
                <w:b/>
              </w:rPr>
              <w:t>852,7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044A67" w:rsidRPr="00F8084C" w:rsidRDefault="00044A67" w:rsidP="00707A0E">
            <w:pPr>
              <w:pStyle w:val="tableteksttab"/>
              <w:rPr>
                <w:b/>
              </w:rPr>
            </w:pPr>
            <w:r w:rsidRPr="00F8084C">
              <w:rPr>
                <w:b/>
              </w:rPr>
              <w:t>99,7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44A67" w:rsidRPr="00F8084C" w:rsidRDefault="00044A67" w:rsidP="00707A0E">
            <w:pPr>
              <w:pStyle w:val="tableteksttab"/>
              <w:rPr>
                <w:b/>
              </w:rPr>
            </w:pPr>
            <w:r w:rsidRPr="00F8084C">
              <w:rPr>
                <w:b/>
              </w:rPr>
              <w:t>855,1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F8084C" w:rsidRDefault="00044A67" w:rsidP="00707A0E">
            <w:pPr>
              <w:pStyle w:val="tableteksttab"/>
              <w:rPr>
                <w:b/>
              </w:rPr>
            </w:pPr>
            <w:r w:rsidRPr="00F8084C">
              <w:rPr>
                <w:b/>
              </w:rPr>
              <w:t>99,5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044A67" w:rsidRPr="00823825" w:rsidRDefault="00044A67" w:rsidP="00707A0E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044A67" w:rsidRPr="00823825" w:rsidRDefault="00044A67" w:rsidP="00707A0E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331,9</w:t>
            </w:r>
          </w:p>
        </w:tc>
        <w:tc>
          <w:tcPr>
            <w:tcW w:w="1557" w:type="dxa"/>
            <w:tcBorders>
              <w:top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97,7</w:t>
            </w:r>
          </w:p>
        </w:tc>
        <w:tc>
          <w:tcPr>
            <w:tcW w:w="1556" w:type="dxa"/>
            <w:tcBorders>
              <w:top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335,7</w:t>
            </w:r>
          </w:p>
        </w:tc>
        <w:tc>
          <w:tcPr>
            <w:tcW w:w="1557" w:type="dxa"/>
            <w:tcBorders>
              <w:top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97,8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vAlign w:val="center"/>
          </w:tcPr>
          <w:p w:rsidR="00044A67" w:rsidRPr="00823825" w:rsidRDefault="00044A67" w:rsidP="00707A0E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3,4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96,5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3,5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98,2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vAlign w:val="center"/>
          </w:tcPr>
          <w:p w:rsidR="00044A67" w:rsidRPr="00823825" w:rsidRDefault="00044A67" w:rsidP="00707A0E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306,9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97,5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310,6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97,6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vAlign w:val="bottom"/>
          </w:tcPr>
          <w:p w:rsidR="00044A67" w:rsidRPr="00823825" w:rsidRDefault="00044A67" w:rsidP="00707A0E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6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6"/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>
              <w:br/>
            </w:r>
            <w:r w:rsidRPr="000B4C63">
              <w:t>7,5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>
              <w:br/>
            </w:r>
            <w:r w:rsidRPr="000B4C63">
              <w:t>98,4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>
              <w:br/>
            </w:r>
            <w:r w:rsidRPr="000B4C63">
              <w:t>7,7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>
              <w:br/>
            </w:r>
            <w:r w:rsidRPr="000B4C63">
              <w:t>98,8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vAlign w:val="bottom"/>
          </w:tcPr>
          <w:p w:rsidR="00044A67" w:rsidRPr="00823825" w:rsidRDefault="00044A67" w:rsidP="00707A0E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>
              <w:br/>
            </w:r>
            <w:r w:rsidRPr="000B4C63">
              <w:t>13,9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>
              <w:br/>
            </w:r>
            <w:r w:rsidRPr="000B4C63">
              <w:t>102,0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>
              <w:br/>
            </w:r>
            <w:r w:rsidRPr="000B4C63">
              <w:t>13,9</w:t>
            </w:r>
          </w:p>
        </w:tc>
        <w:tc>
          <w:tcPr>
            <w:tcW w:w="1557" w:type="dxa"/>
          </w:tcPr>
          <w:p w:rsidR="00044A67" w:rsidRDefault="00044A67" w:rsidP="00707A0E">
            <w:pPr>
              <w:pStyle w:val="tableteksttab"/>
            </w:pPr>
          </w:p>
          <w:p w:rsidR="00044A67" w:rsidRPr="000B4C63" w:rsidRDefault="00044A67" w:rsidP="00707A0E">
            <w:pPr>
              <w:pStyle w:val="tableteksttab"/>
            </w:pPr>
            <w:r w:rsidRPr="000B4C63">
              <w:t>102,2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40,0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95,8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40,2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96,6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299,1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103,3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295,5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102,5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88,1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96,9</w:t>
            </w:r>
          </w:p>
        </w:tc>
        <w:tc>
          <w:tcPr>
            <w:tcW w:w="1556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90,6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96,6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7,6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108,0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7,7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110,7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18,4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101,7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18,1</w:t>
            </w:r>
          </w:p>
        </w:tc>
        <w:tc>
          <w:tcPr>
            <w:tcW w:w="1557" w:type="dxa"/>
          </w:tcPr>
          <w:p w:rsidR="00044A67" w:rsidRPr="000B4C63" w:rsidRDefault="00044A67" w:rsidP="00707A0E">
            <w:pPr>
              <w:pStyle w:val="tableteksttab"/>
            </w:pPr>
            <w:r w:rsidRPr="000B4C63">
              <w:t>100,6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6,6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98,1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6,6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98,9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Działalność profesjonalna, naukowa i techniczna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21,7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105,8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21,3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105,8</w:t>
            </w:r>
          </w:p>
        </w:tc>
      </w:tr>
      <w:tr w:rsidR="00044A67" w:rsidRPr="00E87892" w:rsidTr="00707A0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044A67" w:rsidRPr="00823825" w:rsidRDefault="00044A67" w:rsidP="00707A0E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26,8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94,0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</w:tcPr>
          <w:p w:rsidR="00044A67" w:rsidRPr="000B4C63" w:rsidRDefault="00044A67" w:rsidP="00707A0E">
            <w:pPr>
              <w:pStyle w:val="tableteksttab"/>
            </w:pPr>
            <w:r w:rsidRPr="000B4C63">
              <w:t>26,9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</w:tcPr>
          <w:p w:rsidR="00044A67" w:rsidRDefault="00044A67" w:rsidP="00707A0E">
            <w:pPr>
              <w:pStyle w:val="tableteksttab"/>
            </w:pPr>
            <w:r w:rsidRPr="000B4C63">
              <w:t>94,1</w:t>
            </w:r>
          </w:p>
        </w:tc>
      </w:tr>
    </w:tbl>
    <w:p w:rsidR="00044A67" w:rsidRPr="00F70B6C" w:rsidRDefault="00044A67" w:rsidP="00044A67">
      <w:pPr>
        <w:pStyle w:val="notka"/>
      </w:pPr>
      <w:r w:rsidRPr="00F70B6C">
        <w:t>a Nie obejmuje działów: Badania naukowe i prace rozwojowe oraz Działalność weterynaryjna.</w:t>
      </w:r>
    </w:p>
    <w:p w:rsidR="00044A67" w:rsidRDefault="00044A67" w:rsidP="00992390">
      <w:pPr>
        <w:pStyle w:val="tekst"/>
        <w:spacing w:before="24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>
        <w:rPr>
          <w:spacing w:val="-4"/>
          <w:szCs w:val="19"/>
        </w:rPr>
        <w:t>z październikiem</w:t>
      </w:r>
      <w:r w:rsidRPr="005775DC">
        <w:rPr>
          <w:spacing w:val="-4"/>
          <w:szCs w:val="19"/>
        </w:rPr>
        <w:t xml:space="preserve"> </w:t>
      </w:r>
      <w:r>
        <w:rPr>
          <w:spacing w:val="-4"/>
          <w:szCs w:val="19"/>
        </w:rPr>
        <w:t>ub. roku spadek</w:t>
      </w:r>
      <w:r w:rsidRPr="005775DC">
        <w:rPr>
          <w:spacing w:val="-4"/>
          <w:szCs w:val="19"/>
        </w:rPr>
        <w:t xml:space="preserve"> zatrudnienia</w:t>
      </w:r>
      <w:r w:rsidRPr="00255E5A">
        <w:rPr>
          <w:spacing w:val="-4"/>
          <w:szCs w:val="19"/>
        </w:rPr>
        <w:t xml:space="preserve"> </w:t>
      </w:r>
      <w:r>
        <w:rPr>
          <w:spacing w:val="-4"/>
          <w:szCs w:val="19"/>
        </w:rPr>
        <w:t xml:space="preserve">wystąpił w przedsiębiorstwach zajmujących się: administrowaniem i działalnością wspierającą (o 6,0%), budownictwem (o 4,2%), górnictwem i wydobywaniem (o 3,5%), transportem i gospodarką magazynową (o 3,1%), przetwórstwem przemysłowym (o 2,5%), </w:t>
      </w:r>
      <w:r>
        <w:t>obsługą rynku nieruchomości (o 1,9%) oraz</w:t>
      </w:r>
      <w:r w:rsidRPr="00823825">
        <w:t xml:space="preserve"> wytwarzanie</w:t>
      </w:r>
      <w:r>
        <w:t>m</w:t>
      </w:r>
      <w:r w:rsidRPr="00823825">
        <w:t xml:space="preserve"> i zaopatrywanie</w:t>
      </w:r>
      <w:r>
        <w:t>m</w:t>
      </w:r>
      <w:r w:rsidRPr="00823825">
        <w:t xml:space="preserve"> w energię elektryczną,</w:t>
      </w:r>
      <w:r>
        <w:t xml:space="preserve"> </w:t>
      </w:r>
      <w:r w:rsidRPr="00823825">
        <w:t>gaz</w:t>
      </w:r>
      <w:r>
        <w:t>, parę wodną i gorącą wodę (o 1,6%).</w:t>
      </w:r>
      <w:r>
        <w:rPr>
          <w:spacing w:val="-4"/>
          <w:szCs w:val="19"/>
        </w:rPr>
        <w:t xml:space="preserve"> Wzrost zatrudnienia zanotowały w tym czasie przedsiębiorstwa z sekcji: zakwaterowanie i gastronomia (o 8,0%), </w:t>
      </w:r>
      <w:r w:rsidRPr="005775DC">
        <w:rPr>
          <w:spacing w:val="-4"/>
          <w:szCs w:val="19"/>
        </w:rPr>
        <w:t>działalnoś</w:t>
      </w:r>
      <w:r>
        <w:rPr>
          <w:spacing w:val="-4"/>
          <w:szCs w:val="19"/>
        </w:rPr>
        <w:t>ć</w:t>
      </w:r>
      <w:r w:rsidRPr="005775DC">
        <w:rPr>
          <w:spacing w:val="-4"/>
          <w:szCs w:val="19"/>
        </w:rPr>
        <w:t xml:space="preserve"> profesjonaln</w:t>
      </w:r>
      <w:r>
        <w:rPr>
          <w:spacing w:val="-4"/>
          <w:szCs w:val="19"/>
        </w:rPr>
        <w:t>a</w:t>
      </w:r>
      <w:r w:rsidRPr="005775DC">
        <w:rPr>
          <w:spacing w:val="-4"/>
          <w:szCs w:val="19"/>
        </w:rPr>
        <w:t>, naukow</w:t>
      </w:r>
      <w:r>
        <w:rPr>
          <w:spacing w:val="-4"/>
          <w:szCs w:val="19"/>
        </w:rPr>
        <w:t xml:space="preserve">a i </w:t>
      </w:r>
      <w:r w:rsidRPr="005775DC">
        <w:rPr>
          <w:spacing w:val="-4"/>
          <w:szCs w:val="19"/>
        </w:rPr>
        <w:t>techniczn</w:t>
      </w:r>
      <w:r>
        <w:rPr>
          <w:spacing w:val="-4"/>
          <w:szCs w:val="19"/>
        </w:rPr>
        <w:t>a (o 5,8</w:t>
      </w:r>
      <w:r w:rsidRPr="005775DC">
        <w:rPr>
          <w:spacing w:val="-4"/>
          <w:szCs w:val="19"/>
        </w:rPr>
        <w:t>%)</w:t>
      </w:r>
      <w:r>
        <w:rPr>
          <w:spacing w:val="-4"/>
          <w:szCs w:val="19"/>
        </w:rPr>
        <w:t xml:space="preserve">, </w:t>
      </w:r>
      <w:r>
        <w:t>h</w:t>
      </w:r>
      <w:r w:rsidRPr="00823825">
        <w:t>a</w:t>
      </w:r>
      <w:r>
        <w:t>ndel; naprawa pojazdów samochodow</w:t>
      </w:r>
      <w:r w:rsidRPr="00823825">
        <w:t>ych</w:t>
      </w:r>
      <w:r>
        <w:rPr>
          <w:spacing w:val="-4"/>
          <w:szCs w:val="19"/>
        </w:rPr>
        <w:t xml:space="preserve"> (o 3,3%), </w:t>
      </w:r>
      <w:r w:rsidRPr="00823825">
        <w:t xml:space="preserve">dostawa </w:t>
      </w:r>
      <w:r>
        <w:t xml:space="preserve">wody; gospodarowanie ściekami i </w:t>
      </w:r>
      <w:r w:rsidRPr="00823825">
        <w:t>odpada</w:t>
      </w:r>
      <w:r>
        <w:t>mi;</w:t>
      </w:r>
      <w:r w:rsidRPr="00823825">
        <w:t xml:space="preserve"> rekultywacja</w:t>
      </w:r>
      <w:r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 xml:space="preserve">(o </w:t>
      </w:r>
      <w:r>
        <w:rPr>
          <w:spacing w:val="-4"/>
          <w:szCs w:val="19"/>
        </w:rPr>
        <w:t>2,0</w:t>
      </w:r>
      <w:r w:rsidRPr="005775DC">
        <w:rPr>
          <w:spacing w:val="-4"/>
          <w:szCs w:val="19"/>
        </w:rPr>
        <w:t>%)</w:t>
      </w:r>
      <w:r>
        <w:rPr>
          <w:spacing w:val="-4"/>
          <w:szCs w:val="19"/>
        </w:rPr>
        <w:t xml:space="preserve"> oraz informacja i komunikacja (o 1,7%).</w:t>
      </w:r>
      <w:r w:rsidRPr="00E13787"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</w:t>
      </w:r>
      <w:r w:rsidRPr="006B1419">
        <w:rPr>
          <w:spacing w:val="-4"/>
          <w:szCs w:val="19"/>
        </w:rPr>
        <w:t>36,0</w:t>
      </w:r>
      <w:r>
        <w:rPr>
          <w:spacing w:val="-4"/>
          <w:szCs w:val="19"/>
        </w:rPr>
        <w:t>% ogółu zatrudnio</w:t>
      </w:r>
      <w:r w:rsidRPr="005775DC">
        <w:rPr>
          <w:spacing w:val="-4"/>
          <w:szCs w:val="19"/>
        </w:rPr>
        <w:t>nych w sektorze przedsiębiorstw) oraz handel; na</w:t>
      </w:r>
      <w:r>
        <w:rPr>
          <w:spacing w:val="-4"/>
          <w:szCs w:val="19"/>
        </w:rPr>
        <w:t>prawa pojazdów samochodowych (</w:t>
      </w:r>
      <w:r w:rsidRPr="006B1419">
        <w:rPr>
          <w:spacing w:val="-4"/>
          <w:szCs w:val="19"/>
        </w:rPr>
        <w:t>35,1</w:t>
      </w:r>
      <w:r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</w:t>
      </w:r>
      <w:r w:rsidRPr="006B1419">
        <w:rPr>
          <w:spacing w:val="-4"/>
          <w:szCs w:val="19"/>
        </w:rPr>
        <w:t>24,1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%), a ponadto jednostki związane z transportem lądowym i rurociągowym (</w:t>
      </w:r>
      <w:r>
        <w:rPr>
          <w:spacing w:val="-4"/>
          <w:szCs w:val="19"/>
        </w:rPr>
        <w:t>6,9</w:t>
      </w:r>
      <w:r w:rsidRPr="005775DC">
        <w:rPr>
          <w:spacing w:val="-4"/>
          <w:szCs w:val="19"/>
        </w:rPr>
        <w:t>%) oraz podmioty zajmujące się produkcją artykułów spożywczych (</w:t>
      </w:r>
      <w:r>
        <w:rPr>
          <w:spacing w:val="-4"/>
          <w:szCs w:val="19"/>
        </w:rPr>
        <w:t xml:space="preserve">5,9%) i </w:t>
      </w:r>
      <w:r w:rsidRPr="005775DC">
        <w:rPr>
          <w:spacing w:val="-4"/>
          <w:szCs w:val="19"/>
        </w:rPr>
        <w:t>mebli (5,</w:t>
      </w:r>
      <w:r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%).</w:t>
      </w:r>
    </w:p>
    <w:p w:rsidR="00044A67" w:rsidRPr="00E043D6" w:rsidRDefault="00044A67" w:rsidP="00044A67">
      <w:pPr>
        <w:pStyle w:val="tekst"/>
        <w:rPr>
          <w:spacing w:val="-4"/>
          <w:szCs w:val="19"/>
        </w:rPr>
      </w:pPr>
      <w:r w:rsidRPr="00E71AA5">
        <w:t xml:space="preserve">W okresie </w:t>
      </w:r>
      <w:r>
        <w:t xml:space="preserve">styczeń-wrzesień </w:t>
      </w:r>
      <w:r w:rsidRPr="00E71AA5">
        <w:t xml:space="preserve">br. przeciętne zatrudnienie w sektorze przedsiębiorstw wyniosło </w:t>
      </w:r>
      <w:r w:rsidRPr="006B1419">
        <w:t xml:space="preserve">855,1 </w:t>
      </w:r>
      <w:r w:rsidRPr="00E71AA5">
        <w:t xml:space="preserve">tys. osób i było o </w:t>
      </w:r>
      <w:r>
        <w:t>0,5% mniejsze</w:t>
      </w:r>
      <w:r w:rsidRPr="00E71AA5">
        <w:t xml:space="preserve"> niż </w:t>
      </w:r>
      <w:r>
        <w:t xml:space="preserve">w analogicznym okresie </w:t>
      </w:r>
      <w:r w:rsidRPr="00E71AA5">
        <w:t xml:space="preserve">ub. roku (przed rokiem </w:t>
      </w:r>
      <w:r>
        <w:t xml:space="preserve">obserwowano </w:t>
      </w:r>
      <w:r w:rsidRPr="00E71AA5">
        <w:t>wzrost zatrudnienia</w:t>
      </w:r>
      <w:r>
        <w:t xml:space="preserve"> o</w:t>
      </w:r>
      <w:r w:rsidRPr="00E71AA5">
        <w:t xml:space="preserve"> </w:t>
      </w:r>
      <w:r>
        <w:t>1,2</w:t>
      </w:r>
      <w:r w:rsidRPr="00E71AA5">
        <w:t xml:space="preserve">%). </w:t>
      </w:r>
      <w:r>
        <w:t>O</w:t>
      </w:r>
      <w:r w:rsidRPr="00E71AA5">
        <w:t xml:space="preserve">d początku roku przeciętne zatrudnienie </w:t>
      </w:r>
      <w:r>
        <w:t xml:space="preserve">najbardziej </w:t>
      </w:r>
      <w:r w:rsidRPr="00E71AA5">
        <w:t>z</w:t>
      </w:r>
      <w:r>
        <w:t>mniej</w:t>
      </w:r>
      <w:r w:rsidRPr="00E71AA5">
        <w:t>szyło się w sekcjach</w:t>
      </w:r>
      <w:r>
        <w:t>:</w:t>
      </w:r>
      <w:r w:rsidRPr="00E043D6">
        <w:rPr>
          <w:spacing w:val="-4"/>
          <w:szCs w:val="19"/>
        </w:rPr>
        <w:t xml:space="preserve"> </w:t>
      </w:r>
      <w:r>
        <w:rPr>
          <w:spacing w:val="-4"/>
          <w:szCs w:val="19"/>
        </w:rPr>
        <w:t>administrowanie i działalność wspierająca (o 5,9%), budownictwo oraz t</w:t>
      </w:r>
      <w:r w:rsidRPr="00E043D6">
        <w:rPr>
          <w:spacing w:val="-4"/>
          <w:szCs w:val="19"/>
        </w:rPr>
        <w:t>ransport i gospodarka magazynowa</w:t>
      </w:r>
      <w:r>
        <w:rPr>
          <w:spacing w:val="-4"/>
          <w:szCs w:val="19"/>
        </w:rPr>
        <w:t xml:space="preserve"> (</w:t>
      </w:r>
      <w:r>
        <w:t>w obu przypadkach o</w:t>
      </w:r>
      <w:r>
        <w:rPr>
          <w:spacing w:val="-4"/>
          <w:szCs w:val="19"/>
        </w:rPr>
        <w:t xml:space="preserve"> 3,4%), a także </w:t>
      </w:r>
      <w:r>
        <w:t>przetwórstwo przemysłowe (o 2,4%). Największy wzrost</w:t>
      </w:r>
      <w:r w:rsidRPr="00E71AA5">
        <w:t xml:space="preserve"> zatrudnieni</w:t>
      </w:r>
      <w:r>
        <w:t xml:space="preserve">a </w:t>
      </w:r>
      <w:r w:rsidRPr="00E71AA5">
        <w:t>odnotowały przedsiębiorstwa zajmujące się</w:t>
      </w:r>
      <w:r w:rsidRPr="005D1BD4">
        <w:rPr>
          <w:szCs w:val="19"/>
        </w:rPr>
        <w:t xml:space="preserve"> zakwaterowanie</w:t>
      </w:r>
      <w:r>
        <w:rPr>
          <w:szCs w:val="19"/>
        </w:rPr>
        <w:t xml:space="preserve">m i gastronomią (o </w:t>
      </w:r>
      <w:r w:rsidR="0040636D" w:rsidRPr="0040636D">
        <w:rPr>
          <w:szCs w:val="19"/>
        </w:rPr>
        <w:t>10,7</w:t>
      </w:r>
      <w:r>
        <w:rPr>
          <w:szCs w:val="19"/>
        </w:rPr>
        <w:t xml:space="preserve">%) </w:t>
      </w:r>
      <w:r>
        <w:rPr>
          <w:spacing w:val="-4"/>
          <w:szCs w:val="19"/>
        </w:rPr>
        <w:t>oraz</w:t>
      </w:r>
      <w:r>
        <w:rPr>
          <w:szCs w:val="19"/>
        </w:rPr>
        <w:t xml:space="preserve"> </w:t>
      </w:r>
      <w:r w:rsidRPr="005775DC">
        <w:rPr>
          <w:spacing w:val="-4"/>
          <w:szCs w:val="19"/>
        </w:rPr>
        <w:t>działalnoś</w:t>
      </w:r>
      <w:r>
        <w:rPr>
          <w:spacing w:val="-4"/>
          <w:szCs w:val="19"/>
        </w:rPr>
        <w:t>cią</w:t>
      </w:r>
      <w:r w:rsidRPr="005775DC">
        <w:rPr>
          <w:spacing w:val="-4"/>
          <w:szCs w:val="19"/>
        </w:rPr>
        <w:t xml:space="preserve"> profesjonaln</w:t>
      </w:r>
      <w:r>
        <w:rPr>
          <w:spacing w:val="-4"/>
          <w:szCs w:val="19"/>
        </w:rPr>
        <w:t>ą</w:t>
      </w:r>
      <w:r w:rsidRPr="005775DC">
        <w:rPr>
          <w:spacing w:val="-4"/>
          <w:szCs w:val="19"/>
        </w:rPr>
        <w:t>, naukow</w:t>
      </w:r>
      <w:r>
        <w:rPr>
          <w:spacing w:val="-4"/>
          <w:szCs w:val="19"/>
        </w:rPr>
        <w:t xml:space="preserve">ą i </w:t>
      </w:r>
      <w:r w:rsidRPr="005775DC">
        <w:rPr>
          <w:spacing w:val="-4"/>
          <w:szCs w:val="19"/>
        </w:rPr>
        <w:t>techniczn</w:t>
      </w:r>
      <w:r>
        <w:rPr>
          <w:spacing w:val="-4"/>
          <w:szCs w:val="19"/>
        </w:rPr>
        <w:t>ą (o 5,8%).</w:t>
      </w:r>
    </w:p>
    <w:p w:rsidR="00044A67" w:rsidRPr="003E68BA" w:rsidRDefault="00F3762E" w:rsidP="00044A67">
      <w:pPr>
        <w:pStyle w:val="tytuwykresu"/>
        <w:rPr>
          <w:b w:val="0"/>
          <w:bCs/>
        </w:rPr>
      </w:pPr>
      <w:r w:rsidRPr="00F3762E">
        <w:rPr>
          <w:noProof/>
          <w:lang w:eastAsia="pl-PL"/>
        </w:rPr>
        <w:lastRenderedPageBreak/>
        <w:drawing>
          <wp:anchor distT="0" distB="107950" distL="114300" distR="114300" simplePos="0" relativeHeight="2529704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447675</wp:posOffset>
            </wp:positionV>
            <wp:extent cx="5760000" cy="2437200"/>
            <wp:effectExtent l="0" t="0" r="0" b="1270"/>
            <wp:wrapTopAndBottom/>
            <wp:docPr id="5" name="Obraz 5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1</w:t>
      </w:r>
      <w:r w:rsidR="00044A67" w:rsidRPr="00F3762E">
        <w:t>.</w:t>
      </w:r>
      <w:r w:rsidR="00044A67" w:rsidRPr="00F3762E">
        <w:tab/>
        <w:t>Przeciętne miesięczne zatrudnienie w sektorze przedsiębiorstw</w:t>
      </w:r>
      <w:r w:rsidR="00044A67" w:rsidRPr="00F3762E">
        <w:br/>
      </w:r>
      <w:r w:rsidR="00044A67" w:rsidRPr="00F3762E">
        <w:tab/>
      </w:r>
      <w:r w:rsidR="00044A67" w:rsidRPr="00F3762E">
        <w:rPr>
          <w:bCs/>
        </w:rPr>
        <w:t>(przeciętna miesięczna 2021=100)</w:t>
      </w:r>
      <w:r w:rsidR="00044A67" w:rsidRPr="00F3762E">
        <w:rPr>
          <w:b w:val="0"/>
          <w:bCs/>
        </w:rPr>
        <w:t xml:space="preserve"> </w:t>
      </w:r>
    </w:p>
    <w:p w:rsidR="00044A67" w:rsidRPr="00304D14" w:rsidRDefault="00044A67" w:rsidP="00AD7317">
      <w:pPr>
        <w:pStyle w:val="tekst"/>
        <w:rPr>
          <w:shd w:val="clear" w:color="auto" w:fill="FFFFFF"/>
        </w:rPr>
      </w:pPr>
      <w:r w:rsidRPr="00304D14">
        <w:rPr>
          <w:shd w:val="clear" w:color="auto" w:fill="FFFFFF"/>
        </w:rPr>
        <w:t xml:space="preserve">W końcu </w:t>
      </w:r>
      <w:r>
        <w:rPr>
          <w:shd w:val="clear" w:color="auto" w:fill="FFFFFF"/>
        </w:rPr>
        <w:t>października</w:t>
      </w:r>
      <w:r w:rsidRPr="00304D14">
        <w:rPr>
          <w:shd w:val="clear" w:color="auto" w:fill="FFFFFF"/>
        </w:rPr>
        <w:t xml:space="preserve"> br. </w:t>
      </w:r>
      <w:r w:rsidRPr="00304D14">
        <w:rPr>
          <w:b/>
          <w:shd w:val="clear" w:color="auto" w:fill="FFFFFF"/>
        </w:rPr>
        <w:t>liczba bezrobotnych</w:t>
      </w:r>
      <w:r w:rsidRPr="00304D14">
        <w:rPr>
          <w:shd w:val="clear" w:color="auto" w:fill="FFFFFF"/>
        </w:rPr>
        <w:t xml:space="preserve"> zarejestrowanych w urzędach pracy 46,</w:t>
      </w:r>
      <w:r>
        <w:rPr>
          <w:shd w:val="clear" w:color="auto" w:fill="FFFFFF"/>
        </w:rPr>
        <w:t>1</w:t>
      </w:r>
      <w:r w:rsidRPr="00304D14">
        <w:rPr>
          <w:shd w:val="clear" w:color="auto" w:fill="FFFFFF"/>
        </w:rPr>
        <w:t xml:space="preserve"> tys., tj. o 0,</w:t>
      </w:r>
      <w:r>
        <w:rPr>
          <w:shd w:val="clear" w:color="auto" w:fill="FFFFFF"/>
        </w:rPr>
        <w:t>1</w:t>
      </w:r>
      <w:r w:rsidRPr="00304D14">
        <w:rPr>
          <w:shd w:val="clear" w:color="auto" w:fill="FFFFFF"/>
        </w:rPr>
        <w:t xml:space="preserve"> tys. (o </w:t>
      </w:r>
      <w:r>
        <w:rPr>
          <w:shd w:val="clear" w:color="auto" w:fill="FFFFFF"/>
        </w:rPr>
        <w:t>0,3</w:t>
      </w:r>
      <w:r w:rsidRPr="00304D14">
        <w:rPr>
          <w:shd w:val="clear" w:color="auto" w:fill="FFFFFF"/>
        </w:rPr>
        <w:t xml:space="preserve">%) </w:t>
      </w:r>
      <w:r>
        <w:rPr>
          <w:shd w:val="clear" w:color="auto" w:fill="FFFFFF"/>
        </w:rPr>
        <w:t>mni</w:t>
      </w:r>
      <w:r w:rsidRPr="00304D14">
        <w:rPr>
          <w:shd w:val="clear" w:color="auto" w:fill="FFFFFF"/>
        </w:rPr>
        <w:t>ej niż przed miesiącem</w:t>
      </w:r>
      <w:r>
        <w:rPr>
          <w:shd w:val="clear" w:color="auto" w:fill="FFFFFF"/>
        </w:rPr>
        <w:t xml:space="preserve"> i</w:t>
      </w:r>
      <w:r w:rsidRPr="00304D14">
        <w:rPr>
          <w:shd w:val="clear" w:color="auto" w:fill="FFFFFF"/>
        </w:rPr>
        <w:t xml:space="preserve"> o 0,</w:t>
      </w:r>
      <w:r>
        <w:rPr>
          <w:shd w:val="clear" w:color="auto" w:fill="FFFFFF"/>
        </w:rPr>
        <w:t>3</w:t>
      </w:r>
      <w:r w:rsidRPr="00304D14">
        <w:rPr>
          <w:shd w:val="clear" w:color="auto" w:fill="FFFFFF"/>
        </w:rPr>
        <w:t xml:space="preserve"> tys. (o </w:t>
      </w:r>
      <w:r>
        <w:rPr>
          <w:shd w:val="clear" w:color="auto" w:fill="FFFFFF"/>
        </w:rPr>
        <w:t>0,6</w:t>
      </w:r>
      <w:r w:rsidRPr="00304D14">
        <w:rPr>
          <w:shd w:val="clear" w:color="auto" w:fill="FFFFFF"/>
        </w:rPr>
        <w:t xml:space="preserve">%) mniej niż w przed rokiem. Kobiety stanowiły </w:t>
      </w:r>
      <w:r w:rsidRPr="00E04259">
        <w:rPr>
          <w:shd w:val="clear" w:color="auto" w:fill="FFFFFF"/>
        </w:rPr>
        <w:t>57,6</w:t>
      </w:r>
      <w:r w:rsidRPr="00304D14">
        <w:rPr>
          <w:shd w:val="clear" w:color="auto" w:fill="FFFFFF"/>
        </w:rPr>
        <w:t xml:space="preserve">% ogółu zarejestrowanych bezrobotnych (wobec </w:t>
      </w:r>
      <w:r w:rsidRPr="00E04259">
        <w:rPr>
          <w:shd w:val="clear" w:color="auto" w:fill="FFFFFF"/>
        </w:rPr>
        <w:t>59,0</w:t>
      </w:r>
      <w:r w:rsidRPr="00304D14">
        <w:rPr>
          <w:shd w:val="clear" w:color="auto" w:fill="FFFFFF"/>
        </w:rPr>
        <w:t xml:space="preserve">% w końcu </w:t>
      </w:r>
      <w:r>
        <w:rPr>
          <w:shd w:val="clear" w:color="auto" w:fill="FFFFFF"/>
        </w:rPr>
        <w:t>października</w:t>
      </w:r>
      <w:r w:rsidRPr="00304D14">
        <w:rPr>
          <w:shd w:val="clear" w:color="auto" w:fill="FFFFFF"/>
        </w:rPr>
        <w:t xml:space="preserve"> ub. roku).</w:t>
      </w:r>
    </w:p>
    <w:p w:rsidR="00044A67" w:rsidRPr="008F0E87" w:rsidRDefault="00044A67" w:rsidP="00044A67">
      <w:pPr>
        <w:pStyle w:val="Tytultabeli"/>
        <w:spacing w:before="240"/>
      </w:pPr>
      <w:r w:rsidRPr="008F0E87">
        <w:t>Tablica 2.</w:t>
      </w:r>
      <w:r w:rsidRPr="008F0E87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październik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044A67" w:rsidRPr="008F0E87" w:rsidTr="00707A0E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 w:rsidRPr="008F0E87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 w:rsidRPr="008F0E87">
              <w:t>2023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 w:rsidRPr="008F0E87">
              <w:t>2024</w:t>
            </w:r>
          </w:p>
        </w:tc>
      </w:tr>
      <w:tr w:rsidR="00044A67" w:rsidRPr="008F0E87" w:rsidTr="00707A0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>
              <w:t>10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 w:rsidRPr="008F0E87">
              <w:t>0</w:t>
            </w:r>
            <w:r>
              <w:t>9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>
              <w:t>10</w:t>
            </w:r>
          </w:p>
        </w:tc>
      </w:tr>
      <w:tr w:rsidR="00044A67" w:rsidRPr="008F0E87" w:rsidTr="00F0459F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boczek1"/>
            </w:pPr>
            <w:r w:rsidRPr="008F0E87">
              <w:t xml:space="preserve">Bezrobotni zarejestrowani (stan w końcu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44A67" w:rsidRPr="00127D52" w:rsidRDefault="00044A67" w:rsidP="00707A0E">
            <w:pPr>
              <w:pStyle w:val="tableteksttab"/>
            </w:pPr>
            <w:r>
              <w:t>46,3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44A67" w:rsidRPr="004029AF" w:rsidRDefault="00044A67" w:rsidP="00707A0E">
            <w:pPr>
              <w:pStyle w:val="tableteksttab"/>
            </w:pPr>
            <w:r w:rsidRPr="004029AF">
              <w:t>46,2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</w:tcPr>
          <w:p w:rsidR="00044A67" w:rsidRPr="004029AF" w:rsidRDefault="00044A67" w:rsidP="00707A0E">
            <w:pPr>
              <w:pStyle w:val="tableteksttab"/>
            </w:pPr>
            <w:r>
              <w:t>46,1</w:t>
            </w:r>
          </w:p>
        </w:tc>
      </w:tr>
      <w:tr w:rsidR="00044A67" w:rsidRPr="008F0E87" w:rsidTr="00F0459F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boczek1"/>
            </w:pPr>
            <w:r w:rsidRPr="008F0E87">
              <w:t xml:space="preserve">Bezrobotni nowo zarejestrowani (w ciągu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44A67" w:rsidRPr="00127D52" w:rsidRDefault="00044A67" w:rsidP="00707A0E">
            <w:pPr>
              <w:pStyle w:val="tableteksttab"/>
            </w:pPr>
            <w:r>
              <w:t>8,5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44A67" w:rsidRPr="004029AF" w:rsidRDefault="00044A67" w:rsidP="00707A0E">
            <w:pPr>
              <w:pStyle w:val="tableteksttab"/>
            </w:pPr>
            <w:r w:rsidRPr="004029AF">
              <w:t>9,1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</w:tcPr>
          <w:p w:rsidR="00044A67" w:rsidRPr="004029AF" w:rsidRDefault="00044A67" w:rsidP="00707A0E">
            <w:pPr>
              <w:pStyle w:val="tableteksttab"/>
            </w:pPr>
            <w:r>
              <w:t>9,0</w:t>
            </w:r>
          </w:p>
        </w:tc>
      </w:tr>
      <w:tr w:rsidR="00044A67" w:rsidRPr="008F0E87" w:rsidTr="00707A0E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boczek1"/>
            </w:pPr>
            <w:r w:rsidRPr="008F0E87">
              <w:t xml:space="preserve">Bezrobotni wyrejestrowani (w ciągu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44A67" w:rsidRPr="00127D52" w:rsidRDefault="00044A67" w:rsidP="00707A0E">
            <w:pPr>
              <w:pStyle w:val="tableteksttab"/>
            </w:pPr>
            <w:r>
              <w:t>8,9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044A67" w:rsidRDefault="00044A67" w:rsidP="00707A0E">
            <w:pPr>
              <w:pStyle w:val="tableteksttab"/>
            </w:pPr>
            <w:r w:rsidRPr="004029AF">
              <w:t>9,0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</w:tcPr>
          <w:p w:rsidR="00044A67" w:rsidRDefault="00044A67" w:rsidP="00707A0E">
            <w:pPr>
              <w:pStyle w:val="tableteksttab"/>
            </w:pPr>
            <w:r w:rsidRPr="004029AF">
              <w:t>9,</w:t>
            </w:r>
            <w:r>
              <w:t>1</w:t>
            </w:r>
          </w:p>
        </w:tc>
      </w:tr>
      <w:tr w:rsidR="00044A67" w:rsidRPr="006452FB" w:rsidTr="00707A0E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boczek1"/>
            </w:pPr>
            <w:r w:rsidRPr="008F0E87">
              <w:t>Stopa bezrobocia rejestrowanego (stan w końcu miesiąca) w %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044A67" w:rsidRDefault="00044A67" w:rsidP="00707A0E">
            <w:pPr>
              <w:pStyle w:val="tableteksttab"/>
            </w:pPr>
            <w:r w:rsidRPr="00127D52"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044A67" w:rsidRPr="006452FB" w:rsidRDefault="00044A67" w:rsidP="00707A0E">
            <w:pPr>
              <w:pStyle w:val="tableteksttab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044A67" w:rsidRPr="006452FB" w:rsidRDefault="00044A67" w:rsidP="00707A0E">
            <w:pPr>
              <w:pStyle w:val="tableteksttab"/>
            </w:pPr>
            <w:r>
              <w:t>2,9</w:t>
            </w:r>
          </w:p>
        </w:tc>
      </w:tr>
    </w:tbl>
    <w:p w:rsidR="001E53AA" w:rsidRDefault="00044A67" w:rsidP="00044A67">
      <w:pPr>
        <w:pStyle w:val="tekst"/>
        <w:spacing w:before="240"/>
      </w:pPr>
      <w:r w:rsidRPr="002E54D0">
        <w:rPr>
          <w:b/>
        </w:rPr>
        <w:t xml:space="preserve">Stopa bezrobocia </w:t>
      </w:r>
      <w:r w:rsidRPr="002A4E9C">
        <w:rPr>
          <w:b/>
        </w:rPr>
        <w:t>rejestrowanego</w:t>
      </w:r>
      <w:r w:rsidRPr="002A4E9C">
        <w:t xml:space="preserve"> </w:t>
      </w:r>
      <w:r w:rsidRPr="00632006">
        <w:t xml:space="preserve">w końcu </w:t>
      </w:r>
      <w:r>
        <w:t>października</w:t>
      </w:r>
      <w:r w:rsidRPr="00632006">
        <w:t xml:space="preserve"> br. wyniosła </w:t>
      </w:r>
      <w:r>
        <w:t>2,9</w:t>
      </w:r>
      <w:r w:rsidRPr="00632006">
        <w:t>% i pozostała najniższa w kraju (</w:t>
      </w:r>
      <w:r>
        <w:t xml:space="preserve">4,9%). </w:t>
      </w:r>
      <w:r w:rsidR="001E53AA">
        <w:t>Zarówno w porównaniu z poprzednim miesiącem, jak i w ciągu roku w</w:t>
      </w:r>
      <w:r w:rsidR="001E53AA" w:rsidRPr="00D153B5">
        <w:t xml:space="preserve">skaźnik </w:t>
      </w:r>
      <w:r w:rsidR="001E53AA">
        <w:t xml:space="preserve">obniżył się o </w:t>
      </w:r>
      <w:r w:rsidR="001E53AA" w:rsidRPr="00D153B5">
        <w:t>0,1 p.proc.</w:t>
      </w:r>
    </w:p>
    <w:p w:rsidR="00044A67" w:rsidRDefault="00D7441C" w:rsidP="00044A67">
      <w:pPr>
        <w:pStyle w:val="tytuwykresu"/>
        <w:spacing w:before="360"/>
        <w:ind w:left="992" w:hanging="992"/>
        <w:rPr>
          <w:bCs/>
        </w:rPr>
      </w:pPr>
      <w:r w:rsidRPr="00D7441C">
        <w:rPr>
          <w:noProof/>
          <w:lang w:eastAsia="pl-PL"/>
        </w:rPr>
        <w:drawing>
          <wp:anchor distT="0" distB="0" distL="114300" distR="114300" simplePos="0" relativeHeight="252945920" behindDoc="0" locked="0" layoutInCell="1" allowOverlap="1">
            <wp:simplePos x="0" y="0"/>
            <wp:positionH relativeFrom="margin">
              <wp:posOffset>504190</wp:posOffset>
            </wp:positionH>
            <wp:positionV relativeFrom="paragraph">
              <wp:posOffset>523875</wp:posOffset>
            </wp:positionV>
            <wp:extent cx="5760000" cy="2598887"/>
            <wp:effectExtent l="0" t="0" r="0" b="0"/>
            <wp:wrapTopAndBottom/>
            <wp:docPr id="12" name="Obraz 12" descr="Podwójny wykres liniowy (Polska i województwo wielkopolskie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9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2.</w:t>
      </w:r>
      <w:r w:rsidR="00044A67">
        <w:tab/>
      </w:r>
      <w:r w:rsidR="00044A67" w:rsidRPr="006861A2">
        <w:t xml:space="preserve">Stopa bezrobocia </w:t>
      </w:r>
      <w:r w:rsidR="00044A67">
        <w:t>rejestrowanego</w:t>
      </w:r>
      <w:r w:rsidR="00044A67">
        <w:br/>
      </w:r>
      <w:r w:rsidR="00044A67" w:rsidRPr="006861A2">
        <w:t>S</w:t>
      </w:r>
      <w:r w:rsidR="00044A67" w:rsidRPr="006861A2">
        <w:rPr>
          <w:bCs/>
        </w:rPr>
        <w:t>tan w końcu miesiąca</w:t>
      </w:r>
    </w:p>
    <w:p w:rsidR="009A7311" w:rsidRDefault="009A7311">
      <w:pPr>
        <w:spacing w:before="0" w:after="160" w:line="259" w:lineRule="auto"/>
        <w:rPr>
          <w:b/>
          <w:spacing w:val="-2"/>
        </w:rPr>
      </w:pPr>
      <w:r>
        <w:br w:type="page"/>
      </w:r>
    </w:p>
    <w:p w:rsidR="00044A67" w:rsidRDefault="009A7311" w:rsidP="00044A67">
      <w:pPr>
        <w:pStyle w:val="tytuwykresu"/>
      </w:pPr>
      <w:r w:rsidRPr="008A10D7">
        <w:rPr>
          <w:noProof/>
          <w:lang w:eastAsia="pl-PL"/>
        </w:rPr>
        <w:lastRenderedPageBreak/>
        <w:drawing>
          <wp:anchor distT="0" distB="107950" distL="114300" distR="114300" simplePos="0" relativeHeight="252962304" behindDoc="0" locked="0" layoutInCell="1" allowOverlap="1">
            <wp:simplePos x="0" y="0"/>
            <wp:positionH relativeFrom="margin">
              <wp:posOffset>1193165</wp:posOffset>
            </wp:positionH>
            <wp:positionV relativeFrom="paragraph">
              <wp:posOffset>400203</wp:posOffset>
            </wp:positionV>
            <wp:extent cx="4258800" cy="4791600"/>
            <wp:effectExtent l="0" t="0" r="8890" b="0"/>
            <wp:wrapTopAndBottom/>
            <wp:docPr id="23" name="Obraz 23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4,9%) i województwa wielkopolskiego (2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00" cy="47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66467C">
        <w:t>Mapa 1.</w:t>
      </w:r>
      <w:r w:rsidR="00044A67" w:rsidRPr="00C50D80">
        <w:tab/>
      </w:r>
      <w:r w:rsidR="00044A67" w:rsidRPr="006F2A09">
        <w:t>Stopa bezrobocia rejestrowanego według powiatów i podregionów w 2024 r.</w:t>
      </w:r>
      <w:r w:rsidR="00044A67" w:rsidRPr="006F2A09">
        <w:rPr>
          <w:sz w:val="18"/>
          <w:szCs w:val="18"/>
        </w:rPr>
        <w:br/>
      </w:r>
      <w:r w:rsidR="00044A67" w:rsidRPr="006F2A09">
        <w:tab/>
        <w:t xml:space="preserve">Stan w końcu </w:t>
      </w:r>
      <w:r w:rsidR="00044A67">
        <w:t>października</w:t>
      </w:r>
    </w:p>
    <w:p w:rsidR="00E02CEE" w:rsidRDefault="00044A67" w:rsidP="005179B9">
      <w:pPr>
        <w:pStyle w:val="tekst"/>
        <w:spacing w:before="0"/>
      </w:pPr>
      <w:r w:rsidRPr="000E3D59">
        <w:rPr>
          <w:spacing w:val="-2"/>
        </w:rPr>
        <w:t xml:space="preserve">Natężenie bezrobocia w województwie jest zróżnicowane terytorialnie. </w:t>
      </w:r>
      <w:r w:rsidRPr="000E3D59">
        <w:t xml:space="preserve">W końcu </w:t>
      </w:r>
      <w:r>
        <w:t>października</w:t>
      </w:r>
      <w:r w:rsidRPr="000E3D59">
        <w:t xml:space="preserve"> br. najwyższą stopę bezrobocia odnotowano w powiatach: konińskim (</w:t>
      </w:r>
      <w:r w:rsidR="00E02CEE" w:rsidRPr="00E02CEE">
        <w:t>8,3</w:t>
      </w:r>
      <w:r w:rsidRPr="000E3D59">
        <w:t>%), chodzieskim (</w:t>
      </w:r>
      <w:r w:rsidR="00E02CEE" w:rsidRPr="00E02CEE">
        <w:t>7,4</w:t>
      </w:r>
      <w:r w:rsidRPr="000E3D59">
        <w:t>%) i słupeckim (7,</w:t>
      </w:r>
      <w:r w:rsidR="00E02CEE">
        <w:t>0</w:t>
      </w:r>
      <w:r w:rsidRPr="000E3D59">
        <w:t xml:space="preserve">%), natomiast najniższą w poznańskim (1,0%) oraz w Poznaniu (1,1%). W porównaniu z poprzednim miesiącem w </w:t>
      </w:r>
      <w:r>
        <w:t xml:space="preserve">16 powiatach (z 35) </w:t>
      </w:r>
      <w:r w:rsidR="00E02CEE" w:rsidRPr="000E3D59">
        <w:t>notowano spadek</w:t>
      </w:r>
      <w:r w:rsidR="00E02CEE">
        <w:t xml:space="preserve"> wskaźnika (</w:t>
      </w:r>
      <w:r w:rsidR="00E02CEE" w:rsidRPr="000E3D59">
        <w:t>największy w</w:t>
      </w:r>
      <w:r w:rsidR="00E02CEE">
        <w:t xml:space="preserve"> czarnkowsko-trzcianeckim, </w:t>
      </w:r>
      <w:r w:rsidR="00E02CEE" w:rsidRPr="000E3D59">
        <w:t>międzychodzkim</w:t>
      </w:r>
      <w:r w:rsidR="00E02CEE">
        <w:t>, obornickim, średzkim i złotowskim –</w:t>
      </w:r>
      <w:r w:rsidR="00117699">
        <w:br/>
        <w:t xml:space="preserve">– </w:t>
      </w:r>
      <w:r w:rsidR="00E02CEE">
        <w:t>p</w:t>
      </w:r>
      <w:r w:rsidR="00E02CEE" w:rsidRPr="000E3D59">
        <w:t>o 0,2 p.proc.)</w:t>
      </w:r>
      <w:r w:rsidR="00E02CEE">
        <w:t>,</w:t>
      </w:r>
      <w:r w:rsidR="00E02CEE" w:rsidRPr="00E02CEE">
        <w:t xml:space="preserve"> </w:t>
      </w:r>
      <w:r w:rsidR="00E02CEE">
        <w:t xml:space="preserve">w 9 </w:t>
      </w:r>
      <w:r w:rsidR="00E02CEE" w:rsidRPr="000E3D59">
        <w:t xml:space="preserve">nie uległ </w:t>
      </w:r>
      <w:r w:rsidR="009227BB">
        <w:t xml:space="preserve">on </w:t>
      </w:r>
      <w:r w:rsidR="00E02CEE" w:rsidRPr="000E3D59">
        <w:t>zmianie</w:t>
      </w:r>
      <w:r w:rsidR="00E02CEE">
        <w:t xml:space="preserve">, a w </w:t>
      </w:r>
      <w:r w:rsidR="00E02CEE" w:rsidRPr="000E3D59">
        <w:t>1</w:t>
      </w:r>
      <w:r w:rsidR="00E02CEE">
        <w:t xml:space="preserve">0 </w:t>
      </w:r>
      <w:r w:rsidR="00E02CEE" w:rsidRPr="000E3D59">
        <w:t xml:space="preserve">obserwowano </w:t>
      </w:r>
      <w:r w:rsidR="00E02CEE">
        <w:t xml:space="preserve">jego </w:t>
      </w:r>
      <w:r w:rsidR="00E02CEE" w:rsidRPr="000E3D59">
        <w:t>wzrost (największy w</w:t>
      </w:r>
      <w:r w:rsidR="00E02CEE">
        <w:t xml:space="preserve"> pleszewskim i pilskim</w:t>
      </w:r>
      <w:r w:rsidR="00E02CEE" w:rsidRPr="000E3D59">
        <w:t xml:space="preserve"> –</w:t>
      </w:r>
      <w:r w:rsidR="00117699">
        <w:br/>
        <w:t>–</w:t>
      </w:r>
      <w:r w:rsidR="00E02CEE" w:rsidRPr="000E3D59">
        <w:t xml:space="preserve"> </w:t>
      </w:r>
      <w:r w:rsidR="00E02CEE">
        <w:t xml:space="preserve">po 0,2 p.proc.). </w:t>
      </w:r>
      <w:r w:rsidR="00E02CEE" w:rsidRPr="000E3D59">
        <w:t>W ciągu roku stopa bezrobocia zwiększyła si</w:t>
      </w:r>
      <w:r w:rsidR="00E02CEE">
        <w:t>ę w 1</w:t>
      </w:r>
      <w:r w:rsidR="00E32BAF">
        <w:t>7</w:t>
      </w:r>
      <w:r w:rsidR="00E02CEE">
        <w:t xml:space="preserve"> powiatach (najb</w:t>
      </w:r>
      <w:r w:rsidR="00E32BAF">
        <w:t>ardziej w śremskim</w:t>
      </w:r>
      <w:r w:rsidR="00E02CEE" w:rsidRPr="000E3D59">
        <w:t xml:space="preserve"> – o 0,</w:t>
      </w:r>
      <w:r w:rsidR="00E32BAF">
        <w:t>4</w:t>
      </w:r>
      <w:r w:rsidR="00117699">
        <w:t xml:space="preserve"> p.proc.), w </w:t>
      </w:r>
      <w:r w:rsidR="00E02CEE">
        <w:t>8</w:t>
      </w:r>
      <w:r w:rsidR="00E02CEE" w:rsidRPr="000E3D59">
        <w:t xml:space="preserve"> pozostała na tym samym poziomie, a obniżyła się w 1</w:t>
      </w:r>
      <w:r w:rsidR="00E32BAF">
        <w:t>0</w:t>
      </w:r>
      <w:r w:rsidR="00E02CEE" w:rsidRPr="000E3D59">
        <w:t xml:space="preserve"> (</w:t>
      </w:r>
      <w:r w:rsidR="00E02CEE">
        <w:t>najbardziej w</w:t>
      </w:r>
      <w:r w:rsidR="00E02CEE" w:rsidRPr="000E3D59">
        <w:t xml:space="preserve"> </w:t>
      </w:r>
      <w:r w:rsidR="00E32BAF">
        <w:t>złotowskim</w:t>
      </w:r>
      <w:r w:rsidR="00E02CEE" w:rsidRPr="000E3D59">
        <w:t xml:space="preserve"> – </w:t>
      </w:r>
      <w:r w:rsidR="00E02CEE">
        <w:t>o </w:t>
      </w:r>
      <w:r w:rsidR="00E02CEE" w:rsidRPr="000E3D59">
        <w:t>0,</w:t>
      </w:r>
      <w:r w:rsidR="00E02CEE">
        <w:t>5</w:t>
      </w:r>
      <w:r w:rsidR="00E02CEE" w:rsidRPr="000E3D59">
        <w:t xml:space="preserve"> p.proc.).</w:t>
      </w:r>
    </w:p>
    <w:p w:rsidR="00044A67" w:rsidRPr="00304D14" w:rsidRDefault="00044A67" w:rsidP="00044A67">
      <w:pPr>
        <w:pStyle w:val="tekst"/>
      </w:pPr>
      <w:r>
        <w:t>W październiku</w:t>
      </w:r>
      <w:r w:rsidRPr="00304D14">
        <w:t xml:space="preserve"> br. w urzędach pracy </w:t>
      </w:r>
      <w:r w:rsidRPr="00304D14">
        <w:rPr>
          <w:b/>
        </w:rPr>
        <w:t>zarejestrowano</w:t>
      </w:r>
      <w:r w:rsidRPr="00304D14">
        <w:t xml:space="preserve"> </w:t>
      </w:r>
      <w:r w:rsidRPr="000E6E63">
        <w:t>9,</w:t>
      </w:r>
      <w:r>
        <w:t>0</w:t>
      </w:r>
      <w:r w:rsidRPr="000E6E63">
        <w:t xml:space="preserve"> </w:t>
      </w:r>
      <w:r w:rsidRPr="00304D14">
        <w:t xml:space="preserve">tys. osób bezrobotnych, tj. o </w:t>
      </w:r>
      <w:r>
        <w:t>2,1</w:t>
      </w:r>
      <w:r w:rsidRPr="00304D14">
        <w:t xml:space="preserve">% </w:t>
      </w:r>
      <w:r>
        <w:t>mniej niż przed miesiącem, ale o 5,9</w:t>
      </w:r>
      <w:r w:rsidRPr="00304D14">
        <w:t xml:space="preserve">% </w:t>
      </w:r>
      <w:r>
        <w:t xml:space="preserve">więcej </w:t>
      </w:r>
      <w:r w:rsidRPr="00304D14">
        <w:t xml:space="preserve">niż przed rokiem. Udział osób rejestrujących się po raz kolejny w ogólnej liczbie </w:t>
      </w:r>
      <w:r>
        <w:t>nowo zarejestrowanych wzrósł o 0,5</w:t>
      </w:r>
      <w:r w:rsidRPr="00304D14">
        <w:t xml:space="preserve"> p.proc. (do </w:t>
      </w:r>
      <w:r>
        <w:t>70,8</w:t>
      </w:r>
      <w:r w:rsidRPr="00304D14">
        <w:t xml:space="preserve">%). </w:t>
      </w:r>
      <w:r>
        <w:t xml:space="preserve">Zwiększył się również </w:t>
      </w:r>
      <w:r w:rsidRPr="00304D14">
        <w:t>odsetek</w:t>
      </w:r>
      <w:r>
        <w:t xml:space="preserve"> </w:t>
      </w:r>
      <w:r w:rsidRPr="00304D14">
        <w:t>zwolnionych z przyczyn dotyczących zakładu pracy</w:t>
      </w:r>
      <w:r>
        <w:br/>
        <w:t>(</w:t>
      </w:r>
      <w:r w:rsidRPr="00304D14">
        <w:t>o 0,</w:t>
      </w:r>
      <w:r>
        <w:t>7</w:t>
      </w:r>
      <w:r w:rsidRPr="00304D14">
        <w:t xml:space="preserve"> p.proc. do </w:t>
      </w:r>
      <w:r>
        <w:t>5,1</w:t>
      </w:r>
      <w:r w:rsidRPr="00304D14">
        <w:t>%) oraz</w:t>
      </w:r>
      <w:r>
        <w:t xml:space="preserve"> </w:t>
      </w:r>
      <w:r w:rsidRPr="00304D14">
        <w:t>abso</w:t>
      </w:r>
      <w:r>
        <w:t>lwentów (o 0,4 p.proc. do 13,7%), a obniży</w:t>
      </w:r>
      <w:r w:rsidRPr="00304D14">
        <w:t xml:space="preserve">ł się </w:t>
      </w:r>
      <w:r>
        <w:t xml:space="preserve">udział </w:t>
      </w:r>
      <w:r w:rsidRPr="00304D14">
        <w:t>dotychczas niepracujących</w:t>
      </w:r>
      <w:r>
        <w:br/>
      </w:r>
      <w:r w:rsidRPr="00304D14">
        <w:t xml:space="preserve">(o </w:t>
      </w:r>
      <w:r>
        <w:t>1,0</w:t>
      </w:r>
      <w:r w:rsidRPr="00304D14">
        <w:t xml:space="preserve"> p.proc. do </w:t>
      </w:r>
      <w:r>
        <w:t>12,7%).</w:t>
      </w:r>
      <w:r w:rsidRPr="00304D14">
        <w:t xml:space="preserve"> </w:t>
      </w:r>
    </w:p>
    <w:p w:rsidR="00044A67" w:rsidRPr="00304D14" w:rsidRDefault="00044A67" w:rsidP="00044A67">
      <w:pPr>
        <w:pStyle w:val="tekst"/>
      </w:pPr>
      <w:r w:rsidRPr="00304D14">
        <w:t xml:space="preserve">Z ewidencji bezrobotnych </w:t>
      </w:r>
      <w:r>
        <w:t>w październiku</w:t>
      </w:r>
      <w:r w:rsidRPr="00304D14">
        <w:t xml:space="preserve"> br. </w:t>
      </w:r>
      <w:r w:rsidRPr="00304D14">
        <w:rPr>
          <w:b/>
        </w:rPr>
        <w:t>wyrejestrowano</w:t>
      </w:r>
      <w:r w:rsidRPr="00304D14">
        <w:t xml:space="preserve"> </w:t>
      </w:r>
      <w:r>
        <w:t>9,1</w:t>
      </w:r>
      <w:r w:rsidRPr="00304D14">
        <w:t xml:space="preserve"> tys. osób, tj. o </w:t>
      </w:r>
      <w:r>
        <w:t>1,3</w:t>
      </w:r>
      <w:r w:rsidRPr="00304D14">
        <w:t xml:space="preserve">% </w:t>
      </w:r>
      <w:r>
        <w:t>więcej niż przed miesiącem i o 2,1</w:t>
      </w:r>
      <w:r w:rsidRPr="00304D14">
        <w:t xml:space="preserve">% </w:t>
      </w:r>
      <w:r>
        <w:t>więcej</w:t>
      </w:r>
      <w:r w:rsidRPr="00304D14">
        <w:t xml:space="preserve"> niż przed rokiem. Z tytułu podjęcia pracy z rejestru bezrobotnych wyłączono </w:t>
      </w:r>
      <w:r w:rsidRPr="00C13E4A">
        <w:t>5,</w:t>
      </w:r>
      <w:r>
        <w:t>4</w:t>
      </w:r>
      <w:r w:rsidRPr="00C13E4A">
        <w:t xml:space="preserve"> </w:t>
      </w:r>
      <w:r w:rsidRPr="00304D14">
        <w:t>tys. osób (przed rokiem</w:t>
      </w:r>
      <w:r>
        <w:t xml:space="preserve"> 4,8 </w:t>
      </w:r>
      <w:r w:rsidRPr="00304D14">
        <w:t>tys</w:t>
      </w:r>
      <w:r>
        <w:t>.), a </w:t>
      </w:r>
      <w:r w:rsidRPr="00304D14">
        <w:t xml:space="preserve">ich udział wśród ogółu wyrejestrowanych zwiększył się o </w:t>
      </w:r>
      <w:r>
        <w:t>5,2</w:t>
      </w:r>
      <w:r w:rsidRPr="00304D14">
        <w:t xml:space="preserve"> p.proc. (do </w:t>
      </w:r>
      <w:r w:rsidRPr="006626ED">
        <w:t>59,2</w:t>
      </w:r>
      <w:r w:rsidRPr="00304D14">
        <w:t xml:space="preserve">%). </w:t>
      </w:r>
      <w:r>
        <w:t xml:space="preserve">Wzrósł również odsetek bezrobotnych </w:t>
      </w:r>
      <w:r w:rsidRPr="00304D14">
        <w:t xml:space="preserve">wyłączonych z ewidencji z powodu odmowy bez uzasadnionej przyczyny przyjęcia propozycji odpowiedniej pracy lub innej formy pomocy (o </w:t>
      </w:r>
      <w:r>
        <w:t>0,3</w:t>
      </w:r>
      <w:r w:rsidRPr="00304D14">
        <w:t xml:space="preserve"> p.proc. </w:t>
      </w:r>
      <w:r>
        <w:t>do 2,5</w:t>
      </w:r>
      <w:r w:rsidRPr="00304D14">
        <w:t>%)</w:t>
      </w:r>
      <w:r>
        <w:t xml:space="preserve">. </w:t>
      </w:r>
      <w:r w:rsidRPr="00304D14">
        <w:t xml:space="preserve">Obniżył się natomiast </w:t>
      </w:r>
      <w:r>
        <w:t>udział</w:t>
      </w:r>
      <w:r w:rsidRPr="00304D14">
        <w:t xml:space="preserve"> bezrobotnych</w:t>
      </w:r>
      <w:r w:rsidRPr="007C3F78">
        <w:t xml:space="preserve"> </w:t>
      </w:r>
      <w:r w:rsidRPr="00304D14">
        <w:t>wyrejestrowanych w</w:t>
      </w:r>
      <w:r>
        <w:t xml:space="preserve"> </w:t>
      </w:r>
      <w:r w:rsidRPr="00304D14">
        <w:t>wyniku</w:t>
      </w:r>
      <w:r>
        <w:t xml:space="preserve"> </w:t>
      </w:r>
      <w:r w:rsidRPr="00304D14">
        <w:t xml:space="preserve">niepotwierdzenia gotowości do pracy (o </w:t>
      </w:r>
      <w:r>
        <w:t>3,1</w:t>
      </w:r>
      <w:r w:rsidRPr="00304D14">
        <w:t xml:space="preserve"> p.proc. do </w:t>
      </w:r>
      <w:r w:rsidRPr="006626ED">
        <w:t>15,2</w:t>
      </w:r>
      <w:r w:rsidRPr="00304D14">
        <w:t>%)</w:t>
      </w:r>
      <w:r>
        <w:t xml:space="preserve">, </w:t>
      </w:r>
      <w:r w:rsidRPr="00304D14">
        <w:t>rozpoczęcia szkolenia lub stażu u praco</w:t>
      </w:r>
      <w:r>
        <w:t xml:space="preserve">dawców (o 1,8 p.proc. do </w:t>
      </w:r>
      <w:r w:rsidRPr="006626ED">
        <w:t>8,3</w:t>
      </w:r>
      <w:r>
        <w:t xml:space="preserve">%), </w:t>
      </w:r>
      <w:r w:rsidRPr="00304D14">
        <w:t>dobrowolnej rezygn</w:t>
      </w:r>
      <w:r>
        <w:t xml:space="preserve">acji ze statusu bezrobotnego (o </w:t>
      </w:r>
      <w:r w:rsidRPr="00304D14">
        <w:t>0,</w:t>
      </w:r>
      <w:r>
        <w:t xml:space="preserve">4 </w:t>
      </w:r>
      <w:r w:rsidRPr="00304D14">
        <w:t xml:space="preserve">p.proc. do </w:t>
      </w:r>
      <w:r w:rsidRPr="006626ED">
        <w:t>5,3</w:t>
      </w:r>
      <w:r w:rsidRPr="00304D14">
        <w:t>%)</w:t>
      </w:r>
      <w:r>
        <w:t xml:space="preserve"> oraz </w:t>
      </w:r>
      <w:r w:rsidRPr="00304D14">
        <w:t>osiągnięcia wiek</w:t>
      </w:r>
      <w:r>
        <w:t>u</w:t>
      </w:r>
      <w:r w:rsidRPr="00304D14">
        <w:t xml:space="preserve"> emerytaln</w:t>
      </w:r>
      <w:r>
        <w:t>ego (</w:t>
      </w:r>
      <w:r w:rsidRPr="006626ED">
        <w:t>o</w:t>
      </w:r>
      <w:r>
        <w:t> </w:t>
      </w:r>
      <w:r w:rsidRPr="006626ED">
        <w:t>0</w:t>
      </w:r>
      <w:r>
        <w:t>,1 </w:t>
      </w:r>
      <w:r w:rsidRPr="00304D14">
        <w:t xml:space="preserve">p.proc. </w:t>
      </w:r>
      <w:r>
        <w:t>do 1,0</w:t>
      </w:r>
      <w:r w:rsidRPr="00304D14">
        <w:t>%)</w:t>
      </w:r>
      <w:r>
        <w:t>.</w:t>
      </w:r>
      <w:r w:rsidRPr="007C3F78">
        <w:t xml:space="preserve"> </w:t>
      </w:r>
    </w:p>
    <w:p w:rsidR="00044A67" w:rsidRDefault="00044A67" w:rsidP="00044A67">
      <w:pPr>
        <w:pStyle w:val="tekst"/>
      </w:pPr>
      <w:r w:rsidRPr="00304D14">
        <w:t xml:space="preserve">W końcu </w:t>
      </w:r>
      <w:r>
        <w:t>października</w:t>
      </w:r>
      <w:r w:rsidRPr="00304D14">
        <w:t xml:space="preserve"> br. </w:t>
      </w:r>
      <w:r w:rsidRPr="00304D14">
        <w:rPr>
          <w:b/>
        </w:rPr>
        <w:t>bez prawa do zasiłku</w:t>
      </w:r>
      <w:r w:rsidRPr="00304D14">
        <w:t xml:space="preserve"> pozostawało </w:t>
      </w:r>
      <w:r w:rsidRPr="001B1E23">
        <w:t xml:space="preserve">38,3 </w:t>
      </w:r>
      <w:r w:rsidRPr="00304D14">
        <w:t xml:space="preserve">tys. bezrobotnych, a ich udział w liczbie bezrobotnych ogółem wyniósł </w:t>
      </w:r>
      <w:r w:rsidRPr="001B1E23">
        <w:t>83,1</w:t>
      </w:r>
      <w:r w:rsidRPr="00304D14">
        <w:t>% (</w:t>
      </w:r>
      <w:r>
        <w:t xml:space="preserve">podobnie jak </w:t>
      </w:r>
      <w:r w:rsidRPr="00304D14">
        <w:t>przed ro</w:t>
      </w:r>
      <w:r>
        <w:t>kiem</w:t>
      </w:r>
      <w:r w:rsidRPr="00304D14">
        <w:t>).</w:t>
      </w:r>
      <w:r>
        <w:br w:type="page"/>
      </w:r>
    </w:p>
    <w:p w:rsidR="00044A67" w:rsidRPr="00304D14" w:rsidRDefault="00044A67" w:rsidP="00044A67">
      <w:pPr>
        <w:pStyle w:val="tekst"/>
      </w:pPr>
      <w:r w:rsidRPr="00304D14">
        <w:lastRenderedPageBreak/>
        <w:t xml:space="preserve">Osoby będące w </w:t>
      </w:r>
      <w:r w:rsidRPr="00304D14">
        <w:rPr>
          <w:b/>
        </w:rPr>
        <w:t xml:space="preserve">szczególnej sytuacji na rynku pracy </w:t>
      </w:r>
      <w:r w:rsidRPr="00304D14">
        <w:t xml:space="preserve">w końcu </w:t>
      </w:r>
      <w:r>
        <w:t>października</w:t>
      </w:r>
      <w:r w:rsidRPr="00304D14">
        <w:t xml:space="preserve"> br. stanowiły </w:t>
      </w:r>
      <w:r>
        <w:t>78,9</w:t>
      </w:r>
      <w:r w:rsidRPr="00304D14">
        <w:t xml:space="preserve">% ogółu bezrobotnych (przed rokiem </w:t>
      </w:r>
      <w:r>
        <w:t>79,5</w:t>
      </w:r>
      <w:r w:rsidRPr="00304D14">
        <w:t>%). Udział długotrwale bezrobotnych, stanowiących najbardziej liczną grupę wśród zarejestrowanych ogółem, w ciągu roku zwiększył się o 0,</w:t>
      </w:r>
      <w:r>
        <w:t>3</w:t>
      </w:r>
      <w:r w:rsidRPr="00304D14">
        <w:t xml:space="preserve"> p.proc. i wyniósł </w:t>
      </w:r>
      <w:r>
        <w:t>38,7</w:t>
      </w:r>
      <w:r w:rsidRPr="00304D14">
        <w:t>%. Wzrósł również odsetek osób powyżej 50 roku życia (o 0,</w:t>
      </w:r>
      <w:r>
        <w:t>2</w:t>
      </w:r>
      <w:r w:rsidRPr="00304D14">
        <w:t xml:space="preserve"> p.proc. do </w:t>
      </w:r>
      <w:r>
        <w:t>25,0</w:t>
      </w:r>
      <w:r w:rsidRPr="00304D14">
        <w:t xml:space="preserve">%), a obniżył się udział osób niepełnosprawnych (o </w:t>
      </w:r>
      <w:r>
        <w:t>1,5</w:t>
      </w:r>
      <w:r w:rsidRPr="00304D14">
        <w:t xml:space="preserve"> p.proc. do </w:t>
      </w:r>
      <w:r>
        <w:t>7,7</w:t>
      </w:r>
      <w:r w:rsidRPr="00304D14">
        <w:t>%)</w:t>
      </w:r>
      <w:r>
        <w:t xml:space="preserve">, </w:t>
      </w:r>
      <w:r w:rsidRPr="00304D14">
        <w:t>bezrobotnych</w:t>
      </w:r>
      <w:r>
        <w:t xml:space="preserve"> </w:t>
      </w:r>
      <w:r w:rsidRPr="00304D14">
        <w:t>posiadających co najmniej jedno dziecko do 6 roku życia (o 1,</w:t>
      </w:r>
      <w:r>
        <w:t>2</w:t>
      </w:r>
      <w:r w:rsidRPr="00304D14">
        <w:t xml:space="preserve"> p.proc. do </w:t>
      </w:r>
      <w:r>
        <w:t>16,5</w:t>
      </w:r>
      <w:r w:rsidRPr="00304D14">
        <w:t xml:space="preserve">%), poniżej 30 roku </w:t>
      </w:r>
      <w:r>
        <w:t xml:space="preserve">życia (o 0,2 p.proc. do 27,4%) </w:t>
      </w:r>
      <w:r w:rsidRPr="00304D14">
        <w:t>oraz bezrobotnych korzystających ze świadczeń pomocy społecznej (o 0,</w:t>
      </w:r>
      <w:r>
        <w:t>2</w:t>
      </w:r>
      <w:r w:rsidRPr="00304D14">
        <w:t xml:space="preserve"> p.proc. do </w:t>
      </w:r>
      <w:r>
        <w:t>2,0</w:t>
      </w:r>
      <w:r w:rsidRPr="00304D14">
        <w:t xml:space="preserve">%). </w:t>
      </w:r>
    </w:p>
    <w:p w:rsidR="00044A67" w:rsidRPr="00304D14" w:rsidRDefault="00044A67" w:rsidP="00044A67">
      <w:pPr>
        <w:pStyle w:val="tekst"/>
      </w:pPr>
      <w:r>
        <w:t>W październiku</w:t>
      </w:r>
      <w:r w:rsidRPr="00304D14">
        <w:t xml:space="preserve"> br. do urzędów pracy zgłoszono 5,</w:t>
      </w:r>
      <w:r>
        <w:t>2</w:t>
      </w:r>
      <w:r w:rsidRPr="00304D14">
        <w:t xml:space="preserve"> tys. </w:t>
      </w:r>
      <w:r w:rsidRPr="00304D14">
        <w:rPr>
          <w:b/>
        </w:rPr>
        <w:t>ofert zatrudnienia</w:t>
      </w:r>
      <w:r w:rsidRPr="00304D14">
        <w:t xml:space="preserve">, tj. </w:t>
      </w:r>
      <w:r>
        <w:t xml:space="preserve">podobnie jak przed miesiącem, ale o 0,4 </w:t>
      </w:r>
      <w:r w:rsidRPr="00304D14">
        <w:t xml:space="preserve">tys. </w:t>
      </w:r>
      <w:r w:rsidR="007532DD">
        <w:t>więcej</w:t>
      </w:r>
      <w:r w:rsidRPr="00304D14">
        <w:t xml:space="preserve"> niż przed rokiem. </w:t>
      </w:r>
      <w:r w:rsidRPr="00636E35">
        <w:t>W końcu miesiąca na 1 ofertę pracy przypadało</w:t>
      </w:r>
      <w:r>
        <w:t>, tak jak w końcu września br., 12 </w:t>
      </w:r>
      <w:r w:rsidRPr="00636E35">
        <w:t>bezrobotnych (</w:t>
      </w:r>
      <w:r>
        <w:t xml:space="preserve">wobec 13 </w:t>
      </w:r>
      <w:r w:rsidRPr="00636E35">
        <w:t>przed</w:t>
      </w:r>
      <w:r>
        <w:t xml:space="preserve"> rokiem</w:t>
      </w:r>
      <w:r w:rsidRPr="00636E35">
        <w:t>).</w:t>
      </w:r>
    </w:p>
    <w:p w:rsidR="00044A67" w:rsidRDefault="00D7441C" w:rsidP="00044A67">
      <w:pPr>
        <w:pStyle w:val="tytuwykresu"/>
        <w:spacing w:before="360"/>
        <w:rPr>
          <w:bCs/>
        </w:rPr>
      </w:pPr>
      <w:r w:rsidRPr="00D7441C">
        <w:rPr>
          <w:noProof/>
          <w:lang w:eastAsia="pl-PL"/>
        </w:rPr>
        <w:drawing>
          <wp:anchor distT="0" distB="107950" distL="114300" distR="114300" simplePos="0" relativeHeight="252947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542925</wp:posOffset>
            </wp:positionV>
            <wp:extent cx="5832000" cy="2160000"/>
            <wp:effectExtent l="0" t="0" r="0" b="0"/>
            <wp:wrapTopAndBottom/>
            <wp:docPr id="14" name="Obraz 14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3</w:t>
      </w:r>
      <w:r w:rsidR="00044A67" w:rsidRPr="00F77B0F">
        <w:t>.</w:t>
      </w:r>
      <w:r w:rsidR="00044A67">
        <w:rPr>
          <w:shd w:val="clear" w:color="auto" w:fill="FFFFFF"/>
        </w:rPr>
        <w:tab/>
      </w:r>
      <w:r w:rsidR="00044A67" w:rsidRPr="00F77B0F">
        <w:t>Be</w:t>
      </w:r>
      <w:r w:rsidR="00044A67">
        <w:t>zrobotni na 1 ofertę pracy</w:t>
      </w:r>
      <w:r w:rsidR="00044A67">
        <w:br/>
      </w:r>
      <w:r w:rsidR="00044A67">
        <w:tab/>
      </w:r>
      <w:bookmarkStart w:id="7" w:name="_Toc64884828"/>
      <w:bookmarkStart w:id="8" w:name="_Toc64884997"/>
      <w:bookmarkStart w:id="9" w:name="_Toc64891650"/>
      <w:r w:rsidR="00044A67">
        <w:rPr>
          <w:bCs/>
        </w:rPr>
        <w:t>Stan w końcu miesiąca</w:t>
      </w:r>
    </w:p>
    <w:p w:rsidR="00044A67" w:rsidRPr="00304D14" w:rsidRDefault="00044A67" w:rsidP="00044A67">
      <w:pPr>
        <w:pStyle w:val="tekst"/>
        <w:rPr>
          <w:bCs/>
        </w:rPr>
      </w:pPr>
      <w:r w:rsidRPr="00304D14">
        <w:rPr>
          <w:shd w:val="clear" w:color="auto" w:fill="FFFFFF"/>
        </w:rPr>
        <w:t xml:space="preserve">Z danych urzędów pracy wynika, że według stanu w końcu </w:t>
      </w:r>
      <w:r>
        <w:rPr>
          <w:shd w:val="clear" w:color="auto" w:fill="FFFFFF"/>
        </w:rPr>
        <w:t>października</w:t>
      </w:r>
      <w:r w:rsidRPr="00304D14">
        <w:rPr>
          <w:shd w:val="clear" w:color="auto" w:fill="FFFFFF"/>
        </w:rPr>
        <w:t xml:space="preserve"> br. 1</w:t>
      </w:r>
      <w:r>
        <w:rPr>
          <w:shd w:val="clear" w:color="auto" w:fill="FFFFFF"/>
        </w:rPr>
        <w:t>7</w:t>
      </w:r>
      <w:r w:rsidRPr="00304D14">
        <w:rPr>
          <w:shd w:val="clear" w:color="auto" w:fill="FFFFFF"/>
        </w:rPr>
        <w:t xml:space="preserve"> zakładów pracy zapowiadało zwolnienie w najbliższym czasie 1,</w:t>
      </w:r>
      <w:r>
        <w:rPr>
          <w:shd w:val="clear" w:color="auto" w:fill="FFFFFF"/>
        </w:rPr>
        <w:t>0</w:t>
      </w:r>
      <w:r w:rsidRPr="00304D14">
        <w:rPr>
          <w:shd w:val="clear" w:color="auto" w:fill="FFFFFF"/>
        </w:rPr>
        <w:t xml:space="preserve"> tys. pracowników (przed rokiem odpowiednio </w:t>
      </w:r>
      <w:r>
        <w:rPr>
          <w:shd w:val="clear" w:color="auto" w:fill="FFFFFF"/>
        </w:rPr>
        <w:t>20</w:t>
      </w:r>
      <w:r w:rsidRPr="00304D14">
        <w:rPr>
          <w:shd w:val="clear" w:color="auto" w:fill="FFFFFF"/>
        </w:rPr>
        <w:t xml:space="preserve"> zakładów, </w:t>
      </w:r>
      <w:r>
        <w:rPr>
          <w:shd w:val="clear" w:color="auto" w:fill="FFFFFF"/>
        </w:rPr>
        <w:t>3,3</w:t>
      </w:r>
      <w:r w:rsidRPr="00304D14">
        <w:rPr>
          <w:shd w:val="clear" w:color="auto" w:fill="FFFFFF"/>
        </w:rPr>
        <w:t xml:space="preserve"> tys. pracowników).</w:t>
      </w:r>
    </w:p>
    <w:p w:rsidR="00044A67" w:rsidRPr="00343E06" w:rsidRDefault="00044A67" w:rsidP="00044A67">
      <w:pPr>
        <w:pStyle w:val="Nagwek1"/>
      </w:pPr>
      <w:bookmarkStart w:id="10" w:name="_Toc183619736"/>
      <w:r w:rsidRPr="00343E06">
        <w:t>Wynagrodzenia</w:t>
      </w:r>
      <w:bookmarkEnd w:id="7"/>
      <w:bookmarkEnd w:id="8"/>
      <w:bookmarkEnd w:id="9"/>
      <w:bookmarkEnd w:id="10"/>
    </w:p>
    <w:p w:rsidR="00044A67" w:rsidRPr="00EF5660" w:rsidRDefault="00044A67" w:rsidP="00044A67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>
        <w:t>w październiku</w:t>
      </w:r>
      <w:r w:rsidRPr="00EF5660">
        <w:t xml:space="preserve"> </w:t>
      </w:r>
      <w:r>
        <w:t>br.</w:t>
      </w:r>
      <w:r w:rsidRPr="00EF5660">
        <w:t xml:space="preserve"> wyniosło </w:t>
      </w:r>
      <w:r w:rsidRPr="00A659CB">
        <w:t>7468,37</w:t>
      </w:r>
      <w:r>
        <w:t xml:space="preserve"> zł i wzrosło o 1,5% w skali miesiąca</w:t>
      </w:r>
      <w:r w:rsidRPr="00EF5660">
        <w:t xml:space="preserve">, a w </w:t>
      </w:r>
      <w:r>
        <w:t>porównaniu z październikiem</w:t>
      </w:r>
      <w:r w:rsidRPr="00EF5660">
        <w:t xml:space="preserve"> </w:t>
      </w:r>
      <w:r>
        <w:t>ub. roku</w:t>
      </w:r>
      <w:r w:rsidRPr="00EF5660">
        <w:t xml:space="preserve"> </w:t>
      </w:r>
      <w:r>
        <w:t xml:space="preserve">zwiększyło się </w:t>
      </w:r>
      <w:r w:rsidRPr="00EF5660">
        <w:t xml:space="preserve">o </w:t>
      </w:r>
      <w:r>
        <w:t>11,4</w:t>
      </w:r>
      <w:r w:rsidRPr="00EF5660">
        <w:t>% (pr</w:t>
      </w:r>
      <w:r>
        <w:t>zed rokiem zanotowano</w:t>
      </w:r>
      <w:r w:rsidRPr="0099098F">
        <w:t xml:space="preserve"> </w:t>
      </w:r>
      <w:r>
        <w:t xml:space="preserve">wzrost poziomu wynagrodzeń w </w:t>
      </w:r>
      <w:r w:rsidRPr="00EF5660">
        <w:t>ujęciu miesięcznym</w:t>
      </w:r>
      <w:r>
        <w:t xml:space="preserve"> o 1,0</w:t>
      </w:r>
      <w:r w:rsidRPr="00EF5660">
        <w:t>%</w:t>
      </w:r>
      <w:r>
        <w:t xml:space="preserve">, a </w:t>
      </w:r>
      <w:r w:rsidRPr="00EF5660">
        <w:t>w stosunku rocznym</w:t>
      </w:r>
      <w:r>
        <w:t xml:space="preserve"> – o 12,6</w:t>
      </w:r>
      <w:r w:rsidRPr="00EF5660">
        <w:t>%).</w:t>
      </w:r>
    </w:p>
    <w:p w:rsidR="00044A67" w:rsidRDefault="00D7441C" w:rsidP="00044A67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D7441C">
        <w:rPr>
          <w:noProof/>
          <w:lang w:eastAsia="pl-PL"/>
        </w:rPr>
        <w:drawing>
          <wp:anchor distT="0" distB="0" distL="114300" distR="114300" simplePos="0" relativeHeight="2529489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600710</wp:posOffset>
            </wp:positionV>
            <wp:extent cx="5832000" cy="2415947"/>
            <wp:effectExtent l="0" t="0" r="0" b="3810"/>
            <wp:wrapTopAndBottom/>
            <wp:docPr id="15" name="Obraz 15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241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</w:t>
      </w:r>
      <w:r w:rsidR="00044A67" w:rsidRPr="003F192B">
        <w:t>ykres</w:t>
      </w:r>
      <w:r w:rsidR="00044A67">
        <w:t xml:space="preserve"> 4.</w:t>
      </w:r>
      <w:r w:rsidR="00044A67">
        <w:tab/>
        <w:t xml:space="preserve">Przeciętne miesięczne </w:t>
      </w:r>
      <w:r w:rsidR="00044A67" w:rsidRPr="00D05741">
        <w:t>wynagro</w:t>
      </w:r>
      <w:r w:rsidR="00044A67">
        <w:t xml:space="preserve">dzenie brutto </w:t>
      </w:r>
      <w:r w:rsidR="00044A67" w:rsidRPr="00D05741">
        <w:t>w sektorze przedsiębiorstw</w:t>
      </w:r>
      <w:r w:rsidR="00044A67">
        <w:br/>
      </w:r>
      <w:r w:rsidR="00044A67" w:rsidRPr="003C2B8D">
        <w:rPr>
          <w:bCs/>
          <w:szCs w:val="19"/>
        </w:rPr>
        <w:t>(przeciętna miesięczna 20</w:t>
      </w:r>
      <w:r w:rsidR="00044A67">
        <w:rPr>
          <w:bCs/>
          <w:szCs w:val="19"/>
        </w:rPr>
        <w:t>2</w:t>
      </w:r>
      <w:r w:rsidR="00044A67" w:rsidRPr="003C2B8D">
        <w:rPr>
          <w:bCs/>
          <w:szCs w:val="19"/>
        </w:rPr>
        <w:t>1=100)</w:t>
      </w:r>
      <w:r w:rsidR="00044A67" w:rsidRPr="006A2723">
        <w:rPr>
          <w:b w:val="0"/>
          <w:bCs/>
          <w:szCs w:val="19"/>
        </w:rPr>
        <w:t xml:space="preserve"> </w:t>
      </w:r>
    </w:p>
    <w:p w:rsidR="00044A67" w:rsidRDefault="00044A67" w:rsidP="00044A67">
      <w:pPr>
        <w:pStyle w:val="tekst"/>
      </w:pPr>
      <w:r>
        <w:br w:type="page"/>
      </w:r>
    </w:p>
    <w:p w:rsidR="00044A67" w:rsidRPr="002F2C79" w:rsidRDefault="00044A67" w:rsidP="00044A67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październik br.) i w okresie narastającym (styczeń-październik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44A67" w:rsidRDefault="0040636D" w:rsidP="00707A0E">
            <w:pPr>
              <w:pStyle w:val="glowka1"/>
            </w:pPr>
            <w:r>
              <w:t>10</w:t>
            </w:r>
            <w:r w:rsidR="00044A67">
              <w:t xml:space="preserve"> 2024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0163F1" w:rsidRDefault="00044A67" w:rsidP="0040636D">
            <w:pPr>
              <w:pStyle w:val="glowka1"/>
            </w:pPr>
            <w:r>
              <w:t>01–</w:t>
            </w:r>
            <w:r w:rsidR="0040636D">
              <w:t>10</w:t>
            </w:r>
            <w:r>
              <w:t xml:space="preserve"> 2024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0163F1" w:rsidRDefault="00044A67" w:rsidP="00707A0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44A67" w:rsidRPr="000163F1" w:rsidRDefault="00044A67" w:rsidP="00707A0E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44A67" w:rsidRPr="000163F1" w:rsidRDefault="0040636D" w:rsidP="00707A0E">
            <w:pPr>
              <w:pStyle w:val="glowka1"/>
            </w:pPr>
            <w:r>
              <w:t>10</w:t>
            </w:r>
            <w:r w:rsidR="00044A67">
              <w:t xml:space="preserve"> 2023=100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0163F1" w:rsidRDefault="00044A67" w:rsidP="00707A0E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0163F1" w:rsidRDefault="00044A67" w:rsidP="0040636D">
            <w:pPr>
              <w:pStyle w:val="glowka1"/>
            </w:pPr>
            <w:r>
              <w:t>01–</w:t>
            </w:r>
            <w:r w:rsidR="0040636D">
              <w:t>10</w:t>
            </w:r>
            <w:r>
              <w:t xml:space="preserve"> 2023=100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C90843" w:rsidRDefault="00044A67" w:rsidP="00707A0E">
            <w:pPr>
              <w:pStyle w:val="tableteksttab"/>
              <w:rPr>
                <w:b/>
              </w:rPr>
            </w:pPr>
            <w:r w:rsidRPr="00C90843">
              <w:rPr>
                <w:b/>
              </w:rPr>
              <w:t>7468,37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C90843" w:rsidRDefault="00044A67" w:rsidP="00707A0E">
            <w:pPr>
              <w:pStyle w:val="tableteksttab"/>
              <w:rPr>
                <w:b/>
              </w:rPr>
            </w:pPr>
            <w:r w:rsidRPr="00C90843">
              <w:rPr>
                <w:b/>
              </w:rPr>
              <w:t>111,4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C90843" w:rsidRDefault="00044A67" w:rsidP="00707A0E">
            <w:pPr>
              <w:pStyle w:val="tableteksttab"/>
              <w:rPr>
                <w:b/>
              </w:rPr>
            </w:pPr>
            <w:r w:rsidRPr="00C90843">
              <w:rPr>
                <w:b/>
              </w:rPr>
              <w:t>7396,98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C90843" w:rsidRDefault="00044A67" w:rsidP="00707A0E">
            <w:pPr>
              <w:pStyle w:val="tableteksttab"/>
              <w:rPr>
                <w:b/>
              </w:rPr>
            </w:pPr>
            <w:r w:rsidRPr="00C90843">
              <w:rPr>
                <w:b/>
              </w:rPr>
              <w:t>111,3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7687,16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112,0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7534,33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111,4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11026,38</w:t>
            </w:r>
          </w:p>
        </w:tc>
        <w:tc>
          <w:tcPr>
            <w:tcW w:w="1557" w:type="dxa"/>
            <w:tcBorders>
              <w:top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129,4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9761,08</w:t>
            </w:r>
          </w:p>
        </w:tc>
        <w:tc>
          <w:tcPr>
            <w:tcW w:w="1557" w:type="dxa"/>
            <w:tcBorders>
              <w:top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116,8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vAlign w:val="center"/>
          </w:tcPr>
          <w:p w:rsidR="00044A67" w:rsidRPr="000163F1" w:rsidRDefault="00044A67" w:rsidP="00707A0E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7591,31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111,7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7423,04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111,2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vAlign w:val="bottom"/>
          </w:tcPr>
          <w:p w:rsidR="00044A67" w:rsidRPr="000163F1" w:rsidRDefault="00044A67" w:rsidP="00707A0E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>
              <w:br/>
            </w:r>
            <w:r w:rsidRPr="00916B66">
              <w:t>10647,86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>
              <w:br/>
            </w:r>
            <w:r w:rsidRPr="00916B66">
              <w:t>110,4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>
              <w:br/>
            </w:r>
            <w:r w:rsidRPr="00916B66">
              <w:t>11597,74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>
              <w:br/>
            </w:r>
            <w:r w:rsidRPr="00916B66">
              <w:t>110,4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bottom"/>
          </w:tcPr>
          <w:p w:rsidR="00044A67" w:rsidRPr="000163F1" w:rsidRDefault="00044A67" w:rsidP="00707A0E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>
              <w:br/>
            </w:r>
            <w:r w:rsidRPr="00916B66">
              <w:t>7371,08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>
              <w:br/>
            </w:r>
            <w:r w:rsidRPr="00916B66">
              <w:t>113,9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>
              <w:br/>
            </w:r>
            <w:r w:rsidRPr="00916B66">
              <w:t>7217,01</w:t>
            </w:r>
          </w:p>
        </w:tc>
        <w:tc>
          <w:tcPr>
            <w:tcW w:w="1557" w:type="dxa"/>
          </w:tcPr>
          <w:p w:rsidR="00044A67" w:rsidRDefault="00044A67" w:rsidP="00707A0E">
            <w:pPr>
              <w:pStyle w:val="tableteksttab"/>
            </w:pPr>
          </w:p>
          <w:p w:rsidR="00044A67" w:rsidRPr="00916B66" w:rsidRDefault="00044A67" w:rsidP="00707A0E">
            <w:pPr>
              <w:pStyle w:val="tableteksttab"/>
            </w:pPr>
            <w:r w:rsidRPr="00916B66">
              <w:t>114,1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7882,67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112,3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7665,31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115,1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6706,34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111,6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6783,23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111,9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7755,61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109,3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7548,59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108,0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5622,69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112,7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5522,17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112,1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12567,59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111,2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12974,73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112,4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vAlign w:val="center"/>
          </w:tcPr>
          <w:p w:rsidR="00044A67" w:rsidRPr="000163F1" w:rsidRDefault="00044A67" w:rsidP="00707A0E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7221,92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103,9</w:t>
            </w:r>
          </w:p>
        </w:tc>
        <w:tc>
          <w:tcPr>
            <w:tcW w:w="1556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7271,98</w:t>
            </w:r>
          </w:p>
        </w:tc>
        <w:tc>
          <w:tcPr>
            <w:tcW w:w="1557" w:type="dxa"/>
          </w:tcPr>
          <w:p w:rsidR="00044A67" w:rsidRPr="00916B66" w:rsidRDefault="00044A67" w:rsidP="00707A0E">
            <w:pPr>
              <w:pStyle w:val="tableteksttab"/>
            </w:pPr>
            <w:r w:rsidRPr="00916B66">
              <w:t>110,0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9746,43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107,8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9716,78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108,8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044A67" w:rsidRPr="000163F1" w:rsidRDefault="00044A67" w:rsidP="00707A0E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6538,93</w:t>
            </w:r>
          </w:p>
        </w:tc>
        <w:tc>
          <w:tcPr>
            <w:tcW w:w="1557" w:type="dxa"/>
            <w:tcBorders>
              <w:bottom w:val="nil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117,6</w:t>
            </w:r>
          </w:p>
        </w:tc>
        <w:tc>
          <w:tcPr>
            <w:tcW w:w="1556" w:type="dxa"/>
            <w:tcBorders>
              <w:bottom w:val="nil"/>
            </w:tcBorders>
          </w:tcPr>
          <w:p w:rsidR="00044A67" w:rsidRPr="00916B66" w:rsidRDefault="00044A67" w:rsidP="00707A0E">
            <w:pPr>
              <w:pStyle w:val="tableteksttab"/>
            </w:pPr>
            <w:r w:rsidRPr="00916B66">
              <w:t>6392,07</w:t>
            </w:r>
          </w:p>
        </w:tc>
        <w:tc>
          <w:tcPr>
            <w:tcW w:w="1557" w:type="dxa"/>
            <w:tcBorders>
              <w:bottom w:val="nil"/>
            </w:tcBorders>
          </w:tcPr>
          <w:p w:rsidR="00044A67" w:rsidRDefault="00044A67" w:rsidP="00707A0E">
            <w:pPr>
              <w:pStyle w:val="tableteksttab"/>
            </w:pPr>
            <w:r w:rsidRPr="00916B66">
              <w:t>115,1</w:t>
            </w:r>
          </w:p>
        </w:tc>
      </w:tr>
    </w:tbl>
    <w:p w:rsidR="00044A67" w:rsidRPr="00840CB9" w:rsidRDefault="00044A67" w:rsidP="00044A67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044A67" w:rsidRDefault="00044A67" w:rsidP="00992390">
      <w:pPr>
        <w:pStyle w:val="tekst"/>
        <w:spacing w:before="240"/>
      </w:pPr>
      <w:r>
        <w:t xml:space="preserve">W </w:t>
      </w:r>
      <w:r w:rsidRPr="00DB1949">
        <w:t xml:space="preserve">porównaniu </w:t>
      </w:r>
      <w:r>
        <w:t>z październikiem</w:t>
      </w:r>
      <w:r w:rsidRPr="00DB1949">
        <w:t xml:space="preserve"> </w:t>
      </w:r>
      <w:r>
        <w:t>ub. roku</w:t>
      </w:r>
      <w:r w:rsidRPr="00DB1949">
        <w:t xml:space="preserve"> </w:t>
      </w:r>
      <w:r>
        <w:t>w</w:t>
      </w:r>
      <w:r w:rsidRPr="00DB1949">
        <w:t xml:space="preserve">zrost przeciętnych </w:t>
      </w:r>
      <w:r>
        <w:t xml:space="preserve">miesięcznych </w:t>
      </w:r>
      <w:r w:rsidRPr="00DB1949">
        <w:t>wynagrodzeń</w:t>
      </w:r>
      <w:r w:rsidRPr="00726B45">
        <w:t xml:space="preserve"> </w:t>
      </w:r>
      <w:r>
        <w:t>obserwowano</w:t>
      </w:r>
      <w:r w:rsidRPr="00726B45">
        <w:t xml:space="preserve"> </w:t>
      </w:r>
      <w:r>
        <w:t>we wszystkich</w:t>
      </w:r>
      <w:r w:rsidRPr="00DB1949">
        <w:t xml:space="preserve"> sekcj</w:t>
      </w:r>
      <w:r>
        <w:t>ach</w:t>
      </w:r>
      <w:r w:rsidRPr="00DB1949">
        <w:t xml:space="preserve"> sektora przedsiębiorstw</w:t>
      </w:r>
      <w:r w:rsidR="00992390">
        <w:t>.</w:t>
      </w:r>
      <w:r>
        <w:t xml:space="preserve"> Największy wzrost wynagrodzeń wystąpił w górnictwie i wydobywaniu</w:t>
      </w:r>
      <w:r w:rsidRPr="00DC30F6">
        <w:t xml:space="preserve"> </w:t>
      </w:r>
      <w:r>
        <w:t xml:space="preserve">(o </w:t>
      </w:r>
      <w:r w:rsidRPr="00DC30F6">
        <w:t>29,4</w:t>
      </w:r>
      <w:r>
        <w:t>%), a</w:t>
      </w:r>
      <w:r w:rsidRPr="00A47F20">
        <w:t>dministrowani</w:t>
      </w:r>
      <w:r>
        <w:t>u</w:t>
      </w:r>
      <w:r w:rsidRPr="00A47F20">
        <w:t xml:space="preserve"> i działalnoś</w:t>
      </w:r>
      <w:r>
        <w:t>ci</w:t>
      </w:r>
      <w:r w:rsidRPr="00A47F20">
        <w:t xml:space="preserve"> wspierając</w:t>
      </w:r>
      <w:r>
        <w:t xml:space="preserve">ej (o </w:t>
      </w:r>
      <w:r w:rsidRPr="00DC30F6">
        <w:t>17,6</w:t>
      </w:r>
      <w:r>
        <w:t>%), dostawie wody; gospodarowaniu ściekami i odpadami; rekultywacji (o </w:t>
      </w:r>
      <w:r w:rsidRPr="00DC30F6">
        <w:t>13,9</w:t>
      </w:r>
      <w:r>
        <w:t xml:space="preserve">%), %), zakwaterowaniu i gastronomii (o </w:t>
      </w:r>
      <w:r w:rsidRPr="00DC30F6">
        <w:t>12,7</w:t>
      </w:r>
      <w:r>
        <w:t xml:space="preserve">%), budownictwie (o </w:t>
      </w:r>
      <w:r w:rsidRPr="00DC30F6">
        <w:t>12,3</w:t>
      </w:r>
      <w:r>
        <w:t>%), przetwórstwie przemysłowym (o 11,7%) oraz h</w:t>
      </w:r>
      <w:r w:rsidRPr="000163F1">
        <w:t>andl</w:t>
      </w:r>
      <w:r>
        <w:t>u</w:t>
      </w:r>
      <w:r w:rsidRPr="000163F1">
        <w:t>; napraw</w:t>
      </w:r>
      <w:r>
        <w:t>ie</w:t>
      </w:r>
      <w:r w:rsidRPr="000163F1">
        <w:t xml:space="preserve"> pojazdów samochodowych</w:t>
      </w:r>
      <w:r>
        <w:t xml:space="preserve"> (o 11,6%). </w:t>
      </w:r>
    </w:p>
    <w:p w:rsidR="00044A67" w:rsidRPr="00316609" w:rsidRDefault="00D7441C" w:rsidP="00044A67">
      <w:pPr>
        <w:pStyle w:val="tytuwykresu"/>
        <w:tabs>
          <w:tab w:val="left" w:pos="8364"/>
        </w:tabs>
        <w:spacing w:before="360"/>
        <w:ind w:left="992" w:hanging="992"/>
      </w:pPr>
      <w:r w:rsidRPr="00D7441C">
        <w:rPr>
          <w:noProof/>
          <w:lang w:eastAsia="pl-PL"/>
        </w:rPr>
        <w:drawing>
          <wp:anchor distT="0" distB="0" distL="114300" distR="114300" simplePos="0" relativeHeight="252950016" behindDoc="0" locked="0" layoutInCell="1" allowOverlap="1">
            <wp:simplePos x="0" y="0"/>
            <wp:positionH relativeFrom="margin">
              <wp:posOffset>802640</wp:posOffset>
            </wp:positionH>
            <wp:positionV relativeFrom="paragraph">
              <wp:posOffset>553288</wp:posOffset>
            </wp:positionV>
            <wp:extent cx="5040000" cy="3471615"/>
            <wp:effectExtent l="0" t="0" r="8255" b="0"/>
            <wp:wrapTopAndBottom/>
            <wp:docPr id="18" name="Obraz 18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7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316609">
        <w:t>Wykres 5</w:t>
      </w:r>
      <w:r w:rsidR="00044A67">
        <w:t>.</w:t>
      </w:r>
      <w:r w:rsidR="00044A67">
        <w:tab/>
      </w:r>
      <w:r w:rsidR="00044A67" w:rsidRPr="00316609">
        <w:t>Odchylenia względne przeciętnych miesięcznych wynagrodzeń brutto w sekcjach od</w:t>
      </w:r>
      <w:r w:rsidR="00044A67">
        <w:t xml:space="preserve"> przeciętnego </w:t>
      </w:r>
      <w:r w:rsidR="00044A67">
        <w:br/>
        <w:t xml:space="preserve">wynagrodzenia </w:t>
      </w:r>
      <w:r w:rsidR="00044A67" w:rsidRPr="00316609">
        <w:t xml:space="preserve">w sektorze przedsiębiorstw </w:t>
      </w:r>
      <w:r w:rsidR="00044A67">
        <w:t>w październiku</w:t>
      </w:r>
      <w:r w:rsidR="00044A67" w:rsidRPr="00316609">
        <w:t xml:space="preserve"> </w:t>
      </w:r>
      <w:r w:rsidR="00044A67">
        <w:t>2024 r.</w:t>
      </w:r>
      <w:r w:rsidR="00044A67" w:rsidRPr="006A2723">
        <w:rPr>
          <w:b w:val="0"/>
        </w:rPr>
        <w:t xml:space="preserve"> </w:t>
      </w:r>
    </w:p>
    <w:p w:rsidR="00044A67" w:rsidRDefault="00044A67" w:rsidP="00044A67">
      <w:pPr>
        <w:pStyle w:val="tekst"/>
      </w:pPr>
      <w:r w:rsidRPr="00FA1F55">
        <w:lastRenderedPageBreak/>
        <w:t xml:space="preserve">Najwyższe wynagrodzenie </w:t>
      </w:r>
      <w:r>
        <w:t>w październiku</w:t>
      </w:r>
      <w:r w:rsidRPr="00FA1F55">
        <w:t xml:space="preserve"> br. otrzymali zatrudnieni w sekcjach: informacja i komunikacja (o </w:t>
      </w:r>
      <w:r w:rsidRPr="001301BB">
        <w:t>68,3</w:t>
      </w:r>
      <w:r w:rsidRPr="00FA1F55">
        <w:t xml:space="preserve">% wyższe od przeciętnego miesięcznego wynagrodzenia w sektorze przedsiębiorstw), </w:t>
      </w:r>
      <w:r>
        <w:t>górnictwo i wydobywanie</w:t>
      </w:r>
      <w:r w:rsidRPr="00DC30F6">
        <w:t xml:space="preserve"> </w:t>
      </w:r>
      <w:r>
        <w:t xml:space="preserve">(o </w:t>
      </w:r>
      <w:r w:rsidRPr="001301BB">
        <w:t>47,6</w:t>
      </w:r>
      <w:r>
        <w:t>%</w:t>
      </w:r>
      <w:r w:rsidRPr="001301BB">
        <w:t xml:space="preserve"> </w:t>
      </w:r>
      <w:r w:rsidRPr="00FA1F55">
        <w:t>wyższe od średniej</w:t>
      </w:r>
      <w:r>
        <w:t xml:space="preserve">), </w:t>
      </w:r>
      <w:r w:rsidRPr="00FA1F55">
        <w:t xml:space="preserve">wytwarzanie i zaopatrywanie w energię elektryczną, gaz, parę wodną i gorącą wodę (o </w:t>
      </w:r>
      <w:r w:rsidRPr="001301BB">
        <w:t>42,6</w:t>
      </w:r>
      <w:r w:rsidRPr="00FA1F55">
        <w:t xml:space="preserve">% wyższe od średniej) oraz </w:t>
      </w:r>
      <w:r>
        <w:t>działalność profesjonalna, naukowa i techniczna</w:t>
      </w:r>
      <w:r w:rsidRPr="00FA1F55">
        <w:t xml:space="preserve"> </w:t>
      </w:r>
      <w:r>
        <w:t xml:space="preserve">(o </w:t>
      </w:r>
      <w:r w:rsidRPr="001301BB">
        <w:t>30,5</w:t>
      </w:r>
      <w:r w:rsidRPr="00C25031">
        <w:t xml:space="preserve">% wyższe od średniej). Wciąż </w:t>
      </w:r>
      <w:r>
        <w:t>n</w:t>
      </w:r>
      <w:r w:rsidRPr="00C25031">
        <w:t>ajniższy pozostaje poziom płac w jedn</w:t>
      </w:r>
      <w:r>
        <w:t xml:space="preserve">ostkach zajmujących się zakwaterowaniem i </w:t>
      </w:r>
      <w:r w:rsidRPr="00C25031">
        <w:t xml:space="preserve">gastronomią (o </w:t>
      </w:r>
      <w:r w:rsidRPr="001301BB">
        <w:t>24,7</w:t>
      </w:r>
      <w:r w:rsidRPr="00C25031">
        <w:t>% poniżej przeciętnego wynagrodzenia w sektorze przedsiębiorstw).</w:t>
      </w:r>
    </w:p>
    <w:p w:rsidR="00044A67" w:rsidRDefault="00044A67" w:rsidP="00044A67">
      <w:pPr>
        <w:pStyle w:val="tekst"/>
      </w:pPr>
      <w:r w:rsidRPr="00C827B7">
        <w:t xml:space="preserve">W okresie </w:t>
      </w:r>
      <w:r>
        <w:t xml:space="preserve">styczeń-październik </w:t>
      </w:r>
      <w:r w:rsidRPr="00C827B7">
        <w:t xml:space="preserve">br. przeciętne miesięczne wynagrodzenie brutto w sektorze przedsiębiorstw ukształtowało się na poziomie </w:t>
      </w:r>
      <w:r w:rsidRPr="0003069F">
        <w:t xml:space="preserve">7396,98 </w:t>
      </w:r>
      <w:r>
        <w:t>zł, tj. o 11,3</w:t>
      </w:r>
      <w:r w:rsidRPr="00C827B7">
        <w:t>% wyżej niż przed rokiem (</w:t>
      </w:r>
      <w:r>
        <w:t xml:space="preserve">w analogicznym okresie </w:t>
      </w:r>
      <w:r w:rsidRPr="00C827B7">
        <w:t xml:space="preserve">ub. roku roczny wzrost wynagrodzeń wyniósł </w:t>
      </w:r>
      <w:r>
        <w:t>12,1</w:t>
      </w:r>
      <w:r w:rsidRPr="00C827B7">
        <w:t xml:space="preserve">%). </w:t>
      </w:r>
      <w:r>
        <w:t>Wzrost p</w:t>
      </w:r>
      <w:r w:rsidRPr="00C827B7">
        <w:t>rzeciętn</w:t>
      </w:r>
      <w:r>
        <w:t>ych</w:t>
      </w:r>
      <w:r w:rsidRPr="00C827B7">
        <w:t xml:space="preserve"> </w:t>
      </w:r>
      <w:r>
        <w:t xml:space="preserve">miesięcznych </w:t>
      </w:r>
      <w:r w:rsidRPr="00C827B7">
        <w:t>wynagrodze</w:t>
      </w:r>
      <w:r>
        <w:t>ń odnotowano we wszystkich sekcjach</w:t>
      </w:r>
      <w:r w:rsidRPr="00C827B7">
        <w:t xml:space="preserve"> sektora przedsiębiorstw</w:t>
      </w:r>
      <w:r>
        <w:t xml:space="preserve">, z tego największy w górnictwie i wydobywaniu (o </w:t>
      </w:r>
      <w:r w:rsidRPr="0003069F">
        <w:t>16,8</w:t>
      </w:r>
      <w:r>
        <w:t xml:space="preserve">%), budownictwie oraz administrowaniu i działalności wspierającej (w obu przypadkach o </w:t>
      </w:r>
      <w:r w:rsidRPr="0003069F">
        <w:t>15,1</w:t>
      </w:r>
      <w:r>
        <w:t xml:space="preserve">%), a także w </w:t>
      </w:r>
      <w:r w:rsidRPr="00D716B5">
        <w:t>dostaw</w:t>
      </w:r>
      <w:r>
        <w:t>ie wody; gospodarowaniu ściekami i odpa</w:t>
      </w:r>
      <w:r w:rsidRPr="00D716B5">
        <w:t>dami; rekultywacj</w:t>
      </w:r>
      <w:r>
        <w:t xml:space="preserve">i (o </w:t>
      </w:r>
      <w:r w:rsidRPr="00D716B5">
        <w:t>1</w:t>
      </w:r>
      <w:r>
        <w:t>4,1%).</w:t>
      </w:r>
    </w:p>
    <w:p w:rsidR="00044A67" w:rsidRDefault="00044A67" w:rsidP="00044A67">
      <w:pPr>
        <w:pStyle w:val="Nagwek1"/>
      </w:pPr>
      <w:bookmarkStart w:id="11" w:name="_Toc64884829"/>
      <w:bookmarkStart w:id="12" w:name="_Toc64884998"/>
      <w:bookmarkStart w:id="13" w:name="_Toc64891651"/>
      <w:bookmarkStart w:id="14" w:name="_Toc183619737"/>
      <w:r w:rsidRPr="00D46C9B">
        <w:t>Rolnictwo</w:t>
      </w:r>
      <w:bookmarkEnd w:id="11"/>
      <w:bookmarkEnd w:id="12"/>
      <w:bookmarkEnd w:id="13"/>
      <w:bookmarkEnd w:id="14"/>
    </w:p>
    <w:p w:rsidR="000541A7" w:rsidRPr="003C3356" w:rsidRDefault="000541A7" w:rsidP="000541A7">
      <w:pPr>
        <w:pStyle w:val="tekst"/>
        <w:rPr>
          <w:spacing w:val="-4"/>
        </w:rPr>
      </w:pPr>
      <w:r w:rsidRPr="00AA4566">
        <w:rPr>
          <w:spacing w:val="-4"/>
        </w:rPr>
        <w:t>W październiku br. średnia</w:t>
      </w:r>
      <w:r w:rsidRPr="00AA4566">
        <w:rPr>
          <w:rStyle w:val="Odwoanieprzypisudolnego"/>
          <w:spacing w:val="-4"/>
        </w:rPr>
        <w:footnoteReference w:id="1"/>
      </w:r>
      <w:r w:rsidRPr="00AA4566">
        <w:rPr>
          <w:spacing w:val="-4"/>
        </w:rPr>
        <w:t xml:space="preserve"> temperatura powietrza na obszarze województwa wielkopolskiego wyniosła +10,7°C, tj. o 0,3°C mniej niż przed rokiem i o 1,8°C powyżej normy z lat 1991–2020. Najwyższą temperaturę dobową zarejestrowała stacja hydrologiczno-meteorologiczna w Kaliszu (+22,4°C). Najniższe wskazania, zarówno temperatury minimalnej, jak i przy gruncie, odno</w:t>
      </w:r>
      <w:r w:rsidRPr="006F2AE2">
        <w:rPr>
          <w:spacing w:val="-4"/>
        </w:rPr>
        <w:t>towano w Pile (odpowiednio -1,3°C i -4,2°C). Na stacji w Pile, a także w Lesznie, obserwowano najdłuższy w miesiącu okres utrzymywania się temperatury minimalnej przy gruncie poniżej 0°C (</w:t>
      </w:r>
      <w:r>
        <w:rPr>
          <w:spacing w:val="-4"/>
        </w:rPr>
        <w:t xml:space="preserve">tj. </w:t>
      </w:r>
      <w:r w:rsidRPr="006F2AE2">
        <w:rPr>
          <w:spacing w:val="-4"/>
        </w:rPr>
        <w:t>4 dni). Średnia miesięczn</w:t>
      </w:r>
      <w:r w:rsidR="0071435A">
        <w:rPr>
          <w:spacing w:val="-4"/>
        </w:rPr>
        <w:t>a suma opadów w wielkopolskim w </w:t>
      </w:r>
      <w:r w:rsidRPr="006F2AE2">
        <w:rPr>
          <w:spacing w:val="-4"/>
        </w:rPr>
        <w:t xml:space="preserve">październiku br. kształtowała się na poziomie 21,0 mm, co stanowiło 56% normy wieloletniej. Wysokość opadu znacznie poniżej normy odnotowały wszystkie stacje IMGW w województwie. Najwięcej deszczu spadło  w Pile – 24,3 mm, co stanowiło 63% normy wieloletniej, a najmniej w Lesznie – 16,9 </w:t>
      </w:r>
      <w:r>
        <w:rPr>
          <w:spacing w:val="-4"/>
        </w:rPr>
        <w:t>mm (tj. 44</w:t>
      </w:r>
      <w:r w:rsidRPr="006F2AE2">
        <w:rPr>
          <w:spacing w:val="-4"/>
        </w:rPr>
        <w:t xml:space="preserve">% normy). </w:t>
      </w:r>
      <w:r w:rsidRPr="00392F59">
        <w:rPr>
          <w:spacing w:val="-4"/>
        </w:rPr>
        <w:t xml:space="preserve">Liczba dni z opadami na obszarze wielkopolskiego </w:t>
      </w:r>
      <w:r>
        <w:rPr>
          <w:spacing w:val="-4"/>
        </w:rPr>
        <w:t>w </w:t>
      </w:r>
      <w:r w:rsidRPr="00392F59">
        <w:rPr>
          <w:spacing w:val="-4"/>
        </w:rPr>
        <w:t>październiku br. wahała się od 10 w Lesznie i Poznaniu do 14 w Pile.</w:t>
      </w:r>
      <w:r w:rsidRPr="003C3356">
        <w:rPr>
          <w:spacing w:val="-4"/>
        </w:rPr>
        <w:t xml:space="preserve"> </w:t>
      </w:r>
    </w:p>
    <w:p w:rsidR="000541A7" w:rsidRPr="00B10B28" w:rsidRDefault="000541A7" w:rsidP="000541A7">
      <w:r w:rsidRPr="00B10B28">
        <w:t>Pierwsza połowa października br. charakteryzowała się temperaturami</w:t>
      </w:r>
      <w:r>
        <w:t xml:space="preserve"> od 15</w:t>
      </w:r>
      <w:r w:rsidRPr="00862555">
        <w:t>°C</w:t>
      </w:r>
      <w:r>
        <w:t xml:space="preserve"> do 20</w:t>
      </w:r>
      <w:r w:rsidRPr="00862555">
        <w:t xml:space="preserve">°C </w:t>
      </w:r>
      <w:r w:rsidRPr="00B10B28">
        <w:t>oraz niewielkimi opadami. Druga część października była już bardzo sucha, a pod koniec miesiąca wystąpiły pierwsze lokalne, nocne przymrozki. Ciepła pogoda spowodowała, że wcześniej niż zwykle zebrano z pól kukurydzę oraz wykopano</w:t>
      </w:r>
      <w:r>
        <w:t xml:space="preserve"> w większości buraki cukrowe, a </w:t>
      </w:r>
      <w:r w:rsidRPr="00B10B28">
        <w:t>także pozostałe rośliny okopowe. Na gruntach tych, w optymalnym terminie przepro</w:t>
      </w:r>
      <w:r>
        <w:t>wadzono zasiewy zbóż ozimych, a </w:t>
      </w:r>
      <w:r w:rsidRPr="00B10B28">
        <w:t xml:space="preserve">warunki pogodowe sprzyjały ich wzrostowi. </w:t>
      </w:r>
    </w:p>
    <w:p w:rsidR="000541A7" w:rsidRPr="004C73CB" w:rsidRDefault="000541A7" w:rsidP="000541A7">
      <w:pPr>
        <w:rPr>
          <w:spacing w:val="-4"/>
        </w:rPr>
      </w:pPr>
      <w:r w:rsidRPr="009D31D0">
        <w:rPr>
          <w:spacing w:val="-4"/>
        </w:rPr>
        <w:t xml:space="preserve">W porównaniu z poprzednim miesiącem w październiku br. na rynku rolnym odnotowano spadek cen ziemniaków, żywca wieprzowego i drobiowego. Więcej niż we wrześniu br. płacono natomiast za pszenicę, żyto, żywiec wołowy i mleko. W skali roku wzrost cen w skupie dotyczył tylko żywca wołowego i </w:t>
      </w:r>
      <w:r w:rsidRPr="004C73CB">
        <w:rPr>
          <w:spacing w:val="-4"/>
        </w:rPr>
        <w:t>mleka. W obrocie targowiskowym w odniesieniu do września br. obserwowano wzrost cen większości badanych produktów rolnych, z wyjątkiem pszenicy i ziemniaków. W skali roku wzrost zanotow</w:t>
      </w:r>
      <w:r>
        <w:rPr>
          <w:spacing w:val="-4"/>
        </w:rPr>
        <w:t>a</w:t>
      </w:r>
      <w:r w:rsidRPr="004C73CB">
        <w:rPr>
          <w:spacing w:val="-4"/>
        </w:rPr>
        <w:t>no jedynie w przypadku owsa.</w:t>
      </w:r>
    </w:p>
    <w:p w:rsidR="000541A7" w:rsidRPr="00714B4A" w:rsidRDefault="000541A7" w:rsidP="000541A7">
      <w:pPr>
        <w:pStyle w:val="tekst"/>
        <w:rPr>
          <w:b/>
        </w:rPr>
      </w:pPr>
      <w:r w:rsidRPr="00714B4A">
        <w:t xml:space="preserve">W okresie od lipca do października br. </w:t>
      </w:r>
      <w:r w:rsidRPr="00714B4A">
        <w:rPr>
          <w:b/>
        </w:rPr>
        <w:t>skup zbóż podstawowych</w:t>
      </w:r>
      <w:r w:rsidRPr="00714B4A">
        <w:t xml:space="preserve"> (z mieszankami zbożowymi bez ziarna siewnego) od producentów z terenu województwa wielkopolskiego wyniósł łącznie 385,2 tys. ton, tj. o 29,3% mniej niż w analogicznym okresie poprzedniego roku. Podaż</w:t>
      </w:r>
      <w:r w:rsidRPr="00714B4A">
        <w:rPr>
          <w:b/>
        </w:rPr>
        <w:t xml:space="preserve"> pszenicy</w:t>
      </w:r>
      <w:r w:rsidRPr="00714B4A">
        <w:t xml:space="preserve"> w skali roku zmniejszyła się o 25,2%, a dostawy </w:t>
      </w:r>
      <w:r w:rsidRPr="00714B4A">
        <w:rPr>
          <w:b/>
        </w:rPr>
        <w:t>żyta</w:t>
      </w:r>
      <w:r w:rsidRPr="00714B4A">
        <w:t xml:space="preserve"> spadły o 17,5%.</w:t>
      </w:r>
    </w:p>
    <w:p w:rsidR="000541A7" w:rsidRPr="00391E1B" w:rsidRDefault="000541A7" w:rsidP="000541A7">
      <w:pPr>
        <w:pStyle w:val="Tytultabeli"/>
        <w:spacing w:before="240"/>
      </w:pPr>
      <w:bookmarkStart w:id="15" w:name="_Toc64884830"/>
      <w:bookmarkStart w:id="16" w:name="_Toc64884999"/>
      <w:bookmarkStart w:id="17" w:name="_Toc64891652"/>
      <w:r>
        <w:t>Tablica 4</w:t>
      </w:r>
      <w:r w:rsidRPr="00391E1B">
        <w:t>.</w:t>
      </w:r>
      <w:r w:rsidRPr="00391E1B">
        <w:tab/>
        <w:t>Skup</w:t>
      </w:r>
      <w:r w:rsidRPr="00391E1B">
        <w:rPr>
          <w:b w:val="0"/>
          <w:vertAlign w:val="superscript"/>
        </w:rPr>
        <w:t>a</w:t>
      </w:r>
      <w:r w:rsidRPr="00391E1B">
        <w:t xml:space="preserve"> zbóż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październik 2024 r.) oraz w okresie od lipca do października br. Dane do tablicy dostępne w pliku w formacie XLSX"/>
      </w:tblPr>
      <w:tblGrid>
        <w:gridCol w:w="3261"/>
        <w:gridCol w:w="1444"/>
        <w:gridCol w:w="1444"/>
        <w:gridCol w:w="1444"/>
        <w:gridCol w:w="1442"/>
        <w:gridCol w:w="1444"/>
      </w:tblGrid>
      <w:tr w:rsidR="000541A7" w:rsidRPr="003457E6" w:rsidTr="00D7441C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0541A7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07–10 2024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10 2024</w:t>
            </w:r>
          </w:p>
        </w:tc>
      </w:tr>
      <w:tr w:rsidR="000541A7" w:rsidRPr="003457E6" w:rsidTr="00D7441C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07–10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10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09 2024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0541A7" w:rsidRPr="003457E6" w:rsidTr="00D7441C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457E6" w:rsidRDefault="000541A7" w:rsidP="00D7441C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385,2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70,7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67,6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88,1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124,1</w:t>
            </w:r>
          </w:p>
        </w:tc>
      </w:tr>
      <w:tr w:rsidR="000541A7" w:rsidRPr="003457E6" w:rsidTr="00D7441C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0541A7" w:rsidRPr="003457E6" w:rsidRDefault="000541A7" w:rsidP="00D7441C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</w:p>
        </w:tc>
      </w:tr>
      <w:tr w:rsidR="000541A7" w:rsidRPr="003457E6" w:rsidTr="00D7441C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213,8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74,8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34,2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66,0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99,9</w:t>
            </w:r>
          </w:p>
        </w:tc>
      </w:tr>
      <w:tr w:rsidR="000541A7" w:rsidRPr="003457E6" w:rsidTr="00D7441C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3457E6" w:rsidRDefault="000541A7" w:rsidP="00D7441C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40,2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82,5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5,2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75,4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904141" w:rsidRDefault="000541A7" w:rsidP="00D7441C">
            <w:pPr>
              <w:pStyle w:val="tableteksttab"/>
            </w:pPr>
            <w:r w:rsidRPr="00FD5755">
              <w:t>108,8</w:t>
            </w:r>
          </w:p>
        </w:tc>
      </w:tr>
    </w:tbl>
    <w:p w:rsidR="000541A7" w:rsidRPr="00391E1B" w:rsidRDefault="000541A7" w:rsidP="000541A7">
      <w:pPr>
        <w:pStyle w:val="notka"/>
      </w:pPr>
      <w:r w:rsidRPr="00391E1B">
        <w:t>a Bez skupu realizowanego przez osoby fizyczne. b Obejmuje: pszenicę, żyto, jęczmień, owies, pszenżyto; łącznie z mieszankami zbożowymi; bez ziarna siewnego.</w:t>
      </w:r>
    </w:p>
    <w:p w:rsidR="000541A7" w:rsidRPr="00661DF8" w:rsidRDefault="000541A7" w:rsidP="002D0756">
      <w:pPr>
        <w:pStyle w:val="tekst"/>
        <w:spacing w:before="240"/>
        <w:rPr>
          <w:spacing w:val="-4"/>
        </w:rPr>
      </w:pPr>
      <w:r w:rsidRPr="00661DF8">
        <w:rPr>
          <w:spacing w:val="-4"/>
        </w:rPr>
        <w:t xml:space="preserve">W październiku br. skup zbóż podstawowych (z mieszankami zbożowymi bez ziarna siewnego) od producentów z terenu województwa wielkopolskiego wyniósł łącznie 67,6 tys. ton i był o 24,1% większy niż w wrześniu br., a w stosunku do analogicznego miesiąca ub. roku zmniejszył się o 11,9%. W przypadku pszenicy podaż spadła o 0,1% w skali miesiąca i o 34,0% w stosunku </w:t>
      </w:r>
      <w:r w:rsidRPr="00661DF8">
        <w:rPr>
          <w:spacing w:val="-4"/>
        </w:rPr>
        <w:lastRenderedPageBreak/>
        <w:t>rocznym. Dostawy żyta zwiększyły się w relacji do poprzedniego miesiąca o 8,8%, a w porównaniu z październikiem ub</w:t>
      </w:r>
      <w:r w:rsidR="002D0756">
        <w:rPr>
          <w:spacing w:val="-4"/>
        </w:rPr>
        <w:t xml:space="preserve">. </w:t>
      </w:r>
      <w:r w:rsidRPr="00661DF8">
        <w:rPr>
          <w:spacing w:val="-4"/>
        </w:rPr>
        <w:t>r</w:t>
      </w:r>
      <w:r w:rsidR="002D0756">
        <w:rPr>
          <w:spacing w:val="-4"/>
        </w:rPr>
        <w:t>oku</w:t>
      </w:r>
      <w:r w:rsidRPr="00661DF8">
        <w:rPr>
          <w:spacing w:val="-4"/>
        </w:rPr>
        <w:t xml:space="preserve"> zmniejszyły się o 24,6%. </w:t>
      </w:r>
    </w:p>
    <w:p w:rsidR="000541A7" w:rsidRPr="00EA4C28" w:rsidRDefault="000541A7" w:rsidP="000541A7">
      <w:pPr>
        <w:pStyle w:val="tekst"/>
        <w:rPr>
          <w:spacing w:val="-4"/>
        </w:rPr>
      </w:pPr>
      <w:r w:rsidRPr="00EA4C28">
        <w:rPr>
          <w:spacing w:val="-4"/>
        </w:rPr>
        <w:t xml:space="preserve">W okresie styczeń-październik br. producenci z województwa dostarczyli do </w:t>
      </w:r>
      <w:r w:rsidRPr="00EA4C28">
        <w:rPr>
          <w:b/>
          <w:spacing w:val="-4"/>
        </w:rPr>
        <w:t>skupu</w:t>
      </w:r>
      <w:r w:rsidRPr="00EA4C28">
        <w:rPr>
          <w:spacing w:val="-4"/>
        </w:rPr>
        <w:t xml:space="preserve"> łącznie 695,8 tys. ton </w:t>
      </w:r>
      <w:r w:rsidRPr="00EA4C28">
        <w:rPr>
          <w:b/>
          <w:spacing w:val="-4"/>
        </w:rPr>
        <w:t>żywca rzeźnego</w:t>
      </w:r>
      <w:r>
        <w:rPr>
          <w:spacing w:val="-4"/>
        </w:rPr>
        <w:t xml:space="preserve"> (w </w:t>
      </w:r>
      <w:r w:rsidRPr="00EA4C28">
        <w:rPr>
          <w:spacing w:val="-4"/>
        </w:rPr>
        <w:t xml:space="preserve">wadze poubojowej ciepłej), tj. o 7,5% więcej niż w analogicznym okresie ub. roku. Wzrost podaży dotyczył tylko </w:t>
      </w:r>
      <w:r w:rsidRPr="00EA4C28">
        <w:rPr>
          <w:b/>
          <w:spacing w:val="-4"/>
        </w:rPr>
        <w:t>drobiu rzeźnego</w:t>
      </w:r>
      <w:r w:rsidRPr="00EA4C28">
        <w:rPr>
          <w:spacing w:val="-4"/>
        </w:rPr>
        <w:t>, która w skali roku</w:t>
      </w:r>
      <w:r w:rsidRPr="00EA4C28">
        <w:rPr>
          <w:b/>
          <w:spacing w:val="-4"/>
        </w:rPr>
        <w:t xml:space="preserve"> </w:t>
      </w:r>
      <w:r w:rsidRPr="00EA4C28">
        <w:rPr>
          <w:spacing w:val="-4"/>
        </w:rPr>
        <w:t xml:space="preserve">zwiększyła się o 22,9%. Skup </w:t>
      </w:r>
      <w:r w:rsidRPr="00EA4C28">
        <w:rPr>
          <w:b/>
          <w:spacing w:val="-4"/>
        </w:rPr>
        <w:t>żywca wieprzowego</w:t>
      </w:r>
      <w:r w:rsidRPr="00EA4C28">
        <w:rPr>
          <w:spacing w:val="-4"/>
        </w:rPr>
        <w:t xml:space="preserve"> zmniejszył się w tym czasie o 3,9%, a dostawy </w:t>
      </w:r>
      <w:r w:rsidRPr="00EA4C28">
        <w:rPr>
          <w:b/>
          <w:spacing w:val="-4"/>
        </w:rPr>
        <w:t>żywca wołowego</w:t>
      </w:r>
      <w:r w:rsidRPr="00EA4C28">
        <w:rPr>
          <w:spacing w:val="-4"/>
        </w:rPr>
        <w:t xml:space="preserve"> (z cielęcym) </w:t>
      </w:r>
      <w:r>
        <w:rPr>
          <w:spacing w:val="-4"/>
        </w:rPr>
        <w:t>o 0,4</w:t>
      </w:r>
      <w:r w:rsidRPr="00EA4C28">
        <w:rPr>
          <w:spacing w:val="-4"/>
        </w:rPr>
        <w:t xml:space="preserve">%. </w:t>
      </w:r>
    </w:p>
    <w:p w:rsidR="000541A7" w:rsidRPr="00BD5431" w:rsidRDefault="000541A7" w:rsidP="000541A7">
      <w:pPr>
        <w:pStyle w:val="tekst"/>
        <w:rPr>
          <w:spacing w:val="-4"/>
        </w:rPr>
      </w:pPr>
      <w:r w:rsidRPr="00C951CD">
        <w:rPr>
          <w:spacing w:val="-4"/>
        </w:rPr>
        <w:t xml:space="preserve">W październiku br. skup żywca rzeźnego wyniósł 71,9 tys. ton i był większy zarówno w odniesieniu do września br. – o 21,1%, jak i przed rokiem – o 10,2%. W porównaniu z poprzednim miesiącem skup drobiu zwiększył się o 27,2%, a w relacji do października ub. roku – o 14,4%. W przypadku żywca wieprzowego wzrost dostaw był mniejszy i wyniósł odpowiednio 15,6% oraz 6,9%. </w:t>
      </w:r>
      <w:r w:rsidRPr="00BD5431">
        <w:rPr>
          <w:spacing w:val="-4"/>
        </w:rPr>
        <w:t>Podaż żywca wołowego zwiększyła</w:t>
      </w:r>
      <w:r>
        <w:rPr>
          <w:spacing w:val="-4"/>
        </w:rPr>
        <w:t xml:space="preserve"> się</w:t>
      </w:r>
      <w:r w:rsidRPr="00BD5431">
        <w:rPr>
          <w:spacing w:val="-4"/>
        </w:rPr>
        <w:t xml:space="preserve"> </w:t>
      </w:r>
      <w:r>
        <w:rPr>
          <w:spacing w:val="-4"/>
        </w:rPr>
        <w:t xml:space="preserve">w tym czasie </w:t>
      </w:r>
      <w:r w:rsidRPr="00BD5431">
        <w:rPr>
          <w:spacing w:val="-4"/>
        </w:rPr>
        <w:t xml:space="preserve">odpowiednio </w:t>
      </w:r>
      <w:r>
        <w:rPr>
          <w:spacing w:val="-4"/>
        </w:rPr>
        <w:t xml:space="preserve">o </w:t>
      </w:r>
      <w:r w:rsidRPr="00BD5431">
        <w:rPr>
          <w:spacing w:val="-4"/>
        </w:rPr>
        <w:t xml:space="preserve">13,5% </w:t>
      </w:r>
      <w:r>
        <w:rPr>
          <w:spacing w:val="-4"/>
        </w:rPr>
        <w:t>i</w:t>
      </w:r>
      <w:r w:rsidRPr="00BD5431">
        <w:rPr>
          <w:spacing w:val="-4"/>
        </w:rPr>
        <w:t xml:space="preserve"> </w:t>
      </w:r>
      <w:r>
        <w:rPr>
          <w:spacing w:val="-4"/>
        </w:rPr>
        <w:t xml:space="preserve">o </w:t>
      </w:r>
      <w:r w:rsidRPr="00BD5431">
        <w:rPr>
          <w:spacing w:val="-4"/>
        </w:rPr>
        <w:t xml:space="preserve">2,8%. </w:t>
      </w:r>
    </w:p>
    <w:p w:rsidR="000541A7" w:rsidRPr="00391E1B" w:rsidRDefault="000541A7" w:rsidP="000541A7">
      <w:pPr>
        <w:pStyle w:val="Tytultabeli"/>
        <w:spacing w:before="240"/>
      </w:pPr>
      <w:r w:rsidRPr="00391E1B">
        <w:t xml:space="preserve">Tablica </w:t>
      </w:r>
      <w:r>
        <w:t>5</w:t>
      </w:r>
      <w:r w:rsidRPr="00391E1B">
        <w:t>.</w:t>
      </w:r>
      <w:r w:rsidRPr="00391E1B">
        <w:tab/>
        <w:t>Skup</w:t>
      </w:r>
      <w:r w:rsidRPr="00391E1B">
        <w:rPr>
          <w:b w:val="0"/>
          <w:vertAlign w:val="superscript"/>
        </w:rPr>
        <w:t>a</w:t>
      </w:r>
      <w:r w:rsidRPr="00391E1B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październik br.) i w okresie narastającym (styczeń-październik br.), a także dynamikę skupu w 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0541A7" w:rsidRPr="00391E1B" w:rsidTr="00D7441C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541A7" w:rsidRPr="00391E1B" w:rsidRDefault="000541A7" w:rsidP="00D7441C">
            <w:pPr>
              <w:pStyle w:val="glowka1"/>
              <w:rPr>
                <w:spacing w:val="-2"/>
              </w:rPr>
            </w:pPr>
            <w:r w:rsidRPr="00391E1B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glowka1"/>
            </w:pPr>
            <w:r w:rsidRPr="00391E1B">
              <w:t>01–</w:t>
            </w:r>
            <w:r>
              <w:t>1</w:t>
            </w:r>
            <w:r w:rsidRPr="00391E1B">
              <w:t>0 2024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541A7" w:rsidRPr="00391E1B" w:rsidRDefault="000541A7" w:rsidP="00D7441C">
            <w:pPr>
              <w:pStyle w:val="glowka1"/>
              <w:rPr>
                <w:spacing w:val="-2"/>
              </w:rPr>
            </w:pPr>
            <w:r>
              <w:t>1</w:t>
            </w:r>
            <w:r w:rsidRPr="00391E1B">
              <w:t>0 2024</w:t>
            </w:r>
          </w:p>
        </w:tc>
      </w:tr>
      <w:tr w:rsidR="000541A7" w:rsidRPr="00391E1B" w:rsidTr="00D7441C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0541A7" w:rsidRPr="00391E1B" w:rsidRDefault="000541A7" w:rsidP="00D7441C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0541A7" w:rsidRPr="00391E1B" w:rsidRDefault="000541A7" w:rsidP="00D7441C">
            <w:pPr>
              <w:pStyle w:val="glowka1"/>
            </w:pPr>
            <w:r w:rsidRPr="00391E1B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0541A7" w:rsidRPr="00391E1B" w:rsidRDefault="000541A7" w:rsidP="00D7441C">
            <w:pPr>
              <w:pStyle w:val="glowka1"/>
            </w:pPr>
            <w:r w:rsidRPr="00391E1B">
              <w:t>01–</w:t>
            </w:r>
            <w:r>
              <w:t>1</w:t>
            </w:r>
            <w:r w:rsidRPr="00391E1B">
              <w:t>0 2023=100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541A7" w:rsidRPr="00391E1B" w:rsidRDefault="000541A7" w:rsidP="00D7441C">
            <w:pPr>
              <w:pStyle w:val="glowka1"/>
              <w:rPr>
                <w:spacing w:val="-2"/>
              </w:rPr>
            </w:pPr>
            <w:r w:rsidRPr="00391E1B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0541A7" w:rsidRPr="00391E1B" w:rsidRDefault="000541A7" w:rsidP="00D7441C">
            <w:pPr>
              <w:pStyle w:val="glowka1"/>
            </w:pPr>
            <w:r>
              <w:t>1</w:t>
            </w:r>
            <w:r w:rsidRPr="00391E1B">
              <w:t>0 2023=100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0541A7" w:rsidRPr="00391E1B" w:rsidRDefault="000541A7" w:rsidP="00D7441C">
            <w:pPr>
              <w:pStyle w:val="glowka1"/>
            </w:pPr>
            <w:r w:rsidRPr="00391E1B">
              <w:t>0</w:t>
            </w:r>
            <w:r>
              <w:t>9</w:t>
            </w:r>
            <w:r w:rsidRPr="00391E1B">
              <w:t xml:space="preserve"> 2024=100</w:t>
            </w:r>
          </w:p>
        </w:tc>
      </w:tr>
      <w:tr w:rsidR="000541A7" w:rsidRPr="00391E1B" w:rsidTr="00D7441C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0541A7" w:rsidRPr="00391E1B" w:rsidRDefault="000541A7" w:rsidP="00D7441C">
            <w:pPr>
              <w:pStyle w:val="boczek1"/>
            </w:pPr>
            <w:r w:rsidRPr="00391E1B">
              <w:t>Żywiec rzeźny</w:t>
            </w:r>
            <w:r w:rsidRPr="00391E1B">
              <w:rPr>
                <w:vertAlign w:val="superscript"/>
              </w:rPr>
              <w:t>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695,8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107,5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0541A7" w:rsidRDefault="000541A7" w:rsidP="00D7441C">
            <w:pPr>
              <w:pStyle w:val="tableteksttab"/>
              <w:rPr>
                <w:color w:val="auto"/>
              </w:rPr>
            </w:pPr>
            <w:r w:rsidRPr="002D6B76">
              <w:rPr>
                <w:color w:val="auto"/>
              </w:rPr>
              <w:t>71,9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110,2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121,1</w:t>
            </w:r>
          </w:p>
        </w:tc>
      </w:tr>
      <w:tr w:rsidR="000541A7" w:rsidRPr="00391E1B" w:rsidTr="00D7441C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0541A7" w:rsidRPr="00391E1B" w:rsidRDefault="000541A7" w:rsidP="00D7441C">
            <w:pPr>
              <w:pStyle w:val="boczekbez"/>
            </w:pPr>
            <w:r w:rsidRPr="00391E1B">
              <w:tab/>
              <w:t>w tym:</w:t>
            </w: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0541A7" w:rsidRDefault="000541A7" w:rsidP="00D7441C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</w:p>
        </w:tc>
      </w:tr>
      <w:tr w:rsidR="000541A7" w:rsidRPr="00391E1B" w:rsidTr="00D7441C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wołowy (z cielęcym)</w:t>
            </w:r>
            <w:r w:rsidRPr="00391E1B">
              <w:tab/>
            </w: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82,5</w:t>
            </w: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99,6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0541A7" w:rsidRDefault="000541A7" w:rsidP="00D7441C">
            <w:pPr>
              <w:pStyle w:val="tableteksttab"/>
              <w:rPr>
                <w:color w:val="auto"/>
              </w:rPr>
            </w:pPr>
            <w:r w:rsidRPr="002D6B76">
              <w:rPr>
                <w:color w:val="auto"/>
              </w:rPr>
              <w:t>7,6</w:t>
            </w: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102,8</w:t>
            </w:r>
          </w:p>
        </w:tc>
        <w:tc>
          <w:tcPr>
            <w:tcW w:w="1546" w:type="dxa"/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113,5</w:t>
            </w:r>
          </w:p>
        </w:tc>
      </w:tr>
      <w:tr w:rsidR="000541A7" w:rsidRPr="00391E1B" w:rsidTr="00D7441C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wieprzowy</w:t>
            </w:r>
            <w:r w:rsidRPr="00391E1B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288,4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96,1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0541A7" w:rsidRDefault="000541A7" w:rsidP="00D7441C">
            <w:pPr>
              <w:pStyle w:val="tableteksttab"/>
              <w:rPr>
                <w:color w:val="auto"/>
              </w:rPr>
            </w:pPr>
            <w:r w:rsidRPr="002D6B76">
              <w:rPr>
                <w:color w:val="auto"/>
              </w:rPr>
              <w:t>27,1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106,9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115,6</w:t>
            </w:r>
          </w:p>
        </w:tc>
      </w:tr>
      <w:tr w:rsidR="000541A7" w:rsidRPr="00391E1B" w:rsidTr="00D7441C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drobiowy</w:t>
            </w:r>
            <w:r w:rsidRPr="00391E1B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324,6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122,9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41A7" w:rsidRDefault="000541A7" w:rsidP="00D7441C">
            <w:pPr>
              <w:pStyle w:val="tableteksttab"/>
              <w:rPr>
                <w:color w:val="auto"/>
              </w:rPr>
            </w:pPr>
            <w:r w:rsidRPr="002D6B76">
              <w:rPr>
                <w:color w:val="auto"/>
              </w:rPr>
              <w:t>37,2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114,4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127,2</w:t>
            </w:r>
          </w:p>
        </w:tc>
      </w:tr>
      <w:tr w:rsidR="000541A7" w:rsidRPr="00391E1B" w:rsidTr="00D7441C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0541A7" w:rsidRPr="00391E1B" w:rsidRDefault="000541A7" w:rsidP="00D7441C">
            <w:pPr>
              <w:pStyle w:val="boczek1"/>
            </w:pPr>
            <w:r w:rsidRPr="00391E1B">
              <w:t>Mleko</w:t>
            </w:r>
            <w:r w:rsidRPr="00391E1B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2005,8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106,9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0541A7" w:rsidRDefault="000541A7" w:rsidP="00D7441C">
            <w:pPr>
              <w:pStyle w:val="tableteksttab"/>
              <w:rPr>
                <w:color w:val="auto"/>
              </w:rPr>
            </w:pPr>
            <w:r w:rsidRPr="002D6B76">
              <w:rPr>
                <w:color w:val="auto"/>
              </w:rPr>
              <w:t>189,7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106,7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0541A7" w:rsidRDefault="000541A7" w:rsidP="00D7441C">
            <w:pPr>
              <w:pStyle w:val="tableteksttab"/>
            </w:pPr>
            <w:r w:rsidRPr="002D6B76">
              <w:t>101,5</w:t>
            </w:r>
          </w:p>
        </w:tc>
      </w:tr>
    </w:tbl>
    <w:p w:rsidR="000541A7" w:rsidRPr="00391E1B" w:rsidRDefault="000541A7" w:rsidP="000541A7">
      <w:pPr>
        <w:pStyle w:val="notka"/>
      </w:pPr>
      <w:r w:rsidRPr="00391E1B">
        <w:t xml:space="preserve">a </w:t>
      </w:r>
      <w:r>
        <w:t>W okresie 07-10 2024 r. b</w:t>
      </w:r>
      <w:r w:rsidRPr="00391E1B">
        <w:t>ez skupu realizowanego przez osoby fizyczne. b Obejmuje: bydło, cielęta, trzodę chlewną, owce, konie i drób; w przeliczeniu na mięso (łącznie z tłuszczami), w wadze poubojowej ciepłej. c W mln litrów.</w:t>
      </w:r>
    </w:p>
    <w:p w:rsidR="000541A7" w:rsidRPr="00426F35" w:rsidRDefault="000541A7" w:rsidP="004A6C02">
      <w:pPr>
        <w:pStyle w:val="tekst"/>
        <w:spacing w:before="240"/>
        <w:rPr>
          <w:szCs w:val="19"/>
          <w:highlight w:val="yellow"/>
        </w:rPr>
      </w:pPr>
      <w:r w:rsidRPr="00E61E91">
        <w:rPr>
          <w:szCs w:val="19"/>
        </w:rPr>
        <w:t xml:space="preserve">Za </w:t>
      </w:r>
      <w:r w:rsidRPr="00E61E91">
        <w:rPr>
          <w:b/>
          <w:szCs w:val="19"/>
        </w:rPr>
        <w:t>ziarno zbóż podstawowych w skupie</w:t>
      </w:r>
      <w:r w:rsidRPr="00E61E91">
        <w:rPr>
          <w:szCs w:val="19"/>
        </w:rPr>
        <w:t xml:space="preserve"> w październiku br. płacono producentom średnio 82,49 zł za 1 dt, tj. o 2,8% więcej niż w poprzednim miesiącu, ale o 1,7% mniej niż przed rokiem.</w:t>
      </w:r>
      <w:r w:rsidRPr="00E61E91">
        <w:rPr>
          <w:b/>
          <w:szCs w:val="19"/>
        </w:rPr>
        <w:t xml:space="preserve"> Cena skupu 1 dt pszenicy</w:t>
      </w:r>
      <w:r w:rsidRPr="00E61E91">
        <w:rPr>
          <w:szCs w:val="19"/>
        </w:rPr>
        <w:t xml:space="preserve"> wyniosła 87,40 zł i kształtowała się o 1,1% wyżej niż w</w:t>
      </w:r>
      <w:r>
        <w:rPr>
          <w:szCs w:val="19"/>
        </w:rPr>
        <w:t>e</w:t>
      </w:r>
      <w:r w:rsidRPr="00E61E91">
        <w:rPr>
          <w:szCs w:val="19"/>
        </w:rPr>
        <w:t xml:space="preserve"> wrześniu br., ale o 2,4% niżej aniżeli w październiku ub. roku</w:t>
      </w:r>
      <w:r w:rsidRPr="00426F35">
        <w:rPr>
          <w:szCs w:val="19"/>
        </w:rPr>
        <w:t xml:space="preserve">. Przeciętna </w:t>
      </w:r>
      <w:r w:rsidRPr="00426F35">
        <w:rPr>
          <w:b/>
          <w:szCs w:val="19"/>
        </w:rPr>
        <w:t>cena targowiskowa 1 dt pszenicy</w:t>
      </w:r>
      <w:r w:rsidRPr="00426F35">
        <w:rPr>
          <w:szCs w:val="19"/>
        </w:rPr>
        <w:t xml:space="preserve"> wynosiła 110,74 zł i była niższa o 0,2% od notowanej przed miesiącem, a o 8,8% od ceny ubiegłorocznej. </w:t>
      </w:r>
    </w:p>
    <w:p w:rsidR="000541A7" w:rsidRPr="00426F35" w:rsidRDefault="000541A7" w:rsidP="000541A7">
      <w:pPr>
        <w:pStyle w:val="tekst"/>
        <w:spacing w:after="240"/>
      </w:pPr>
      <w:r w:rsidRPr="00E61E91">
        <w:rPr>
          <w:szCs w:val="19"/>
        </w:rPr>
        <w:t xml:space="preserve">Za </w:t>
      </w:r>
      <w:r w:rsidRPr="00E61E91">
        <w:rPr>
          <w:b/>
          <w:szCs w:val="19"/>
        </w:rPr>
        <w:t>1 dt żyta w skupie</w:t>
      </w:r>
      <w:r w:rsidRPr="00E61E91">
        <w:rPr>
          <w:szCs w:val="19"/>
        </w:rPr>
        <w:t xml:space="preserve"> w październiku br. płacono 61,17 zł, tj. o 4,6% więcej niż we wrześniu br., ale o 4,7% mniej niż w październiku ub. roku</w:t>
      </w:r>
      <w:r w:rsidRPr="00426F35">
        <w:rPr>
          <w:szCs w:val="19"/>
        </w:rPr>
        <w:t>. Na targowiskach cena żyta kształtowała się na poziomie 88,16 zł za 1 dt, tj. o 6,5% wyżej przed miesiącem oraz o 6,1% niżej niż przed rokiem.</w:t>
      </w:r>
    </w:p>
    <w:p w:rsidR="000541A7" w:rsidRPr="00391E1B" w:rsidRDefault="000541A7" w:rsidP="000541A7">
      <w:pPr>
        <w:pStyle w:val="Tytultabeli"/>
        <w:spacing w:before="240"/>
      </w:pPr>
      <w:r w:rsidRPr="00391E1B">
        <w:t xml:space="preserve">Tablica </w:t>
      </w:r>
      <w:r>
        <w:t>6</w:t>
      </w:r>
      <w:r w:rsidRPr="00391E1B">
        <w:t>.</w:t>
      </w:r>
      <w:r w:rsidRPr="00391E1B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październik br.) i w okresie narastającym (styczeń-październik br.) oraz ich dynamikę w 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2"/>
      </w:tblGrid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Na targowiskach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>
              <w:t>10</w:t>
            </w:r>
            <w:r w:rsidRPr="00391E1B">
              <w:t xml:space="preserve"> 2024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01–</w:t>
            </w:r>
            <w:r>
              <w:t>1</w:t>
            </w:r>
            <w:r w:rsidRPr="00391E1B">
              <w:t>0 2024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>
              <w:t>1</w:t>
            </w:r>
            <w:r w:rsidRPr="00391E1B">
              <w:t>0 2024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01–</w:t>
            </w:r>
            <w:r>
              <w:t>1</w:t>
            </w:r>
            <w:r w:rsidRPr="00391E1B">
              <w:t>0 2024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>
              <w:t>1</w:t>
            </w:r>
            <w:r w:rsidRPr="00391E1B">
              <w:t>0 2023=100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0</w:t>
            </w:r>
            <w:r>
              <w:t>9</w:t>
            </w:r>
            <w:r w:rsidRPr="00391E1B"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>
              <w:t>01–10</w:t>
            </w:r>
            <w:r w:rsidRPr="00391E1B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>
              <w:t>1</w:t>
            </w:r>
            <w:r w:rsidRPr="00391E1B">
              <w:t>0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0</w:t>
            </w:r>
            <w:r>
              <w:t>9</w:t>
            </w:r>
            <w:r w:rsidRPr="00391E1B"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541A7" w:rsidRPr="00391E1B" w:rsidRDefault="000541A7" w:rsidP="00D7441C">
            <w:pPr>
              <w:pStyle w:val="glowka1"/>
            </w:pPr>
            <w:r w:rsidRPr="00391E1B">
              <w:t>01–</w:t>
            </w:r>
            <w:r>
              <w:t>1</w:t>
            </w:r>
            <w:r w:rsidRPr="00391E1B">
              <w:t>0 2023=100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boczek1"/>
            </w:pPr>
            <w:r w:rsidRPr="00391E1B">
              <w:t>Ziarno zbóż</w:t>
            </w:r>
            <w:r w:rsidRPr="00391E1B">
              <w:rPr>
                <w:vertAlign w:val="superscript"/>
              </w:rPr>
              <w:t>a</w:t>
            </w:r>
            <w:r w:rsidRPr="00391E1B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87,40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97,6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101,1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8A3B48">
              <w:t>81,59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8A3B48">
              <w:t>79,1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110,74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91,2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99,8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115,87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79,7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61,17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95,3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104,6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55,18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73,9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88,16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93,9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106,5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96,11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82,0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541A7" w:rsidRPr="00391E1B" w:rsidRDefault="000541A7" w:rsidP="00D7441C">
            <w:pPr>
              <w:pStyle w:val="boczek1"/>
            </w:pPr>
            <w:r>
              <w:t>Ziemniaki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57,92</w:t>
            </w:r>
          </w:p>
        </w:tc>
        <w:tc>
          <w:tcPr>
            <w:tcW w:w="419" w:type="pct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82,6</w:t>
            </w:r>
          </w:p>
        </w:tc>
        <w:tc>
          <w:tcPr>
            <w:tcW w:w="420" w:type="pct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92,3</w:t>
            </w: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97,02</w:t>
            </w: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91,6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218,72</w:t>
            </w:r>
          </w:p>
        </w:tc>
        <w:tc>
          <w:tcPr>
            <w:tcW w:w="419" w:type="pct"/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91,6</w:t>
            </w:r>
          </w:p>
        </w:tc>
        <w:tc>
          <w:tcPr>
            <w:tcW w:w="419" w:type="pct"/>
            <w:vAlign w:val="center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96,3</w:t>
            </w:r>
          </w:p>
        </w:tc>
        <w:tc>
          <w:tcPr>
            <w:tcW w:w="419" w:type="pct"/>
            <w:vAlign w:val="bottom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243,68</w:t>
            </w:r>
          </w:p>
        </w:tc>
        <w:tc>
          <w:tcPr>
            <w:tcW w:w="416" w:type="pct"/>
            <w:vAlign w:val="bottom"/>
          </w:tcPr>
          <w:p w:rsidR="000541A7" w:rsidRPr="00E134C0" w:rsidRDefault="000541A7" w:rsidP="00D7441C">
            <w:pPr>
              <w:pStyle w:val="tableteksttab"/>
              <w:rPr>
                <w:color w:val="auto"/>
              </w:rPr>
            </w:pPr>
            <w:r w:rsidRPr="00E134C0">
              <w:rPr>
                <w:color w:val="auto"/>
              </w:rPr>
              <w:t>113,4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541A7" w:rsidRPr="00391E1B" w:rsidRDefault="000541A7" w:rsidP="00D7441C">
            <w:pPr>
              <w:pStyle w:val="boczek1"/>
            </w:pPr>
            <w:r w:rsidRPr="00391E1B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541A7" w:rsidRPr="00217FCB" w:rsidRDefault="000541A7" w:rsidP="00D7441C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0541A7" w:rsidRPr="00217FCB" w:rsidRDefault="000541A7" w:rsidP="00D7441C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0541A7" w:rsidRPr="00217FCB" w:rsidRDefault="000541A7" w:rsidP="00D7441C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</w:p>
        </w:tc>
        <w:tc>
          <w:tcPr>
            <w:tcW w:w="416" w:type="pct"/>
          </w:tcPr>
          <w:p w:rsidR="000541A7" w:rsidRPr="00391E1B" w:rsidRDefault="000541A7" w:rsidP="00D7441C">
            <w:pPr>
              <w:pStyle w:val="tableteksttab"/>
            </w:pP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10,63</w:t>
            </w:r>
          </w:p>
        </w:tc>
        <w:tc>
          <w:tcPr>
            <w:tcW w:w="419" w:type="pct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104,2</w:t>
            </w:r>
          </w:p>
        </w:tc>
        <w:tc>
          <w:tcPr>
            <w:tcW w:w="420" w:type="pct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102,5</w:t>
            </w: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10,51</w:t>
            </w: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98,3</w:t>
            </w:r>
          </w:p>
        </w:tc>
        <w:tc>
          <w:tcPr>
            <w:tcW w:w="419" w:type="pct"/>
            <w:shd w:val="clear" w:color="auto" w:fill="auto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6,82</w:t>
            </w:r>
          </w:p>
        </w:tc>
        <w:tc>
          <w:tcPr>
            <w:tcW w:w="419" w:type="pct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85,0</w:t>
            </w:r>
          </w:p>
        </w:tc>
        <w:tc>
          <w:tcPr>
            <w:tcW w:w="420" w:type="pct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94,7</w:t>
            </w: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7,29</w:t>
            </w:r>
          </w:p>
        </w:tc>
        <w:tc>
          <w:tcPr>
            <w:tcW w:w="419" w:type="pct"/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84,3</w:t>
            </w:r>
          </w:p>
        </w:tc>
        <w:tc>
          <w:tcPr>
            <w:tcW w:w="419" w:type="pct"/>
            <w:shd w:val="clear" w:color="auto" w:fill="auto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</w:tr>
      <w:tr w:rsidR="000541A7" w:rsidRPr="00391E1B" w:rsidTr="00D7441C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0541A7" w:rsidRPr="00391E1B" w:rsidRDefault="000541A7" w:rsidP="00D7441C">
            <w:pPr>
              <w:pStyle w:val="boczek2"/>
            </w:pPr>
            <w:r w:rsidRPr="00391E1B"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5,46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97,0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97,7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5,24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88,0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</w:tr>
      <w:tr w:rsidR="000541A7" w:rsidRPr="00391E1B" w:rsidTr="00D7441C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391E1B" w:rsidRDefault="000541A7" w:rsidP="00D7441C">
            <w:pPr>
              <w:pStyle w:val="boczek1"/>
            </w:pPr>
            <w:r w:rsidRPr="00391E1B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216,07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113,1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0541A7" w:rsidRPr="00217FCB" w:rsidRDefault="000541A7" w:rsidP="00D7441C">
            <w:pPr>
              <w:pStyle w:val="tableteksttab"/>
            </w:pPr>
            <w:r w:rsidRPr="003C6E54">
              <w:t>105,5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200,68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0541A7" w:rsidRPr="00217FCB" w:rsidRDefault="000541A7" w:rsidP="00D7441C">
            <w:pPr>
              <w:pStyle w:val="tableteksttab"/>
            </w:pPr>
            <w:r w:rsidRPr="008A3B48">
              <w:t>97,7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0541A7" w:rsidRPr="00391E1B" w:rsidRDefault="000541A7" w:rsidP="00D7441C">
            <w:pPr>
              <w:pStyle w:val="tableteksttab"/>
            </w:pPr>
            <w:r w:rsidRPr="00391E1B">
              <w:t>.</w:t>
            </w:r>
          </w:p>
        </w:tc>
      </w:tr>
    </w:tbl>
    <w:p w:rsidR="000541A7" w:rsidRPr="00391E1B" w:rsidRDefault="000541A7" w:rsidP="000541A7">
      <w:pPr>
        <w:pStyle w:val="notka"/>
      </w:pPr>
      <w:r>
        <w:t xml:space="preserve">a </w:t>
      </w:r>
      <w:r w:rsidRPr="008244FD">
        <w:t xml:space="preserve">W skupie bez ziarna siewnego. </w:t>
      </w:r>
      <w:r>
        <w:t>b</w:t>
      </w:r>
      <w:r w:rsidRPr="008244FD">
        <w:t xml:space="preserve"> Na targowiskach – jadalne późne.</w:t>
      </w:r>
    </w:p>
    <w:p w:rsidR="000541A7" w:rsidRPr="00DD0624" w:rsidRDefault="000541A7" w:rsidP="004A6C02">
      <w:pPr>
        <w:pStyle w:val="tekst"/>
        <w:spacing w:before="240"/>
      </w:pPr>
      <w:r w:rsidRPr="00DD0624">
        <w:t xml:space="preserve">Za </w:t>
      </w:r>
      <w:r w:rsidRPr="00DD0624">
        <w:rPr>
          <w:b/>
        </w:rPr>
        <w:t>1 dt jęczmienia w obrocie targowiskowym</w:t>
      </w:r>
      <w:r w:rsidRPr="00DD0624">
        <w:t xml:space="preserve"> w październiku br. płacono 99,81 zł, tj. o 0,7% więcej niż we wrześniu br. i o 7,2% mniej niż rok wcześniej. Cena </w:t>
      </w:r>
      <w:r w:rsidRPr="00DD0624">
        <w:rPr>
          <w:b/>
        </w:rPr>
        <w:t>owsa</w:t>
      </w:r>
      <w:r w:rsidRPr="00DD0624">
        <w:t xml:space="preserve"> na wolnym rynku ukształtowała się na poziomie 108,68 zł za 1 dt, tj. o 2,6% wyżej niż przed miesiącem, a także o 1,8% wyżej niż w październiku ub. roku.</w:t>
      </w:r>
    </w:p>
    <w:p w:rsidR="000541A7" w:rsidRPr="00DD0624" w:rsidRDefault="000541A7" w:rsidP="000541A7">
      <w:pPr>
        <w:pStyle w:val="tekst"/>
      </w:pPr>
      <w:r w:rsidRPr="00E61E91">
        <w:t xml:space="preserve">Średnia </w:t>
      </w:r>
      <w:r w:rsidRPr="00E61E91">
        <w:rPr>
          <w:b/>
        </w:rPr>
        <w:t>cena ziemniaków w skupie</w:t>
      </w:r>
      <w:r w:rsidRPr="00E61E91">
        <w:t xml:space="preserve"> w październiku br. wyniosła 57,92 zł za 1 dt i była niższa o 7,7% od zanotowanej miesiąc wcześniej i o 17,4% – od ceny sprzed roku</w:t>
      </w:r>
      <w:r w:rsidRPr="00DD0624">
        <w:t xml:space="preserve">. Na </w:t>
      </w:r>
      <w:r w:rsidRPr="00DD0624">
        <w:rPr>
          <w:b/>
        </w:rPr>
        <w:t>targowiskach cena ziemniaków jadalnych późnych</w:t>
      </w:r>
      <w:r w:rsidRPr="00DD0624">
        <w:t xml:space="preserve"> osiągnęła 218,72 zł za 1 dt, co zarówno w stosunku do września br., jak i w ujęciu rocznym oznacza spadek odpowiednio o 3,7% i o 8,4%.</w:t>
      </w:r>
    </w:p>
    <w:p w:rsidR="000541A7" w:rsidRPr="002A3697" w:rsidRDefault="004A6C02" w:rsidP="000541A7">
      <w:pPr>
        <w:pStyle w:val="tytuwykresu"/>
        <w:spacing w:before="360" w:after="120"/>
        <w:rPr>
          <w:bCs/>
          <w:szCs w:val="19"/>
        </w:rPr>
      </w:pPr>
      <w:r w:rsidRPr="00D7441C">
        <w:rPr>
          <w:noProof/>
          <w:lang w:eastAsia="pl-PL"/>
        </w:rPr>
        <w:lastRenderedPageBreak/>
        <w:drawing>
          <wp:anchor distT="0" distB="107950" distL="114300" distR="114300" simplePos="0" relativeHeight="252951040" behindDoc="0" locked="0" layoutInCell="1" allowOverlap="1">
            <wp:simplePos x="0" y="0"/>
            <wp:positionH relativeFrom="margin">
              <wp:posOffset>447040</wp:posOffset>
            </wp:positionH>
            <wp:positionV relativeFrom="paragraph">
              <wp:posOffset>296266</wp:posOffset>
            </wp:positionV>
            <wp:extent cx="5760000" cy="2512800"/>
            <wp:effectExtent l="0" t="0" r="0" b="1905"/>
            <wp:wrapTopAndBottom/>
            <wp:docPr id="19" name="Obraz 19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jest wynikiem zawieszenia w tym okresie badania cen produktów rolnych na targowiskach w związku z COVID-19, natomiast w lipcu 2024 r. oznacza brak notowań w tym czasie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1A7" w:rsidRPr="003F192B">
        <w:t>Wykres</w:t>
      </w:r>
      <w:r w:rsidR="000541A7" w:rsidRPr="002A3697">
        <w:t xml:space="preserve"> 6.</w:t>
      </w:r>
      <w:r w:rsidR="000541A7" w:rsidRPr="002A3697">
        <w:tab/>
        <w:t>Przeciętne ceny skupu zbóż i targowiskowe ceny ziemniaków</w:t>
      </w:r>
    </w:p>
    <w:p w:rsidR="000541A7" w:rsidRPr="00232FE2" w:rsidRDefault="000541A7" w:rsidP="000541A7">
      <w:pPr>
        <w:pStyle w:val="tekst"/>
      </w:pPr>
      <w:r w:rsidRPr="00363CE4">
        <w:t xml:space="preserve">Cena </w:t>
      </w:r>
      <w:r w:rsidRPr="00363CE4">
        <w:rPr>
          <w:b/>
        </w:rPr>
        <w:t>1 kg żywca wołowego w skupie</w:t>
      </w:r>
      <w:r w:rsidRPr="00363CE4">
        <w:t xml:space="preserve"> w październiku br. ukształtowała się na poziomie 10,63 zł, tj. wyżej </w:t>
      </w:r>
      <w:r w:rsidRPr="00232FE2">
        <w:t xml:space="preserve">zarówno </w:t>
      </w:r>
      <w:r w:rsidRPr="00363CE4">
        <w:t xml:space="preserve">od ceny zanotowanej przed miesiącem, jak i od ubiegłorocznej, odpowiednio o 2,5% i o 4,2%. Za </w:t>
      </w:r>
      <w:r w:rsidRPr="00363CE4">
        <w:rPr>
          <w:b/>
        </w:rPr>
        <w:t>1 kg żywca drobiowego</w:t>
      </w:r>
      <w:r w:rsidRPr="00363CE4">
        <w:t xml:space="preserve"> płacono w tym czasie 5,46 zł, tj. o 2,3% mniej niż we wrześniu br. i o 3,0% mniej niż w październiku ub. roku. </w:t>
      </w:r>
      <w:r w:rsidRPr="00232FE2">
        <w:t xml:space="preserve">Cena </w:t>
      </w:r>
      <w:r w:rsidRPr="00232FE2">
        <w:rPr>
          <w:b/>
        </w:rPr>
        <w:t>żywca wieprzowego</w:t>
      </w:r>
      <w:r w:rsidRPr="00232FE2">
        <w:t xml:space="preserve"> w badanym miesiącu wyniosła 6,82 zł za 1 kg, co oznacza spadek w skali miesiąca i roku odpowiednio o 5,3% i o 15,0%.</w:t>
      </w:r>
    </w:p>
    <w:p w:rsidR="000541A7" w:rsidRPr="00E77730" w:rsidRDefault="000541A7" w:rsidP="000541A7">
      <w:pPr>
        <w:pStyle w:val="tekst"/>
      </w:pPr>
      <w:r w:rsidRPr="00677B2D">
        <w:t xml:space="preserve">Cena 1 kg żywca wieprzowego w skupie w październiku br. równoważyła wartość 11,2 kg żyta w skupie (wobec 12,3 </w:t>
      </w:r>
      <w:r>
        <w:t>przed miesiącem</w:t>
      </w:r>
      <w:r w:rsidRPr="00677B2D">
        <w:t xml:space="preserve"> i 12,5 przed rokiem</w:t>
      </w:r>
      <w:r w:rsidRPr="00E77730">
        <w:t xml:space="preserve">), natomiast </w:t>
      </w:r>
      <w:r w:rsidRPr="00E77730">
        <w:rPr>
          <w:b/>
        </w:rPr>
        <w:t>relacja cen skupu żywca wieprzowego do cen żyta na targowiskach</w:t>
      </w:r>
      <w:r w:rsidRPr="00E77730">
        <w:t xml:space="preserve"> wyniosła w tym czasie 7,7 (wobec 8,7 we wrześniu br. i wobec 8,5 w październiku ub. roku), a do </w:t>
      </w:r>
      <w:r w:rsidRPr="00E77730">
        <w:rPr>
          <w:b/>
        </w:rPr>
        <w:t>cen targowiskowych jęczmienia</w:t>
      </w:r>
      <w:r w:rsidRPr="00E77730">
        <w:t xml:space="preserve"> – 6,8 (wobec 7,3 przed miesiącem i 7,5 przed rokiem).</w:t>
      </w:r>
    </w:p>
    <w:p w:rsidR="000541A7" w:rsidRPr="00667CB6" w:rsidRDefault="00D7441C" w:rsidP="000541A7">
      <w:pPr>
        <w:pStyle w:val="tytuwykresu"/>
        <w:spacing w:before="360" w:after="120"/>
      </w:pPr>
      <w:r w:rsidRPr="00D7441C">
        <w:rPr>
          <w:noProof/>
          <w:lang w:eastAsia="pl-PL"/>
        </w:rPr>
        <w:drawing>
          <wp:anchor distT="0" distB="107950" distL="114300" distR="114300" simplePos="0" relativeHeight="252952064" behindDoc="0" locked="0" layoutInCell="1" allowOverlap="1">
            <wp:simplePos x="0" y="0"/>
            <wp:positionH relativeFrom="margin">
              <wp:posOffset>267335</wp:posOffset>
            </wp:positionH>
            <wp:positionV relativeFrom="paragraph">
              <wp:posOffset>403783</wp:posOffset>
            </wp:positionV>
            <wp:extent cx="6120000" cy="2523600"/>
            <wp:effectExtent l="0" t="0" r="0" b="0"/>
            <wp:wrapTopAndBottom/>
            <wp:docPr id="20" name="Obraz 20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1A7">
        <w:t>W</w:t>
      </w:r>
      <w:r w:rsidR="000541A7" w:rsidRPr="003F192B">
        <w:t>ykres</w:t>
      </w:r>
      <w:r w:rsidR="000541A7">
        <w:t xml:space="preserve"> 7.</w:t>
      </w:r>
      <w:r w:rsidR="000541A7">
        <w:tab/>
      </w:r>
      <w:r w:rsidR="000541A7" w:rsidRPr="005E3502">
        <w:t>Przeciętne ceny skupu żywca rzeźnego i mleka</w:t>
      </w:r>
    </w:p>
    <w:p w:rsidR="000541A7" w:rsidRPr="004C7FB5" w:rsidRDefault="000541A7" w:rsidP="004A6C02">
      <w:pPr>
        <w:pStyle w:val="tekst"/>
      </w:pPr>
      <w:r w:rsidRPr="0033675E">
        <w:rPr>
          <w:b/>
        </w:rPr>
        <w:t xml:space="preserve">Skup mleka </w:t>
      </w:r>
      <w:r w:rsidRPr="0033675E">
        <w:t xml:space="preserve">w październiku br. wyniósł 189,7 mln litrów, co oznacza, że był większy niż przed miesiącem, jak i przed rokiem odpowiednio o 1,5% i o 6,7%. Za 1 hl tego produktu w skupie rolnicy uzyskali cenę 216,07 zł, tj. o 5,5% wyższą od zanotowanej w poprzednim miesiącu i o 13,1% wyższą od </w:t>
      </w:r>
      <w:r w:rsidRPr="004C7FB5">
        <w:t>ubiegłorocznej.</w:t>
      </w:r>
    </w:p>
    <w:p w:rsidR="00044A67" w:rsidRPr="00667CB6" w:rsidRDefault="00044A67" w:rsidP="00044A67">
      <w:pPr>
        <w:pStyle w:val="Nagwek1"/>
      </w:pPr>
      <w:bookmarkStart w:id="18" w:name="_Toc183619738"/>
      <w:r w:rsidRPr="005F5E57">
        <w:t>Przemysł i budownictwo</w:t>
      </w:r>
      <w:bookmarkEnd w:id="15"/>
      <w:bookmarkEnd w:id="16"/>
      <w:bookmarkEnd w:id="17"/>
      <w:bookmarkEnd w:id="18"/>
    </w:p>
    <w:p w:rsidR="00044A67" w:rsidRPr="00D5416C" w:rsidRDefault="00044A67" w:rsidP="00044A67">
      <w:pPr>
        <w:pStyle w:val="tekst"/>
        <w:rPr>
          <w:szCs w:val="19"/>
        </w:rPr>
      </w:pPr>
      <w:r>
        <w:t>W październiku br.</w:t>
      </w:r>
      <w:r w:rsidRPr="00D5416C">
        <w:rPr>
          <w:szCs w:val="19"/>
        </w:rPr>
        <w:t xml:space="preserve"> wartość </w:t>
      </w:r>
      <w:r w:rsidRPr="00D5416C">
        <w:rPr>
          <w:b/>
          <w:szCs w:val="19"/>
        </w:rPr>
        <w:t>produkcji sprzedanej przemysłu</w:t>
      </w:r>
      <w:r w:rsidRPr="00D5416C">
        <w:rPr>
          <w:szCs w:val="19"/>
        </w:rPr>
        <w:t xml:space="preserve"> wyniosła </w:t>
      </w:r>
      <w:r w:rsidRPr="00B01EA6">
        <w:rPr>
          <w:szCs w:val="19"/>
        </w:rPr>
        <w:t>23925,4</w:t>
      </w:r>
      <w:r>
        <w:rPr>
          <w:szCs w:val="19"/>
        </w:rPr>
        <w:t xml:space="preserve"> </w:t>
      </w:r>
      <w:r w:rsidRPr="00D5416C">
        <w:rPr>
          <w:szCs w:val="19"/>
        </w:rPr>
        <w:t>mln zł (w cenach bieżących). Licząc w cenach stałych</w:t>
      </w:r>
      <w:r>
        <w:rPr>
          <w:szCs w:val="19"/>
        </w:rPr>
        <w:t xml:space="preserve"> </w:t>
      </w:r>
      <w:r w:rsidRPr="00D5416C">
        <w:rPr>
          <w:szCs w:val="19"/>
        </w:rPr>
        <w:t>oznacza to</w:t>
      </w:r>
      <w:r>
        <w:rPr>
          <w:szCs w:val="19"/>
        </w:rPr>
        <w:t xml:space="preserve"> wzrost sprzedaży o </w:t>
      </w:r>
      <w:r w:rsidRPr="00B01EA6">
        <w:rPr>
          <w:szCs w:val="19"/>
        </w:rPr>
        <w:t>1</w:t>
      </w:r>
      <w:r>
        <w:rPr>
          <w:szCs w:val="19"/>
        </w:rPr>
        <w:t xml:space="preserve">0,1% </w:t>
      </w:r>
      <w:r w:rsidRPr="00D5416C">
        <w:rPr>
          <w:szCs w:val="19"/>
        </w:rPr>
        <w:t>w stosunku do poprzedniego miesiąca</w:t>
      </w:r>
      <w:r>
        <w:rPr>
          <w:szCs w:val="19"/>
        </w:rPr>
        <w:t xml:space="preserve"> i o </w:t>
      </w:r>
      <w:r w:rsidRPr="00B01EA6">
        <w:rPr>
          <w:szCs w:val="19"/>
        </w:rPr>
        <w:t>11,4</w:t>
      </w:r>
      <w:r>
        <w:rPr>
          <w:szCs w:val="19"/>
        </w:rPr>
        <w:t xml:space="preserve">% </w:t>
      </w:r>
      <w:r w:rsidRPr="00D5416C">
        <w:rPr>
          <w:szCs w:val="19"/>
        </w:rPr>
        <w:t xml:space="preserve">w relacji </w:t>
      </w:r>
      <w:r>
        <w:rPr>
          <w:szCs w:val="19"/>
        </w:rPr>
        <w:t>do października ub. roku</w:t>
      </w:r>
      <w:r w:rsidRPr="00D5416C">
        <w:rPr>
          <w:szCs w:val="19"/>
        </w:rPr>
        <w:t xml:space="preserve"> (przed rokiem </w:t>
      </w:r>
      <w:r>
        <w:rPr>
          <w:szCs w:val="19"/>
        </w:rPr>
        <w:t>zanotowano wzrost sprzedaży w ujęciu miesięcznym – o 3,4%, a spadek w stosunku rocznym – o 0,9</w:t>
      </w:r>
      <w:r w:rsidRPr="00D5416C">
        <w:rPr>
          <w:szCs w:val="19"/>
        </w:rPr>
        <w:t>%).</w:t>
      </w:r>
    </w:p>
    <w:p w:rsidR="00044A67" w:rsidRDefault="004A6C02" w:rsidP="00044A67">
      <w:pPr>
        <w:pStyle w:val="tytuwykresu"/>
        <w:spacing w:before="360" w:after="120"/>
      </w:pPr>
      <w:r w:rsidRPr="00D7441C">
        <w:rPr>
          <w:noProof/>
          <w:lang w:eastAsia="pl-PL"/>
        </w:rPr>
        <w:lastRenderedPageBreak/>
        <w:drawing>
          <wp:anchor distT="0" distB="107950" distL="114300" distR="114300" simplePos="0" relativeHeight="252953088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447446</wp:posOffset>
            </wp:positionV>
            <wp:extent cx="5760000" cy="2354400"/>
            <wp:effectExtent l="0" t="0" r="0" b="8255"/>
            <wp:wrapTopAndBottom/>
            <wp:docPr id="21" name="Obraz 21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3F192B">
        <w:t>Wykres</w:t>
      </w:r>
      <w:r w:rsidR="00044A67">
        <w:t xml:space="preserve"> 8.</w:t>
      </w:r>
      <w:r w:rsidR="00044A67">
        <w:tab/>
      </w:r>
      <w:r w:rsidR="00044A67" w:rsidRPr="0041272B">
        <w:t xml:space="preserve">Produkcja sprzedana przemysłu </w:t>
      </w:r>
      <w:r w:rsidR="00044A67" w:rsidRPr="0041272B">
        <w:br/>
      </w:r>
      <w:r w:rsidR="00044A67" w:rsidRPr="0041272B">
        <w:tab/>
      </w:r>
      <w:r w:rsidR="00044A67" w:rsidRPr="003C2B8D">
        <w:t xml:space="preserve">(ceny stałe; przeciętna miesięczna </w:t>
      </w:r>
      <w:r w:rsidR="00044A67">
        <w:t>2021=</w:t>
      </w:r>
      <w:r w:rsidR="00044A67" w:rsidRPr="003C2B8D">
        <w:t>100)</w:t>
      </w:r>
      <w:r w:rsidR="00044A67" w:rsidRPr="006A2723">
        <w:rPr>
          <w:b w:val="0"/>
        </w:rPr>
        <w:t xml:space="preserve"> </w:t>
      </w:r>
    </w:p>
    <w:p w:rsidR="00044A67" w:rsidRDefault="00044A67" w:rsidP="00044A67">
      <w:pPr>
        <w:pStyle w:val="tekst"/>
        <w:rPr>
          <w:szCs w:val="19"/>
        </w:rPr>
      </w:pPr>
      <w:r w:rsidRPr="00D5416C">
        <w:t>W</w:t>
      </w:r>
      <w:r w:rsidRPr="006B3250">
        <w:t xml:space="preserve"> porównaniu </w:t>
      </w:r>
      <w:r>
        <w:t>z październikiem</w:t>
      </w:r>
      <w:r w:rsidRPr="006B3250">
        <w:t xml:space="preserve"> </w:t>
      </w:r>
      <w:r>
        <w:t>ub. roku</w:t>
      </w:r>
      <w:r w:rsidRPr="006B3250">
        <w:t xml:space="preserve"> </w:t>
      </w:r>
      <w:r>
        <w:t>wzrost wartości</w:t>
      </w:r>
      <w:r w:rsidRPr="006B3250">
        <w:t xml:space="preserve"> sprzedaży produkcji zanotowa</w:t>
      </w:r>
      <w:r>
        <w:t xml:space="preserve">no w przetwórstwie przemysłowym (o 12,3%), </w:t>
      </w:r>
      <w:r>
        <w:rPr>
          <w:szCs w:val="19"/>
        </w:rPr>
        <w:t>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 xml:space="preserve">u w 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9,1%) </w:t>
      </w:r>
      <w:r>
        <w:t>oraz</w:t>
      </w:r>
      <w:r w:rsidRPr="00B4453D">
        <w:t xml:space="preserve"> </w:t>
      </w:r>
      <w:r>
        <w:t>dostawie wody</w:t>
      </w:r>
      <w:r w:rsidRPr="00BE2846">
        <w:rPr>
          <w:szCs w:val="19"/>
        </w:rPr>
        <w:t>; gospodarowani</w:t>
      </w:r>
      <w:r>
        <w:rPr>
          <w:szCs w:val="19"/>
        </w:rPr>
        <w:t>u</w:t>
      </w:r>
      <w:r w:rsidRPr="00BE2846">
        <w:rPr>
          <w:szCs w:val="19"/>
        </w:rPr>
        <w:t xml:space="preserve"> ściek</w:t>
      </w:r>
      <w:r>
        <w:rPr>
          <w:szCs w:val="19"/>
        </w:rPr>
        <w:t>ami i odpadami; rekultywacji (o 8,0%)</w:t>
      </w:r>
      <w:r>
        <w:t xml:space="preserve">. Spadek sprzedaży wystąpił natomiast w przedsiębiorstwach związanych z górnictwem i </w:t>
      </w:r>
      <w:r w:rsidRPr="006B3250">
        <w:t>wydobywani</w:t>
      </w:r>
      <w:r>
        <w:t>em (o 60,0</w:t>
      </w:r>
      <w:r w:rsidRPr="006B3250">
        <w:t>%</w:t>
      </w:r>
      <w:r>
        <w:t>)</w:t>
      </w:r>
      <w:r>
        <w:rPr>
          <w:szCs w:val="19"/>
        </w:rPr>
        <w:t xml:space="preserve">. </w:t>
      </w:r>
    </w:p>
    <w:p w:rsidR="00044A67" w:rsidRDefault="00044A67" w:rsidP="00044A67">
      <w:pPr>
        <w:pStyle w:val="tekst"/>
      </w:pPr>
      <w:r w:rsidRPr="00B02053">
        <w:t xml:space="preserve">Na niższym poziomie klasyfikacji PKD </w:t>
      </w:r>
      <w:r>
        <w:t>wzrost</w:t>
      </w:r>
      <w:r w:rsidRPr="00B02053">
        <w:t xml:space="preserve"> wartości sprzedaży odnotowa</w:t>
      </w:r>
      <w:r>
        <w:t xml:space="preserve">ło 20 działów </w:t>
      </w:r>
      <w:r w:rsidRPr="00B02053">
        <w:t xml:space="preserve">przemysłu. </w:t>
      </w:r>
      <w:r>
        <w:t xml:space="preserve">Sprzedaż zwiększyła się m.in. w przedsiębiorstwach zajmujących się produkcją: pojazdów samochodowych, przyczep i naczep (o </w:t>
      </w:r>
      <w:r w:rsidRPr="00F128F6">
        <w:t>46,2</w:t>
      </w:r>
      <w:r>
        <w:t xml:space="preserve">%), wyrobów z </w:t>
      </w:r>
      <w:r w:rsidRPr="00B02053">
        <w:t>pozostałych mineralnych surowców niemetalicznych (o</w:t>
      </w:r>
      <w:r>
        <w:t xml:space="preserve"> </w:t>
      </w:r>
      <w:r w:rsidRPr="00F128F6">
        <w:t>19,6</w:t>
      </w:r>
      <w:r w:rsidRPr="00B02053">
        <w:t>%)</w:t>
      </w:r>
      <w:r>
        <w:t>,</w:t>
      </w:r>
      <w:r w:rsidRPr="00F128F6">
        <w:t xml:space="preserve"> </w:t>
      </w:r>
      <w:r>
        <w:t>mebli (o </w:t>
      </w:r>
      <w:r w:rsidRPr="00F128F6">
        <w:t>18,4</w:t>
      </w:r>
      <w:r>
        <w:t xml:space="preserve">%), artykułów spożywczych </w:t>
      </w:r>
      <w:r w:rsidRPr="00B02053">
        <w:t>(o</w:t>
      </w:r>
      <w:r>
        <w:t xml:space="preserve"> </w:t>
      </w:r>
      <w:r w:rsidRPr="00F96FF3">
        <w:t>12,9</w:t>
      </w:r>
      <w:r w:rsidRPr="00B02053">
        <w:t>%)</w:t>
      </w:r>
      <w:r>
        <w:t xml:space="preserve">, </w:t>
      </w:r>
      <w:r w:rsidRPr="00B02053">
        <w:t>wyrobów z</w:t>
      </w:r>
      <w:r>
        <w:t xml:space="preserve"> </w:t>
      </w:r>
      <w:r w:rsidRPr="00B02053">
        <w:t>dr</w:t>
      </w:r>
      <w:r>
        <w:t xml:space="preserve">ewna, korka, słomy i wikliny (o </w:t>
      </w:r>
      <w:r w:rsidRPr="00F96FF3">
        <w:t>9,5</w:t>
      </w:r>
      <w:r>
        <w:t>%),</w:t>
      </w:r>
      <w:r w:rsidRPr="00F96FF3">
        <w:t xml:space="preserve"> maszyn i urządzeń (o 7,4%)</w:t>
      </w:r>
      <w:r>
        <w:t xml:space="preserve">, urządzeń elektrycznych </w:t>
      </w:r>
      <w:r w:rsidRPr="00B02053">
        <w:t>(</w:t>
      </w:r>
      <w:r>
        <w:t xml:space="preserve">o </w:t>
      </w:r>
      <w:r w:rsidRPr="00E6206D">
        <w:t>4,6</w:t>
      </w:r>
      <w:r>
        <w:t xml:space="preserve">%), papieru i wyrobów z </w:t>
      </w:r>
      <w:r w:rsidRPr="00B02053">
        <w:t>papieru (</w:t>
      </w:r>
      <w:r>
        <w:t xml:space="preserve">o </w:t>
      </w:r>
      <w:r w:rsidRPr="00E6206D">
        <w:t>3,6</w:t>
      </w:r>
      <w:r w:rsidRPr="00B02053">
        <w:t>%)</w:t>
      </w:r>
      <w:r>
        <w:t xml:space="preserve">, wyrobów z </w:t>
      </w:r>
      <w:r w:rsidRPr="00B02053">
        <w:t>metali</w:t>
      </w:r>
      <w:r>
        <w:t xml:space="preserve"> (o </w:t>
      </w:r>
      <w:r w:rsidRPr="00E6206D">
        <w:t>3,4</w:t>
      </w:r>
      <w:r>
        <w:t xml:space="preserve">%) oraz </w:t>
      </w:r>
      <w:r w:rsidRPr="00C20CD4">
        <w:t>wyro</w:t>
      </w:r>
      <w:r>
        <w:t>bów z gumy i tworzyw sztucznych (o 1,3%).</w:t>
      </w:r>
      <w:r w:rsidRPr="00E6206D">
        <w:t xml:space="preserve"> </w:t>
      </w:r>
      <w:r>
        <w:t>Spadek sprzedaży dotyczył</w:t>
      </w:r>
      <w:r w:rsidRPr="00B02053">
        <w:t xml:space="preserve"> </w:t>
      </w:r>
      <w:r>
        <w:t>m.in. działów</w:t>
      </w:r>
      <w:r w:rsidRPr="00BB4454">
        <w:t xml:space="preserve"> </w:t>
      </w:r>
      <w:r>
        <w:t xml:space="preserve">związanych z produkcją napojów (o 7,8%) oraz chemikaliów i </w:t>
      </w:r>
      <w:r w:rsidRPr="00C33F3C">
        <w:t>wyrobów chemicznych</w:t>
      </w:r>
      <w:r>
        <w:t xml:space="preserve"> (o 0,1%).</w:t>
      </w:r>
    </w:p>
    <w:p w:rsidR="00044A67" w:rsidRDefault="00044A67" w:rsidP="00044A67">
      <w:r w:rsidRPr="00B02053">
        <w:t xml:space="preserve">W działalności przemysłowej przedsiębiorstw </w:t>
      </w:r>
      <w:r>
        <w:t>w październiku br.</w:t>
      </w:r>
      <w:r w:rsidRPr="00B02053">
        <w:t xml:space="preserve"> dominowało</w:t>
      </w:r>
      <w:r>
        <w:t xml:space="preserve"> nadal</w:t>
      </w:r>
      <w:r w:rsidRPr="00B02053">
        <w:t xml:space="preserve"> 6 działów z</w:t>
      </w:r>
      <w:r>
        <w:t>ajmując</w:t>
      </w:r>
      <w:r w:rsidRPr="00B02053">
        <w:t xml:space="preserve">ych </w:t>
      </w:r>
      <w:r>
        <w:t>się</w:t>
      </w:r>
      <w:r w:rsidRPr="00B02053">
        <w:t xml:space="preserve"> produkcją: artykułów </w:t>
      </w:r>
      <w:r w:rsidRPr="00B853D4">
        <w:t>spożywczych (</w:t>
      </w:r>
      <w:r w:rsidRPr="006E4901">
        <w:t>23,7</w:t>
      </w:r>
      <w:r w:rsidRPr="00B853D4">
        <w:t xml:space="preserve">% wartości produkcji sprzedanej przemysłu całego województwa wobec </w:t>
      </w:r>
      <w:r>
        <w:t>23,3</w:t>
      </w:r>
      <w:r w:rsidRPr="00B853D4">
        <w:t>% przed miesiącem i</w:t>
      </w:r>
      <w:r>
        <w:t xml:space="preserve"> 23,6</w:t>
      </w:r>
      <w:r w:rsidRPr="00B853D4">
        <w:t>% przed rokiem), pojazdów samochodowych, przyczep i naczep (</w:t>
      </w:r>
      <w:r>
        <w:t>14</w:t>
      </w:r>
      <w:r w:rsidRPr="00B853D4">
        <w:t>,</w:t>
      </w:r>
      <w:r>
        <w:t>8</w:t>
      </w:r>
      <w:r w:rsidRPr="00B853D4">
        <w:t xml:space="preserve">% wobec </w:t>
      </w:r>
      <w:r>
        <w:t>14</w:t>
      </w:r>
      <w:r w:rsidRPr="00B853D4">
        <w:t>,</w:t>
      </w:r>
      <w:r>
        <w:t>4</w:t>
      </w:r>
      <w:r w:rsidRPr="00B853D4">
        <w:t xml:space="preserve">% </w:t>
      </w:r>
      <w:r>
        <w:t>we wrześniu</w:t>
      </w:r>
      <w:r w:rsidRPr="00B853D4">
        <w:t xml:space="preserve"> br. i </w:t>
      </w:r>
      <w:r>
        <w:t>11,2</w:t>
      </w:r>
      <w:r w:rsidRPr="00B853D4">
        <w:t xml:space="preserve">% </w:t>
      </w:r>
      <w:r>
        <w:t>w październiku</w:t>
      </w:r>
      <w:r w:rsidRPr="00B853D4">
        <w:t xml:space="preserve"> ub. roku), mebli (</w:t>
      </w:r>
      <w:r>
        <w:t>8,5%</w:t>
      </w:r>
      <w:r w:rsidRPr="00B853D4">
        <w:t xml:space="preserve"> </w:t>
      </w:r>
      <w:r>
        <w:t xml:space="preserve">wobec </w:t>
      </w:r>
      <w:r w:rsidRPr="00B853D4">
        <w:t>7,</w:t>
      </w:r>
      <w:r>
        <w:t>7</w:t>
      </w:r>
      <w:r w:rsidRPr="00B853D4">
        <w:t xml:space="preserve">% </w:t>
      </w:r>
      <w:r>
        <w:t>w poprzednim miesiącu i 8,3% przed rokiem</w:t>
      </w:r>
      <w:r w:rsidRPr="00B853D4">
        <w:t>), wyrobów z metali (6</w:t>
      </w:r>
      <w:r>
        <w:t>,6</w:t>
      </w:r>
      <w:r w:rsidRPr="00B853D4">
        <w:t xml:space="preserve">% wobec </w:t>
      </w:r>
      <w:r>
        <w:t>6,8% we wrześniu</w:t>
      </w:r>
      <w:r w:rsidRPr="00B853D4">
        <w:t xml:space="preserve"> </w:t>
      </w:r>
      <w:r>
        <w:t>br. i 7,2</w:t>
      </w:r>
      <w:r w:rsidRPr="00B853D4">
        <w:t>% rok wcześniej</w:t>
      </w:r>
      <w:r>
        <w:t>),</w:t>
      </w:r>
      <w:r w:rsidRPr="00C24268">
        <w:t xml:space="preserve"> </w:t>
      </w:r>
      <w:r w:rsidRPr="00B853D4">
        <w:t>wyrobów z gumy i tworzyw sztucznych (</w:t>
      </w:r>
      <w:r>
        <w:t>6,5</w:t>
      </w:r>
      <w:r w:rsidRPr="00B853D4">
        <w:t xml:space="preserve">% </w:t>
      </w:r>
      <w:r>
        <w:t>wobec</w:t>
      </w:r>
      <w:r w:rsidRPr="00B853D4">
        <w:t xml:space="preserve"> </w:t>
      </w:r>
      <w:r>
        <w:t>6</w:t>
      </w:r>
      <w:r w:rsidRPr="00B853D4">
        <w:t>,</w:t>
      </w:r>
      <w:r>
        <w:t>6</w:t>
      </w:r>
      <w:r w:rsidRPr="00B853D4">
        <w:t xml:space="preserve">% przed miesiącem </w:t>
      </w:r>
      <w:r>
        <w:t>i 7,5% w październiku ub. roku)</w:t>
      </w:r>
      <w:r w:rsidRPr="00C24268">
        <w:t xml:space="preserve"> </w:t>
      </w:r>
      <w:r>
        <w:t xml:space="preserve">oraz </w:t>
      </w:r>
      <w:r w:rsidRPr="00B853D4">
        <w:t>urządzeń elektrycznych (5,</w:t>
      </w:r>
      <w:r>
        <w:t>5</w:t>
      </w:r>
      <w:r w:rsidRPr="00B853D4">
        <w:t>% wobec 5,</w:t>
      </w:r>
      <w:r>
        <w:t>6</w:t>
      </w:r>
      <w:r w:rsidRPr="00B853D4">
        <w:t xml:space="preserve">% przed miesiącem i </w:t>
      </w:r>
      <w:r>
        <w:t>5,7</w:t>
      </w:r>
      <w:r w:rsidRPr="00B853D4">
        <w:t xml:space="preserve">% przed </w:t>
      </w:r>
      <w:r>
        <w:t>rokiem</w:t>
      </w:r>
      <w:r w:rsidRPr="00B02053">
        <w:t>)</w:t>
      </w:r>
      <w:r>
        <w:t>.</w:t>
      </w:r>
      <w:r w:rsidRPr="00D35B63">
        <w:t xml:space="preserve"> </w:t>
      </w:r>
    </w:p>
    <w:p w:rsidR="00044A67" w:rsidRDefault="00044A67" w:rsidP="00044A67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>
        <w:rPr>
          <w:szCs w:val="19"/>
        </w:rPr>
        <w:t>w październiku br.</w:t>
      </w:r>
      <w:r w:rsidRPr="00B02053">
        <w:rPr>
          <w:szCs w:val="19"/>
        </w:rPr>
        <w:t xml:space="preserve"> wyniosła </w:t>
      </w:r>
      <w:r w:rsidRPr="00844D30">
        <w:rPr>
          <w:szCs w:val="19"/>
        </w:rPr>
        <w:t xml:space="preserve">72,1 </w:t>
      </w:r>
      <w:r w:rsidRPr="00B02053">
        <w:rPr>
          <w:szCs w:val="19"/>
        </w:rPr>
        <w:t xml:space="preserve">tys. zł (w cenach bieżących), tj. o </w:t>
      </w:r>
      <w:r>
        <w:rPr>
          <w:szCs w:val="19"/>
        </w:rPr>
        <w:t>14,0</w:t>
      </w:r>
      <w:r w:rsidRPr="00B02053">
        <w:rPr>
          <w:szCs w:val="19"/>
        </w:rPr>
        <w:t xml:space="preserve">% </w:t>
      </w:r>
      <w:r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>
        <w:rPr>
          <w:szCs w:val="19"/>
        </w:rPr>
        <w:t>2,3</w:t>
      </w:r>
      <w:r w:rsidRPr="00B02053">
        <w:rPr>
          <w:szCs w:val="19"/>
        </w:rPr>
        <w:t xml:space="preserve">% i wzroście </w:t>
      </w:r>
      <w:r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>
        <w:rPr>
          <w:szCs w:val="19"/>
        </w:rPr>
        <w:t>12,0</w:t>
      </w:r>
      <w:r w:rsidRPr="00B02053">
        <w:rPr>
          <w:szCs w:val="19"/>
        </w:rPr>
        <w:t>%.</w:t>
      </w:r>
    </w:p>
    <w:p w:rsidR="00044A67" w:rsidRDefault="00044A67" w:rsidP="00044A67">
      <w:pPr>
        <w:pStyle w:val="tekst"/>
        <w:spacing w:before="240"/>
        <w:rPr>
          <w:szCs w:val="19"/>
        </w:rPr>
      </w:pPr>
      <w:r>
        <w:rPr>
          <w:szCs w:val="19"/>
        </w:rPr>
        <w:br w:type="page"/>
      </w:r>
    </w:p>
    <w:p w:rsidR="00044A67" w:rsidRPr="00667CB6" w:rsidRDefault="00044A67" w:rsidP="00044A67">
      <w:pPr>
        <w:pStyle w:val="Tytultabeli"/>
        <w:spacing w:before="320"/>
      </w:pPr>
      <w:r>
        <w:lastRenderedPageBreak/>
        <w:t>Tablica 7.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październik br.) i w okresie narastającym (styczeń-październik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>
              <w:t>10</w:t>
            </w:r>
            <w:r w:rsidRPr="00C20CD4">
              <w:t xml:space="preserve"> 20</w:t>
            </w:r>
            <w:r>
              <w:t>24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>
              <w:t>01–10 2024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FA1C2A">
              <w:t>w odsetkach</w:t>
            </w:r>
          </w:p>
        </w:tc>
      </w:tr>
      <w:tr w:rsidR="00097FD3" w:rsidRPr="00E87892" w:rsidTr="00707A0E">
        <w:trPr>
          <w:trHeight w:val="16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97FD3" w:rsidRPr="00C20CD4" w:rsidRDefault="00097FD3" w:rsidP="00097FD3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</w:tcPr>
          <w:p w:rsidR="00097FD3" w:rsidRPr="00950CCA" w:rsidRDefault="00097FD3" w:rsidP="00097FD3">
            <w:pPr>
              <w:pStyle w:val="tableteksttab"/>
              <w:rPr>
                <w:b/>
              </w:rPr>
            </w:pPr>
            <w:r w:rsidRPr="00950CCA">
              <w:rPr>
                <w:b/>
              </w:rPr>
              <w:t>111,4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</w:tcPr>
          <w:p w:rsidR="00097FD3" w:rsidRPr="00950CCA" w:rsidRDefault="00097FD3" w:rsidP="00097FD3">
            <w:pPr>
              <w:pStyle w:val="tableteksttab"/>
              <w:rPr>
                <w:b/>
              </w:rPr>
            </w:pPr>
            <w:r w:rsidRPr="00950CCA">
              <w:rPr>
                <w:b/>
              </w:rPr>
              <w:t>102,3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</w:tcPr>
          <w:p w:rsidR="00097FD3" w:rsidRPr="00097FD3" w:rsidRDefault="00097FD3" w:rsidP="00097FD3">
            <w:pPr>
              <w:pStyle w:val="tableteksttab"/>
              <w:rPr>
                <w:b/>
              </w:rPr>
            </w:pPr>
            <w:r w:rsidRPr="00097FD3">
              <w:rPr>
                <w:b/>
              </w:rPr>
              <w:t>100,0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097FD3" w:rsidRPr="00C20CD4" w:rsidRDefault="00097FD3" w:rsidP="00097FD3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</w:tcPr>
          <w:p w:rsidR="00097FD3" w:rsidRPr="00097FD3" w:rsidRDefault="00097FD3" w:rsidP="00097FD3">
            <w:pPr>
              <w:pStyle w:val="tableteksttab"/>
            </w:pP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112,3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102,7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93,0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112,9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107,8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23,1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>
              <w:t>napojów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92,2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100,4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3,4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109,5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100,4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3,0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103,6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101,8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4,1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99,9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105,1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3,2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101,3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100,2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6,6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bottom"/>
          </w:tcPr>
          <w:p w:rsidR="00097FD3" w:rsidRPr="00C20CD4" w:rsidRDefault="00097FD3" w:rsidP="00097FD3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>
              <w:br/>
            </w:r>
            <w:r w:rsidRPr="0063417C">
              <w:t>119,6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>
              <w:br/>
            </w:r>
            <w:r w:rsidRPr="0063417C">
              <w:t>104,5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>
              <w:br/>
            </w:r>
            <w:r w:rsidRPr="00097FD3">
              <w:t>2,8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103,4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97,4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6,8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097FD3" w:rsidRPr="00C20CD4" w:rsidRDefault="00097FD3" w:rsidP="00097FD3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104,6</w:t>
            </w:r>
          </w:p>
        </w:tc>
        <w:tc>
          <w:tcPr>
            <w:tcW w:w="1981" w:type="dxa"/>
          </w:tcPr>
          <w:p w:rsidR="00097FD3" w:rsidRPr="0063417C" w:rsidRDefault="00097FD3" w:rsidP="00097FD3">
            <w:pPr>
              <w:pStyle w:val="tableteksttab"/>
            </w:pPr>
            <w:r w:rsidRPr="0063417C">
              <w:t>86,3</w:t>
            </w:r>
          </w:p>
        </w:tc>
        <w:tc>
          <w:tcPr>
            <w:tcW w:w="1982" w:type="dxa"/>
          </w:tcPr>
          <w:p w:rsidR="00097FD3" w:rsidRPr="00097FD3" w:rsidRDefault="00097FD3" w:rsidP="00097FD3">
            <w:pPr>
              <w:pStyle w:val="tableteksttab"/>
            </w:pPr>
            <w:r w:rsidRPr="00097FD3">
              <w:t>5,3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097FD3" w:rsidRPr="00C20CD4" w:rsidRDefault="00097FD3" w:rsidP="00097FD3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107,4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99,3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</w:tcPr>
          <w:p w:rsidR="00097FD3" w:rsidRPr="00097FD3" w:rsidRDefault="00097FD3" w:rsidP="00097FD3">
            <w:pPr>
              <w:pStyle w:val="tableteksttab"/>
            </w:pPr>
            <w:r w:rsidRPr="00097FD3">
              <w:t>3,3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97FD3" w:rsidRPr="00C20CD4" w:rsidRDefault="00097FD3" w:rsidP="00097FD3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146,2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109,3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</w:tcPr>
          <w:p w:rsidR="00097FD3" w:rsidRPr="00097FD3" w:rsidRDefault="00097FD3" w:rsidP="00097FD3">
            <w:pPr>
              <w:pStyle w:val="tableteksttab"/>
            </w:pPr>
            <w:r w:rsidRPr="00097FD3">
              <w:t>14,7</w:t>
            </w:r>
          </w:p>
        </w:tc>
      </w:tr>
      <w:tr w:rsidR="00097FD3" w:rsidRPr="00E87892" w:rsidTr="00707A0E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97FD3" w:rsidRPr="00C20CD4" w:rsidRDefault="00097FD3" w:rsidP="00097FD3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118,4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104,1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</w:tcPr>
          <w:p w:rsidR="00097FD3" w:rsidRPr="00097FD3" w:rsidRDefault="00097FD3" w:rsidP="00097FD3">
            <w:pPr>
              <w:pStyle w:val="tableteksttab"/>
            </w:pPr>
            <w:r w:rsidRPr="00097FD3">
              <w:t>7,7</w:t>
            </w:r>
          </w:p>
        </w:tc>
      </w:tr>
      <w:tr w:rsidR="00097FD3" w:rsidRPr="00E87892" w:rsidTr="00707A0E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097FD3" w:rsidRPr="00C20CD4" w:rsidRDefault="00097FD3" w:rsidP="00097FD3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109,1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</w:tcPr>
          <w:p w:rsidR="00097FD3" w:rsidRPr="0063417C" w:rsidRDefault="00097FD3" w:rsidP="00097FD3">
            <w:pPr>
              <w:pStyle w:val="tableteksttab"/>
            </w:pPr>
            <w:r w:rsidRPr="0063417C">
              <w:t>92,4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</w:tcPr>
          <w:p w:rsidR="00097FD3" w:rsidRPr="00097FD3" w:rsidRDefault="00097FD3" w:rsidP="00097FD3">
            <w:pPr>
              <w:pStyle w:val="tableteksttab"/>
            </w:pPr>
            <w:r w:rsidRPr="00097FD3">
              <w:t>3,8</w:t>
            </w:r>
          </w:p>
        </w:tc>
      </w:tr>
    </w:tbl>
    <w:p w:rsidR="00044A67" w:rsidRDefault="00044A67" w:rsidP="00FC6728">
      <w:pPr>
        <w:pStyle w:val="tekst"/>
        <w:spacing w:before="240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>
        <w:rPr>
          <w:szCs w:val="19"/>
        </w:rPr>
        <w:t xml:space="preserve">styczeń-październik </w:t>
      </w:r>
      <w:r w:rsidRPr="00BE2846">
        <w:rPr>
          <w:szCs w:val="19"/>
        </w:rPr>
        <w:t xml:space="preserve">br. wartość produkcji sprzedanej przemysłu wyniosła </w:t>
      </w:r>
      <w:r w:rsidRPr="00333B6A">
        <w:rPr>
          <w:szCs w:val="19"/>
        </w:rPr>
        <w:t>213506,6</w:t>
      </w:r>
      <w:r>
        <w:rPr>
          <w:szCs w:val="19"/>
        </w:rPr>
        <w:t xml:space="preserve"> mln zł (w cenach bieżących) i była o 2,3% (licząc w cenach stałych) większa niż przed rokiem (w</w:t>
      </w:r>
      <w:r w:rsidRPr="00BE2846">
        <w:rPr>
          <w:szCs w:val="19"/>
        </w:rPr>
        <w:t xml:space="preserve"> okresie </w:t>
      </w:r>
      <w:r>
        <w:rPr>
          <w:szCs w:val="19"/>
        </w:rPr>
        <w:t>styczeń-październik ub. roku wartość</w:t>
      </w:r>
      <w:r w:rsidRPr="00BE2846">
        <w:rPr>
          <w:szCs w:val="19"/>
        </w:rPr>
        <w:t xml:space="preserve"> sprzedaży </w:t>
      </w:r>
      <w:r>
        <w:rPr>
          <w:szCs w:val="19"/>
        </w:rPr>
        <w:t>w cenach stałych była o 2,5% mniejsza niż rok wcześniej). W okresie narastającym wzrost wartości produkcji sprzeda</w:t>
      </w:r>
      <w:r w:rsidRPr="00BE2846">
        <w:rPr>
          <w:szCs w:val="19"/>
        </w:rPr>
        <w:t xml:space="preserve">nej </w:t>
      </w:r>
      <w:r>
        <w:rPr>
          <w:szCs w:val="19"/>
        </w:rPr>
        <w:t xml:space="preserve">odnotowały przedsiębiorstwa związane z </w:t>
      </w:r>
      <w:r w:rsidRPr="00BE2846">
        <w:rPr>
          <w:szCs w:val="19"/>
        </w:rPr>
        <w:t>dostaw</w:t>
      </w:r>
      <w:r>
        <w:rPr>
          <w:szCs w:val="19"/>
        </w:rPr>
        <w:t>ą</w:t>
      </w:r>
      <w:r w:rsidRPr="00BE2846">
        <w:rPr>
          <w:szCs w:val="19"/>
        </w:rPr>
        <w:t xml:space="preserve"> wody; gospodarowani</w:t>
      </w:r>
      <w:r>
        <w:rPr>
          <w:szCs w:val="19"/>
        </w:rPr>
        <w:t>em</w:t>
      </w:r>
      <w:r w:rsidRPr="00BE2846">
        <w:rPr>
          <w:szCs w:val="19"/>
        </w:rPr>
        <w:t xml:space="preserve"> ściek</w:t>
      </w:r>
      <w:r>
        <w:rPr>
          <w:szCs w:val="19"/>
        </w:rPr>
        <w:t>ami i odpadami; rekultywacją (o 4,5</w:t>
      </w:r>
      <w:r w:rsidRPr="00BE2846">
        <w:rPr>
          <w:szCs w:val="19"/>
        </w:rPr>
        <w:t>%)</w:t>
      </w:r>
      <w:r w:rsidRPr="00AB5CEC">
        <w:rPr>
          <w:szCs w:val="19"/>
        </w:rPr>
        <w:t xml:space="preserve"> </w:t>
      </w:r>
      <w:r>
        <w:rPr>
          <w:szCs w:val="19"/>
        </w:rPr>
        <w:t xml:space="preserve">oraz </w:t>
      </w:r>
      <w:r w:rsidRPr="00BE2846">
        <w:rPr>
          <w:szCs w:val="19"/>
        </w:rPr>
        <w:t>przetwórs</w:t>
      </w:r>
      <w:r>
        <w:rPr>
          <w:szCs w:val="19"/>
        </w:rPr>
        <w:t>twem</w:t>
      </w:r>
      <w:r w:rsidRPr="00BE2846">
        <w:rPr>
          <w:szCs w:val="19"/>
        </w:rPr>
        <w:t xml:space="preserve"> przemysłow</w:t>
      </w:r>
      <w:r>
        <w:rPr>
          <w:szCs w:val="19"/>
        </w:rPr>
        <w:t>ym</w:t>
      </w:r>
      <w:r w:rsidRPr="00BE2846">
        <w:rPr>
          <w:szCs w:val="19"/>
        </w:rPr>
        <w:t xml:space="preserve"> (o </w:t>
      </w:r>
      <w:r>
        <w:rPr>
          <w:szCs w:val="19"/>
        </w:rPr>
        <w:t>2,7</w:t>
      </w:r>
      <w:r w:rsidRPr="00BE2846">
        <w:rPr>
          <w:szCs w:val="19"/>
        </w:rPr>
        <w:t>%)</w:t>
      </w:r>
      <w:r>
        <w:rPr>
          <w:szCs w:val="19"/>
        </w:rPr>
        <w:t xml:space="preserve">, natomiast spadek sprzedaży wystąpił w górnictwie i </w:t>
      </w:r>
      <w:r w:rsidRPr="00BE2846">
        <w:rPr>
          <w:szCs w:val="19"/>
        </w:rPr>
        <w:t>wydobywani</w:t>
      </w:r>
      <w:r>
        <w:rPr>
          <w:szCs w:val="19"/>
        </w:rPr>
        <w:t>u (o 18,6</w:t>
      </w:r>
      <w:r w:rsidRPr="00BE2846">
        <w:rPr>
          <w:szCs w:val="19"/>
        </w:rPr>
        <w:t>%)</w:t>
      </w:r>
      <w:r>
        <w:rPr>
          <w:szCs w:val="19"/>
        </w:rPr>
        <w:t xml:space="preserve"> oraz 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 xml:space="preserve">u w </w:t>
      </w:r>
      <w:r w:rsidRPr="00BE2846">
        <w:rPr>
          <w:szCs w:val="19"/>
        </w:rPr>
        <w:t>energię elektryczną, g</w:t>
      </w:r>
      <w:r>
        <w:rPr>
          <w:szCs w:val="19"/>
        </w:rPr>
        <w:t>az, parę wodną i gorącą wodę (o 7,6</w:t>
      </w:r>
      <w:r w:rsidRPr="00BE2846">
        <w:rPr>
          <w:szCs w:val="19"/>
        </w:rPr>
        <w:t>%)</w:t>
      </w:r>
      <w:r>
        <w:rPr>
          <w:szCs w:val="19"/>
        </w:rPr>
        <w:t>.</w:t>
      </w:r>
    </w:p>
    <w:p w:rsidR="00044A67" w:rsidRDefault="00044A67" w:rsidP="00044A67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>
        <w:rPr>
          <w:szCs w:val="19"/>
        </w:rPr>
        <w:t xml:space="preserve">styczeń-październik </w:t>
      </w:r>
      <w:r w:rsidRPr="00BE2846">
        <w:rPr>
          <w:szCs w:val="19"/>
        </w:rPr>
        <w:t xml:space="preserve">br. wyniosła </w:t>
      </w:r>
      <w:r w:rsidRPr="00B438F3">
        <w:rPr>
          <w:szCs w:val="19"/>
        </w:rPr>
        <w:t>636,1</w:t>
      </w:r>
      <w:r>
        <w:rPr>
          <w:szCs w:val="19"/>
        </w:rPr>
        <w:t xml:space="preserve"> tys. zł (w </w:t>
      </w:r>
      <w:r w:rsidRPr="00BE2846">
        <w:rPr>
          <w:szCs w:val="19"/>
        </w:rPr>
        <w:t xml:space="preserve">cenach bieżących) i w ciągu roku zwiększyła się o </w:t>
      </w:r>
      <w:r>
        <w:rPr>
          <w:szCs w:val="19"/>
        </w:rPr>
        <w:t>4,6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 xml:space="preserve">spadku przeciętnego zatrudnienia o 2,2% i 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>
        <w:rPr>
          <w:szCs w:val="19"/>
        </w:rPr>
        <w:t>11,4</w:t>
      </w:r>
      <w:r w:rsidRPr="00BE2846">
        <w:rPr>
          <w:szCs w:val="19"/>
        </w:rPr>
        <w:t>%.</w:t>
      </w:r>
    </w:p>
    <w:p w:rsidR="00044A67" w:rsidRDefault="00044A67" w:rsidP="00044A67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>
        <w:rPr>
          <w:spacing w:val="-2"/>
          <w:szCs w:val="19"/>
        </w:rPr>
        <w:t>w październiku br.</w:t>
      </w:r>
      <w:r w:rsidRPr="00B02053">
        <w:rPr>
          <w:spacing w:val="-2"/>
          <w:szCs w:val="19"/>
        </w:rPr>
        <w:t xml:space="preserve"> wyniosła </w:t>
      </w:r>
      <w:r w:rsidRPr="000A2899">
        <w:rPr>
          <w:spacing w:val="-2"/>
          <w:szCs w:val="19"/>
        </w:rPr>
        <w:t>4241,9</w:t>
      </w:r>
      <w:r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>
        <w:rPr>
          <w:spacing w:val="-2"/>
          <w:szCs w:val="19"/>
        </w:rPr>
        <w:t>, tj. o 9,6% więcej niż w po</w:t>
      </w:r>
      <w:r w:rsidRPr="00B02053">
        <w:rPr>
          <w:spacing w:val="-2"/>
          <w:szCs w:val="19"/>
        </w:rPr>
        <w:t>przed</w:t>
      </w:r>
      <w:r>
        <w:rPr>
          <w:spacing w:val="-2"/>
          <w:szCs w:val="19"/>
        </w:rPr>
        <w:t>nim</w:t>
      </w:r>
      <w:r w:rsidRPr="00B02053">
        <w:rPr>
          <w:spacing w:val="-2"/>
          <w:szCs w:val="19"/>
        </w:rPr>
        <w:t xml:space="preserve"> miesiąc</w:t>
      </w:r>
      <w:r>
        <w:rPr>
          <w:spacing w:val="-2"/>
          <w:szCs w:val="19"/>
        </w:rPr>
        <w:t>u, ale</w:t>
      </w:r>
      <w:r w:rsidRPr="00B02053">
        <w:rPr>
          <w:spacing w:val="-2"/>
          <w:szCs w:val="19"/>
        </w:rPr>
        <w:t xml:space="preserve"> o </w:t>
      </w:r>
      <w:r>
        <w:rPr>
          <w:spacing w:val="-2"/>
          <w:szCs w:val="19"/>
        </w:rPr>
        <w:t>8,0</w:t>
      </w:r>
      <w:r w:rsidRPr="00B02053">
        <w:rPr>
          <w:spacing w:val="-2"/>
          <w:szCs w:val="19"/>
        </w:rPr>
        <w:t xml:space="preserve">% </w:t>
      </w:r>
      <w:r>
        <w:rPr>
          <w:spacing w:val="-2"/>
          <w:szCs w:val="19"/>
        </w:rPr>
        <w:t xml:space="preserve">mniej </w:t>
      </w:r>
      <w:r w:rsidRPr="00B02053">
        <w:rPr>
          <w:spacing w:val="-2"/>
          <w:szCs w:val="19"/>
        </w:rPr>
        <w:t>niż przed rokiem (</w:t>
      </w:r>
      <w:r>
        <w:rPr>
          <w:spacing w:val="-2"/>
          <w:szCs w:val="19"/>
        </w:rPr>
        <w:t>w październiku ub. roku</w:t>
      </w:r>
      <w:r w:rsidRPr="001341B8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wartość sprzedaży </w:t>
      </w:r>
      <w:r w:rsidRPr="001341B8">
        <w:rPr>
          <w:spacing w:val="-2"/>
          <w:szCs w:val="19"/>
        </w:rPr>
        <w:t>w</w:t>
      </w:r>
      <w:r>
        <w:rPr>
          <w:spacing w:val="-2"/>
          <w:szCs w:val="19"/>
        </w:rPr>
        <w:t>zrosła o 5,9</w:t>
      </w:r>
      <w:r w:rsidRPr="001341B8">
        <w:rPr>
          <w:spacing w:val="-2"/>
          <w:szCs w:val="19"/>
        </w:rPr>
        <w:t>%</w:t>
      </w:r>
      <w:r>
        <w:rPr>
          <w:spacing w:val="-2"/>
          <w:szCs w:val="19"/>
        </w:rPr>
        <w:t xml:space="preserve"> w skali miesiąca i o 23,6% w </w:t>
      </w:r>
      <w:r w:rsidRPr="001341B8">
        <w:rPr>
          <w:spacing w:val="-2"/>
          <w:szCs w:val="19"/>
        </w:rPr>
        <w:t>stosunku rocznym</w:t>
      </w:r>
      <w:r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044A67" w:rsidRDefault="00044A67" w:rsidP="00044A67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>
        <w:rPr>
          <w:spacing w:val="-2"/>
          <w:szCs w:val="19"/>
        </w:rPr>
        <w:t>w październiku br.</w:t>
      </w:r>
      <w:r w:rsidRPr="00B02053">
        <w:rPr>
          <w:spacing w:val="-2"/>
          <w:szCs w:val="19"/>
        </w:rPr>
        <w:t xml:space="preserve"> wyniosła </w:t>
      </w:r>
      <w:r w:rsidRPr="00C4470B">
        <w:rPr>
          <w:spacing w:val="-2"/>
          <w:szCs w:val="19"/>
        </w:rPr>
        <w:t>106,0</w:t>
      </w:r>
      <w:r>
        <w:rPr>
          <w:spacing w:val="-2"/>
          <w:szCs w:val="19"/>
        </w:rPr>
        <w:t xml:space="preserve"> tys. zł i wzrosła o 9,2% w stosunku do</w:t>
      </w:r>
      <w:r w:rsidRPr="00B02053">
        <w:rPr>
          <w:spacing w:val="-2"/>
          <w:szCs w:val="19"/>
        </w:rPr>
        <w:t xml:space="preserve"> </w:t>
      </w:r>
      <w:r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>
        <w:rPr>
          <w:spacing w:val="-2"/>
          <w:szCs w:val="19"/>
        </w:rPr>
        <w:t>a, ale obniżyła się o 4,0% w relacji do października ub. roku.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>
        <w:rPr>
          <w:spacing w:val="-2"/>
          <w:szCs w:val="19"/>
        </w:rPr>
        <w:t>na poziomie o 0,3% wyższym od notowanego w poprzednim miesiącu, a jednocześnie o 4,2% niższym niż przed rokiem.</w:t>
      </w:r>
      <w:r w:rsidRPr="00B02053">
        <w:rPr>
          <w:spacing w:val="-2"/>
          <w:szCs w:val="19"/>
        </w:rPr>
        <w:t xml:space="preserve"> Przeciętne miesięczn</w:t>
      </w:r>
      <w:r>
        <w:rPr>
          <w:spacing w:val="-2"/>
          <w:szCs w:val="19"/>
        </w:rPr>
        <w:t xml:space="preserve">e wynagrodzenie brutto w </w:t>
      </w:r>
      <w:r w:rsidRPr="00B02053">
        <w:rPr>
          <w:spacing w:val="-2"/>
          <w:szCs w:val="19"/>
        </w:rPr>
        <w:t xml:space="preserve">sekcji </w:t>
      </w:r>
      <w:r>
        <w:rPr>
          <w:spacing w:val="-2"/>
          <w:szCs w:val="19"/>
        </w:rPr>
        <w:t>budownictwo wzrosło o 3,4</w:t>
      </w:r>
      <w:r w:rsidRPr="00B02053">
        <w:rPr>
          <w:spacing w:val="-2"/>
          <w:szCs w:val="19"/>
        </w:rPr>
        <w:t>%</w:t>
      </w:r>
      <w:r>
        <w:rPr>
          <w:spacing w:val="-2"/>
          <w:szCs w:val="19"/>
        </w:rPr>
        <w:t xml:space="preserve"> w </w:t>
      </w:r>
      <w:r w:rsidRPr="00B02053">
        <w:rPr>
          <w:spacing w:val="-2"/>
          <w:szCs w:val="19"/>
        </w:rPr>
        <w:t>skali miesiąca</w:t>
      </w:r>
      <w:r>
        <w:rPr>
          <w:spacing w:val="-2"/>
          <w:szCs w:val="19"/>
        </w:rPr>
        <w:t xml:space="preserve"> i o 12,3% w ujęciu rocznym.</w:t>
      </w:r>
      <w:r w:rsidRPr="002B34F0">
        <w:rPr>
          <w:spacing w:val="-2"/>
          <w:szCs w:val="19"/>
        </w:rPr>
        <w:t xml:space="preserve"> </w:t>
      </w:r>
    </w:p>
    <w:p w:rsidR="00044A67" w:rsidRDefault="00044A67" w:rsidP="00044A6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>
        <w:rPr>
          <w:spacing w:val="-2"/>
          <w:szCs w:val="19"/>
        </w:rPr>
        <w:t>w październiku</w:t>
      </w:r>
      <w:r w:rsidRPr="002B34F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Pr="00834492">
        <w:rPr>
          <w:spacing w:val="-2"/>
          <w:szCs w:val="19"/>
        </w:rPr>
        <w:t xml:space="preserve">1711,0 </w:t>
      </w:r>
      <w:r w:rsidRPr="002B34F0">
        <w:rPr>
          <w:spacing w:val="-2"/>
          <w:szCs w:val="19"/>
        </w:rPr>
        <w:t xml:space="preserve">mln zł, tj. o </w:t>
      </w:r>
      <w:r w:rsidRPr="00834492">
        <w:rPr>
          <w:spacing w:val="-2"/>
          <w:szCs w:val="19"/>
        </w:rPr>
        <w:t>10,3</w:t>
      </w:r>
      <w:r w:rsidRPr="002B34F0">
        <w:rPr>
          <w:spacing w:val="-2"/>
          <w:szCs w:val="19"/>
        </w:rPr>
        <w:t xml:space="preserve">% </w:t>
      </w:r>
      <w:r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>
        <w:rPr>
          <w:spacing w:val="-2"/>
          <w:szCs w:val="19"/>
        </w:rPr>
        <w:t>, ale o 5,7%</w:t>
      </w:r>
      <w:r w:rsidRPr="002B34F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mniej </w:t>
      </w:r>
      <w:r w:rsidRPr="00675E25">
        <w:rPr>
          <w:spacing w:val="-2"/>
          <w:szCs w:val="19"/>
        </w:rPr>
        <w:t>niż przed rokiem (</w:t>
      </w:r>
      <w:r>
        <w:rPr>
          <w:spacing w:val="-2"/>
          <w:szCs w:val="19"/>
        </w:rPr>
        <w:t>w październiku</w:t>
      </w:r>
      <w:r w:rsidRPr="00675E25">
        <w:rPr>
          <w:spacing w:val="-2"/>
          <w:szCs w:val="19"/>
        </w:rPr>
        <w:t xml:space="preserve"> ub. roku zanotowano wzrost odpowiednio</w:t>
      </w:r>
      <w:r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o </w:t>
      </w:r>
      <w:r>
        <w:rPr>
          <w:spacing w:val="-2"/>
          <w:szCs w:val="19"/>
        </w:rPr>
        <w:t>20,5</w:t>
      </w:r>
      <w:r w:rsidRPr="00675E25">
        <w:rPr>
          <w:spacing w:val="-2"/>
          <w:szCs w:val="19"/>
        </w:rPr>
        <w:t>% i</w:t>
      </w:r>
      <w:r w:rsidRPr="00AC0960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o </w:t>
      </w:r>
      <w:r>
        <w:rPr>
          <w:spacing w:val="-2"/>
          <w:szCs w:val="19"/>
        </w:rPr>
        <w:t>23,9</w:t>
      </w:r>
      <w:r w:rsidRPr="00675E25">
        <w:rPr>
          <w:spacing w:val="-2"/>
          <w:szCs w:val="19"/>
        </w:rPr>
        <w:t xml:space="preserve">%). W ogólnej wartości produkcji sprzedanej budownictwa </w:t>
      </w:r>
      <w:r>
        <w:rPr>
          <w:spacing w:val="-2"/>
          <w:szCs w:val="19"/>
        </w:rPr>
        <w:t>w październiku</w:t>
      </w:r>
      <w:r w:rsidRPr="00675E25">
        <w:rPr>
          <w:spacing w:val="-2"/>
          <w:szCs w:val="19"/>
        </w:rPr>
        <w:t xml:space="preserve"> br. produkcja budowlano-montażowa stanowiła </w:t>
      </w:r>
      <w:r>
        <w:rPr>
          <w:spacing w:val="-2"/>
          <w:szCs w:val="19"/>
        </w:rPr>
        <w:t>40,3</w:t>
      </w:r>
      <w:r w:rsidRPr="00675E25">
        <w:rPr>
          <w:spacing w:val="-2"/>
          <w:szCs w:val="19"/>
        </w:rPr>
        <w:t>%, tj. o</w:t>
      </w:r>
      <w:r w:rsidR="00FC6728">
        <w:rPr>
          <w:spacing w:val="-2"/>
          <w:szCs w:val="19"/>
        </w:rPr>
        <w:t> </w:t>
      </w:r>
      <w:r>
        <w:rPr>
          <w:spacing w:val="-2"/>
          <w:szCs w:val="19"/>
        </w:rPr>
        <w:t>0,2</w:t>
      </w:r>
      <w:r w:rsidR="00FC6728">
        <w:rPr>
          <w:spacing w:val="-2"/>
          <w:szCs w:val="19"/>
        </w:rPr>
        <w:t> </w:t>
      </w:r>
      <w:r w:rsidRPr="00675E25">
        <w:rPr>
          <w:spacing w:val="-2"/>
          <w:szCs w:val="19"/>
        </w:rPr>
        <w:t xml:space="preserve">p.proc. </w:t>
      </w:r>
      <w:r>
        <w:rPr>
          <w:spacing w:val="-2"/>
          <w:szCs w:val="19"/>
        </w:rPr>
        <w:t>więcej</w:t>
      </w:r>
      <w:r w:rsidRPr="00675E25">
        <w:rPr>
          <w:spacing w:val="-2"/>
          <w:szCs w:val="19"/>
        </w:rPr>
        <w:t xml:space="preserve"> niż przed miesiącem</w:t>
      </w:r>
      <w:r>
        <w:rPr>
          <w:spacing w:val="-2"/>
          <w:szCs w:val="19"/>
        </w:rPr>
        <w:t xml:space="preserve"> i</w:t>
      </w:r>
      <w:r w:rsidRPr="00675E25">
        <w:rPr>
          <w:spacing w:val="-2"/>
          <w:szCs w:val="19"/>
        </w:rPr>
        <w:t xml:space="preserve"> o </w:t>
      </w:r>
      <w:r>
        <w:rPr>
          <w:spacing w:val="-2"/>
          <w:szCs w:val="19"/>
        </w:rPr>
        <w:t>1,0</w:t>
      </w:r>
      <w:r w:rsidRPr="00675E25">
        <w:rPr>
          <w:spacing w:val="-2"/>
          <w:szCs w:val="19"/>
        </w:rPr>
        <w:t xml:space="preserve"> p.proc. więcej niż przed rokiem. </w:t>
      </w:r>
      <w:r>
        <w:rPr>
          <w:spacing w:val="-2"/>
          <w:szCs w:val="19"/>
        </w:rPr>
        <w:t>Ponad połowę</w:t>
      </w:r>
      <w:r w:rsidRPr="002E0C28">
        <w:rPr>
          <w:spacing w:val="-2"/>
          <w:szCs w:val="19"/>
        </w:rPr>
        <w:t xml:space="preserve"> wartoś</w:t>
      </w:r>
      <w:r>
        <w:rPr>
          <w:spacing w:val="-2"/>
          <w:szCs w:val="19"/>
        </w:rPr>
        <w:t>ci</w:t>
      </w:r>
      <w:r w:rsidRPr="002E0C28">
        <w:rPr>
          <w:spacing w:val="-2"/>
          <w:szCs w:val="19"/>
        </w:rPr>
        <w:t xml:space="preserve"> produkcji budowlano-montażowej </w:t>
      </w:r>
      <w:r>
        <w:rPr>
          <w:spacing w:val="-2"/>
          <w:szCs w:val="19"/>
        </w:rPr>
        <w:t>wypracowa</w:t>
      </w:r>
      <w:r w:rsidRPr="002E0C28">
        <w:rPr>
          <w:spacing w:val="-2"/>
          <w:szCs w:val="19"/>
        </w:rPr>
        <w:t>ły przedsiębiorstwa zaj</w:t>
      </w:r>
      <w:r>
        <w:rPr>
          <w:spacing w:val="-2"/>
          <w:szCs w:val="19"/>
        </w:rPr>
        <w:t>mujące się budową obiektów inżynierii lądowej i wodnej (53,4</w:t>
      </w:r>
      <w:r w:rsidRPr="002E0C28">
        <w:rPr>
          <w:spacing w:val="-2"/>
          <w:szCs w:val="19"/>
        </w:rPr>
        <w:t>%).</w:t>
      </w:r>
    </w:p>
    <w:p w:rsidR="00044A67" w:rsidRDefault="00044A67" w:rsidP="00044A6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044A67" w:rsidRPr="00675E25" w:rsidRDefault="00044A67" w:rsidP="00044A67">
      <w:pPr>
        <w:pStyle w:val="Tytultabeli"/>
        <w:spacing w:before="360"/>
      </w:pPr>
      <w:r w:rsidRPr="00675E25">
        <w:lastRenderedPageBreak/>
        <w:t xml:space="preserve">Tablica </w:t>
      </w:r>
      <w:r>
        <w:t>8</w:t>
      </w:r>
      <w:r w:rsidRPr="00675E25">
        <w:t>.</w:t>
      </w:r>
      <w:r w:rsidRPr="00675E25">
        <w:tab/>
        <w:t>Dynamika i struktura produkcji budowlano-montażowej</w:t>
      </w:r>
      <w:r w:rsidRPr="00675E25">
        <w:br/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październik br.) i w okresie narastającym (styczeń-październik br.) w 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044A67" w:rsidRPr="00675E25" w:rsidTr="00707A0E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bookmarkStart w:id="19" w:name="_Toc64884831"/>
            <w:bookmarkStart w:id="20" w:name="_Toc64885000"/>
            <w:bookmarkStart w:id="21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r>
              <w:t>10</w:t>
            </w:r>
            <w:r w:rsidRPr="00675E25">
              <w:t xml:space="preserve"> 2024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r>
              <w:t xml:space="preserve">01–10 </w:t>
            </w:r>
            <w:r w:rsidRPr="00675E25">
              <w:t>2024</w:t>
            </w:r>
          </w:p>
        </w:tc>
      </w:tr>
      <w:tr w:rsidR="00044A67" w:rsidRPr="00675E25" w:rsidTr="00707A0E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044A67" w:rsidRPr="00675E25" w:rsidRDefault="00044A67" w:rsidP="00707A0E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r w:rsidRPr="00675E25">
              <w:t>w odsetkach</w:t>
            </w:r>
          </w:p>
        </w:tc>
      </w:tr>
      <w:tr w:rsidR="00044A67" w:rsidRPr="00675E25" w:rsidTr="00707A0E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4A67" w:rsidRPr="00675E25" w:rsidRDefault="00044A67" w:rsidP="00707A0E">
            <w:pPr>
              <w:pStyle w:val="bocz1t"/>
            </w:pPr>
            <w:r w:rsidRPr="00675E25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CE1465" w:rsidRDefault="00044A67" w:rsidP="00707A0E">
            <w:pPr>
              <w:pStyle w:val="tablet"/>
            </w:pPr>
            <w:r w:rsidRPr="00CE1465">
              <w:t>94,3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Default="00044A67" w:rsidP="00707A0E">
            <w:pPr>
              <w:pStyle w:val="tablet"/>
            </w:pPr>
            <w:r w:rsidRPr="00CE1465">
              <w:t>98,9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4A67" w:rsidRPr="000755C6" w:rsidRDefault="00044A67" w:rsidP="00707A0E">
            <w:pPr>
              <w:pStyle w:val="tablet"/>
            </w:pPr>
            <w:r w:rsidRPr="000755C6">
              <w:t>100,0</w:t>
            </w:r>
          </w:p>
        </w:tc>
      </w:tr>
      <w:tr w:rsidR="00044A67" w:rsidRPr="00675E25" w:rsidTr="00707A0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675E25" w:rsidRDefault="00044A67" w:rsidP="00707A0E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121,6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140,3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35,7</w:t>
            </w:r>
          </w:p>
        </w:tc>
      </w:tr>
      <w:tr w:rsidR="00044A67" w:rsidRPr="00675E25" w:rsidTr="00707A0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675E25" w:rsidRDefault="00044A67" w:rsidP="00707A0E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94,4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91,1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47,0</w:t>
            </w:r>
          </w:p>
        </w:tc>
      </w:tr>
      <w:tr w:rsidR="00044A67" w:rsidRPr="00675E25" w:rsidTr="00707A0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044A67" w:rsidRPr="00675E25" w:rsidRDefault="00044A67" w:rsidP="00707A0E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65,9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044A67" w:rsidRPr="00E376C9" w:rsidRDefault="00044A67" w:rsidP="00707A0E">
            <w:pPr>
              <w:pStyle w:val="tableteksttab"/>
            </w:pPr>
            <w:r w:rsidRPr="00E376C9">
              <w:t>71,8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044A67" w:rsidRDefault="00044A67" w:rsidP="00707A0E">
            <w:pPr>
              <w:pStyle w:val="tableteksttab"/>
            </w:pPr>
            <w:r w:rsidRPr="00E376C9">
              <w:t>17,3</w:t>
            </w:r>
          </w:p>
        </w:tc>
      </w:tr>
    </w:tbl>
    <w:p w:rsidR="00044A67" w:rsidRPr="00675E25" w:rsidRDefault="00044A67" w:rsidP="00A94282">
      <w:pPr>
        <w:pStyle w:val="tekst"/>
        <w:spacing w:before="240"/>
      </w:pPr>
      <w:r w:rsidRPr="00675E25">
        <w:t xml:space="preserve">Wartość produkcji sprzedanej budownictwa zrealizowanej w okresie </w:t>
      </w:r>
      <w:r>
        <w:t>styczeń-październik</w:t>
      </w:r>
      <w:r w:rsidRPr="00675E25">
        <w:t xml:space="preserve"> br. wyniosła </w:t>
      </w:r>
      <w:r w:rsidRPr="00CF233C">
        <w:t xml:space="preserve">35757,1 </w:t>
      </w:r>
      <w:r>
        <w:t>mln zł, tj. o 5,2</w:t>
      </w:r>
      <w:r w:rsidRPr="00675E25">
        <w:t xml:space="preserve">% mniej niż </w:t>
      </w:r>
      <w:r>
        <w:t>przed rokiem</w:t>
      </w:r>
      <w:r w:rsidRPr="00675E25">
        <w:t xml:space="preserve"> (</w:t>
      </w:r>
      <w:r w:rsidRPr="00EC48CB">
        <w:t>w</w:t>
      </w:r>
      <w:r>
        <w:t xml:space="preserve"> analogicznym okresie ub. roku </w:t>
      </w:r>
      <w:r w:rsidRPr="00675E25">
        <w:t>notowano wzrost sprzedaży o</w:t>
      </w:r>
      <w:r>
        <w:t xml:space="preserve"> 5,5%). Wydajność pracy w </w:t>
      </w:r>
      <w:r w:rsidRPr="00675E25">
        <w:t>budownictwie</w:t>
      </w:r>
      <w:r>
        <w:t>, licząc</w:t>
      </w:r>
      <w:r w:rsidRPr="00675E25">
        <w:t xml:space="preserve"> </w:t>
      </w:r>
      <w:r>
        <w:t>od początku roku,</w:t>
      </w:r>
      <w:r w:rsidRPr="00675E25">
        <w:t xml:space="preserve"> kształtowała się na poziomie </w:t>
      </w:r>
      <w:r w:rsidRPr="00CF233C">
        <w:t xml:space="preserve">889,9 </w:t>
      </w:r>
      <w:r>
        <w:t xml:space="preserve">tys. zł na 1 zatrudnionego i </w:t>
      </w:r>
      <w:r w:rsidRPr="00675E25">
        <w:t xml:space="preserve">w ciągu roku </w:t>
      </w:r>
      <w:r w:rsidRPr="00675E25">
        <w:rPr>
          <w:szCs w:val="19"/>
        </w:rPr>
        <w:t xml:space="preserve">zmniejszyła się </w:t>
      </w:r>
      <w:r>
        <w:t>o 1,8</w:t>
      </w:r>
      <w:r w:rsidRPr="00675E25">
        <w:t xml:space="preserve">%, przy spadku zatrudnienia w tej sekcji o </w:t>
      </w:r>
      <w:r>
        <w:t>3,4</w:t>
      </w:r>
      <w:r w:rsidRPr="00675E25">
        <w:t>% i wzroście przeciętnego mies</w:t>
      </w:r>
      <w:r>
        <w:t>ięcznego wynagrodzenia brutto o 15,1</w:t>
      </w:r>
      <w:r w:rsidRPr="00675E25">
        <w:t xml:space="preserve">%. </w:t>
      </w:r>
    </w:p>
    <w:p w:rsidR="00044A67" w:rsidRPr="00A351E4" w:rsidRDefault="00044A67" w:rsidP="00044A67">
      <w:pPr>
        <w:pStyle w:val="tekst"/>
      </w:pPr>
      <w:r w:rsidRPr="00A351E4">
        <w:rPr>
          <w:spacing w:val="-2"/>
        </w:rPr>
        <w:t xml:space="preserve">Produkcja budowlano-montażowa, która w okresie </w:t>
      </w:r>
      <w:r>
        <w:rPr>
          <w:spacing w:val="-2"/>
        </w:rPr>
        <w:t>styczeń-</w:t>
      </w:r>
      <w:r w:rsidR="00A94282">
        <w:rPr>
          <w:spacing w:val="-2"/>
        </w:rPr>
        <w:t>p</w:t>
      </w:r>
      <w:r>
        <w:t>aździernik</w:t>
      </w:r>
      <w:r w:rsidRPr="00A351E4">
        <w:rPr>
          <w:spacing w:val="-2"/>
        </w:rPr>
        <w:t xml:space="preserve"> br. wyniosła </w:t>
      </w:r>
      <w:r w:rsidRPr="00CF233C">
        <w:rPr>
          <w:spacing w:val="-2"/>
        </w:rPr>
        <w:t xml:space="preserve">13448,4 </w:t>
      </w:r>
      <w:r w:rsidRPr="00A351E4">
        <w:rPr>
          <w:spacing w:val="-2"/>
        </w:rPr>
        <w:t xml:space="preserve">mln zł, stanowiła </w:t>
      </w:r>
      <w:r>
        <w:rPr>
          <w:spacing w:val="-2"/>
        </w:rPr>
        <w:t>37,6</w:t>
      </w:r>
      <w:r w:rsidRPr="00A351E4">
        <w:rPr>
          <w:spacing w:val="-2"/>
        </w:rPr>
        <w:t xml:space="preserve">% wartości sprzedaży sekcji budownictwo, tj. o </w:t>
      </w:r>
      <w:r>
        <w:rPr>
          <w:spacing w:val="-2"/>
        </w:rPr>
        <w:t xml:space="preserve">1,5 </w:t>
      </w:r>
      <w:r w:rsidRPr="00A351E4">
        <w:rPr>
          <w:spacing w:val="-2"/>
        </w:rPr>
        <w:t>p.proc. więcej niż przed rokiem. Wartość p</w:t>
      </w:r>
      <w:r>
        <w:rPr>
          <w:spacing w:val="-2"/>
        </w:rPr>
        <w:t>rodukcji budowlano-montażowej w </w:t>
      </w:r>
      <w:r w:rsidRPr="00A351E4">
        <w:rPr>
          <w:spacing w:val="-2"/>
        </w:rPr>
        <w:t xml:space="preserve">ciągu roku </w:t>
      </w:r>
      <w:r>
        <w:rPr>
          <w:spacing w:val="-2"/>
        </w:rPr>
        <w:t>zmniejszyła się</w:t>
      </w:r>
      <w:r w:rsidRPr="00A351E4">
        <w:rPr>
          <w:spacing w:val="-2"/>
        </w:rPr>
        <w:t xml:space="preserve"> o </w:t>
      </w:r>
      <w:r>
        <w:rPr>
          <w:spacing w:val="-2"/>
        </w:rPr>
        <w:t>1,1</w:t>
      </w:r>
      <w:r w:rsidRPr="00A351E4">
        <w:rPr>
          <w:spacing w:val="-2"/>
        </w:rPr>
        <w:t xml:space="preserve">% (przed rokiem obserwowano wzrost o </w:t>
      </w:r>
      <w:r>
        <w:rPr>
          <w:spacing w:val="-2"/>
        </w:rPr>
        <w:t>6,2</w:t>
      </w:r>
      <w:r w:rsidRPr="00A351E4">
        <w:rPr>
          <w:spacing w:val="-2"/>
        </w:rPr>
        <w:t xml:space="preserve">%). </w:t>
      </w:r>
      <w:r>
        <w:rPr>
          <w:spacing w:val="-2"/>
        </w:rPr>
        <w:t>Od początku roku</w:t>
      </w:r>
      <w:r w:rsidRPr="00A351E4">
        <w:rPr>
          <w:spacing w:val="-2"/>
        </w:rPr>
        <w:t xml:space="preserve"> </w:t>
      </w:r>
      <w:r>
        <w:rPr>
          <w:spacing w:val="-2"/>
        </w:rPr>
        <w:t>największy</w:t>
      </w:r>
      <w:r w:rsidRPr="00A351E4">
        <w:rPr>
          <w:spacing w:val="-2"/>
        </w:rPr>
        <w:t xml:space="preserve"> udział w wielkości produkcji budowlano-montażowej miały przedsiębiorstwa związane z</w:t>
      </w:r>
      <w:r>
        <w:rPr>
          <w:spacing w:val="-2"/>
        </w:rPr>
        <w:t xml:space="preserve"> budową obiektów inżynierii</w:t>
      </w:r>
      <w:r w:rsidRPr="00A351E4">
        <w:rPr>
          <w:spacing w:val="-2"/>
        </w:rPr>
        <w:t xml:space="preserve"> </w:t>
      </w:r>
      <w:r>
        <w:rPr>
          <w:spacing w:val="-2"/>
        </w:rPr>
        <w:t xml:space="preserve">lądowej i wodnej (47,0%), ale duży wkład wniosły także jednostki zajmujące się </w:t>
      </w:r>
      <w:r w:rsidRPr="00A351E4">
        <w:rPr>
          <w:spacing w:val="-2"/>
        </w:rPr>
        <w:t>wznoszeniem budynków (</w:t>
      </w:r>
      <w:r w:rsidRPr="0094423F">
        <w:rPr>
          <w:spacing w:val="-2"/>
        </w:rPr>
        <w:t>3</w:t>
      </w:r>
      <w:r>
        <w:rPr>
          <w:spacing w:val="-2"/>
        </w:rPr>
        <w:t>5,7</w:t>
      </w:r>
      <w:r w:rsidR="00A94282">
        <w:rPr>
          <w:spacing w:val="-2"/>
        </w:rPr>
        <w:t>%).</w:t>
      </w:r>
    </w:p>
    <w:p w:rsidR="00044A67" w:rsidRDefault="00044A67" w:rsidP="00044A67">
      <w:pPr>
        <w:pStyle w:val="Nagwek1"/>
      </w:pPr>
      <w:bookmarkStart w:id="22" w:name="_Toc183619739"/>
      <w:r w:rsidRPr="00A25A31">
        <w:t xml:space="preserve">Budownictwo </w:t>
      </w:r>
      <w:r w:rsidRPr="00324EA6">
        <w:t>mieszkaniowe</w:t>
      </w:r>
      <w:bookmarkEnd w:id="19"/>
      <w:bookmarkEnd w:id="20"/>
      <w:bookmarkEnd w:id="21"/>
      <w:bookmarkEnd w:id="22"/>
    </w:p>
    <w:p w:rsidR="00044A67" w:rsidRPr="007813ED" w:rsidRDefault="00044A67" w:rsidP="00044A67">
      <w:pPr>
        <w:pStyle w:val="tekst"/>
      </w:pPr>
      <w:r>
        <w:rPr>
          <w:szCs w:val="19"/>
        </w:rPr>
        <w:t>W październiku</w:t>
      </w:r>
      <w:r w:rsidRPr="007813ED">
        <w:rPr>
          <w:szCs w:val="19"/>
        </w:rPr>
        <w:t xml:space="preserve"> br.</w:t>
      </w:r>
      <w:r w:rsidRPr="007813ED">
        <w:t xml:space="preserve"> w województwie </w:t>
      </w:r>
      <w:r w:rsidRPr="007813ED">
        <w:rPr>
          <w:b/>
        </w:rPr>
        <w:t>oddano do użytkowania</w:t>
      </w:r>
      <w:r w:rsidRPr="007813ED">
        <w:t xml:space="preserve"> więcej </w:t>
      </w:r>
      <w:r w:rsidRPr="007813ED">
        <w:rPr>
          <w:b/>
        </w:rPr>
        <w:t>mieszkań</w:t>
      </w:r>
      <w:r w:rsidRPr="007813ED">
        <w:t xml:space="preserve"> niż przed rokiem. Większa była również liczba mieszkań, których budowę w tym czasie rozpoczęto.</w:t>
      </w:r>
      <w:r>
        <w:t xml:space="preserve"> Obniżyła się natomiast </w:t>
      </w:r>
      <w:r w:rsidRPr="007813ED">
        <w:t>liczba mieszkań na których realizację wydano pozwolenia lub dokonano zgłoszenia z projektem budowlanym</w:t>
      </w:r>
      <w:r>
        <w:t>.</w:t>
      </w:r>
    </w:p>
    <w:p w:rsidR="00044A67" w:rsidRPr="007813ED" w:rsidRDefault="00044A67" w:rsidP="00044A67">
      <w:r w:rsidRPr="007813ED">
        <w:rPr>
          <w:spacing w:val="-2"/>
        </w:rPr>
        <w:t>Według wstępnych danych</w:t>
      </w:r>
      <w:r w:rsidRPr="007813ED">
        <w:rPr>
          <w:rStyle w:val="Odwoanieprzypisudolnego"/>
          <w:spacing w:val="-2"/>
          <w:szCs w:val="19"/>
        </w:rPr>
        <w:footnoteReference w:id="2"/>
      </w:r>
      <w:r w:rsidRPr="007813ED">
        <w:rPr>
          <w:spacing w:val="-2"/>
        </w:rPr>
        <w:t xml:space="preserve"> </w:t>
      </w:r>
      <w:r>
        <w:rPr>
          <w:spacing w:val="-2"/>
        </w:rPr>
        <w:t>w październiku</w:t>
      </w:r>
      <w:r w:rsidRPr="007813ED">
        <w:rPr>
          <w:spacing w:val="-2"/>
        </w:rPr>
        <w:t xml:space="preserve"> br. oddano do użytkowania </w:t>
      </w:r>
      <w:r>
        <w:rPr>
          <w:spacing w:val="-2"/>
        </w:rPr>
        <w:t>1</w:t>
      </w:r>
      <w:r w:rsidRPr="00C50C98">
        <w:rPr>
          <w:spacing w:val="-2"/>
        </w:rPr>
        <w:t>810</w:t>
      </w:r>
      <w:r w:rsidRPr="007813ED">
        <w:rPr>
          <w:spacing w:val="-2"/>
        </w:rPr>
        <w:t xml:space="preserve"> now</w:t>
      </w:r>
      <w:r>
        <w:rPr>
          <w:spacing w:val="-2"/>
        </w:rPr>
        <w:t>ych</w:t>
      </w:r>
      <w:r w:rsidRPr="007813ED">
        <w:rPr>
          <w:spacing w:val="-2"/>
        </w:rPr>
        <w:t xml:space="preserve"> mieszka</w:t>
      </w:r>
      <w:r>
        <w:rPr>
          <w:spacing w:val="-2"/>
        </w:rPr>
        <w:t>ń</w:t>
      </w:r>
      <w:r w:rsidRPr="007813ED">
        <w:rPr>
          <w:spacing w:val="-2"/>
        </w:rPr>
        <w:t xml:space="preserve">, tj. o </w:t>
      </w:r>
      <w:r w:rsidRPr="00F2351E">
        <w:rPr>
          <w:spacing w:val="-2"/>
        </w:rPr>
        <w:t>28,6</w:t>
      </w:r>
      <w:r w:rsidRPr="007813ED">
        <w:rPr>
          <w:spacing w:val="-2"/>
        </w:rPr>
        <w:t xml:space="preserve">% </w:t>
      </w:r>
      <w:r>
        <w:rPr>
          <w:spacing w:val="-2"/>
        </w:rPr>
        <w:t xml:space="preserve">mniej </w:t>
      </w:r>
      <w:r w:rsidRPr="007813ED">
        <w:rPr>
          <w:spacing w:val="-2"/>
        </w:rPr>
        <w:t xml:space="preserve">niż </w:t>
      </w:r>
      <w:r>
        <w:rPr>
          <w:spacing w:val="-2"/>
        </w:rPr>
        <w:t>we wrześniu</w:t>
      </w:r>
      <w:r w:rsidRPr="007813ED">
        <w:rPr>
          <w:spacing w:val="-2"/>
        </w:rPr>
        <w:t xml:space="preserve"> br.</w:t>
      </w:r>
      <w:r>
        <w:rPr>
          <w:spacing w:val="-2"/>
        </w:rPr>
        <w:t xml:space="preserve">, ale </w:t>
      </w:r>
      <w:r w:rsidRPr="007813ED">
        <w:rPr>
          <w:spacing w:val="-2"/>
        </w:rPr>
        <w:t xml:space="preserve">o </w:t>
      </w:r>
      <w:r>
        <w:rPr>
          <w:spacing w:val="-2"/>
        </w:rPr>
        <w:t>9,2</w:t>
      </w:r>
      <w:r w:rsidRPr="007813ED">
        <w:rPr>
          <w:spacing w:val="-2"/>
        </w:rPr>
        <w:t xml:space="preserve">% więcej niż przed rokiem. </w:t>
      </w:r>
      <w:r>
        <w:t>D</w:t>
      </w:r>
      <w:r w:rsidRPr="007813ED">
        <w:t>eweloperzy</w:t>
      </w:r>
      <w:r w:rsidRPr="007813ED">
        <w:rPr>
          <w:rStyle w:val="Odwoanieprzypisudolnego"/>
        </w:rPr>
        <w:footnoteReference w:id="3"/>
      </w:r>
      <w:r>
        <w:t xml:space="preserve"> </w:t>
      </w:r>
      <w:r w:rsidRPr="007813ED">
        <w:rPr>
          <w:spacing w:val="-2"/>
        </w:rPr>
        <w:t>przekazali do eksploatacji</w:t>
      </w:r>
      <w:r>
        <w:rPr>
          <w:spacing w:val="-2"/>
        </w:rPr>
        <w:t xml:space="preserve"> 1</w:t>
      </w:r>
      <w:r w:rsidRPr="00F2351E">
        <w:rPr>
          <w:spacing w:val="-2"/>
        </w:rPr>
        <w:t>202</w:t>
      </w:r>
      <w:r w:rsidRPr="007813ED">
        <w:rPr>
          <w:spacing w:val="-2"/>
        </w:rPr>
        <w:t xml:space="preserve"> </w:t>
      </w:r>
      <w:r>
        <w:rPr>
          <w:spacing w:val="-2"/>
        </w:rPr>
        <w:t xml:space="preserve">nowe </w:t>
      </w:r>
      <w:r w:rsidRPr="007813ED">
        <w:rPr>
          <w:spacing w:val="-2"/>
        </w:rPr>
        <w:t>mieszka</w:t>
      </w:r>
      <w:r>
        <w:rPr>
          <w:spacing w:val="-2"/>
        </w:rPr>
        <w:t>nia</w:t>
      </w:r>
      <w:r w:rsidRPr="007813ED">
        <w:rPr>
          <w:spacing w:val="-2"/>
        </w:rPr>
        <w:t xml:space="preserve">. Było to </w:t>
      </w:r>
      <w:r>
        <w:t>o 40,4</w:t>
      </w:r>
      <w:r w:rsidRPr="007813ED">
        <w:t xml:space="preserve">% </w:t>
      </w:r>
      <w:r>
        <w:rPr>
          <w:spacing w:val="-2"/>
        </w:rPr>
        <w:t xml:space="preserve">mniej </w:t>
      </w:r>
      <w:r w:rsidRPr="007813ED">
        <w:t>niż przed miesiącem</w:t>
      </w:r>
      <w:r>
        <w:t>, ale</w:t>
      </w:r>
      <w:r w:rsidRPr="007813ED">
        <w:t xml:space="preserve"> o </w:t>
      </w:r>
      <w:r>
        <w:t>31,2</w:t>
      </w:r>
      <w:r w:rsidRPr="007813ED">
        <w:t xml:space="preserve">% </w:t>
      </w:r>
      <w:r>
        <w:rPr>
          <w:spacing w:val="-2"/>
        </w:rPr>
        <w:t xml:space="preserve">więcej </w:t>
      </w:r>
      <w:r w:rsidRPr="007813ED">
        <w:t xml:space="preserve">niż </w:t>
      </w:r>
      <w:r>
        <w:t>w październiku</w:t>
      </w:r>
      <w:r w:rsidRPr="007813ED">
        <w:t xml:space="preserve"> ub. roku. Inwestorzy indywidualni wybudowali</w:t>
      </w:r>
      <w:r>
        <w:t xml:space="preserve"> w </w:t>
      </w:r>
      <w:r w:rsidRPr="007813ED">
        <w:t xml:space="preserve">tym czasie </w:t>
      </w:r>
      <w:r w:rsidRPr="005E06A3">
        <w:t>571</w:t>
      </w:r>
      <w:r>
        <w:t xml:space="preserve"> mieszkań</w:t>
      </w:r>
      <w:r w:rsidRPr="007813ED">
        <w:t xml:space="preserve">, tj. o </w:t>
      </w:r>
      <w:r w:rsidRPr="005E06A3">
        <w:t xml:space="preserve">13,7 </w:t>
      </w:r>
      <w:r w:rsidRPr="007813ED">
        <w:t xml:space="preserve">% </w:t>
      </w:r>
      <w:r>
        <w:rPr>
          <w:spacing w:val="-2"/>
        </w:rPr>
        <w:t>więcej</w:t>
      </w:r>
      <w:r w:rsidRPr="007813ED">
        <w:rPr>
          <w:spacing w:val="-2"/>
        </w:rPr>
        <w:t xml:space="preserve"> </w:t>
      </w:r>
      <w:r w:rsidRPr="007813ED">
        <w:t xml:space="preserve">niż </w:t>
      </w:r>
      <w:r>
        <w:t>we wrześniu</w:t>
      </w:r>
      <w:r w:rsidRPr="007813ED">
        <w:t xml:space="preserve"> br.</w:t>
      </w:r>
      <w:r>
        <w:t>, ale</w:t>
      </w:r>
      <w:r w:rsidRPr="007813ED">
        <w:t xml:space="preserve"> o </w:t>
      </w:r>
      <w:r>
        <w:t>12,2</w:t>
      </w:r>
      <w:r w:rsidRPr="007813ED">
        <w:t xml:space="preserve">% </w:t>
      </w:r>
      <w:r>
        <w:rPr>
          <w:spacing w:val="-2"/>
        </w:rPr>
        <w:t>mni</w:t>
      </w:r>
      <w:r w:rsidRPr="007813ED">
        <w:rPr>
          <w:spacing w:val="-2"/>
        </w:rPr>
        <w:t xml:space="preserve">ej </w:t>
      </w:r>
      <w:r w:rsidRPr="007813ED">
        <w:t xml:space="preserve">niż </w:t>
      </w:r>
      <w:r w:rsidRPr="007813ED">
        <w:rPr>
          <w:spacing w:val="-2"/>
        </w:rPr>
        <w:t>przed rokiem</w:t>
      </w:r>
      <w:r w:rsidRPr="007813ED">
        <w:t xml:space="preserve">. Listę nowych lokali </w:t>
      </w:r>
      <w:r>
        <w:t>oddanych</w:t>
      </w:r>
      <w:r w:rsidRPr="007813ED">
        <w:t xml:space="preserve"> </w:t>
      </w:r>
      <w:r>
        <w:t>w październiku</w:t>
      </w:r>
      <w:r w:rsidRPr="007813ED">
        <w:t xml:space="preserve"> br. uzupełniło </w:t>
      </w:r>
      <w:r w:rsidRPr="005E06A3">
        <w:t>37</w:t>
      </w:r>
      <w:r w:rsidRPr="007813ED">
        <w:t xml:space="preserve"> mieszkań zrealizowanych w ramach budownictwa </w:t>
      </w:r>
      <w:r>
        <w:t>spółdzielczego</w:t>
      </w:r>
      <w:r w:rsidRPr="007813ED">
        <w:t>.</w:t>
      </w:r>
    </w:p>
    <w:p w:rsidR="00044A67" w:rsidRDefault="00D7441C" w:rsidP="00044A67">
      <w:pPr>
        <w:pStyle w:val="Tytultabeli"/>
        <w:tabs>
          <w:tab w:val="left" w:pos="9923"/>
        </w:tabs>
        <w:spacing w:before="240"/>
      </w:pPr>
      <w:r w:rsidRPr="00D7441C">
        <w:rPr>
          <w:noProof/>
        </w:rPr>
        <w:drawing>
          <wp:anchor distT="0" distB="107950" distL="114300" distR="114300" simplePos="0" relativeHeight="252954112" behindDoc="0" locked="0" layoutInCell="1" allowOverlap="1">
            <wp:simplePos x="0" y="0"/>
            <wp:positionH relativeFrom="margin">
              <wp:posOffset>447040</wp:posOffset>
            </wp:positionH>
            <wp:positionV relativeFrom="paragraph">
              <wp:posOffset>493903</wp:posOffset>
            </wp:positionV>
            <wp:extent cx="5760000" cy="2455200"/>
            <wp:effectExtent l="0" t="0" r="0" b="2540"/>
            <wp:wrapTopAndBottom/>
            <wp:docPr id="25" name="Obraz 25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7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9.</w:t>
      </w:r>
      <w:r w:rsidR="00044A67">
        <w:tab/>
      </w:r>
      <w:r w:rsidR="00044A67" w:rsidRPr="008B04AE">
        <w:t>Mieszkania oddane do użytkowania</w:t>
      </w:r>
      <w:r w:rsidR="00044A67" w:rsidRPr="008B04AE">
        <w:br/>
      </w:r>
      <w:r w:rsidR="00044A67" w:rsidRPr="003E046B">
        <w:t>(analogiczny okres roku 20</w:t>
      </w:r>
      <w:r w:rsidR="00044A67">
        <w:t>2</w:t>
      </w:r>
      <w:r w:rsidR="00044A67" w:rsidRPr="003E046B">
        <w:t>1=100)</w:t>
      </w:r>
      <w:r w:rsidR="00044A67" w:rsidRPr="007F73D2">
        <w:t xml:space="preserve"> </w:t>
      </w:r>
    </w:p>
    <w:p w:rsidR="00044A67" w:rsidRPr="00070B13" w:rsidRDefault="00044A67" w:rsidP="00044A67">
      <w:pPr>
        <w:pStyle w:val="tekst"/>
      </w:pPr>
      <w:r w:rsidRPr="00070B13">
        <w:lastRenderedPageBreak/>
        <w:t xml:space="preserve">Od początku roku oddano do eksploatacji </w:t>
      </w:r>
      <w:r>
        <w:t>16</w:t>
      </w:r>
      <w:r w:rsidRPr="00EF7AA1">
        <w:t>209</w:t>
      </w:r>
      <w:r w:rsidRPr="00070B13">
        <w:t xml:space="preserve"> nowych mieszkań, tj. o </w:t>
      </w:r>
      <w:r w:rsidRPr="00EF7AA1">
        <w:t>14,4</w:t>
      </w:r>
      <w:r w:rsidRPr="00070B13">
        <w:t>% mni</w:t>
      </w:r>
      <w:r w:rsidRPr="00070B13">
        <w:rPr>
          <w:szCs w:val="19"/>
        </w:rPr>
        <w:t>ej</w:t>
      </w:r>
      <w:r w:rsidRPr="00070B13">
        <w:t xml:space="preserve"> w porównaniu z okresem styczeń-</w:t>
      </w:r>
      <w:r w:rsidRPr="00070B13">
        <w:br/>
        <w:t>-</w:t>
      </w:r>
      <w:r>
        <w:t>październik</w:t>
      </w:r>
      <w:r w:rsidRPr="00070B13">
        <w:t xml:space="preserve"> ub. roku. Deweloperzy przekazali w tym czasie </w:t>
      </w:r>
      <w:r w:rsidRPr="00EF7AA1">
        <w:t>10445</w:t>
      </w:r>
      <w:r w:rsidRPr="00070B13">
        <w:t xml:space="preserve"> mieszka</w:t>
      </w:r>
      <w:r>
        <w:t>ń</w:t>
      </w:r>
      <w:r w:rsidRPr="00070B13">
        <w:t xml:space="preserve"> (o </w:t>
      </w:r>
      <w:r w:rsidRPr="00EF7AA1">
        <w:t>9,7</w:t>
      </w:r>
      <w:r w:rsidRPr="00070B13">
        <w:t>% mni</w:t>
      </w:r>
      <w:r w:rsidRPr="00070B13">
        <w:rPr>
          <w:szCs w:val="19"/>
        </w:rPr>
        <w:t xml:space="preserve">ej </w:t>
      </w:r>
      <w:r w:rsidRPr="00070B13">
        <w:t xml:space="preserve">niż przed rokiem), w tym </w:t>
      </w:r>
      <w:r>
        <w:t>95</w:t>
      </w:r>
      <w:r w:rsidRPr="00070B13">
        <w:t xml:space="preserve"> przeznaczon</w:t>
      </w:r>
      <w:r>
        <w:t>ych</w:t>
      </w:r>
      <w:r w:rsidRPr="00070B13">
        <w:t xml:space="preserve"> na wynajem, natomiast inwestorzy indywidualni wybudowali </w:t>
      </w:r>
      <w:r w:rsidRPr="00EF7AA1">
        <w:t>5376</w:t>
      </w:r>
      <w:r w:rsidRPr="00070B13">
        <w:t xml:space="preserve"> mieszka</w:t>
      </w:r>
      <w:r>
        <w:t>ń</w:t>
      </w:r>
      <w:r w:rsidRPr="00070B13">
        <w:t xml:space="preserve"> (o </w:t>
      </w:r>
      <w:r w:rsidRPr="00EF7AA1">
        <w:t>24,3</w:t>
      </w:r>
      <w:r w:rsidRPr="00070B13">
        <w:t xml:space="preserve">% mniej). Ponadto </w:t>
      </w:r>
      <w:r>
        <w:t>37</w:t>
      </w:r>
      <w:r w:rsidRPr="00070B13">
        <w:t xml:space="preserve"> mieszka</w:t>
      </w:r>
      <w:r>
        <w:t>ń</w:t>
      </w:r>
      <w:r w:rsidRPr="00070B13">
        <w:t xml:space="preserve"> powstał</w:t>
      </w:r>
      <w:r>
        <w:t>o</w:t>
      </w:r>
      <w:r w:rsidRPr="00070B13">
        <w:t xml:space="preserve"> w ramach budownictwa</w:t>
      </w:r>
      <w:r>
        <w:t xml:space="preserve"> spółdzielczego (o</w:t>
      </w:r>
      <w:r w:rsidRPr="00070B13">
        <w:t xml:space="preserve"> </w:t>
      </w:r>
      <w:r w:rsidRPr="00555310">
        <w:t>27,6</w:t>
      </w:r>
      <w:r>
        <w:t xml:space="preserve">% </w:t>
      </w:r>
      <w:r w:rsidRPr="00070B13">
        <w:t>więcej</w:t>
      </w:r>
      <w:r w:rsidRPr="00825CCD">
        <w:t xml:space="preserve"> </w:t>
      </w:r>
      <w:r>
        <w:t xml:space="preserve">niż przed rokiem), </w:t>
      </w:r>
      <w:r w:rsidRPr="00825CCD">
        <w:t>79</w:t>
      </w:r>
      <w:r>
        <w:t xml:space="preserve"> –</w:t>
      </w:r>
      <w:r w:rsidR="00A94282">
        <w:t xml:space="preserve"> </w:t>
      </w:r>
      <w:r w:rsidRPr="00070B13">
        <w:t xml:space="preserve">komunalnego (o </w:t>
      </w:r>
      <w:r>
        <w:t>11,3</w:t>
      </w:r>
      <w:r w:rsidRPr="00070B13">
        <w:t xml:space="preserve">% więcej), 262 </w:t>
      </w:r>
      <w:r>
        <w:t>–</w:t>
      </w:r>
      <w:r w:rsidR="00EF0A03">
        <w:t xml:space="preserve"> </w:t>
      </w:r>
      <w:r w:rsidRPr="00070B13">
        <w:t>społeczn</w:t>
      </w:r>
      <w:r w:rsidR="00EF0A03">
        <w:t>ego</w:t>
      </w:r>
      <w:r w:rsidRPr="00070B13">
        <w:t xml:space="preserve"> czynszow</w:t>
      </w:r>
      <w:r>
        <w:t>ego</w:t>
      </w:r>
      <w:r w:rsidRPr="00070B13">
        <w:t xml:space="preserve"> (</w:t>
      </w:r>
      <w:r>
        <w:t xml:space="preserve">o </w:t>
      </w:r>
      <w:r w:rsidRPr="00555310">
        <w:t>56,9</w:t>
      </w:r>
      <w:r>
        <w:t>%</w:t>
      </w:r>
      <w:r w:rsidRPr="00555310">
        <w:t xml:space="preserve"> </w:t>
      </w:r>
      <w:r w:rsidRPr="00070B13">
        <w:t xml:space="preserve">więcej), a 10 </w:t>
      </w:r>
      <w:r>
        <w:t>–</w:t>
      </w:r>
      <w:r w:rsidR="00A94282">
        <w:t xml:space="preserve"> </w:t>
      </w:r>
      <w:r w:rsidRPr="00070B13">
        <w:t>zakładow</w:t>
      </w:r>
      <w:r>
        <w:t>ego</w:t>
      </w:r>
      <w:r w:rsidRPr="00070B13">
        <w:t>.</w:t>
      </w:r>
    </w:p>
    <w:p w:rsidR="00044A67" w:rsidRPr="00E87892" w:rsidRDefault="00044A67" w:rsidP="00044A67">
      <w:pPr>
        <w:pStyle w:val="Tytultabeli"/>
        <w:spacing w:before="360"/>
      </w:pPr>
      <w:r>
        <w:t>Tablica 9.</w:t>
      </w:r>
      <w:r>
        <w:tab/>
        <w:t>M</w:t>
      </w:r>
      <w:r w:rsidRPr="00E87892">
        <w:t>ieszka</w:t>
      </w:r>
      <w:r>
        <w:t>nia oddane</w:t>
      </w:r>
      <w:r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październik br.,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 xml:space="preserve">01–10 </w:t>
            </w:r>
            <w:r w:rsidRPr="00A56F17">
              <w:t>202</w:t>
            </w:r>
            <w:r>
              <w:t>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roku </w:t>
            </w:r>
          </w:p>
          <w:p w:rsidR="00044A67" w:rsidRPr="00C20CD4" w:rsidRDefault="00044A67" w:rsidP="00707A0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48121E" w:rsidRDefault="00044A67" w:rsidP="00707A0E">
            <w:pPr>
              <w:pStyle w:val="tableteksttab"/>
              <w:rPr>
                <w:b/>
              </w:rPr>
            </w:pPr>
            <w:r w:rsidRPr="0048121E">
              <w:rPr>
                <w:b/>
              </w:rPr>
              <w:t>16209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48121E" w:rsidRDefault="00044A67" w:rsidP="00707A0E">
            <w:pPr>
              <w:pStyle w:val="tableteksttab"/>
              <w:rPr>
                <w:b/>
              </w:rPr>
            </w:pPr>
            <w:r w:rsidRPr="0048121E">
              <w:rPr>
                <w:b/>
              </w:rPr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48121E" w:rsidRDefault="00044A67" w:rsidP="00707A0E">
            <w:pPr>
              <w:pStyle w:val="tableteksttab"/>
              <w:rPr>
                <w:b/>
              </w:rPr>
            </w:pPr>
            <w:r w:rsidRPr="0048121E">
              <w:rPr>
                <w:b/>
              </w:rPr>
              <w:t>85,6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48121E" w:rsidRDefault="00044A67" w:rsidP="00707A0E">
            <w:pPr>
              <w:pStyle w:val="tableteksttab"/>
              <w:rPr>
                <w:b/>
              </w:rPr>
            </w:pPr>
            <w:r w:rsidRPr="0048121E">
              <w:rPr>
                <w:b/>
              </w:rPr>
              <w:t>88,1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5376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33,2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75,7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140,8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10445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64,4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90,3</w:t>
            </w:r>
          </w:p>
        </w:tc>
        <w:tc>
          <w:tcPr>
            <w:tcW w:w="1699" w:type="dxa"/>
            <w:tcBorders>
              <w:top w:val="single" w:sz="4" w:space="0" w:color="522398"/>
            </w:tcBorders>
          </w:tcPr>
          <w:p w:rsidR="00044A67" w:rsidRPr="00D95310" w:rsidRDefault="00044A67" w:rsidP="00707A0E">
            <w:pPr>
              <w:pStyle w:val="tableteksttab"/>
            </w:pPr>
            <w:r w:rsidRPr="00D95310">
              <w:t>62,4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044A67" w:rsidRPr="00C20CD4" w:rsidRDefault="00044A67" w:rsidP="00707A0E">
            <w:pPr>
              <w:pStyle w:val="boczek2"/>
            </w:pPr>
            <w:r>
              <w:t>w tym na wynajem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95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0,6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84,1</w:t>
            </w:r>
          </w:p>
        </w:tc>
        <w:tc>
          <w:tcPr>
            <w:tcW w:w="1699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78,4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044A67" w:rsidRDefault="00044A67" w:rsidP="00707A0E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37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0,2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127,6</w:t>
            </w:r>
          </w:p>
        </w:tc>
        <w:tc>
          <w:tcPr>
            <w:tcW w:w="1699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53,1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044A67" w:rsidRDefault="00044A67" w:rsidP="00707A0E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79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0,5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111,3</w:t>
            </w:r>
          </w:p>
        </w:tc>
        <w:tc>
          <w:tcPr>
            <w:tcW w:w="1699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47,5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044A67" w:rsidRDefault="00044A67" w:rsidP="00707A0E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262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1,6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156,9</w:t>
            </w:r>
          </w:p>
        </w:tc>
        <w:tc>
          <w:tcPr>
            <w:tcW w:w="1699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51,6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044A67" w:rsidRDefault="00044A67" w:rsidP="00707A0E">
            <w:pPr>
              <w:pStyle w:val="boczek1"/>
            </w:pPr>
            <w:r>
              <w:t>Zakładowe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10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0,1</w:t>
            </w:r>
          </w:p>
        </w:tc>
        <w:tc>
          <w:tcPr>
            <w:tcW w:w="1698" w:type="dxa"/>
          </w:tcPr>
          <w:p w:rsidR="00044A67" w:rsidRPr="00D95310" w:rsidRDefault="00044A67" w:rsidP="00707A0E">
            <w:pPr>
              <w:pStyle w:val="tableteksttab"/>
            </w:pPr>
            <w:r w:rsidRPr="00D95310">
              <w:t>.</w:t>
            </w:r>
          </w:p>
        </w:tc>
        <w:tc>
          <w:tcPr>
            <w:tcW w:w="1699" w:type="dxa"/>
          </w:tcPr>
          <w:p w:rsidR="00044A67" w:rsidRDefault="00044A67" w:rsidP="00707A0E">
            <w:pPr>
              <w:pStyle w:val="tableteksttab"/>
            </w:pPr>
            <w:r w:rsidRPr="00D95310">
              <w:t>40,2</w:t>
            </w:r>
          </w:p>
        </w:tc>
      </w:tr>
    </w:tbl>
    <w:p w:rsidR="00044A67" w:rsidRDefault="00044A67" w:rsidP="00044A67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044A67" w:rsidRDefault="00044A67" w:rsidP="00B469BE">
      <w:pPr>
        <w:pStyle w:val="tekst"/>
        <w:spacing w:before="240"/>
      </w:pPr>
      <w:r w:rsidRPr="00B27452">
        <w:t>Najwięcej nowych mieszkań oddano do użytkowania w Poznaniu (</w:t>
      </w:r>
      <w:r w:rsidRPr="00A771C7">
        <w:t>4690</w:t>
      </w:r>
      <w:r w:rsidRPr="00B27452">
        <w:t xml:space="preserve">, tj. </w:t>
      </w:r>
      <w:r w:rsidRPr="00A771C7">
        <w:t>28,9</w:t>
      </w:r>
      <w:r w:rsidRPr="00B27452">
        <w:t>%) oraz w powiecie poznańskim (</w:t>
      </w:r>
      <w:r w:rsidRPr="00A771C7">
        <w:t>3281</w:t>
      </w:r>
      <w:r w:rsidRPr="00B27452">
        <w:t xml:space="preserve">, czyli </w:t>
      </w:r>
      <w:r w:rsidRPr="00A771C7">
        <w:t>20,2</w:t>
      </w:r>
      <w:r w:rsidRPr="00B27452">
        <w:t>%), a ponadto w ostrowskim (</w:t>
      </w:r>
      <w:r w:rsidRPr="00A771C7">
        <w:t>534</w:t>
      </w:r>
      <w:r w:rsidRPr="00B27452">
        <w:t>, tj. 3,</w:t>
      </w:r>
      <w:r>
        <w:t>3</w:t>
      </w:r>
      <w:r w:rsidRPr="00B27452">
        <w:t>%),</w:t>
      </w:r>
      <w:r w:rsidRPr="00A771C7">
        <w:t xml:space="preserve"> </w:t>
      </w:r>
      <w:r w:rsidRPr="00B27452">
        <w:t>Kaliszu (</w:t>
      </w:r>
      <w:r w:rsidRPr="00A771C7">
        <w:t>515</w:t>
      </w:r>
      <w:r>
        <w:t>, tj. 3,2</w:t>
      </w:r>
      <w:r w:rsidRPr="00B27452">
        <w:t>%)</w:t>
      </w:r>
      <w:r>
        <w:t xml:space="preserve">, </w:t>
      </w:r>
      <w:r w:rsidRPr="00B27452">
        <w:t>konińskim (</w:t>
      </w:r>
      <w:r w:rsidRPr="00A771C7">
        <w:t>423</w:t>
      </w:r>
      <w:r w:rsidRPr="00B27452">
        <w:t>, tj. 2,</w:t>
      </w:r>
      <w:r>
        <w:t xml:space="preserve">6%) oraz </w:t>
      </w:r>
      <w:r w:rsidRPr="00B27452">
        <w:t>szamotulskim (</w:t>
      </w:r>
      <w:r w:rsidRPr="00A771C7">
        <w:t>398</w:t>
      </w:r>
      <w:r w:rsidRPr="00B27452">
        <w:t>, tj. 2,</w:t>
      </w:r>
      <w:r>
        <w:t>5%). Nadal</w:t>
      </w:r>
      <w:r w:rsidRPr="00B27452">
        <w:t xml:space="preserve"> najmniej mieszkań budowan</w:t>
      </w:r>
      <w:r>
        <w:t>ych jest</w:t>
      </w:r>
      <w:r w:rsidRPr="00B27452">
        <w:t xml:space="preserve"> w Koninie (od początku br. </w:t>
      </w:r>
      <w:r>
        <w:t xml:space="preserve">88 </w:t>
      </w:r>
      <w:r w:rsidRPr="00B27452">
        <w:t>mieszkań).</w:t>
      </w:r>
    </w:p>
    <w:p w:rsidR="00044A67" w:rsidRPr="00957D7F" w:rsidRDefault="00044A67" w:rsidP="00044A67">
      <w:pPr>
        <w:pStyle w:val="tekst"/>
        <w:rPr>
          <w:szCs w:val="19"/>
        </w:rPr>
      </w:pPr>
      <w:r w:rsidRPr="00957D7F">
        <w:rPr>
          <w:b/>
          <w:spacing w:val="-2"/>
          <w:szCs w:val="19"/>
        </w:rPr>
        <w:t>Przeciętna powierzchnia użytkowa 1 mieszkania</w:t>
      </w:r>
      <w:r w:rsidRPr="00957D7F">
        <w:rPr>
          <w:spacing w:val="-2"/>
          <w:szCs w:val="19"/>
        </w:rPr>
        <w:t xml:space="preserve"> </w:t>
      </w:r>
      <w:r w:rsidRPr="00957D7F">
        <w:rPr>
          <w:szCs w:val="19"/>
        </w:rPr>
        <w:t>oddanego do użytkowania w okresie styczeń-</w:t>
      </w:r>
      <w:r>
        <w:t>październik</w:t>
      </w:r>
      <w:r w:rsidRPr="00957D7F">
        <w:rPr>
          <w:szCs w:val="19"/>
        </w:rPr>
        <w:t xml:space="preserve"> </w:t>
      </w:r>
      <w:r w:rsidRPr="00957D7F">
        <w:rPr>
          <w:spacing w:val="-2"/>
          <w:szCs w:val="19"/>
        </w:rPr>
        <w:t xml:space="preserve">br. </w:t>
      </w:r>
      <w:r w:rsidRPr="00957D7F">
        <w:rPr>
          <w:szCs w:val="19"/>
        </w:rPr>
        <w:t xml:space="preserve">wyniosła </w:t>
      </w:r>
      <w:r w:rsidR="00B469BE">
        <w:rPr>
          <w:szCs w:val="19"/>
        </w:rPr>
        <w:t>88,1 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 w:rsidRPr="007809E8">
        <w:rPr>
          <w:szCs w:val="19"/>
        </w:rPr>
        <w:t xml:space="preserve">91,9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). Mieszkania wybudowane przez inwestorów indywidualnych miały przeciętnie </w:t>
      </w:r>
      <w:r w:rsidRPr="007809E8">
        <w:rPr>
          <w:szCs w:val="19"/>
        </w:rPr>
        <w:t xml:space="preserve">140,8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 w:rsidRPr="007809E8">
        <w:rPr>
          <w:szCs w:val="19"/>
        </w:rPr>
        <w:t xml:space="preserve">139,1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), a przeznaczone na sprzedaż lub wynajem – </w:t>
      </w:r>
      <w:r w:rsidRPr="007809E8">
        <w:rPr>
          <w:szCs w:val="19"/>
        </w:rPr>
        <w:t xml:space="preserve">62,4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</w:t>
      </w:r>
      <w:r w:rsidRPr="007809E8">
        <w:rPr>
          <w:szCs w:val="19"/>
        </w:rPr>
        <w:t xml:space="preserve">63,9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przed rokiem). Powierzchnia mieszkań społecznych czynszowych liczyła średnio 51,6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>
        <w:rPr>
          <w:szCs w:val="19"/>
        </w:rPr>
        <w:t>49</w:t>
      </w:r>
      <w:r w:rsidRPr="00957D7F">
        <w:rPr>
          <w:szCs w:val="19"/>
        </w:rPr>
        <w:t>,</w:t>
      </w:r>
      <w:r>
        <w:rPr>
          <w:szCs w:val="19"/>
        </w:rPr>
        <w:t>5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), mieszkań </w:t>
      </w:r>
      <w:r>
        <w:rPr>
          <w:szCs w:val="19"/>
        </w:rPr>
        <w:t>spółdzielczych</w:t>
      </w:r>
      <w:r w:rsidRPr="00957D7F">
        <w:rPr>
          <w:szCs w:val="19"/>
        </w:rPr>
        <w:t xml:space="preserve"> – </w:t>
      </w:r>
      <w:r w:rsidRPr="007809E8">
        <w:rPr>
          <w:szCs w:val="19"/>
        </w:rPr>
        <w:t>53,1</w:t>
      </w:r>
      <w:r w:rsidR="00B469BE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 w:rsidRPr="007809E8">
        <w:rPr>
          <w:szCs w:val="19"/>
        </w:rPr>
        <w:t>48,5</w:t>
      </w:r>
      <w:r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),</w:t>
      </w:r>
      <w:r>
        <w:rPr>
          <w:szCs w:val="19"/>
        </w:rPr>
        <w:t xml:space="preserve"> </w:t>
      </w:r>
      <w:r w:rsidRPr="00957D7F">
        <w:rPr>
          <w:szCs w:val="19"/>
        </w:rPr>
        <w:t xml:space="preserve">mieszkań komunalnych – </w:t>
      </w:r>
      <w:r w:rsidRPr="001C1DFF">
        <w:rPr>
          <w:szCs w:val="19"/>
        </w:rPr>
        <w:t xml:space="preserve">47,5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>
        <w:rPr>
          <w:szCs w:val="19"/>
        </w:rPr>
        <w:t>45,1</w:t>
      </w:r>
      <w:r w:rsidRPr="00957D7F">
        <w:rPr>
          <w:szCs w:val="19"/>
        </w:rPr>
        <w:t> 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), a mieszkań zakładowych – 40,2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(w okresie styczeń-</w:t>
      </w:r>
      <w:r>
        <w:rPr>
          <w:szCs w:val="19"/>
        </w:rPr>
        <w:t>październik</w:t>
      </w:r>
      <w:r w:rsidRPr="00957D7F">
        <w:rPr>
          <w:szCs w:val="19"/>
        </w:rPr>
        <w:t xml:space="preserve"> ub. roku w ramach tej formy budownictwa nie oddano do użytkowania żadnego mieszkania).</w:t>
      </w:r>
    </w:p>
    <w:p w:rsidR="00044A67" w:rsidRDefault="00044A67" w:rsidP="00044A67">
      <w:pPr>
        <w:pStyle w:val="tekst"/>
        <w:rPr>
          <w:szCs w:val="19"/>
        </w:rPr>
      </w:pPr>
      <w:r w:rsidRPr="00D17F59">
        <w:rPr>
          <w:szCs w:val="19"/>
        </w:rPr>
        <w:t>Największą przeciętną powierzchnię użytkową miały mieszkania oddane do użytkowania w powiatach: ostrzeszowskim (</w:t>
      </w:r>
      <w:r w:rsidRPr="00B45165">
        <w:rPr>
          <w:szCs w:val="19"/>
        </w:rPr>
        <w:t>127,2</w:t>
      </w:r>
      <w:r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</w:t>
      </w:r>
      <w:r>
        <w:rPr>
          <w:szCs w:val="19"/>
        </w:rPr>
        <w:t xml:space="preserve"> </w:t>
      </w:r>
      <w:r w:rsidRPr="00D17F59">
        <w:rPr>
          <w:szCs w:val="19"/>
        </w:rPr>
        <w:t>kaliskim (</w:t>
      </w:r>
      <w:r w:rsidRPr="00B45165">
        <w:rPr>
          <w:szCs w:val="19"/>
        </w:rPr>
        <w:t>126,3</w:t>
      </w:r>
      <w:r w:rsidR="0057656D"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międzychodzkim (</w:t>
      </w:r>
      <w:r w:rsidRPr="00B45165">
        <w:rPr>
          <w:szCs w:val="19"/>
        </w:rPr>
        <w:t>120,3</w:t>
      </w:r>
      <w:r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</w:t>
      </w:r>
      <w:r>
        <w:rPr>
          <w:szCs w:val="19"/>
        </w:rPr>
        <w:t xml:space="preserve">, </w:t>
      </w:r>
      <w:r w:rsidRPr="00D17F59">
        <w:rPr>
          <w:szCs w:val="19"/>
        </w:rPr>
        <w:t>konińskim (</w:t>
      </w:r>
      <w:r w:rsidRPr="00B45165">
        <w:rPr>
          <w:szCs w:val="19"/>
        </w:rPr>
        <w:t>119,3</w:t>
      </w:r>
      <w:r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>
        <w:rPr>
          <w:szCs w:val="19"/>
        </w:rPr>
        <w:t>) i</w:t>
      </w:r>
      <w:r w:rsidRPr="001C1DFF">
        <w:rPr>
          <w:szCs w:val="19"/>
        </w:rPr>
        <w:t xml:space="preserve"> </w:t>
      </w:r>
      <w:r w:rsidRPr="00D17F59">
        <w:rPr>
          <w:szCs w:val="19"/>
        </w:rPr>
        <w:t>gnieźnieńskim (</w:t>
      </w:r>
      <w:r w:rsidRPr="00B45165">
        <w:rPr>
          <w:szCs w:val="19"/>
        </w:rPr>
        <w:t>118,9</w:t>
      </w:r>
      <w:r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gdzie dominowały mieszkania budowane przez inwestorów indywidualnych. Najmniejsze były mie</w:t>
      </w:r>
      <w:r>
        <w:rPr>
          <w:szCs w:val="19"/>
        </w:rPr>
        <w:t>szkania oddane do użytkowania w </w:t>
      </w:r>
      <w:r w:rsidRPr="00D17F59">
        <w:rPr>
          <w:szCs w:val="19"/>
        </w:rPr>
        <w:t>Poznaniu (5</w:t>
      </w:r>
      <w:r>
        <w:rPr>
          <w:szCs w:val="19"/>
        </w:rPr>
        <w:t>6</w:t>
      </w:r>
      <w:r w:rsidRPr="00D17F59">
        <w:rPr>
          <w:szCs w:val="19"/>
        </w:rPr>
        <w:t>,</w:t>
      </w:r>
      <w:r>
        <w:rPr>
          <w:szCs w:val="19"/>
        </w:rPr>
        <w:t>4</w:t>
      </w:r>
      <w:r w:rsidRPr="00D17F59">
        <w:rPr>
          <w:szCs w:val="19"/>
        </w:rPr>
        <w:t xml:space="preserve">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Kaliszu (</w:t>
      </w:r>
      <w:r>
        <w:rPr>
          <w:szCs w:val="19"/>
        </w:rPr>
        <w:t>62,6</w:t>
      </w:r>
      <w:r w:rsidRPr="00D17F59">
        <w:rPr>
          <w:szCs w:val="19"/>
        </w:rPr>
        <w:t xml:space="preserve">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</w:t>
      </w:r>
      <w:r>
        <w:rPr>
          <w:szCs w:val="19"/>
        </w:rPr>
        <w:t>,</w:t>
      </w:r>
      <w:r w:rsidRPr="00D17F59">
        <w:rPr>
          <w:szCs w:val="19"/>
        </w:rPr>
        <w:t xml:space="preserve"> </w:t>
      </w:r>
      <w:r>
        <w:rPr>
          <w:szCs w:val="19"/>
        </w:rPr>
        <w:t>Koninie</w:t>
      </w:r>
      <w:r w:rsidRPr="00D17F59">
        <w:rPr>
          <w:szCs w:val="19"/>
        </w:rPr>
        <w:t xml:space="preserve"> (</w:t>
      </w:r>
      <w:r>
        <w:rPr>
          <w:szCs w:val="19"/>
        </w:rPr>
        <w:t>73,1</w:t>
      </w:r>
      <w:r w:rsidRPr="00D17F59">
        <w:rPr>
          <w:szCs w:val="19"/>
        </w:rPr>
        <w:t xml:space="preserve">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</w:t>
      </w:r>
      <w:r w:rsidRPr="00B45165">
        <w:rPr>
          <w:szCs w:val="19"/>
        </w:rPr>
        <w:t xml:space="preserve"> </w:t>
      </w:r>
      <w:r w:rsidRPr="00D17F59">
        <w:rPr>
          <w:szCs w:val="19"/>
        </w:rPr>
        <w:t>oraz</w:t>
      </w:r>
      <w:r>
        <w:rPr>
          <w:szCs w:val="19"/>
        </w:rPr>
        <w:t xml:space="preserve"> Lesznie</w:t>
      </w:r>
      <w:r w:rsidRPr="00B45165">
        <w:t xml:space="preserve"> </w:t>
      </w:r>
      <w:r w:rsidR="00D435AD">
        <w:t>(</w:t>
      </w:r>
      <w:r w:rsidRPr="00B45165">
        <w:rPr>
          <w:szCs w:val="19"/>
        </w:rPr>
        <w:t xml:space="preserve">76,4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gdzie przeważały mieszkania deweloperskie.</w:t>
      </w:r>
    </w:p>
    <w:p w:rsidR="00044A67" w:rsidRDefault="00044A67" w:rsidP="00044A67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044A67" w:rsidRPr="00366E85" w:rsidRDefault="00D7441C" w:rsidP="00044A67">
      <w:pPr>
        <w:pStyle w:val="tytuwykresu"/>
      </w:pPr>
      <w:r w:rsidRPr="00D7441C">
        <w:rPr>
          <w:noProof/>
          <w:lang w:eastAsia="pl-PL"/>
        </w:rPr>
        <w:lastRenderedPageBreak/>
        <w:drawing>
          <wp:anchor distT="0" distB="107950" distL="114300" distR="114300" simplePos="0" relativeHeight="252955136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285750</wp:posOffset>
            </wp:positionV>
            <wp:extent cx="4320000" cy="5191200"/>
            <wp:effectExtent l="0" t="0" r="4445" b="0"/>
            <wp:wrapTopAndBottom/>
            <wp:docPr id="30" name="Obraz 30" descr="Kartogram – powiaty województwa wielkopolskiego, dotyczący mieszkań oddanych do użytkowania. Cieniowanie – 5 przedziałów według liczby mieszkań. Etykiety – nazwy powiatów. Dodatkowo wartości dla Polski – 162544 mieszkania i województwa wielkopolskiego – 16209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1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Mapa 2.</w:t>
      </w:r>
      <w:r w:rsidR="00044A67">
        <w:tab/>
      </w:r>
      <w:r w:rsidR="00044A67" w:rsidRPr="00B81C85">
        <w:t xml:space="preserve">Mieszkania oddane do użytkowania </w:t>
      </w:r>
      <w:r w:rsidR="00044A67" w:rsidRPr="00C20CD4">
        <w:t xml:space="preserve">według </w:t>
      </w:r>
      <w:r w:rsidR="00044A67" w:rsidRPr="00366E85">
        <w:t xml:space="preserve">powiatów </w:t>
      </w:r>
      <w:r w:rsidR="00044A67">
        <w:t>w okresie styczeń-październik 2024 r.</w:t>
      </w:r>
      <w:r w:rsidR="00044A67" w:rsidRPr="00366E85">
        <w:t xml:space="preserve"> </w:t>
      </w:r>
    </w:p>
    <w:p w:rsidR="00044A67" w:rsidRPr="00F45766" w:rsidRDefault="00044A67" w:rsidP="00044A67">
      <w:pPr>
        <w:pStyle w:val="tekst"/>
        <w:rPr>
          <w:szCs w:val="19"/>
        </w:rPr>
      </w:pPr>
      <w:r>
        <w:rPr>
          <w:spacing w:val="-2"/>
          <w:szCs w:val="19"/>
        </w:rPr>
        <w:t>W październiku</w:t>
      </w:r>
      <w:r w:rsidRPr="00F45766">
        <w:rPr>
          <w:spacing w:val="-2"/>
          <w:szCs w:val="19"/>
        </w:rPr>
        <w:t xml:space="preserve"> br. </w:t>
      </w:r>
      <w:r w:rsidRPr="00F45766">
        <w:rPr>
          <w:b/>
          <w:szCs w:val="19"/>
        </w:rPr>
        <w:t>wydano</w:t>
      </w:r>
      <w:r w:rsidRPr="00F45766">
        <w:rPr>
          <w:szCs w:val="19"/>
        </w:rPr>
        <w:t xml:space="preserve"> </w:t>
      </w:r>
      <w:r w:rsidRPr="00F45766">
        <w:rPr>
          <w:b/>
          <w:szCs w:val="19"/>
        </w:rPr>
        <w:t>pozwolenia lub dokonano zgłoszenia z projektem budowlanym na budowę</w:t>
      </w:r>
      <w:r w:rsidRPr="00F45766">
        <w:rPr>
          <w:szCs w:val="19"/>
        </w:rPr>
        <w:t xml:space="preserve"> </w:t>
      </w:r>
      <w:r>
        <w:rPr>
          <w:spacing w:val="-2"/>
          <w:szCs w:val="19"/>
        </w:rPr>
        <w:t>2</w:t>
      </w:r>
      <w:r w:rsidRPr="00F52D6F">
        <w:rPr>
          <w:spacing w:val="-2"/>
          <w:szCs w:val="19"/>
        </w:rPr>
        <w:t>210</w:t>
      </w:r>
      <w:r w:rsidRPr="00F45766">
        <w:rPr>
          <w:spacing w:val="-2"/>
          <w:szCs w:val="19"/>
        </w:rPr>
        <w:t xml:space="preserve"> mieszkań, tj. o </w:t>
      </w:r>
      <w:r w:rsidRPr="006701A1">
        <w:rPr>
          <w:spacing w:val="-2"/>
          <w:szCs w:val="19"/>
        </w:rPr>
        <w:t>11,9</w:t>
      </w:r>
      <w:r w:rsidRPr="00F45766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więcej</w:t>
      </w:r>
      <w:r w:rsidRPr="00F45766">
        <w:rPr>
          <w:spacing w:val="-2"/>
          <w:szCs w:val="19"/>
        </w:rPr>
        <w:t xml:space="preserve"> niż </w:t>
      </w:r>
      <w:r>
        <w:rPr>
          <w:spacing w:val="-2"/>
          <w:szCs w:val="19"/>
        </w:rPr>
        <w:t>we wrześniu</w:t>
      </w:r>
      <w:r w:rsidRPr="00F45766">
        <w:rPr>
          <w:spacing w:val="-2"/>
          <w:szCs w:val="19"/>
        </w:rPr>
        <w:t xml:space="preserve"> br., ale o </w:t>
      </w:r>
      <w:r w:rsidRPr="006701A1">
        <w:rPr>
          <w:spacing w:val="-2"/>
          <w:szCs w:val="19"/>
        </w:rPr>
        <w:t>18,8</w:t>
      </w:r>
      <w:r w:rsidRPr="00F45766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mniej</w:t>
      </w:r>
      <w:r w:rsidRPr="00F45766">
        <w:rPr>
          <w:spacing w:val="-2"/>
          <w:szCs w:val="19"/>
        </w:rPr>
        <w:t xml:space="preserve"> niż przed rokiem. Pozwolenia te</w:t>
      </w:r>
      <w:r w:rsidRPr="00F45766">
        <w:rPr>
          <w:szCs w:val="19"/>
        </w:rPr>
        <w:t xml:space="preserve"> dotyczyły budownictwa na sprzedaż lub wynajem (wydane na budowę </w:t>
      </w:r>
      <w:r w:rsidRPr="006701A1">
        <w:rPr>
          <w:szCs w:val="19"/>
        </w:rPr>
        <w:t>1450</w:t>
      </w:r>
      <w:r>
        <w:rPr>
          <w:szCs w:val="19"/>
        </w:rPr>
        <w:t xml:space="preserve"> mieszkań)</w:t>
      </w:r>
      <w:r w:rsidR="00771B02">
        <w:rPr>
          <w:szCs w:val="19"/>
        </w:rPr>
        <w:t>,</w:t>
      </w:r>
      <w:r>
        <w:rPr>
          <w:szCs w:val="19"/>
        </w:rPr>
        <w:t xml:space="preserve"> </w:t>
      </w:r>
      <w:r w:rsidRPr="00F45766">
        <w:rPr>
          <w:szCs w:val="19"/>
        </w:rPr>
        <w:t>indywidualnego (</w:t>
      </w:r>
      <w:r w:rsidRPr="006701A1">
        <w:rPr>
          <w:szCs w:val="19"/>
        </w:rPr>
        <w:t>678</w:t>
      </w:r>
      <w:r w:rsidRPr="00F45766">
        <w:rPr>
          <w:szCs w:val="19"/>
        </w:rPr>
        <w:t>)</w:t>
      </w:r>
      <w:r w:rsidR="00771B02">
        <w:rPr>
          <w:szCs w:val="19"/>
        </w:rPr>
        <w:t xml:space="preserve"> oraz komunalnego (82)</w:t>
      </w:r>
      <w:r w:rsidRPr="00F45766">
        <w:rPr>
          <w:szCs w:val="19"/>
        </w:rPr>
        <w:t xml:space="preserve">. </w:t>
      </w:r>
    </w:p>
    <w:p w:rsidR="00044A67" w:rsidRPr="00F45766" w:rsidRDefault="00044A67" w:rsidP="00044A67">
      <w:pPr>
        <w:pStyle w:val="tekst"/>
        <w:spacing w:before="240"/>
        <w:rPr>
          <w:spacing w:val="-2"/>
          <w:szCs w:val="19"/>
        </w:rPr>
      </w:pPr>
      <w:r w:rsidRPr="00F45766">
        <w:rPr>
          <w:spacing w:val="-2"/>
          <w:szCs w:val="19"/>
        </w:rPr>
        <w:t>W okresie styczeń-</w:t>
      </w:r>
      <w:r>
        <w:rPr>
          <w:spacing w:val="-2"/>
          <w:szCs w:val="19"/>
        </w:rPr>
        <w:t>październik</w:t>
      </w:r>
      <w:r w:rsidRPr="00F45766">
        <w:rPr>
          <w:spacing w:val="-2"/>
          <w:szCs w:val="19"/>
        </w:rPr>
        <w:t xml:space="preserve"> br. wydano pozwolenia lub dokonano zgłoszenia z projektem budowlanym na budowę</w:t>
      </w:r>
      <w:r w:rsidRPr="004771DA">
        <w:t xml:space="preserve"> </w:t>
      </w:r>
      <w:r w:rsidRPr="006701A1">
        <w:rPr>
          <w:spacing w:val="-2"/>
          <w:szCs w:val="19"/>
        </w:rPr>
        <w:t>22401</w:t>
      </w:r>
      <w:r>
        <w:rPr>
          <w:spacing w:val="-2"/>
          <w:szCs w:val="19"/>
        </w:rPr>
        <w:t xml:space="preserve"> </w:t>
      </w:r>
      <w:r w:rsidRPr="00F45766">
        <w:rPr>
          <w:spacing w:val="-2"/>
          <w:szCs w:val="19"/>
        </w:rPr>
        <w:t xml:space="preserve">mieszkań, tj. o </w:t>
      </w:r>
      <w:r w:rsidRPr="006701A1">
        <w:rPr>
          <w:spacing w:val="-2"/>
          <w:szCs w:val="19"/>
        </w:rPr>
        <w:t>23,6</w:t>
      </w:r>
      <w:r w:rsidRPr="00F45766">
        <w:rPr>
          <w:spacing w:val="-2"/>
          <w:szCs w:val="19"/>
        </w:rPr>
        <w:t>% więcej niż w analogicznym okresie ub. roku. Pozwolenia uzyskali deweloperzy (</w:t>
      </w:r>
      <w:r w:rsidRPr="00F45766">
        <w:rPr>
          <w:szCs w:val="19"/>
        </w:rPr>
        <w:t xml:space="preserve">wydano je na budowę </w:t>
      </w:r>
      <w:r>
        <w:rPr>
          <w:spacing w:val="-2"/>
          <w:szCs w:val="19"/>
        </w:rPr>
        <w:t>15</w:t>
      </w:r>
      <w:r w:rsidRPr="006701A1">
        <w:rPr>
          <w:spacing w:val="-2"/>
          <w:szCs w:val="19"/>
        </w:rPr>
        <w:t>523</w:t>
      </w:r>
      <w:r>
        <w:rPr>
          <w:spacing w:val="-2"/>
          <w:szCs w:val="19"/>
        </w:rPr>
        <w:t xml:space="preserve"> mieszka</w:t>
      </w:r>
      <w:r w:rsidR="00D62335">
        <w:rPr>
          <w:spacing w:val="-2"/>
          <w:szCs w:val="19"/>
        </w:rPr>
        <w:t>ń</w:t>
      </w:r>
      <w:r w:rsidRPr="00F45766">
        <w:rPr>
          <w:spacing w:val="-2"/>
          <w:szCs w:val="19"/>
        </w:rPr>
        <w:t>), inwestorzy indywidualni (</w:t>
      </w:r>
      <w:r>
        <w:rPr>
          <w:spacing w:val="-2"/>
          <w:szCs w:val="19"/>
        </w:rPr>
        <w:t>6</w:t>
      </w:r>
      <w:r w:rsidRPr="006701A1">
        <w:rPr>
          <w:spacing w:val="-2"/>
          <w:szCs w:val="19"/>
        </w:rPr>
        <w:t>214</w:t>
      </w:r>
      <w:r w:rsidRPr="00F45766">
        <w:rPr>
          <w:spacing w:val="-2"/>
          <w:szCs w:val="19"/>
        </w:rPr>
        <w:t>), a także budownictwo komunalne (</w:t>
      </w:r>
      <w:r w:rsidRPr="006701A1">
        <w:rPr>
          <w:spacing w:val="-2"/>
          <w:szCs w:val="19"/>
        </w:rPr>
        <w:t>546</w:t>
      </w:r>
      <w:r w:rsidRPr="00F45766">
        <w:rPr>
          <w:spacing w:val="-2"/>
          <w:szCs w:val="19"/>
        </w:rPr>
        <w:t>) i społeczne czynszowe (118).</w:t>
      </w:r>
    </w:p>
    <w:p w:rsidR="00044A67" w:rsidRDefault="00044A67" w:rsidP="00044A67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044A67" w:rsidRPr="00C33451" w:rsidRDefault="00044A67" w:rsidP="00044A67">
      <w:pPr>
        <w:pStyle w:val="Tytultabeli"/>
        <w:spacing w:before="360"/>
      </w:pPr>
      <w:r>
        <w:lastRenderedPageBreak/>
        <w:t>Tablica 10.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październik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01–10 2024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roku </w:t>
            </w:r>
          </w:p>
          <w:p w:rsidR="00044A67" w:rsidRPr="00C20CD4" w:rsidRDefault="00044A67" w:rsidP="00707A0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roku </w:t>
            </w:r>
          </w:p>
          <w:p w:rsidR="00044A67" w:rsidRPr="00C20CD4" w:rsidRDefault="00044A67" w:rsidP="00707A0E">
            <w:pPr>
              <w:pStyle w:val="glowka1"/>
            </w:pPr>
            <w:r w:rsidRPr="00FA1C2A">
              <w:t>poprzedniego = 100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1F2255" w:rsidRDefault="00044A67" w:rsidP="00707A0E">
            <w:pPr>
              <w:pStyle w:val="tableteksttab"/>
              <w:rPr>
                <w:b/>
              </w:rPr>
            </w:pPr>
            <w:r w:rsidRPr="001F2255">
              <w:rPr>
                <w:b/>
              </w:rPr>
              <w:t>22401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1F2255" w:rsidRDefault="00044A67" w:rsidP="00707A0E">
            <w:pPr>
              <w:pStyle w:val="tableteksttab"/>
              <w:rPr>
                <w:b/>
              </w:rPr>
            </w:pPr>
            <w:r w:rsidRPr="001F2255">
              <w:rPr>
                <w:b/>
              </w:rPr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1F2255" w:rsidRDefault="00044A67" w:rsidP="00707A0E">
            <w:pPr>
              <w:pStyle w:val="tableteksttab"/>
              <w:rPr>
                <w:b/>
              </w:rPr>
            </w:pPr>
            <w:r w:rsidRPr="001F2255">
              <w:rPr>
                <w:b/>
              </w:rPr>
              <w:t>123,6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1F2255" w:rsidRDefault="00044A67" w:rsidP="00707A0E">
            <w:pPr>
              <w:pStyle w:val="tableteksttab"/>
              <w:rPr>
                <w:b/>
              </w:rPr>
            </w:pPr>
            <w:r w:rsidRPr="001F2255">
              <w:rPr>
                <w:b/>
              </w:rPr>
              <w:t>19251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1F2255" w:rsidRDefault="00044A67" w:rsidP="00707A0E">
            <w:pPr>
              <w:pStyle w:val="tableteksttab"/>
              <w:rPr>
                <w:b/>
              </w:rPr>
            </w:pPr>
            <w:r w:rsidRPr="001F2255">
              <w:rPr>
                <w:b/>
              </w:rP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1F2255" w:rsidRDefault="00044A67" w:rsidP="00707A0E">
            <w:pPr>
              <w:pStyle w:val="tableteksttab"/>
              <w:rPr>
                <w:b/>
              </w:rPr>
            </w:pPr>
            <w:r w:rsidRPr="001F2255">
              <w:rPr>
                <w:b/>
              </w:rPr>
              <w:t>148,3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>
              <w:t>6</w:t>
            </w:r>
            <w:r w:rsidRPr="00D005EB">
              <w:t>214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27,7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115,7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>
              <w:t>5</w:t>
            </w:r>
            <w:r w:rsidRPr="00D005EB">
              <w:t>849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30,4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112,5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>
              <w:t>15</w:t>
            </w:r>
            <w:r w:rsidRPr="00D005EB">
              <w:t>523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69,3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124,6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>
              <w:t>13</w:t>
            </w:r>
            <w:r w:rsidRPr="00D005EB">
              <w:t>079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67,9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170,8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Default="00044A67" w:rsidP="00707A0E">
            <w:pPr>
              <w:pStyle w:val="boczek2"/>
            </w:pPr>
            <w:r>
              <w:t>w tym na wynajem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73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117,7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Default="00044A67" w:rsidP="00707A0E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42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0,2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Default="00044A67" w:rsidP="00707A0E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546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2,4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3</w:t>
            </w:r>
            <w:r w:rsidR="00771B02">
              <w:t>,8 razy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100,0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044A67" w:rsidRDefault="00044A67" w:rsidP="00707A0E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118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0,5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310,5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150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044A67" w:rsidRDefault="00044A67" w:rsidP="00707A0E">
            <w:pPr>
              <w:pStyle w:val="boczek"/>
            </w:pPr>
            <w:r>
              <w:t>Zakładowe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044A67" w:rsidRPr="00D005EB" w:rsidRDefault="00044A67" w:rsidP="00707A0E">
            <w:pPr>
              <w:pStyle w:val="tableteksttab"/>
            </w:pPr>
            <w:r w:rsidRPr="00D005EB">
              <w:t>0,0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</w:tcPr>
          <w:p w:rsidR="00044A67" w:rsidRDefault="00044A67" w:rsidP="00707A0E">
            <w:pPr>
              <w:pStyle w:val="tableteksttab"/>
            </w:pPr>
            <w:r w:rsidRPr="00D005EB">
              <w:t>100,0</w:t>
            </w:r>
          </w:p>
        </w:tc>
      </w:tr>
    </w:tbl>
    <w:p w:rsidR="00044A67" w:rsidRDefault="00044A67" w:rsidP="00044A67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044A67" w:rsidRPr="00831BBF" w:rsidRDefault="00044A67" w:rsidP="00044A67">
      <w:pPr>
        <w:pStyle w:val="tekst"/>
        <w:spacing w:before="240"/>
      </w:pPr>
      <w:bookmarkStart w:id="23" w:name="_Toc64884832"/>
      <w:bookmarkStart w:id="24" w:name="_Toc64885001"/>
      <w:bookmarkStart w:id="25" w:name="_Toc64891654"/>
      <w:r>
        <w:t>W październiku</w:t>
      </w:r>
      <w:r w:rsidRPr="00831BBF">
        <w:t xml:space="preserve"> br. </w:t>
      </w:r>
      <w:r w:rsidRPr="00831BBF">
        <w:rPr>
          <w:b/>
        </w:rPr>
        <w:t xml:space="preserve">rozpoczęto budowę </w:t>
      </w:r>
      <w:r>
        <w:t>1</w:t>
      </w:r>
      <w:r w:rsidRPr="001F2255">
        <w:t>727</w:t>
      </w:r>
      <w:r>
        <w:t xml:space="preserve"> </w:t>
      </w:r>
      <w:r w:rsidRPr="00831BBF">
        <w:t xml:space="preserve">mieszkań, tj. o </w:t>
      </w:r>
      <w:r w:rsidRPr="001F2255">
        <w:t>13,1</w:t>
      </w:r>
      <w:r w:rsidRPr="00831BBF">
        <w:t xml:space="preserve">% </w:t>
      </w:r>
      <w:r>
        <w:t>mnie</w:t>
      </w:r>
      <w:r w:rsidRPr="00831BBF">
        <w:t>j niż przed miesiącem</w:t>
      </w:r>
      <w:r>
        <w:t>, ale</w:t>
      </w:r>
      <w:r w:rsidRPr="00831BBF">
        <w:t xml:space="preserve"> o </w:t>
      </w:r>
      <w:r w:rsidRPr="001F2255">
        <w:t>11,6</w:t>
      </w:r>
      <w:r w:rsidRPr="00831BBF">
        <w:t xml:space="preserve">% więcej niż </w:t>
      </w:r>
      <w:r>
        <w:t>w październiku</w:t>
      </w:r>
      <w:r w:rsidRPr="00831BBF">
        <w:t xml:space="preserve"> ub. roku. Nowe inwestycje mieszkaniowe rozpoczęli w tym miesiącu deweloperzy (budowa 1</w:t>
      </w:r>
      <w:r>
        <w:t>089</w:t>
      </w:r>
      <w:r w:rsidRPr="00831BBF">
        <w:t xml:space="preserve"> mieszkań)</w:t>
      </w:r>
      <w:r w:rsidR="00771B02">
        <w:t>,</w:t>
      </w:r>
      <w:r w:rsidRPr="00831BBF">
        <w:t xml:space="preserve"> inwestorzy indywidualni (</w:t>
      </w:r>
      <w:r>
        <w:t>625</w:t>
      </w:r>
      <w:r w:rsidRPr="00831BBF">
        <w:t>)</w:t>
      </w:r>
      <w:r w:rsidR="00771B02">
        <w:t xml:space="preserve"> </w:t>
      </w:r>
      <w:r w:rsidR="00771B02" w:rsidRPr="00831BBF">
        <w:t>oraz</w:t>
      </w:r>
      <w:r w:rsidR="00771B02">
        <w:t xml:space="preserve"> </w:t>
      </w:r>
      <w:r w:rsidR="002277D2">
        <w:t xml:space="preserve">budownictwo </w:t>
      </w:r>
      <w:r w:rsidR="00771B02">
        <w:t>społeczn</w:t>
      </w:r>
      <w:r w:rsidR="002277D2">
        <w:t>e</w:t>
      </w:r>
      <w:r w:rsidR="00771B02">
        <w:t xml:space="preserve"> czynszowe (12)</w:t>
      </w:r>
      <w:r w:rsidRPr="00831BBF">
        <w:t xml:space="preserve">. </w:t>
      </w:r>
    </w:p>
    <w:p w:rsidR="00044A67" w:rsidRPr="00F0054C" w:rsidRDefault="00044A67" w:rsidP="00044A67">
      <w:pPr>
        <w:pStyle w:val="tekst"/>
      </w:pPr>
      <w:r w:rsidRPr="00F0054C">
        <w:t xml:space="preserve">Od początku br. rozpoczęto łącznie </w:t>
      </w:r>
      <w:r>
        <w:t>19</w:t>
      </w:r>
      <w:r w:rsidRPr="002C4C99">
        <w:t>251</w:t>
      </w:r>
      <w:r>
        <w:t xml:space="preserve"> inwestycji</w:t>
      </w:r>
      <w:r w:rsidRPr="00F0054C">
        <w:t xml:space="preserve"> mieszkaniow</w:t>
      </w:r>
      <w:r>
        <w:t xml:space="preserve">ych w ramach 6 form budownictwa. W porównaniu </w:t>
      </w:r>
      <w:r w:rsidRPr="00822149">
        <w:t>z</w:t>
      </w:r>
      <w:r>
        <w:t> </w:t>
      </w:r>
      <w:r w:rsidRPr="00822149">
        <w:t>okresem</w:t>
      </w:r>
      <w:r w:rsidRPr="00F0054C">
        <w:t xml:space="preserve"> styczeń-</w:t>
      </w:r>
      <w:r>
        <w:t>październik</w:t>
      </w:r>
      <w:r w:rsidRPr="00F0054C">
        <w:t xml:space="preserve"> ub. roku liczba rozpoczętych inwestycji wzrosła o </w:t>
      </w:r>
      <w:r>
        <w:t>48,3</w:t>
      </w:r>
      <w:r w:rsidRPr="00F0054C">
        <w:t xml:space="preserve">%. </w:t>
      </w:r>
      <w:r w:rsidRPr="00FC252B">
        <w:t>Budowę nowych mieszkań prowadzili przede wszystkim</w:t>
      </w:r>
      <w:r w:rsidRPr="00822149">
        <w:t xml:space="preserve"> </w:t>
      </w:r>
      <w:r w:rsidRPr="00F0054C">
        <w:t>deweloperzy (</w:t>
      </w:r>
      <w:r>
        <w:t>13</w:t>
      </w:r>
      <w:r w:rsidRPr="002C4C99">
        <w:t>079</w:t>
      </w:r>
      <w:r w:rsidRPr="00F0054C">
        <w:t xml:space="preserve"> mieszka</w:t>
      </w:r>
      <w:r>
        <w:t>ń</w:t>
      </w:r>
      <w:r w:rsidRPr="00F0054C">
        <w:t>, czyli 6</w:t>
      </w:r>
      <w:r>
        <w:t>7,9</w:t>
      </w:r>
      <w:r w:rsidRPr="00F0054C">
        <w:t xml:space="preserve">% ogólnej liczby rozpoczętych, z tego </w:t>
      </w:r>
      <w:r>
        <w:t>73 na wynajem) oraz</w:t>
      </w:r>
      <w:r w:rsidRPr="00F0054C">
        <w:t xml:space="preserve"> inwestorzy indywidualni (</w:t>
      </w:r>
      <w:r>
        <w:t>5</w:t>
      </w:r>
      <w:r w:rsidRPr="002C4C99">
        <w:t>849</w:t>
      </w:r>
      <w:r w:rsidRPr="00F0054C">
        <w:t xml:space="preserve">, tj. </w:t>
      </w:r>
      <w:r>
        <w:t>30,4</w:t>
      </w:r>
      <w:r w:rsidRPr="00F0054C">
        <w:t>%)</w:t>
      </w:r>
      <w:r>
        <w:t>. Mniejszy udział miało</w:t>
      </w:r>
      <w:r w:rsidRPr="00F0054C">
        <w:t xml:space="preserve"> budownictwo społeczne czynszowe (1</w:t>
      </w:r>
      <w:r>
        <w:t>50</w:t>
      </w:r>
      <w:r w:rsidRPr="00F0054C">
        <w:t>, tj. 0,</w:t>
      </w:r>
      <w:r>
        <w:t>8</w:t>
      </w:r>
      <w:r w:rsidRPr="00F0054C">
        <w:t>%), komunalne (130, tj. 0,</w:t>
      </w:r>
      <w:r>
        <w:t>7</w:t>
      </w:r>
      <w:r w:rsidRPr="00F0054C">
        <w:t xml:space="preserve">%) </w:t>
      </w:r>
      <w:r>
        <w:t>i</w:t>
      </w:r>
      <w:r w:rsidRPr="00F0054C">
        <w:t xml:space="preserve"> spółdzielcze (42, tj. 0,</w:t>
      </w:r>
      <w:r>
        <w:t>2</w:t>
      </w:r>
      <w:r w:rsidRPr="00F0054C">
        <w:t>%).</w:t>
      </w:r>
    </w:p>
    <w:p w:rsidR="00044A67" w:rsidRDefault="00044A67" w:rsidP="00044A67">
      <w:pPr>
        <w:pStyle w:val="Nagwek1"/>
        <w:spacing w:after="240"/>
      </w:pPr>
      <w:bookmarkStart w:id="26" w:name="_Toc183619740"/>
      <w:r>
        <w:t xml:space="preserve">Rynek </w:t>
      </w:r>
      <w:r w:rsidRPr="000944D5">
        <w:t>wewnętrzny</w:t>
      </w:r>
      <w:bookmarkEnd w:id="23"/>
      <w:bookmarkEnd w:id="24"/>
      <w:bookmarkEnd w:id="25"/>
      <w:bookmarkEnd w:id="26"/>
    </w:p>
    <w:p w:rsidR="00044A67" w:rsidRPr="006A488E" w:rsidRDefault="00044A67" w:rsidP="00044A67">
      <w:pPr>
        <w:pStyle w:val="tekst"/>
      </w:pPr>
      <w:r>
        <w:rPr>
          <w:szCs w:val="19"/>
        </w:rPr>
        <w:t>W październiku br.</w:t>
      </w:r>
      <w:r w:rsidRPr="00B02053">
        <w:rPr>
          <w:rFonts w:cs="Arial"/>
        </w:rPr>
        <w:t xml:space="preserve"> w</w:t>
      </w:r>
      <w:r w:rsidRPr="00B02053">
        <w:rPr>
          <w:szCs w:val="19"/>
        </w:rPr>
        <w:t xml:space="preserve">artość </w:t>
      </w:r>
      <w:r w:rsidRPr="00B02053">
        <w:rPr>
          <w:b/>
          <w:szCs w:val="19"/>
        </w:rPr>
        <w:t>sprzedaży detalicznej</w:t>
      </w:r>
      <w:r w:rsidRPr="00B02053">
        <w:rPr>
          <w:szCs w:val="19"/>
        </w:rPr>
        <w:t xml:space="preserve"> (w cenach bieżących) realizowanej przez przedsiębiorstwa handlowe</w:t>
      </w:r>
      <w:r>
        <w:rPr>
          <w:szCs w:val="19"/>
        </w:rPr>
        <w:t xml:space="preserve"> i </w:t>
      </w:r>
      <w:r w:rsidRPr="00B02053">
        <w:rPr>
          <w:szCs w:val="19"/>
        </w:rPr>
        <w:t xml:space="preserve">niehandlowe </w:t>
      </w:r>
      <w:r>
        <w:rPr>
          <w:szCs w:val="19"/>
        </w:rPr>
        <w:t>wzrosła</w:t>
      </w:r>
      <w:r w:rsidRPr="00B02053">
        <w:rPr>
          <w:szCs w:val="19"/>
        </w:rPr>
        <w:t xml:space="preserve"> o </w:t>
      </w:r>
      <w:r>
        <w:rPr>
          <w:szCs w:val="19"/>
        </w:rPr>
        <w:t>8,4</w:t>
      </w:r>
      <w:r w:rsidRPr="00B02053">
        <w:rPr>
          <w:szCs w:val="19"/>
        </w:rPr>
        <w:t>% w porównaniu z poprzednim miesiącem</w:t>
      </w:r>
      <w:r>
        <w:rPr>
          <w:szCs w:val="19"/>
        </w:rPr>
        <w:t xml:space="preserve"> i o 9,9</w:t>
      </w:r>
      <w:r w:rsidRPr="00B02053">
        <w:rPr>
          <w:szCs w:val="19"/>
        </w:rPr>
        <w:t xml:space="preserve">% w relacji </w:t>
      </w:r>
      <w:r>
        <w:rPr>
          <w:szCs w:val="19"/>
        </w:rPr>
        <w:t>do października ub. roku</w:t>
      </w:r>
      <w:r w:rsidRPr="00B02053">
        <w:rPr>
          <w:szCs w:val="19"/>
        </w:rPr>
        <w:t xml:space="preserve"> (przed rokiem </w:t>
      </w:r>
      <w:r>
        <w:rPr>
          <w:szCs w:val="19"/>
        </w:rPr>
        <w:t xml:space="preserve">zanotowano odpowiednio wzrost wartości </w:t>
      </w:r>
      <w:r w:rsidRPr="00B02053">
        <w:rPr>
          <w:szCs w:val="19"/>
        </w:rPr>
        <w:t xml:space="preserve">sprzedaży </w:t>
      </w:r>
      <w:r>
        <w:rPr>
          <w:szCs w:val="19"/>
        </w:rPr>
        <w:t>o 2,4</w:t>
      </w:r>
      <w:r w:rsidRPr="00B02053">
        <w:rPr>
          <w:szCs w:val="19"/>
        </w:rPr>
        <w:t>%</w:t>
      </w:r>
      <w:r>
        <w:rPr>
          <w:szCs w:val="19"/>
        </w:rPr>
        <w:t xml:space="preserve"> i o 8,6</w:t>
      </w:r>
      <w:r w:rsidRPr="00B02053">
        <w:rPr>
          <w:szCs w:val="19"/>
        </w:rPr>
        <w:t xml:space="preserve">%). </w:t>
      </w:r>
      <w:r>
        <w:t xml:space="preserve">W </w:t>
      </w:r>
      <w:r w:rsidRPr="00B02053">
        <w:t xml:space="preserve">odniesieniu </w:t>
      </w:r>
      <w:r>
        <w:t>do października ub. roku</w:t>
      </w:r>
      <w:r w:rsidRPr="00B02053">
        <w:t xml:space="preserve"> </w:t>
      </w:r>
      <w:r>
        <w:t xml:space="preserve">najbardziej zwiększyła się </w:t>
      </w:r>
      <w:r w:rsidRPr="00B02053">
        <w:t xml:space="preserve">wartość sprzedaży detalicznej </w:t>
      </w:r>
      <w:r>
        <w:t>farmaceutyków, kosmetyków i</w:t>
      </w:r>
      <w:r w:rsidRPr="005A1220">
        <w:t xml:space="preserve"> sprzęt</w:t>
      </w:r>
      <w:r>
        <w:t>u</w:t>
      </w:r>
      <w:r w:rsidRPr="005A1220">
        <w:t xml:space="preserve"> ortopedyczn</w:t>
      </w:r>
      <w:r>
        <w:t>ego</w:t>
      </w:r>
      <w:r w:rsidRPr="005A1220">
        <w:t xml:space="preserve"> </w:t>
      </w:r>
      <w:r>
        <w:t xml:space="preserve">(o </w:t>
      </w:r>
      <w:r w:rsidRPr="0067308E">
        <w:t>22,1</w:t>
      </w:r>
      <w:r>
        <w:rPr>
          <w:szCs w:val="19"/>
        </w:rPr>
        <w:t>%), a także</w:t>
      </w:r>
      <w:r>
        <w:t xml:space="preserve"> </w:t>
      </w:r>
      <w:r>
        <w:rPr>
          <w:szCs w:val="19"/>
        </w:rPr>
        <w:t xml:space="preserve">paliw stałych, ciekłych i gazowych (o </w:t>
      </w:r>
      <w:r w:rsidRPr="006A488E">
        <w:rPr>
          <w:szCs w:val="19"/>
        </w:rPr>
        <w:t>20,4</w:t>
      </w:r>
      <w:r>
        <w:rPr>
          <w:szCs w:val="19"/>
        </w:rPr>
        <w:t xml:space="preserve">%). Największy spadek dotyczył sprzedaży detalicznej tekstyliów, odzieży i obuwia </w:t>
      </w:r>
      <w:r>
        <w:t xml:space="preserve">(o </w:t>
      </w:r>
      <w:r w:rsidRPr="006A488E">
        <w:t>78,6</w:t>
      </w:r>
      <w:r>
        <w:t>%) oraz mebli</w:t>
      </w:r>
      <w:r>
        <w:rPr>
          <w:szCs w:val="19"/>
        </w:rPr>
        <w:t xml:space="preserve"> </w:t>
      </w:r>
      <w:r>
        <w:t>i sprzętu RTV</w:t>
      </w:r>
      <w:r>
        <w:rPr>
          <w:szCs w:val="19"/>
        </w:rPr>
        <w:t xml:space="preserve">, AGD (o </w:t>
      </w:r>
      <w:r w:rsidRPr="006A488E">
        <w:rPr>
          <w:szCs w:val="19"/>
        </w:rPr>
        <w:t xml:space="preserve">48,4 </w:t>
      </w:r>
      <w:r>
        <w:rPr>
          <w:szCs w:val="19"/>
        </w:rPr>
        <w:t>%).</w:t>
      </w:r>
    </w:p>
    <w:p w:rsidR="00044A67" w:rsidRPr="00C33451" w:rsidRDefault="00044A67" w:rsidP="00044A67">
      <w:pPr>
        <w:pStyle w:val="Tytultabeli"/>
        <w:spacing w:before="240"/>
      </w:pPr>
      <w:r>
        <w:t>Tablica 11.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październik br.) i w okresie narastającym (styczeń-październik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044A67" w:rsidRPr="00E87892" w:rsidTr="00707A0E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10 2024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01–10 2024</w:t>
            </w:r>
          </w:p>
        </w:tc>
      </w:tr>
      <w:tr w:rsidR="00044A67" w:rsidRPr="00E87892" w:rsidTr="00707A0E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odsetkach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1t"/>
            </w:pPr>
            <w:r w:rsidRPr="00C20CD4">
              <w:t>Ogółem</w:t>
            </w:r>
            <w:r w:rsidRPr="00941FD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F361A0" w:rsidRDefault="00044A67" w:rsidP="00707A0E">
            <w:pPr>
              <w:pStyle w:val="tableteksttab"/>
              <w:rPr>
                <w:b/>
              </w:rPr>
            </w:pPr>
            <w:r w:rsidRPr="00F361A0">
              <w:rPr>
                <w:b/>
              </w:rPr>
              <w:t>109,9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F361A0" w:rsidRDefault="00044A67" w:rsidP="00707A0E">
            <w:pPr>
              <w:pStyle w:val="tableteksttab"/>
              <w:rPr>
                <w:b/>
              </w:rPr>
            </w:pPr>
            <w:r w:rsidRPr="00F361A0">
              <w:rPr>
                <w:b/>
              </w:rPr>
              <w:t>107,7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044A67" w:rsidRPr="00F361A0" w:rsidRDefault="00044A67" w:rsidP="00707A0E">
            <w:pPr>
              <w:pStyle w:val="tableteksttab"/>
              <w:rPr>
                <w:b/>
              </w:rPr>
            </w:pPr>
            <w:r w:rsidRPr="00F361A0">
              <w:rPr>
                <w:b/>
              </w:rPr>
              <w:t>100,0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110,3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107,4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3,2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120,4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147,9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3,3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110,6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113,0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35,5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122,1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113,1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2,0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21,4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21,2</w:t>
            </w:r>
          </w:p>
        </w:tc>
        <w:tc>
          <w:tcPr>
            <w:tcW w:w="1746" w:type="dxa"/>
          </w:tcPr>
          <w:p w:rsidR="00044A67" w:rsidRPr="00D140A2" w:rsidRDefault="00044A67" w:rsidP="00707A0E">
            <w:pPr>
              <w:pStyle w:val="tableteksttab"/>
            </w:pPr>
            <w:r w:rsidRPr="00D140A2">
              <w:t>1,2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51,6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55,8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1,1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118,6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124,9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1,6</w:t>
            </w:r>
          </w:p>
        </w:tc>
      </w:tr>
      <w:tr w:rsidR="00044A67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044A67" w:rsidRPr="00C20CD4" w:rsidRDefault="00044A67" w:rsidP="00707A0E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284,5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044A67" w:rsidRPr="00D140A2" w:rsidRDefault="00044A67" w:rsidP="00707A0E">
            <w:pPr>
              <w:pStyle w:val="tableteksttab"/>
            </w:pPr>
            <w:r w:rsidRPr="00D140A2">
              <w:t>223,8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044A67" w:rsidRDefault="00044A67" w:rsidP="00707A0E">
            <w:pPr>
              <w:pStyle w:val="tableteksttab"/>
            </w:pPr>
            <w:r w:rsidRPr="00D140A2">
              <w:t>8,1</w:t>
            </w:r>
          </w:p>
        </w:tc>
      </w:tr>
    </w:tbl>
    <w:p w:rsidR="00044A67" w:rsidRDefault="00044A67" w:rsidP="00044A67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44A67" w:rsidRPr="009C6D3B" w:rsidRDefault="00044A67" w:rsidP="00044A67">
      <w:pPr>
        <w:pStyle w:val="tekst"/>
        <w:spacing w:before="360"/>
      </w:pPr>
      <w:r w:rsidRPr="00553213">
        <w:rPr>
          <w:szCs w:val="19"/>
        </w:rPr>
        <w:lastRenderedPageBreak/>
        <w:t xml:space="preserve">Wartość sprzedaży detalicznej zrealizowanej w okresie </w:t>
      </w:r>
      <w:r>
        <w:rPr>
          <w:szCs w:val="19"/>
        </w:rPr>
        <w:t xml:space="preserve">styczeń-wrzesień </w:t>
      </w:r>
      <w:r w:rsidRPr="00553213">
        <w:rPr>
          <w:szCs w:val="19"/>
        </w:rPr>
        <w:t xml:space="preserve">br. wzrosła o </w:t>
      </w:r>
      <w:r>
        <w:rPr>
          <w:szCs w:val="19"/>
        </w:rPr>
        <w:t>7,7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wzrost wyniósł </w:t>
      </w:r>
      <w:r>
        <w:rPr>
          <w:szCs w:val="19"/>
        </w:rPr>
        <w:t>13,8</w:t>
      </w:r>
      <w:r w:rsidRPr="00553213">
        <w:rPr>
          <w:szCs w:val="19"/>
        </w:rPr>
        <w:t>%).</w:t>
      </w:r>
      <w:r>
        <w:t xml:space="preserve"> W okresie narastającym </w:t>
      </w:r>
      <w:r>
        <w:rPr>
          <w:szCs w:val="19"/>
        </w:rPr>
        <w:t xml:space="preserve">(podobnie jak w badanym miesiącu) </w:t>
      </w:r>
      <w:r>
        <w:t>wzrost dotyczył przede wszystkim sprzedaży detalicznej paliw</w:t>
      </w:r>
      <w:r w:rsidRPr="00980DD9">
        <w:rPr>
          <w:szCs w:val="19"/>
        </w:rPr>
        <w:t xml:space="preserve"> </w:t>
      </w:r>
      <w:r>
        <w:rPr>
          <w:szCs w:val="19"/>
        </w:rPr>
        <w:t>stałych, ciekłych i gazowych</w:t>
      </w:r>
      <w:r>
        <w:t xml:space="preserve"> (o </w:t>
      </w:r>
      <w:r w:rsidRPr="00980DD9">
        <w:t>47,9</w:t>
      </w:r>
      <w:r>
        <w:t xml:space="preserve">%). Natomiast największy spadek obserwowano przy sprzedaży detalicznej </w:t>
      </w:r>
      <w:r w:rsidRPr="009C6D3B">
        <w:t xml:space="preserve">tekstyliów, odzieży i obuwia (o </w:t>
      </w:r>
      <w:r>
        <w:t>78,8</w:t>
      </w:r>
      <w:r w:rsidRPr="009C6D3B">
        <w:t>%).</w:t>
      </w:r>
    </w:p>
    <w:p w:rsidR="00044A67" w:rsidRPr="009C6D3B" w:rsidRDefault="00044A67" w:rsidP="00044A67">
      <w:pPr>
        <w:pStyle w:val="tekst"/>
        <w:rPr>
          <w:szCs w:val="19"/>
        </w:rPr>
      </w:pPr>
      <w:r w:rsidRPr="009C6D3B">
        <w:rPr>
          <w:b/>
          <w:szCs w:val="19"/>
        </w:rPr>
        <w:t>Sprzedaż hurtowa</w:t>
      </w:r>
      <w:r w:rsidRPr="009C6D3B">
        <w:rPr>
          <w:szCs w:val="19"/>
        </w:rPr>
        <w:t xml:space="preserve"> jednostek handlowych ogółem </w:t>
      </w:r>
      <w:r>
        <w:rPr>
          <w:szCs w:val="19"/>
        </w:rPr>
        <w:t>w październiku</w:t>
      </w:r>
      <w:r w:rsidRPr="009C6D3B">
        <w:rPr>
          <w:szCs w:val="19"/>
        </w:rPr>
        <w:t xml:space="preserve"> br. wzrosła (licząc w cenach bieżących) o </w:t>
      </w:r>
      <w:r w:rsidRPr="003C72B8">
        <w:rPr>
          <w:szCs w:val="19"/>
        </w:rPr>
        <w:t>11,7</w:t>
      </w:r>
      <w:r w:rsidRPr="009C6D3B">
        <w:rPr>
          <w:szCs w:val="19"/>
        </w:rPr>
        <w:t>% w porównaniu z</w:t>
      </w:r>
      <w:r>
        <w:rPr>
          <w:szCs w:val="19"/>
        </w:rPr>
        <w:t xml:space="preserve"> </w:t>
      </w:r>
      <w:r w:rsidRPr="009C6D3B">
        <w:rPr>
          <w:szCs w:val="19"/>
        </w:rPr>
        <w:t>poprzednim miesiącem</w:t>
      </w:r>
      <w:r>
        <w:rPr>
          <w:szCs w:val="19"/>
        </w:rPr>
        <w:t xml:space="preserve"> i </w:t>
      </w:r>
      <w:r w:rsidRPr="009C6D3B">
        <w:rPr>
          <w:szCs w:val="19"/>
        </w:rPr>
        <w:t xml:space="preserve">o </w:t>
      </w:r>
      <w:r w:rsidRPr="003C72B8">
        <w:rPr>
          <w:szCs w:val="19"/>
        </w:rPr>
        <w:t>6,2</w:t>
      </w:r>
      <w:r w:rsidRPr="009C6D3B">
        <w:rPr>
          <w:szCs w:val="19"/>
        </w:rPr>
        <w:t xml:space="preserve">% w relacji do </w:t>
      </w:r>
      <w:r>
        <w:rPr>
          <w:szCs w:val="19"/>
        </w:rPr>
        <w:t>października</w:t>
      </w:r>
      <w:r w:rsidRPr="009C6D3B">
        <w:rPr>
          <w:szCs w:val="19"/>
        </w:rPr>
        <w:t xml:space="preserve"> ub. roku (przed rokiem zanotowano spadek</w:t>
      </w:r>
      <w:r>
        <w:rPr>
          <w:szCs w:val="19"/>
        </w:rPr>
        <w:t xml:space="preserve"> </w:t>
      </w:r>
      <w:r w:rsidRPr="009C6D3B">
        <w:rPr>
          <w:szCs w:val="19"/>
        </w:rPr>
        <w:t xml:space="preserve">sprzedaży o </w:t>
      </w:r>
      <w:r>
        <w:rPr>
          <w:szCs w:val="19"/>
        </w:rPr>
        <w:t>2,9</w:t>
      </w:r>
      <w:r w:rsidRPr="009C6D3B">
        <w:rPr>
          <w:szCs w:val="19"/>
        </w:rPr>
        <w:t>%</w:t>
      </w:r>
      <w:r>
        <w:rPr>
          <w:szCs w:val="19"/>
        </w:rPr>
        <w:t xml:space="preserve"> </w:t>
      </w:r>
      <w:r w:rsidRPr="009C6D3B">
        <w:rPr>
          <w:szCs w:val="19"/>
        </w:rPr>
        <w:t xml:space="preserve">w skali miesiąca </w:t>
      </w:r>
      <w:r>
        <w:rPr>
          <w:szCs w:val="19"/>
        </w:rPr>
        <w:t xml:space="preserve">i </w:t>
      </w:r>
      <w:r w:rsidRPr="009C6D3B">
        <w:rPr>
          <w:szCs w:val="19"/>
        </w:rPr>
        <w:t>o 1</w:t>
      </w:r>
      <w:r>
        <w:rPr>
          <w:szCs w:val="19"/>
        </w:rPr>
        <w:t>4</w:t>
      </w:r>
      <w:r w:rsidRPr="009C6D3B">
        <w:rPr>
          <w:szCs w:val="19"/>
        </w:rPr>
        <w:t>,</w:t>
      </w:r>
      <w:r>
        <w:rPr>
          <w:szCs w:val="19"/>
        </w:rPr>
        <w:t>6</w:t>
      </w:r>
      <w:r w:rsidRPr="009C6D3B">
        <w:rPr>
          <w:szCs w:val="19"/>
        </w:rPr>
        <w:t>%</w:t>
      </w:r>
      <w:r>
        <w:rPr>
          <w:szCs w:val="19"/>
        </w:rPr>
        <w:t xml:space="preserve"> w ujęciu rocznym</w:t>
      </w:r>
      <w:r w:rsidRPr="009C6D3B">
        <w:rPr>
          <w:szCs w:val="19"/>
        </w:rPr>
        <w:t xml:space="preserve">). W przedsiębiorstwach handlu hurtowego sprzedaż </w:t>
      </w:r>
      <w:r>
        <w:rPr>
          <w:szCs w:val="19"/>
        </w:rPr>
        <w:t>zwięk</w:t>
      </w:r>
      <w:r w:rsidRPr="009C6D3B">
        <w:rPr>
          <w:szCs w:val="19"/>
        </w:rPr>
        <w:t xml:space="preserve">szyła się o </w:t>
      </w:r>
      <w:r>
        <w:rPr>
          <w:szCs w:val="19"/>
        </w:rPr>
        <w:t>9,2</w:t>
      </w:r>
      <w:r w:rsidRPr="009C6D3B">
        <w:rPr>
          <w:szCs w:val="19"/>
        </w:rPr>
        <w:t xml:space="preserve">% w odniesieniu do </w:t>
      </w:r>
      <w:r>
        <w:rPr>
          <w:szCs w:val="19"/>
        </w:rPr>
        <w:t>września</w:t>
      </w:r>
      <w:r w:rsidRPr="009C6D3B">
        <w:rPr>
          <w:szCs w:val="19"/>
        </w:rPr>
        <w:t xml:space="preserve"> br.</w:t>
      </w:r>
      <w:r>
        <w:rPr>
          <w:szCs w:val="19"/>
        </w:rPr>
        <w:t xml:space="preserve"> i </w:t>
      </w:r>
      <w:r w:rsidRPr="009C6D3B">
        <w:rPr>
          <w:szCs w:val="19"/>
        </w:rPr>
        <w:t xml:space="preserve">o </w:t>
      </w:r>
      <w:r>
        <w:rPr>
          <w:szCs w:val="19"/>
        </w:rPr>
        <w:t>2,7</w:t>
      </w:r>
      <w:r w:rsidRPr="009C6D3B">
        <w:rPr>
          <w:szCs w:val="19"/>
        </w:rPr>
        <w:t xml:space="preserve">% w porównaniu z </w:t>
      </w:r>
      <w:r>
        <w:rPr>
          <w:szCs w:val="19"/>
        </w:rPr>
        <w:t>październikiem</w:t>
      </w:r>
      <w:r w:rsidRPr="009C6D3B">
        <w:rPr>
          <w:szCs w:val="19"/>
        </w:rPr>
        <w:t xml:space="preserve"> ub. roku (przed rokiem odnotowano spadek</w:t>
      </w:r>
      <w:r>
        <w:rPr>
          <w:szCs w:val="19"/>
        </w:rPr>
        <w:t xml:space="preserve"> </w:t>
      </w:r>
      <w:r w:rsidRPr="009C6D3B">
        <w:rPr>
          <w:szCs w:val="19"/>
        </w:rPr>
        <w:t xml:space="preserve">sprzedaży o </w:t>
      </w:r>
      <w:r>
        <w:rPr>
          <w:szCs w:val="19"/>
        </w:rPr>
        <w:t>5,8</w:t>
      </w:r>
      <w:r w:rsidRPr="009C6D3B">
        <w:rPr>
          <w:szCs w:val="19"/>
        </w:rPr>
        <w:t>% w skali miesiąca</w:t>
      </w:r>
      <w:r>
        <w:rPr>
          <w:szCs w:val="19"/>
        </w:rPr>
        <w:t xml:space="preserve"> i</w:t>
      </w:r>
      <w:r w:rsidRPr="009C6D3B">
        <w:rPr>
          <w:szCs w:val="19"/>
        </w:rPr>
        <w:t xml:space="preserve"> o </w:t>
      </w:r>
      <w:r>
        <w:rPr>
          <w:szCs w:val="19"/>
        </w:rPr>
        <w:t>17,0</w:t>
      </w:r>
      <w:r w:rsidRPr="009C6D3B">
        <w:rPr>
          <w:szCs w:val="19"/>
        </w:rPr>
        <w:t xml:space="preserve">% w stosunku rocznym). </w:t>
      </w:r>
    </w:p>
    <w:p w:rsidR="00044A67" w:rsidRDefault="00044A67" w:rsidP="00044A67">
      <w:pPr>
        <w:pStyle w:val="tekst"/>
        <w:rPr>
          <w:szCs w:val="19"/>
        </w:rPr>
      </w:pPr>
      <w:r w:rsidRPr="009C6D3B">
        <w:rPr>
          <w:szCs w:val="19"/>
        </w:rPr>
        <w:t>Wartość sprzedaży hurtowej jednostek handlowych zrealizowanej w okresie styczeń-</w:t>
      </w:r>
      <w:r>
        <w:rPr>
          <w:szCs w:val="19"/>
        </w:rPr>
        <w:t>październik</w:t>
      </w:r>
      <w:r w:rsidRPr="009C6D3B">
        <w:rPr>
          <w:szCs w:val="19"/>
        </w:rPr>
        <w:t xml:space="preserve"> br. obniżyła się o </w:t>
      </w:r>
      <w:r>
        <w:rPr>
          <w:szCs w:val="19"/>
        </w:rPr>
        <w:t>2,6</w:t>
      </w:r>
      <w:r w:rsidRPr="009C6D3B">
        <w:rPr>
          <w:szCs w:val="19"/>
        </w:rPr>
        <w:t xml:space="preserve">% w stosunku do analogicznego okresu ub. roku, w tym w przedsiębiorstwach handlu hurtowego – o </w:t>
      </w:r>
      <w:r>
        <w:rPr>
          <w:szCs w:val="19"/>
        </w:rPr>
        <w:t>5,2</w:t>
      </w:r>
      <w:r w:rsidRPr="009C6D3B">
        <w:rPr>
          <w:szCs w:val="19"/>
        </w:rPr>
        <w:t xml:space="preserve">% (przed rokiem obserwowano spadek wartości sprzedaży hurtowej odpowiednio o </w:t>
      </w:r>
      <w:r>
        <w:rPr>
          <w:szCs w:val="19"/>
        </w:rPr>
        <w:t>11,5</w:t>
      </w:r>
      <w:r w:rsidRPr="009C6D3B">
        <w:rPr>
          <w:szCs w:val="19"/>
        </w:rPr>
        <w:t xml:space="preserve">% i o </w:t>
      </w:r>
      <w:r>
        <w:rPr>
          <w:szCs w:val="19"/>
        </w:rPr>
        <w:t>13,7</w:t>
      </w:r>
      <w:r w:rsidRPr="009C6D3B">
        <w:rPr>
          <w:szCs w:val="19"/>
        </w:rPr>
        <w:t>%).</w:t>
      </w:r>
    </w:p>
    <w:p w:rsidR="00044A67" w:rsidRPr="00E42E48" w:rsidRDefault="00044A67" w:rsidP="00044A67">
      <w:pPr>
        <w:pStyle w:val="Nagwek1"/>
      </w:pPr>
      <w:bookmarkStart w:id="27" w:name="_Toc73354946"/>
      <w:bookmarkStart w:id="28" w:name="_Toc80797452"/>
      <w:bookmarkStart w:id="29" w:name="_Toc88223636"/>
      <w:bookmarkStart w:id="30" w:name="_Toc120085897"/>
      <w:bookmarkStart w:id="31" w:name="_Toc151100434"/>
      <w:bookmarkStart w:id="32" w:name="_Toc183619741"/>
      <w:bookmarkStart w:id="33" w:name="_Toc64884834"/>
      <w:bookmarkStart w:id="34" w:name="_Toc64885003"/>
      <w:bookmarkStart w:id="35" w:name="_Toc64891656"/>
      <w:r w:rsidRPr="00E42E48">
        <w:t>Wyniki finansowe przedsiębiorstw</w:t>
      </w:r>
      <w:bookmarkEnd w:id="27"/>
      <w:bookmarkEnd w:id="28"/>
      <w:bookmarkEnd w:id="29"/>
      <w:bookmarkEnd w:id="30"/>
      <w:bookmarkEnd w:id="31"/>
      <w:bookmarkEnd w:id="32"/>
    </w:p>
    <w:p w:rsidR="00044A67" w:rsidRPr="00C0282A" w:rsidRDefault="00044A67" w:rsidP="00044A67">
      <w:pPr>
        <w:pStyle w:val="tekst"/>
      </w:pPr>
      <w:r w:rsidRPr="00C0282A">
        <w:t xml:space="preserve">Badanie finansowe przedsiębiorstw niefinansowych za okres styczeń-wrzesień br. w województwie wielkopolskim objęło </w:t>
      </w:r>
      <w:r w:rsidRPr="00B94BBF">
        <w:t>1909</w:t>
      </w:r>
      <w:r w:rsidRPr="00C0282A">
        <w:t xml:space="preserve"> podmiotów. Wyniki finansowe badanych przedsiębiorstw </w:t>
      </w:r>
      <w:r>
        <w:t xml:space="preserve">były się gorsze </w:t>
      </w:r>
      <w:r w:rsidRPr="00C0282A">
        <w:t xml:space="preserve">od uzyskanych przed rokiem. </w:t>
      </w:r>
      <w:r>
        <w:t>Pogorszyły</w:t>
      </w:r>
      <w:r w:rsidRPr="00C0282A">
        <w:t xml:space="preserve"> się też podstawowe wskaźniki ekonomiczno-finansowe.</w:t>
      </w:r>
    </w:p>
    <w:p w:rsidR="00044A67" w:rsidRPr="002C24FC" w:rsidRDefault="00044A67" w:rsidP="00044A67">
      <w:pPr>
        <w:pStyle w:val="tekst"/>
      </w:pPr>
      <w:r w:rsidRPr="000F27A4">
        <w:t xml:space="preserve">W </w:t>
      </w:r>
      <w:r w:rsidRPr="005C2CFB">
        <w:t xml:space="preserve">porównaniu z okresem styczeń-wrzesień ub. roku </w:t>
      </w:r>
      <w:r w:rsidRPr="005C2CFB">
        <w:rPr>
          <w:b/>
        </w:rPr>
        <w:t>przychody ogółem</w:t>
      </w:r>
      <w:r w:rsidRPr="005C2CFB">
        <w:t xml:space="preserve"> badanych przedsiębiorstw </w:t>
      </w:r>
      <w:r>
        <w:t>obniżyły się</w:t>
      </w:r>
      <w:r w:rsidRPr="005C2CFB">
        <w:t xml:space="preserve"> o </w:t>
      </w:r>
      <w:r>
        <w:t>0,9</w:t>
      </w:r>
      <w:r w:rsidRPr="005C2CFB">
        <w:t xml:space="preserve">%, podczas gdy koszty ich uzyskania zwiększyły się o </w:t>
      </w:r>
      <w:r>
        <w:t>1,2%</w:t>
      </w:r>
      <w:r w:rsidRPr="005C2CFB">
        <w:t xml:space="preserve">. </w:t>
      </w:r>
      <w:r>
        <w:t>Wzrost kosztów przy spadku</w:t>
      </w:r>
      <w:r w:rsidRPr="005C2CFB">
        <w:t xml:space="preserve"> przychodów wpłynęło na </w:t>
      </w:r>
      <w:r>
        <w:t>zwiększenie</w:t>
      </w:r>
      <w:r w:rsidRPr="005C2CFB">
        <w:t xml:space="preserve"> wskaźnika poziomu kosztów, który okazał się o </w:t>
      </w:r>
      <w:r>
        <w:t>2,0</w:t>
      </w:r>
      <w:r w:rsidRPr="005C2CFB">
        <w:t xml:space="preserve"> p.proc. </w:t>
      </w:r>
      <w:r>
        <w:t>wy</w:t>
      </w:r>
      <w:r w:rsidRPr="005C2CFB">
        <w:t xml:space="preserve">ższy od notowanego przed rokiem. Przychody ze sprzedaży produktów, towarów i materiałów w ciągu roku </w:t>
      </w:r>
      <w:r>
        <w:t>zmniejszy</w:t>
      </w:r>
      <w:r w:rsidRPr="005C2CFB">
        <w:t xml:space="preserve">ły się o </w:t>
      </w:r>
      <w:r>
        <w:t>1,1</w:t>
      </w:r>
      <w:r w:rsidRPr="005C2CFB">
        <w:t xml:space="preserve">%, natomiast koszty tej działalności wzrosły w tym czasie o </w:t>
      </w:r>
      <w:r>
        <w:t>1,4</w:t>
      </w:r>
      <w:r w:rsidRPr="005C2CFB">
        <w:t xml:space="preserve">%. Wynik finansowy ze sprzedaży produktów, towarów i materiałów </w:t>
      </w:r>
      <w:r>
        <w:t>był</w:t>
      </w:r>
      <w:r w:rsidRPr="005C2CFB">
        <w:t xml:space="preserve"> o </w:t>
      </w:r>
      <w:r>
        <w:t xml:space="preserve">30,2% </w:t>
      </w:r>
      <w:r w:rsidR="007C0041">
        <w:t>mniejs</w:t>
      </w:r>
      <w:r>
        <w:t>zy niż przed rokiem, a </w:t>
      </w:r>
      <w:r w:rsidRPr="005C2CFB">
        <w:t xml:space="preserve">wskaźnik rentowności </w:t>
      </w:r>
      <w:r>
        <w:t>sprzedaży spadł w tym czasie o 2,3</w:t>
      </w:r>
      <w:r w:rsidRPr="005C2CFB">
        <w:t xml:space="preserve"> p.proc. </w:t>
      </w:r>
      <w:r>
        <w:t>Wzrost</w:t>
      </w:r>
      <w:r w:rsidRPr="005C2CFB">
        <w:t xml:space="preserve"> wartości pozostałych przychodów operacyjnych (o </w:t>
      </w:r>
      <w:r>
        <w:t>6,</w:t>
      </w:r>
      <w:r w:rsidR="007C0041">
        <w:t>0</w:t>
      </w:r>
      <w:r w:rsidRPr="005C2CFB">
        <w:t xml:space="preserve">%), przy </w:t>
      </w:r>
      <w:r>
        <w:t>obniżce</w:t>
      </w:r>
      <w:r w:rsidRPr="005C2CFB">
        <w:t xml:space="preserve"> kosztów ich uzyskania (o </w:t>
      </w:r>
      <w:r>
        <w:t>4,1</w:t>
      </w:r>
      <w:r w:rsidRPr="005C2CFB">
        <w:t xml:space="preserve">%), </w:t>
      </w:r>
      <w:r>
        <w:t>dał poprawę</w:t>
      </w:r>
      <w:r w:rsidRPr="002C24FC">
        <w:t xml:space="preserve"> wynik</w:t>
      </w:r>
      <w:r>
        <w:t>u</w:t>
      </w:r>
      <w:r w:rsidRPr="002C24FC">
        <w:t xml:space="preserve"> </w:t>
      </w:r>
      <w:r w:rsidRPr="005C2CFB">
        <w:t>na pozosta</w:t>
      </w:r>
      <w:r>
        <w:t>łej działalności operacyjnej, a wzrost</w:t>
      </w:r>
      <w:r w:rsidRPr="005C2CFB">
        <w:t xml:space="preserve"> przychodów finansowych (o</w:t>
      </w:r>
      <w:r>
        <w:t xml:space="preserve"> </w:t>
      </w:r>
      <w:r w:rsidRPr="00DB1A1A">
        <w:t>22,3</w:t>
      </w:r>
      <w:r w:rsidRPr="005C2CFB">
        <w:t xml:space="preserve">%), przy </w:t>
      </w:r>
      <w:r>
        <w:t>spadku</w:t>
      </w:r>
      <w:r w:rsidRPr="005C2CFB">
        <w:t xml:space="preserve"> kosztów tych operacji (o </w:t>
      </w:r>
      <w:r w:rsidRPr="00DB1A1A">
        <w:t>9,2</w:t>
      </w:r>
      <w:r w:rsidRPr="002C24FC">
        <w:t>%</w:t>
      </w:r>
      <w:r>
        <w:t xml:space="preserve">) </w:t>
      </w:r>
      <w:r w:rsidRPr="005C2CFB">
        <w:t xml:space="preserve">spowodował </w:t>
      </w:r>
      <w:r>
        <w:t>polepszenie</w:t>
      </w:r>
      <w:r w:rsidRPr="005C2CFB">
        <w:t xml:space="preserve"> </w:t>
      </w:r>
      <w:r w:rsidRPr="002C24FC">
        <w:t>wynik</w:t>
      </w:r>
      <w:r>
        <w:t>u</w:t>
      </w:r>
      <w:r w:rsidRPr="002C24FC">
        <w:t xml:space="preserve"> na operacjach finansowych. </w:t>
      </w:r>
      <w:r>
        <w:t>Oba te w</w:t>
      </w:r>
      <w:r w:rsidRPr="002C24FC">
        <w:t>ynik</w:t>
      </w:r>
      <w:r>
        <w:t>i w badanym okresie</w:t>
      </w:r>
      <w:r w:rsidRPr="002C24FC">
        <w:t xml:space="preserve"> był</w:t>
      </w:r>
      <w:r>
        <w:t xml:space="preserve">y </w:t>
      </w:r>
      <w:r w:rsidRPr="002C24FC">
        <w:t>ujemn</w:t>
      </w:r>
      <w:r>
        <w:t>e</w:t>
      </w:r>
      <w:r w:rsidRPr="002C24FC">
        <w:t>.</w:t>
      </w:r>
    </w:p>
    <w:p w:rsidR="00044A67" w:rsidRPr="002C24FC" w:rsidRDefault="00044A67" w:rsidP="00044A67">
      <w:pPr>
        <w:pStyle w:val="Tytultabeli"/>
      </w:pPr>
      <w:r>
        <w:t>Tablica 12.</w:t>
      </w:r>
      <w:r>
        <w:tab/>
      </w:r>
      <w:r w:rsidRPr="00017750">
        <w:t>Przychody</w:t>
      </w:r>
      <w:r w:rsidRPr="002C24FC">
        <w:t>, koszty i wyniki finansowe przedsiębiorstw niefinansowych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6" w:type="dxa"/>
          <w:bottom w:w="6" w:type="dxa"/>
        </w:tblCellMar>
        <w:tblLook w:val="0420" w:firstRow="1" w:lastRow="0" w:firstColumn="0" w:lastColumn="0" w:noHBand="0" w:noVBand="1"/>
        <w:tblDescription w:val="Tablica przedstawia podstawowe informacje dotyczące wyników finansowych przedsiębiorstw niefinansowych za okres styczeń-wrzesień w latach 2023 i 2024. Dane do tablicy dostępne w pliku formacie XLSX"/>
      </w:tblPr>
      <w:tblGrid>
        <w:gridCol w:w="5902"/>
        <w:gridCol w:w="2427"/>
        <w:gridCol w:w="2150"/>
      </w:tblGrid>
      <w:tr w:rsidR="00044A67" w:rsidRPr="000A5C57" w:rsidTr="00707A0E">
        <w:trPr>
          <w:trHeight w:val="286"/>
          <w:jc w:val="center"/>
        </w:trPr>
        <w:tc>
          <w:tcPr>
            <w:tcW w:w="2816" w:type="pct"/>
            <w:vMerge w:val="restart"/>
            <w:tcBorders>
              <w:top w:val="nil"/>
            </w:tcBorders>
            <w:vAlign w:val="center"/>
          </w:tcPr>
          <w:p w:rsidR="00044A67" w:rsidRPr="000A2521" w:rsidRDefault="00044A67" w:rsidP="00707A0E">
            <w:pPr>
              <w:pStyle w:val="glowka1"/>
            </w:pPr>
            <w:r w:rsidRPr="000A2521">
              <w:t>Wyszczególnienie</w:t>
            </w:r>
          </w:p>
        </w:tc>
        <w:tc>
          <w:tcPr>
            <w:tcW w:w="1158" w:type="pct"/>
            <w:tcBorders>
              <w:top w:val="nil"/>
            </w:tcBorders>
            <w:vAlign w:val="center"/>
          </w:tcPr>
          <w:p w:rsidR="00044A67" w:rsidRPr="000A2521" w:rsidRDefault="00044A67" w:rsidP="00707A0E">
            <w:pPr>
              <w:pStyle w:val="glowka1"/>
            </w:pPr>
            <w:r>
              <w:t xml:space="preserve">01–09 </w:t>
            </w:r>
            <w:r w:rsidRPr="000A2521">
              <w:t>20</w:t>
            </w:r>
            <w:r>
              <w:t>23</w:t>
            </w:r>
          </w:p>
        </w:tc>
        <w:tc>
          <w:tcPr>
            <w:tcW w:w="1026" w:type="pct"/>
            <w:tcBorders>
              <w:top w:val="nil"/>
            </w:tcBorders>
            <w:vAlign w:val="center"/>
          </w:tcPr>
          <w:p w:rsidR="00044A67" w:rsidRPr="000A2521" w:rsidRDefault="00044A67" w:rsidP="00707A0E">
            <w:pPr>
              <w:pStyle w:val="glowka1"/>
            </w:pPr>
            <w:r>
              <w:t xml:space="preserve">01–09 </w:t>
            </w:r>
            <w:r w:rsidRPr="000A2521">
              <w:t>202</w:t>
            </w:r>
            <w:r>
              <w:t>4</w:t>
            </w:r>
          </w:p>
        </w:tc>
      </w:tr>
      <w:tr w:rsidR="00044A67" w:rsidRPr="000A5C57" w:rsidTr="00707A0E">
        <w:trPr>
          <w:trHeight w:val="57"/>
          <w:jc w:val="center"/>
        </w:trPr>
        <w:tc>
          <w:tcPr>
            <w:tcW w:w="2816" w:type="pct"/>
            <w:vMerge/>
            <w:tcBorders>
              <w:bottom w:val="single" w:sz="12" w:space="0" w:color="522398"/>
            </w:tcBorders>
            <w:vAlign w:val="center"/>
          </w:tcPr>
          <w:p w:rsidR="00044A67" w:rsidRPr="000A2521" w:rsidRDefault="00044A67" w:rsidP="00707A0E">
            <w:pPr>
              <w:pStyle w:val="glowka1"/>
            </w:pPr>
          </w:p>
        </w:tc>
        <w:tc>
          <w:tcPr>
            <w:tcW w:w="2184" w:type="pct"/>
            <w:gridSpan w:val="2"/>
            <w:tcBorders>
              <w:bottom w:val="single" w:sz="12" w:space="0" w:color="522398"/>
            </w:tcBorders>
            <w:vAlign w:val="center"/>
          </w:tcPr>
          <w:p w:rsidR="00044A67" w:rsidRPr="000A2521" w:rsidRDefault="00044A67" w:rsidP="00707A0E">
            <w:pPr>
              <w:pStyle w:val="glowka1"/>
            </w:pPr>
            <w:r w:rsidRPr="000A2521">
              <w:t>w mln zł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tcBorders>
              <w:top w:val="single" w:sz="12" w:space="0" w:color="522398"/>
            </w:tcBorders>
            <w:vAlign w:val="center"/>
          </w:tcPr>
          <w:p w:rsidR="00044A67" w:rsidRPr="000A2521" w:rsidRDefault="00044A67" w:rsidP="00707A0E">
            <w:pPr>
              <w:pStyle w:val="boczek1"/>
            </w:pPr>
            <w:r w:rsidRPr="0029679F">
              <w:t xml:space="preserve">Przychody </w:t>
            </w:r>
            <w:r>
              <w:t>ogółem (</w:t>
            </w:r>
            <w:r w:rsidRPr="0029679F">
              <w:t>przychody z całokształtu działalności</w:t>
            </w:r>
            <w:r>
              <w:t>)</w:t>
            </w:r>
          </w:p>
        </w:tc>
        <w:tc>
          <w:tcPr>
            <w:tcW w:w="1158" w:type="pct"/>
            <w:tcBorders>
              <w:top w:val="single" w:sz="12" w:space="0" w:color="522398"/>
            </w:tcBorders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515944,4</w:t>
            </w:r>
          </w:p>
        </w:tc>
        <w:tc>
          <w:tcPr>
            <w:tcW w:w="1026" w:type="pct"/>
            <w:tcBorders>
              <w:top w:val="single" w:sz="12" w:space="0" w:color="522398"/>
            </w:tcBorders>
          </w:tcPr>
          <w:p w:rsidR="00044A67" w:rsidRPr="007255B6" w:rsidRDefault="00044A67" w:rsidP="00707A0E">
            <w:pPr>
              <w:pStyle w:val="tableteksttab"/>
            </w:pPr>
            <w:r w:rsidRPr="007255B6">
              <w:t>511401,0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2"/>
            </w:pPr>
            <w:r w:rsidRPr="000A2521">
              <w:t xml:space="preserve">w tym przychody </w:t>
            </w:r>
            <w:r>
              <w:t xml:space="preserve">netto </w:t>
            </w:r>
            <w:r w:rsidRPr="000A2521">
              <w:t>ze sprzedaży produktów, towarów i materiałów</w:t>
            </w:r>
          </w:p>
        </w:tc>
        <w:tc>
          <w:tcPr>
            <w:tcW w:w="1158" w:type="pct"/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507461,2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501728,6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1"/>
            </w:pPr>
            <w:r w:rsidRPr="0029679F">
              <w:t xml:space="preserve">Koszty </w:t>
            </w:r>
            <w:r>
              <w:t>ogółem (</w:t>
            </w:r>
            <w:r w:rsidRPr="0029679F">
              <w:t>koszt</w:t>
            </w:r>
            <w:r>
              <w:t>y</w:t>
            </w:r>
            <w:r w:rsidRPr="0029679F">
              <w:t xml:space="preserve"> uzyskania przychodów z całokształtu działalności</w:t>
            </w:r>
            <w:r>
              <w:t>)</w:t>
            </w:r>
          </w:p>
        </w:tc>
        <w:tc>
          <w:tcPr>
            <w:tcW w:w="1158" w:type="pct"/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478988,9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484588,3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2"/>
            </w:pPr>
            <w:r w:rsidRPr="0029679F">
              <w:t>w tym koszt</w:t>
            </w:r>
            <w:r>
              <w:t>y</w:t>
            </w:r>
            <w:r w:rsidRPr="0029679F">
              <w:t xml:space="preserve"> sprzedanych produktów</w:t>
            </w:r>
            <w:r>
              <w:t>,</w:t>
            </w:r>
            <w:r w:rsidRPr="0029679F">
              <w:t xml:space="preserve"> towarów i materiałów</w:t>
            </w:r>
          </w:p>
        </w:tc>
        <w:tc>
          <w:tcPr>
            <w:tcW w:w="1158" w:type="pct"/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467312,9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473715,6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1"/>
            </w:pPr>
            <w:r w:rsidRPr="000A2521">
              <w:t>Wynik ze sprzedaży produktów, towarów i materiałów</w:t>
            </w:r>
          </w:p>
        </w:tc>
        <w:tc>
          <w:tcPr>
            <w:tcW w:w="1158" w:type="pct"/>
            <w:vAlign w:val="center"/>
          </w:tcPr>
          <w:p w:rsidR="00044A67" w:rsidRPr="009E4831" w:rsidRDefault="00044A67" w:rsidP="00707A0E">
            <w:pPr>
              <w:pStyle w:val="tableteksttab"/>
            </w:pPr>
            <w:r w:rsidRPr="009E4831">
              <w:t>40148,3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28013,1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1"/>
            </w:pPr>
            <w:r w:rsidRPr="000A2521">
              <w:t>Wynik na pozostałej działalności operacyjnej</w:t>
            </w:r>
          </w:p>
        </w:tc>
        <w:tc>
          <w:tcPr>
            <w:tcW w:w="1158" w:type="pct"/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-988,1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-509,9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1"/>
            </w:pPr>
            <w:r w:rsidRPr="000A2521">
              <w:t>Wynik na operacjach finansowych</w:t>
            </w:r>
          </w:p>
        </w:tc>
        <w:tc>
          <w:tcPr>
            <w:tcW w:w="1158" w:type="pct"/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-2204,8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-690,5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1"/>
            </w:pPr>
            <w:r w:rsidRPr="000A2521">
              <w:t>Wynik finansowy brutto</w:t>
            </w:r>
          </w:p>
        </w:tc>
        <w:tc>
          <w:tcPr>
            <w:tcW w:w="1158" w:type="pct"/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36955,5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26812,7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vAlign w:val="center"/>
          </w:tcPr>
          <w:p w:rsidR="00044A67" w:rsidRPr="000A2521" w:rsidRDefault="00044A67" w:rsidP="00707A0E">
            <w:pPr>
              <w:pStyle w:val="boczek1"/>
            </w:pPr>
            <w:r w:rsidRPr="000A2521">
              <w:t>Wynik finansowy netto</w:t>
            </w:r>
          </w:p>
        </w:tc>
        <w:tc>
          <w:tcPr>
            <w:tcW w:w="1158" w:type="pct"/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30305,3</w:t>
            </w:r>
          </w:p>
        </w:tc>
        <w:tc>
          <w:tcPr>
            <w:tcW w:w="1026" w:type="pct"/>
          </w:tcPr>
          <w:p w:rsidR="00044A67" w:rsidRPr="007255B6" w:rsidRDefault="00044A67" w:rsidP="00707A0E">
            <w:pPr>
              <w:pStyle w:val="tableteksttab"/>
            </w:pPr>
            <w:r w:rsidRPr="007255B6">
              <w:t>21911,1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tcBorders>
              <w:bottom w:val="single" w:sz="4" w:space="0" w:color="522398"/>
            </w:tcBorders>
            <w:vAlign w:val="center"/>
          </w:tcPr>
          <w:p w:rsidR="00044A67" w:rsidRPr="000A2521" w:rsidRDefault="00044A67" w:rsidP="00707A0E">
            <w:pPr>
              <w:pStyle w:val="boczek2"/>
            </w:pPr>
            <w:r w:rsidRPr="000A2521">
              <w:t>zysk netto</w:t>
            </w:r>
          </w:p>
        </w:tc>
        <w:tc>
          <w:tcPr>
            <w:tcW w:w="1158" w:type="pct"/>
            <w:tcBorders>
              <w:bottom w:val="single" w:sz="4" w:space="0" w:color="522398"/>
            </w:tcBorders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33389,4</w:t>
            </w:r>
          </w:p>
        </w:tc>
        <w:tc>
          <w:tcPr>
            <w:tcW w:w="1026" w:type="pct"/>
            <w:tcBorders>
              <w:bottom w:val="single" w:sz="4" w:space="0" w:color="522398"/>
            </w:tcBorders>
          </w:tcPr>
          <w:p w:rsidR="00044A67" w:rsidRPr="007255B6" w:rsidRDefault="00044A67" w:rsidP="00707A0E">
            <w:pPr>
              <w:pStyle w:val="tableteksttab"/>
            </w:pPr>
            <w:r w:rsidRPr="007255B6">
              <w:t>25031,5</w:t>
            </w:r>
          </w:p>
        </w:tc>
      </w:tr>
      <w:tr w:rsidR="00044A67" w:rsidRPr="000A5C57" w:rsidTr="00707A0E">
        <w:trPr>
          <w:trHeight w:val="255"/>
          <w:jc w:val="center"/>
        </w:trPr>
        <w:tc>
          <w:tcPr>
            <w:tcW w:w="2816" w:type="pct"/>
            <w:tcBorders>
              <w:bottom w:val="nil"/>
            </w:tcBorders>
            <w:vAlign w:val="center"/>
          </w:tcPr>
          <w:p w:rsidR="00044A67" w:rsidRPr="000A2521" w:rsidRDefault="00044A67" w:rsidP="00707A0E">
            <w:pPr>
              <w:pStyle w:val="boczek2"/>
            </w:pPr>
            <w:r w:rsidRPr="000A2521">
              <w:t>strata netto</w:t>
            </w:r>
          </w:p>
        </w:tc>
        <w:tc>
          <w:tcPr>
            <w:tcW w:w="1158" w:type="pct"/>
            <w:tcBorders>
              <w:bottom w:val="nil"/>
            </w:tcBorders>
            <w:vAlign w:val="center"/>
          </w:tcPr>
          <w:p w:rsidR="00044A67" w:rsidRPr="00211AC9" w:rsidRDefault="00044A67" w:rsidP="00707A0E">
            <w:pPr>
              <w:pStyle w:val="tableteksttab"/>
            </w:pPr>
            <w:r w:rsidRPr="00211AC9">
              <w:t>3084,0</w:t>
            </w:r>
          </w:p>
        </w:tc>
        <w:tc>
          <w:tcPr>
            <w:tcW w:w="1026" w:type="pct"/>
            <w:tcBorders>
              <w:bottom w:val="nil"/>
            </w:tcBorders>
          </w:tcPr>
          <w:p w:rsidR="00044A67" w:rsidRPr="007255B6" w:rsidRDefault="00044A67" w:rsidP="00707A0E">
            <w:pPr>
              <w:pStyle w:val="tableteksttab"/>
            </w:pPr>
            <w:r w:rsidRPr="007255B6">
              <w:t>3120,4</w:t>
            </w:r>
          </w:p>
        </w:tc>
      </w:tr>
    </w:tbl>
    <w:p w:rsidR="00632AE1" w:rsidRDefault="00044A67" w:rsidP="00632AE1">
      <w:pPr>
        <w:pStyle w:val="tekst"/>
        <w:spacing w:before="240"/>
      </w:pPr>
      <w:r w:rsidRPr="007822A0">
        <w:rPr>
          <w:b/>
        </w:rPr>
        <w:t>Wynik finansowy brutto</w:t>
      </w:r>
      <w:r w:rsidRPr="002C24FC">
        <w:t xml:space="preserve"> w </w:t>
      </w:r>
      <w:r>
        <w:t>okresie styczeń-wrzesień</w:t>
      </w:r>
      <w:r w:rsidRPr="002C24FC">
        <w:t xml:space="preserve"> br. </w:t>
      </w:r>
      <w:r w:rsidRPr="005C2CFB">
        <w:t xml:space="preserve">ukształtował się na poziomie </w:t>
      </w:r>
      <w:r w:rsidRPr="00DB1A1A">
        <w:t>26812,7</w:t>
      </w:r>
      <w:r>
        <w:t xml:space="preserve"> </w:t>
      </w:r>
      <w:r w:rsidRPr="005C2CFB">
        <w:t xml:space="preserve">mln zł, tj. o </w:t>
      </w:r>
      <w:r w:rsidRPr="00DB1A1A">
        <w:t>27,4</w:t>
      </w:r>
      <w:r w:rsidRPr="005C2CFB">
        <w:t xml:space="preserve">% </w:t>
      </w:r>
      <w:r>
        <w:t>ni</w:t>
      </w:r>
      <w:r w:rsidRPr="005C2CFB">
        <w:t>żej niż w analogicznym okresie ub. roku. Po odliczeniu podatku dochodowego (</w:t>
      </w:r>
      <w:r w:rsidRPr="00DB1A1A">
        <w:t>4901,6</w:t>
      </w:r>
      <w:r>
        <w:t xml:space="preserve"> </w:t>
      </w:r>
      <w:r w:rsidRPr="005C2CFB">
        <w:t xml:space="preserve">mln zł) </w:t>
      </w:r>
      <w:r w:rsidRPr="005C2CFB">
        <w:rPr>
          <w:b/>
        </w:rPr>
        <w:t>wynik finansowy netto</w:t>
      </w:r>
      <w:r w:rsidRPr="005C2CFB">
        <w:t xml:space="preserve"> wyniósł </w:t>
      </w:r>
      <w:r w:rsidRPr="00DB1A1A">
        <w:t>21911,1</w:t>
      </w:r>
      <w:r>
        <w:t xml:space="preserve"> </w:t>
      </w:r>
      <w:r w:rsidRPr="005C2CFB">
        <w:t xml:space="preserve">mln zł, tj. o </w:t>
      </w:r>
      <w:r>
        <w:t>27,7</w:t>
      </w:r>
      <w:r w:rsidRPr="005C2CFB">
        <w:t xml:space="preserve">% </w:t>
      </w:r>
      <w:r>
        <w:t>mni</w:t>
      </w:r>
      <w:r w:rsidRPr="005C2CFB">
        <w:t>ej niż przed rokiem. Zysk nett</w:t>
      </w:r>
      <w:r>
        <w:t>o w ciągu roku obniżył się o 25,0</w:t>
      </w:r>
      <w:r w:rsidRPr="005C2CFB">
        <w:t xml:space="preserve">%, a strata netto wzrosła w tym czasie o </w:t>
      </w:r>
      <w:r>
        <w:t>1,2</w:t>
      </w:r>
      <w:r w:rsidRPr="005C2CFB">
        <w:t>%. Zysk netto wy</w:t>
      </w:r>
      <w:r>
        <w:t xml:space="preserve">kazało </w:t>
      </w:r>
      <w:r w:rsidRPr="00382CBC">
        <w:t>73,5</w:t>
      </w:r>
      <w:r>
        <w:t>% przedsiębiorstw (77,7</w:t>
      </w:r>
      <w:r w:rsidRPr="005C2CFB">
        <w:t xml:space="preserve">% w analogicznym okresie ub. roku). Przychody uzyskane przez te przedsiębiorstwa </w:t>
      </w:r>
      <w:r w:rsidRPr="00F810B1">
        <w:t xml:space="preserve">stanowiły </w:t>
      </w:r>
      <w:r w:rsidRPr="006C6E84">
        <w:t>88,3</w:t>
      </w:r>
      <w:r w:rsidRPr="00F810B1">
        <w:t xml:space="preserve">% </w:t>
      </w:r>
      <w:r w:rsidRPr="005C2CFB">
        <w:t xml:space="preserve">całkowitych przychodów z całokształtu działalności (wobec </w:t>
      </w:r>
      <w:r w:rsidRPr="00F810B1">
        <w:t>88,5</w:t>
      </w:r>
      <w:r w:rsidRPr="005C2CFB">
        <w:t xml:space="preserve">% przed rokiem). W przetwórstwie przemysłowym zysk netto wykazało </w:t>
      </w:r>
      <w:r w:rsidRPr="006C6E84">
        <w:t>72,2</w:t>
      </w:r>
      <w:r w:rsidRPr="005C2CFB">
        <w:t>% przedsiębiorstw (</w:t>
      </w:r>
      <w:r>
        <w:t>78,8</w:t>
      </w:r>
      <w:r w:rsidRPr="005C2CFB">
        <w:t>%</w:t>
      </w:r>
      <w:r>
        <w:t xml:space="preserve"> rok wcześniej), a ich udział w </w:t>
      </w:r>
      <w:r w:rsidRPr="005C2CFB">
        <w:t xml:space="preserve">przychodach tej sekcji wyniósł </w:t>
      </w:r>
      <w:r w:rsidRPr="006C6E84">
        <w:t>83,1</w:t>
      </w:r>
      <w:r w:rsidRPr="005C2CFB">
        <w:t>% (wobec 8</w:t>
      </w:r>
      <w:r>
        <w:t>1,0</w:t>
      </w:r>
      <w:r w:rsidRPr="005C2CFB">
        <w:t>% przed rokiem</w:t>
      </w:r>
      <w:r w:rsidRPr="002C24FC">
        <w:t>).</w:t>
      </w:r>
    </w:p>
    <w:p w:rsidR="00632AE1" w:rsidRDefault="00632AE1">
      <w:pPr>
        <w:spacing w:before="0" w:after="160" w:line="259" w:lineRule="auto"/>
        <w:rPr>
          <w:lang w:eastAsia="pl-PL"/>
        </w:rPr>
      </w:pPr>
      <w:r>
        <w:br w:type="page"/>
      </w:r>
    </w:p>
    <w:p w:rsidR="00044A67" w:rsidRPr="007D22D0" w:rsidRDefault="00044A67" w:rsidP="00044A67">
      <w:pPr>
        <w:pStyle w:val="Tytultabeli"/>
        <w:tabs>
          <w:tab w:val="clear" w:pos="170"/>
          <w:tab w:val="clear" w:pos="340"/>
          <w:tab w:val="clear" w:pos="510"/>
          <w:tab w:val="clear" w:pos="680"/>
          <w:tab w:val="clear" w:pos="964"/>
          <w:tab w:val="clear" w:pos="1021"/>
          <w:tab w:val="clear" w:pos="1191"/>
          <w:tab w:val="clear" w:pos="1361"/>
          <w:tab w:val="clear" w:pos="1531"/>
          <w:tab w:val="clear" w:pos="1701"/>
          <w:tab w:val="clear" w:pos="1871"/>
          <w:tab w:val="clear" w:pos="2041"/>
          <w:tab w:val="clear" w:pos="2211"/>
          <w:tab w:val="clear" w:pos="2381"/>
          <w:tab w:val="clear" w:pos="2551"/>
          <w:tab w:val="clear" w:pos="2721"/>
          <w:tab w:val="left" w:pos="992"/>
          <w:tab w:val="left" w:pos="1134"/>
        </w:tabs>
        <w:spacing w:before="0" w:after="0"/>
        <w:ind w:left="0" w:firstLine="0"/>
      </w:pPr>
      <w:r>
        <w:lastRenderedPageBreak/>
        <w:t>Tablica 13.</w:t>
      </w:r>
      <w:r>
        <w:tab/>
      </w:r>
      <w:r w:rsidRPr="007D22D0">
        <w:t>Podstawowe wskaźniki ekonomiczno-finansowe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ezentuje podstawowe wskaźniki ekonomiczno-finansowe uzyskane przez przedsiębiorstwa niefinansowe w okresie styczeń-wrzesień w latach 2023 i 2024. Dane do tablicy dostępne w pliku formacie XLSX"/>
      </w:tblPr>
      <w:tblGrid>
        <w:gridCol w:w="6030"/>
        <w:gridCol w:w="2274"/>
        <w:gridCol w:w="2175"/>
      </w:tblGrid>
      <w:tr w:rsidR="00044A67" w:rsidRPr="000A5C57" w:rsidTr="00707A0E">
        <w:trPr>
          <w:trHeight w:val="227"/>
          <w:jc w:val="center"/>
        </w:trPr>
        <w:tc>
          <w:tcPr>
            <w:tcW w:w="2877" w:type="pct"/>
            <w:vMerge w:val="restart"/>
            <w:tcBorders>
              <w:top w:val="nil"/>
            </w:tcBorders>
            <w:vAlign w:val="center"/>
          </w:tcPr>
          <w:p w:rsidR="00044A67" w:rsidRPr="007D22D0" w:rsidRDefault="00044A67" w:rsidP="00707A0E">
            <w:pPr>
              <w:pStyle w:val="glowka1"/>
            </w:pPr>
            <w:r w:rsidRPr="007D22D0">
              <w:t>Wyszczególnienie</w:t>
            </w:r>
          </w:p>
        </w:tc>
        <w:tc>
          <w:tcPr>
            <w:tcW w:w="1085" w:type="pct"/>
            <w:tcBorders>
              <w:top w:val="nil"/>
            </w:tcBorders>
            <w:vAlign w:val="center"/>
          </w:tcPr>
          <w:p w:rsidR="00044A67" w:rsidRPr="007D22D0" w:rsidRDefault="00044A67" w:rsidP="00707A0E">
            <w:pPr>
              <w:pStyle w:val="glowka1"/>
            </w:pPr>
            <w:r>
              <w:t xml:space="preserve">01–09 </w:t>
            </w:r>
            <w:r w:rsidRPr="007D22D0">
              <w:t>20</w:t>
            </w:r>
            <w:r>
              <w:t>23</w:t>
            </w:r>
          </w:p>
        </w:tc>
        <w:tc>
          <w:tcPr>
            <w:tcW w:w="1038" w:type="pct"/>
            <w:tcBorders>
              <w:top w:val="nil"/>
            </w:tcBorders>
            <w:vAlign w:val="center"/>
          </w:tcPr>
          <w:p w:rsidR="00044A67" w:rsidRPr="007D22D0" w:rsidRDefault="00044A67" w:rsidP="00707A0E">
            <w:pPr>
              <w:pStyle w:val="glowka1"/>
            </w:pPr>
            <w:r>
              <w:t>01–09 2024</w:t>
            </w:r>
          </w:p>
        </w:tc>
      </w:tr>
      <w:tr w:rsidR="00044A67" w:rsidRPr="000A5C57" w:rsidTr="00707A0E">
        <w:trPr>
          <w:trHeight w:val="227"/>
          <w:jc w:val="center"/>
        </w:trPr>
        <w:tc>
          <w:tcPr>
            <w:tcW w:w="2877" w:type="pct"/>
            <w:vMerge/>
            <w:tcBorders>
              <w:bottom w:val="single" w:sz="12" w:space="0" w:color="522398"/>
            </w:tcBorders>
            <w:vAlign w:val="center"/>
          </w:tcPr>
          <w:p w:rsidR="00044A67" w:rsidRPr="007D22D0" w:rsidRDefault="00044A67" w:rsidP="00707A0E">
            <w:pPr>
              <w:pStyle w:val="glowka1"/>
            </w:pPr>
          </w:p>
        </w:tc>
        <w:tc>
          <w:tcPr>
            <w:tcW w:w="2123" w:type="pct"/>
            <w:gridSpan w:val="2"/>
            <w:tcBorders>
              <w:bottom w:val="single" w:sz="12" w:space="0" w:color="522398"/>
            </w:tcBorders>
            <w:vAlign w:val="center"/>
          </w:tcPr>
          <w:p w:rsidR="00044A67" w:rsidRPr="007D22D0" w:rsidRDefault="00044A67" w:rsidP="00707A0E">
            <w:pPr>
              <w:pStyle w:val="glowka1"/>
            </w:pPr>
            <w:r w:rsidRPr="007D22D0">
              <w:t>w %</w:t>
            </w:r>
          </w:p>
        </w:tc>
      </w:tr>
      <w:tr w:rsidR="00044A67" w:rsidRPr="000A5C57" w:rsidTr="00707A0E">
        <w:trPr>
          <w:trHeight w:val="227"/>
          <w:jc w:val="center"/>
        </w:trPr>
        <w:tc>
          <w:tcPr>
            <w:tcW w:w="2877" w:type="pct"/>
            <w:tcBorders>
              <w:top w:val="single" w:sz="12" w:space="0" w:color="522398"/>
            </w:tcBorders>
            <w:vAlign w:val="center"/>
          </w:tcPr>
          <w:p w:rsidR="00044A67" w:rsidRPr="007D22D0" w:rsidRDefault="00044A67" w:rsidP="00707A0E">
            <w:pPr>
              <w:pStyle w:val="boczek1"/>
            </w:pPr>
            <w:r w:rsidRPr="007D22D0">
              <w:t>Wskaźnik poziomu kosztów</w:t>
            </w:r>
          </w:p>
        </w:tc>
        <w:tc>
          <w:tcPr>
            <w:tcW w:w="1085" w:type="pct"/>
            <w:tcBorders>
              <w:top w:val="single" w:sz="12" w:space="0" w:color="522398"/>
            </w:tcBorders>
            <w:vAlign w:val="center"/>
          </w:tcPr>
          <w:p w:rsidR="00044A67" w:rsidRPr="005D0D99" w:rsidRDefault="00044A67" w:rsidP="00707A0E">
            <w:pPr>
              <w:pStyle w:val="tableteksttab"/>
            </w:pPr>
            <w:r w:rsidRPr="005D0D99">
              <w:t>92,8</w:t>
            </w:r>
          </w:p>
        </w:tc>
        <w:tc>
          <w:tcPr>
            <w:tcW w:w="1038" w:type="pct"/>
            <w:tcBorders>
              <w:top w:val="single" w:sz="12" w:space="0" w:color="522398"/>
            </w:tcBorders>
          </w:tcPr>
          <w:p w:rsidR="00044A67" w:rsidRPr="00727B63" w:rsidRDefault="00044A67" w:rsidP="00707A0E">
            <w:pPr>
              <w:pStyle w:val="tableteksttab"/>
            </w:pPr>
            <w:r w:rsidRPr="00727B63">
              <w:t>94,8</w:t>
            </w:r>
          </w:p>
        </w:tc>
      </w:tr>
      <w:tr w:rsidR="00044A67" w:rsidRPr="000A5C57" w:rsidTr="00707A0E">
        <w:trPr>
          <w:trHeight w:val="227"/>
          <w:jc w:val="center"/>
        </w:trPr>
        <w:tc>
          <w:tcPr>
            <w:tcW w:w="2877" w:type="pct"/>
            <w:vAlign w:val="center"/>
          </w:tcPr>
          <w:p w:rsidR="00044A67" w:rsidRPr="007D22D0" w:rsidRDefault="00044A67" w:rsidP="00707A0E">
            <w:pPr>
              <w:pStyle w:val="boczek1"/>
            </w:pPr>
            <w:r w:rsidRPr="007D22D0">
              <w:t>Wskaźnik rentowności ze sprzedaży produktów, towarów i materiałów</w:t>
            </w:r>
          </w:p>
        </w:tc>
        <w:tc>
          <w:tcPr>
            <w:tcW w:w="1085" w:type="pct"/>
            <w:vAlign w:val="center"/>
          </w:tcPr>
          <w:p w:rsidR="00044A67" w:rsidRPr="005D0D99" w:rsidRDefault="00044A67" w:rsidP="00707A0E">
            <w:pPr>
              <w:pStyle w:val="tableteksttab"/>
            </w:pPr>
            <w:r w:rsidRPr="005D0D99">
              <w:t>7,9</w:t>
            </w:r>
          </w:p>
        </w:tc>
        <w:tc>
          <w:tcPr>
            <w:tcW w:w="1038" w:type="pct"/>
          </w:tcPr>
          <w:p w:rsidR="00044A67" w:rsidRPr="00727B63" w:rsidRDefault="00044A67" w:rsidP="00707A0E">
            <w:pPr>
              <w:pStyle w:val="tableteksttab"/>
            </w:pPr>
            <w:r w:rsidRPr="00727B63">
              <w:t>5,6</w:t>
            </w:r>
          </w:p>
        </w:tc>
      </w:tr>
      <w:tr w:rsidR="00044A67" w:rsidRPr="000A5C57" w:rsidTr="00707A0E">
        <w:trPr>
          <w:trHeight w:val="227"/>
          <w:jc w:val="center"/>
        </w:trPr>
        <w:tc>
          <w:tcPr>
            <w:tcW w:w="2877" w:type="pct"/>
            <w:vAlign w:val="center"/>
          </w:tcPr>
          <w:p w:rsidR="00044A67" w:rsidRPr="007D22D0" w:rsidRDefault="00044A67" w:rsidP="00707A0E">
            <w:pPr>
              <w:pStyle w:val="boczek1"/>
            </w:pPr>
            <w:r w:rsidRPr="007D22D0">
              <w:t>Wskaźnik rentowności obrotu brutto</w:t>
            </w:r>
          </w:p>
        </w:tc>
        <w:tc>
          <w:tcPr>
            <w:tcW w:w="1085" w:type="pct"/>
            <w:vAlign w:val="center"/>
          </w:tcPr>
          <w:p w:rsidR="00044A67" w:rsidRPr="005D0D99" w:rsidRDefault="00044A67" w:rsidP="00707A0E">
            <w:pPr>
              <w:pStyle w:val="tableteksttab"/>
            </w:pPr>
            <w:r w:rsidRPr="005D0D99">
              <w:t>7,2</w:t>
            </w:r>
          </w:p>
        </w:tc>
        <w:tc>
          <w:tcPr>
            <w:tcW w:w="1038" w:type="pct"/>
          </w:tcPr>
          <w:p w:rsidR="00044A67" w:rsidRPr="00727B63" w:rsidRDefault="00044A67" w:rsidP="00707A0E">
            <w:pPr>
              <w:pStyle w:val="tableteksttab"/>
            </w:pPr>
            <w:r w:rsidRPr="00727B63">
              <w:t>5,2</w:t>
            </w:r>
          </w:p>
        </w:tc>
      </w:tr>
      <w:tr w:rsidR="00044A67" w:rsidRPr="000A5C57" w:rsidTr="00707A0E">
        <w:trPr>
          <w:trHeight w:val="227"/>
          <w:jc w:val="center"/>
        </w:trPr>
        <w:tc>
          <w:tcPr>
            <w:tcW w:w="2877" w:type="pct"/>
            <w:vAlign w:val="center"/>
          </w:tcPr>
          <w:p w:rsidR="00044A67" w:rsidRPr="007D22D0" w:rsidRDefault="00044A67" w:rsidP="00707A0E">
            <w:pPr>
              <w:pStyle w:val="boczek1"/>
            </w:pPr>
            <w:r w:rsidRPr="007D22D0">
              <w:t>Wskaźnik rentowności obrotu netto</w:t>
            </w:r>
          </w:p>
        </w:tc>
        <w:tc>
          <w:tcPr>
            <w:tcW w:w="1085" w:type="pct"/>
            <w:vAlign w:val="center"/>
          </w:tcPr>
          <w:p w:rsidR="00044A67" w:rsidRPr="005D0D99" w:rsidRDefault="00044A67" w:rsidP="00707A0E">
            <w:pPr>
              <w:pStyle w:val="tableteksttab"/>
            </w:pPr>
            <w:r w:rsidRPr="005D0D99">
              <w:t>5,9</w:t>
            </w:r>
          </w:p>
        </w:tc>
        <w:tc>
          <w:tcPr>
            <w:tcW w:w="1038" w:type="pct"/>
          </w:tcPr>
          <w:p w:rsidR="00044A67" w:rsidRPr="00727B63" w:rsidRDefault="00044A67" w:rsidP="00707A0E">
            <w:pPr>
              <w:pStyle w:val="tableteksttab"/>
            </w:pPr>
            <w:r w:rsidRPr="00727B63">
              <w:t>4,3</w:t>
            </w:r>
          </w:p>
        </w:tc>
      </w:tr>
      <w:tr w:rsidR="00044A67" w:rsidRPr="000A5C57" w:rsidTr="00707A0E">
        <w:trPr>
          <w:trHeight w:val="227"/>
          <w:jc w:val="center"/>
        </w:trPr>
        <w:tc>
          <w:tcPr>
            <w:tcW w:w="2877" w:type="pct"/>
            <w:vAlign w:val="center"/>
          </w:tcPr>
          <w:p w:rsidR="00044A67" w:rsidRPr="007D22D0" w:rsidRDefault="00044A67" w:rsidP="00707A0E">
            <w:pPr>
              <w:pStyle w:val="boczek1"/>
            </w:pPr>
            <w:r w:rsidRPr="007D22D0">
              <w:t>Wskaźnik płynności finansowej I stopnia</w:t>
            </w:r>
          </w:p>
        </w:tc>
        <w:tc>
          <w:tcPr>
            <w:tcW w:w="1085" w:type="pct"/>
            <w:vAlign w:val="center"/>
          </w:tcPr>
          <w:p w:rsidR="00044A67" w:rsidRPr="005D0D99" w:rsidRDefault="00044A67" w:rsidP="00707A0E">
            <w:pPr>
              <w:pStyle w:val="tableteksttab"/>
            </w:pPr>
            <w:r w:rsidRPr="005D0D99">
              <w:t>38,2</w:t>
            </w:r>
          </w:p>
        </w:tc>
        <w:tc>
          <w:tcPr>
            <w:tcW w:w="1038" w:type="pct"/>
          </w:tcPr>
          <w:p w:rsidR="00044A67" w:rsidRPr="00727B63" w:rsidRDefault="00044A67" w:rsidP="00707A0E">
            <w:pPr>
              <w:pStyle w:val="tableteksttab"/>
            </w:pPr>
            <w:r w:rsidRPr="00727B63">
              <w:t>43,4</w:t>
            </w:r>
          </w:p>
        </w:tc>
      </w:tr>
      <w:tr w:rsidR="00044A67" w:rsidRPr="000A5C57" w:rsidTr="00707A0E">
        <w:trPr>
          <w:trHeight w:val="227"/>
          <w:jc w:val="center"/>
        </w:trPr>
        <w:tc>
          <w:tcPr>
            <w:tcW w:w="2877" w:type="pct"/>
            <w:tcBorders>
              <w:bottom w:val="nil"/>
            </w:tcBorders>
            <w:vAlign w:val="center"/>
          </w:tcPr>
          <w:p w:rsidR="00044A67" w:rsidRPr="007D22D0" w:rsidRDefault="00044A67" w:rsidP="00707A0E">
            <w:pPr>
              <w:pStyle w:val="boczek1"/>
            </w:pPr>
            <w:r w:rsidRPr="007D22D0">
              <w:t>Wskaźnik płynności finansowej II stopnia</w:t>
            </w:r>
          </w:p>
        </w:tc>
        <w:tc>
          <w:tcPr>
            <w:tcW w:w="1085" w:type="pct"/>
            <w:tcBorders>
              <w:bottom w:val="nil"/>
            </w:tcBorders>
            <w:vAlign w:val="center"/>
          </w:tcPr>
          <w:p w:rsidR="00044A67" w:rsidRPr="005D0D99" w:rsidRDefault="00044A67" w:rsidP="00707A0E">
            <w:pPr>
              <w:pStyle w:val="tableteksttab"/>
            </w:pPr>
            <w:r w:rsidRPr="005D0D99">
              <w:t>92,1</w:t>
            </w:r>
          </w:p>
        </w:tc>
        <w:tc>
          <w:tcPr>
            <w:tcW w:w="1038" w:type="pct"/>
            <w:tcBorders>
              <w:bottom w:val="nil"/>
            </w:tcBorders>
          </w:tcPr>
          <w:p w:rsidR="00044A67" w:rsidRDefault="00044A67" w:rsidP="00707A0E">
            <w:pPr>
              <w:pStyle w:val="tableteksttab"/>
            </w:pPr>
            <w:r w:rsidRPr="00727B63">
              <w:t>94,1</w:t>
            </w:r>
          </w:p>
        </w:tc>
      </w:tr>
    </w:tbl>
    <w:p w:rsidR="00044A67" w:rsidRDefault="00044A67" w:rsidP="00044A67">
      <w:pPr>
        <w:pStyle w:val="tekst"/>
        <w:spacing w:before="200"/>
      </w:pPr>
      <w:r w:rsidRPr="009E6233">
        <w:t xml:space="preserve">W przedsiębiorstwach objętych badaniem </w:t>
      </w:r>
      <w:r w:rsidRPr="005C2CFB">
        <w:t xml:space="preserve">okresie styczeń-wrzesień br. </w:t>
      </w:r>
      <w:r>
        <w:t>pogorszy</w:t>
      </w:r>
      <w:r w:rsidRPr="005C2CFB">
        <w:t>ły si</w:t>
      </w:r>
      <w:r>
        <w:t>ę</w:t>
      </w:r>
      <w:r w:rsidRPr="005C2CFB">
        <w:t xml:space="preserve"> podstawowe wskaźniki ekonomiczno-finansowe. Wskaźnik poziomu kosztów dla ogółu podmiotów wyniósł 9</w:t>
      </w:r>
      <w:r>
        <w:t>4,8</w:t>
      </w:r>
      <w:r w:rsidRPr="005C2CFB">
        <w:t>% wobec 9</w:t>
      </w:r>
      <w:r>
        <w:t>2,8</w:t>
      </w:r>
      <w:r w:rsidRPr="005C2CFB">
        <w:t xml:space="preserve">% przed rokiem. Wskaźnik rentowności sprzedaży produktów, towarów i materiałów w ciągu roku </w:t>
      </w:r>
      <w:r>
        <w:t>obniżył się</w:t>
      </w:r>
      <w:r w:rsidRPr="005C2CFB">
        <w:t xml:space="preserve"> o </w:t>
      </w:r>
      <w:r>
        <w:t>2,3</w:t>
      </w:r>
      <w:r w:rsidRPr="005C2CFB">
        <w:t xml:space="preserve"> p.proc. do </w:t>
      </w:r>
      <w:r w:rsidRPr="00425BEE">
        <w:t>5,6</w:t>
      </w:r>
      <w:r w:rsidRPr="005C2CFB">
        <w:t xml:space="preserve">%. Wskaźnik rentowności obrotu brutto wyniósł </w:t>
      </w:r>
      <w:r>
        <w:t>5,2</w:t>
      </w:r>
      <w:r w:rsidRPr="005C2CFB">
        <w:t xml:space="preserve">% wobec </w:t>
      </w:r>
      <w:r>
        <w:t>7,2</w:t>
      </w:r>
      <w:r w:rsidRPr="005C2CFB">
        <w:t>% przed rokiem, a netto z</w:t>
      </w:r>
      <w:r>
        <w:t xml:space="preserve">mniejszył się w tym czasie o 1,6 </w:t>
      </w:r>
      <w:r w:rsidRPr="005C2CFB">
        <w:t xml:space="preserve">p.proc., osiągając </w:t>
      </w:r>
      <w:r w:rsidRPr="00425BEE">
        <w:t>4,3</w:t>
      </w:r>
      <w:r w:rsidRPr="005C2CFB">
        <w:t xml:space="preserve">%. </w:t>
      </w:r>
      <w:r w:rsidRPr="00784FEF">
        <w:t xml:space="preserve">Gorzej niż przed rokiem </w:t>
      </w:r>
      <w:r>
        <w:t xml:space="preserve">wskaźniki </w:t>
      </w:r>
      <w:r w:rsidRPr="00004D22">
        <w:t xml:space="preserve">kształtowały się m.in. w przedsiębiorstwach zajmujących się </w:t>
      </w:r>
      <w:r>
        <w:t xml:space="preserve">przetwórstwem przemysłowym, </w:t>
      </w:r>
      <w:r w:rsidRPr="00004D22">
        <w:t xml:space="preserve">budownictwem, </w:t>
      </w:r>
      <w:r>
        <w:t>handlem</w:t>
      </w:r>
      <w:r w:rsidRPr="00784FEF">
        <w:t>; n</w:t>
      </w:r>
      <w:r>
        <w:t>aprawą pojazdów samochodowych,</w:t>
      </w:r>
      <w:r w:rsidRPr="00784FEF">
        <w:t xml:space="preserve"> </w:t>
      </w:r>
      <w:r w:rsidRPr="00004D22">
        <w:t xml:space="preserve">zakwaterowaniem i gastronomią, </w:t>
      </w:r>
      <w:r w:rsidRPr="00784FEF">
        <w:t>działalnoś</w:t>
      </w:r>
      <w:r>
        <w:t>cią</w:t>
      </w:r>
      <w:r w:rsidRPr="00784FEF">
        <w:t xml:space="preserve"> profesjonaln</w:t>
      </w:r>
      <w:r>
        <w:t>ą</w:t>
      </w:r>
      <w:r w:rsidRPr="00784FEF">
        <w:t>, naukow</w:t>
      </w:r>
      <w:r>
        <w:t>ą</w:t>
      </w:r>
      <w:r w:rsidRPr="00784FEF">
        <w:t xml:space="preserve"> i techniczn</w:t>
      </w:r>
      <w:r>
        <w:t xml:space="preserve">ą, </w:t>
      </w:r>
      <w:r w:rsidRPr="00784FEF">
        <w:t>opie</w:t>
      </w:r>
      <w:r>
        <w:t>ką</w:t>
      </w:r>
      <w:r w:rsidRPr="00784FEF">
        <w:t xml:space="preserve"> zdrowotn</w:t>
      </w:r>
      <w:r>
        <w:t>ą</w:t>
      </w:r>
      <w:r w:rsidRPr="00784FEF">
        <w:t xml:space="preserve"> i pomoc</w:t>
      </w:r>
      <w:r>
        <w:t>ą</w:t>
      </w:r>
      <w:r w:rsidRPr="00784FEF">
        <w:t xml:space="preserve"> społeczn</w:t>
      </w:r>
      <w:r>
        <w:t>ą</w:t>
      </w:r>
      <w:r w:rsidRPr="00111564">
        <w:t xml:space="preserve"> </w:t>
      </w:r>
      <w:r w:rsidRPr="00004D22">
        <w:t xml:space="preserve">oraz działalnością związaną z kulturą, rozrywką i </w:t>
      </w:r>
      <w:r w:rsidRPr="007A5382">
        <w:t>rekreacją</w:t>
      </w:r>
      <w:r>
        <w:t>, a</w:t>
      </w:r>
      <w:r w:rsidRPr="00993402">
        <w:t xml:space="preserve"> </w:t>
      </w:r>
      <w:r>
        <w:t>uwzględniając tylko</w:t>
      </w:r>
      <w:r w:rsidRPr="00784FEF">
        <w:t xml:space="preserve"> wskaźnik rentowności sprzedaży – także </w:t>
      </w:r>
      <w:r>
        <w:t xml:space="preserve">w </w:t>
      </w:r>
      <w:r w:rsidRPr="007A5382">
        <w:t>górnictw</w:t>
      </w:r>
      <w:r>
        <w:t>ie</w:t>
      </w:r>
      <w:r w:rsidRPr="007A5382">
        <w:t xml:space="preserve"> i wydobywani</w:t>
      </w:r>
      <w:r>
        <w:t>u.</w:t>
      </w:r>
      <w:r w:rsidRPr="00993402">
        <w:t xml:space="preserve"> </w:t>
      </w:r>
      <w:r w:rsidRPr="00784FEF">
        <w:t xml:space="preserve">Poprawę wskaźników obserwowano m.in. w </w:t>
      </w:r>
      <w:r>
        <w:t>sekcjach: wytwarzanie i zaopatrywanie</w:t>
      </w:r>
      <w:r w:rsidRPr="00004D22">
        <w:t xml:space="preserve"> w energię</w:t>
      </w:r>
      <w:r>
        <w:t xml:space="preserve"> elektryczną, gaz, parę wodną i </w:t>
      </w:r>
      <w:r w:rsidRPr="00004D22">
        <w:t>gorącą wodę, dostaw</w:t>
      </w:r>
      <w:r>
        <w:t>a</w:t>
      </w:r>
      <w:r w:rsidRPr="00004D22">
        <w:t xml:space="preserve"> wody; gospodarowanie</w:t>
      </w:r>
      <w:r>
        <w:t xml:space="preserve"> ściekami i </w:t>
      </w:r>
      <w:r w:rsidRPr="00004D22">
        <w:t>odpadami; rekultywacj</w:t>
      </w:r>
      <w:r>
        <w:t>a</w:t>
      </w:r>
      <w:r w:rsidRPr="00004D22">
        <w:t>,</w:t>
      </w:r>
      <w:r>
        <w:t xml:space="preserve"> transport i gospodarka magazynowa, </w:t>
      </w:r>
      <w:r w:rsidRPr="00784FEF">
        <w:t>informacj</w:t>
      </w:r>
      <w:r>
        <w:t>a</w:t>
      </w:r>
      <w:r w:rsidRPr="00784FEF">
        <w:t xml:space="preserve"> i komunikacj</w:t>
      </w:r>
      <w:r>
        <w:t>a,</w:t>
      </w:r>
      <w:r w:rsidRPr="00993402">
        <w:t xml:space="preserve"> </w:t>
      </w:r>
      <w:r w:rsidRPr="007A5382">
        <w:t>obsługa rynku nieruchomości</w:t>
      </w:r>
      <w:r>
        <w:t xml:space="preserve">, </w:t>
      </w:r>
      <w:r w:rsidRPr="00784FEF">
        <w:t>administrowani</w:t>
      </w:r>
      <w:r>
        <w:t>e</w:t>
      </w:r>
      <w:r w:rsidRPr="00784FEF">
        <w:t xml:space="preserve"> i działalnoś</w:t>
      </w:r>
      <w:r>
        <w:t>ć</w:t>
      </w:r>
      <w:r w:rsidRPr="00784FEF">
        <w:t xml:space="preserve"> wspierając</w:t>
      </w:r>
      <w:r>
        <w:t xml:space="preserve">a, edukacja oraz </w:t>
      </w:r>
      <w:r w:rsidRPr="00784FEF">
        <w:t>pozostał</w:t>
      </w:r>
      <w:r>
        <w:t>a</w:t>
      </w:r>
      <w:r w:rsidRPr="00784FEF">
        <w:t xml:space="preserve"> działalnoś</w:t>
      </w:r>
      <w:r>
        <w:t>ć</w:t>
      </w:r>
      <w:r w:rsidRPr="00784FEF">
        <w:t xml:space="preserve"> usługow</w:t>
      </w:r>
      <w:r>
        <w:t xml:space="preserve">a. </w:t>
      </w:r>
      <w:r w:rsidRPr="007A5382">
        <w:t>W przypadku rentowności obrotu netto najwyższą wartość wskaźnik ten osiągnął w przedsiębiorstwach związanych z pozostałą działalnością usługową (</w:t>
      </w:r>
      <w:r>
        <w:t>25,0</w:t>
      </w:r>
      <w:r w:rsidRPr="007A5382">
        <w:t>% wobec 22,7% przed rokiem)</w:t>
      </w:r>
      <w:r w:rsidRPr="00824EDF">
        <w:t xml:space="preserve">, a </w:t>
      </w:r>
      <w:r>
        <w:t>n</w:t>
      </w:r>
      <w:r w:rsidRPr="00824EDF">
        <w:t>ajmniejszą rentownością charakteryzowały się</w:t>
      </w:r>
      <w:r>
        <w:t xml:space="preserve"> podmioty</w:t>
      </w:r>
      <w:r w:rsidRPr="00824EDF">
        <w:t xml:space="preserve"> zajmujące się handlem; naprawą pojazdów samochodowych </w:t>
      </w:r>
      <w:r>
        <w:t>(2,7</w:t>
      </w:r>
      <w:r w:rsidRPr="00824EDF">
        <w:t>%</w:t>
      </w:r>
      <w:r>
        <w:t xml:space="preserve"> wobec 6,4%</w:t>
      </w:r>
      <w:r w:rsidRPr="00824EDF">
        <w:t>)</w:t>
      </w:r>
      <w:r>
        <w:t>.</w:t>
      </w:r>
    </w:p>
    <w:p w:rsidR="00044A67" w:rsidRPr="00F30594" w:rsidRDefault="005832C7" w:rsidP="00044A67">
      <w:pPr>
        <w:pStyle w:val="tytuwykresu"/>
        <w:spacing w:before="240"/>
      </w:pPr>
      <w:r w:rsidRPr="005832C7">
        <w:rPr>
          <w:noProof/>
          <w:lang w:eastAsia="pl-PL"/>
        </w:rPr>
        <w:drawing>
          <wp:anchor distT="0" distB="107950" distL="114300" distR="114300" simplePos="0" relativeHeight="252961280" behindDoc="0" locked="0" layoutInCell="1" allowOverlap="1">
            <wp:simplePos x="0" y="0"/>
            <wp:positionH relativeFrom="margin">
              <wp:posOffset>680720</wp:posOffset>
            </wp:positionH>
            <wp:positionV relativeFrom="paragraph">
              <wp:posOffset>324333</wp:posOffset>
            </wp:positionV>
            <wp:extent cx="5284800" cy="2361600"/>
            <wp:effectExtent l="0" t="0" r="0" b="635"/>
            <wp:wrapTopAndBottom/>
            <wp:docPr id="13" name="Obraz 13" descr="Podwójny wykres kolumnowy (Polska i województwo wielkopolskie) dla kolejnych kwartałów (okresów narastających) w latach 2021–2024 r. na osi poziomej. Na osi pionowej wartości wskaźnika rentowności obrotu netto z przedziału od 0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00" cy="23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B4057C">
        <w:t>Wykres 1</w:t>
      </w:r>
      <w:r w:rsidR="00044A67">
        <w:t>0.</w:t>
      </w:r>
      <w:r w:rsidR="00044A67">
        <w:tab/>
      </w:r>
      <w:r w:rsidR="00044A67" w:rsidRPr="00B4057C">
        <w:t xml:space="preserve">Wskaźnik rentowności </w:t>
      </w:r>
      <w:r w:rsidR="00044A67" w:rsidRPr="006B4319">
        <w:t>obrotu netto</w:t>
      </w:r>
    </w:p>
    <w:p w:rsidR="00044A67" w:rsidRDefault="00044A67" w:rsidP="00632AE1">
      <w:r w:rsidRPr="0080798D">
        <w:t xml:space="preserve">W </w:t>
      </w:r>
      <w:r>
        <w:t>porównaniu z okresem styczeń-wrzesień</w:t>
      </w:r>
      <w:r w:rsidRPr="0080798D">
        <w:t xml:space="preserve"> </w:t>
      </w:r>
      <w:r>
        <w:t xml:space="preserve">ub. roku na poziomie województwa </w:t>
      </w:r>
      <w:r w:rsidRPr="0080798D">
        <w:t>o</w:t>
      </w:r>
      <w:r>
        <w:t>dnot</w:t>
      </w:r>
      <w:r w:rsidRPr="0080798D">
        <w:t xml:space="preserve">owano </w:t>
      </w:r>
      <w:r>
        <w:t>poprawę</w:t>
      </w:r>
      <w:r w:rsidRPr="0080798D">
        <w:t xml:space="preserve"> płynności finansowej przedsiębiorstw</w:t>
      </w:r>
      <w:r>
        <w:t>,</w:t>
      </w:r>
      <w:r w:rsidRPr="0080798D">
        <w:t xml:space="preserve"> </w:t>
      </w:r>
      <w:r>
        <w:t>wyrażającą się</w:t>
      </w:r>
      <w:r w:rsidRPr="0080798D">
        <w:t xml:space="preserve"> </w:t>
      </w:r>
      <w:r>
        <w:t>wzrostem</w:t>
      </w:r>
      <w:r w:rsidRPr="0080798D">
        <w:t xml:space="preserve"> wskaźnik</w:t>
      </w:r>
      <w:r>
        <w:t xml:space="preserve">ów I </w:t>
      </w:r>
      <w:proofErr w:type="spellStart"/>
      <w:r>
        <w:t>i</w:t>
      </w:r>
      <w:proofErr w:type="spellEnd"/>
      <w:r>
        <w:t xml:space="preserve"> II stopnia</w:t>
      </w:r>
      <w:r w:rsidRPr="0080798D">
        <w:t xml:space="preserve"> </w:t>
      </w:r>
      <w:r>
        <w:t xml:space="preserve">(odpowiednio o 5,2 </w:t>
      </w:r>
      <w:r w:rsidRPr="0080798D">
        <w:t>p.proc.</w:t>
      </w:r>
      <w:r>
        <w:t xml:space="preserve"> </w:t>
      </w:r>
      <w:r w:rsidRPr="0080798D">
        <w:t xml:space="preserve">do </w:t>
      </w:r>
      <w:r w:rsidRPr="00CF4574">
        <w:t>43,4</w:t>
      </w:r>
      <w:r>
        <w:t xml:space="preserve">% oraz o 2,0 p.proc. do </w:t>
      </w:r>
      <w:r w:rsidRPr="00CF4574">
        <w:t>94,1</w:t>
      </w:r>
      <w:r>
        <w:t>%). Wzrost</w:t>
      </w:r>
      <w:r w:rsidRPr="00C47824">
        <w:t xml:space="preserve"> </w:t>
      </w:r>
      <w:r>
        <w:t>obu wskaźników</w:t>
      </w:r>
      <w:r w:rsidRPr="00C47824">
        <w:t xml:space="preserve"> odnotowały jednostki z sekcji: górnictwo i wydobywanie, przetwórstwo przemysłowe, </w:t>
      </w:r>
      <w:r w:rsidRPr="006673C2">
        <w:t>dostaw</w:t>
      </w:r>
      <w:r>
        <w:t>a</w:t>
      </w:r>
      <w:r w:rsidRPr="006673C2">
        <w:t xml:space="preserve"> wody; gospodarowanie ściekami i odpadami; rekultywacj</w:t>
      </w:r>
      <w:r>
        <w:t>a</w:t>
      </w:r>
      <w:r w:rsidRPr="006673C2">
        <w:t>,</w:t>
      </w:r>
      <w:r>
        <w:t xml:space="preserve"> </w:t>
      </w:r>
      <w:r w:rsidRPr="00C47824">
        <w:t xml:space="preserve">budownictwo, </w:t>
      </w:r>
      <w:r>
        <w:t>h</w:t>
      </w:r>
      <w:r w:rsidRPr="006673C2">
        <w:t>and</w:t>
      </w:r>
      <w:r>
        <w:t>el</w:t>
      </w:r>
      <w:r w:rsidRPr="006673C2">
        <w:t>; napraw</w:t>
      </w:r>
      <w:r>
        <w:t>a</w:t>
      </w:r>
      <w:r w:rsidRPr="006673C2">
        <w:t xml:space="preserve"> pojazdów samochodowych,</w:t>
      </w:r>
      <w:r>
        <w:t xml:space="preserve"> zakwaterowanie i gastronomia, </w:t>
      </w:r>
      <w:r w:rsidRPr="00C47824">
        <w:t xml:space="preserve">obsługa rynku nieruchomości, </w:t>
      </w:r>
      <w:r>
        <w:t>edukacja, opieka</w:t>
      </w:r>
      <w:r w:rsidRPr="00C47824">
        <w:t xml:space="preserve"> zdrowotn</w:t>
      </w:r>
      <w:r>
        <w:t>a</w:t>
      </w:r>
      <w:r w:rsidRPr="00C47824">
        <w:t xml:space="preserve"> i pomoc społeczn</w:t>
      </w:r>
      <w:r>
        <w:t xml:space="preserve">a </w:t>
      </w:r>
      <w:r w:rsidRPr="00C47824">
        <w:t>oraz</w:t>
      </w:r>
      <w:r>
        <w:t xml:space="preserve"> pozostała działalność usługowa.</w:t>
      </w:r>
      <w:r w:rsidRPr="00C47824">
        <w:t xml:space="preserve"> Płynność finansowa pogorszyła się </w:t>
      </w:r>
      <w:r>
        <w:t xml:space="preserve">natomiast m.in. w przedsiębiorstwach zajmujących transportem i gospodarką magazynową, </w:t>
      </w:r>
      <w:r w:rsidRPr="006673C2">
        <w:t>działalnością profesjonalną, naukową i techniczną</w:t>
      </w:r>
      <w:r>
        <w:t xml:space="preserve"> oraz </w:t>
      </w:r>
      <w:r w:rsidRPr="00C47824">
        <w:t>administrowanie</w:t>
      </w:r>
      <w:r>
        <w:t>m</w:t>
      </w:r>
      <w:r w:rsidRPr="00C47824">
        <w:t xml:space="preserve"> i działalnoś</w:t>
      </w:r>
      <w:r>
        <w:t>cią</w:t>
      </w:r>
      <w:r w:rsidRPr="00C47824">
        <w:t xml:space="preserve"> wspierając</w:t>
      </w:r>
      <w:r>
        <w:t xml:space="preserve">ą. </w:t>
      </w:r>
    </w:p>
    <w:p w:rsidR="00044A67" w:rsidRPr="000A00E8" w:rsidRDefault="00044A67" w:rsidP="00044A67">
      <w:r w:rsidRPr="000A00E8">
        <w:t xml:space="preserve">Według stanu na koniec września br. </w:t>
      </w:r>
      <w:r w:rsidRPr="000A00E8">
        <w:rPr>
          <w:b/>
        </w:rPr>
        <w:t>aktywa obrotowe</w:t>
      </w:r>
      <w:r w:rsidRPr="000A00E8">
        <w:t xml:space="preserve"> przedsiębiorstw objętych badaniem wyniosły </w:t>
      </w:r>
      <w:r w:rsidRPr="00124D4C">
        <w:t>195234,2</w:t>
      </w:r>
      <w:r>
        <w:t xml:space="preserve"> </w:t>
      </w:r>
      <w:r w:rsidRPr="000A00E8">
        <w:t>mln zł, tj. o </w:t>
      </w:r>
      <w:r>
        <w:t>8,0</w:t>
      </w:r>
      <w:r w:rsidRPr="000A00E8">
        <w:t xml:space="preserve">% więcej niż przed rokiem. Wartość zapasów w ciągu roku </w:t>
      </w:r>
      <w:r>
        <w:t>wzrosła</w:t>
      </w:r>
      <w:r w:rsidRPr="000A00E8">
        <w:t xml:space="preserve"> o </w:t>
      </w:r>
      <w:r>
        <w:t>3,5</w:t>
      </w:r>
      <w:r w:rsidRPr="000A00E8">
        <w:t xml:space="preserve">%, a ich udział w aktywach </w:t>
      </w:r>
      <w:r>
        <w:t>zmniejszył się o 1,3 </w:t>
      </w:r>
      <w:r w:rsidRPr="000A00E8">
        <w:t xml:space="preserve">p.proc. do </w:t>
      </w:r>
      <w:r w:rsidRPr="003E222E">
        <w:t>3</w:t>
      </w:r>
      <w:r>
        <w:t>1,3</w:t>
      </w:r>
      <w:r w:rsidRPr="000A00E8">
        <w:t xml:space="preserve">%. Największą część aktywów stanowiły należności krótkoterminowe. W końcu września br. ich udział wynosił </w:t>
      </w:r>
      <w:r w:rsidRPr="0087048D">
        <w:t>35,4</w:t>
      </w:r>
      <w:r w:rsidRPr="000A00E8">
        <w:t xml:space="preserve">%, tj. o </w:t>
      </w:r>
      <w:r>
        <w:t>2,4</w:t>
      </w:r>
      <w:r w:rsidRPr="000A00E8">
        <w:t xml:space="preserve"> p.proc. </w:t>
      </w:r>
      <w:r>
        <w:t>mni</w:t>
      </w:r>
      <w:r w:rsidRPr="000A00E8">
        <w:t xml:space="preserve">ej niż przed rokiem. Wartość należności </w:t>
      </w:r>
      <w:r>
        <w:t>wzrosła</w:t>
      </w:r>
      <w:r w:rsidRPr="000A00E8">
        <w:t xml:space="preserve"> w tym czasie o </w:t>
      </w:r>
      <w:r>
        <w:t>0,9</w:t>
      </w:r>
      <w:r w:rsidRPr="000A00E8">
        <w:t xml:space="preserve">%. Udział inwestycji krótkoterminowych wyniósł </w:t>
      </w:r>
      <w:r w:rsidRPr="0087048D">
        <w:t>30,2</w:t>
      </w:r>
      <w:r w:rsidRPr="000A00E8">
        <w:t>% i w ciągu roku</w:t>
      </w:r>
      <w:r>
        <w:t xml:space="preserve"> </w:t>
      </w:r>
      <w:r w:rsidRPr="000A00E8">
        <w:t xml:space="preserve">zwiększył się o </w:t>
      </w:r>
      <w:r>
        <w:t>3,4</w:t>
      </w:r>
      <w:r w:rsidRPr="000A00E8">
        <w:t xml:space="preserve"> p.pr</w:t>
      </w:r>
      <w:r>
        <w:t>oc., przy wzroście wartości o 21,6</w:t>
      </w:r>
      <w:r w:rsidRPr="000A00E8">
        <w:t>%.</w:t>
      </w:r>
    </w:p>
    <w:p w:rsidR="00044A67" w:rsidRDefault="00044A67" w:rsidP="00044A67">
      <w:pPr>
        <w:pStyle w:val="tekst"/>
      </w:pPr>
      <w:r w:rsidRPr="00847C53">
        <w:lastRenderedPageBreak/>
        <w:t xml:space="preserve">Według stanu na koniec września br. zobowiązania przedsiębiorstw niefinansowych wyniosły łącznie </w:t>
      </w:r>
      <w:r w:rsidRPr="008C400D">
        <w:t xml:space="preserve">191227,1 </w:t>
      </w:r>
      <w:r w:rsidRPr="00847C53">
        <w:t xml:space="preserve">mln zł, przy czym zobowiązania długoterminowe w ciągu roku zwiększyły się o </w:t>
      </w:r>
      <w:r>
        <w:t xml:space="preserve">0,9%, a </w:t>
      </w:r>
      <w:r w:rsidRPr="00847C53">
        <w:t>krótkoterminowe</w:t>
      </w:r>
      <w:r>
        <w:t xml:space="preserve"> wzrosły o 7,1%. W </w:t>
      </w:r>
      <w:r w:rsidRPr="00847C53">
        <w:t>ogólnej kwocie zobowiązań krót</w:t>
      </w:r>
      <w:r>
        <w:t xml:space="preserve">koterminowych </w:t>
      </w:r>
      <w:r w:rsidRPr="008C400D">
        <w:t>58,4</w:t>
      </w:r>
      <w:r w:rsidRPr="00847C53">
        <w:t xml:space="preserve">% stanowiły zobowiązania z tytułu dostaw i usług (przed rokiem </w:t>
      </w:r>
      <w:r w:rsidRPr="008C400D">
        <w:t>61,4</w:t>
      </w:r>
      <w:r w:rsidRPr="00847C53">
        <w:t xml:space="preserve">%). </w:t>
      </w:r>
    </w:p>
    <w:p w:rsidR="00044A67" w:rsidRPr="00847C53" w:rsidRDefault="00044A67" w:rsidP="00044A67">
      <w:pPr>
        <w:pStyle w:val="tekst"/>
      </w:pPr>
      <w:r w:rsidRPr="00847C53">
        <w:t xml:space="preserve">Relacja zobowiązań krótkoterminowych do należności krótkoterminowych wyniosła </w:t>
      </w:r>
      <w:r w:rsidRPr="008C400D">
        <w:t>197,1</w:t>
      </w:r>
      <w:r w:rsidRPr="00847C53">
        <w:t xml:space="preserve">% (przed rokiem zobowiązania przewyższały należności o </w:t>
      </w:r>
      <w:r>
        <w:t>85,7</w:t>
      </w:r>
      <w:r w:rsidRPr="00847C53">
        <w:t>%)</w:t>
      </w:r>
      <w:r>
        <w:t>,</w:t>
      </w:r>
      <w:r w:rsidRPr="00847C53">
        <w:t xml:space="preserve"> natomiast relacja do inwestycji krótkoterminowych kształtowała się na poziomie </w:t>
      </w:r>
      <w:r w:rsidRPr="008C400D">
        <w:t>230,6</w:t>
      </w:r>
      <w:r w:rsidRPr="00847C53">
        <w:t xml:space="preserve">% wobec </w:t>
      </w:r>
      <w:r w:rsidRPr="008C400D">
        <w:t>261,7</w:t>
      </w:r>
      <w:r w:rsidRPr="00847C53">
        <w:t>%</w:t>
      </w:r>
      <w:r>
        <w:t xml:space="preserve"> w końcu września ub. roku</w:t>
      </w:r>
      <w:r w:rsidRPr="00847C53">
        <w:t>.</w:t>
      </w:r>
    </w:p>
    <w:p w:rsidR="00044A67" w:rsidRPr="008D7C10" w:rsidRDefault="00044A67" w:rsidP="00044A67">
      <w:pPr>
        <w:pStyle w:val="Nagwek1"/>
      </w:pPr>
      <w:bookmarkStart w:id="36" w:name="_Toc80797453"/>
      <w:bookmarkStart w:id="37" w:name="_Toc88223637"/>
      <w:bookmarkStart w:id="38" w:name="_Toc120085898"/>
      <w:bookmarkStart w:id="39" w:name="_Toc151100435"/>
      <w:bookmarkStart w:id="40" w:name="_Toc183619742"/>
      <w:r w:rsidRPr="008D7C10">
        <w:t>Nakłady inwestycyjne</w:t>
      </w:r>
      <w:bookmarkEnd w:id="36"/>
      <w:bookmarkEnd w:id="37"/>
      <w:bookmarkEnd w:id="38"/>
      <w:bookmarkEnd w:id="39"/>
      <w:bookmarkEnd w:id="40"/>
    </w:p>
    <w:p w:rsidR="00044A67" w:rsidRPr="001957CC" w:rsidRDefault="00044A67" w:rsidP="00044A67">
      <w:r w:rsidRPr="001957CC">
        <w:t>Przedsiębiorstwa mające siedzibę na terenie województwa wielkopolskiego</w:t>
      </w:r>
      <w:r>
        <w:t>,</w:t>
      </w:r>
      <w:r w:rsidRPr="001957CC">
        <w:t xml:space="preserve"> objęte badaniem F01/I01 w okresie styczeń-</w:t>
      </w:r>
      <w:r w:rsidRPr="001957CC">
        <w:br/>
        <w:t>-wrzesień br.</w:t>
      </w:r>
      <w:r>
        <w:t>,</w:t>
      </w:r>
      <w:r w:rsidRPr="001957CC">
        <w:t xml:space="preserve"> poniosły</w:t>
      </w:r>
      <w:r w:rsidRPr="001957CC">
        <w:rPr>
          <w:b/>
        </w:rPr>
        <w:t xml:space="preserve"> nakłady inwestycyjne </w:t>
      </w:r>
      <w:r w:rsidRPr="001957CC">
        <w:t xml:space="preserve">w wysokości </w:t>
      </w:r>
      <w:r w:rsidRPr="003C74C1">
        <w:t>13444,0</w:t>
      </w:r>
      <w:r>
        <w:t xml:space="preserve"> </w:t>
      </w:r>
      <w:r w:rsidRPr="001957CC">
        <w:t xml:space="preserve">mln zł (w cenach bieżących), tj. o </w:t>
      </w:r>
      <w:r>
        <w:t>8,5</w:t>
      </w:r>
      <w:r w:rsidRPr="001957CC">
        <w:t xml:space="preserve">% </w:t>
      </w:r>
      <w:r>
        <w:t>ni</w:t>
      </w:r>
      <w:r w:rsidRPr="001957CC">
        <w:t xml:space="preserve">ższe </w:t>
      </w:r>
      <w:r>
        <w:t>n</w:t>
      </w:r>
      <w:r w:rsidRPr="001957CC">
        <w:t>iż przed rokiem (w analogicznym okresie ub. roku w tej grupie podmiotów</w:t>
      </w:r>
      <w:r>
        <w:t xml:space="preserve"> odnotowano</w:t>
      </w:r>
      <w:r w:rsidRPr="001957CC">
        <w:t xml:space="preserve"> </w:t>
      </w:r>
      <w:r>
        <w:t>wzrost o</w:t>
      </w:r>
      <w:r w:rsidRPr="001957CC">
        <w:t xml:space="preserve"> </w:t>
      </w:r>
      <w:r w:rsidRPr="003C74C1">
        <w:t>2,4</w:t>
      </w:r>
      <w:r w:rsidRPr="001957CC">
        <w:t>%). Na roboty budowlano-</w:t>
      </w:r>
      <w:r w:rsidR="00632AE1">
        <w:br/>
        <w:t>-</w:t>
      </w:r>
      <w:r w:rsidRPr="001957CC">
        <w:t xml:space="preserve">montażowe przypadało </w:t>
      </w:r>
      <w:r w:rsidRPr="00AA415D">
        <w:t xml:space="preserve">2194,9 </w:t>
      </w:r>
      <w:r w:rsidRPr="001957CC">
        <w:t xml:space="preserve">mln zł, co stanowiło </w:t>
      </w:r>
      <w:r w:rsidRPr="00AA415D">
        <w:t>16,3</w:t>
      </w:r>
      <w:r w:rsidRPr="001957CC">
        <w:t xml:space="preserve">% nakładów ogółem (przed rokiem </w:t>
      </w:r>
      <w:r>
        <w:t>17,0%). Nakłady na budynki i </w:t>
      </w:r>
      <w:r w:rsidRPr="001957CC">
        <w:t xml:space="preserve">budowle w ciągu roku </w:t>
      </w:r>
      <w:r>
        <w:t>obniżyły się</w:t>
      </w:r>
      <w:r w:rsidRPr="001957CC">
        <w:t xml:space="preserve"> o </w:t>
      </w:r>
      <w:r w:rsidRPr="00AA415D">
        <w:t>13,7</w:t>
      </w:r>
      <w:r w:rsidRPr="001957CC">
        <w:t xml:space="preserve">%, </w:t>
      </w:r>
      <w:r>
        <w:t>a</w:t>
      </w:r>
      <w:r w:rsidRPr="001957CC">
        <w:t xml:space="preserve"> ich udział w ogólnej wartości inwestycji </w:t>
      </w:r>
      <w:r>
        <w:t>zmniejszył się o 2,</w:t>
      </w:r>
      <w:r w:rsidR="0078603E">
        <w:t>1</w:t>
      </w:r>
      <w:r>
        <w:t xml:space="preserve"> </w:t>
      </w:r>
      <w:r w:rsidRPr="001957CC">
        <w:t>p.proc</w:t>
      </w:r>
      <w:r>
        <w:t>.</w:t>
      </w:r>
      <w:r w:rsidRPr="001957CC">
        <w:t xml:space="preserve"> i wyniósł </w:t>
      </w:r>
      <w:r w:rsidRPr="00AA415D">
        <w:t>35,2</w:t>
      </w:r>
      <w:r w:rsidRPr="001957CC">
        <w:t xml:space="preserve">%. Kwota przeznaczona na zakupy </w:t>
      </w:r>
      <w:r>
        <w:t>zmniejszyła się</w:t>
      </w:r>
      <w:r w:rsidRPr="001957CC">
        <w:t xml:space="preserve"> o </w:t>
      </w:r>
      <w:r>
        <w:t>5,3</w:t>
      </w:r>
      <w:r w:rsidRPr="001957CC">
        <w:t>%, przy czym nakłady na maszyny</w:t>
      </w:r>
      <w:r>
        <w:t xml:space="preserve">, </w:t>
      </w:r>
      <w:r w:rsidRPr="001957CC">
        <w:t xml:space="preserve">urządzenia techniczne, narzędzia i wyposażenie były </w:t>
      </w:r>
      <w:r>
        <w:t>ni</w:t>
      </w:r>
      <w:r w:rsidRPr="001957CC">
        <w:t xml:space="preserve">ższe o </w:t>
      </w:r>
      <w:r w:rsidR="0065365C" w:rsidRPr="0065365C">
        <w:t>8,3</w:t>
      </w:r>
      <w:r w:rsidRPr="001957CC">
        <w:t>%</w:t>
      </w:r>
      <w:r>
        <w:t>, natomiast inwestycje w</w:t>
      </w:r>
      <w:r w:rsidRPr="001957CC">
        <w:t xml:space="preserve"> środki transportu </w:t>
      </w:r>
      <w:r>
        <w:t>zwiększyły się</w:t>
      </w:r>
      <w:r w:rsidRPr="001957CC">
        <w:t xml:space="preserve"> </w:t>
      </w:r>
      <w:r>
        <w:t>o 11,0</w:t>
      </w:r>
      <w:r w:rsidRPr="001957CC">
        <w:t>%</w:t>
      </w:r>
      <w:r>
        <w:t>.</w:t>
      </w:r>
      <w:r w:rsidRPr="001957CC">
        <w:t xml:space="preserve"> Udział zakupów w</w:t>
      </w:r>
      <w:r>
        <w:t xml:space="preserve"> </w:t>
      </w:r>
      <w:r w:rsidRPr="001957CC">
        <w:t xml:space="preserve">nakładach ogółem </w:t>
      </w:r>
      <w:r>
        <w:t>wzrósł</w:t>
      </w:r>
      <w:r w:rsidRPr="001957CC">
        <w:t xml:space="preserve"> </w:t>
      </w:r>
      <w:r>
        <w:t xml:space="preserve">o 2,2 p.proc. </w:t>
      </w:r>
      <w:r w:rsidRPr="001957CC">
        <w:t xml:space="preserve">do </w:t>
      </w:r>
      <w:r w:rsidRPr="00B324E7">
        <w:t>64,4</w:t>
      </w:r>
      <w:r w:rsidRPr="001957CC">
        <w:t>% (</w:t>
      </w:r>
      <w:r>
        <w:t xml:space="preserve">przy czym </w:t>
      </w:r>
      <w:r w:rsidRPr="001957CC">
        <w:t xml:space="preserve">w przypadku maszyn, urządzeń i narzędzi </w:t>
      </w:r>
      <w:r>
        <w:t>udział zwiększył się o </w:t>
      </w:r>
      <w:r w:rsidR="005F11AE">
        <w:t>0,1</w:t>
      </w:r>
      <w:r>
        <w:t xml:space="preserve"> </w:t>
      </w:r>
      <w:r w:rsidRPr="001957CC">
        <w:t xml:space="preserve">p.proc. do </w:t>
      </w:r>
      <w:r w:rsidR="005F11AE" w:rsidRPr="005F11AE">
        <w:t>52,7</w:t>
      </w:r>
      <w:r w:rsidRPr="001957CC">
        <w:t>%</w:t>
      </w:r>
      <w:r>
        <w:t xml:space="preserve">, natomiast dla </w:t>
      </w:r>
      <w:r w:rsidRPr="001957CC">
        <w:t xml:space="preserve">środków transportu </w:t>
      </w:r>
      <w:r>
        <w:t>zanotowano wzrost</w:t>
      </w:r>
      <w:r w:rsidRPr="001957CC">
        <w:t xml:space="preserve"> </w:t>
      </w:r>
      <w:r>
        <w:t>o 2,0 p.proc. do 11,7</w:t>
      </w:r>
      <w:r w:rsidRPr="001957CC">
        <w:t>%).</w:t>
      </w:r>
    </w:p>
    <w:p w:rsidR="00044A67" w:rsidRPr="008558CB" w:rsidRDefault="00D7441C" w:rsidP="00044A67">
      <w:pPr>
        <w:pStyle w:val="tytuwykresu"/>
        <w:spacing w:before="360"/>
      </w:pPr>
      <w:r w:rsidRPr="00D7441C">
        <w:rPr>
          <w:noProof/>
          <w:lang w:eastAsia="pl-PL"/>
        </w:rPr>
        <w:drawing>
          <wp:anchor distT="0" distB="107950" distL="114300" distR="114300" simplePos="0" relativeHeight="252957184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552222</wp:posOffset>
            </wp:positionV>
            <wp:extent cx="5760000" cy="2862000"/>
            <wp:effectExtent l="0" t="0" r="0" b="0"/>
            <wp:wrapTopAndBottom/>
            <wp:docPr id="34" name="Obraz 34" descr="Poczwórny wykres kolumnowy (rodzaje środków trwałych) dla okresów 01–09 w latach 2021–2024 na osi poziomej. Oś pionowa – wzrost/spadek wielkości nakładów w stosunku do poprzedniego roku, wartości z przedziału od -2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11.</w:t>
      </w:r>
      <w:r w:rsidR="00044A67">
        <w:tab/>
      </w:r>
      <w:r w:rsidR="00044A67" w:rsidRPr="008558CB">
        <w:t xml:space="preserve">Nakłady inwestycyjne </w:t>
      </w:r>
      <w:r w:rsidR="00044A67">
        <w:br/>
      </w:r>
      <w:r w:rsidR="00044A67">
        <w:tab/>
      </w:r>
      <w:r w:rsidR="00044A67" w:rsidRPr="008558CB">
        <w:t xml:space="preserve">(ceny bieżące; </w:t>
      </w:r>
      <w:r w:rsidR="00044A67" w:rsidRPr="008558CB">
        <w:rPr>
          <w:shd w:val="clear" w:color="auto" w:fill="FFFFFF"/>
        </w:rPr>
        <w:t>wzrost/spadek w stosunku do analogicznego okresu roku poprzedniego</w:t>
      </w:r>
      <w:r w:rsidR="00044A67" w:rsidRPr="008558CB">
        <w:t>)</w:t>
      </w:r>
      <w:r w:rsidR="00044A67" w:rsidRPr="00A87D07">
        <w:rPr>
          <w:b w:val="0"/>
        </w:rPr>
        <w:t xml:space="preserve"> </w:t>
      </w:r>
    </w:p>
    <w:p w:rsidR="00044A67" w:rsidRDefault="00044A67" w:rsidP="00190D5E">
      <w:pPr>
        <w:pStyle w:val="tekst"/>
      </w:pPr>
      <w:r w:rsidRPr="00062BE8">
        <w:t>W porównaniu z okresem styczeń</w:t>
      </w:r>
      <w:r w:rsidRPr="000F6282">
        <w:t>-wrzesień ub. roku</w:t>
      </w:r>
      <w:r>
        <w:t xml:space="preserve"> spadek nakładów inwestycyjnych odnotowano</w:t>
      </w:r>
      <w:r w:rsidRPr="007870EE">
        <w:t xml:space="preserve"> </w:t>
      </w:r>
      <w:r>
        <w:t xml:space="preserve">m.in. w </w:t>
      </w:r>
      <w:r w:rsidRPr="007870EE">
        <w:t>dostaw</w:t>
      </w:r>
      <w:r>
        <w:t>ie</w:t>
      </w:r>
      <w:r w:rsidRPr="007870EE">
        <w:t xml:space="preserve"> wody; gospodarowan</w:t>
      </w:r>
      <w:r>
        <w:t>iu ściekami i odpadami; rekulty</w:t>
      </w:r>
      <w:r w:rsidRPr="007870EE">
        <w:t>wacj</w:t>
      </w:r>
      <w:r>
        <w:t xml:space="preserve">i (o 28,0%), informacji i komunikacji (o 10,6%), przetwórstwie przemysłowym (o 10,1%), </w:t>
      </w:r>
      <w:r>
        <w:rPr>
          <w:szCs w:val="19"/>
        </w:rPr>
        <w:t xml:space="preserve">handlu; naprawie pojazdów samochodowych (o 10,0%), </w:t>
      </w:r>
      <w:r w:rsidRPr="007870EE">
        <w:t>transpor</w:t>
      </w:r>
      <w:r>
        <w:t xml:space="preserve">cie i </w:t>
      </w:r>
      <w:r w:rsidR="005F11AE">
        <w:t>gospodarce magazynowej (o 7,9%)</w:t>
      </w:r>
      <w:r>
        <w:rPr>
          <w:szCs w:val="19"/>
        </w:rPr>
        <w:t xml:space="preserve"> oraz </w:t>
      </w:r>
      <w:r>
        <w:t xml:space="preserve">wytwarzaniu i zaopatrywaniu </w:t>
      </w:r>
      <w:r w:rsidRPr="009C22A3">
        <w:t>w energię</w:t>
      </w:r>
      <w:r>
        <w:t xml:space="preserve"> elektryczną, gaz, parę wodną i </w:t>
      </w:r>
      <w:r w:rsidRPr="009C22A3">
        <w:t>gorącą wodę</w:t>
      </w:r>
      <w:r>
        <w:t xml:space="preserve"> (o 7,0%). Wzrost</w:t>
      </w:r>
      <w:r w:rsidRPr="007D7B65">
        <w:t xml:space="preserve"> nakładów wystąpił m.in. </w:t>
      </w:r>
      <w:r>
        <w:t xml:space="preserve">w przedsiębiorstwach związanych z administrowaniem i działalnością wspierającą (o </w:t>
      </w:r>
      <w:r w:rsidRPr="00750F08">
        <w:t>35,2</w:t>
      </w:r>
      <w:r>
        <w:t xml:space="preserve">%), górnictwem i wydobywaniem (o 34,1%), </w:t>
      </w:r>
      <w:r w:rsidRPr="007F1790">
        <w:t>działalnością profesjonalną, naukową i techniczną</w:t>
      </w:r>
      <w:r>
        <w:t xml:space="preserve"> (o 12,6%) oraz  </w:t>
      </w:r>
      <w:r>
        <w:rPr>
          <w:szCs w:val="19"/>
        </w:rPr>
        <w:t>budownictwem (o 2,4%)</w:t>
      </w:r>
      <w:r>
        <w:t xml:space="preserve">. </w:t>
      </w:r>
    </w:p>
    <w:p w:rsidR="00190D5E" w:rsidRDefault="00044A67" w:rsidP="00190D5E">
      <w:r w:rsidRPr="00660F35">
        <w:t>W okresie styczeń-wrzesień br. najwięcej inwestowały przedsiębiorstwa zajmujące się handlem; naprawą pojazdów samochodowych (</w:t>
      </w:r>
      <w:r w:rsidRPr="001A5807">
        <w:t>38,7</w:t>
      </w:r>
      <w:r w:rsidRPr="00660F35">
        <w:t xml:space="preserve">% całkowitej kwoty nakładów; w porównaniu z poprzednim rokiem </w:t>
      </w:r>
      <w:r>
        <w:t>spadek</w:t>
      </w:r>
      <w:r w:rsidRPr="00660F35">
        <w:t xml:space="preserve"> udziału o </w:t>
      </w:r>
      <w:r>
        <w:t>0,6</w:t>
      </w:r>
      <w:r w:rsidRPr="00660F35">
        <w:t xml:space="preserve"> p.proc.), a</w:t>
      </w:r>
      <w:r>
        <w:t> </w:t>
      </w:r>
      <w:r w:rsidRPr="00660F35">
        <w:t>także przetwórstwem przemysłowym (</w:t>
      </w:r>
      <w:r w:rsidRPr="001A5807">
        <w:t>34,5</w:t>
      </w:r>
      <w:r w:rsidRPr="00660F35">
        <w:t xml:space="preserve">%; </w:t>
      </w:r>
      <w:r>
        <w:t>spadek</w:t>
      </w:r>
      <w:r w:rsidRPr="00660F35">
        <w:t xml:space="preserve"> o 0,</w:t>
      </w:r>
      <w:r>
        <w:t>6</w:t>
      </w:r>
      <w:r w:rsidRPr="00660F35">
        <w:t xml:space="preserve"> p.proc.). Stosunkowo du</w:t>
      </w:r>
      <w:r>
        <w:t>żo inwestowały również przedsię</w:t>
      </w:r>
      <w:r w:rsidRPr="00660F35">
        <w:t>biorstwa z sekcji: wytwarzanie i zaopatrywanie w energię elektryczną, gaz, parę wodną i gorącą wodę (</w:t>
      </w:r>
      <w:r w:rsidRPr="001A5807">
        <w:t>10,6</w:t>
      </w:r>
      <w:r>
        <w:t>%; wzrost o 0,1 </w:t>
      </w:r>
      <w:r w:rsidRPr="00660F35">
        <w:t xml:space="preserve">p.proc.), transport i gospodarka magazynowa (4,1%; </w:t>
      </w:r>
      <w:r>
        <w:t>bez zmian</w:t>
      </w:r>
      <w:r w:rsidRPr="00660F35">
        <w:t xml:space="preserve">) oraz </w:t>
      </w:r>
      <w:r>
        <w:t>administrowanie</w:t>
      </w:r>
      <w:r w:rsidRPr="001A5807">
        <w:t xml:space="preserve"> i działalnoś</w:t>
      </w:r>
      <w:r>
        <w:t>ć</w:t>
      </w:r>
      <w:r w:rsidRPr="001A5807">
        <w:t xml:space="preserve"> wspierając</w:t>
      </w:r>
      <w:r>
        <w:t>a</w:t>
      </w:r>
      <w:r w:rsidRPr="00660F35">
        <w:t xml:space="preserve"> (</w:t>
      </w:r>
      <w:r>
        <w:t>2,7</w:t>
      </w:r>
      <w:r w:rsidRPr="00660F35">
        <w:t xml:space="preserve">%; </w:t>
      </w:r>
      <w:r>
        <w:t>wzrost</w:t>
      </w:r>
      <w:r w:rsidRPr="00660F35">
        <w:t xml:space="preserve"> o </w:t>
      </w:r>
      <w:r w:rsidR="00C3528C">
        <w:t>0,9</w:t>
      </w:r>
      <w:r w:rsidRPr="00660F35">
        <w:t xml:space="preserve"> p.proc.).</w:t>
      </w:r>
    </w:p>
    <w:p w:rsidR="00044A67" w:rsidRDefault="00044A67" w:rsidP="00190D5E">
      <w:r w:rsidRPr="00791910">
        <w:lastRenderedPageBreak/>
        <w:t xml:space="preserve">Na zakup używanych środków trwałych w okresie styczeń-wrzesień br. przedsiębiorstwa przeznaczyły łącznie </w:t>
      </w:r>
      <w:r w:rsidRPr="00570196">
        <w:t>1166,3</w:t>
      </w:r>
      <w:r>
        <w:t xml:space="preserve"> mln </w:t>
      </w:r>
      <w:r w:rsidRPr="00791910">
        <w:t xml:space="preserve">zł (o </w:t>
      </w:r>
      <w:r w:rsidRPr="00570196">
        <w:t>46,4</w:t>
      </w:r>
      <w:r>
        <w:t>%</w:t>
      </w:r>
      <w:r w:rsidRPr="00791910">
        <w:t xml:space="preserve"> </w:t>
      </w:r>
      <w:r>
        <w:t xml:space="preserve">więcej </w:t>
      </w:r>
      <w:r w:rsidRPr="00791910">
        <w:t xml:space="preserve">niż przed rokiem), z tego </w:t>
      </w:r>
      <w:r w:rsidRPr="00570196">
        <w:t>40,9</w:t>
      </w:r>
      <w:r w:rsidRPr="00791910">
        <w:t>% na zakup gruntów. Najwięc</w:t>
      </w:r>
      <w:r>
        <w:t xml:space="preserve">ej takich inwestycji dokonano w </w:t>
      </w:r>
      <w:r w:rsidRPr="00791910">
        <w:t xml:space="preserve">sekcjach </w:t>
      </w:r>
      <w:r w:rsidR="00E912E7">
        <w:t>przetwórstwo przemysłowe</w:t>
      </w:r>
      <w:r w:rsidR="00E912E7" w:rsidRPr="00791910">
        <w:t xml:space="preserve"> </w:t>
      </w:r>
      <w:r w:rsidRPr="00791910">
        <w:t>(</w:t>
      </w:r>
      <w:r w:rsidRPr="00842EE6">
        <w:t>52,9</w:t>
      </w:r>
      <w:r w:rsidRPr="00791910">
        <w:t>%</w:t>
      </w:r>
      <w:r>
        <w:t xml:space="preserve"> </w:t>
      </w:r>
      <w:r w:rsidRPr="00791910">
        <w:t>ogólnej kwoty nakładów na zakup używanych środków trwałych)</w:t>
      </w:r>
      <w:r>
        <w:t xml:space="preserve"> oraz </w:t>
      </w:r>
      <w:r w:rsidR="00E912E7" w:rsidRPr="00791910">
        <w:t>handel; naprawa pojazdów samochodowych</w:t>
      </w:r>
      <w:r>
        <w:t xml:space="preserve"> (</w:t>
      </w:r>
      <w:r w:rsidRPr="00842EE6">
        <w:t>31,2</w:t>
      </w:r>
      <w:r>
        <w:t>%).</w:t>
      </w:r>
    </w:p>
    <w:p w:rsidR="00044A67" w:rsidRPr="00064F71" w:rsidRDefault="00044A67" w:rsidP="00044A67">
      <w:pPr>
        <w:pStyle w:val="tekst"/>
      </w:pPr>
      <w:r w:rsidRPr="00064F71">
        <w:t xml:space="preserve">W okresie styczeń-wrzesień br. w województwie wielkopolskim rozpoczęto </w:t>
      </w:r>
      <w:r w:rsidRPr="00842EE6">
        <w:t>12328</w:t>
      </w:r>
      <w:r w:rsidRPr="00064F71">
        <w:t xml:space="preserve"> nowych zadań inwestycyjnych, tj. o </w:t>
      </w:r>
      <w:r>
        <w:t>7,6</w:t>
      </w:r>
      <w:r w:rsidRPr="00064F71">
        <w:t>% więcej niż przed rokiem. Łączna wartość kosztorysowa</w:t>
      </w:r>
      <w:r>
        <w:t xml:space="preserve"> tych</w:t>
      </w:r>
      <w:r w:rsidRPr="00064F71">
        <w:t xml:space="preserve"> inwestycji wyniosła </w:t>
      </w:r>
      <w:r w:rsidRPr="00842EE6">
        <w:t>3855,1</w:t>
      </w:r>
      <w:r>
        <w:t xml:space="preserve"> </w:t>
      </w:r>
      <w:r w:rsidRPr="00064F71">
        <w:t xml:space="preserve">mln zł i była o </w:t>
      </w:r>
      <w:r>
        <w:t>3,</w:t>
      </w:r>
      <w:r w:rsidR="00494BAE">
        <w:t>7</w:t>
      </w:r>
      <w:r w:rsidRPr="00064F71">
        <w:t xml:space="preserve">% </w:t>
      </w:r>
      <w:r w:rsidR="005179B9">
        <w:t>więk</w:t>
      </w:r>
      <w:r>
        <w:t>sza niż w </w:t>
      </w:r>
      <w:r w:rsidRPr="00064F71">
        <w:t xml:space="preserve">analogicznym okresie ub. roku. Podobnie jak w poprzednich okresach, najwięcej inwestycji dotyczyło sekcji wytwarzanie i zaopatrywanie w energię elektryczną, gaz, parę wodną i gorącą wodę </w:t>
      </w:r>
      <w:r w:rsidRPr="00212E6D">
        <w:t>(</w:t>
      </w:r>
      <w:r w:rsidRPr="00B5552D">
        <w:t>9475</w:t>
      </w:r>
      <w:r w:rsidRPr="00212E6D">
        <w:t xml:space="preserve"> inwestycji, tj. </w:t>
      </w:r>
      <w:r w:rsidRPr="00B5552D">
        <w:t>76,9</w:t>
      </w:r>
      <w:r w:rsidRPr="00212E6D">
        <w:t xml:space="preserve">% ogólnej </w:t>
      </w:r>
      <w:r w:rsidRPr="00064F71">
        <w:t xml:space="preserve">liczby zadań, o wartości kosztorysowej stanowiącej </w:t>
      </w:r>
      <w:r w:rsidRPr="00B5552D">
        <w:t>7,9</w:t>
      </w:r>
      <w:r w:rsidRPr="00064F71">
        <w:t>% inwestycji nowo rozpoczynanych). Największą wartość kosztorysową miały natomiast inwestycje przedsiębiorstw z sekcji handel; naprawa pojazdów samochodowych (</w:t>
      </w:r>
      <w:r w:rsidRPr="00B5552D">
        <w:t>56,5</w:t>
      </w:r>
      <w:r w:rsidRPr="00064F71">
        <w:t>% wartości kosztorysowej wszystkich inwestycji nowo rozpoczynanych w województwie) oraz przetwórstwo przemysłowe (</w:t>
      </w:r>
      <w:r w:rsidRPr="00B5552D">
        <w:t>30,5</w:t>
      </w:r>
      <w:r w:rsidRPr="00064F71">
        <w:t xml:space="preserve">%), przy czym ich udział w ogólnej liczbie zadań wynosił odpowiednio </w:t>
      </w:r>
      <w:r w:rsidRPr="00B5552D">
        <w:t>11,5</w:t>
      </w:r>
      <w:r w:rsidRPr="00064F71">
        <w:t>% i 9,0%.</w:t>
      </w:r>
    </w:p>
    <w:p w:rsidR="00044A67" w:rsidRPr="00DF5076" w:rsidRDefault="00044A67" w:rsidP="00044A67">
      <w:pPr>
        <w:pStyle w:val="Nagwek1"/>
        <w:rPr>
          <w:color w:val="7030A0"/>
        </w:rPr>
      </w:pPr>
      <w:bookmarkStart w:id="41" w:name="_Toc183619743"/>
      <w:r w:rsidRPr="00DF5076">
        <w:rPr>
          <w:color w:val="7030A0"/>
        </w:rPr>
        <w:t>Podmioty gospodarki narodow</w:t>
      </w:r>
      <w:r w:rsidRPr="00DF5076">
        <w:rPr>
          <w:rStyle w:val="Nagwek1Znak"/>
          <w:color w:val="7030A0"/>
        </w:rPr>
        <w:t>e</w:t>
      </w:r>
      <w:r w:rsidRPr="00DF5076">
        <w:rPr>
          <w:color w:val="7030A0"/>
        </w:rPr>
        <w:t>j</w:t>
      </w:r>
      <w:bookmarkEnd w:id="33"/>
      <w:bookmarkEnd w:id="34"/>
      <w:bookmarkEnd w:id="35"/>
      <w:bookmarkEnd w:id="41"/>
    </w:p>
    <w:p w:rsidR="00044A67" w:rsidRPr="009C6D3B" w:rsidRDefault="00044A67" w:rsidP="00044A67">
      <w:pPr>
        <w:pStyle w:val="tekst"/>
      </w:pPr>
      <w:r w:rsidRPr="009C6D3B">
        <w:t xml:space="preserve">Według stanu na koniec </w:t>
      </w:r>
      <w:r>
        <w:t>października</w:t>
      </w:r>
      <w:r w:rsidRPr="009C6D3B">
        <w:t xml:space="preserve"> br. w rejestrze REGON dla województwa wielkopolskiego ujętych było </w:t>
      </w:r>
      <w:r w:rsidRPr="000655C2">
        <w:t>517,3</w:t>
      </w:r>
      <w:r>
        <w:t xml:space="preserve"> </w:t>
      </w:r>
      <w:r w:rsidRPr="009C6D3B">
        <w:t xml:space="preserve">tys. </w:t>
      </w:r>
      <w:r w:rsidRPr="009C6D3B">
        <w:rPr>
          <w:b/>
        </w:rPr>
        <w:t>podmiotów gospodarki narodowej</w:t>
      </w:r>
      <w:r w:rsidRPr="009C6D3B">
        <w:rPr>
          <w:rStyle w:val="Odwoanieprzypisudolnego"/>
          <w:rFonts w:cs="FiraSans-Regular"/>
          <w:szCs w:val="19"/>
        </w:rPr>
        <w:footnoteReference w:id="4"/>
      </w:r>
      <w:r w:rsidRPr="009C6D3B">
        <w:t xml:space="preserve">, tj. o 0,3% więcej niż </w:t>
      </w:r>
      <w:r>
        <w:t>we wrześniu</w:t>
      </w:r>
      <w:r w:rsidRPr="009C6D3B">
        <w:t xml:space="preserve"> br. i o </w:t>
      </w:r>
      <w:r>
        <w:t>2,9</w:t>
      </w:r>
      <w:r w:rsidRPr="009C6D3B">
        <w:t xml:space="preserve">% więcej niż przed rokiem. Liczba zarejestrowanych </w:t>
      </w:r>
      <w:r w:rsidRPr="009C6D3B">
        <w:rPr>
          <w:b/>
        </w:rPr>
        <w:t>osób fizycznych</w:t>
      </w:r>
      <w:r w:rsidRPr="009C6D3B">
        <w:t xml:space="preserve"> prowadzących działalność gospodarczą wyniosła 37</w:t>
      </w:r>
      <w:r>
        <w:t>7,0</w:t>
      </w:r>
      <w:r w:rsidR="00190D5E">
        <w:t xml:space="preserve"> </w:t>
      </w:r>
      <w:r w:rsidRPr="009C6D3B">
        <w:t xml:space="preserve">tys., co w porównaniu z </w:t>
      </w:r>
      <w:r>
        <w:t>październikiem</w:t>
      </w:r>
      <w:r w:rsidRPr="009C6D3B">
        <w:t xml:space="preserve"> ub. roku oznacza przyrost o 2,</w:t>
      </w:r>
      <w:r>
        <w:t>7</w:t>
      </w:r>
      <w:r w:rsidRPr="009C6D3B">
        <w:t xml:space="preserve">%. Do rejestru REGON wpisanych było ponadto </w:t>
      </w:r>
      <w:r w:rsidRPr="000655C2">
        <w:t>92,8</w:t>
      </w:r>
      <w:r>
        <w:t xml:space="preserve"> </w:t>
      </w:r>
      <w:r w:rsidRPr="009C6D3B">
        <w:t xml:space="preserve">tys. </w:t>
      </w:r>
      <w:r w:rsidRPr="009C6D3B">
        <w:rPr>
          <w:b/>
        </w:rPr>
        <w:t>spółek</w:t>
      </w:r>
      <w:r w:rsidRPr="009C6D3B">
        <w:t xml:space="preserve">, w tym </w:t>
      </w:r>
      <w:r w:rsidRPr="000655C2">
        <w:t>66,4</w:t>
      </w:r>
      <w:r>
        <w:t xml:space="preserve"> </w:t>
      </w:r>
      <w:r w:rsidRPr="009C6D3B">
        <w:t>tys. spółek handlowych (w skali roku liczba tych podmiotów wzrosła odpowiednio o 3,</w:t>
      </w:r>
      <w:r>
        <w:t>1</w:t>
      </w:r>
      <w:r w:rsidRPr="009C6D3B">
        <w:t>% i o 4,</w:t>
      </w:r>
      <w:r>
        <w:t>4</w:t>
      </w:r>
      <w:r w:rsidRPr="009C6D3B">
        <w:t>%) oraz 26,2 tys. spółek cywilnych (podobnie jak przed rokiem).</w:t>
      </w:r>
    </w:p>
    <w:p w:rsidR="00044A67" w:rsidRPr="009C6D3B" w:rsidRDefault="00044A67" w:rsidP="00044A67">
      <w:pPr>
        <w:pStyle w:val="tekst"/>
      </w:pPr>
      <w:r w:rsidRPr="009C6D3B">
        <w:t>W ujęciu</w:t>
      </w:r>
      <w:r w:rsidRPr="009C6D3B">
        <w:rPr>
          <w:b/>
        </w:rPr>
        <w:t xml:space="preserve"> </w:t>
      </w:r>
      <w:r w:rsidRPr="009C6D3B">
        <w:t>według</w:t>
      </w:r>
      <w:r w:rsidRPr="009C6D3B">
        <w:rPr>
          <w:b/>
        </w:rPr>
        <w:t xml:space="preserve"> przewidywanej liczby pracujących</w:t>
      </w:r>
      <w:r w:rsidRPr="009C6D3B">
        <w:t xml:space="preserve"> przeważały podmioty o liczbie pracujących poniżej 10 (96,7% ogółu jednostek ujętych w rejestrze). W skali roku liczba podmiotów z tego przedziału zwiększyła się o 3,1%. Udział podmiotów o przewidywanej liczbie pracujących 10–49 wyniósł 2,7%, a ich liczba w porównaniu z </w:t>
      </w:r>
      <w:r>
        <w:t>październikiem</w:t>
      </w:r>
      <w:r w:rsidRPr="009C6D3B">
        <w:t xml:space="preserve"> ub. roku zmniejszyła się o 1,</w:t>
      </w:r>
      <w:r>
        <w:t>8</w:t>
      </w:r>
      <w:r w:rsidRPr="009C6D3B">
        <w:t xml:space="preserve">%. Podmioty powyżej 49 pracujących stanowiły 0,6% wszystkich jednostek wpisanych do rejestru REGON, a ich liczba spadła w ciągu roku o </w:t>
      </w:r>
      <w:r>
        <w:t>0,9</w:t>
      </w:r>
      <w:r w:rsidRPr="009C6D3B">
        <w:t>%.</w:t>
      </w:r>
    </w:p>
    <w:p w:rsidR="00044A67" w:rsidRPr="009C6D3B" w:rsidRDefault="00044A67" w:rsidP="00044A67">
      <w:pPr>
        <w:pStyle w:val="tekst"/>
      </w:pPr>
      <w:r w:rsidRPr="009C6D3B">
        <w:t>Ze względu na rodzaj działalności w analizowanym okresie największy wzrost liczby podmiotów odnotowano w sekcjach: wytwarzanie i zaopatrywanie w energię elektryczną, gaz, parę wodną i gorącą wodę (o 8,0%), pozostała działalność usługo</w:t>
      </w:r>
      <w:r>
        <w:t>wa (o 7,2</w:t>
      </w:r>
      <w:r w:rsidRPr="009C6D3B">
        <w:t>%), informacja i komunikacja (o 6,4%), administrowanie i działalność wspierająca (o 5,</w:t>
      </w:r>
      <w:r>
        <w:t>5</w:t>
      </w:r>
      <w:r w:rsidRPr="009C6D3B">
        <w:t>%) oraz edukacja (o 4,</w:t>
      </w:r>
      <w:r>
        <w:t>5</w:t>
      </w:r>
      <w:r w:rsidRPr="009C6D3B">
        <w:t>%).</w:t>
      </w:r>
    </w:p>
    <w:p w:rsidR="00044A67" w:rsidRPr="009C6D3B" w:rsidRDefault="00044A67" w:rsidP="00044A67">
      <w:pPr>
        <w:pStyle w:val="tekst"/>
      </w:pPr>
      <w:r>
        <w:t>W październiku</w:t>
      </w:r>
      <w:r w:rsidRPr="009C6D3B">
        <w:t xml:space="preserve"> br. do rejestru REGON wpisano </w:t>
      </w:r>
      <w:r w:rsidRPr="004B5E60">
        <w:t>3237</w:t>
      </w:r>
      <w:r w:rsidRPr="009C6D3B">
        <w:t xml:space="preserve"> </w:t>
      </w:r>
      <w:r w:rsidRPr="009C6D3B">
        <w:rPr>
          <w:b/>
        </w:rPr>
        <w:t>nowych podmiotów</w:t>
      </w:r>
      <w:r w:rsidRPr="009C6D3B">
        <w:t xml:space="preserve">, tj. o </w:t>
      </w:r>
      <w:r>
        <w:t>16</w:t>
      </w:r>
      <w:r w:rsidRPr="009C6D3B">
        <w:t xml:space="preserve"> (o </w:t>
      </w:r>
      <w:r>
        <w:t>0,5</w:t>
      </w:r>
      <w:r w:rsidRPr="009C6D3B">
        <w:t>%) więcej niż w poprzednim miesiącu. Wśród nowo zarejestrowanych jednostek przeważały osoby fizyczne prowadzące działalność gospodarczą (</w:t>
      </w:r>
      <w:r w:rsidRPr="004B5E60">
        <w:t>2530</w:t>
      </w:r>
      <w:r>
        <w:t>; o 20</w:t>
      </w:r>
      <w:r w:rsidRPr="009C6D3B">
        <w:t xml:space="preserve"> </w:t>
      </w:r>
      <w:r>
        <w:t>więcej</w:t>
      </w:r>
      <w:r w:rsidRPr="009C6D3B">
        <w:t xml:space="preserve"> niż </w:t>
      </w:r>
      <w:r>
        <w:t>we wrześniu</w:t>
      </w:r>
      <w:r w:rsidRPr="009C6D3B">
        <w:t xml:space="preserve"> br.). Ponadto </w:t>
      </w:r>
      <w:r>
        <w:t>w październiku</w:t>
      </w:r>
      <w:r w:rsidRPr="009C6D3B">
        <w:t xml:space="preserve"> br. zarejestrowano </w:t>
      </w:r>
      <w:r>
        <w:t>506</w:t>
      </w:r>
      <w:r w:rsidRPr="009C6D3B">
        <w:t xml:space="preserve"> nowych spółek handlowych (o </w:t>
      </w:r>
      <w:r>
        <w:t>58</w:t>
      </w:r>
      <w:r w:rsidRPr="009C6D3B">
        <w:t xml:space="preserve"> </w:t>
      </w:r>
      <w:r>
        <w:t>więcej</w:t>
      </w:r>
      <w:r w:rsidRPr="009C6D3B">
        <w:t xml:space="preserve"> niż przed miesiącem), w tym 4</w:t>
      </w:r>
      <w:r>
        <w:t>84</w:t>
      </w:r>
      <w:r w:rsidRPr="009C6D3B">
        <w:t xml:space="preserve"> spół</w:t>
      </w:r>
      <w:r>
        <w:t>ki</w:t>
      </w:r>
      <w:r w:rsidRPr="009C6D3B">
        <w:t xml:space="preserve"> z ograniczoną odpowiedzialnością (o </w:t>
      </w:r>
      <w:r>
        <w:t>47</w:t>
      </w:r>
      <w:r w:rsidRPr="009C6D3B">
        <w:t xml:space="preserve"> więcej).</w:t>
      </w:r>
    </w:p>
    <w:p w:rsidR="00044A67" w:rsidRPr="009C6D3B" w:rsidRDefault="00044A67" w:rsidP="00044A67">
      <w:pPr>
        <w:pStyle w:val="tekst"/>
      </w:pPr>
      <w:r>
        <w:t>W październiku</w:t>
      </w:r>
      <w:r w:rsidRPr="009C6D3B">
        <w:t xml:space="preserve"> br. z rejestru REGON </w:t>
      </w:r>
      <w:r w:rsidRPr="009C6D3B">
        <w:rPr>
          <w:b/>
        </w:rPr>
        <w:t>wykreślono</w:t>
      </w:r>
      <w:r w:rsidRPr="009C6D3B">
        <w:t xml:space="preserve"> </w:t>
      </w:r>
      <w:r w:rsidRPr="00BE16F6">
        <w:t>1691</w:t>
      </w:r>
      <w:r w:rsidRPr="009C6D3B">
        <w:t xml:space="preserve"> podmiotów, tj. o </w:t>
      </w:r>
      <w:r>
        <w:t>116</w:t>
      </w:r>
      <w:r w:rsidRPr="009C6D3B">
        <w:t xml:space="preserve"> (o </w:t>
      </w:r>
      <w:r>
        <w:t>6,4</w:t>
      </w:r>
      <w:r w:rsidRPr="009C6D3B">
        <w:t xml:space="preserve">%) </w:t>
      </w:r>
      <w:r>
        <w:t>mni</w:t>
      </w:r>
      <w:r w:rsidRPr="009C6D3B">
        <w:t>ej niż przed miesiącem, w tym 1</w:t>
      </w:r>
      <w:r>
        <w:t>292</w:t>
      </w:r>
      <w:r w:rsidRPr="009C6D3B">
        <w:t xml:space="preserve"> osoby fizyczne prowadzące działalność gospodarczą, o </w:t>
      </w:r>
      <w:r>
        <w:t>161</w:t>
      </w:r>
      <w:r w:rsidRPr="009C6D3B">
        <w:t xml:space="preserve"> (o </w:t>
      </w:r>
      <w:r>
        <w:t>11,1</w:t>
      </w:r>
      <w:r w:rsidRPr="009C6D3B">
        <w:t xml:space="preserve">%) </w:t>
      </w:r>
      <w:r w:rsidR="00771B02">
        <w:t>mnie</w:t>
      </w:r>
      <w:r w:rsidRPr="009C6D3B">
        <w:t xml:space="preserve">j niż </w:t>
      </w:r>
      <w:r>
        <w:t>we wrześniu</w:t>
      </w:r>
      <w:r w:rsidRPr="009C6D3B">
        <w:t xml:space="preserve"> br.</w:t>
      </w:r>
    </w:p>
    <w:p w:rsidR="00044A67" w:rsidRDefault="00044A67" w:rsidP="00044A67">
      <w:pPr>
        <w:pStyle w:val="tekst"/>
      </w:pPr>
      <w:r>
        <w:br w:type="page"/>
      </w:r>
    </w:p>
    <w:p w:rsidR="00044A67" w:rsidRPr="007F73D2" w:rsidRDefault="00DA2491" w:rsidP="00044A67">
      <w:pPr>
        <w:pStyle w:val="tytuwykresu"/>
        <w:spacing w:before="240"/>
        <w:rPr>
          <w:b w:val="0"/>
        </w:rPr>
      </w:pPr>
      <w:r w:rsidRPr="00DA2491">
        <w:rPr>
          <w:noProof/>
          <w:lang w:eastAsia="pl-PL"/>
        </w:rPr>
        <w:lastRenderedPageBreak/>
        <w:drawing>
          <wp:anchor distT="0" distB="107950" distL="114300" distR="114300" simplePos="0" relativeHeight="252971520" behindDoc="0" locked="0" layoutInCell="1" allowOverlap="1">
            <wp:simplePos x="0" y="0"/>
            <wp:positionH relativeFrom="column">
              <wp:posOffset>1347194</wp:posOffset>
            </wp:positionH>
            <wp:positionV relativeFrom="paragraph">
              <wp:posOffset>317556</wp:posOffset>
            </wp:positionV>
            <wp:extent cx="3618000" cy="6375600"/>
            <wp:effectExtent l="0" t="0" r="1905" b="6350"/>
            <wp:wrapTopAndBottom/>
            <wp:docPr id="9" name="Obraz 9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00" cy="63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1</w:t>
      </w:r>
      <w:r w:rsidR="00C75B73">
        <w:t>2</w:t>
      </w:r>
      <w:r w:rsidR="00044A67" w:rsidRPr="00B4057C">
        <w:t>.</w:t>
      </w:r>
      <w:r w:rsidR="00044A67">
        <w:tab/>
        <w:t>Podmioty gospodarki narodowej nowo zarejestrowane i wyrejestrowane w październiku 2024 r.</w:t>
      </w:r>
      <w:r w:rsidR="00044A67" w:rsidRPr="007C2E61">
        <w:rPr>
          <w:b w:val="0"/>
        </w:rPr>
        <w:t xml:space="preserve"> </w:t>
      </w:r>
    </w:p>
    <w:p w:rsidR="00044A67" w:rsidRDefault="00044A67" w:rsidP="00044A67">
      <w:pPr>
        <w:pStyle w:val="tekst"/>
      </w:pPr>
      <w:r w:rsidRPr="009C6D3B">
        <w:t xml:space="preserve">Według stanu na koniec </w:t>
      </w:r>
      <w:r>
        <w:t>października</w:t>
      </w:r>
      <w:r w:rsidRPr="009C6D3B">
        <w:t xml:space="preserve"> br. w rejestrze REGON dla województwa wielkopolskiego </w:t>
      </w:r>
      <w:r w:rsidRPr="00B84DE8">
        <w:t>71,8</w:t>
      </w:r>
      <w:r>
        <w:t xml:space="preserve"> </w:t>
      </w:r>
      <w:r w:rsidRPr="009C6D3B">
        <w:t xml:space="preserve">tys. podmiotów miało </w:t>
      </w:r>
      <w:r w:rsidRPr="009C6D3B">
        <w:rPr>
          <w:b/>
        </w:rPr>
        <w:t xml:space="preserve">zawieszoną działalność </w:t>
      </w:r>
      <w:r w:rsidRPr="009C6D3B">
        <w:t xml:space="preserve">(wobec </w:t>
      </w:r>
      <w:r w:rsidRPr="00B84DE8">
        <w:t>71,4</w:t>
      </w:r>
      <w:r>
        <w:t xml:space="preserve"> </w:t>
      </w:r>
      <w:r w:rsidRPr="009C6D3B">
        <w:t xml:space="preserve">tys. w końcu </w:t>
      </w:r>
      <w:r>
        <w:t>wrześni</w:t>
      </w:r>
      <w:r w:rsidRPr="009C6D3B">
        <w:t>a br.). Zdecydowaną większość stanowiły osoby fizyczne prowadzące działalność gospodarczą (67,</w:t>
      </w:r>
      <w:r>
        <w:t>7</w:t>
      </w:r>
      <w:r w:rsidRPr="009C6D3B">
        <w:t xml:space="preserve"> tys., tj. 94,3</w:t>
      </w:r>
      <w:r>
        <w:t>%).</w:t>
      </w:r>
    </w:p>
    <w:p w:rsidR="00044A67" w:rsidRDefault="00044A67" w:rsidP="00044A67">
      <w:pPr>
        <w:pStyle w:val="tekst"/>
      </w:pPr>
      <w:r>
        <w:br w:type="page"/>
      </w:r>
    </w:p>
    <w:p w:rsidR="00044A67" w:rsidRPr="006359B9" w:rsidRDefault="00D7441C" w:rsidP="00044A67">
      <w:pPr>
        <w:pStyle w:val="tytuwykresu"/>
        <w:rPr>
          <w:b w:val="0"/>
        </w:rPr>
      </w:pPr>
      <w:r w:rsidRPr="00D7441C">
        <w:rPr>
          <w:noProof/>
          <w:lang w:eastAsia="pl-PL"/>
        </w:rPr>
        <w:lastRenderedPageBreak/>
        <w:drawing>
          <wp:anchor distT="0" distB="0" distL="114300" distR="114300" simplePos="0" relativeHeight="252959232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457200</wp:posOffset>
            </wp:positionV>
            <wp:extent cx="4320000" cy="5218882"/>
            <wp:effectExtent l="0" t="0" r="4445" b="1270"/>
            <wp:wrapTopAndBottom/>
            <wp:docPr id="38" name="Obraz 38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oraz dla województwa wielkopolskiego (w obu przypadkach 0,9% dla podmiotów ogółem i 0,6% dla osób fizycznych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21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Mapa 3</w:t>
      </w:r>
      <w:r w:rsidR="00044A67" w:rsidRPr="00E26EA7">
        <w:t>.</w:t>
      </w:r>
      <w:r w:rsidR="00044A67">
        <w:tab/>
        <w:t>Podmioty gospodarki narodowej z zawieszoną działalnością w 2024 r.</w:t>
      </w:r>
      <w:r w:rsidR="00044A67">
        <w:br/>
      </w:r>
      <w:r w:rsidR="00044A67" w:rsidRPr="00E85AA5">
        <w:tab/>
        <w:t xml:space="preserve">Stan w </w:t>
      </w:r>
      <w:r w:rsidR="00044A67">
        <w:t>końcu października</w:t>
      </w:r>
      <w:r w:rsidR="00044A67" w:rsidRPr="0007251B">
        <w:rPr>
          <w:b w:val="0"/>
        </w:rPr>
        <w:t xml:space="preserve"> </w:t>
      </w:r>
    </w:p>
    <w:p w:rsidR="00044A67" w:rsidRPr="000B35C5" w:rsidRDefault="00044A67" w:rsidP="00044A67">
      <w:pPr>
        <w:pStyle w:val="Nagwek1"/>
      </w:pPr>
      <w:bookmarkStart w:id="42" w:name="_Toc64884835"/>
      <w:bookmarkStart w:id="43" w:name="_Toc64885004"/>
      <w:bookmarkStart w:id="44" w:name="_Toc64891657"/>
      <w:bookmarkStart w:id="45" w:name="_Toc183619744"/>
      <w:r w:rsidRPr="006C0BE2">
        <w:t>Koniunktura gospodarcza</w:t>
      </w:r>
      <w:bookmarkEnd w:id="42"/>
      <w:bookmarkEnd w:id="43"/>
      <w:bookmarkEnd w:id="44"/>
      <w:bookmarkEnd w:id="45"/>
    </w:p>
    <w:p w:rsidR="00631811" w:rsidRDefault="00C820D2" w:rsidP="00044A67">
      <w:pPr>
        <w:rPr>
          <w:color w:val="000000" w:themeColor="text1"/>
          <w:lang w:eastAsia="pl-PL"/>
        </w:rPr>
      </w:pPr>
      <w:r w:rsidRPr="00C820D2">
        <w:rPr>
          <w:color w:val="000000" w:themeColor="text1"/>
          <w:lang w:eastAsia="pl-PL"/>
        </w:rPr>
        <w:t xml:space="preserve">W listopadzie br. w większości badanych obszarów gospodarki oceny koniunktury formułowane przez przedsiębiorców są </w:t>
      </w:r>
      <w:r>
        <w:rPr>
          <w:color w:val="000000" w:themeColor="text1"/>
          <w:lang w:eastAsia="pl-PL"/>
        </w:rPr>
        <w:t>negatywne</w:t>
      </w:r>
      <w:r w:rsidRPr="00C820D2">
        <w:rPr>
          <w:color w:val="000000" w:themeColor="text1"/>
          <w:lang w:eastAsia="pl-PL"/>
        </w:rPr>
        <w:t>. Największy spadek wartości wskaźnika ogólnego klimatu koniunktury odnotowano w budownictwie.</w:t>
      </w:r>
      <w:r w:rsidR="00551F37">
        <w:rPr>
          <w:color w:val="000000" w:themeColor="text1"/>
          <w:lang w:eastAsia="pl-PL"/>
        </w:rPr>
        <w:t xml:space="preserve"> W ciągu miesiąca p</w:t>
      </w:r>
      <w:r w:rsidR="00551F37" w:rsidRPr="00551F37">
        <w:rPr>
          <w:color w:val="000000" w:themeColor="text1"/>
          <w:lang w:eastAsia="pl-PL"/>
        </w:rPr>
        <w:t xml:space="preserve">ogorszenie opinii zarejestrowano również w handlu hurtowym. </w:t>
      </w:r>
      <w:r w:rsidR="00551F37">
        <w:rPr>
          <w:color w:val="000000" w:themeColor="text1"/>
          <w:lang w:eastAsia="pl-PL"/>
        </w:rPr>
        <w:t>W obu sekcjach panują</w:t>
      </w:r>
      <w:r w:rsidR="00551F37" w:rsidRPr="00551F37">
        <w:rPr>
          <w:color w:val="000000" w:themeColor="text1"/>
          <w:lang w:eastAsia="pl-PL"/>
        </w:rPr>
        <w:t xml:space="preserve"> pesymistyczne</w:t>
      </w:r>
      <w:r w:rsidR="00551F37">
        <w:rPr>
          <w:color w:val="000000" w:themeColor="text1"/>
          <w:lang w:eastAsia="pl-PL"/>
        </w:rPr>
        <w:t xml:space="preserve"> </w:t>
      </w:r>
      <w:r w:rsidR="00551F37" w:rsidRPr="006C67E9">
        <w:rPr>
          <w:color w:val="000000" w:themeColor="text1"/>
          <w:lang w:eastAsia="pl-PL"/>
        </w:rPr>
        <w:t>nastroje gospodarcze</w:t>
      </w:r>
      <w:r w:rsidR="00551F37" w:rsidRPr="00551F37">
        <w:rPr>
          <w:color w:val="000000" w:themeColor="text1"/>
          <w:lang w:eastAsia="pl-PL"/>
        </w:rPr>
        <w:t>.</w:t>
      </w:r>
      <w:r w:rsidR="00551F37">
        <w:rPr>
          <w:color w:val="000000" w:themeColor="text1"/>
          <w:lang w:eastAsia="pl-PL"/>
        </w:rPr>
        <w:t xml:space="preserve"> </w:t>
      </w:r>
      <w:r w:rsidR="00551F37" w:rsidRPr="00C820D2">
        <w:rPr>
          <w:color w:val="000000" w:themeColor="text1"/>
          <w:lang w:eastAsia="pl-PL"/>
        </w:rPr>
        <w:t xml:space="preserve">Niekorzystnie, ale na </w:t>
      </w:r>
      <w:r w:rsidR="00631811">
        <w:rPr>
          <w:color w:val="000000" w:themeColor="text1"/>
          <w:lang w:eastAsia="pl-PL"/>
        </w:rPr>
        <w:t xml:space="preserve">poziomie </w:t>
      </w:r>
      <w:r w:rsidR="00631811" w:rsidRPr="006C67E9">
        <w:rPr>
          <w:color w:val="000000" w:themeColor="text1"/>
          <w:lang w:eastAsia="pl-PL"/>
        </w:rPr>
        <w:t>porównywaln</w:t>
      </w:r>
      <w:r w:rsidR="00631811">
        <w:rPr>
          <w:color w:val="000000" w:themeColor="text1"/>
          <w:lang w:eastAsia="pl-PL"/>
        </w:rPr>
        <w:t>ym</w:t>
      </w:r>
      <w:r w:rsidR="00631811" w:rsidRPr="006C67E9">
        <w:rPr>
          <w:color w:val="000000" w:themeColor="text1"/>
          <w:lang w:eastAsia="pl-PL"/>
        </w:rPr>
        <w:t xml:space="preserve"> do t</w:t>
      </w:r>
      <w:r w:rsidR="00631811">
        <w:rPr>
          <w:color w:val="000000" w:themeColor="text1"/>
          <w:lang w:eastAsia="pl-PL"/>
        </w:rPr>
        <w:t>ego</w:t>
      </w:r>
      <w:r w:rsidR="00631811" w:rsidRPr="006C67E9">
        <w:rPr>
          <w:color w:val="000000" w:themeColor="text1"/>
          <w:lang w:eastAsia="pl-PL"/>
        </w:rPr>
        <w:t xml:space="preserve"> </w:t>
      </w:r>
      <w:r w:rsidR="00631811">
        <w:rPr>
          <w:color w:val="000000" w:themeColor="text1"/>
          <w:lang w:eastAsia="pl-PL"/>
        </w:rPr>
        <w:t>sprzed miesiąca</w:t>
      </w:r>
      <w:r w:rsidR="00551F37" w:rsidRPr="00C820D2">
        <w:rPr>
          <w:color w:val="000000" w:themeColor="text1"/>
          <w:lang w:eastAsia="pl-PL"/>
        </w:rPr>
        <w:t xml:space="preserve">, oceniają koniunkturę </w:t>
      </w:r>
      <w:r w:rsidR="00CB7E60">
        <w:rPr>
          <w:color w:val="000000" w:themeColor="text1"/>
          <w:lang w:eastAsia="pl-PL"/>
        </w:rPr>
        <w:t>także</w:t>
      </w:r>
      <w:r w:rsidR="00CB7E60" w:rsidRPr="00C820D2">
        <w:rPr>
          <w:color w:val="000000" w:themeColor="text1"/>
          <w:lang w:eastAsia="pl-PL"/>
        </w:rPr>
        <w:t xml:space="preserve"> </w:t>
      </w:r>
      <w:r w:rsidR="00551F37" w:rsidRPr="00C820D2">
        <w:rPr>
          <w:color w:val="000000" w:themeColor="text1"/>
          <w:lang w:eastAsia="pl-PL"/>
        </w:rPr>
        <w:t>podmioty zajmujące się przetwórstwem przemysłowym.</w:t>
      </w:r>
      <w:r w:rsidR="00551F37">
        <w:rPr>
          <w:color w:val="000000" w:themeColor="text1"/>
          <w:lang w:eastAsia="pl-PL"/>
        </w:rPr>
        <w:t xml:space="preserve"> </w:t>
      </w:r>
      <w:r w:rsidR="00551F37" w:rsidRPr="00C820D2">
        <w:rPr>
          <w:color w:val="000000" w:themeColor="text1"/>
          <w:lang w:eastAsia="pl-PL"/>
        </w:rPr>
        <w:t>Mimo utrzymanych negatywnych o</w:t>
      </w:r>
      <w:r w:rsidR="00631811">
        <w:rPr>
          <w:color w:val="000000" w:themeColor="text1"/>
          <w:lang w:eastAsia="pl-PL"/>
        </w:rPr>
        <w:t>cen</w:t>
      </w:r>
      <w:r w:rsidR="00551F37" w:rsidRPr="00C820D2">
        <w:rPr>
          <w:color w:val="000000" w:themeColor="text1"/>
          <w:lang w:eastAsia="pl-PL"/>
        </w:rPr>
        <w:t>, największy wzrost wartości wskaźnika zaobserwowano w zakwaterowaniu i gastronomii</w:t>
      </w:r>
      <w:r w:rsidR="00631811">
        <w:rPr>
          <w:color w:val="000000" w:themeColor="text1"/>
          <w:lang w:eastAsia="pl-PL"/>
        </w:rPr>
        <w:t xml:space="preserve">. </w:t>
      </w:r>
      <w:r w:rsidR="00631811" w:rsidRPr="00C820D2">
        <w:rPr>
          <w:color w:val="000000" w:themeColor="text1"/>
          <w:lang w:eastAsia="pl-PL"/>
        </w:rPr>
        <w:t>Poprawę opinii zarejestrowano również w transporcie i gospodarce magazynowej.</w:t>
      </w:r>
      <w:r w:rsidR="00631811">
        <w:rPr>
          <w:color w:val="000000" w:themeColor="text1"/>
          <w:lang w:eastAsia="pl-PL"/>
        </w:rPr>
        <w:t xml:space="preserve"> </w:t>
      </w:r>
      <w:r w:rsidRPr="00C820D2">
        <w:rPr>
          <w:color w:val="000000" w:themeColor="text1"/>
          <w:lang w:eastAsia="pl-PL"/>
        </w:rPr>
        <w:t xml:space="preserve">Wśród tych jednostek oceny koniunktury są korzystne. </w:t>
      </w:r>
      <w:r w:rsidR="00631811">
        <w:rPr>
          <w:color w:val="000000" w:themeColor="text1"/>
          <w:lang w:eastAsia="pl-PL"/>
        </w:rPr>
        <w:t xml:space="preserve">Ponadto pozytywne </w:t>
      </w:r>
      <w:r w:rsidR="00631811" w:rsidRPr="00C94D6C">
        <w:rPr>
          <w:color w:val="000000" w:themeColor="text1"/>
          <w:lang w:eastAsia="pl-PL"/>
        </w:rPr>
        <w:t>ocen</w:t>
      </w:r>
      <w:r w:rsidR="00631811">
        <w:rPr>
          <w:color w:val="000000" w:themeColor="text1"/>
          <w:lang w:eastAsia="pl-PL"/>
        </w:rPr>
        <w:t>y,</w:t>
      </w:r>
      <w:r w:rsidR="00631811" w:rsidRPr="00C94D6C">
        <w:rPr>
          <w:color w:val="000000" w:themeColor="text1"/>
          <w:lang w:eastAsia="pl-PL"/>
        </w:rPr>
        <w:t xml:space="preserve"> </w:t>
      </w:r>
      <w:r w:rsidR="00E56E9A">
        <w:rPr>
          <w:color w:val="000000" w:themeColor="text1"/>
          <w:lang w:eastAsia="pl-PL"/>
        </w:rPr>
        <w:t>zbliżone do tych z października br.</w:t>
      </w:r>
      <w:r w:rsidR="00631811">
        <w:rPr>
          <w:color w:val="000000" w:themeColor="text1"/>
          <w:lang w:eastAsia="pl-PL"/>
        </w:rPr>
        <w:t xml:space="preserve">, </w:t>
      </w:r>
      <w:r w:rsidR="00E56E9A">
        <w:rPr>
          <w:color w:val="000000" w:themeColor="text1"/>
          <w:lang w:eastAsia="pl-PL"/>
        </w:rPr>
        <w:t>odnotowano</w:t>
      </w:r>
      <w:r w:rsidR="00631811">
        <w:rPr>
          <w:color w:val="000000" w:themeColor="text1"/>
          <w:lang w:eastAsia="pl-PL"/>
        </w:rPr>
        <w:t xml:space="preserve"> </w:t>
      </w:r>
      <w:r w:rsidR="00631811" w:rsidRPr="00C820D2">
        <w:rPr>
          <w:color w:val="000000" w:themeColor="text1"/>
          <w:lang w:eastAsia="pl-PL"/>
        </w:rPr>
        <w:t>w handlu detalicznym oraz w informacji i komunikacji</w:t>
      </w:r>
      <w:r w:rsidR="00631811">
        <w:rPr>
          <w:color w:val="000000" w:themeColor="text1"/>
          <w:lang w:eastAsia="pl-PL"/>
        </w:rPr>
        <w:t>.</w:t>
      </w:r>
    </w:p>
    <w:p w:rsidR="003D01A3" w:rsidRDefault="003D01A3" w:rsidP="00044A67">
      <w:pPr>
        <w:rPr>
          <w:color w:val="000000" w:themeColor="text1"/>
          <w:lang w:eastAsia="pl-PL"/>
        </w:rPr>
      </w:pPr>
    </w:p>
    <w:p w:rsidR="00044A67" w:rsidRDefault="00044A67" w:rsidP="00044A67">
      <w:pPr>
        <w:pStyle w:val="tekst"/>
      </w:pPr>
      <w:r>
        <w:br w:type="page"/>
      </w:r>
    </w:p>
    <w:p w:rsidR="00044A67" w:rsidRDefault="00D76C27" w:rsidP="00044A67">
      <w:pPr>
        <w:pStyle w:val="tytuwykresu"/>
      </w:pPr>
      <w:r w:rsidRPr="00D76C27">
        <w:rPr>
          <w:noProof/>
          <w:lang w:eastAsia="pl-PL"/>
        </w:rPr>
        <w:lastRenderedPageBreak/>
        <w:drawing>
          <wp:anchor distT="0" distB="0" distL="114300" distR="114300" simplePos="0" relativeHeight="25296332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333375</wp:posOffset>
            </wp:positionV>
            <wp:extent cx="5760000" cy="3640752"/>
            <wp:effectExtent l="0" t="0" r="0" b="0"/>
            <wp:wrapTopAndBottom/>
            <wp:docPr id="17" name="Obraz 17" descr="Dwa podwójne, dwustronne wykresy słupkowe. Lewy , główny – pogorszenie / poprawa wskaźników ogólnego klimatu koniunktury: oś pozioma od -40 do 20%. Prawy, dodatkowy – saldo: oś pozioma od -40 do 20%. Na osi pionowej 7 sekcji PKD w 3 okresach: miesiąc badania (listopad 2024 r.), poprzedni miesiąc i analogiczny miesiąc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4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BE3C18">
        <w:t xml:space="preserve">Wykres </w:t>
      </w:r>
      <w:r w:rsidR="00044A67">
        <w:t>1</w:t>
      </w:r>
      <w:r w:rsidR="00C75B73">
        <w:t>3</w:t>
      </w:r>
      <w:r w:rsidR="00044A67">
        <w:t>.</w:t>
      </w:r>
      <w:r w:rsidR="00044A67">
        <w:tab/>
      </w:r>
      <w:r w:rsidR="00044A67" w:rsidRPr="00BE3C18">
        <w:t>Wskaźniki ogólnego klimatu koniunktury według rodzaju działalności (sekcje i działy PKD 2007)</w:t>
      </w:r>
      <w:r w:rsidR="00044A67" w:rsidRPr="00BD48E2">
        <w:t xml:space="preserve"> </w:t>
      </w:r>
    </w:p>
    <w:p w:rsidR="00044A67" w:rsidRDefault="00044A67" w:rsidP="00044A67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>
        <w:rPr>
          <w:rFonts w:cstheme="minorBidi"/>
          <w:b/>
          <w:i w:val="0"/>
          <w:spacing w:val="-2"/>
          <w:szCs w:val="22"/>
        </w:rPr>
        <w:t>inwestycji</w:t>
      </w:r>
      <w:r w:rsidRPr="00264F57">
        <w:rPr>
          <w:rStyle w:val="Odwoanieprzypisudolnego"/>
        </w:rPr>
        <w:footnoteReference w:id="5"/>
      </w:r>
    </w:p>
    <w:p w:rsidR="00044A67" w:rsidRDefault="00D76C27" w:rsidP="002E43BE">
      <w:pPr>
        <w:pStyle w:val="pytkoniunkt"/>
        <w:rPr>
          <w:i w:val="0"/>
        </w:rPr>
      </w:pPr>
      <w:r w:rsidRPr="00D76C27">
        <w:rPr>
          <w:noProof/>
          <w:lang w:eastAsia="pl-PL"/>
        </w:rPr>
        <w:drawing>
          <wp:anchor distT="0" distB="107950" distL="114300" distR="114300" simplePos="0" relativeHeight="252964352" behindDoc="0" locked="0" layoutInCell="1" allowOverlap="1">
            <wp:simplePos x="0" y="0"/>
            <wp:positionH relativeFrom="column">
              <wp:posOffset>524990</wp:posOffset>
            </wp:positionH>
            <wp:positionV relativeFrom="paragraph">
              <wp:posOffset>582701</wp:posOffset>
            </wp:positionV>
            <wp:extent cx="5504400" cy="2048400"/>
            <wp:effectExtent l="0" t="0" r="1270" b="9525"/>
            <wp:wrapTopAndBottom/>
            <wp:docPr id="26" name="Obraz 26" descr="Wykres kolumnowy strukturalny (100%), dla 5 sekcji PKD (kolumny) i przewidywań, co do poziomu inwestycji (struktura). Dane do wykresu dostępne w pliku w formacie XLSX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400" cy="20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Pyt. 1</w:t>
      </w:r>
      <w:r w:rsidR="00044A67" w:rsidRPr="004B6EC7">
        <w:t>.</w:t>
      </w:r>
      <w:r w:rsidR="00044A67" w:rsidRPr="0081292A">
        <w:t xml:space="preserve"> </w:t>
      </w:r>
      <w:r w:rsidR="00044A67" w:rsidRPr="006D561A">
        <w:rPr>
          <w:rFonts w:cs="FiraSans-Bold"/>
          <w:bCs/>
        </w:rPr>
        <w:t xml:space="preserve">Jakie są Państwa aktualne przewidywania, co do poziomu inwestycji Państwa firmy w </w:t>
      </w:r>
      <w:r w:rsidR="00044A67">
        <w:rPr>
          <w:rFonts w:cs="FiraSans-Bold"/>
          <w:bCs/>
        </w:rPr>
        <w:t>2024 r.</w:t>
      </w:r>
      <w:r w:rsidR="00044A67" w:rsidRPr="006D561A">
        <w:rPr>
          <w:rFonts w:cs="FiraSans-Bold"/>
          <w:bCs/>
        </w:rPr>
        <w:t xml:space="preserve"> w odniesieniu do </w:t>
      </w:r>
      <w:r w:rsidR="00044A67">
        <w:rPr>
          <w:rFonts w:cs="FiraSans-Bold"/>
          <w:bCs/>
        </w:rPr>
        <w:br/>
      </w:r>
      <w:r w:rsidR="00044A67" w:rsidRPr="006D561A">
        <w:rPr>
          <w:rFonts w:cs="FiraSans-Bold"/>
          <w:bCs/>
        </w:rPr>
        <w:t xml:space="preserve">inwestycji zrealizowanych w </w:t>
      </w:r>
      <w:r w:rsidR="00044A67">
        <w:rPr>
          <w:rFonts w:cs="FiraSans-Bold"/>
          <w:bCs/>
        </w:rPr>
        <w:t>2023 r.?</w:t>
      </w:r>
      <w:r w:rsidR="00044A67" w:rsidRPr="006C1BEC">
        <w:rPr>
          <w:i w:val="0"/>
        </w:rPr>
        <w:t xml:space="preserve"> </w:t>
      </w:r>
    </w:p>
    <w:p w:rsidR="00044A67" w:rsidRDefault="00044A67" w:rsidP="00044A67">
      <w:pPr>
        <w:rPr>
          <w:rFonts w:cs="Fira Sans"/>
          <w:color w:val="000000"/>
          <w:szCs w:val="19"/>
        </w:rPr>
      </w:pPr>
      <w:r w:rsidRPr="006D561A">
        <w:t>W większości badanych branż przedsiębiorcy przewid</w:t>
      </w:r>
      <w:r>
        <w:t>ują</w:t>
      </w:r>
      <w:r w:rsidRPr="006D561A">
        <w:t>, że w 202</w:t>
      </w:r>
      <w:r>
        <w:t>4</w:t>
      </w:r>
      <w:r w:rsidRPr="006D561A">
        <w:t xml:space="preserve">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</w:t>
      </w:r>
      <w:r>
        <w:t xml:space="preserve">notuje się </w:t>
      </w:r>
      <w:r w:rsidRPr="006D561A">
        <w:t>wśród firm z obszaru</w:t>
      </w:r>
      <w:r>
        <w:t xml:space="preserve"> </w:t>
      </w:r>
      <w:r w:rsidR="006B5442">
        <w:t>handlu hurtowego</w:t>
      </w:r>
      <w:r w:rsidR="006B5442" w:rsidRPr="006D561A">
        <w:t xml:space="preserve"> </w:t>
      </w:r>
      <w:r w:rsidRPr="006D561A">
        <w:t>(</w:t>
      </w:r>
      <w:r w:rsidR="006B5442" w:rsidRPr="006B5442">
        <w:t>63,0</w:t>
      </w:r>
      <w:r w:rsidRPr="006D561A">
        <w:t>%)</w:t>
      </w:r>
      <w:r>
        <w:t xml:space="preserve"> oraz </w:t>
      </w:r>
      <w:r w:rsidR="006B5442" w:rsidRPr="006D561A">
        <w:t>usług</w:t>
      </w:r>
      <w:r w:rsidR="006B5442">
        <w:t xml:space="preserve"> </w:t>
      </w:r>
      <w:r>
        <w:t>(</w:t>
      </w:r>
      <w:r w:rsidR="006B5442" w:rsidRPr="006B5442">
        <w:t>59,2</w:t>
      </w:r>
      <w:r>
        <w:t xml:space="preserve">%). Natomiast spadku inwestycji w </w:t>
      </w:r>
      <w:r w:rsidR="006B5442">
        <w:t>porównaniu z</w:t>
      </w:r>
      <w:r w:rsidRPr="006D561A">
        <w:t xml:space="preserve"> 202</w:t>
      </w:r>
      <w:r>
        <w:t>3</w:t>
      </w:r>
      <w:r w:rsidRPr="006D561A">
        <w:t xml:space="preserve"> r. </w:t>
      </w:r>
      <w:r>
        <w:t>oczekuje</w:t>
      </w:r>
      <w:r w:rsidRPr="006D561A">
        <w:t xml:space="preserve"> </w:t>
      </w:r>
      <w:r w:rsidR="006B5442" w:rsidRPr="006B5442">
        <w:t>33,9</w:t>
      </w:r>
      <w:r>
        <w:t xml:space="preserve">% przedsiębiorstw budowlanych </w:t>
      </w:r>
      <w:r w:rsidRPr="006D561A">
        <w:t xml:space="preserve">(przy </w:t>
      </w:r>
      <w:r w:rsidR="006B5442" w:rsidRPr="006B5442">
        <w:t>53,6</w:t>
      </w:r>
      <w:r w:rsidRPr="006D561A">
        <w:t>% wskazujących na utrzymanie ich poziomu)</w:t>
      </w:r>
      <w:r>
        <w:t xml:space="preserve"> i przemysłowych (</w:t>
      </w:r>
      <w:r w:rsidR="006B5442" w:rsidRPr="006B5442">
        <w:t>33,2</w:t>
      </w:r>
      <w:r>
        <w:t xml:space="preserve">% wobec </w:t>
      </w:r>
      <w:r w:rsidR="006B5442" w:rsidRPr="006B5442">
        <w:t>46,6</w:t>
      </w:r>
      <w:r>
        <w:t>%)</w:t>
      </w:r>
      <w:r w:rsidRPr="006D561A">
        <w:t>.</w:t>
      </w:r>
      <w:r>
        <w:t xml:space="preserve"> Najmniej podmiotów </w:t>
      </w:r>
      <w:r w:rsidRPr="006D561A">
        <w:t>spodziewa się</w:t>
      </w:r>
      <w:r>
        <w:t xml:space="preserve"> w</w:t>
      </w:r>
      <w:r w:rsidRPr="006D561A">
        <w:t xml:space="preserve">zrostu </w:t>
      </w:r>
      <w:r>
        <w:t>nakładów inwestycyjnych (</w:t>
      </w:r>
      <w:r w:rsidRPr="006D561A">
        <w:t xml:space="preserve">m.in. </w:t>
      </w:r>
      <w:r w:rsidR="006B5442" w:rsidRPr="006B5442">
        <w:t>25,5</w:t>
      </w:r>
      <w:r w:rsidRPr="006D561A">
        <w:t xml:space="preserve">% </w:t>
      </w:r>
      <w:r>
        <w:t xml:space="preserve">jednostek prowadzących działalność w </w:t>
      </w:r>
      <w:r w:rsidR="006B5442">
        <w:t>zakresie handlu detalicznego i </w:t>
      </w:r>
      <w:r w:rsidR="006B5442" w:rsidRPr="006B5442">
        <w:t>20,2</w:t>
      </w:r>
      <w:r>
        <w:t>% – przetwórstwa przemysłowego)</w:t>
      </w:r>
      <w:r>
        <w:rPr>
          <w:rFonts w:cs="Fira Sans"/>
          <w:color w:val="000000"/>
          <w:szCs w:val="19"/>
        </w:rPr>
        <w:t>.</w:t>
      </w:r>
    </w:p>
    <w:p w:rsidR="00044A67" w:rsidRDefault="008C4ACA" w:rsidP="00044A67">
      <w:pPr>
        <w:pStyle w:val="pytkoniunkt"/>
        <w:spacing w:before="240"/>
        <w:rPr>
          <w:rFonts w:cs="FiraSans-Bold"/>
          <w:bCs/>
        </w:rPr>
      </w:pPr>
      <w:r w:rsidRPr="008C4ACA">
        <w:rPr>
          <w:noProof/>
          <w:lang w:eastAsia="pl-PL"/>
        </w:rPr>
        <w:lastRenderedPageBreak/>
        <w:drawing>
          <wp:anchor distT="0" distB="107950" distL="114300" distR="114300" simplePos="0" relativeHeight="252968448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285750</wp:posOffset>
            </wp:positionV>
            <wp:extent cx="5400000" cy="3168000"/>
            <wp:effectExtent l="0" t="0" r="0" b="0"/>
            <wp:wrapTopAndBottom/>
            <wp:docPr id="7" name="Obraz 7" descr="Na wykresie kolumnowym zaprezentowano odsetek odpowiedzi (główne kierunki inwestycji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Pyt. 2</w:t>
      </w:r>
      <w:r w:rsidR="00044A67" w:rsidRPr="004B6EC7">
        <w:t xml:space="preserve">. </w:t>
      </w:r>
      <w:r w:rsidR="00044A67" w:rsidRPr="004565DC">
        <w:rPr>
          <w:rFonts w:cs="FiraSans-Bold"/>
          <w:bCs/>
        </w:rPr>
        <w:t>Jakie są główne kierunki inwestowania Państwa firmy w bieżącym roku</w:t>
      </w:r>
      <w:r w:rsidR="00044A67">
        <w:rPr>
          <w:rFonts w:cs="FiraSans-Bold"/>
          <w:bCs/>
        </w:rPr>
        <w:t>?</w:t>
      </w:r>
      <w:r w:rsidR="00044A67" w:rsidRPr="006C1BEC">
        <w:rPr>
          <w:i w:val="0"/>
        </w:rPr>
        <w:t xml:space="preserve"> </w:t>
      </w:r>
    </w:p>
    <w:p w:rsidR="00044A67" w:rsidRDefault="00044A67" w:rsidP="00AD7317">
      <w:pPr>
        <w:spacing w:before="240"/>
        <w:rPr>
          <w:szCs w:val="19"/>
        </w:rPr>
      </w:pPr>
      <w:r w:rsidRPr="00AE4E90">
        <w:rPr>
          <w:szCs w:val="19"/>
        </w:rPr>
        <w:t xml:space="preserve">Wśród głównych kierunków inwestowania przedsiębiorcy prowadzący działalność gospodarczą w </w:t>
      </w:r>
      <w:r>
        <w:rPr>
          <w:szCs w:val="19"/>
        </w:rPr>
        <w:t xml:space="preserve">zakresie </w:t>
      </w:r>
      <w:r w:rsidRPr="00AE4E90">
        <w:rPr>
          <w:szCs w:val="19"/>
        </w:rPr>
        <w:t>przetwórstw</w:t>
      </w:r>
      <w:r>
        <w:rPr>
          <w:szCs w:val="19"/>
        </w:rPr>
        <w:t>a</w:t>
      </w:r>
      <w:r w:rsidRPr="00AE4E90">
        <w:rPr>
          <w:szCs w:val="19"/>
        </w:rPr>
        <w:t xml:space="preserve"> przemysłow</w:t>
      </w:r>
      <w:r>
        <w:rPr>
          <w:szCs w:val="19"/>
        </w:rPr>
        <w:t>ego</w:t>
      </w:r>
      <w:r w:rsidR="004B60C0">
        <w:rPr>
          <w:szCs w:val="19"/>
        </w:rPr>
        <w:t>,</w:t>
      </w:r>
      <w:r>
        <w:rPr>
          <w:szCs w:val="19"/>
        </w:rPr>
        <w:t xml:space="preserve"> </w:t>
      </w:r>
      <w:r w:rsidRPr="00AE4E90">
        <w:rPr>
          <w:szCs w:val="19"/>
        </w:rPr>
        <w:t>budownictw</w:t>
      </w:r>
      <w:r>
        <w:rPr>
          <w:szCs w:val="19"/>
        </w:rPr>
        <w:t>a</w:t>
      </w:r>
      <w:r w:rsidRPr="00AE4E90">
        <w:rPr>
          <w:szCs w:val="19"/>
        </w:rPr>
        <w:t xml:space="preserve"> </w:t>
      </w:r>
      <w:r w:rsidR="004B60C0">
        <w:rPr>
          <w:szCs w:val="19"/>
        </w:rPr>
        <w:t>oraz handlu</w:t>
      </w:r>
      <w:r w:rsidR="004B60C0" w:rsidRPr="00A83D5A">
        <w:rPr>
          <w:szCs w:val="19"/>
        </w:rPr>
        <w:t xml:space="preserve"> </w:t>
      </w:r>
      <w:r w:rsidR="004B60C0">
        <w:rPr>
          <w:szCs w:val="19"/>
        </w:rPr>
        <w:t>detalicznego</w:t>
      </w:r>
      <w:r w:rsidR="004B60C0" w:rsidRPr="00AE4E90">
        <w:rPr>
          <w:szCs w:val="19"/>
        </w:rPr>
        <w:t xml:space="preserve"> </w:t>
      </w:r>
      <w:r w:rsidRPr="00AE4E90">
        <w:rPr>
          <w:szCs w:val="19"/>
        </w:rPr>
        <w:t>najczęściej wymieniają nakłady na maszyny, urządzen</w:t>
      </w:r>
      <w:r>
        <w:rPr>
          <w:szCs w:val="19"/>
        </w:rPr>
        <w:t>ia techniczne i narzędzia (odpo</w:t>
      </w:r>
      <w:r w:rsidRPr="00AE4E90">
        <w:rPr>
          <w:szCs w:val="19"/>
        </w:rPr>
        <w:t xml:space="preserve">wiednio </w:t>
      </w:r>
      <w:r w:rsidR="004B60C0" w:rsidRPr="004B60C0">
        <w:rPr>
          <w:szCs w:val="19"/>
        </w:rPr>
        <w:t>71,6</w:t>
      </w:r>
      <w:r w:rsidR="004B60C0">
        <w:rPr>
          <w:szCs w:val="19"/>
        </w:rPr>
        <w:t xml:space="preserve">%, </w:t>
      </w:r>
      <w:r w:rsidR="004B60C0" w:rsidRPr="004B60C0">
        <w:rPr>
          <w:szCs w:val="19"/>
        </w:rPr>
        <w:t>43,3</w:t>
      </w:r>
      <w:r>
        <w:rPr>
          <w:szCs w:val="19"/>
        </w:rPr>
        <w:t>%</w:t>
      </w:r>
      <w:r w:rsidR="004B60C0" w:rsidRPr="004B60C0">
        <w:t xml:space="preserve"> </w:t>
      </w:r>
      <w:r w:rsidR="004B60C0">
        <w:t xml:space="preserve">i </w:t>
      </w:r>
      <w:r w:rsidR="004B60C0" w:rsidRPr="004B60C0">
        <w:rPr>
          <w:szCs w:val="19"/>
        </w:rPr>
        <w:t>41,1</w:t>
      </w:r>
      <w:r w:rsidR="004B60C0">
        <w:rPr>
          <w:szCs w:val="19"/>
        </w:rPr>
        <w:t>%</w:t>
      </w:r>
      <w:r>
        <w:rPr>
          <w:szCs w:val="19"/>
        </w:rPr>
        <w:t>).</w:t>
      </w:r>
      <w:r w:rsidRPr="00AE4E90">
        <w:rPr>
          <w:szCs w:val="19"/>
        </w:rPr>
        <w:t xml:space="preserve"> W podmiotach działających w handlu</w:t>
      </w:r>
      <w:r>
        <w:rPr>
          <w:szCs w:val="19"/>
        </w:rPr>
        <w:t xml:space="preserve"> </w:t>
      </w:r>
      <w:r w:rsidRPr="00AE4E90">
        <w:rPr>
          <w:szCs w:val="19"/>
        </w:rPr>
        <w:t>hurtowym</w:t>
      </w:r>
      <w:r>
        <w:rPr>
          <w:szCs w:val="19"/>
        </w:rPr>
        <w:t xml:space="preserve"> </w:t>
      </w:r>
      <w:r w:rsidRPr="00AE4E90">
        <w:rPr>
          <w:szCs w:val="19"/>
        </w:rPr>
        <w:t>oraz usługach najwięcej jest respondentów dekla</w:t>
      </w:r>
      <w:r>
        <w:rPr>
          <w:szCs w:val="19"/>
        </w:rPr>
        <w:t>rujących brak planów inwestycyj</w:t>
      </w:r>
      <w:r w:rsidRPr="00AE4E90">
        <w:rPr>
          <w:szCs w:val="19"/>
        </w:rPr>
        <w:t>nych</w:t>
      </w:r>
      <w:r>
        <w:rPr>
          <w:szCs w:val="19"/>
        </w:rPr>
        <w:t xml:space="preserve"> (odpowiednio </w:t>
      </w:r>
      <w:r w:rsidR="004B60C0" w:rsidRPr="004B60C0">
        <w:rPr>
          <w:szCs w:val="19"/>
        </w:rPr>
        <w:t>40,5</w:t>
      </w:r>
      <w:r>
        <w:rPr>
          <w:szCs w:val="19"/>
        </w:rPr>
        <w:t xml:space="preserve">% i </w:t>
      </w:r>
      <w:r w:rsidR="004B60C0" w:rsidRPr="004B60C0">
        <w:rPr>
          <w:szCs w:val="19"/>
        </w:rPr>
        <w:t>35,8</w:t>
      </w:r>
      <w:r>
        <w:rPr>
          <w:szCs w:val="19"/>
        </w:rPr>
        <w:t>%)</w:t>
      </w:r>
      <w:r w:rsidRPr="00AE4E90">
        <w:rPr>
          <w:szCs w:val="19"/>
        </w:rPr>
        <w:t>. Ponadto przedsiębiorcy planują inwestować w</w:t>
      </w:r>
      <w:r>
        <w:rPr>
          <w:szCs w:val="19"/>
        </w:rPr>
        <w:t xml:space="preserve"> </w:t>
      </w:r>
      <w:r w:rsidR="00B42184" w:rsidRPr="00AE4E90">
        <w:rPr>
          <w:szCs w:val="19"/>
        </w:rPr>
        <w:t xml:space="preserve">środki transportu (m.in. </w:t>
      </w:r>
      <w:r w:rsidR="00B42184" w:rsidRPr="00B42184">
        <w:rPr>
          <w:szCs w:val="19"/>
        </w:rPr>
        <w:t>33,3</w:t>
      </w:r>
      <w:r w:rsidR="00B42184" w:rsidRPr="00AE4E90">
        <w:rPr>
          <w:szCs w:val="19"/>
        </w:rPr>
        <w:t xml:space="preserve">% podmiotów </w:t>
      </w:r>
      <w:r w:rsidR="00B42184">
        <w:rPr>
          <w:szCs w:val="19"/>
        </w:rPr>
        <w:t>budowlanych</w:t>
      </w:r>
      <w:r w:rsidR="00B42184" w:rsidRPr="00AE4E90">
        <w:rPr>
          <w:szCs w:val="19"/>
        </w:rPr>
        <w:t>),</w:t>
      </w:r>
      <w:r w:rsidR="00B42184">
        <w:rPr>
          <w:szCs w:val="19"/>
        </w:rPr>
        <w:t xml:space="preserve"> </w:t>
      </w:r>
      <w:r w:rsidRPr="00AE4E90">
        <w:rPr>
          <w:szCs w:val="19"/>
        </w:rPr>
        <w:t>grunty, budynki i budowle (</w:t>
      </w:r>
      <w:r w:rsidR="00B42184" w:rsidRPr="00B42184">
        <w:rPr>
          <w:szCs w:val="19"/>
        </w:rPr>
        <w:t>29,5</w:t>
      </w:r>
      <w:r w:rsidRPr="00AE4E90">
        <w:rPr>
          <w:szCs w:val="19"/>
        </w:rPr>
        <w:t xml:space="preserve">% przedsiębiorstw handlu </w:t>
      </w:r>
      <w:r>
        <w:rPr>
          <w:szCs w:val="19"/>
        </w:rPr>
        <w:t>detaliczne</w:t>
      </w:r>
      <w:r w:rsidRPr="00AE4E90">
        <w:rPr>
          <w:szCs w:val="19"/>
        </w:rPr>
        <w:t>go)</w:t>
      </w:r>
      <w:r>
        <w:rPr>
          <w:szCs w:val="19"/>
        </w:rPr>
        <w:t>,</w:t>
      </w:r>
      <w:r w:rsidRPr="00AE4E90">
        <w:rPr>
          <w:szCs w:val="19"/>
        </w:rPr>
        <w:t xml:space="preserve"> sprzęt komputerowy i telekomunikacyjny</w:t>
      </w:r>
      <w:r>
        <w:rPr>
          <w:szCs w:val="19"/>
        </w:rPr>
        <w:t xml:space="preserve"> oraz</w:t>
      </w:r>
      <w:r w:rsidRPr="00AE4E90">
        <w:rPr>
          <w:szCs w:val="19"/>
        </w:rPr>
        <w:t xml:space="preserve"> szkolenie pracowników</w:t>
      </w:r>
      <w:r>
        <w:rPr>
          <w:szCs w:val="19"/>
        </w:rPr>
        <w:t xml:space="preserve"> (odpowiednio</w:t>
      </w:r>
      <w:r w:rsidRPr="00AE4E90">
        <w:rPr>
          <w:szCs w:val="19"/>
        </w:rPr>
        <w:t xml:space="preserve"> </w:t>
      </w:r>
      <w:r w:rsidR="00B42184" w:rsidRPr="00B42184">
        <w:rPr>
          <w:szCs w:val="19"/>
        </w:rPr>
        <w:t>23,4</w:t>
      </w:r>
      <w:r>
        <w:rPr>
          <w:szCs w:val="19"/>
        </w:rPr>
        <w:t>% i 18,</w:t>
      </w:r>
      <w:r w:rsidR="00B42184">
        <w:rPr>
          <w:szCs w:val="19"/>
        </w:rPr>
        <w:t>7</w:t>
      </w:r>
      <w:r>
        <w:rPr>
          <w:szCs w:val="19"/>
        </w:rPr>
        <w:t>% firm usługowych</w:t>
      </w:r>
      <w:r w:rsidR="00B42184">
        <w:rPr>
          <w:szCs w:val="19"/>
        </w:rPr>
        <w:t xml:space="preserve"> oraz 23,1% i 17,5% podmiotów handlu detalicznego</w:t>
      </w:r>
      <w:r>
        <w:rPr>
          <w:szCs w:val="19"/>
        </w:rPr>
        <w:t xml:space="preserve">), </w:t>
      </w:r>
      <w:r w:rsidRPr="00AE4E90">
        <w:rPr>
          <w:szCs w:val="19"/>
        </w:rPr>
        <w:t xml:space="preserve">a </w:t>
      </w:r>
      <w:r w:rsidR="00B42184">
        <w:rPr>
          <w:szCs w:val="19"/>
        </w:rPr>
        <w:t>ponadto w</w:t>
      </w:r>
      <w:r>
        <w:rPr>
          <w:szCs w:val="19"/>
        </w:rPr>
        <w:t xml:space="preserve"> </w:t>
      </w:r>
      <w:r w:rsidRPr="00AE4E90">
        <w:rPr>
          <w:szCs w:val="19"/>
        </w:rPr>
        <w:t>procesy organizacyjne/biznesowe (</w:t>
      </w:r>
      <w:r w:rsidR="00B42184" w:rsidRPr="00B42184">
        <w:rPr>
          <w:szCs w:val="19"/>
        </w:rPr>
        <w:t>18,8</w:t>
      </w:r>
      <w:r w:rsidRPr="00AE4E90">
        <w:rPr>
          <w:szCs w:val="19"/>
        </w:rPr>
        <w:t xml:space="preserve">% </w:t>
      </w:r>
      <w:r w:rsidR="00B42184">
        <w:rPr>
          <w:szCs w:val="19"/>
        </w:rPr>
        <w:t>jednostek usługowych</w:t>
      </w:r>
      <w:r>
        <w:rPr>
          <w:szCs w:val="19"/>
        </w:rPr>
        <w:t>)</w:t>
      </w:r>
      <w:r w:rsidRPr="00AE4E90">
        <w:rPr>
          <w:szCs w:val="19"/>
        </w:rPr>
        <w:t>.</w:t>
      </w:r>
    </w:p>
    <w:p w:rsidR="00044A67" w:rsidRPr="00084EB0" w:rsidRDefault="00AD7317" w:rsidP="002E43BE">
      <w:pPr>
        <w:pStyle w:val="pytkoniunkt"/>
      </w:pPr>
      <w:r w:rsidRPr="006C2FF8">
        <w:rPr>
          <w:noProof/>
          <w:lang w:eastAsia="pl-PL"/>
        </w:rPr>
        <w:drawing>
          <wp:anchor distT="0" distB="0" distL="114300" distR="114300" simplePos="0" relativeHeight="252969472" behindDoc="0" locked="0" layoutInCell="1" allowOverlap="1">
            <wp:simplePos x="0" y="0"/>
            <wp:positionH relativeFrom="margin">
              <wp:posOffset>656126</wp:posOffset>
            </wp:positionH>
            <wp:positionV relativeFrom="paragraph">
              <wp:posOffset>477418</wp:posOffset>
            </wp:positionV>
            <wp:extent cx="5400000" cy="3300563"/>
            <wp:effectExtent l="0" t="0" r="0" b="0"/>
            <wp:wrapTopAndBottom/>
            <wp:docPr id="6" name="Obraz 6" descr="Na wykresie kolumnowym zaprezentowano odsetek odpowiedzi (bariery ograniczające skalę inwestycji) dla sekcji PKD – na osi poziomej. Oś pionowa w zakresie od 0 do 7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0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Pyt. 3</w:t>
      </w:r>
      <w:r w:rsidR="00044A67" w:rsidRPr="00084EB0">
        <w:t xml:space="preserve">. </w:t>
      </w:r>
      <w:r w:rsidR="00044A67" w:rsidRPr="004565DC">
        <w:t>Które z poniższych barier w największym stopniu wpływają na skalę inwestycji Państwa firmy w bieżącym roku</w:t>
      </w:r>
      <w:r w:rsidR="00044A67">
        <w:t>?</w:t>
      </w:r>
      <w:r w:rsidR="00044A67" w:rsidRPr="007C26CB">
        <w:rPr>
          <w:i w:val="0"/>
        </w:rPr>
        <w:t xml:space="preserve"> </w:t>
      </w:r>
    </w:p>
    <w:p w:rsidR="00044A67" w:rsidRDefault="00044A67" w:rsidP="00044A67">
      <w:pPr>
        <w:spacing w:before="0" w:after="160" w:line="259" w:lineRule="auto"/>
      </w:pPr>
      <w:r>
        <w:br w:type="page"/>
      </w:r>
    </w:p>
    <w:p w:rsidR="00044A67" w:rsidRDefault="00044A67" w:rsidP="00044A67">
      <w:pPr>
        <w:spacing w:before="360"/>
      </w:pPr>
      <w:r w:rsidRPr="00884695">
        <w:lastRenderedPageBreak/>
        <w:t xml:space="preserve">Przedsiębiorcy objęci badaniem uznali, że na ograniczenie skali inwestycji ich firm w 2024 r. największy wpływ mają wysokie koszty realizacji nakładów. Dotyczy to przede wszystkim </w:t>
      </w:r>
      <w:r w:rsidR="00FB379F" w:rsidRPr="00FB379F">
        <w:t>65,9</w:t>
      </w:r>
      <w:r w:rsidRPr="00884695">
        <w:t>% jednostek</w:t>
      </w:r>
      <w:r>
        <w:t xml:space="preserve"> handlu detalicznego, </w:t>
      </w:r>
      <w:r w:rsidR="00FB379F" w:rsidRPr="00FB379F">
        <w:t>57,7</w:t>
      </w:r>
      <w:r>
        <w:t>% pod</w:t>
      </w:r>
      <w:r w:rsidRPr="00884695">
        <w:t xml:space="preserve">miotów przetwórstwa przemysłowego i </w:t>
      </w:r>
      <w:r w:rsidR="00FB379F" w:rsidRPr="00FB379F">
        <w:t>49,6</w:t>
      </w:r>
      <w:r w:rsidRPr="00884695">
        <w:t xml:space="preserve">% firm </w:t>
      </w:r>
      <w:r w:rsidR="00FB379F">
        <w:t>budowlanych</w:t>
      </w:r>
      <w:r w:rsidRPr="00884695">
        <w:t xml:space="preserve">. </w:t>
      </w:r>
      <w:r w:rsidR="00FB379F">
        <w:t>P</w:t>
      </w:r>
      <w:r w:rsidRPr="00884695">
        <w:t>rze</w:t>
      </w:r>
      <w:r>
        <w:t xml:space="preserve">dsiębiorcy wskazywali </w:t>
      </w:r>
      <w:r w:rsidR="00FB379F">
        <w:t xml:space="preserve">również </w:t>
      </w:r>
      <w:r>
        <w:t>na niepew</w:t>
      </w:r>
      <w:r w:rsidRPr="00884695">
        <w:t xml:space="preserve">ną sytuację makroekonomiczną (najczęściej w </w:t>
      </w:r>
      <w:r w:rsidR="00FB379F">
        <w:t>handlu detalicznym</w:t>
      </w:r>
      <w:r w:rsidRPr="00884695">
        <w:t xml:space="preserve"> –</w:t>
      </w:r>
      <w:r w:rsidRPr="006044AD">
        <w:t xml:space="preserve"> </w:t>
      </w:r>
      <w:r w:rsidR="00FB379F" w:rsidRPr="00FB379F">
        <w:t>36,7</w:t>
      </w:r>
      <w:r w:rsidRPr="00884695">
        <w:t>%), wysoką inflację</w:t>
      </w:r>
      <w:r>
        <w:t xml:space="preserve"> </w:t>
      </w:r>
      <w:r w:rsidR="00FB379F">
        <w:t xml:space="preserve">(w handlu hurtowym – </w:t>
      </w:r>
      <w:r w:rsidR="00FB379F" w:rsidRPr="00FB379F">
        <w:t>31,4</w:t>
      </w:r>
      <w:r w:rsidR="00FB379F">
        <w:t>%), niespójne i </w:t>
      </w:r>
      <w:r w:rsidR="00FB379F" w:rsidRPr="00884695">
        <w:t>niestabilne przepisy prawn</w:t>
      </w:r>
      <w:r w:rsidR="002E43BE">
        <w:t>e</w:t>
      </w:r>
      <w:r w:rsidR="00FB379F" w:rsidRPr="00884695">
        <w:t xml:space="preserve"> (w</w:t>
      </w:r>
      <w:r w:rsidR="00FB379F">
        <w:t xml:space="preserve"> handlu detalicznym</w:t>
      </w:r>
      <w:r w:rsidR="00FB379F" w:rsidRPr="00884695">
        <w:t xml:space="preserve"> –</w:t>
      </w:r>
      <w:r w:rsidR="00FB379F">
        <w:t xml:space="preserve"> </w:t>
      </w:r>
      <w:r w:rsidR="00FB379F" w:rsidRPr="00FB379F">
        <w:t>26,1</w:t>
      </w:r>
      <w:r w:rsidR="00FB379F">
        <w:t>%</w:t>
      </w:r>
      <w:r w:rsidR="00FB379F" w:rsidRPr="00884695">
        <w:t>)</w:t>
      </w:r>
      <w:r w:rsidR="00FB379F">
        <w:t xml:space="preserve"> </w:t>
      </w:r>
      <w:r>
        <w:t>oraz</w:t>
      </w:r>
      <w:r w:rsidRPr="006044AD">
        <w:t xml:space="preserve"> </w:t>
      </w:r>
      <w:r>
        <w:t>niedostateczny popyt na produk</w:t>
      </w:r>
      <w:r w:rsidRPr="00884695">
        <w:t xml:space="preserve">ty/usługi oferowane przez firmę (w przetwórstwie przemysłowym – </w:t>
      </w:r>
      <w:r w:rsidR="00FB379F" w:rsidRPr="00FB379F">
        <w:t>24,5</w:t>
      </w:r>
      <w:r w:rsidRPr="00884695">
        <w:t>%)</w:t>
      </w:r>
      <w:r w:rsidR="00FB379F">
        <w:t>.</w:t>
      </w:r>
      <w:r>
        <w:t xml:space="preserve"> Brak barier najczęściej </w:t>
      </w:r>
      <w:r w:rsidR="00FB379F">
        <w:t>zgłaszali</w:t>
      </w:r>
      <w:r>
        <w:t xml:space="preserve"> przedsiębiorcy </w:t>
      </w:r>
      <w:r w:rsidR="00D764C1">
        <w:t xml:space="preserve">z obszaru </w:t>
      </w:r>
      <w:r w:rsidR="00FB379F">
        <w:t xml:space="preserve">usług </w:t>
      </w:r>
      <w:r w:rsidR="00D764C1">
        <w:t>i </w:t>
      </w:r>
      <w:r>
        <w:t xml:space="preserve">handlu hurtowego (odpowiednio </w:t>
      </w:r>
      <w:r w:rsidR="00FB379F" w:rsidRPr="00FB379F">
        <w:t>23,6</w:t>
      </w:r>
      <w:r>
        <w:t xml:space="preserve">% i </w:t>
      </w:r>
      <w:r w:rsidR="00FB379F" w:rsidRPr="00FB379F">
        <w:t>22,3</w:t>
      </w:r>
      <w:r>
        <w:t xml:space="preserve">%). </w:t>
      </w:r>
    </w:p>
    <w:p w:rsidR="00044A67" w:rsidRDefault="00D76C27" w:rsidP="00044A67">
      <w:pPr>
        <w:pStyle w:val="pytkoniunkt"/>
        <w:rPr>
          <w:rFonts w:cs="FiraSans-Bold"/>
          <w:bCs/>
        </w:rPr>
      </w:pPr>
      <w:r w:rsidRPr="00D76C27">
        <w:rPr>
          <w:noProof/>
          <w:lang w:eastAsia="pl-PL"/>
        </w:rPr>
        <w:drawing>
          <wp:anchor distT="0" distB="0" distL="114300" distR="114300" simplePos="0" relativeHeight="252966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581025</wp:posOffset>
            </wp:positionV>
            <wp:extent cx="5505450" cy="2038350"/>
            <wp:effectExtent l="0" t="0" r="0" b="0"/>
            <wp:wrapTopAndBottom/>
            <wp:docPr id="32" name="Obraz 32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4A67">
        <w:rPr>
          <w:rFonts w:cs="FiraSans-Bold"/>
          <w:bCs/>
        </w:rPr>
        <w:t>Pyt. 4</w:t>
      </w:r>
      <w:r w:rsidR="00044A67" w:rsidRPr="004B6EC7">
        <w:rPr>
          <w:rFonts w:cs="FiraSans-Bold"/>
          <w:bCs/>
        </w:rPr>
        <w:t xml:space="preserve">. </w:t>
      </w:r>
      <w:r w:rsidR="00044A67" w:rsidRPr="004565DC">
        <w:rPr>
          <w:rFonts w:cs="FiraSans-Bold"/>
          <w:bCs/>
        </w:rPr>
        <w:t xml:space="preserve">Jak bieżące zmiany sytuacji Państwa firmy oraz otoczenia rynkowego wpływają na skłonność do podejmowania </w:t>
      </w:r>
      <w:r w:rsidR="00044A67">
        <w:rPr>
          <w:rFonts w:cs="FiraSans-Bold"/>
          <w:bCs/>
        </w:rPr>
        <w:br/>
        <w:t>inwestycji?</w:t>
      </w:r>
      <w:r w:rsidR="00044A67" w:rsidRPr="007C26CB">
        <w:rPr>
          <w:rFonts w:cs="FiraSans-Bold"/>
          <w:bCs/>
          <w:i w:val="0"/>
        </w:rPr>
        <w:t xml:space="preserve"> </w:t>
      </w:r>
    </w:p>
    <w:p w:rsidR="00044A67" w:rsidRDefault="00044A67" w:rsidP="00044A67">
      <w:pPr>
        <w:pStyle w:val="tekst"/>
        <w:spacing w:before="360"/>
      </w:pPr>
      <w:r w:rsidRPr="00AE2F9D">
        <w:t xml:space="preserve">Zdaniem większości przedsiębiorców bieżące zmiany sytuacji ich firmy oraz jej otoczenia rynkowego nie wpływają na podejmowanie przez nich decyzji inwestycyjnych. Na neutralny wpływ na ich decyzję wskazało m.in. </w:t>
      </w:r>
      <w:r w:rsidR="00B10A78" w:rsidRPr="00B10A78">
        <w:t>81,7</w:t>
      </w:r>
      <w:r w:rsidR="00B10A78" w:rsidRPr="00AE2F9D">
        <w:t>% firm handlu detalicznego</w:t>
      </w:r>
      <w:r w:rsidR="00B10A78">
        <w:t xml:space="preserve">, </w:t>
      </w:r>
      <w:r w:rsidR="00B10A78" w:rsidRPr="00B10A78">
        <w:t>71,6</w:t>
      </w:r>
      <w:r w:rsidR="00B10A78">
        <w:t>% podmiotów budowlanych</w:t>
      </w:r>
      <w:r w:rsidR="00B10A78" w:rsidRPr="005677C6">
        <w:t xml:space="preserve"> </w:t>
      </w:r>
      <w:r w:rsidR="00B10A78" w:rsidRPr="00AE2F9D">
        <w:t>oraz</w:t>
      </w:r>
      <w:r w:rsidR="00B10A78">
        <w:t xml:space="preserve"> 66,6</w:t>
      </w:r>
      <w:r w:rsidRPr="00AE2F9D">
        <w:t xml:space="preserve">% </w:t>
      </w:r>
      <w:r>
        <w:t>jednostek</w:t>
      </w:r>
      <w:r w:rsidRPr="00AE2F9D">
        <w:t xml:space="preserve"> usługowych</w:t>
      </w:r>
      <w:r w:rsidR="00B10A78">
        <w:t>.</w:t>
      </w:r>
      <w:r>
        <w:t xml:space="preserve"> </w:t>
      </w:r>
      <w:r w:rsidRPr="00AE2F9D">
        <w:t>Negatywny wpływ na skłonność d</w:t>
      </w:r>
      <w:r>
        <w:t>o podejmowania inwestycji sygna</w:t>
      </w:r>
      <w:r w:rsidRPr="00AE2F9D">
        <w:t>lizowali m.in. przedsiębiorcy prowadzący działalność w handlu hurtowym (</w:t>
      </w:r>
      <w:r w:rsidR="00B10A78" w:rsidRPr="00B10A78">
        <w:t>33,9</w:t>
      </w:r>
      <w:r w:rsidRPr="00AE2F9D">
        <w:t>%)</w:t>
      </w:r>
      <w:r w:rsidRPr="005677C6">
        <w:t xml:space="preserve"> </w:t>
      </w:r>
      <w:r w:rsidRPr="00AE2F9D">
        <w:t>oraz</w:t>
      </w:r>
      <w:r>
        <w:t xml:space="preserve"> </w:t>
      </w:r>
      <w:r w:rsidRPr="00AE2F9D">
        <w:t>przetwórstw</w:t>
      </w:r>
      <w:r>
        <w:t>ie</w:t>
      </w:r>
      <w:r w:rsidRPr="00AE2F9D">
        <w:t xml:space="preserve"> przemysłow</w:t>
      </w:r>
      <w:r>
        <w:t>ym</w:t>
      </w:r>
      <w:r w:rsidRPr="00AE2F9D">
        <w:t xml:space="preserve"> (</w:t>
      </w:r>
      <w:r w:rsidR="00B10A78">
        <w:t>31,5</w:t>
      </w:r>
      <w:r w:rsidRPr="00AE2F9D">
        <w:t>%).</w:t>
      </w:r>
    </w:p>
    <w:p w:rsidR="0061428C" w:rsidRPr="00541BBC" w:rsidRDefault="0061428C" w:rsidP="00A40B03">
      <w:pPr>
        <w:pStyle w:val="tekst"/>
        <w:spacing w:before="400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</w:t>
      </w:r>
      <w:r w:rsidR="00817950" w:rsidRPr="00782B6E">
        <w:rPr>
          <w:szCs w:val="19"/>
        </w:rPr>
        <w:t xml:space="preserve">badań koniunktury gospodarczej </w:t>
      </w:r>
      <w:r w:rsidR="00817950" w:rsidRPr="00782B6E">
        <w:rPr>
          <w:bCs/>
          <w:szCs w:val="19"/>
        </w:rPr>
        <w:t xml:space="preserve">można znaleźć na stronie Urzędu Statystycznego w Zielonej Górze </w:t>
      </w:r>
      <w:r w:rsidR="00817950"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:rsidR="0061428C" w:rsidRPr="005776B2" w:rsidRDefault="0061428C" w:rsidP="000D24D2">
      <w:pPr>
        <w:spacing w:before="6000"/>
        <w:sectPr w:rsidR="0061428C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4 i 2023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6" w:name="_Toc120085901"/>
            <w:bookmarkStart w:id="47" w:name="OLE_LINK3"/>
            <w:r w:rsidRPr="00FD2525">
              <w:lastRenderedPageBreak/>
              <w:t>WYBRANE DANE O WOJEWÓDZTWIE WIELKOPOLSKIM</w:t>
            </w:r>
            <w:bookmarkEnd w:id="46"/>
          </w:p>
        </w:tc>
      </w:tr>
      <w:tr w:rsidR="00085097" w:rsidRPr="00E87892" w:rsidTr="00331A38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331A38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</w:tr>
      <w:tr w:rsidR="005E1DD3" w:rsidRPr="00E87892" w:rsidTr="00331A38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D86F1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>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44A8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856,7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854,7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46,5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45,6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>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</w:tr>
      <w:tr w:rsidR="002E43BE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E43BE" w:rsidRPr="00BD4423" w:rsidRDefault="002E43BE" w:rsidP="002E43BE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Pr="00754D58" w:rsidRDefault="002E43BE" w:rsidP="002E43B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E43BE" w:rsidRDefault="009D3633" w:rsidP="009D3633">
            <w:pPr>
              <w:pStyle w:val="TableText"/>
            </w:pPr>
            <w:r>
              <w:t>2,9</w:t>
            </w:r>
            <w:bookmarkStart w:id="48" w:name="_GoBack"/>
            <w:bookmarkEnd w:id="48"/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3799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E55C52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6805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4F4B43">
              <w:t>5071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5559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5200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1638DC" w:rsidP="005C1175">
            <w:pPr>
              <w:pStyle w:val="TableText"/>
            </w:pPr>
            <w:r w:rsidRPr="001638DC">
              <w:t>5156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17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1638DC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>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6981,25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7301,98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7369,48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7361,83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7359,12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7468,37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101,4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F73F3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110,6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F73F3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>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106,2</w:t>
            </w: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510FC4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3B658D" w:rsidP="00161E7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</w:tr>
      <w:tr w:rsidR="005C1175" w:rsidRPr="00E87892" w:rsidTr="00331A3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510FC4" w:rsidRDefault="005C1175" w:rsidP="005C1175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  <w:r w:rsidRPr="00161E7F"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98,5</w:t>
            </w: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113,7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bookmarkStart w:id="49" w:name="OLE_LINK2"/>
            <w:r w:rsidRPr="00391E1B">
              <w:t>88,6</w:t>
            </w:r>
            <w:bookmarkEnd w:id="49"/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 w:rsidRPr="00BB5B31"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  <w:r w:rsidRPr="00161E7F"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58,4</w:t>
            </w: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 w:rsidRPr="00BB5B31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  <w:r w:rsidRPr="00161E7F"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100,0</w:t>
            </w: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 w:rsidRPr="00BB5B31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  <w:r w:rsidRPr="00161E7F"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91,0</w:t>
            </w: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 w:rsidRPr="00BB5B31"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510FC4" w:rsidRDefault="00161E7F" w:rsidP="00161E7F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BC7DB3" w:rsidRDefault="00161E7F" w:rsidP="00161E7F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  <w:r w:rsidRPr="00161E7F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95,2</w:t>
            </w: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BC7DB3" w:rsidRDefault="00161E7F" w:rsidP="00161E7F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 w:rsidRPr="00BB5B31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</w:p>
        </w:tc>
      </w:tr>
      <w:tr w:rsidR="00161E7F" w:rsidRPr="00E87892" w:rsidTr="00D7441C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Pr="00BC7DB3" w:rsidRDefault="00161E7F" w:rsidP="00161E7F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161E7F" w:rsidRPr="00161E7F" w:rsidRDefault="00161E7F" w:rsidP="00161E7F">
            <w:pPr>
              <w:pStyle w:val="TableText"/>
            </w:pPr>
            <w:r w:rsidRPr="00161E7F"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61E7F" w:rsidRPr="00161E7F" w:rsidRDefault="00161E7F" w:rsidP="00161E7F">
            <w:pPr>
              <w:pStyle w:val="TableText"/>
            </w:pPr>
            <w:r w:rsidRPr="00161E7F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61E7F" w:rsidRDefault="00161E7F" w:rsidP="00161E7F">
            <w:pPr>
              <w:pStyle w:val="TableText"/>
            </w:pPr>
            <w:r>
              <w:t>94,0</w:t>
            </w:r>
          </w:p>
        </w:tc>
      </w:tr>
      <w:tr w:rsidR="00161E7F" w:rsidRPr="00E87892" w:rsidTr="00D7441C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54D58" w:rsidRDefault="00161E7F" w:rsidP="00161E7F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 w:rsidRPr="007A0CD8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>
              <w:t>81,4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391E1B" w:rsidRDefault="00161E7F" w:rsidP="00161E7F">
            <w:pPr>
              <w:pStyle w:val="TableText"/>
            </w:pPr>
            <w:r w:rsidRPr="00391E1B">
              <w:t>78,9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>
              <w:t>83,6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  <w:r w:rsidRPr="00BB5B31">
              <w:t>85,4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161E7F" w:rsidRDefault="00161E7F" w:rsidP="00161E7F">
            <w:pPr>
              <w:pStyle w:val="TableText"/>
            </w:pPr>
            <w:r w:rsidRPr="00514BCA">
              <w:t>85,0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161E7F" w:rsidRPr="007A0CD8" w:rsidRDefault="00161E7F" w:rsidP="00161E7F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331A38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295342" w:rsidRDefault="005C1175" w:rsidP="005C1175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>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Pr="00161E7F" w:rsidRDefault="005C1175" w:rsidP="00161E7F">
            <w:pPr>
              <w:pStyle w:val="TableText"/>
            </w:pPr>
            <w:r w:rsidRPr="00161E7F"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161E7F" w:rsidRDefault="005C1175" w:rsidP="00161E7F">
            <w:pPr>
              <w:pStyle w:val="TableText"/>
            </w:pPr>
            <w:r w:rsidRPr="00161E7F"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8,2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295342" w:rsidRDefault="005C1175" w:rsidP="005C1175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Pr="00161E7F" w:rsidRDefault="00161E7F" w:rsidP="00161E7F">
            <w:pPr>
              <w:pStyle w:val="TableText"/>
            </w:pPr>
            <w:r>
              <w:t>7</w:t>
            </w:r>
            <w:r w:rsidR="009868C1" w:rsidRPr="00161E7F">
              <w:t>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161E7F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295342" w:rsidRDefault="005C1175" w:rsidP="005C1175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>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5C1175" w:rsidP="005C1175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85,0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 w:rsidRPr="00ED6888">
              <w:t>105,</w:t>
            </w: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92,7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 w:rsidRPr="00A900E9">
              <w:t>9</w:t>
            </w:r>
            <w:r>
              <w:t>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4F5F17" w:rsidP="004F5F17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4F5F17" w:rsidP="004F5F17">
            <w:pPr>
              <w:pStyle w:val="tablegwiazd"/>
            </w:pPr>
            <w:r w:rsidRPr="004F5F17">
              <w:t>108,2</w:t>
            </w:r>
            <w:r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Pr="00ED6888" w:rsidRDefault="005C1175" w:rsidP="005C1175">
            <w:pPr>
              <w:pStyle w:val="TableText"/>
            </w:pPr>
            <w:r w:rsidRPr="00CF73F3">
              <w:t>110,1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95,4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5C1175" w:rsidP="005C1175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89,9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9</w:t>
            </w:r>
            <w:r>
              <w:t>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4F5F17" w:rsidP="004F5F1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4F5F17" w:rsidP="004F5F17">
            <w:pPr>
              <w:pStyle w:val="tablegwiazd"/>
            </w:pPr>
            <w:r w:rsidRPr="004F5F17">
              <w:t>104,6</w:t>
            </w:r>
            <w:r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F73F3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>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138,2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98,8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102,1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2159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3857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6007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8740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10463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12753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14074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15658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17285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5C1175" w:rsidP="005C1175">
            <w:pPr>
              <w:pStyle w:val="TableText"/>
            </w:pPr>
            <w:r>
              <w:t>18943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20914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22573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1405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2627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4121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6040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7105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8324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10146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Pr="00F93E77" w:rsidRDefault="005C1175" w:rsidP="005C1175">
            <w:pPr>
              <w:pStyle w:val="TableText"/>
            </w:pPr>
            <w:r w:rsidRPr="00B97DFA">
              <w:t>16209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F93E77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F93E77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85,9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104,5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87,9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F55C8A" w:rsidRDefault="005C1175" w:rsidP="005C117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F55C8A" w:rsidRDefault="005C1175" w:rsidP="005C117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816992" w:rsidRDefault="005C1175" w:rsidP="005C1175">
            <w:pPr>
              <w:pStyle w:val="TableText"/>
            </w:pPr>
            <w:r w:rsidRPr="00816992">
              <w:t>65,1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816992" w:rsidRDefault="005C1175" w:rsidP="005C1175">
            <w:pPr>
              <w:pStyle w:val="TableText"/>
            </w:pPr>
            <w:r w:rsidRPr="00816992">
              <w:t>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816992" w:rsidRDefault="005C1175" w:rsidP="005C1175">
            <w:pPr>
              <w:pStyle w:val="TableText"/>
            </w:pPr>
            <w:r w:rsidRPr="00816992">
              <w:t>68,6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69,1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65,3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72,1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B97DFA"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F55C8A" w:rsidRDefault="005C1175" w:rsidP="005C1175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>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F55C8A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F55C8A" w:rsidRDefault="005C1175" w:rsidP="005C1175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F55C8A" w:rsidRDefault="005C1175" w:rsidP="005C117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114,4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F55C8A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F55C8A" w:rsidRDefault="005C1175" w:rsidP="005C117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71D72"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103,2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71D72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boczek"/>
              <w:rPr>
                <w:color w:val="000000"/>
              </w:rPr>
            </w:pPr>
            <w:r w:rsidRPr="00754D58">
              <w:t>Wskaźnik rentowności obrotu w przedsiębiorstwach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>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7,2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5,9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>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B469C4">
              <w:t>21708</w:t>
            </w:r>
            <w:r>
              <w:t>,</w:t>
            </w:r>
            <w:r w:rsidRPr="00B469C4">
              <w:t>6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64410">
              <w:t>8894,8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6B5B63">
              <w:t>13444,0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1638DC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6B5B63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1638DC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>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504316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511742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512919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33091B">
              <w:t>515802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517322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63884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096043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250E7E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F42852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7D2A0E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276ABF">
              <w:t>65404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9E61E2">
              <w:t>65626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544A87">
              <w:t>65921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33091B">
              <w:t>66110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66363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331A38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6143</w:t>
            </w:r>
          </w:p>
        </w:tc>
      </w:tr>
      <w:tr w:rsidR="005C1175" w:rsidRPr="00E87892" w:rsidTr="00331A3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Pr="003668E7" w:rsidRDefault="005C1175" w:rsidP="005C1175">
            <w:pPr>
              <w:pStyle w:val="TableText"/>
            </w:pPr>
            <w:r w:rsidRPr="003668E7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250E7E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F42852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7D2A0E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276ABF">
              <w:t>6183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9E61E2">
              <w:t>6183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5C1175" w:rsidP="005C1175">
            <w:pPr>
              <w:pStyle w:val="TableText"/>
            </w:pPr>
            <w:r w:rsidRPr="00C3705D">
              <w:t>6210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7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Pr="005C1175" w:rsidRDefault="005364D5" w:rsidP="005364D5">
      <w:pPr>
        <w:pStyle w:val="tekst"/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44C" w:rsidRPr="00D20766" w:rsidRDefault="009A544C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A544C" w:rsidRPr="00FC5F8D" w:rsidRDefault="000634E8" w:rsidP="00A9395A">
                            <w:pPr>
                              <w:rPr>
                                <w:rStyle w:val="Hipercze"/>
                                <w:rFonts w:cs="Arial"/>
                                <w:color w:val="1F3864" w:themeColor="accent5" w:themeShade="80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– październik 2024" w:history="1">
                              <w:r w:rsidR="009A544C" w:rsidRPr="00FC5F8D">
                                <w:rPr>
                                  <w:rStyle w:val="Hipercze"/>
                                  <w:color w:val="1F3864" w:themeColor="accent5" w:themeShade="80"/>
                                  <w:szCs w:val="19"/>
                                </w:rPr>
                                <w:t xml:space="preserve">Sytuacja społeczno-gospodarcza kraju </w:t>
                              </w:r>
                              <w:r w:rsidR="009A544C">
                                <w:rPr>
                                  <w:rStyle w:val="Hipercze"/>
                                  <w:color w:val="1F3864" w:themeColor="accent5" w:themeShade="80"/>
                                  <w:szCs w:val="19"/>
                                </w:rPr>
                                <w:t>w październiku</w:t>
                              </w:r>
                              <w:r w:rsidR="009A544C" w:rsidRPr="00FC5F8D">
                                <w:rPr>
                                  <w:rStyle w:val="Hipercze"/>
                                  <w:color w:val="1F3864" w:themeColor="accent5" w:themeShade="80"/>
                                  <w:szCs w:val="19"/>
                                </w:rPr>
                                <w:t xml:space="preserve"> 2024 r.</w:t>
                              </w:r>
                            </w:hyperlink>
                          </w:p>
                          <w:p w:rsidR="009A544C" w:rsidRPr="00FC5F8D" w:rsidRDefault="009A544C" w:rsidP="00A9395A">
                            <w:pPr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</w:pP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instrText>HYPERLINK "https://stat.gov.pl/obszary-tematyczne/inne-opracowania/informacje-o-sytuacji-spoleczno-gospodarczej/biuletyn-statystyczny-nr-102024,4,155.html" \o "link do biuletynu GUS październik 2024"</w:instrText>
                            </w: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fldChar w:fldCharType="separate"/>
                            </w: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t>Biuletyn Statystyczny</w:t>
                            </w:r>
                            <w:r w:rsidRPr="00FC5F8D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  <w:szCs w:val="19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  <w:szCs w:val="19"/>
                              </w:rPr>
                              <w:t>10</w:t>
                            </w:r>
                            <w:r w:rsidRPr="00FC5F8D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  <w:szCs w:val="19"/>
                              </w:rPr>
                              <w:t>/2024</w:t>
                            </w:r>
                          </w:p>
                          <w:p w:rsidR="009A544C" w:rsidRPr="00D20766" w:rsidRDefault="009A544C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A544C" w:rsidRPr="00455656" w:rsidRDefault="000634E8" w:rsidP="00A9395A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47" w:tooltip="link do bazy DBW" w:history="1">
                              <w:r w:rsidR="009A544C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9A544C" w:rsidRPr="00FD612C" w:rsidRDefault="000634E8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8" w:tooltip="link do bazy BDL" w:history="1">
                              <w:r w:rsidR="009A544C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:rsidR="009A544C" w:rsidRDefault="009A544C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A544C" w:rsidRPr="008E6C3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9A544C" w:rsidRPr="005B19C1" w:rsidRDefault="000634E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9A544C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9A544C" w:rsidRPr="005B19C1" w:rsidRDefault="000634E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9A544C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9A544C" w:rsidRPr="005B19C1" w:rsidRDefault="000634E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9A544C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9A544C" w:rsidRPr="005B19C1" w:rsidRDefault="000634E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9A544C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9A544C" w:rsidRPr="005B19C1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9A544C" w:rsidRDefault="009A544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9A544C" w:rsidRPr="00901395" w:rsidRDefault="000634E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9A544C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9A544C" w:rsidRPr="00901395" w:rsidRDefault="000634E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="009A544C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9A544C" w:rsidRPr="00D20766" w:rsidRDefault="009A544C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9A544C" w:rsidRPr="00FC5F8D" w:rsidRDefault="009A544C" w:rsidP="00A9395A">
                      <w:pPr>
                        <w:rPr>
                          <w:rStyle w:val="Hipercze"/>
                          <w:rFonts w:cs="Arial"/>
                          <w:color w:val="1F3864" w:themeColor="accent5" w:themeShade="80"/>
                          <w:szCs w:val="19"/>
                          <w:shd w:val="clear" w:color="auto" w:fill="F0F0F0"/>
                        </w:rPr>
                      </w:pPr>
                      <w:hyperlink r:id="rId58" w:tooltip="link do publikacji GUS Sytuacja społeczno-gospodarcza kraju – październik 2024" w:history="1">
                        <w:r w:rsidRPr="00FC5F8D">
                          <w:rPr>
                            <w:rStyle w:val="Hipercze"/>
                            <w:color w:val="1F3864" w:themeColor="accent5" w:themeShade="80"/>
                            <w:szCs w:val="19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1F3864" w:themeColor="accent5" w:themeShade="80"/>
                            <w:szCs w:val="19"/>
                          </w:rPr>
                          <w:t>w październiku</w:t>
                        </w:r>
                        <w:r w:rsidRPr="00FC5F8D">
                          <w:rPr>
                            <w:rStyle w:val="Hipercze"/>
                            <w:color w:val="1F3864" w:themeColor="accent5" w:themeShade="80"/>
                            <w:szCs w:val="19"/>
                          </w:rPr>
                          <w:t xml:space="preserve"> 2024 r.</w:t>
                        </w:r>
                      </w:hyperlink>
                    </w:p>
                    <w:p w:rsidR="009A544C" w:rsidRPr="00FC5F8D" w:rsidRDefault="009A544C" w:rsidP="00A9395A">
                      <w:pPr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</w:pP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instrText>HYPERLINK "https://stat.gov.pl/obszary-tematyczne/inne-opracowania/informacje-o-sytuacji-spoleczno-gospodarczej/biuletyn-statystyczny-nr-102024,4,155.html" \o "link do biuletynu GUS październik 2024"</w:instrText>
                      </w: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fldChar w:fldCharType="separate"/>
                      </w: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t>Biuletyn Statystyczny</w:t>
                      </w:r>
                      <w:r w:rsidRPr="00FC5F8D">
                        <w:rPr>
                          <w:rStyle w:val="Hipercze"/>
                          <w:rFonts w:cstheme="minorBidi"/>
                          <w:color w:val="1F3864" w:themeColor="accent5" w:themeShade="80"/>
                          <w:szCs w:val="19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1F3864" w:themeColor="accent5" w:themeShade="80"/>
                          <w:szCs w:val="19"/>
                        </w:rPr>
                        <w:t>10</w:t>
                      </w:r>
                      <w:r w:rsidRPr="00FC5F8D">
                        <w:rPr>
                          <w:rStyle w:val="Hipercze"/>
                          <w:rFonts w:cstheme="minorBidi"/>
                          <w:color w:val="1F3864" w:themeColor="accent5" w:themeShade="80"/>
                          <w:szCs w:val="19"/>
                        </w:rPr>
                        <w:t>/2024</w:t>
                      </w:r>
                    </w:p>
                    <w:p w:rsidR="009A544C" w:rsidRPr="00D20766" w:rsidRDefault="009A544C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A544C" w:rsidRPr="00455656" w:rsidRDefault="009A544C" w:rsidP="00A9395A">
                      <w:pPr>
                        <w:rPr>
                          <w:color w:val="001D77"/>
                          <w:szCs w:val="19"/>
                        </w:rPr>
                      </w:pPr>
                      <w:hyperlink r:id="rId59" w:tooltip="link do bazy DBW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9A544C" w:rsidRPr="00FD612C" w:rsidRDefault="009A544C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60" w:tooltip="link do bazy BDL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:rsidR="009A544C" w:rsidRDefault="009A544C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A544C" w:rsidRPr="008E6C3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9A544C" w:rsidRPr="005B19C1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9A544C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9A544C" w:rsidRPr="00901395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9A544C" w:rsidRPr="00901395" w:rsidRDefault="009A54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44C" w:rsidRDefault="009A544C" w:rsidP="000662E2">
      <w:pPr>
        <w:spacing w:after="0" w:line="240" w:lineRule="auto"/>
      </w:pPr>
      <w:r>
        <w:separator/>
      </w:r>
    </w:p>
  </w:endnote>
  <w:endnote w:type="continuationSeparator" w:id="0">
    <w:p w:rsidR="009A544C" w:rsidRDefault="009A54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CA37513-9140-4688-B248-276869C60B11}"/>
    <w:embedBold r:id="rId2" w:fontKey="{9A5C633C-E36D-4DA6-BAD3-B08F502346BC}"/>
    <w:embedItalic r:id="rId3" w:fontKey="{91853D1D-9304-4163-A39E-621B5E199BB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B76DACF-1F66-4BA6-BB06-1343E6222030}"/>
    <w:embedBold r:id="rId5" w:fontKey="{69DA1D7D-7E51-4009-BC54-5A521DBB4F68}"/>
    <w:embedItalic r:id="rId6" w:fontKey="{A0600288-6EE7-461B-A9F2-E7AB363BA7C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FC0AC8-43C6-495E-B2F7-7FA6141813BA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C86C881-1410-4327-A881-69A5CC669238}"/>
    <w:embedBold r:id="rId9" w:fontKey="{B4107C23-CBD9-44E1-914F-D4B0361A9A8E}"/>
    <w:embedItalic r:id="rId10" w:fontKey="{C760AC37-7BAB-4D63-90C4-3FFD8A1094D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3B1689F-A497-44BF-AF93-E36BEC6440E8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F934325-81A5-48AF-A32B-9821CA475CE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A519342-5641-4E27-8466-7B7BB94622B1}"/>
    <w:embedBoldItalic r:id="rId14" w:fontKey="{9546C793-70ED-4EE1-A41F-6DF30447DE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C881AED7-7E44-46F5-BDCC-16B6C049B37C}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2098500"/>
      <w:docPartObj>
        <w:docPartGallery w:val="Page Numbers (Bottom of Page)"/>
        <w:docPartUnique/>
      </w:docPartObj>
    </w:sdtPr>
    <w:sdtEndPr/>
    <w:sdtContent>
      <w:p w:rsidR="009A544C" w:rsidRDefault="009A54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A544C" w:rsidRDefault="009A544C" w:rsidP="003B18B6">
    <w:pPr>
      <w:pStyle w:val="Stopka"/>
      <w:jc w:val="center"/>
    </w:pPr>
  </w:p>
  <w:p w:rsidR="009A544C" w:rsidRDefault="009A544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0526556"/>
      <w:docPartObj>
        <w:docPartGallery w:val="Page Numbers (Bottom of Page)"/>
        <w:docPartUnique/>
      </w:docPartObj>
    </w:sdtPr>
    <w:sdtEndPr/>
    <w:sdtContent>
      <w:p w:rsidR="009A544C" w:rsidRDefault="009A54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4E8">
          <w:rPr>
            <w:noProof/>
          </w:rPr>
          <w:t>1</w:t>
        </w:r>
        <w:r>
          <w:fldChar w:fldCharType="end"/>
        </w:r>
      </w:p>
    </w:sdtContent>
  </w:sdt>
  <w:p w:rsidR="009A544C" w:rsidRDefault="009A544C" w:rsidP="003B18B6">
    <w:pPr>
      <w:pStyle w:val="Stopka"/>
      <w:jc w:val="center"/>
    </w:pPr>
  </w:p>
  <w:p w:rsidR="009A544C" w:rsidRDefault="009A544C" w:rsidP="00044A67">
    <w:pPr>
      <w:tabs>
        <w:tab w:val="left" w:pos="5850"/>
        <w:tab w:val="left" w:pos="6527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9A544C" w:rsidRDefault="009A54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4E8">
          <w:rPr>
            <w:noProof/>
          </w:rPr>
          <w:t>26</w:t>
        </w:r>
        <w:r>
          <w:fldChar w:fldCharType="end"/>
        </w:r>
      </w:p>
    </w:sdtContent>
  </w:sdt>
  <w:p w:rsidR="009A544C" w:rsidRDefault="009A544C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9A544C" w:rsidRDefault="009A54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44C" w:rsidRDefault="009A544C" w:rsidP="000662E2">
      <w:pPr>
        <w:spacing w:after="0" w:line="240" w:lineRule="auto"/>
      </w:pPr>
      <w:r>
        <w:separator/>
      </w:r>
    </w:p>
  </w:footnote>
  <w:footnote w:type="continuationSeparator" w:id="0">
    <w:p w:rsidR="009A544C" w:rsidRDefault="009A544C" w:rsidP="000662E2">
      <w:pPr>
        <w:spacing w:after="0" w:line="240" w:lineRule="auto"/>
      </w:pPr>
      <w:r>
        <w:continuationSeparator/>
      </w:r>
    </w:p>
  </w:footnote>
  <w:footnote w:id="1">
    <w:p w:rsidR="009A544C" w:rsidRPr="0079683E" w:rsidRDefault="009A544C" w:rsidP="000541A7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9A544C" w:rsidRDefault="009A544C" w:rsidP="00044A67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9A544C" w:rsidRDefault="009A544C" w:rsidP="00044A67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9A544C" w:rsidRPr="00F8127B" w:rsidRDefault="009A544C" w:rsidP="00044A67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9A544C" w:rsidRPr="004A4DAC" w:rsidRDefault="009A544C" w:rsidP="00044A67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4C" w:rsidRPr="00CB5DE0" w:rsidRDefault="009A544C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9A544C" w:rsidRDefault="009A544C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2" name="Obraz 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3" name="Obraz 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9A544C" w:rsidRDefault="009A544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255905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F05F16E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0.15pt" to="411.9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dkO/Kt8AAAAKAQAADwAAAGRycy9kb3ducmV2&#10;LnhtbEyPwU7DMAyG70i8Q2QkbiylW9FWmk6ABNoBkBjbgVvWmKaicaom27K3x4gDHG1/+v391TK5&#10;XhxwDJ0nBdeTDARS401HrYLN++PVHESImozuPaGCEwZY1udnlS6NP9IbHtaxFRxCodQKbIxDKWVo&#10;LDodJn5A4tunH52OPI6tNKM+crjrZZ5lN9LpjviD1QM+WGy+1nun4PVltS2e7ouUr+wmprYZPp5P&#10;hVKXF+nuFkTEFP9g+NFndajZaef3ZILoFczzKatHBbNsCoKB38WOyXwxA1lX8n+F+hs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B2Q78q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264160</wp:posOffset>
              </wp:positionV>
              <wp:extent cx="1238250" cy="575953"/>
              <wp:effectExtent l="0" t="0" r="0" b="0"/>
              <wp:wrapNone/>
              <wp:docPr id="8" name="Pole tekstowe 2" descr="Data publikacji: 29.11.2024 r. i numer komunikatu: 10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544C" w:rsidRDefault="009A544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9A544C" w:rsidRPr="001D0C76" w:rsidRDefault="009A544C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9.11.2024 r. i numer komunikatu: 10/2024" style="position:absolute;margin-left:425.9pt;margin-top:20.8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mnOQIAADoEAAAOAAAAZHJzL2Uyb0RvYy54bWysU9Fu0zAUfUfiHyy/06RZw9ao6TQ2hpAG&#10;TBp8gOs4janta2ynSff1XDtdV8EbIg+Wnet77j3nHq+uR63IXjgvwdR0PsspEYZDI822pj++37+7&#10;osQHZhqmwIiaHoSn1+u3b1aDrUQBHahGOIIgxleDrWkXgq2yzPNOaOZnYIXBYAtOs4BHt80axwZE&#10;1yor8vx9NoBrrAMuvMe/d1OQrhN+2woevrWtF4GommJvIa0urZu4ZusVq7aO2U7yYxvsH7rQTBos&#10;eoK6Y4GR3sm/oLTkDjy0YcZBZ9C2kovEAdnM8z/YPHXMisQFxfH2JJP/f7D86/7REdnUFAdlmMYR&#10;PYISJIidDzAIUlDSCM9RssTJ9hsld4z/lBUplrP5fFbkxYK4GZHE9BpnuQPdG7wS+oogoxiOKg/W&#10;V1jsyWK5MH6AEd2SFPP2AfjOEwO3HTNbceMcDJ1gDbKcx8zsLHXC8RFkM3yBBttlfYAENLZOxxGg&#10;qATRcdqH04TFGAiPJYuLq6LEEMdYeVkuy4tUglUv2db58EmAJnFTU4cOSuhs/+BD7IZVL1diMQP3&#10;UqnkImXIUNNlWZQp4SyiZUBhlNSoch6/yXaR5EfTpOTApJr2WECZI+tIdKIcxs2IF6MUG2gOyN/B&#10;ZGZ8fLjpwD1TMqCRa+p/9cwJStRngxou54tFdH46LMrLAg/uPLI5jzDDEaqmgZJpexvSa5m43qDW&#10;rUwyvHZy7BUNmtQ5PqbolvNzuvX65Ne/AQAA//8DAFBLAwQUAAYACAAAACEAJfW/Ct8AAAALAQAA&#10;DwAAAGRycy9kb3ducmV2LnhtbEyPQU/DMAyF70j8h8hI3FjSratGaTohEFfQxobELWu8tqJxqiZb&#10;y7/HO42b/fz03udiPblOnHEIrScNyUyBQKq8banWsPt8e1iBCNGQNZ0n1PCLAdbl7U1hcutH2uB5&#10;G2vBIRRyo6GJsc+lDFWDzoSZ75H4dvSDM5HXoZZ2MCOHu07OlcqkMy1xQ2N6fGmw+tmenIb9+/H7&#10;K1Uf9atb9qOflCT3KLW+v5uen0BEnOLVDBd8RoeSmQ7+RDaITsNqmTB61JAmGYiLQaUZKweeFvMF&#10;yLKQ/38o/wAAAP//AwBQSwECLQAUAAYACAAAACEAtoM4kv4AAADhAQAAEwAAAAAAAAAAAAAAAAAA&#10;AAAAW0NvbnRlbnRfVHlwZXNdLnhtbFBLAQItABQABgAIAAAAIQA4/SH/1gAAAJQBAAALAAAAAAAA&#10;AAAAAAAAAC8BAABfcmVscy8ucmVsc1BLAQItABQABgAIAAAAIQCcyvmnOQIAADoEAAAOAAAAAAAA&#10;AAAAAAAAAC4CAABkcnMvZTJvRG9jLnhtbFBLAQItABQABgAIAAAAIQAl9b8K3wAAAAsBAAAPAAAA&#10;AAAAAAAAAAAAAJMEAABkcnMvZG93bnJldi54bWxQSwUGAAAAAAQABADzAAAAnwUAAAAA&#10;" filled="f" stroked="f">
              <v:textbox>
                <w:txbxContent>
                  <w:p w:rsidR="009A544C" w:rsidRDefault="009A544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9A544C" w:rsidRPr="001D0C76" w:rsidRDefault="009A544C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4C" w:rsidRDefault="009A54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F68E424E"/>
    <w:lvl w:ilvl="0" w:tplc="1666B2EA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1CD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2F"/>
    <w:rsid w:val="00004A38"/>
    <w:rsid w:val="00004B69"/>
    <w:rsid w:val="000054C3"/>
    <w:rsid w:val="00005F74"/>
    <w:rsid w:val="00006139"/>
    <w:rsid w:val="000061FF"/>
    <w:rsid w:val="00006401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07D3F"/>
    <w:rsid w:val="00007F49"/>
    <w:rsid w:val="0001001B"/>
    <w:rsid w:val="0001001D"/>
    <w:rsid w:val="000100E7"/>
    <w:rsid w:val="000101A7"/>
    <w:rsid w:val="00010393"/>
    <w:rsid w:val="0001083D"/>
    <w:rsid w:val="000108B8"/>
    <w:rsid w:val="00010A8B"/>
    <w:rsid w:val="00010D21"/>
    <w:rsid w:val="000110A8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628"/>
    <w:rsid w:val="000137E3"/>
    <w:rsid w:val="00013B3F"/>
    <w:rsid w:val="00013CB0"/>
    <w:rsid w:val="00013D25"/>
    <w:rsid w:val="00013F29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8FB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595"/>
    <w:rsid w:val="00021AC7"/>
    <w:rsid w:val="00021E29"/>
    <w:rsid w:val="00022489"/>
    <w:rsid w:val="000224CC"/>
    <w:rsid w:val="00022808"/>
    <w:rsid w:val="00022E33"/>
    <w:rsid w:val="000232B2"/>
    <w:rsid w:val="00023542"/>
    <w:rsid w:val="0002370C"/>
    <w:rsid w:val="000241BE"/>
    <w:rsid w:val="000245F4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9EE"/>
    <w:rsid w:val="00030B9C"/>
    <w:rsid w:val="00030DE1"/>
    <w:rsid w:val="00030ED6"/>
    <w:rsid w:val="00030EDB"/>
    <w:rsid w:val="000310A4"/>
    <w:rsid w:val="0003116A"/>
    <w:rsid w:val="0003126E"/>
    <w:rsid w:val="00031C69"/>
    <w:rsid w:val="00031E0F"/>
    <w:rsid w:val="00031EB8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67B"/>
    <w:rsid w:val="00035721"/>
    <w:rsid w:val="0003575B"/>
    <w:rsid w:val="00035771"/>
    <w:rsid w:val="00035C86"/>
    <w:rsid w:val="0003677A"/>
    <w:rsid w:val="00036F3C"/>
    <w:rsid w:val="00037035"/>
    <w:rsid w:val="000370A9"/>
    <w:rsid w:val="000374BC"/>
    <w:rsid w:val="00037BAA"/>
    <w:rsid w:val="00037E4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87A"/>
    <w:rsid w:val="0004387C"/>
    <w:rsid w:val="00043DFF"/>
    <w:rsid w:val="00043EB5"/>
    <w:rsid w:val="00043EE1"/>
    <w:rsid w:val="0004417E"/>
    <w:rsid w:val="000443FC"/>
    <w:rsid w:val="000444B0"/>
    <w:rsid w:val="00044A67"/>
    <w:rsid w:val="000451B8"/>
    <w:rsid w:val="0004532B"/>
    <w:rsid w:val="0004582E"/>
    <w:rsid w:val="00045E6F"/>
    <w:rsid w:val="000468A2"/>
    <w:rsid w:val="00046AFF"/>
    <w:rsid w:val="00046DFF"/>
    <w:rsid w:val="00046EEB"/>
    <w:rsid w:val="000470AA"/>
    <w:rsid w:val="00047284"/>
    <w:rsid w:val="00047A84"/>
    <w:rsid w:val="00050049"/>
    <w:rsid w:val="000506C4"/>
    <w:rsid w:val="0005078E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41A7"/>
    <w:rsid w:val="00055AB3"/>
    <w:rsid w:val="00055B0E"/>
    <w:rsid w:val="00055BFC"/>
    <w:rsid w:val="00056026"/>
    <w:rsid w:val="0005651D"/>
    <w:rsid w:val="000566FC"/>
    <w:rsid w:val="00056BAC"/>
    <w:rsid w:val="00056E9F"/>
    <w:rsid w:val="000574A9"/>
    <w:rsid w:val="00057CA1"/>
    <w:rsid w:val="00060107"/>
    <w:rsid w:val="000602C9"/>
    <w:rsid w:val="00060403"/>
    <w:rsid w:val="000604C6"/>
    <w:rsid w:val="00060687"/>
    <w:rsid w:val="00060895"/>
    <w:rsid w:val="0006094A"/>
    <w:rsid w:val="000609FE"/>
    <w:rsid w:val="00060EB6"/>
    <w:rsid w:val="000611A7"/>
    <w:rsid w:val="00061413"/>
    <w:rsid w:val="000614AD"/>
    <w:rsid w:val="0006211E"/>
    <w:rsid w:val="000626F9"/>
    <w:rsid w:val="000631FF"/>
    <w:rsid w:val="000634E8"/>
    <w:rsid w:val="00063A6A"/>
    <w:rsid w:val="00063AD8"/>
    <w:rsid w:val="00063C8E"/>
    <w:rsid w:val="00064837"/>
    <w:rsid w:val="00064F22"/>
    <w:rsid w:val="00064FEC"/>
    <w:rsid w:val="0006527C"/>
    <w:rsid w:val="000653DE"/>
    <w:rsid w:val="0006563A"/>
    <w:rsid w:val="0006594A"/>
    <w:rsid w:val="00065C82"/>
    <w:rsid w:val="00065F74"/>
    <w:rsid w:val="000661B1"/>
    <w:rsid w:val="000661B4"/>
    <w:rsid w:val="000662E2"/>
    <w:rsid w:val="00066883"/>
    <w:rsid w:val="00066A3C"/>
    <w:rsid w:val="00066B37"/>
    <w:rsid w:val="00066D9B"/>
    <w:rsid w:val="00067C55"/>
    <w:rsid w:val="000704F8"/>
    <w:rsid w:val="00070B13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C6"/>
    <w:rsid w:val="000755E9"/>
    <w:rsid w:val="00075632"/>
    <w:rsid w:val="00075AB9"/>
    <w:rsid w:val="000764E0"/>
    <w:rsid w:val="000765F3"/>
    <w:rsid w:val="00076722"/>
    <w:rsid w:val="00076785"/>
    <w:rsid w:val="00076875"/>
    <w:rsid w:val="00076A29"/>
    <w:rsid w:val="00076AF2"/>
    <w:rsid w:val="0007726D"/>
    <w:rsid w:val="00077320"/>
    <w:rsid w:val="00080249"/>
    <w:rsid w:val="00080538"/>
    <w:rsid w:val="00080582"/>
    <w:rsid w:val="000806F7"/>
    <w:rsid w:val="000806FA"/>
    <w:rsid w:val="0008108E"/>
    <w:rsid w:val="0008141B"/>
    <w:rsid w:val="000819DC"/>
    <w:rsid w:val="00081F12"/>
    <w:rsid w:val="00081FF2"/>
    <w:rsid w:val="00082836"/>
    <w:rsid w:val="00082B2E"/>
    <w:rsid w:val="00082B89"/>
    <w:rsid w:val="00082C54"/>
    <w:rsid w:val="00082C5C"/>
    <w:rsid w:val="00082DBF"/>
    <w:rsid w:val="00082EDC"/>
    <w:rsid w:val="00082F05"/>
    <w:rsid w:val="00082FB6"/>
    <w:rsid w:val="00082FFD"/>
    <w:rsid w:val="00083406"/>
    <w:rsid w:val="000834D1"/>
    <w:rsid w:val="000838EF"/>
    <w:rsid w:val="000839B5"/>
    <w:rsid w:val="00083B8B"/>
    <w:rsid w:val="00084360"/>
    <w:rsid w:val="00085097"/>
    <w:rsid w:val="0008517A"/>
    <w:rsid w:val="0008583A"/>
    <w:rsid w:val="00085CB9"/>
    <w:rsid w:val="00085F4A"/>
    <w:rsid w:val="000860BA"/>
    <w:rsid w:val="00086811"/>
    <w:rsid w:val="00086A87"/>
    <w:rsid w:val="000870A8"/>
    <w:rsid w:val="00087C7A"/>
    <w:rsid w:val="00087EE9"/>
    <w:rsid w:val="00087EF2"/>
    <w:rsid w:val="00087F60"/>
    <w:rsid w:val="0009019E"/>
    <w:rsid w:val="00090277"/>
    <w:rsid w:val="0009029C"/>
    <w:rsid w:val="000904E9"/>
    <w:rsid w:val="000905CE"/>
    <w:rsid w:val="0009077F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8F9"/>
    <w:rsid w:val="00095966"/>
    <w:rsid w:val="00095D93"/>
    <w:rsid w:val="00095E0C"/>
    <w:rsid w:val="00095FE9"/>
    <w:rsid w:val="00096043"/>
    <w:rsid w:val="000962D3"/>
    <w:rsid w:val="00097171"/>
    <w:rsid w:val="0009728D"/>
    <w:rsid w:val="000975EA"/>
    <w:rsid w:val="000977B8"/>
    <w:rsid w:val="00097840"/>
    <w:rsid w:val="00097A6C"/>
    <w:rsid w:val="00097FD3"/>
    <w:rsid w:val="000A0500"/>
    <w:rsid w:val="000A0E62"/>
    <w:rsid w:val="000A16CC"/>
    <w:rsid w:val="000A19F2"/>
    <w:rsid w:val="000A1FF1"/>
    <w:rsid w:val="000A2037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4A4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5FEB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14"/>
    <w:rsid w:val="000B14BD"/>
    <w:rsid w:val="000B1764"/>
    <w:rsid w:val="000B19BB"/>
    <w:rsid w:val="000B210A"/>
    <w:rsid w:val="000B224C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3DD4"/>
    <w:rsid w:val="000B4593"/>
    <w:rsid w:val="000B4846"/>
    <w:rsid w:val="000B486D"/>
    <w:rsid w:val="000B4A8F"/>
    <w:rsid w:val="000B5216"/>
    <w:rsid w:val="000B530D"/>
    <w:rsid w:val="000B5819"/>
    <w:rsid w:val="000B5868"/>
    <w:rsid w:val="000B5882"/>
    <w:rsid w:val="000B5B95"/>
    <w:rsid w:val="000B5DFD"/>
    <w:rsid w:val="000B5E4A"/>
    <w:rsid w:val="000B6053"/>
    <w:rsid w:val="000B6E72"/>
    <w:rsid w:val="000B6F7D"/>
    <w:rsid w:val="000B7491"/>
    <w:rsid w:val="000B7678"/>
    <w:rsid w:val="000B76D3"/>
    <w:rsid w:val="000B76F5"/>
    <w:rsid w:val="000B7AAF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3B"/>
    <w:rsid w:val="000C22C2"/>
    <w:rsid w:val="000C23CF"/>
    <w:rsid w:val="000C2934"/>
    <w:rsid w:val="000C2FD0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1B2"/>
    <w:rsid w:val="000C790E"/>
    <w:rsid w:val="000C7DA2"/>
    <w:rsid w:val="000D02F9"/>
    <w:rsid w:val="000D0510"/>
    <w:rsid w:val="000D1397"/>
    <w:rsid w:val="000D1D43"/>
    <w:rsid w:val="000D1F29"/>
    <w:rsid w:val="000D2051"/>
    <w:rsid w:val="000D225C"/>
    <w:rsid w:val="000D24D2"/>
    <w:rsid w:val="000D282C"/>
    <w:rsid w:val="000D2A5C"/>
    <w:rsid w:val="000D2D2C"/>
    <w:rsid w:val="000D2FA9"/>
    <w:rsid w:val="000D2FB5"/>
    <w:rsid w:val="000D3247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26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0F76"/>
    <w:rsid w:val="000E1555"/>
    <w:rsid w:val="000E18FE"/>
    <w:rsid w:val="000E1B30"/>
    <w:rsid w:val="000E2999"/>
    <w:rsid w:val="000E2C9D"/>
    <w:rsid w:val="000E353C"/>
    <w:rsid w:val="000E3692"/>
    <w:rsid w:val="000E3D59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E63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D0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67EA"/>
    <w:rsid w:val="000F72B7"/>
    <w:rsid w:val="000F76DF"/>
    <w:rsid w:val="000F7A46"/>
    <w:rsid w:val="000F7CB8"/>
    <w:rsid w:val="000F7F5A"/>
    <w:rsid w:val="0010015D"/>
    <w:rsid w:val="001004C4"/>
    <w:rsid w:val="001004D4"/>
    <w:rsid w:val="00100545"/>
    <w:rsid w:val="0010062B"/>
    <w:rsid w:val="00100676"/>
    <w:rsid w:val="0010070D"/>
    <w:rsid w:val="00100C3D"/>
    <w:rsid w:val="001011B4"/>
    <w:rsid w:val="001011C3"/>
    <w:rsid w:val="0010145D"/>
    <w:rsid w:val="00101AEE"/>
    <w:rsid w:val="00101E2D"/>
    <w:rsid w:val="00102208"/>
    <w:rsid w:val="00102228"/>
    <w:rsid w:val="001024AB"/>
    <w:rsid w:val="00102D79"/>
    <w:rsid w:val="00102D97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C63"/>
    <w:rsid w:val="00105384"/>
    <w:rsid w:val="00105669"/>
    <w:rsid w:val="00105AB1"/>
    <w:rsid w:val="0010608B"/>
    <w:rsid w:val="001060C4"/>
    <w:rsid w:val="001062CE"/>
    <w:rsid w:val="001063D1"/>
    <w:rsid w:val="0010650C"/>
    <w:rsid w:val="0010768D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DDF"/>
    <w:rsid w:val="0011208D"/>
    <w:rsid w:val="00112338"/>
    <w:rsid w:val="0011259D"/>
    <w:rsid w:val="001127B3"/>
    <w:rsid w:val="00112CD3"/>
    <w:rsid w:val="00112FB7"/>
    <w:rsid w:val="0011347F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602"/>
    <w:rsid w:val="001159EB"/>
    <w:rsid w:val="00115CA1"/>
    <w:rsid w:val="00115DC4"/>
    <w:rsid w:val="00116087"/>
    <w:rsid w:val="00116596"/>
    <w:rsid w:val="00116774"/>
    <w:rsid w:val="00117207"/>
    <w:rsid w:val="001174AD"/>
    <w:rsid w:val="001175DC"/>
    <w:rsid w:val="00117631"/>
    <w:rsid w:val="00117699"/>
    <w:rsid w:val="001177F6"/>
    <w:rsid w:val="0011799E"/>
    <w:rsid w:val="00117F23"/>
    <w:rsid w:val="001203C7"/>
    <w:rsid w:val="001206D2"/>
    <w:rsid w:val="00122387"/>
    <w:rsid w:val="00122DF3"/>
    <w:rsid w:val="00123301"/>
    <w:rsid w:val="001238E5"/>
    <w:rsid w:val="00123BC6"/>
    <w:rsid w:val="0012467E"/>
    <w:rsid w:val="00124798"/>
    <w:rsid w:val="001258E6"/>
    <w:rsid w:val="00125A6D"/>
    <w:rsid w:val="00125A9E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BA"/>
    <w:rsid w:val="001321E5"/>
    <w:rsid w:val="0013226B"/>
    <w:rsid w:val="001322CE"/>
    <w:rsid w:val="00132612"/>
    <w:rsid w:val="001328D6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9E6"/>
    <w:rsid w:val="00134CF9"/>
    <w:rsid w:val="00134DFE"/>
    <w:rsid w:val="00135158"/>
    <w:rsid w:val="00135378"/>
    <w:rsid w:val="00135C0C"/>
    <w:rsid w:val="001369C3"/>
    <w:rsid w:val="00136E07"/>
    <w:rsid w:val="00136E25"/>
    <w:rsid w:val="0013767F"/>
    <w:rsid w:val="00137683"/>
    <w:rsid w:val="0013792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14E9"/>
    <w:rsid w:val="00141970"/>
    <w:rsid w:val="001423B6"/>
    <w:rsid w:val="001425FC"/>
    <w:rsid w:val="001426B1"/>
    <w:rsid w:val="001428CF"/>
    <w:rsid w:val="00142B0C"/>
    <w:rsid w:val="00142B54"/>
    <w:rsid w:val="00142C7F"/>
    <w:rsid w:val="001434D0"/>
    <w:rsid w:val="00143708"/>
    <w:rsid w:val="00143978"/>
    <w:rsid w:val="00143BA3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336"/>
    <w:rsid w:val="0015453B"/>
    <w:rsid w:val="00154758"/>
    <w:rsid w:val="0015492C"/>
    <w:rsid w:val="00154B38"/>
    <w:rsid w:val="00154C39"/>
    <w:rsid w:val="00156441"/>
    <w:rsid w:val="001564FC"/>
    <w:rsid w:val="00156601"/>
    <w:rsid w:val="00157285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1E7F"/>
    <w:rsid w:val="00162325"/>
    <w:rsid w:val="001623A4"/>
    <w:rsid w:val="001623A6"/>
    <w:rsid w:val="001625E1"/>
    <w:rsid w:val="00162B72"/>
    <w:rsid w:val="00162C82"/>
    <w:rsid w:val="001631BE"/>
    <w:rsid w:val="001632F9"/>
    <w:rsid w:val="00163371"/>
    <w:rsid w:val="00163383"/>
    <w:rsid w:val="0016371F"/>
    <w:rsid w:val="001638DC"/>
    <w:rsid w:val="00163A07"/>
    <w:rsid w:val="00163DF8"/>
    <w:rsid w:val="00164115"/>
    <w:rsid w:val="001642EE"/>
    <w:rsid w:val="0016494E"/>
    <w:rsid w:val="00164E1E"/>
    <w:rsid w:val="001655F1"/>
    <w:rsid w:val="00165789"/>
    <w:rsid w:val="001658FE"/>
    <w:rsid w:val="00165CED"/>
    <w:rsid w:val="001660E2"/>
    <w:rsid w:val="0016629B"/>
    <w:rsid w:val="001664B4"/>
    <w:rsid w:val="001668AF"/>
    <w:rsid w:val="001669CE"/>
    <w:rsid w:val="00166C05"/>
    <w:rsid w:val="00166F14"/>
    <w:rsid w:val="00167024"/>
    <w:rsid w:val="00167865"/>
    <w:rsid w:val="00167E03"/>
    <w:rsid w:val="001705F2"/>
    <w:rsid w:val="001705FF"/>
    <w:rsid w:val="00170737"/>
    <w:rsid w:val="0017087C"/>
    <w:rsid w:val="001708B7"/>
    <w:rsid w:val="00170912"/>
    <w:rsid w:val="00170A08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2F1"/>
    <w:rsid w:val="00175D71"/>
    <w:rsid w:val="00175D9B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C36"/>
    <w:rsid w:val="00177F46"/>
    <w:rsid w:val="00180D6B"/>
    <w:rsid w:val="00180F53"/>
    <w:rsid w:val="001810F2"/>
    <w:rsid w:val="00181956"/>
    <w:rsid w:val="00181BE2"/>
    <w:rsid w:val="00181CFE"/>
    <w:rsid w:val="0018207A"/>
    <w:rsid w:val="00182C28"/>
    <w:rsid w:val="0018377B"/>
    <w:rsid w:val="00183973"/>
    <w:rsid w:val="00183A01"/>
    <w:rsid w:val="00183CFD"/>
    <w:rsid w:val="00183E6E"/>
    <w:rsid w:val="00183FDE"/>
    <w:rsid w:val="00184823"/>
    <w:rsid w:val="00184966"/>
    <w:rsid w:val="00184CF1"/>
    <w:rsid w:val="00185F0A"/>
    <w:rsid w:val="0018606B"/>
    <w:rsid w:val="00186991"/>
    <w:rsid w:val="001871E6"/>
    <w:rsid w:val="00187C72"/>
    <w:rsid w:val="00187D47"/>
    <w:rsid w:val="00187EA3"/>
    <w:rsid w:val="001900E9"/>
    <w:rsid w:val="001901E7"/>
    <w:rsid w:val="00190B0C"/>
    <w:rsid w:val="00190D5E"/>
    <w:rsid w:val="0019124A"/>
    <w:rsid w:val="00191376"/>
    <w:rsid w:val="001915DC"/>
    <w:rsid w:val="00191D1B"/>
    <w:rsid w:val="00191EB4"/>
    <w:rsid w:val="00192081"/>
    <w:rsid w:val="0019229F"/>
    <w:rsid w:val="00192447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7EF"/>
    <w:rsid w:val="00197895"/>
    <w:rsid w:val="0019789E"/>
    <w:rsid w:val="001979B8"/>
    <w:rsid w:val="00197E79"/>
    <w:rsid w:val="00197F45"/>
    <w:rsid w:val="001A02EB"/>
    <w:rsid w:val="001A0579"/>
    <w:rsid w:val="001A07B1"/>
    <w:rsid w:val="001A0D6A"/>
    <w:rsid w:val="001A0E71"/>
    <w:rsid w:val="001A1194"/>
    <w:rsid w:val="001A126F"/>
    <w:rsid w:val="001A1506"/>
    <w:rsid w:val="001A19DC"/>
    <w:rsid w:val="001A1A13"/>
    <w:rsid w:val="001A1BD2"/>
    <w:rsid w:val="001A1C46"/>
    <w:rsid w:val="001A1DB4"/>
    <w:rsid w:val="001A1FB7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4AE0"/>
    <w:rsid w:val="001A4E38"/>
    <w:rsid w:val="001A536A"/>
    <w:rsid w:val="001A5435"/>
    <w:rsid w:val="001A55A9"/>
    <w:rsid w:val="001A561E"/>
    <w:rsid w:val="001A59B7"/>
    <w:rsid w:val="001A5E39"/>
    <w:rsid w:val="001A5FFA"/>
    <w:rsid w:val="001A6794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A44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45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DFF"/>
    <w:rsid w:val="001C1EE4"/>
    <w:rsid w:val="001C1FE0"/>
    <w:rsid w:val="001C23DC"/>
    <w:rsid w:val="001C250C"/>
    <w:rsid w:val="001C251E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59D"/>
    <w:rsid w:val="001D2700"/>
    <w:rsid w:val="001D2D8A"/>
    <w:rsid w:val="001D301E"/>
    <w:rsid w:val="001D35E0"/>
    <w:rsid w:val="001D3846"/>
    <w:rsid w:val="001D3ADA"/>
    <w:rsid w:val="001D42DA"/>
    <w:rsid w:val="001D45D8"/>
    <w:rsid w:val="001D473D"/>
    <w:rsid w:val="001D4B81"/>
    <w:rsid w:val="001D571C"/>
    <w:rsid w:val="001D5C83"/>
    <w:rsid w:val="001D61DD"/>
    <w:rsid w:val="001D67C9"/>
    <w:rsid w:val="001D69FF"/>
    <w:rsid w:val="001D6AEF"/>
    <w:rsid w:val="001D6E0B"/>
    <w:rsid w:val="001D7456"/>
    <w:rsid w:val="001D746B"/>
    <w:rsid w:val="001D7697"/>
    <w:rsid w:val="001D7CEB"/>
    <w:rsid w:val="001E00D9"/>
    <w:rsid w:val="001E0335"/>
    <w:rsid w:val="001E0603"/>
    <w:rsid w:val="001E0B6F"/>
    <w:rsid w:val="001E0EF2"/>
    <w:rsid w:val="001E10AA"/>
    <w:rsid w:val="001E1281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70F"/>
    <w:rsid w:val="001E3F60"/>
    <w:rsid w:val="001E4229"/>
    <w:rsid w:val="001E51F0"/>
    <w:rsid w:val="001E53AA"/>
    <w:rsid w:val="001E59AA"/>
    <w:rsid w:val="001E5F5B"/>
    <w:rsid w:val="001E6444"/>
    <w:rsid w:val="001E6560"/>
    <w:rsid w:val="001E6622"/>
    <w:rsid w:val="001E6941"/>
    <w:rsid w:val="001E6BCC"/>
    <w:rsid w:val="001E6CF6"/>
    <w:rsid w:val="001E6D18"/>
    <w:rsid w:val="001E6DBE"/>
    <w:rsid w:val="001E717E"/>
    <w:rsid w:val="001E77D7"/>
    <w:rsid w:val="001E78C6"/>
    <w:rsid w:val="001F026D"/>
    <w:rsid w:val="001F0E05"/>
    <w:rsid w:val="001F126D"/>
    <w:rsid w:val="001F1907"/>
    <w:rsid w:val="001F19D9"/>
    <w:rsid w:val="001F217E"/>
    <w:rsid w:val="001F21E3"/>
    <w:rsid w:val="001F22FB"/>
    <w:rsid w:val="001F2506"/>
    <w:rsid w:val="001F25BC"/>
    <w:rsid w:val="001F2790"/>
    <w:rsid w:val="001F2842"/>
    <w:rsid w:val="001F2CAB"/>
    <w:rsid w:val="001F32DB"/>
    <w:rsid w:val="001F3461"/>
    <w:rsid w:val="001F3721"/>
    <w:rsid w:val="001F3CF1"/>
    <w:rsid w:val="001F40B1"/>
    <w:rsid w:val="001F40F3"/>
    <w:rsid w:val="001F4684"/>
    <w:rsid w:val="001F4ABE"/>
    <w:rsid w:val="001F4ACF"/>
    <w:rsid w:val="001F5546"/>
    <w:rsid w:val="001F590B"/>
    <w:rsid w:val="001F5C74"/>
    <w:rsid w:val="001F626C"/>
    <w:rsid w:val="001F6587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056"/>
    <w:rsid w:val="00202162"/>
    <w:rsid w:val="00202242"/>
    <w:rsid w:val="002024FC"/>
    <w:rsid w:val="00202910"/>
    <w:rsid w:val="00202E7D"/>
    <w:rsid w:val="002030C7"/>
    <w:rsid w:val="00203946"/>
    <w:rsid w:val="00203A22"/>
    <w:rsid w:val="00203B67"/>
    <w:rsid w:val="00203E5A"/>
    <w:rsid w:val="0020438F"/>
    <w:rsid w:val="00204416"/>
    <w:rsid w:val="002051D1"/>
    <w:rsid w:val="00205335"/>
    <w:rsid w:val="00205A98"/>
    <w:rsid w:val="00205EB0"/>
    <w:rsid w:val="0020618F"/>
    <w:rsid w:val="002061ED"/>
    <w:rsid w:val="00206A2E"/>
    <w:rsid w:val="00206D12"/>
    <w:rsid w:val="00206D61"/>
    <w:rsid w:val="00207054"/>
    <w:rsid w:val="00207B83"/>
    <w:rsid w:val="00207CDA"/>
    <w:rsid w:val="00207F6C"/>
    <w:rsid w:val="002105B5"/>
    <w:rsid w:val="0021066F"/>
    <w:rsid w:val="0021067A"/>
    <w:rsid w:val="002111CB"/>
    <w:rsid w:val="0021146E"/>
    <w:rsid w:val="002118C8"/>
    <w:rsid w:val="00211A61"/>
    <w:rsid w:val="00212002"/>
    <w:rsid w:val="00212119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6F16"/>
    <w:rsid w:val="00217179"/>
    <w:rsid w:val="00217623"/>
    <w:rsid w:val="00217663"/>
    <w:rsid w:val="00217C8B"/>
    <w:rsid w:val="00217FCB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A28"/>
    <w:rsid w:val="00222EBE"/>
    <w:rsid w:val="002234C6"/>
    <w:rsid w:val="0022361B"/>
    <w:rsid w:val="0022363C"/>
    <w:rsid w:val="00223837"/>
    <w:rsid w:val="00223872"/>
    <w:rsid w:val="00223922"/>
    <w:rsid w:val="00223B80"/>
    <w:rsid w:val="00223C47"/>
    <w:rsid w:val="00223C48"/>
    <w:rsid w:val="00224429"/>
    <w:rsid w:val="0022454D"/>
    <w:rsid w:val="0022458A"/>
    <w:rsid w:val="0022461A"/>
    <w:rsid w:val="002246E5"/>
    <w:rsid w:val="00224848"/>
    <w:rsid w:val="00224A0C"/>
    <w:rsid w:val="00224E03"/>
    <w:rsid w:val="00225AFE"/>
    <w:rsid w:val="00225B36"/>
    <w:rsid w:val="00225DB9"/>
    <w:rsid w:val="0022667E"/>
    <w:rsid w:val="00226DDA"/>
    <w:rsid w:val="00227356"/>
    <w:rsid w:val="002274A2"/>
    <w:rsid w:val="002277D2"/>
    <w:rsid w:val="00227A67"/>
    <w:rsid w:val="00227CEA"/>
    <w:rsid w:val="00227E28"/>
    <w:rsid w:val="002306FF"/>
    <w:rsid w:val="00230DA1"/>
    <w:rsid w:val="00230FAF"/>
    <w:rsid w:val="0023118C"/>
    <w:rsid w:val="00231D1A"/>
    <w:rsid w:val="00231DCD"/>
    <w:rsid w:val="00232054"/>
    <w:rsid w:val="00232A6C"/>
    <w:rsid w:val="00232B4E"/>
    <w:rsid w:val="00232D8E"/>
    <w:rsid w:val="00233092"/>
    <w:rsid w:val="0023312C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0ED"/>
    <w:rsid w:val="002353B4"/>
    <w:rsid w:val="0023581F"/>
    <w:rsid w:val="00235DA7"/>
    <w:rsid w:val="0023644B"/>
    <w:rsid w:val="00236A05"/>
    <w:rsid w:val="00236EB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630"/>
    <w:rsid w:val="00243A4F"/>
    <w:rsid w:val="002448CA"/>
    <w:rsid w:val="00244E13"/>
    <w:rsid w:val="00244E76"/>
    <w:rsid w:val="0024511E"/>
    <w:rsid w:val="002453BB"/>
    <w:rsid w:val="00245782"/>
    <w:rsid w:val="00245D6F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A65"/>
    <w:rsid w:val="00250E7E"/>
    <w:rsid w:val="0025139E"/>
    <w:rsid w:val="00251411"/>
    <w:rsid w:val="002514ED"/>
    <w:rsid w:val="00251D6C"/>
    <w:rsid w:val="002522AA"/>
    <w:rsid w:val="002522F1"/>
    <w:rsid w:val="00252A07"/>
    <w:rsid w:val="002532EF"/>
    <w:rsid w:val="00253515"/>
    <w:rsid w:val="002539E1"/>
    <w:rsid w:val="00253A3D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0A8"/>
    <w:rsid w:val="00255368"/>
    <w:rsid w:val="00255723"/>
    <w:rsid w:val="002558D3"/>
    <w:rsid w:val="00255A3D"/>
    <w:rsid w:val="00255C02"/>
    <w:rsid w:val="00255E5A"/>
    <w:rsid w:val="00255EA5"/>
    <w:rsid w:val="00256B59"/>
    <w:rsid w:val="00256B63"/>
    <w:rsid w:val="00256CA8"/>
    <w:rsid w:val="00256F13"/>
    <w:rsid w:val="00256F2C"/>
    <w:rsid w:val="00256FBE"/>
    <w:rsid w:val="0025707B"/>
    <w:rsid w:val="0025709C"/>
    <w:rsid w:val="002572E1"/>
    <w:rsid w:val="002574F9"/>
    <w:rsid w:val="00257917"/>
    <w:rsid w:val="00257A2F"/>
    <w:rsid w:val="00257DE5"/>
    <w:rsid w:val="00257E66"/>
    <w:rsid w:val="00257E96"/>
    <w:rsid w:val="00257EA1"/>
    <w:rsid w:val="00257EFC"/>
    <w:rsid w:val="002601B6"/>
    <w:rsid w:val="00260251"/>
    <w:rsid w:val="00260393"/>
    <w:rsid w:val="0026066E"/>
    <w:rsid w:val="0026076B"/>
    <w:rsid w:val="002607A7"/>
    <w:rsid w:val="0026102D"/>
    <w:rsid w:val="002610C9"/>
    <w:rsid w:val="0026123C"/>
    <w:rsid w:val="002612A4"/>
    <w:rsid w:val="0026189F"/>
    <w:rsid w:val="00261957"/>
    <w:rsid w:val="00262057"/>
    <w:rsid w:val="00262766"/>
    <w:rsid w:val="00262829"/>
    <w:rsid w:val="00262840"/>
    <w:rsid w:val="00262B61"/>
    <w:rsid w:val="00263028"/>
    <w:rsid w:val="002630CA"/>
    <w:rsid w:val="00263216"/>
    <w:rsid w:val="002633DD"/>
    <w:rsid w:val="002635A3"/>
    <w:rsid w:val="002635AF"/>
    <w:rsid w:val="0026390C"/>
    <w:rsid w:val="00263DAF"/>
    <w:rsid w:val="00263EEA"/>
    <w:rsid w:val="002648CC"/>
    <w:rsid w:val="002649B0"/>
    <w:rsid w:val="00265127"/>
    <w:rsid w:val="00265BE4"/>
    <w:rsid w:val="00265CEF"/>
    <w:rsid w:val="00265D6A"/>
    <w:rsid w:val="002660F8"/>
    <w:rsid w:val="00266450"/>
    <w:rsid w:val="002665AE"/>
    <w:rsid w:val="0026676A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AF2"/>
    <w:rsid w:val="00272C5F"/>
    <w:rsid w:val="00272F15"/>
    <w:rsid w:val="00273365"/>
    <w:rsid w:val="00273433"/>
    <w:rsid w:val="002736EB"/>
    <w:rsid w:val="00273A6F"/>
    <w:rsid w:val="00273B77"/>
    <w:rsid w:val="002748CC"/>
    <w:rsid w:val="00274C0F"/>
    <w:rsid w:val="00274F9E"/>
    <w:rsid w:val="0027547F"/>
    <w:rsid w:val="00275B0A"/>
    <w:rsid w:val="002760AE"/>
    <w:rsid w:val="00276535"/>
    <w:rsid w:val="0027659A"/>
    <w:rsid w:val="00276811"/>
    <w:rsid w:val="00276ABF"/>
    <w:rsid w:val="00276F08"/>
    <w:rsid w:val="00277192"/>
    <w:rsid w:val="00277233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017"/>
    <w:rsid w:val="0028219B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6A0"/>
    <w:rsid w:val="002868DA"/>
    <w:rsid w:val="0028750A"/>
    <w:rsid w:val="002876F2"/>
    <w:rsid w:val="00287AFC"/>
    <w:rsid w:val="00291293"/>
    <w:rsid w:val="00291310"/>
    <w:rsid w:val="0029134A"/>
    <w:rsid w:val="00291420"/>
    <w:rsid w:val="002914EA"/>
    <w:rsid w:val="00291D4F"/>
    <w:rsid w:val="002920BF"/>
    <w:rsid w:val="002924EE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A11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6918"/>
    <w:rsid w:val="00297116"/>
    <w:rsid w:val="002972E6"/>
    <w:rsid w:val="00297940"/>
    <w:rsid w:val="002A0162"/>
    <w:rsid w:val="002A0374"/>
    <w:rsid w:val="002A0496"/>
    <w:rsid w:val="002A0ABB"/>
    <w:rsid w:val="002A0ACE"/>
    <w:rsid w:val="002A0C2E"/>
    <w:rsid w:val="002A1604"/>
    <w:rsid w:val="002A1702"/>
    <w:rsid w:val="002A175B"/>
    <w:rsid w:val="002A179C"/>
    <w:rsid w:val="002A2663"/>
    <w:rsid w:val="002A26BC"/>
    <w:rsid w:val="002A2815"/>
    <w:rsid w:val="002A2AEB"/>
    <w:rsid w:val="002A2CA7"/>
    <w:rsid w:val="002A2E21"/>
    <w:rsid w:val="002A2F9B"/>
    <w:rsid w:val="002A3697"/>
    <w:rsid w:val="002A3F4F"/>
    <w:rsid w:val="002A44D1"/>
    <w:rsid w:val="002A456F"/>
    <w:rsid w:val="002A4A8F"/>
    <w:rsid w:val="002A4AE2"/>
    <w:rsid w:val="002A4B07"/>
    <w:rsid w:val="002A4F9F"/>
    <w:rsid w:val="002A538D"/>
    <w:rsid w:val="002A5B4A"/>
    <w:rsid w:val="002A613A"/>
    <w:rsid w:val="002A678B"/>
    <w:rsid w:val="002A67DB"/>
    <w:rsid w:val="002A6B5F"/>
    <w:rsid w:val="002A7D30"/>
    <w:rsid w:val="002A7D43"/>
    <w:rsid w:val="002B020F"/>
    <w:rsid w:val="002B0472"/>
    <w:rsid w:val="002B05EB"/>
    <w:rsid w:val="002B0685"/>
    <w:rsid w:val="002B1CF8"/>
    <w:rsid w:val="002B1FE6"/>
    <w:rsid w:val="002B205F"/>
    <w:rsid w:val="002B328B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758"/>
    <w:rsid w:val="002B4945"/>
    <w:rsid w:val="002B4BC8"/>
    <w:rsid w:val="002B4C6C"/>
    <w:rsid w:val="002B5306"/>
    <w:rsid w:val="002B5549"/>
    <w:rsid w:val="002B5573"/>
    <w:rsid w:val="002B57C8"/>
    <w:rsid w:val="002B57E2"/>
    <w:rsid w:val="002B581F"/>
    <w:rsid w:val="002B5DE1"/>
    <w:rsid w:val="002B5EF1"/>
    <w:rsid w:val="002B5F83"/>
    <w:rsid w:val="002B64A6"/>
    <w:rsid w:val="002B668A"/>
    <w:rsid w:val="002B6892"/>
    <w:rsid w:val="002B6B12"/>
    <w:rsid w:val="002B6BE7"/>
    <w:rsid w:val="002B6E0F"/>
    <w:rsid w:val="002B7132"/>
    <w:rsid w:val="002B7301"/>
    <w:rsid w:val="002B731D"/>
    <w:rsid w:val="002B7942"/>
    <w:rsid w:val="002B79AB"/>
    <w:rsid w:val="002B7C18"/>
    <w:rsid w:val="002B7DD4"/>
    <w:rsid w:val="002B7F82"/>
    <w:rsid w:val="002C01B7"/>
    <w:rsid w:val="002C047D"/>
    <w:rsid w:val="002C067B"/>
    <w:rsid w:val="002C086F"/>
    <w:rsid w:val="002C0B70"/>
    <w:rsid w:val="002C1560"/>
    <w:rsid w:val="002C1699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7D8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2A3"/>
    <w:rsid w:val="002C73B4"/>
    <w:rsid w:val="002C75EC"/>
    <w:rsid w:val="002C7887"/>
    <w:rsid w:val="002C78A5"/>
    <w:rsid w:val="002C7A18"/>
    <w:rsid w:val="002C7C1A"/>
    <w:rsid w:val="002C7F0A"/>
    <w:rsid w:val="002D0250"/>
    <w:rsid w:val="002D0582"/>
    <w:rsid w:val="002D0756"/>
    <w:rsid w:val="002D0A49"/>
    <w:rsid w:val="002D0C75"/>
    <w:rsid w:val="002D0D2C"/>
    <w:rsid w:val="002D102D"/>
    <w:rsid w:val="002D11A0"/>
    <w:rsid w:val="002D179A"/>
    <w:rsid w:val="002D1AA5"/>
    <w:rsid w:val="002D2114"/>
    <w:rsid w:val="002D217C"/>
    <w:rsid w:val="002D25ED"/>
    <w:rsid w:val="002D2650"/>
    <w:rsid w:val="002D2653"/>
    <w:rsid w:val="002D28E8"/>
    <w:rsid w:val="002D294B"/>
    <w:rsid w:val="002D2AF2"/>
    <w:rsid w:val="002D2B8B"/>
    <w:rsid w:val="002D3135"/>
    <w:rsid w:val="002D3518"/>
    <w:rsid w:val="002D355D"/>
    <w:rsid w:val="002D3C1A"/>
    <w:rsid w:val="002D3C83"/>
    <w:rsid w:val="002D3FCF"/>
    <w:rsid w:val="002D40F9"/>
    <w:rsid w:val="002D4648"/>
    <w:rsid w:val="002D53D2"/>
    <w:rsid w:val="002D55F2"/>
    <w:rsid w:val="002D59E1"/>
    <w:rsid w:val="002D5E50"/>
    <w:rsid w:val="002D5EE0"/>
    <w:rsid w:val="002D66B6"/>
    <w:rsid w:val="002D6A39"/>
    <w:rsid w:val="002D6E2F"/>
    <w:rsid w:val="002D7031"/>
    <w:rsid w:val="002D732D"/>
    <w:rsid w:val="002D7856"/>
    <w:rsid w:val="002E0260"/>
    <w:rsid w:val="002E092E"/>
    <w:rsid w:val="002E0C28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E7C"/>
    <w:rsid w:val="002E2FA2"/>
    <w:rsid w:val="002E33BF"/>
    <w:rsid w:val="002E34B2"/>
    <w:rsid w:val="002E3759"/>
    <w:rsid w:val="002E3A94"/>
    <w:rsid w:val="002E3DB0"/>
    <w:rsid w:val="002E3F9C"/>
    <w:rsid w:val="002E420F"/>
    <w:rsid w:val="002E43BE"/>
    <w:rsid w:val="002E478B"/>
    <w:rsid w:val="002E47D9"/>
    <w:rsid w:val="002E491B"/>
    <w:rsid w:val="002E4BB4"/>
    <w:rsid w:val="002E52CE"/>
    <w:rsid w:val="002E5368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E21"/>
    <w:rsid w:val="002F3F02"/>
    <w:rsid w:val="002F3F61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13E"/>
    <w:rsid w:val="002F62EA"/>
    <w:rsid w:val="002F62EC"/>
    <w:rsid w:val="002F692D"/>
    <w:rsid w:val="002F6A14"/>
    <w:rsid w:val="002F6D95"/>
    <w:rsid w:val="002F7098"/>
    <w:rsid w:val="002F710A"/>
    <w:rsid w:val="002F754C"/>
    <w:rsid w:val="002F76E9"/>
    <w:rsid w:val="002F77C8"/>
    <w:rsid w:val="002F7B1B"/>
    <w:rsid w:val="003003B1"/>
    <w:rsid w:val="003005A4"/>
    <w:rsid w:val="00300667"/>
    <w:rsid w:val="00300EDC"/>
    <w:rsid w:val="00301319"/>
    <w:rsid w:val="00301708"/>
    <w:rsid w:val="0030172E"/>
    <w:rsid w:val="00301875"/>
    <w:rsid w:val="0030249B"/>
    <w:rsid w:val="00302724"/>
    <w:rsid w:val="00302C6B"/>
    <w:rsid w:val="00302CB9"/>
    <w:rsid w:val="00303087"/>
    <w:rsid w:val="003031D6"/>
    <w:rsid w:val="00303B78"/>
    <w:rsid w:val="0030400F"/>
    <w:rsid w:val="0030406B"/>
    <w:rsid w:val="00304168"/>
    <w:rsid w:val="0030459D"/>
    <w:rsid w:val="00304B51"/>
    <w:rsid w:val="00304CFA"/>
    <w:rsid w:val="00304D14"/>
    <w:rsid w:val="00304F22"/>
    <w:rsid w:val="0030551B"/>
    <w:rsid w:val="003055C7"/>
    <w:rsid w:val="003055D8"/>
    <w:rsid w:val="00305915"/>
    <w:rsid w:val="00305AA3"/>
    <w:rsid w:val="00305F79"/>
    <w:rsid w:val="003061C7"/>
    <w:rsid w:val="00306C7C"/>
    <w:rsid w:val="0030704B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3D20"/>
    <w:rsid w:val="0031424E"/>
    <w:rsid w:val="0031474B"/>
    <w:rsid w:val="0031487C"/>
    <w:rsid w:val="003149FB"/>
    <w:rsid w:val="00314D7F"/>
    <w:rsid w:val="00314DC3"/>
    <w:rsid w:val="0031505D"/>
    <w:rsid w:val="00315203"/>
    <w:rsid w:val="003152F5"/>
    <w:rsid w:val="003155EF"/>
    <w:rsid w:val="00315D6E"/>
    <w:rsid w:val="00316144"/>
    <w:rsid w:val="00316543"/>
    <w:rsid w:val="00316609"/>
    <w:rsid w:val="00316679"/>
    <w:rsid w:val="00316B2F"/>
    <w:rsid w:val="00316C1C"/>
    <w:rsid w:val="00316D4A"/>
    <w:rsid w:val="00316EC4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1717"/>
    <w:rsid w:val="00321852"/>
    <w:rsid w:val="003218A2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5F"/>
    <w:rsid w:val="00325995"/>
    <w:rsid w:val="00325F44"/>
    <w:rsid w:val="003263ED"/>
    <w:rsid w:val="00326846"/>
    <w:rsid w:val="00326CDC"/>
    <w:rsid w:val="00326D21"/>
    <w:rsid w:val="003271E5"/>
    <w:rsid w:val="00327988"/>
    <w:rsid w:val="003279A9"/>
    <w:rsid w:val="00327B89"/>
    <w:rsid w:val="00327C35"/>
    <w:rsid w:val="0033091B"/>
    <w:rsid w:val="003309CD"/>
    <w:rsid w:val="00330E38"/>
    <w:rsid w:val="00330F43"/>
    <w:rsid w:val="00331098"/>
    <w:rsid w:val="00331920"/>
    <w:rsid w:val="00331A38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AC2"/>
    <w:rsid w:val="00334CE3"/>
    <w:rsid w:val="00334DCB"/>
    <w:rsid w:val="00334FAF"/>
    <w:rsid w:val="003351C6"/>
    <w:rsid w:val="003352CD"/>
    <w:rsid w:val="00335861"/>
    <w:rsid w:val="00335F83"/>
    <w:rsid w:val="00336C6A"/>
    <w:rsid w:val="00336FFA"/>
    <w:rsid w:val="0033720B"/>
    <w:rsid w:val="003373E8"/>
    <w:rsid w:val="0033749C"/>
    <w:rsid w:val="003376AC"/>
    <w:rsid w:val="00337B06"/>
    <w:rsid w:val="00337DB3"/>
    <w:rsid w:val="00340226"/>
    <w:rsid w:val="0034064B"/>
    <w:rsid w:val="00340B86"/>
    <w:rsid w:val="00341558"/>
    <w:rsid w:val="00341689"/>
    <w:rsid w:val="00341706"/>
    <w:rsid w:val="00341978"/>
    <w:rsid w:val="003421F4"/>
    <w:rsid w:val="0034263C"/>
    <w:rsid w:val="003427C2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6C8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248"/>
    <w:rsid w:val="003503B1"/>
    <w:rsid w:val="00351049"/>
    <w:rsid w:val="003510A4"/>
    <w:rsid w:val="0035151F"/>
    <w:rsid w:val="003515FA"/>
    <w:rsid w:val="00351B4B"/>
    <w:rsid w:val="00351B87"/>
    <w:rsid w:val="00352212"/>
    <w:rsid w:val="003522D6"/>
    <w:rsid w:val="00352308"/>
    <w:rsid w:val="003524E0"/>
    <w:rsid w:val="003525F3"/>
    <w:rsid w:val="003527EC"/>
    <w:rsid w:val="00352D20"/>
    <w:rsid w:val="00352F62"/>
    <w:rsid w:val="00352FB0"/>
    <w:rsid w:val="0035319F"/>
    <w:rsid w:val="003536B3"/>
    <w:rsid w:val="0035371D"/>
    <w:rsid w:val="00353C46"/>
    <w:rsid w:val="00353FC0"/>
    <w:rsid w:val="00354C78"/>
    <w:rsid w:val="00354E00"/>
    <w:rsid w:val="0035500C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57DC4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1D5C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1EF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8E7"/>
    <w:rsid w:val="00366E47"/>
    <w:rsid w:val="00366E85"/>
    <w:rsid w:val="00366F52"/>
    <w:rsid w:val="00367237"/>
    <w:rsid w:val="00367284"/>
    <w:rsid w:val="00367433"/>
    <w:rsid w:val="00367506"/>
    <w:rsid w:val="00367850"/>
    <w:rsid w:val="003703CF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5F5"/>
    <w:rsid w:val="0037475E"/>
    <w:rsid w:val="00374B9C"/>
    <w:rsid w:val="00374C98"/>
    <w:rsid w:val="00374CB3"/>
    <w:rsid w:val="00375211"/>
    <w:rsid w:val="003755FF"/>
    <w:rsid w:val="003757DD"/>
    <w:rsid w:val="0037583B"/>
    <w:rsid w:val="0037597E"/>
    <w:rsid w:val="00375DEB"/>
    <w:rsid w:val="00375EA7"/>
    <w:rsid w:val="00375F22"/>
    <w:rsid w:val="00375FC9"/>
    <w:rsid w:val="003766AE"/>
    <w:rsid w:val="0037687F"/>
    <w:rsid w:val="00376912"/>
    <w:rsid w:val="00376E0E"/>
    <w:rsid w:val="0037718C"/>
    <w:rsid w:val="00377465"/>
    <w:rsid w:val="00377A2A"/>
    <w:rsid w:val="00377B3D"/>
    <w:rsid w:val="00377B56"/>
    <w:rsid w:val="00377EEE"/>
    <w:rsid w:val="003800A2"/>
    <w:rsid w:val="003801EB"/>
    <w:rsid w:val="003807D2"/>
    <w:rsid w:val="00380A4F"/>
    <w:rsid w:val="00380ADA"/>
    <w:rsid w:val="00380BC3"/>
    <w:rsid w:val="00381292"/>
    <w:rsid w:val="003812F9"/>
    <w:rsid w:val="00381301"/>
    <w:rsid w:val="00381989"/>
    <w:rsid w:val="00381B26"/>
    <w:rsid w:val="003820CB"/>
    <w:rsid w:val="003822D0"/>
    <w:rsid w:val="00382F78"/>
    <w:rsid w:val="00383034"/>
    <w:rsid w:val="00383094"/>
    <w:rsid w:val="00383DCF"/>
    <w:rsid w:val="00383E2A"/>
    <w:rsid w:val="00383FD0"/>
    <w:rsid w:val="003843DB"/>
    <w:rsid w:val="003847DC"/>
    <w:rsid w:val="0038483B"/>
    <w:rsid w:val="00384B7A"/>
    <w:rsid w:val="00384CB5"/>
    <w:rsid w:val="00384D57"/>
    <w:rsid w:val="003855BE"/>
    <w:rsid w:val="00385BAA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08D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0C3"/>
    <w:rsid w:val="00395446"/>
    <w:rsid w:val="0039586F"/>
    <w:rsid w:val="003962F6"/>
    <w:rsid w:val="00397552"/>
    <w:rsid w:val="003976CA"/>
    <w:rsid w:val="003977C6"/>
    <w:rsid w:val="00397B1D"/>
    <w:rsid w:val="00397BB8"/>
    <w:rsid w:val="00397C35"/>
    <w:rsid w:val="00397D18"/>
    <w:rsid w:val="003A0019"/>
    <w:rsid w:val="003A065C"/>
    <w:rsid w:val="003A07C3"/>
    <w:rsid w:val="003A0C8E"/>
    <w:rsid w:val="003A108A"/>
    <w:rsid w:val="003A157B"/>
    <w:rsid w:val="003A1B36"/>
    <w:rsid w:val="003A1C36"/>
    <w:rsid w:val="003A2464"/>
    <w:rsid w:val="003A256B"/>
    <w:rsid w:val="003A2836"/>
    <w:rsid w:val="003A2B38"/>
    <w:rsid w:val="003A2D6B"/>
    <w:rsid w:val="003A2E9E"/>
    <w:rsid w:val="003A300C"/>
    <w:rsid w:val="003A3C43"/>
    <w:rsid w:val="003A3C50"/>
    <w:rsid w:val="003A3CBC"/>
    <w:rsid w:val="003A3E0E"/>
    <w:rsid w:val="003A3EF7"/>
    <w:rsid w:val="003A438A"/>
    <w:rsid w:val="003A43CA"/>
    <w:rsid w:val="003A491A"/>
    <w:rsid w:val="003A52F3"/>
    <w:rsid w:val="003A59BD"/>
    <w:rsid w:val="003A5A1E"/>
    <w:rsid w:val="003A5FE8"/>
    <w:rsid w:val="003A6376"/>
    <w:rsid w:val="003A644A"/>
    <w:rsid w:val="003A644B"/>
    <w:rsid w:val="003A6CF5"/>
    <w:rsid w:val="003A6E12"/>
    <w:rsid w:val="003B00E4"/>
    <w:rsid w:val="003B015D"/>
    <w:rsid w:val="003B0A90"/>
    <w:rsid w:val="003B0C7E"/>
    <w:rsid w:val="003B0D69"/>
    <w:rsid w:val="003B0E88"/>
    <w:rsid w:val="003B0F10"/>
    <w:rsid w:val="003B1454"/>
    <w:rsid w:val="003B18B6"/>
    <w:rsid w:val="003B1925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4F05"/>
    <w:rsid w:val="003B51FA"/>
    <w:rsid w:val="003B561D"/>
    <w:rsid w:val="003B563C"/>
    <w:rsid w:val="003B597A"/>
    <w:rsid w:val="003B60FC"/>
    <w:rsid w:val="003B637A"/>
    <w:rsid w:val="003B658D"/>
    <w:rsid w:val="003B682E"/>
    <w:rsid w:val="003B6914"/>
    <w:rsid w:val="003B6933"/>
    <w:rsid w:val="003B6AEC"/>
    <w:rsid w:val="003B73F9"/>
    <w:rsid w:val="003B7C89"/>
    <w:rsid w:val="003B7D9C"/>
    <w:rsid w:val="003C022A"/>
    <w:rsid w:val="003C094D"/>
    <w:rsid w:val="003C0B60"/>
    <w:rsid w:val="003C110D"/>
    <w:rsid w:val="003C120A"/>
    <w:rsid w:val="003C15F0"/>
    <w:rsid w:val="003C1950"/>
    <w:rsid w:val="003C3090"/>
    <w:rsid w:val="003C3159"/>
    <w:rsid w:val="003C3247"/>
    <w:rsid w:val="003C3363"/>
    <w:rsid w:val="003C34C5"/>
    <w:rsid w:val="003C3537"/>
    <w:rsid w:val="003C3830"/>
    <w:rsid w:val="003C3B41"/>
    <w:rsid w:val="003C3CE3"/>
    <w:rsid w:val="003C4185"/>
    <w:rsid w:val="003C422D"/>
    <w:rsid w:val="003C49E9"/>
    <w:rsid w:val="003C4A96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1A3"/>
    <w:rsid w:val="003D0663"/>
    <w:rsid w:val="003D07AE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2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739"/>
    <w:rsid w:val="003E0D91"/>
    <w:rsid w:val="003E0FA5"/>
    <w:rsid w:val="003E189C"/>
    <w:rsid w:val="003E20B9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E7FF2"/>
    <w:rsid w:val="003F006B"/>
    <w:rsid w:val="003F016C"/>
    <w:rsid w:val="003F04A6"/>
    <w:rsid w:val="003F050C"/>
    <w:rsid w:val="003F07E5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1A4"/>
    <w:rsid w:val="003F46B8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0D94"/>
    <w:rsid w:val="004013D3"/>
    <w:rsid w:val="00401552"/>
    <w:rsid w:val="0040155B"/>
    <w:rsid w:val="00401561"/>
    <w:rsid w:val="00401597"/>
    <w:rsid w:val="0040176C"/>
    <w:rsid w:val="004022F4"/>
    <w:rsid w:val="00402705"/>
    <w:rsid w:val="00402B70"/>
    <w:rsid w:val="00402D01"/>
    <w:rsid w:val="00403401"/>
    <w:rsid w:val="004039B7"/>
    <w:rsid w:val="00403A95"/>
    <w:rsid w:val="00403C48"/>
    <w:rsid w:val="00403FBE"/>
    <w:rsid w:val="00403FED"/>
    <w:rsid w:val="00404109"/>
    <w:rsid w:val="00404310"/>
    <w:rsid w:val="004046DE"/>
    <w:rsid w:val="004047DC"/>
    <w:rsid w:val="00404825"/>
    <w:rsid w:val="00404AE4"/>
    <w:rsid w:val="004059EE"/>
    <w:rsid w:val="0040602D"/>
    <w:rsid w:val="004062D0"/>
    <w:rsid w:val="0040636D"/>
    <w:rsid w:val="00406831"/>
    <w:rsid w:val="00406972"/>
    <w:rsid w:val="00406A6F"/>
    <w:rsid w:val="00406B34"/>
    <w:rsid w:val="00406D8E"/>
    <w:rsid w:val="00406FEA"/>
    <w:rsid w:val="00406FEF"/>
    <w:rsid w:val="00407F01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4D3C"/>
    <w:rsid w:val="00415034"/>
    <w:rsid w:val="00415859"/>
    <w:rsid w:val="00416074"/>
    <w:rsid w:val="0041613F"/>
    <w:rsid w:val="0041642A"/>
    <w:rsid w:val="004166BE"/>
    <w:rsid w:val="00416704"/>
    <w:rsid w:val="00416F79"/>
    <w:rsid w:val="004174A6"/>
    <w:rsid w:val="0041751D"/>
    <w:rsid w:val="0041763C"/>
    <w:rsid w:val="00417721"/>
    <w:rsid w:val="00417878"/>
    <w:rsid w:val="0041799B"/>
    <w:rsid w:val="00417B5D"/>
    <w:rsid w:val="00417CCB"/>
    <w:rsid w:val="00417D88"/>
    <w:rsid w:val="004201D4"/>
    <w:rsid w:val="004202B6"/>
    <w:rsid w:val="00420644"/>
    <w:rsid w:val="00420B0E"/>
    <w:rsid w:val="00421127"/>
    <w:rsid w:val="004212E7"/>
    <w:rsid w:val="004214FF"/>
    <w:rsid w:val="00421679"/>
    <w:rsid w:val="00421A21"/>
    <w:rsid w:val="00421CBF"/>
    <w:rsid w:val="00421DF1"/>
    <w:rsid w:val="00421E1B"/>
    <w:rsid w:val="00421FAF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4AF7"/>
    <w:rsid w:val="00424CBE"/>
    <w:rsid w:val="00425189"/>
    <w:rsid w:val="00425AFD"/>
    <w:rsid w:val="00425D55"/>
    <w:rsid w:val="00425F82"/>
    <w:rsid w:val="00425FF1"/>
    <w:rsid w:val="004262BE"/>
    <w:rsid w:val="0042652B"/>
    <w:rsid w:val="004266F4"/>
    <w:rsid w:val="00426951"/>
    <w:rsid w:val="00426BB2"/>
    <w:rsid w:val="00426C57"/>
    <w:rsid w:val="004277D4"/>
    <w:rsid w:val="004278F3"/>
    <w:rsid w:val="00427BF8"/>
    <w:rsid w:val="00427C2B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6E1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3A4"/>
    <w:rsid w:val="004373BC"/>
    <w:rsid w:val="00437539"/>
    <w:rsid w:val="00437C89"/>
    <w:rsid w:val="00437D75"/>
    <w:rsid w:val="00437FDD"/>
    <w:rsid w:val="00440388"/>
    <w:rsid w:val="00440982"/>
    <w:rsid w:val="004412E3"/>
    <w:rsid w:val="004414D1"/>
    <w:rsid w:val="00441735"/>
    <w:rsid w:val="0044181F"/>
    <w:rsid w:val="004420A8"/>
    <w:rsid w:val="004424D0"/>
    <w:rsid w:val="004425D3"/>
    <w:rsid w:val="00442664"/>
    <w:rsid w:val="00442698"/>
    <w:rsid w:val="00442E6B"/>
    <w:rsid w:val="00443379"/>
    <w:rsid w:val="004437E8"/>
    <w:rsid w:val="00443D3B"/>
    <w:rsid w:val="00443D58"/>
    <w:rsid w:val="00443F59"/>
    <w:rsid w:val="004441B9"/>
    <w:rsid w:val="004443CE"/>
    <w:rsid w:val="004444E4"/>
    <w:rsid w:val="004445EE"/>
    <w:rsid w:val="00444B95"/>
    <w:rsid w:val="00444C80"/>
    <w:rsid w:val="00445047"/>
    <w:rsid w:val="004450CF"/>
    <w:rsid w:val="00445240"/>
    <w:rsid w:val="00445242"/>
    <w:rsid w:val="004454A7"/>
    <w:rsid w:val="0044643D"/>
    <w:rsid w:val="00447370"/>
    <w:rsid w:val="004475A5"/>
    <w:rsid w:val="004476B7"/>
    <w:rsid w:val="00447BA1"/>
    <w:rsid w:val="00447E54"/>
    <w:rsid w:val="00447E88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D37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656"/>
    <w:rsid w:val="00455BAF"/>
    <w:rsid w:val="00455DDF"/>
    <w:rsid w:val="004572DE"/>
    <w:rsid w:val="004573B9"/>
    <w:rsid w:val="004574D2"/>
    <w:rsid w:val="004576E6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614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CC0"/>
    <w:rsid w:val="00464D71"/>
    <w:rsid w:val="004657FC"/>
    <w:rsid w:val="004658DB"/>
    <w:rsid w:val="00465B40"/>
    <w:rsid w:val="00465C70"/>
    <w:rsid w:val="00465C71"/>
    <w:rsid w:val="00465E56"/>
    <w:rsid w:val="00466684"/>
    <w:rsid w:val="004669B0"/>
    <w:rsid w:val="00466A07"/>
    <w:rsid w:val="00466C59"/>
    <w:rsid w:val="00466EF6"/>
    <w:rsid w:val="0046740A"/>
    <w:rsid w:val="00467564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1D3A"/>
    <w:rsid w:val="00472EE0"/>
    <w:rsid w:val="0047328E"/>
    <w:rsid w:val="004732A1"/>
    <w:rsid w:val="004733E8"/>
    <w:rsid w:val="004733F6"/>
    <w:rsid w:val="00473B6B"/>
    <w:rsid w:val="00474387"/>
    <w:rsid w:val="004748AD"/>
    <w:rsid w:val="004749CA"/>
    <w:rsid w:val="00474E69"/>
    <w:rsid w:val="0047522C"/>
    <w:rsid w:val="00475536"/>
    <w:rsid w:val="00475605"/>
    <w:rsid w:val="00475653"/>
    <w:rsid w:val="004756B3"/>
    <w:rsid w:val="00475819"/>
    <w:rsid w:val="00475BFE"/>
    <w:rsid w:val="004760BF"/>
    <w:rsid w:val="00476135"/>
    <w:rsid w:val="004762DE"/>
    <w:rsid w:val="00476DCB"/>
    <w:rsid w:val="00476DF2"/>
    <w:rsid w:val="004771DA"/>
    <w:rsid w:val="004772BE"/>
    <w:rsid w:val="00477345"/>
    <w:rsid w:val="00477474"/>
    <w:rsid w:val="0047755C"/>
    <w:rsid w:val="00477B2F"/>
    <w:rsid w:val="00477E80"/>
    <w:rsid w:val="004809F8"/>
    <w:rsid w:val="00480FCE"/>
    <w:rsid w:val="00481426"/>
    <w:rsid w:val="00481CA9"/>
    <w:rsid w:val="00481EC5"/>
    <w:rsid w:val="00481F13"/>
    <w:rsid w:val="0048245A"/>
    <w:rsid w:val="00482757"/>
    <w:rsid w:val="00482AF4"/>
    <w:rsid w:val="00482DA1"/>
    <w:rsid w:val="00482DA5"/>
    <w:rsid w:val="004832E8"/>
    <w:rsid w:val="00483D7F"/>
    <w:rsid w:val="00484384"/>
    <w:rsid w:val="00484447"/>
    <w:rsid w:val="00484646"/>
    <w:rsid w:val="0048479D"/>
    <w:rsid w:val="00484A48"/>
    <w:rsid w:val="00484ADC"/>
    <w:rsid w:val="00484B40"/>
    <w:rsid w:val="0048506F"/>
    <w:rsid w:val="00485329"/>
    <w:rsid w:val="0048584D"/>
    <w:rsid w:val="00485887"/>
    <w:rsid w:val="00485AEA"/>
    <w:rsid w:val="00485B21"/>
    <w:rsid w:val="00485D5C"/>
    <w:rsid w:val="00485F5E"/>
    <w:rsid w:val="0048605A"/>
    <w:rsid w:val="004860A1"/>
    <w:rsid w:val="0048638C"/>
    <w:rsid w:val="00486535"/>
    <w:rsid w:val="00487D5D"/>
    <w:rsid w:val="00490156"/>
    <w:rsid w:val="00490E7E"/>
    <w:rsid w:val="004913CB"/>
    <w:rsid w:val="00491F05"/>
    <w:rsid w:val="00491F57"/>
    <w:rsid w:val="004923A9"/>
    <w:rsid w:val="00492526"/>
    <w:rsid w:val="004926AF"/>
    <w:rsid w:val="004927F0"/>
    <w:rsid w:val="00492957"/>
    <w:rsid w:val="00492BA2"/>
    <w:rsid w:val="004931BF"/>
    <w:rsid w:val="004936A2"/>
    <w:rsid w:val="00493A79"/>
    <w:rsid w:val="004943D4"/>
    <w:rsid w:val="00494487"/>
    <w:rsid w:val="004948A7"/>
    <w:rsid w:val="00494943"/>
    <w:rsid w:val="00494BAE"/>
    <w:rsid w:val="00494CCC"/>
    <w:rsid w:val="00494E13"/>
    <w:rsid w:val="0049532C"/>
    <w:rsid w:val="00495562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A4E"/>
    <w:rsid w:val="004A4CC9"/>
    <w:rsid w:val="004A4D31"/>
    <w:rsid w:val="004A4DAC"/>
    <w:rsid w:val="004A4FAE"/>
    <w:rsid w:val="004A55E1"/>
    <w:rsid w:val="004A5968"/>
    <w:rsid w:val="004A5A1E"/>
    <w:rsid w:val="004A5C2E"/>
    <w:rsid w:val="004A6556"/>
    <w:rsid w:val="004A668E"/>
    <w:rsid w:val="004A66CF"/>
    <w:rsid w:val="004A67AE"/>
    <w:rsid w:val="004A6C02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AAA"/>
    <w:rsid w:val="004B10CE"/>
    <w:rsid w:val="004B1467"/>
    <w:rsid w:val="004B19EA"/>
    <w:rsid w:val="004B22FA"/>
    <w:rsid w:val="004B23D6"/>
    <w:rsid w:val="004B2462"/>
    <w:rsid w:val="004B2507"/>
    <w:rsid w:val="004B27C1"/>
    <w:rsid w:val="004B295B"/>
    <w:rsid w:val="004B2B4B"/>
    <w:rsid w:val="004B2BCD"/>
    <w:rsid w:val="004B2D94"/>
    <w:rsid w:val="004B2D9B"/>
    <w:rsid w:val="004B2F07"/>
    <w:rsid w:val="004B2FFF"/>
    <w:rsid w:val="004B367F"/>
    <w:rsid w:val="004B3B93"/>
    <w:rsid w:val="004B40EC"/>
    <w:rsid w:val="004B455D"/>
    <w:rsid w:val="004B45E0"/>
    <w:rsid w:val="004B4ED9"/>
    <w:rsid w:val="004B58CF"/>
    <w:rsid w:val="004B59B4"/>
    <w:rsid w:val="004B59FC"/>
    <w:rsid w:val="004B5C0C"/>
    <w:rsid w:val="004B60C0"/>
    <w:rsid w:val="004B67D0"/>
    <w:rsid w:val="004B6883"/>
    <w:rsid w:val="004B6ADD"/>
    <w:rsid w:val="004B6AEF"/>
    <w:rsid w:val="004B6D34"/>
    <w:rsid w:val="004B6FD3"/>
    <w:rsid w:val="004B72E9"/>
    <w:rsid w:val="004B738B"/>
    <w:rsid w:val="004B740A"/>
    <w:rsid w:val="004B7797"/>
    <w:rsid w:val="004B7A83"/>
    <w:rsid w:val="004B7AAC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1E7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642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4B70"/>
    <w:rsid w:val="004D505B"/>
    <w:rsid w:val="004D5060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D7D66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2F44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A3"/>
    <w:rsid w:val="004E62BB"/>
    <w:rsid w:val="004E62CE"/>
    <w:rsid w:val="004E6847"/>
    <w:rsid w:val="004E6E27"/>
    <w:rsid w:val="004E73B9"/>
    <w:rsid w:val="004E746D"/>
    <w:rsid w:val="004E747F"/>
    <w:rsid w:val="004E7B4A"/>
    <w:rsid w:val="004E7DAB"/>
    <w:rsid w:val="004F07D6"/>
    <w:rsid w:val="004F0AC0"/>
    <w:rsid w:val="004F0BBD"/>
    <w:rsid w:val="004F0C3C"/>
    <w:rsid w:val="004F0DE6"/>
    <w:rsid w:val="004F0FB7"/>
    <w:rsid w:val="004F147A"/>
    <w:rsid w:val="004F14BB"/>
    <w:rsid w:val="004F14CE"/>
    <w:rsid w:val="004F1987"/>
    <w:rsid w:val="004F19E0"/>
    <w:rsid w:val="004F1C44"/>
    <w:rsid w:val="004F1F2A"/>
    <w:rsid w:val="004F2631"/>
    <w:rsid w:val="004F2B31"/>
    <w:rsid w:val="004F34A1"/>
    <w:rsid w:val="004F354E"/>
    <w:rsid w:val="004F429D"/>
    <w:rsid w:val="004F451E"/>
    <w:rsid w:val="004F479B"/>
    <w:rsid w:val="004F4829"/>
    <w:rsid w:val="004F4B43"/>
    <w:rsid w:val="004F4FBA"/>
    <w:rsid w:val="004F5801"/>
    <w:rsid w:val="004F588D"/>
    <w:rsid w:val="004F5AB2"/>
    <w:rsid w:val="004F5F17"/>
    <w:rsid w:val="004F63FC"/>
    <w:rsid w:val="004F65BF"/>
    <w:rsid w:val="004F665E"/>
    <w:rsid w:val="004F727F"/>
    <w:rsid w:val="004F7949"/>
    <w:rsid w:val="004F79BC"/>
    <w:rsid w:val="004F7D0A"/>
    <w:rsid w:val="004F7D38"/>
    <w:rsid w:val="004F7DEC"/>
    <w:rsid w:val="00500A40"/>
    <w:rsid w:val="00500A68"/>
    <w:rsid w:val="005015B8"/>
    <w:rsid w:val="00501781"/>
    <w:rsid w:val="00501CED"/>
    <w:rsid w:val="00501DCA"/>
    <w:rsid w:val="00501EDB"/>
    <w:rsid w:val="00502093"/>
    <w:rsid w:val="00502310"/>
    <w:rsid w:val="005033DE"/>
    <w:rsid w:val="00503528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D7B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2E0C"/>
    <w:rsid w:val="00513017"/>
    <w:rsid w:val="00513415"/>
    <w:rsid w:val="00513952"/>
    <w:rsid w:val="005139D4"/>
    <w:rsid w:val="00513B89"/>
    <w:rsid w:val="00513C5F"/>
    <w:rsid w:val="0051454D"/>
    <w:rsid w:val="0051456D"/>
    <w:rsid w:val="005149B5"/>
    <w:rsid w:val="005152E7"/>
    <w:rsid w:val="00515A16"/>
    <w:rsid w:val="005160D3"/>
    <w:rsid w:val="0051689B"/>
    <w:rsid w:val="00516955"/>
    <w:rsid w:val="00516F25"/>
    <w:rsid w:val="0051737F"/>
    <w:rsid w:val="005179B9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1E50"/>
    <w:rsid w:val="00521FAC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950"/>
    <w:rsid w:val="00523C48"/>
    <w:rsid w:val="00523C73"/>
    <w:rsid w:val="005244E3"/>
    <w:rsid w:val="0052481E"/>
    <w:rsid w:val="0052482F"/>
    <w:rsid w:val="0052497E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D6A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3D3F"/>
    <w:rsid w:val="00533F7D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88"/>
    <w:rsid w:val="005370E6"/>
    <w:rsid w:val="0053788F"/>
    <w:rsid w:val="00537991"/>
    <w:rsid w:val="00537B0C"/>
    <w:rsid w:val="00537CA8"/>
    <w:rsid w:val="00540118"/>
    <w:rsid w:val="0054021D"/>
    <w:rsid w:val="005406E7"/>
    <w:rsid w:val="005408F3"/>
    <w:rsid w:val="00541102"/>
    <w:rsid w:val="00541BBC"/>
    <w:rsid w:val="00541E6E"/>
    <w:rsid w:val="0054226B"/>
    <w:rsid w:val="005422B8"/>
    <w:rsid w:val="0054251F"/>
    <w:rsid w:val="0054266C"/>
    <w:rsid w:val="00542965"/>
    <w:rsid w:val="0054361A"/>
    <w:rsid w:val="00543885"/>
    <w:rsid w:val="005439AD"/>
    <w:rsid w:val="00543B5D"/>
    <w:rsid w:val="00543D12"/>
    <w:rsid w:val="00543D4C"/>
    <w:rsid w:val="00543E32"/>
    <w:rsid w:val="00543FD3"/>
    <w:rsid w:val="005440CE"/>
    <w:rsid w:val="005441D9"/>
    <w:rsid w:val="005441FB"/>
    <w:rsid w:val="005443A9"/>
    <w:rsid w:val="00544654"/>
    <w:rsid w:val="0054468A"/>
    <w:rsid w:val="00544944"/>
    <w:rsid w:val="00544A87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AD2"/>
    <w:rsid w:val="00550B09"/>
    <w:rsid w:val="00550BC4"/>
    <w:rsid w:val="0055139C"/>
    <w:rsid w:val="005518A5"/>
    <w:rsid w:val="00551A80"/>
    <w:rsid w:val="00551CCB"/>
    <w:rsid w:val="00551F37"/>
    <w:rsid w:val="005520D8"/>
    <w:rsid w:val="00552262"/>
    <w:rsid w:val="00552406"/>
    <w:rsid w:val="005528D8"/>
    <w:rsid w:val="0055291F"/>
    <w:rsid w:val="00552D80"/>
    <w:rsid w:val="00553D49"/>
    <w:rsid w:val="00553EE7"/>
    <w:rsid w:val="005540B0"/>
    <w:rsid w:val="00554394"/>
    <w:rsid w:val="005547E9"/>
    <w:rsid w:val="00555389"/>
    <w:rsid w:val="00555529"/>
    <w:rsid w:val="0055556A"/>
    <w:rsid w:val="00555A60"/>
    <w:rsid w:val="00555A81"/>
    <w:rsid w:val="00556090"/>
    <w:rsid w:val="00556147"/>
    <w:rsid w:val="00556449"/>
    <w:rsid w:val="0055673B"/>
    <w:rsid w:val="00556C19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8CC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DDC"/>
    <w:rsid w:val="00563FA8"/>
    <w:rsid w:val="005641E0"/>
    <w:rsid w:val="005642F3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91"/>
    <w:rsid w:val="00567FF8"/>
    <w:rsid w:val="00570022"/>
    <w:rsid w:val="00570308"/>
    <w:rsid w:val="00570F52"/>
    <w:rsid w:val="00570F6C"/>
    <w:rsid w:val="00571186"/>
    <w:rsid w:val="005714E3"/>
    <w:rsid w:val="0057184E"/>
    <w:rsid w:val="005718C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1DF"/>
    <w:rsid w:val="0057528D"/>
    <w:rsid w:val="00575415"/>
    <w:rsid w:val="0057550B"/>
    <w:rsid w:val="00575688"/>
    <w:rsid w:val="005759BB"/>
    <w:rsid w:val="005759D6"/>
    <w:rsid w:val="00575A1E"/>
    <w:rsid w:val="00575B6C"/>
    <w:rsid w:val="00575BC7"/>
    <w:rsid w:val="00575CCE"/>
    <w:rsid w:val="005762A7"/>
    <w:rsid w:val="0057656D"/>
    <w:rsid w:val="00576599"/>
    <w:rsid w:val="00576ADD"/>
    <w:rsid w:val="0057755D"/>
    <w:rsid w:val="005775DC"/>
    <w:rsid w:val="005776B2"/>
    <w:rsid w:val="00577A36"/>
    <w:rsid w:val="00577B34"/>
    <w:rsid w:val="00577CC6"/>
    <w:rsid w:val="0058013B"/>
    <w:rsid w:val="0058017E"/>
    <w:rsid w:val="005803C3"/>
    <w:rsid w:val="00580871"/>
    <w:rsid w:val="0058096C"/>
    <w:rsid w:val="00580A17"/>
    <w:rsid w:val="00581218"/>
    <w:rsid w:val="00581E16"/>
    <w:rsid w:val="00582135"/>
    <w:rsid w:val="0058284C"/>
    <w:rsid w:val="005831B5"/>
    <w:rsid w:val="005832C7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50"/>
    <w:rsid w:val="0058559C"/>
    <w:rsid w:val="005855C3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97F06"/>
    <w:rsid w:val="005A001B"/>
    <w:rsid w:val="005A05DB"/>
    <w:rsid w:val="005A0BE9"/>
    <w:rsid w:val="005A0CFD"/>
    <w:rsid w:val="005A1220"/>
    <w:rsid w:val="005A19B5"/>
    <w:rsid w:val="005A1AFC"/>
    <w:rsid w:val="005A1DA6"/>
    <w:rsid w:val="005A2633"/>
    <w:rsid w:val="005A2654"/>
    <w:rsid w:val="005A2CE4"/>
    <w:rsid w:val="005A304D"/>
    <w:rsid w:val="005A3A01"/>
    <w:rsid w:val="005A3A30"/>
    <w:rsid w:val="005A3D73"/>
    <w:rsid w:val="005A3E67"/>
    <w:rsid w:val="005A438D"/>
    <w:rsid w:val="005A43C6"/>
    <w:rsid w:val="005A478A"/>
    <w:rsid w:val="005A4BAD"/>
    <w:rsid w:val="005A5088"/>
    <w:rsid w:val="005A525B"/>
    <w:rsid w:val="005A5A2D"/>
    <w:rsid w:val="005A5D06"/>
    <w:rsid w:val="005A63A1"/>
    <w:rsid w:val="005A649C"/>
    <w:rsid w:val="005A698C"/>
    <w:rsid w:val="005A6C97"/>
    <w:rsid w:val="005A7091"/>
    <w:rsid w:val="005A732F"/>
    <w:rsid w:val="005A7690"/>
    <w:rsid w:val="005A794C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5C4"/>
    <w:rsid w:val="005B2728"/>
    <w:rsid w:val="005B29B5"/>
    <w:rsid w:val="005B29E6"/>
    <w:rsid w:val="005B2D41"/>
    <w:rsid w:val="005B3568"/>
    <w:rsid w:val="005B372D"/>
    <w:rsid w:val="005B380A"/>
    <w:rsid w:val="005B4112"/>
    <w:rsid w:val="005B4279"/>
    <w:rsid w:val="005B47B2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11D"/>
    <w:rsid w:val="005C0318"/>
    <w:rsid w:val="005C037B"/>
    <w:rsid w:val="005C05BD"/>
    <w:rsid w:val="005C0AC6"/>
    <w:rsid w:val="005C0C24"/>
    <w:rsid w:val="005C0C64"/>
    <w:rsid w:val="005C0DFA"/>
    <w:rsid w:val="005C1175"/>
    <w:rsid w:val="005C12DB"/>
    <w:rsid w:val="005C178D"/>
    <w:rsid w:val="005C1C9C"/>
    <w:rsid w:val="005C2411"/>
    <w:rsid w:val="005C2EF4"/>
    <w:rsid w:val="005C3010"/>
    <w:rsid w:val="005C3389"/>
    <w:rsid w:val="005C35A7"/>
    <w:rsid w:val="005C3823"/>
    <w:rsid w:val="005C3996"/>
    <w:rsid w:val="005C3AD0"/>
    <w:rsid w:val="005C4099"/>
    <w:rsid w:val="005C44D8"/>
    <w:rsid w:val="005C47B0"/>
    <w:rsid w:val="005C4825"/>
    <w:rsid w:val="005C5099"/>
    <w:rsid w:val="005C56C5"/>
    <w:rsid w:val="005C5A0C"/>
    <w:rsid w:val="005C5D6C"/>
    <w:rsid w:val="005C5E14"/>
    <w:rsid w:val="005C6719"/>
    <w:rsid w:val="005C6731"/>
    <w:rsid w:val="005C6ABE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542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95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6FB4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3F4C"/>
    <w:rsid w:val="005E428D"/>
    <w:rsid w:val="005E4B01"/>
    <w:rsid w:val="005E4CDA"/>
    <w:rsid w:val="005E4F2F"/>
    <w:rsid w:val="005E522F"/>
    <w:rsid w:val="005E54A5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808"/>
    <w:rsid w:val="005F0970"/>
    <w:rsid w:val="005F0BE2"/>
    <w:rsid w:val="005F0E58"/>
    <w:rsid w:val="005F11AE"/>
    <w:rsid w:val="005F1614"/>
    <w:rsid w:val="005F1D1B"/>
    <w:rsid w:val="005F1F55"/>
    <w:rsid w:val="005F1FBD"/>
    <w:rsid w:val="005F27CB"/>
    <w:rsid w:val="005F2D0E"/>
    <w:rsid w:val="005F314B"/>
    <w:rsid w:val="005F31DA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154"/>
    <w:rsid w:val="005F6847"/>
    <w:rsid w:val="005F72F9"/>
    <w:rsid w:val="005F733D"/>
    <w:rsid w:val="005F75AE"/>
    <w:rsid w:val="005F7AE9"/>
    <w:rsid w:val="005F7E2E"/>
    <w:rsid w:val="00600770"/>
    <w:rsid w:val="00600BB8"/>
    <w:rsid w:val="00600CA9"/>
    <w:rsid w:val="006010E1"/>
    <w:rsid w:val="006019C7"/>
    <w:rsid w:val="00601C0F"/>
    <w:rsid w:val="00601EAB"/>
    <w:rsid w:val="00602ACF"/>
    <w:rsid w:val="00602C22"/>
    <w:rsid w:val="00602F46"/>
    <w:rsid w:val="00603370"/>
    <w:rsid w:val="006037B9"/>
    <w:rsid w:val="00603EA1"/>
    <w:rsid w:val="006044AD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773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2FD3"/>
    <w:rsid w:val="00613003"/>
    <w:rsid w:val="00613005"/>
    <w:rsid w:val="00613340"/>
    <w:rsid w:val="006135AB"/>
    <w:rsid w:val="00613B5D"/>
    <w:rsid w:val="00614060"/>
    <w:rsid w:val="0061428C"/>
    <w:rsid w:val="0061444E"/>
    <w:rsid w:val="00614518"/>
    <w:rsid w:val="00614727"/>
    <w:rsid w:val="006148B5"/>
    <w:rsid w:val="00615213"/>
    <w:rsid w:val="00615382"/>
    <w:rsid w:val="00615486"/>
    <w:rsid w:val="006155B7"/>
    <w:rsid w:val="006157C3"/>
    <w:rsid w:val="00615910"/>
    <w:rsid w:val="00615CB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4EF"/>
    <w:rsid w:val="00621793"/>
    <w:rsid w:val="00621E3A"/>
    <w:rsid w:val="00622096"/>
    <w:rsid w:val="006225F7"/>
    <w:rsid w:val="00622C1A"/>
    <w:rsid w:val="00622D8F"/>
    <w:rsid w:val="00623073"/>
    <w:rsid w:val="006230AF"/>
    <w:rsid w:val="006231F7"/>
    <w:rsid w:val="006237F9"/>
    <w:rsid w:val="00623EF5"/>
    <w:rsid w:val="00623FEC"/>
    <w:rsid w:val="00624072"/>
    <w:rsid w:val="006242B5"/>
    <w:rsid w:val="0062434C"/>
    <w:rsid w:val="006249A7"/>
    <w:rsid w:val="00624C69"/>
    <w:rsid w:val="0062503E"/>
    <w:rsid w:val="006251DF"/>
    <w:rsid w:val="00625486"/>
    <w:rsid w:val="00625663"/>
    <w:rsid w:val="00625787"/>
    <w:rsid w:val="006257C9"/>
    <w:rsid w:val="00625BB4"/>
    <w:rsid w:val="00625BFA"/>
    <w:rsid w:val="00625FA2"/>
    <w:rsid w:val="006260E5"/>
    <w:rsid w:val="00626387"/>
    <w:rsid w:val="006267B9"/>
    <w:rsid w:val="006271CE"/>
    <w:rsid w:val="00627338"/>
    <w:rsid w:val="0062745D"/>
    <w:rsid w:val="006277D0"/>
    <w:rsid w:val="006277F2"/>
    <w:rsid w:val="006309C1"/>
    <w:rsid w:val="00630E0C"/>
    <w:rsid w:val="00630F32"/>
    <w:rsid w:val="0063109E"/>
    <w:rsid w:val="006310A2"/>
    <w:rsid w:val="00631467"/>
    <w:rsid w:val="00631716"/>
    <w:rsid w:val="00631811"/>
    <w:rsid w:val="00631E2E"/>
    <w:rsid w:val="00632006"/>
    <w:rsid w:val="00632743"/>
    <w:rsid w:val="00632AE1"/>
    <w:rsid w:val="00632D73"/>
    <w:rsid w:val="00632E12"/>
    <w:rsid w:val="00632E63"/>
    <w:rsid w:val="00633014"/>
    <w:rsid w:val="00633042"/>
    <w:rsid w:val="006330AD"/>
    <w:rsid w:val="00633A99"/>
    <w:rsid w:val="00633BDE"/>
    <w:rsid w:val="00633C48"/>
    <w:rsid w:val="0063437B"/>
    <w:rsid w:val="006346C5"/>
    <w:rsid w:val="006348C9"/>
    <w:rsid w:val="00634F41"/>
    <w:rsid w:val="0063504A"/>
    <w:rsid w:val="00635150"/>
    <w:rsid w:val="006351A2"/>
    <w:rsid w:val="00635750"/>
    <w:rsid w:val="00635856"/>
    <w:rsid w:val="006359B9"/>
    <w:rsid w:val="00636271"/>
    <w:rsid w:val="006364A2"/>
    <w:rsid w:val="006368D1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649"/>
    <w:rsid w:val="006417CE"/>
    <w:rsid w:val="00641E35"/>
    <w:rsid w:val="00641EED"/>
    <w:rsid w:val="00641F54"/>
    <w:rsid w:val="00642270"/>
    <w:rsid w:val="0064227E"/>
    <w:rsid w:val="006424AF"/>
    <w:rsid w:val="00642D9F"/>
    <w:rsid w:val="00642DEE"/>
    <w:rsid w:val="00642EBC"/>
    <w:rsid w:val="00642EBD"/>
    <w:rsid w:val="00642FE1"/>
    <w:rsid w:val="006433D8"/>
    <w:rsid w:val="00643551"/>
    <w:rsid w:val="0064361C"/>
    <w:rsid w:val="00643AA5"/>
    <w:rsid w:val="00643B82"/>
    <w:rsid w:val="00644354"/>
    <w:rsid w:val="006447B9"/>
    <w:rsid w:val="00644B37"/>
    <w:rsid w:val="00644F68"/>
    <w:rsid w:val="006452FB"/>
    <w:rsid w:val="00645367"/>
    <w:rsid w:val="00645672"/>
    <w:rsid w:val="00645CC8"/>
    <w:rsid w:val="00645D1C"/>
    <w:rsid w:val="00645EF5"/>
    <w:rsid w:val="00646037"/>
    <w:rsid w:val="00646336"/>
    <w:rsid w:val="00646C0B"/>
    <w:rsid w:val="00646C31"/>
    <w:rsid w:val="00646F37"/>
    <w:rsid w:val="0064738C"/>
    <w:rsid w:val="006476E8"/>
    <w:rsid w:val="0065011D"/>
    <w:rsid w:val="0065068C"/>
    <w:rsid w:val="006508C3"/>
    <w:rsid w:val="00650D0C"/>
    <w:rsid w:val="00650F9D"/>
    <w:rsid w:val="00650FBF"/>
    <w:rsid w:val="00651200"/>
    <w:rsid w:val="0065162E"/>
    <w:rsid w:val="00651B07"/>
    <w:rsid w:val="00651EDA"/>
    <w:rsid w:val="006520F4"/>
    <w:rsid w:val="00652257"/>
    <w:rsid w:val="00652341"/>
    <w:rsid w:val="006529CE"/>
    <w:rsid w:val="006529D1"/>
    <w:rsid w:val="00652D32"/>
    <w:rsid w:val="006534C9"/>
    <w:rsid w:val="0065365C"/>
    <w:rsid w:val="006538D8"/>
    <w:rsid w:val="00653B0B"/>
    <w:rsid w:val="00653F2C"/>
    <w:rsid w:val="00653F70"/>
    <w:rsid w:val="0065431C"/>
    <w:rsid w:val="00654477"/>
    <w:rsid w:val="00654508"/>
    <w:rsid w:val="00654A96"/>
    <w:rsid w:val="00654B0C"/>
    <w:rsid w:val="00654BAD"/>
    <w:rsid w:val="00654BC7"/>
    <w:rsid w:val="00654CA2"/>
    <w:rsid w:val="00654CB7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57F79"/>
    <w:rsid w:val="00660046"/>
    <w:rsid w:val="006602AF"/>
    <w:rsid w:val="0066090F"/>
    <w:rsid w:val="00660B2F"/>
    <w:rsid w:val="00661BC3"/>
    <w:rsid w:val="00661F73"/>
    <w:rsid w:val="006620D4"/>
    <w:rsid w:val="00662137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B05"/>
    <w:rsid w:val="00665B87"/>
    <w:rsid w:val="00665F4A"/>
    <w:rsid w:val="0066612A"/>
    <w:rsid w:val="006662B3"/>
    <w:rsid w:val="006665A5"/>
    <w:rsid w:val="00666864"/>
    <w:rsid w:val="006669EF"/>
    <w:rsid w:val="00666B90"/>
    <w:rsid w:val="006673CA"/>
    <w:rsid w:val="006673EF"/>
    <w:rsid w:val="00667A30"/>
    <w:rsid w:val="00667B01"/>
    <w:rsid w:val="00667C38"/>
    <w:rsid w:val="00667C88"/>
    <w:rsid w:val="00667E28"/>
    <w:rsid w:val="00667F34"/>
    <w:rsid w:val="00670163"/>
    <w:rsid w:val="006703F2"/>
    <w:rsid w:val="006705FA"/>
    <w:rsid w:val="00670706"/>
    <w:rsid w:val="00670B70"/>
    <w:rsid w:val="00670E20"/>
    <w:rsid w:val="006710CE"/>
    <w:rsid w:val="0067117B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5E25"/>
    <w:rsid w:val="0067620D"/>
    <w:rsid w:val="0067639E"/>
    <w:rsid w:val="0067645F"/>
    <w:rsid w:val="006770FD"/>
    <w:rsid w:val="006773AC"/>
    <w:rsid w:val="0067747C"/>
    <w:rsid w:val="0067748A"/>
    <w:rsid w:val="006776FA"/>
    <w:rsid w:val="00677949"/>
    <w:rsid w:val="00677BD7"/>
    <w:rsid w:val="00677EAF"/>
    <w:rsid w:val="006802EF"/>
    <w:rsid w:val="00680575"/>
    <w:rsid w:val="00680617"/>
    <w:rsid w:val="0068087A"/>
    <w:rsid w:val="00680E47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3EF4"/>
    <w:rsid w:val="00684015"/>
    <w:rsid w:val="0068407D"/>
    <w:rsid w:val="00684399"/>
    <w:rsid w:val="00684909"/>
    <w:rsid w:val="00684AC4"/>
    <w:rsid w:val="00684F03"/>
    <w:rsid w:val="00685206"/>
    <w:rsid w:val="006859C7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665"/>
    <w:rsid w:val="00691AF1"/>
    <w:rsid w:val="0069254A"/>
    <w:rsid w:val="0069262E"/>
    <w:rsid w:val="0069266F"/>
    <w:rsid w:val="006927E8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9743A"/>
    <w:rsid w:val="0069780D"/>
    <w:rsid w:val="006A01ED"/>
    <w:rsid w:val="006A046B"/>
    <w:rsid w:val="006A0940"/>
    <w:rsid w:val="006A0961"/>
    <w:rsid w:val="006A0AEC"/>
    <w:rsid w:val="006A0AEF"/>
    <w:rsid w:val="006A1654"/>
    <w:rsid w:val="006A16DB"/>
    <w:rsid w:val="006A1A37"/>
    <w:rsid w:val="006A1B08"/>
    <w:rsid w:val="006A1EDD"/>
    <w:rsid w:val="006A23FC"/>
    <w:rsid w:val="006A265B"/>
    <w:rsid w:val="006A2723"/>
    <w:rsid w:val="006A28A8"/>
    <w:rsid w:val="006A2F30"/>
    <w:rsid w:val="006A322C"/>
    <w:rsid w:val="006A39C2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1B1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1B45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60"/>
    <w:rsid w:val="006B527F"/>
    <w:rsid w:val="006B52D5"/>
    <w:rsid w:val="006B5411"/>
    <w:rsid w:val="006B5442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1F3"/>
    <w:rsid w:val="006C1521"/>
    <w:rsid w:val="006C161D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94C"/>
    <w:rsid w:val="006C29B1"/>
    <w:rsid w:val="006C29FE"/>
    <w:rsid w:val="006C2CFD"/>
    <w:rsid w:val="006C2FF8"/>
    <w:rsid w:val="006C30E9"/>
    <w:rsid w:val="006C311D"/>
    <w:rsid w:val="006C3D22"/>
    <w:rsid w:val="006C40B7"/>
    <w:rsid w:val="006C40FE"/>
    <w:rsid w:val="006C4599"/>
    <w:rsid w:val="006C46B3"/>
    <w:rsid w:val="006C48DC"/>
    <w:rsid w:val="006C4F25"/>
    <w:rsid w:val="006C50CB"/>
    <w:rsid w:val="006C51D3"/>
    <w:rsid w:val="006C51E2"/>
    <w:rsid w:val="006C5227"/>
    <w:rsid w:val="006C52EA"/>
    <w:rsid w:val="006C52ED"/>
    <w:rsid w:val="006C5407"/>
    <w:rsid w:val="006C54F6"/>
    <w:rsid w:val="006C5628"/>
    <w:rsid w:val="006C6271"/>
    <w:rsid w:val="006C659E"/>
    <w:rsid w:val="006C6763"/>
    <w:rsid w:val="006C67E9"/>
    <w:rsid w:val="006C6D39"/>
    <w:rsid w:val="006C6E99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7D"/>
    <w:rsid w:val="006D1268"/>
    <w:rsid w:val="006D1507"/>
    <w:rsid w:val="006D15C6"/>
    <w:rsid w:val="006D1C87"/>
    <w:rsid w:val="006D2564"/>
    <w:rsid w:val="006D289B"/>
    <w:rsid w:val="006D308D"/>
    <w:rsid w:val="006D312C"/>
    <w:rsid w:val="006D313E"/>
    <w:rsid w:val="006D39BC"/>
    <w:rsid w:val="006D39C5"/>
    <w:rsid w:val="006D3CEA"/>
    <w:rsid w:val="006D4054"/>
    <w:rsid w:val="006D40D3"/>
    <w:rsid w:val="006D4232"/>
    <w:rsid w:val="006D432A"/>
    <w:rsid w:val="006D44B0"/>
    <w:rsid w:val="006D4BE7"/>
    <w:rsid w:val="006D4D80"/>
    <w:rsid w:val="006D4DA4"/>
    <w:rsid w:val="006D4E34"/>
    <w:rsid w:val="006D4EA1"/>
    <w:rsid w:val="006D516E"/>
    <w:rsid w:val="006D5176"/>
    <w:rsid w:val="006D5232"/>
    <w:rsid w:val="006D54B1"/>
    <w:rsid w:val="006D597F"/>
    <w:rsid w:val="006D5A10"/>
    <w:rsid w:val="006D5C41"/>
    <w:rsid w:val="006D62BA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2"/>
    <w:rsid w:val="006E16B4"/>
    <w:rsid w:val="006E1A0B"/>
    <w:rsid w:val="006E1BBB"/>
    <w:rsid w:val="006E1C76"/>
    <w:rsid w:val="006E1D1E"/>
    <w:rsid w:val="006E235F"/>
    <w:rsid w:val="006E24A6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626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A09"/>
    <w:rsid w:val="006F2BC3"/>
    <w:rsid w:val="006F2BDF"/>
    <w:rsid w:val="006F2EDF"/>
    <w:rsid w:val="006F2F75"/>
    <w:rsid w:val="006F3191"/>
    <w:rsid w:val="006F41B1"/>
    <w:rsid w:val="006F43F3"/>
    <w:rsid w:val="006F47D5"/>
    <w:rsid w:val="006F4D5B"/>
    <w:rsid w:val="006F4E2F"/>
    <w:rsid w:val="006F4E93"/>
    <w:rsid w:val="006F54BF"/>
    <w:rsid w:val="006F57CD"/>
    <w:rsid w:val="006F5B38"/>
    <w:rsid w:val="006F5E8E"/>
    <w:rsid w:val="006F5FC3"/>
    <w:rsid w:val="006F6826"/>
    <w:rsid w:val="006F68C1"/>
    <w:rsid w:val="006F69D1"/>
    <w:rsid w:val="006F6A26"/>
    <w:rsid w:val="006F6B72"/>
    <w:rsid w:val="006F6E3C"/>
    <w:rsid w:val="006F6EC3"/>
    <w:rsid w:val="006F72EA"/>
    <w:rsid w:val="006F75CE"/>
    <w:rsid w:val="006F75EC"/>
    <w:rsid w:val="0070021A"/>
    <w:rsid w:val="00700740"/>
    <w:rsid w:val="00700833"/>
    <w:rsid w:val="007008BC"/>
    <w:rsid w:val="007009FA"/>
    <w:rsid w:val="00700CDB"/>
    <w:rsid w:val="00701598"/>
    <w:rsid w:val="0070162F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1BC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6CC4"/>
    <w:rsid w:val="0070711D"/>
    <w:rsid w:val="00707185"/>
    <w:rsid w:val="00707306"/>
    <w:rsid w:val="007075FB"/>
    <w:rsid w:val="00707949"/>
    <w:rsid w:val="00707A0E"/>
    <w:rsid w:val="00707A69"/>
    <w:rsid w:val="00707C98"/>
    <w:rsid w:val="00707E3D"/>
    <w:rsid w:val="0071006B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48D"/>
    <w:rsid w:val="0071379D"/>
    <w:rsid w:val="0071381E"/>
    <w:rsid w:val="00713C12"/>
    <w:rsid w:val="00714038"/>
    <w:rsid w:val="0071435A"/>
    <w:rsid w:val="00714454"/>
    <w:rsid w:val="00714791"/>
    <w:rsid w:val="007147D8"/>
    <w:rsid w:val="0071511E"/>
    <w:rsid w:val="00715671"/>
    <w:rsid w:val="007156B3"/>
    <w:rsid w:val="00715C85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901"/>
    <w:rsid w:val="007219AB"/>
    <w:rsid w:val="00721EF6"/>
    <w:rsid w:val="00721F1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4F99"/>
    <w:rsid w:val="00725265"/>
    <w:rsid w:val="007257AE"/>
    <w:rsid w:val="00725847"/>
    <w:rsid w:val="00725CEF"/>
    <w:rsid w:val="0072604A"/>
    <w:rsid w:val="007265A3"/>
    <w:rsid w:val="00726664"/>
    <w:rsid w:val="0072671E"/>
    <w:rsid w:val="00726B45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4DA"/>
    <w:rsid w:val="007305F7"/>
    <w:rsid w:val="00731004"/>
    <w:rsid w:val="00731117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04E"/>
    <w:rsid w:val="00735327"/>
    <w:rsid w:val="0073551F"/>
    <w:rsid w:val="00735831"/>
    <w:rsid w:val="0073617A"/>
    <w:rsid w:val="00736672"/>
    <w:rsid w:val="007366A5"/>
    <w:rsid w:val="007367BB"/>
    <w:rsid w:val="00736E95"/>
    <w:rsid w:val="007372E3"/>
    <w:rsid w:val="00737796"/>
    <w:rsid w:val="00737F84"/>
    <w:rsid w:val="007400FA"/>
    <w:rsid w:val="0074043D"/>
    <w:rsid w:val="007407F5"/>
    <w:rsid w:val="0074091E"/>
    <w:rsid w:val="0074199B"/>
    <w:rsid w:val="00741A32"/>
    <w:rsid w:val="00741D8D"/>
    <w:rsid w:val="00742193"/>
    <w:rsid w:val="0074228C"/>
    <w:rsid w:val="007428AF"/>
    <w:rsid w:val="00742E03"/>
    <w:rsid w:val="00743322"/>
    <w:rsid w:val="0074362C"/>
    <w:rsid w:val="00743B6B"/>
    <w:rsid w:val="00743CBF"/>
    <w:rsid w:val="00743CE9"/>
    <w:rsid w:val="00743D4E"/>
    <w:rsid w:val="00744A53"/>
    <w:rsid w:val="00744D4B"/>
    <w:rsid w:val="00745411"/>
    <w:rsid w:val="00745660"/>
    <w:rsid w:val="00745CC0"/>
    <w:rsid w:val="00745DA8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ADA"/>
    <w:rsid w:val="00750B50"/>
    <w:rsid w:val="00750FD8"/>
    <w:rsid w:val="007510F3"/>
    <w:rsid w:val="007517A2"/>
    <w:rsid w:val="007522B1"/>
    <w:rsid w:val="00752BC6"/>
    <w:rsid w:val="00752CDD"/>
    <w:rsid w:val="00752E82"/>
    <w:rsid w:val="00753050"/>
    <w:rsid w:val="007532DD"/>
    <w:rsid w:val="00753872"/>
    <w:rsid w:val="00753D26"/>
    <w:rsid w:val="00753EA6"/>
    <w:rsid w:val="007541DF"/>
    <w:rsid w:val="0075498A"/>
    <w:rsid w:val="00754BA2"/>
    <w:rsid w:val="00754FBC"/>
    <w:rsid w:val="0075550F"/>
    <w:rsid w:val="00755711"/>
    <w:rsid w:val="00755E92"/>
    <w:rsid w:val="00756152"/>
    <w:rsid w:val="007561C3"/>
    <w:rsid w:val="00756528"/>
    <w:rsid w:val="00756636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8E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3D94"/>
    <w:rsid w:val="007641AF"/>
    <w:rsid w:val="007641E6"/>
    <w:rsid w:val="007644C6"/>
    <w:rsid w:val="0076454B"/>
    <w:rsid w:val="007646C6"/>
    <w:rsid w:val="00764701"/>
    <w:rsid w:val="0076488E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BF7"/>
    <w:rsid w:val="00770E19"/>
    <w:rsid w:val="00771359"/>
    <w:rsid w:val="007713CD"/>
    <w:rsid w:val="0077147F"/>
    <w:rsid w:val="0077192F"/>
    <w:rsid w:val="00771968"/>
    <w:rsid w:val="00771B02"/>
    <w:rsid w:val="00771BA4"/>
    <w:rsid w:val="00771EA4"/>
    <w:rsid w:val="00772FB0"/>
    <w:rsid w:val="0077390A"/>
    <w:rsid w:val="00773C75"/>
    <w:rsid w:val="00773ECD"/>
    <w:rsid w:val="007741B2"/>
    <w:rsid w:val="0077446B"/>
    <w:rsid w:val="007744AA"/>
    <w:rsid w:val="007745FD"/>
    <w:rsid w:val="00774773"/>
    <w:rsid w:val="00774B90"/>
    <w:rsid w:val="00775160"/>
    <w:rsid w:val="00775851"/>
    <w:rsid w:val="00775AD8"/>
    <w:rsid w:val="00775B22"/>
    <w:rsid w:val="00775BA2"/>
    <w:rsid w:val="00775E44"/>
    <w:rsid w:val="007762A1"/>
    <w:rsid w:val="0077671D"/>
    <w:rsid w:val="007767BC"/>
    <w:rsid w:val="00776E06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3ED"/>
    <w:rsid w:val="007817EA"/>
    <w:rsid w:val="00781A29"/>
    <w:rsid w:val="00781D3A"/>
    <w:rsid w:val="007822A0"/>
    <w:rsid w:val="00782B6E"/>
    <w:rsid w:val="00782C79"/>
    <w:rsid w:val="00782DA0"/>
    <w:rsid w:val="00783103"/>
    <w:rsid w:val="0078346C"/>
    <w:rsid w:val="007835EE"/>
    <w:rsid w:val="007837F9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03E"/>
    <w:rsid w:val="00786124"/>
    <w:rsid w:val="0078696D"/>
    <w:rsid w:val="0078741B"/>
    <w:rsid w:val="00787E79"/>
    <w:rsid w:val="0079037B"/>
    <w:rsid w:val="007906CC"/>
    <w:rsid w:val="00790983"/>
    <w:rsid w:val="00791598"/>
    <w:rsid w:val="0079190E"/>
    <w:rsid w:val="00791DDA"/>
    <w:rsid w:val="0079281A"/>
    <w:rsid w:val="00792BD7"/>
    <w:rsid w:val="00792D38"/>
    <w:rsid w:val="007934C4"/>
    <w:rsid w:val="007936E2"/>
    <w:rsid w:val="007939A8"/>
    <w:rsid w:val="00793A1A"/>
    <w:rsid w:val="00793A92"/>
    <w:rsid w:val="00794005"/>
    <w:rsid w:val="00794D5B"/>
    <w:rsid w:val="0079500B"/>
    <w:rsid w:val="0079514B"/>
    <w:rsid w:val="00795367"/>
    <w:rsid w:val="007956B3"/>
    <w:rsid w:val="007956EA"/>
    <w:rsid w:val="00795905"/>
    <w:rsid w:val="0079612F"/>
    <w:rsid w:val="0079632D"/>
    <w:rsid w:val="00796338"/>
    <w:rsid w:val="00796646"/>
    <w:rsid w:val="00796ACA"/>
    <w:rsid w:val="00796B0D"/>
    <w:rsid w:val="00796C3A"/>
    <w:rsid w:val="00796D1A"/>
    <w:rsid w:val="00796D59"/>
    <w:rsid w:val="00797110"/>
    <w:rsid w:val="007975C8"/>
    <w:rsid w:val="00797783"/>
    <w:rsid w:val="00797929"/>
    <w:rsid w:val="007A06F3"/>
    <w:rsid w:val="007A0CD8"/>
    <w:rsid w:val="007A0CF5"/>
    <w:rsid w:val="007A0E91"/>
    <w:rsid w:val="007A102D"/>
    <w:rsid w:val="007A16A3"/>
    <w:rsid w:val="007A16D7"/>
    <w:rsid w:val="007A1C2C"/>
    <w:rsid w:val="007A2266"/>
    <w:rsid w:val="007A25B9"/>
    <w:rsid w:val="007A2652"/>
    <w:rsid w:val="007A2701"/>
    <w:rsid w:val="007A2712"/>
    <w:rsid w:val="007A2B88"/>
    <w:rsid w:val="007A2DC1"/>
    <w:rsid w:val="007A2FC0"/>
    <w:rsid w:val="007A3014"/>
    <w:rsid w:val="007A3124"/>
    <w:rsid w:val="007A3B87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A0D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0C73"/>
    <w:rsid w:val="007B0E93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36"/>
    <w:rsid w:val="007B2FF4"/>
    <w:rsid w:val="007B3384"/>
    <w:rsid w:val="007B3485"/>
    <w:rsid w:val="007B34D3"/>
    <w:rsid w:val="007B354B"/>
    <w:rsid w:val="007B394F"/>
    <w:rsid w:val="007B3CA3"/>
    <w:rsid w:val="007B3CB9"/>
    <w:rsid w:val="007B3CBF"/>
    <w:rsid w:val="007B44B3"/>
    <w:rsid w:val="007B45B3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B8D"/>
    <w:rsid w:val="007B6C8F"/>
    <w:rsid w:val="007B6EA2"/>
    <w:rsid w:val="007B6EA7"/>
    <w:rsid w:val="007B71A4"/>
    <w:rsid w:val="007B7F61"/>
    <w:rsid w:val="007B7FDC"/>
    <w:rsid w:val="007C0041"/>
    <w:rsid w:val="007C0C64"/>
    <w:rsid w:val="007C0CE1"/>
    <w:rsid w:val="007C0E34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3F78"/>
    <w:rsid w:val="007C4274"/>
    <w:rsid w:val="007C4AC4"/>
    <w:rsid w:val="007C4AED"/>
    <w:rsid w:val="007C4E60"/>
    <w:rsid w:val="007C5280"/>
    <w:rsid w:val="007C5465"/>
    <w:rsid w:val="007C593F"/>
    <w:rsid w:val="007C5AAF"/>
    <w:rsid w:val="007C5D21"/>
    <w:rsid w:val="007C64B7"/>
    <w:rsid w:val="007C6598"/>
    <w:rsid w:val="007C6D95"/>
    <w:rsid w:val="007C6EBB"/>
    <w:rsid w:val="007C6F41"/>
    <w:rsid w:val="007C6FC1"/>
    <w:rsid w:val="007C72FD"/>
    <w:rsid w:val="007C73A8"/>
    <w:rsid w:val="007C749D"/>
    <w:rsid w:val="007C7BA9"/>
    <w:rsid w:val="007C7FD5"/>
    <w:rsid w:val="007D020D"/>
    <w:rsid w:val="007D03C8"/>
    <w:rsid w:val="007D0D08"/>
    <w:rsid w:val="007D1262"/>
    <w:rsid w:val="007D1D00"/>
    <w:rsid w:val="007D1DFB"/>
    <w:rsid w:val="007D22D0"/>
    <w:rsid w:val="007D28CE"/>
    <w:rsid w:val="007D2A0E"/>
    <w:rsid w:val="007D2A1A"/>
    <w:rsid w:val="007D2A98"/>
    <w:rsid w:val="007D2DCF"/>
    <w:rsid w:val="007D2E95"/>
    <w:rsid w:val="007D3319"/>
    <w:rsid w:val="007D335D"/>
    <w:rsid w:val="007D4233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2D9"/>
    <w:rsid w:val="007E4B03"/>
    <w:rsid w:val="007E4D01"/>
    <w:rsid w:val="007E538C"/>
    <w:rsid w:val="007E554B"/>
    <w:rsid w:val="007E562D"/>
    <w:rsid w:val="007E57F3"/>
    <w:rsid w:val="007E5961"/>
    <w:rsid w:val="007E5D3E"/>
    <w:rsid w:val="007E6164"/>
    <w:rsid w:val="007E6245"/>
    <w:rsid w:val="007E65E4"/>
    <w:rsid w:val="007E68B9"/>
    <w:rsid w:val="007E6AE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1F54"/>
    <w:rsid w:val="007F2B32"/>
    <w:rsid w:val="007F2DE7"/>
    <w:rsid w:val="007F321C"/>
    <w:rsid w:val="007F324B"/>
    <w:rsid w:val="007F3590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69F"/>
    <w:rsid w:val="007F5CF4"/>
    <w:rsid w:val="007F5EC7"/>
    <w:rsid w:val="007F646C"/>
    <w:rsid w:val="007F6D9D"/>
    <w:rsid w:val="007F6FD4"/>
    <w:rsid w:val="007F727C"/>
    <w:rsid w:val="007F73D2"/>
    <w:rsid w:val="007F7700"/>
    <w:rsid w:val="007F784B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D8"/>
    <w:rsid w:val="008022F5"/>
    <w:rsid w:val="00802759"/>
    <w:rsid w:val="008029BF"/>
    <w:rsid w:val="008031BB"/>
    <w:rsid w:val="008033AF"/>
    <w:rsid w:val="00803809"/>
    <w:rsid w:val="00803AB4"/>
    <w:rsid w:val="00804229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6"/>
    <w:rsid w:val="00807389"/>
    <w:rsid w:val="00807582"/>
    <w:rsid w:val="00807638"/>
    <w:rsid w:val="008076DB"/>
    <w:rsid w:val="0080798D"/>
    <w:rsid w:val="00807B72"/>
    <w:rsid w:val="00807BB0"/>
    <w:rsid w:val="00807BC4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4"/>
    <w:rsid w:val="0081292A"/>
    <w:rsid w:val="008129CB"/>
    <w:rsid w:val="00812D3D"/>
    <w:rsid w:val="008134FF"/>
    <w:rsid w:val="00813C95"/>
    <w:rsid w:val="00813E04"/>
    <w:rsid w:val="00814DB3"/>
    <w:rsid w:val="00814E5B"/>
    <w:rsid w:val="008150B7"/>
    <w:rsid w:val="00815344"/>
    <w:rsid w:val="008157B5"/>
    <w:rsid w:val="00815851"/>
    <w:rsid w:val="00815C82"/>
    <w:rsid w:val="00815F71"/>
    <w:rsid w:val="00815F7B"/>
    <w:rsid w:val="008161F7"/>
    <w:rsid w:val="008164B3"/>
    <w:rsid w:val="008165CA"/>
    <w:rsid w:val="00816737"/>
    <w:rsid w:val="00816992"/>
    <w:rsid w:val="00816A6B"/>
    <w:rsid w:val="00816B6D"/>
    <w:rsid w:val="00816C73"/>
    <w:rsid w:val="00816CAF"/>
    <w:rsid w:val="00816D20"/>
    <w:rsid w:val="00816EB7"/>
    <w:rsid w:val="00816F09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CCD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C7A"/>
    <w:rsid w:val="00830F5F"/>
    <w:rsid w:val="00830FC7"/>
    <w:rsid w:val="008316AA"/>
    <w:rsid w:val="008316B6"/>
    <w:rsid w:val="00831764"/>
    <w:rsid w:val="00831821"/>
    <w:rsid w:val="00831BBF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DAD"/>
    <w:rsid w:val="00834EC6"/>
    <w:rsid w:val="00835D35"/>
    <w:rsid w:val="00836B20"/>
    <w:rsid w:val="00836BB3"/>
    <w:rsid w:val="008370EE"/>
    <w:rsid w:val="008371FB"/>
    <w:rsid w:val="00837769"/>
    <w:rsid w:val="0083794B"/>
    <w:rsid w:val="00837995"/>
    <w:rsid w:val="00837A74"/>
    <w:rsid w:val="00837D00"/>
    <w:rsid w:val="0084022B"/>
    <w:rsid w:val="008405F0"/>
    <w:rsid w:val="008407CD"/>
    <w:rsid w:val="00840A9D"/>
    <w:rsid w:val="00840C7C"/>
    <w:rsid w:val="00840CB9"/>
    <w:rsid w:val="008410FF"/>
    <w:rsid w:val="00841229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4F3"/>
    <w:rsid w:val="0085052E"/>
    <w:rsid w:val="0085055D"/>
    <w:rsid w:val="00850632"/>
    <w:rsid w:val="00850679"/>
    <w:rsid w:val="00850B69"/>
    <w:rsid w:val="00850C8F"/>
    <w:rsid w:val="0085118F"/>
    <w:rsid w:val="0085186B"/>
    <w:rsid w:val="00851E9E"/>
    <w:rsid w:val="00851F05"/>
    <w:rsid w:val="008520A7"/>
    <w:rsid w:val="008523F0"/>
    <w:rsid w:val="00852448"/>
    <w:rsid w:val="0085253D"/>
    <w:rsid w:val="008525ED"/>
    <w:rsid w:val="008527B8"/>
    <w:rsid w:val="008528C2"/>
    <w:rsid w:val="00853296"/>
    <w:rsid w:val="00853FEE"/>
    <w:rsid w:val="008541AC"/>
    <w:rsid w:val="00854343"/>
    <w:rsid w:val="008548D3"/>
    <w:rsid w:val="00854ECD"/>
    <w:rsid w:val="00854FBF"/>
    <w:rsid w:val="00855077"/>
    <w:rsid w:val="00855147"/>
    <w:rsid w:val="0085526A"/>
    <w:rsid w:val="00855C58"/>
    <w:rsid w:val="00855EA2"/>
    <w:rsid w:val="0085641F"/>
    <w:rsid w:val="00856508"/>
    <w:rsid w:val="0085690C"/>
    <w:rsid w:val="00856C62"/>
    <w:rsid w:val="00856CFB"/>
    <w:rsid w:val="00857A1C"/>
    <w:rsid w:val="00857BCC"/>
    <w:rsid w:val="00857CAA"/>
    <w:rsid w:val="00860033"/>
    <w:rsid w:val="00860140"/>
    <w:rsid w:val="00860A1A"/>
    <w:rsid w:val="00860B27"/>
    <w:rsid w:val="00860D21"/>
    <w:rsid w:val="008614A1"/>
    <w:rsid w:val="00861A07"/>
    <w:rsid w:val="00861BFF"/>
    <w:rsid w:val="008620E2"/>
    <w:rsid w:val="00862267"/>
    <w:rsid w:val="00862601"/>
    <w:rsid w:val="008628A2"/>
    <w:rsid w:val="00862C6F"/>
    <w:rsid w:val="00862D1A"/>
    <w:rsid w:val="00862E6A"/>
    <w:rsid w:val="00863046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0DC0"/>
    <w:rsid w:val="00870E16"/>
    <w:rsid w:val="00871288"/>
    <w:rsid w:val="00871426"/>
    <w:rsid w:val="00871FA2"/>
    <w:rsid w:val="00872145"/>
    <w:rsid w:val="00872362"/>
    <w:rsid w:val="00872775"/>
    <w:rsid w:val="008727CE"/>
    <w:rsid w:val="008727EC"/>
    <w:rsid w:val="00872AFD"/>
    <w:rsid w:val="00872B04"/>
    <w:rsid w:val="00872CB1"/>
    <w:rsid w:val="00872F99"/>
    <w:rsid w:val="00873571"/>
    <w:rsid w:val="0087361E"/>
    <w:rsid w:val="00873874"/>
    <w:rsid w:val="008739B9"/>
    <w:rsid w:val="00874CA5"/>
    <w:rsid w:val="008752D2"/>
    <w:rsid w:val="008755AB"/>
    <w:rsid w:val="0087578D"/>
    <w:rsid w:val="008761F1"/>
    <w:rsid w:val="008762CD"/>
    <w:rsid w:val="0087683E"/>
    <w:rsid w:val="00876F06"/>
    <w:rsid w:val="00877B63"/>
    <w:rsid w:val="00877DD9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498"/>
    <w:rsid w:val="0088258A"/>
    <w:rsid w:val="00883145"/>
    <w:rsid w:val="00883273"/>
    <w:rsid w:val="0088364C"/>
    <w:rsid w:val="0088375B"/>
    <w:rsid w:val="00884217"/>
    <w:rsid w:val="008842EA"/>
    <w:rsid w:val="008844AE"/>
    <w:rsid w:val="008845EF"/>
    <w:rsid w:val="00884603"/>
    <w:rsid w:val="00884695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16B8"/>
    <w:rsid w:val="0089193E"/>
    <w:rsid w:val="00891DBD"/>
    <w:rsid w:val="00892333"/>
    <w:rsid w:val="00893167"/>
    <w:rsid w:val="008934CA"/>
    <w:rsid w:val="0089371E"/>
    <w:rsid w:val="008938CE"/>
    <w:rsid w:val="0089395D"/>
    <w:rsid w:val="00893AF0"/>
    <w:rsid w:val="00894346"/>
    <w:rsid w:val="00894652"/>
    <w:rsid w:val="0089470F"/>
    <w:rsid w:val="00894A7E"/>
    <w:rsid w:val="00895D3D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97FD0"/>
    <w:rsid w:val="008A0187"/>
    <w:rsid w:val="008A018E"/>
    <w:rsid w:val="008A10D7"/>
    <w:rsid w:val="008A13DC"/>
    <w:rsid w:val="008A1456"/>
    <w:rsid w:val="008A1508"/>
    <w:rsid w:val="008A1699"/>
    <w:rsid w:val="008A18B4"/>
    <w:rsid w:val="008A196F"/>
    <w:rsid w:val="008A20C9"/>
    <w:rsid w:val="008A26D9"/>
    <w:rsid w:val="008A281E"/>
    <w:rsid w:val="008A3821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A7E04"/>
    <w:rsid w:val="008B0274"/>
    <w:rsid w:val="008B04AE"/>
    <w:rsid w:val="008B05B4"/>
    <w:rsid w:val="008B0678"/>
    <w:rsid w:val="008B07F4"/>
    <w:rsid w:val="008B0959"/>
    <w:rsid w:val="008B09CD"/>
    <w:rsid w:val="008B0E36"/>
    <w:rsid w:val="008B158A"/>
    <w:rsid w:val="008B1966"/>
    <w:rsid w:val="008B19C8"/>
    <w:rsid w:val="008B1FCE"/>
    <w:rsid w:val="008B2332"/>
    <w:rsid w:val="008B23D9"/>
    <w:rsid w:val="008B26B1"/>
    <w:rsid w:val="008B2EBF"/>
    <w:rsid w:val="008B33F8"/>
    <w:rsid w:val="008B3417"/>
    <w:rsid w:val="008B364B"/>
    <w:rsid w:val="008B3872"/>
    <w:rsid w:val="008B38F0"/>
    <w:rsid w:val="008B3FC8"/>
    <w:rsid w:val="008B4132"/>
    <w:rsid w:val="008B443E"/>
    <w:rsid w:val="008B4963"/>
    <w:rsid w:val="008B594C"/>
    <w:rsid w:val="008B6101"/>
    <w:rsid w:val="008B61D7"/>
    <w:rsid w:val="008B63B2"/>
    <w:rsid w:val="008B7336"/>
    <w:rsid w:val="008B74E7"/>
    <w:rsid w:val="008B74E8"/>
    <w:rsid w:val="008B75F0"/>
    <w:rsid w:val="008B7884"/>
    <w:rsid w:val="008B79EB"/>
    <w:rsid w:val="008B7FBA"/>
    <w:rsid w:val="008C089D"/>
    <w:rsid w:val="008C08B6"/>
    <w:rsid w:val="008C0A84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2F23"/>
    <w:rsid w:val="008C3144"/>
    <w:rsid w:val="008C3378"/>
    <w:rsid w:val="008C372B"/>
    <w:rsid w:val="008C374C"/>
    <w:rsid w:val="008C386E"/>
    <w:rsid w:val="008C4A94"/>
    <w:rsid w:val="008C4ACA"/>
    <w:rsid w:val="008C4E35"/>
    <w:rsid w:val="008C5110"/>
    <w:rsid w:val="008C527E"/>
    <w:rsid w:val="008C54EB"/>
    <w:rsid w:val="008C566D"/>
    <w:rsid w:val="008C5689"/>
    <w:rsid w:val="008C56D7"/>
    <w:rsid w:val="008C5D85"/>
    <w:rsid w:val="008C5E53"/>
    <w:rsid w:val="008C6050"/>
    <w:rsid w:val="008C622D"/>
    <w:rsid w:val="008C64A1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40"/>
    <w:rsid w:val="008D1EEA"/>
    <w:rsid w:val="008D312F"/>
    <w:rsid w:val="008D344F"/>
    <w:rsid w:val="008D362C"/>
    <w:rsid w:val="008D3AAB"/>
    <w:rsid w:val="008D40AA"/>
    <w:rsid w:val="008D4286"/>
    <w:rsid w:val="008D4458"/>
    <w:rsid w:val="008D49B5"/>
    <w:rsid w:val="008D4A31"/>
    <w:rsid w:val="008D543F"/>
    <w:rsid w:val="008D556E"/>
    <w:rsid w:val="008D58D7"/>
    <w:rsid w:val="008D5932"/>
    <w:rsid w:val="008D5D64"/>
    <w:rsid w:val="008D5FAD"/>
    <w:rsid w:val="008D6095"/>
    <w:rsid w:val="008D6133"/>
    <w:rsid w:val="008D6505"/>
    <w:rsid w:val="008D682E"/>
    <w:rsid w:val="008D6C1F"/>
    <w:rsid w:val="008D717E"/>
    <w:rsid w:val="008D72C4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8F0"/>
    <w:rsid w:val="008E1A3C"/>
    <w:rsid w:val="008E1A6C"/>
    <w:rsid w:val="008E2670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8"/>
    <w:rsid w:val="008E672F"/>
    <w:rsid w:val="008E6A93"/>
    <w:rsid w:val="008E6AF7"/>
    <w:rsid w:val="008E6BAC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0E87"/>
    <w:rsid w:val="008F1855"/>
    <w:rsid w:val="008F1C15"/>
    <w:rsid w:val="008F1F00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1B"/>
    <w:rsid w:val="008F3F8F"/>
    <w:rsid w:val="008F40ED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01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141"/>
    <w:rsid w:val="009044D4"/>
    <w:rsid w:val="00904551"/>
    <w:rsid w:val="009045DF"/>
    <w:rsid w:val="009048DA"/>
    <w:rsid w:val="00905075"/>
    <w:rsid w:val="00905607"/>
    <w:rsid w:val="00905AFF"/>
    <w:rsid w:val="00905D8A"/>
    <w:rsid w:val="009063DD"/>
    <w:rsid w:val="009066E6"/>
    <w:rsid w:val="00906769"/>
    <w:rsid w:val="00906D43"/>
    <w:rsid w:val="00906D4A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9C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0A2"/>
    <w:rsid w:val="0091438E"/>
    <w:rsid w:val="009143D6"/>
    <w:rsid w:val="00914A9C"/>
    <w:rsid w:val="00914B2C"/>
    <w:rsid w:val="00914B41"/>
    <w:rsid w:val="00914D84"/>
    <w:rsid w:val="00915192"/>
    <w:rsid w:val="00915331"/>
    <w:rsid w:val="00915363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7BB"/>
    <w:rsid w:val="00922A9F"/>
    <w:rsid w:val="009230C3"/>
    <w:rsid w:val="00923342"/>
    <w:rsid w:val="00923393"/>
    <w:rsid w:val="009233B6"/>
    <w:rsid w:val="009235F8"/>
    <w:rsid w:val="0092366A"/>
    <w:rsid w:val="0092368C"/>
    <w:rsid w:val="0092377E"/>
    <w:rsid w:val="00923A31"/>
    <w:rsid w:val="00923EE2"/>
    <w:rsid w:val="00923F9E"/>
    <w:rsid w:val="00924526"/>
    <w:rsid w:val="009245CC"/>
    <w:rsid w:val="009246B0"/>
    <w:rsid w:val="00924949"/>
    <w:rsid w:val="00924B7D"/>
    <w:rsid w:val="00924D94"/>
    <w:rsid w:val="00924FEA"/>
    <w:rsid w:val="009253F2"/>
    <w:rsid w:val="00925611"/>
    <w:rsid w:val="009257D0"/>
    <w:rsid w:val="00926648"/>
    <w:rsid w:val="00926D60"/>
    <w:rsid w:val="00926E8E"/>
    <w:rsid w:val="00927A62"/>
    <w:rsid w:val="00927B5D"/>
    <w:rsid w:val="00927CC0"/>
    <w:rsid w:val="00927CD8"/>
    <w:rsid w:val="00927CF1"/>
    <w:rsid w:val="00930B2C"/>
    <w:rsid w:val="00930DFD"/>
    <w:rsid w:val="00930F7B"/>
    <w:rsid w:val="00930FD9"/>
    <w:rsid w:val="009310AD"/>
    <w:rsid w:val="0093159C"/>
    <w:rsid w:val="0093174B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4AE3"/>
    <w:rsid w:val="0093550E"/>
    <w:rsid w:val="00935569"/>
    <w:rsid w:val="00935718"/>
    <w:rsid w:val="009357C6"/>
    <w:rsid w:val="0093620B"/>
    <w:rsid w:val="0093641E"/>
    <w:rsid w:val="0093642C"/>
    <w:rsid w:val="0093655D"/>
    <w:rsid w:val="009369D9"/>
    <w:rsid w:val="009371BE"/>
    <w:rsid w:val="009373F5"/>
    <w:rsid w:val="009375E1"/>
    <w:rsid w:val="009378A2"/>
    <w:rsid w:val="00937FDF"/>
    <w:rsid w:val="0094001F"/>
    <w:rsid w:val="009400F1"/>
    <w:rsid w:val="00940D6E"/>
    <w:rsid w:val="009410D8"/>
    <w:rsid w:val="009411F1"/>
    <w:rsid w:val="009419FD"/>
    <w:rsid w:val="00941ECC"/>
    <w:rsid w:val="00941FD4"/>
    <w:rsid w:val="009427D1"/>
    <w:rsid w:val="00942F7F"/>
    <w:rsid w:val="00943649"/>
    <w:rsid w:val="009438EE"/>
    <w:rsid w:val="00943FC6"/>
    <w:rsid w:val="0094423F"/>
    <w:rsid w:val="00944313"/>
    <w:rsid w:val="009448F6"/>
    <w:rsid w:val="0094497C"/>
    <w:rsid w:val="00944D33"/>
    <w:rsid w:val="00945776"/>
    <w:rsid w:val="00945966"/>
    <w:rsid w:val="00945D2E"/>
    <w:rsid w:val="00946C49"/>
    <w:rsid w:val="00946D36"/>
    <w:rsid w:val="00946F02"/>
    <w:rsid w:val="00947A59"/>
    <w:rsid w:val="00950036"/>
    <w:rsid w:val="00950284"/>
    <w:rsid w:val="0095053A"/>
    <w:rsid w:val="0095057A"/>
    <w:rsid w:val="00950A1B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3DD8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82"/>
    <w:rsid w:val="00955AF7"/>
    <w:rsid w:val="00955B4C"/>
    <w:rsid w:val="00955F2D"/>
    <w:rsid w:val="009561AD"/>
    <w:rsid w:val="0095681E"/>
    <w:rsid w:val="0095696B"/>
    <w:rsid w:val="00957091"/>
    <w:rsid w:val="0095794B"/>
    <w:rsid w:val="00957D7F"/>
    <w:rsid w:val="00957DE9"/>
    <w:rsid w:val="009604E6"/>
    <w:rsid w:val="00960B7E"/>
    <w:rsid w:val="0096152F"/>
    <w:rsid w:val="0096183C"/>
    <w:rsid w:val="00961F41"/>
    <w:rsid w:val="00961F43"/>
    <w:rsid w:val="00961FC5"/>
    <w:rsid w:val="00962074"/>
    <w:rsid w:val="00962898"/>
    <w:rsid w:val="00962A85"/>
    <w:rsid w:val="00962F7D"/>
    <w:rsid w:val="009631C7"/>
    <w:rsid w:val="0096328B"/>
    <w:rsid w:val="009640E6"/>
    <w:rsid w:val="009644BA"/>
    <w:rsid w:val="009648C7"/>
    <w:rsid w:val="00965018"/>
    <w:rsid w:val="00965584"/>
    <w:rsid w:val="009657C3"/>
    <w:rsid w:val="009658EE"/>
    <w:rsid w:val="00965A0B"/>
    <w:rsid w:val="00965B31"/>
    <w:rsid w:val="00965CAA"/>
    <w:rsid w:val="00966262"/>
    <w:rsid w:val="0096666B"/>
    <w:rsid w:val="00966927"/>
    <w:rsid w:val="00966DBF"/>
    <w:rsid w:val="00966F16"/>
    <w:rsid w:val="009675F1"/>
    <w:rsid w:val="009700E0"/>
    <w:rsid w:val="00970339"/>
    <w:rsid w:val="009705EE"/>
    <w:rsid w:val="009707B9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02F"/>
    <w:rsid w:val="0097317D"/>
    <w:rsid w:val="009731CA"/>
    <w:rsid w:val="0097331B"/>
    <w:rsid w:val="009733C7"/>
    <w:rsid w:val="00973545"/>
    <w:rsid w:val="009738F3"/>
    <w:rsid w:val="009742A5"/>
    <w:rsid w:val="00974301"/>
    <w:rsid w:val="0097441E"/>
    <w:rsid w:val="00974799"/>
    <w:rsid w:val="00974B3E"/>
    <w:rsid w:val="00974C6F"/>
    <w:rsid w:val="00974D44"/>
    <w:rsid w:val="00974E3B"/>
    <w:rsid w:val="009750E0"/>
    <w:rsid w:val="00975299"/>
    <w:rsid w:val="009752A2"/>
    <w:rsid w:val="009753BF"/>
    <w:rsid w:val="00975BD6"/>
    <w:rsid w:val="00975CE0"/>
    <w:rsid w:val="00975D37"/>
    <w:rsid w:val="00976262"/>
    <w:rsid w:val="009763BA"/>
    <w:rsid w:val="00976977"/>
    <w:rsid w:val="00976E05"/>
    <w:rsid w:val="009774D6"/>
    <w:rsid w:val="0097788A"/>
    <w:rsid w:val="00977927"/>
    <w:rsid w:val="0097794A"/>
    <w:rsid w:val="0098021D"/>
    <w:rsid w:val="009804FE"/>
    <w:rsid w:val="0098135C"/>
    <w:rsid w:val="009813F1"/>
    <w:rsid w:val="0098145B"/>
    <w:rsid w:val="0098156A"/>
    <w:rsid w:val="00981CDA"/>
    <w:rsid w:val="00981EE2"/>
    <w:rsid w:val="0098269E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AA6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2F6"/>
    <w:rsid w:val="00986450"/>
    <w:rsid w:val="009864AC"/>
    <w:rsid w:val="0098675F"/>
    <w:rsid w:val="009868C1"/>
    <w:rsid w:val="009869CB"/>
    <w:rsid w:val="009871FF"/>
    <w:rsid w:val="00987C84"/>
    <w:rsid w:val="00987FC9"/>
    <w:rsid w:val="0099050E"/>
    <w:rsid w:val="009906CD"/>
    <w:rsid w:val="00990C13"/>
    <w:rsid w:val="0099113E"/>
    <w:rsid w:val="00991BAC"/>
    <w:rsid w:val="00991CDB"/>
    <w:rsid w:val="00992390"/>
    <w:rsid w:val="00992738"/>
    <w:rsid w:val="00992C3C"/>
    <w:rsid w:val="00992F72"/>
    <w:rsid w:val="009930F9"/>
    <w:rsid w:val="0099327A"/>
    <w:rsid w:val="0099341D"/>
    <w:rsid w:val="00993549"/>
    <w:rsid w:val="009935C7"/>
    <w:rsid w:val="0099363F"/>
    <w:rsid w:val="00993804"/>
    <w:rsid w:val="00993ECA"/>
    <w:rsid w:val="00994312"/>
    <w:rsid w:val="009946C4"/>
    <w:rsid w:val="00994A0C"/>
    <w:rsid w:val="00994B58"/>
    <w:rsid w:val="00994D49"/>
    <w:rsid w:val="0099532E"/>
    <w:rsid w:val="009953FA"/>
    <w:rsid w:val="0099570E"/>
    <w:rsid w:val="00995C6C"/>
    <w:rsid w:val="009960BC"/>
    <w:rsid w:val="0099621F"/>
    <w:rsid w:val="00996BA8"/>
    <w:rsid w:val="00997AE6"/>
    <w:rsid w:val="00997B05"/>
    <w:rsid w:val="00997C72"/>
    <w:rsid w:val="00997EE3"/>
    <w:rsid w:val="009A0193"/>
    <w:rsid w:val="009A0A27"/>
    <w:rsid w:val="009A0C73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024"/>
    <w:rsid w:val="009A45D9"/>
    <w:rsid w:val="009A4A3F"/>
    <w:rsid w:val="009A4ECE"/>
    <w:rsid w:val="009A510A"/>
    <w:rsid w:val="009A5141"/>
    <w:rsid w:val="009A52CD"/>
    <w:rsid w:val="009A544C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11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3F07"/>
    <w:rsid w:val="009B41D2"/>
    <w:rsid w:val="009B4452"/>
    <w:rsid w:val="009B580F"/>
    <w:rsid w:val="009B5961"/>
    <w:rsid w:val="009B5CFD"/>
    <w:rsid w:val="009B6569"/>
    <w:rsid w:val="009B65A1"/>
    <w:rsid w:val="009B665D"/>
    <w:rsid w:val="009B6A37"/>
    <w:rsid w:val="009B74B2"/>
    <w:rsid w:val="009B78B0"/>
    <w:rsid w:val="009B7A32"/>
    <w:rsid w:val="009B7B6F"/>
    <w:rsid w:val="009B7CF7"/>
    <w:rsid w:val="009C0054"/>
    <w:rsid w:val="009C09F2"/>
    <w:rsid w:val="009C0BA4"/>
    <w:rsid w:val="009C0CF4"/>
    <w:rsid w:val="009C0E58"/>
    <w:rsid w:val="009C1041"/>
    <w:rsid w:val="009C1335"/>
    <w:rsid w:val="009C15EF"/>
    <w:rsid w:val="009C1AB2"/>
    <w:rsid w:val="009C1F44"/>
    <w:rsid w:val="009C2365"/>
    <w:rsid w:val="009C28D1"/>
    <w:rsid w:val="009C3732"/>
    <w:rsid w:val="009C3F3C"/>
    <w:rsid w:val="009C4091"/>
    <w:rsid w:val="009C486B"/>
    <w:rsid w:val="009C4A93"/>
    <w:rsid w:val="009C4CB8"/>
    <w:rsid w:val="009C52E4"/>
    <w:rsid w:val="009C5524"/>
    <w:rsid w:val="009C5743"/>
    <w:rsid w:val="009C585B"/>
    <w:rsid w:val="009C5AEF"/>
    <w:rsid w:val="009C5B32"/>
    <w:rsid w:val="009C6D3B"/>
    <w:rsid w:val="009C7251"/>
    <w:rsid w:val="009C78CF"/>
    <w:rsid w:val="009C7BAD"/>
    <w:rsid w:val="009D0081"/>
    <w:rsid w:val="009D0272"/>
    <w:rsid w:val="009D0363"/>
    <w:rsid w:val="009D0603"/>
    <w:rsid w:val="009D0A0D"/>
    <w:rsid w:val="009D116C"/>
    <w:rsid w:val="009D14E9"/>
    <w:rsid w:val="009D18A4"/>
    <w:rsid w:val="009D20EE"/>
    <w:rsid w:val="009D2269"/>
    <w:rsid w:val="009D2A21"/>
    <w:rsid w:val="009D2ED9"/>
    <w:rsid w:val="009D2F40"/>
    <w:rsid w:val="009D2F71"/>
    <w:rsid w:val="009D3116"/>
    <w:rsid w:val="009D3536"/>
    <w:rsid w:val="009D3633"/>
    <w:rsid w:val="009D39DE"/>
    <w:rsid w:val="009D4B65"/>
    <w:rsid w:val="009D540B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BD5"/>
    <w:rsid w:val="009D7C65"/>
    <w:rsid w:val="009E0740"/>
    <w:rsid w:val="009E09BD"/>
    <w:rsid w:val="009E10FF"/>
    <w:rsid w:val="009E125E"/>
    <w:rsid w:val="009E13C2"/>
    <w:rsid w:val="009E161B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833"/>
    <w:rsid w:val="009E3A12"/>
    <w:rsid w:val="009E3B2A"/>
    <w:rsid w:val="009E3B5E"/>
    <w:rsid w:val="009E3C7E"/>
    <w:rsid w:val="009E3DF5"/>
    <w:rsid w:val="009E3DFA"/>
    <w:rsid w:val="009E3E43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4FFA"/>
    <w:rsid w:val="009E51F3"/>
    <w:rsid w:val="009E56D3"/>
    <w:rsid w:val="009E58BB"/>
    <w:rsid w:val="009E5B96"/>
    <w:rsid w:val="009E61E2"/>
    <w:rsid w:val="009E6233"/>
    <w:rsid w:val="009E640D"/>
    <w:rsid w:val="009E6457"/>
    <w:rsid w:val="009E675E"/>
    <w:rsid w:val="009E6A57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174D"/>
    <w:rsid w:val="009F1AD7"/>
    <w:rsid w:val="009F25F5"/>
    <w:rsid w:val="009F2677"/>
    <w:rsid w:val="009F2A53"/>
    <w:rsid w:val="009F2BDC"/>
    <w:rsid w:val="009F2C75"/>
    <w:rsid w:val="009F2FB9"/>
    <w:rsid w:val="009F318D"/>
    <w:rsid w:val="009F3240"/>
    <w:rsid w:val="009F3598"/>
    <w:rsid w:val="009F3B36"/>
    <w:rsid w:val="009F3C92"/>
    <w:rsid w:val="009F49D7"/>
    <w:rsid w:val="009F4D2C"/>
    <w:rsid w:val="009F4D4D"/>
    <w:rsid w:val="009F56CF"/>
    <w:rsid w:val="009F5920"/>
    <w:rsid w:val="009F5B26"/>
    <w:rsid w:val="009F5C5D"/>
    <w:rsid w:val="009F613D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58BC"/>
    <w:rsid w:val="00A06187"/>
    <w:rsid w:val="00A0625D"/>
    <w:rsid w:val="00A06305"/>
    <w:rsid w:val="00A066D5"/>
    <w:rsid w:val="00A06828"/>
    <w:rsid w:val="00A06859"/>
    <w:rsid w:val="00A06A92"/>
    <w:rsid w:val="00A06B30"/>
    <w:rsid w:val="00A06BC7"/>
    <w:rsid w:val="00A06D96"/>
    <w:rsid w:val="00A06E3B"/>
    <w:rsid w:val="00A0770B"/>
    <w:rsid w:val="00A0780D"/>
    <w:rsid w:val="00A07C8E"/>
    <w:rsid w:val="00A07CF5"/>
    <w:rsid w:val="00A07DC1"/>
    <w:rsid w:val="00A07DCE"/>
    <w:rsid w:val="00A07EB1"/>
    <w:rsid w:val="00A07FFB"/>
    <w:rsid w:val="00A101A6"/>
    <w:rsid w:val="00A1099A"/>
    <w:rsid w:val="00A109AD"/>
    <w:rsid w:val="00A10A23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EBB"/>
    <w:rsid w:val="00A14F5D"/>
    <w:rsid w:val="00A154A0"/>
    <w:rsid w:val="00A16292"/>
    <w:rsid w:val="00A162F1"/>
    <w:rsid w:val="00A16ACA"/>
    <w:rsid w:val="00A16C02"/>
    <w:rsid w:val="00A16EBD"/>
    <w:rsid w:val="00A1713B"/>
    <w:rsid w:val="00A17347"/>
    <w:rsid w:val="00A174AD"/>
    <w:rsid w:val="00A17807"/>
    <w:rsid w:val="00A17835"/>
    <w:rsid w:val="00A17F12"/>
    <w:rsid w:val="00A205D4"/>
    <w:rsid w:val="00A20AAB"/>
    <w:rsid w:val="00A20D14"/>
    <w:rsid w:val="00A20E25"/>
    <w:rsid w:val="00A20EBA"/>
    <w:rsid w:val="00A212B4"/>
    <w:rsid w:val="00A21489"/>
    <w:rsid w:val="00A21740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86D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0F2A"/>
    <w:rsid w:val="00A30FD7"/>
    <w:rsid w:val="00A313D6"/>
    <w:rsid w:val="00A313DD"/>
    <w:rsid w:val="00A31D90"/>
    <w:rsid w:val="00A32213"/>
    <w:rsid w:val="00A32C7E"/>
    <w:rsid w:val="00A3302F"/>
    <w:rsid w:val="00A33165"/>
    <w:rsid w:val="00A33182"/>
    <w:rsid w:val="00A3345C"/>
    <w:rsid w:val="00A33567"/>
    <w:rsid w:val="00A335E7"/>
    <w:rsid w:val="00A337B2"/>
    <w:rsid w:val="00A33866"/>
    <w:rsid w:val="00A33DE2"/>
    <w:rsid w:val="00A3433A"/>
    <w:rsid w:val="00A344FB"/>
    <w:rsid w:val="00A3455E"/>
    <w:rsid w:val="00A346DA"/>
    <w:rsid w:val="00A34AB2"/>
    <w:rsid w:val="00A34C06"/>
    <w:rsid w:val="00A351E4"/>
    <w:rsid w:val="00A35F77"/>
    <w:rsid w:val="00A36225"/>
    <w:rsid w:val="00A365F4"/>
    <w:rsid w:val="00A366B9"/>
    <w:rsid w:val="00A366D1"/>
    <w:rsid w:val="00A36AAA"/>
    <w:rsid w:val="00A36CFF"/>
    <w:rsid w:val="00A37BA8"/>
    <w:rsid w:val="00A37C6C"/>
    <w:rsid w:val="00A37D80"/>
    <w:rsid w:val="00A37EF9"/>
    <w:rsid w:val="00A40AAA"/>
    <w:rsid w:val="00A40B03"/>
    <w:rsid w:val="00A41B03"/>
    <w:rsid w:val="00A41E3E"/>
    <w:rsid w:val="00A41F79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67E"/>
    <w:rsid w:val="00A458A8"/>
    <w:rsid w:val="00A4613E"/>
    <w:rsid w:val="00A4621A"/>
    <w:rsid w:val="00A46656"/>
    <w:rsid w:val="00A46907"/>
    <w:rsid w:val="00A46BC9"/>
    <w:rsid w:val="00A46D7D"/>
    <w:rsid w:val="00A46E6C"/>
    <w:rsid w:val="00A4703F"/>
    <w:rsid w:val="00A4720A"/>
    <w:rsid w:val="00A4797E"/>
    <w:rsid w:val="00A47D15"/>
    <w:rsid w:val="00A47D80"/>
    <w:rsid w:val="00A47F20"/>
    <w:rsid w:val="00A5012B"/>
    <w:rsid w:val="00A50DB8"/>
    <w:rsid w:val="00A5149F"/>
    <w:rsid w:val="00A514A3"/>
    <w:rsid w:val="00A5178E"/>
    <w:rsid w:val="00A51CA9"/>
    <w:rsid w:val="00A51D75"/>
    <w:rsid w:val="00A51D83"/>
    <w:rsid w:val="00A5229A"/>
    <w:rsid w:val="00A52A49"/>
    <w:rsid w:val="00A52E2D"/>
    <w:rsid w:val="00A53132"/>
    <w:rsid w:val="00A5319E"/>
    <w:rsid w:val="00A5345C"/>
    <w:rsid w:val="00A53B30"/>
    <w:rsid w:val="00A53C18"/>
    <w:rsid w:val="00A53E54"/>
    <w:rsid w:val="00A54339"/>
    <w:rsid w:val="00A544EC"/>
    <w:rsid w:val="00A5455F"/>
    <w:rsid w:val="00A54775"/>
    <w:rsid w:val="00A54F43"/>
    <w:rsid w:val="00A55063"/>
    <w:rsid w:val="00A55505"/>
    <w:rsid w:val="00A555FD"/>
    <w:rsid w:val="00A56065"/>
    <w:rsid w:val="00A563F2"/>
    <w:rsid w:val="00A56477"/>
    <w:rsid w:val="00A565EA"/>
    <w:rsid w:val="00A5665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5CA"/>
    <w:rsid w:val="00A608D7"/>
    <w:rsid w:val="00A60AD7"/>
    <w:rsid w:val="00A60F52"/>
    <w:rsid w:val="00A61348"/>
    <w:rsid w:val="00A61904"/>
    <w:rsid w:val="00A62091"/>
    <w:rsid w:val="00A624F6"/>
    <w:rsid w:val="00A6293F"/>
    <w:rsid w:val="00A629DD"/>
    <w:rsid w:val="00A62D58"/>
    <w:rsid w:val="00A63031"/>
    <w:rsid w:val="00A632C7"/>
    <w:rsid w:val="00A636A8"/>
    <w:rsid w:val="00A6378D"/>
    <w:rsid w:val="00A63C79"/>
    <w:rsid w:val="00A63D5E"/>
    <w:rsid w:val="00A64097"/>
    <w:rsid w:val="00A64410"/>
    <w:rsid w:val="00A6465E"/>
    <w:rsid w:val="00A649B0"/>
    <w:rsid w:val="00A64B2F"/>
    <w:rsid w:val="00A64F09"/>
    <w:rsid w:val="00A64FB5"/>
    <w:rsid w:val="00A650F1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B4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37"/>
    <w:rsid w:val="00A70965"/>
    <w:rsid w:val="00A70A25"/>
    <w:rsid w:val="00A71377"/>
    <w:rsid w:val="00A71408"/>
    <w:rsid w:val="00A7140D"/>
    <w:rsid w:val="00A715BB"/>
    <w:rsid w:val="00A718CE"/>
    <w:rsid w:val="00A71938"/>
    <w:rsid w:val="00A7196D"/>
    <w:rsid w:val="00A71ACE"/>
    <w:rsid w:val="00A71D72"/>
    <w:rsid w:val="00A7228D"/>
    <w:rsid w:val="00A72910"/>
    <w:rsid w:val="00A72FB2"/>
    <w:rsid w:val="00A73B21"/>
    <w:rsid w:val="00A74090"/>
    <w:rsid w:val="00A74251"/>
    <w:rsid w:val="00A74529"/>
    <w:rsid w:val="00A74804"/>
    <w:rsid w:val="00A75788"/>
    <w:rsid w:val="00A75969"/>
    <w:rsid w:val="00A75A7B"/>
    <w:rsid w:val="00A7614D"/>
    <w:rsid w:val="00A764DC"/>
    <w:rsid w:val="00A76FF1"/>
    <w:rsid w:val="00A77610"/>
    <w:rsid w:val="00A77704"/>
    <w:rsid w:val="00A77A05"/>
    <w:rsid w:val="00A77C8E"/>
    <w:rsid w:val="00A8086D"/>
    <w:rsid w:val="00A80FD4"/>
    <w:rsid w:val="00A810F9"/>
    <w:rsid w:val="00A8121A"/>
    <w:rsid w:val="00A81AD1"/>
    <w:rsid w:val="00A81ECA"/>
    <w:rsid w:val="00A822AA"/>
    <w:rsid w:val="00A825F1"/>
    <w:rsid w:val="00A825F2"/>
    <w:rsid w:val="00A82962"/>
    <w:rsid w:val="00A82977"/>
    <w:rsid w:val="00A82E98"/>
    <w:rsid w:val="00A82F4F"/>
    <w:rsid w:val="00A8329E"/>
    <w:rsid w:val="00A834AF"/>
    <w:rsid w:val="00A838B2"/>
    <w:rsid w:val="00A83940"/>
    <w:rsid w:val="00A83D5A"/>
    <w:rsid w:val="00A841C7"/>
    <w:rsid w:val="00A842CF"/>
    <w:rsid w:val="00A84D89"/>
    <w:rsid w:val="00A84FD7"/>
    <w:rsid w:val="00A85049"/>
    <w:rsid w:val="00A850D9"/>
    <w:rsid w:val="00A85854"/>
    <w:rsid w:val="00A864C3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0E9"/>
    <w:rsid w:val="00A90207"/>
    <w:rsid w:val="00A904F9"/>
    <w:rsid w:val="00A91042"/>
    <w:rsid w:val="00A9117E"/>
    <w:rsid w:val="00A91BEC"/>
    <w:rsid w:val="00A91C97"/>
    <w:rsid w:val="00A91FD8"/>
    <w:rsid w:val="00A920A7"/>
    <w:rsid w:val="00A923FD"/>
    <w:rsid w:val="00A92C38"/>
    <w:rsid w:val="00A9308C"/>
    <w:rsid w:val="00A932A1"/>
    <w:rsid w:val="00A9345A"/>
    <w:rsid w:val="00A9350A"/>
    <w:rsid w:val="00A93547"/>
    <w:rsid w:val="00A9374E"/>
    <w:rsid w:val="00A938D8"/>
    <w:rsid w:val="00A9395A"/>
    <w:rsid w:val="00A94282"/>
    <w:rsid w:val="00A94701"/>
    <w:rsid w:val="00A94FEE"/>
    <w:rsid w:val="00A95221"/>
    <w:rsid w:val="00A95854"/>
    <w:rsid w:val="00A95FB3"/>
    <w:rsid w:val="00A9605F"/>
    <w:rsid w:val="00A96A55"/>
    <w:rsid w:val="00A96E02"/>
    <w:rsid w:val="00A97361"/>
    <w:rsid w:val="00A97856"/>
    <w:rsid w:val="00A97892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11B"/>
    <w:rsid w:val="00AA3926"/>
    <w:rsid w:val="00AA3A54"/>
    <w:rsid w:val="00AA3C6E"/>
    <w:rsid w:val="00AA3DA7"/>
    <w:rsid w:val="00AA42F2"/>
    <w:rsid w:val="00AA48AF"/>
    <w:rsid w:val="00AA4A5D"/>
    <w:rsid w:val="00AA50B1"/>
    <w:rsid w:val="00AA543D"/>
    <w:rsid w:val="00AA548C"/>
    <w:rsid w:val="00AA5550"/>
    <w:rsid w:val="00AA5562"/>
    <w:rsid w:val="00AA592C"/>
    <w:rsid w:val="00AA5A43"/>
    <w:rsid w:val="00AA63C9"/>
    <w:rsid w:val="00AA6439"/>
    <w:rsid w:val="00AA710D"/>
    <w:rsid w:val="00AA717D"/>
    <w:rsid w:val="00AA773C"/>
    <w:rsid w:val="00AB0003"/>
    <w:rsid w:val="00AB005E"/>
    <w:rsid w:val="00AB06FC"/>
    <w:rsid w:val="00AB08A4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16"/>
    <w:rsid w:val="00AB2B17"/>
    <w:rsid w:val="00AB2BB8"/>
    <w:rsid w:val="00AB2CC8"/>
    <w:rsid w:val="00AB31D6"/>
    <w:rsid w:val="00AB3D20"/>
    <w:rsid w:val="00AB42B6"/>
    <w:rsid w:val="00AB439B"/>
    <w:rsid w:val="00AB4703"/>
    <w:rsid w:val="00AB4B78"/>
    <w:rsid w:val="00AB4D6D"/>
    <w:rsid w:val="00AB5555"/>
    <w:rsid w:val="00AB5B7F"/>
    <w:rsid w:val="00AB5CEC"/>
    <w:rsid w:val="00AB5DE5"/>
    <w:rsid w:val="00AB5F48"/>
    <w:rsid w:val="00AB5FE4"/>
    <w:rsid w:val="00AB6735"/>
    <w:rsid w:val="00AB69BF"/>
    <w:rsid w:val="00AB6D25"/>
    <w:rsid w:val="00AB6D37"/>
    <w:rsid w:val="00AB703F"/>
    <w:rsid w:val="00AB70EF"/>
    <w:rsid w:val="00AB7708"/>
    <w:rsid w:val="00AB7979"/>
    <w:rsid w:val="00AB7A3C"/>
    <w:rsid w:val="00AB7F25"/>
    <w:rsid w:val="00AB7FEE"/>
    <w:rsid w:val="00AB7FF5"/>
    <w:rsid w:val="00AC08D6"/>
    <w:rsid w:val="00AC0960"/>
    <w:rsid w:val="00AC0BC1"/>
    <w:rsid w:val="00AC0D39"/>
    <w:rsid w:val="00AC10E8"/>
    <w:rsid w:val="00AC1FD9"/>
    <w:rsid w:val="00AC2227"/>
    <w:rsid w:val="00AC2683"/>
    <w:rsid w:val="00AC2CCE"/>
    <w:rsid w:val="00AC2F57"/>
    <w:rsid w:val="00AC378A"/>
    <w:rsid w:val="00AC3B97"/>
    <w:rsid w:val="00AC3DBE"/>
    <w:rsid w:val="00AC3E3E"/>
    <w:rsid w:val="00AC3F21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25"/>
    <w:rsid w:val="00AD23E3"/>
    <w:rsid w:val="00AD2511"/>
    <w:rsid w:val="00AD2AD6"/>
    <w:rsid w:val="00AD2C84"/>
    <w:rsid w:val="00AD2E45"/>
    <w:rsid w:val="00AD2F68"/>
    <w:rsid w:val="00AD358C"/>
    <w:rsid w:val="00AD3BC6"/>
    <w:rsid w:val="00AD3C52"/>
    <w:rsid w:val="00AD3D76"/>
    <w:rsid w:val="00AD49E9"/>
    <w:rsid w:val="00AD52B9"/>
    <w:rsid w:val="00AD5650"/>
    <w:rsid w:val="00AD5A51"/>
    <w:rsid w:val="00AD5A7C"/>
    <w:rsid w:val="00AD5B15"/>
    <w:rsid w:val="00AD5EA7"/>
    <w:rsid w:val="00AD6C8A"/>
    <w:rsid w:val="00AD6E74"/>
    <w:rsid w:val="00AD716E"/>
    <w:rsid w:val="00AD7317"/>
    <w:rsid w:val="00AD7545"/>
    <w:rsid w:val="00AD7824"/>
    <w:rsid w:val="00AD78B3"/>
    <w:rsid w:val="00AD7CC4"/>
    <w:rsid w:val="00AE0557"/>
    <w:rsid w:val="00AE07AE"/>
    <w:rsid w:val="00AE0C58"/>
    <w:rsid w:val="00AE0CEB"/>
    <w:rsid w:val="00AE0EAE"/>
    <w:rsid w:val="00AE143F"/>
    <w:rsid w:val="00AE1750"/>
    <w:rsid w:val="00AE1A65"/>
    <w:rsid w:val="00AE1BF1"/>
    <w:rsid w:val="00AE2D4B"/>
    <w:rsid w:val="00AE3634"/>
    <w:rsid w:val="00AE377C"/>
    <w:rsid w:val="00AE37C3"/>
    <w:rsid w:val="00AE3849"/>
    <w:rsid w:val="00AE3B5A"/>
    <w:rsid w:val="00AE3CD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014"/>
    <w:rsid w:val="00AE6141"/>
    <w:rsid w:val="00AE6D71"/>
    <w:rsid w:val="00AE6E7E"/>
    <w:rsid w:val="00AE7733"/>
    <w:rsid w:val="00AE7B0C"/>
    <w:rsid w:val="00AE7B33"/>
    <w:rsid w:val="00AE7D6A"/>
    <w:rsid w:val="00AF0097"/>
    <w:rsid w:val="00AF0D08"/>
    <w:rsid w:val="00AF0D99"/>
    <w:rsid w:val="00AF0FBA"/>
    <w:rsid w:val="00AF120B"/>
    <w:rsid w:val="00AF13D3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55B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85"/>
    <w:rsid w:val="00AF4F8B"/>
    <w:rsid w:val="00AF546E"/>
    <w:rsid w:val="00AF5B78"/>
    <w:rsid w:val="00AF5D0F"/>
    <w:rsid w:val="00AF60A6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171A"/>
    <w:rsid w:val="00B017DD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5903"/>
    <w:rsid w:val="00B05C83"/>
    <w:rsid w:val="00B0620A"/>
    <w:rsid w:val="00B067C2"/>
    <w:rsid w:val="00B067E4"/>
    <w:rsid w:val="00B06B39"/>
    <w:rsid w:val="00B06DE5"/>
    <w:rsid w:val="00B07080"/>
    <w:rsid w:val="00B071FD"/>
    <w:rsid w:val="00B074CA"/>
    <w:rsid w:val="00B076A3"/>
    <w:rsid w:val="00B076CA"/>
    <w:rsid w:val="00B077C6"/>
    <w:rsid w:val="00B078AC"/>
    <w:rsid w:val="00B07DDA"/>
    <w:rsid w:val="00B1005A"/>
    <w:rsid w:val="00B10296"/>
    <w:rsid w:val="00B1069A"/>
    <w:rsid w:val="00B1069B"/>
    <w:rsid w:val="00B10A78"/>
    <w:rsid w:val="00B10F22"/>
    <w:rsid w:val="00B10F3B"/>
    <w:rsid w:val="00B1141A"/>
    <w:rsid w:val="00B1157B"/>
    <w:rsid w:val="00B11B69"/>
    <w:rsid w:val="00B1248D"/>
    <w:rsid w:val="00B12EF7"/>
    <w:rsid w:val="00B13243"/>
    <w:rsid w:val="00B13589"/>
    <w:rsid w:val="00B136BD"/>
    <w:rsid w:val="00B13876"/>
    <w:rsid w:val="00B14919"/>
    <w:rsid w:val="00B14952"/>
    <w:rsid w:val="00B14DF4"/>
    <w:rsid w:val="00B14FCC"/>
    <w:rsid w:val="00B15996"/>
    <w:rsid w:val="00B15D8C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0F7D"/>
    <w:rsid w:val="00B2112A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3430"/>
    <w:rsid w:val="00B24102"/>
    <w:rsid w:val="00B24186"/>
    <w:rsid w:val="00B24352"/>
    <w:rsid w:val="00B247AB"/>
    <w:rsid w:val="00B2488A"/>
    <w:rsid w:val="00B2514E"/>
    <w:rsid w:val="00B251B5"/>
    <w:rsid w:val="00B25212"/>
    <w:rsid w:val="00B2523A"/>
    <w:rsid w:val="00B25486"/>
    <w:rsid w:val="00B25A5C"/>
    <w:rsid w:val="00B26181"/>
    <w:rsid w:val="00B261AC"/>
    <w:rsid w:val="00B26C78"/>
    <w:rsid w:val="00B271A3"/>
    <w:rsid w:val="00B27452"/>
    <w:rsid w:val="00B27570"/>
    <w:rsid w:val="00B275D4"/>
    <w:rsid w:val="00B275E8"/>
    <w:rsid w:val="00B300C6"/>
    <w:rsid w:val="00B307EF"/>
    <w:rsid w:val="00B3084E"/>
    <w:rsid w:val="00B30941"/>
    <w:rsid w:val="00B30A13"/>
    <w:rsid w:val="00B30C84"/>
    <w:rsid w:val="00B31276"/>
    <w:rsid w:val="00B31429"/>
    <w:rsid w:val="00B315F5"/>
    <w:rsid w:val="00B31745"/>
    <w:rsid w:val="00B31D14"/>
    <w:rsid w:val="00B31E5A"/>
    <w:rsid w:val="00B3215C"/>
    <w:rsid w:val="00B328E9"/>
    <w:rsid w:val="00B3383F"/>
    <w:rsid w:val="00B33AEA"/>
    <w:rsid w:val="00B342E9"/>
    <w:rsid w:val="00B34379"/>
    <w:rsid w:val="00B348F0"/>
    <w:rsid w:val="00B349AB"/>
    <w:rsid w:val="00B34F36"/>
    <w:rsid w:val="00B350CD"/>
    <w:rsid w:val="00B35B4F"/>
    <w:rsid w:val="00B36A62"/>
    <w:rsid w:val="00B36B16"/>
    <w:rsid w:val="00B36C58"/>
    <w:rsid w:val="00B3701A"/>
    <w:rsid w:val="00B373C6"/>
    <w:rsid w:val="00B37406"/>
    <w:rsid w:val="00B3787F"/>
    <w:rsid w:val="00B378FC"/>
    <w:rsid w:val="00B37A12"/>
    <w:rsid w:val="00B37BEE"/>
    <w:rsid w:val="00B402D9"/>
    <w:rsid w:val="00B405DF"/>
    <w:rsid w:val="00B40838"/>
    <w:rsid w:val="00B40993"/>
    <w:rsid w:val="00B40C6C"/>
    <w:rsid w:val="00B4124E"/>
    <w:rsid w:val="00B41562"/>
    <w:rsid w:val="00B41D62"/>
    <w:rsid w:val="00B41DAF"/>
    <w:rsid w:val="00B42184"/>
    <w:rsid w:val="00B42E95"/>
    <w:rsid w:val="00B43069"/>
    <w:rsid w:val="00B4328D"/>
    <w:rsid w:val="00B432EE"/>
    <w:rsid w:val="00B436E4"/>
    <w:rsid w:val="00B437EC"/>
    <w:rsid w:val="00B44017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4FD"/>
    <w:rsid w:val="00B469BE"/>
    <w:rsid w:val="00B469C4"/>
    <w:rsid w:val="00B46C5D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A52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82B"/>
    <w:rsid w:val="00B55F90"/>
    <w:rsid w:val="00B561E0"/>
    <w:rsid w:val="00B56460"/>
    <w:rsid w:val="00B56864"/>
    <w:rsid w:val="00B56869"/>
    <w:rsid w:val="00B56911"/>
    <w:rsid w:val="00B56B6A"/>
    <w:rsid w:val="00B56F36"/>
    <w:rsid w:val="00B56F84"/>
    <w:rsid w:val="00B5723E"/>
    <w:rsid w:val="00B578C9"/>
    <w:rsid w:val="00B6026E"/>
    <w:rsid w:val="00B60270"/>
    <w:rsid w:val="00B60356"/>
    <w:rsid w:val="00B60A4E"/>
    <w:rsid w:val="00B60FB7"/>
    <w:rsid w:val="00B61313"/>
    <w:rsid w:val="00B61529"/>
    <w:rsid w:val="00B61DC4"/>
    <w:rsid w:val="00B6265E"/>
    <w:rsid w:val="00B62A72"/>
    <w:rsid w:val="00B62B47"/>
    <w:rsid w:val="00B62C39"/>
    <w:rsid w:val="00B62D8D"/>
    <w:rsid w:val="00B63371"/>
    <w:rsid w:val="00B635CE"/>
    <w:rsid w:val="00B63A49"/>
    <w:rsid w:val="00B63B3A"/>
    <w:rsid w:val="00B63B62"/>
    <w:rsid w:val="00B640FB"/>
    <w:rsid w:val="00B6421A"/>
    <w:rsid w:val="00B642A4"/>
    <w:rsid w:val="00B6451C"/>
    <w:rsid w:val="00B64655"/>
    <w:rsid w:val="00B647B1"/>
    <w:rsid w:val="00B64959"/>
    <w:rsid w:val="00B64BC3"/>
    <w:rsid w:val="00B64E7B"/>
    <w:rsid w:val="00B64ED4"/>
    <w:rsid w:val="00B65134"/>
    <w:rsid w:val="00B653AB"/>
    <w:rsid w:val="00B65AB4"/>
    <w:rsid w:val="00B65F9E"/>
    <w:rsid w:val="00B665B3"/>
    <w:rsid w:val="00B66774"/>
    <w:rsid w:val="00B6680C"/>
    <w:rsid w:val="00B66B19"/>
    <w:rsid w:val="00B67148"/>
    <w:rsid w:val="00B67D33"/>
    <w:rsid w:val="00B67E4B"/>
    <w:rsid w:val="00B67E73"/>
    <w:rsid w:val="00B67FF9"/>
    <w:rsid w:val="00B70711"/>
    <w:rsid w:val="00B707FB"/>
    <w:rsid w:val="00B71887"/>
    <w:rsid w:val="00B71F60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F51"/>
    <w:rsid w:val="00B765B8"/>
    <w:rsid w:val="00B76A31"/>
    <w:rsid w:val="00B76DFA"/>
    <w:rsid w:val="00B7713D"/>
    <w:rsid w:val="00B77330"/>
    <w:rsid w:val="00B773A3"/>
    <w:rsid w:val="00B77782"/>
    <w:rsid w:val="00B77786"/>
    <w:rsid w:val="00B77826"/>
    <w:rsid w:val="00B778A0"/>
    <w:rsid w:val="00B77A78"/>
    <w:rsid w:val="00B77E03"/>
    <w:rsid w:val="00B77EF2"/>
    <w:rsid w:val="00B80264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2E01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3D4"/>
    <w:rsid w:val="00B854BF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87FEA"/>
    <w:rsid w:val="00B900A7"/>
    <w:rsid w:val="00B9052A"/>
    <w:rsid w:val="00B91114"/>
    <w:rsid w:val="00B914E9"/>
    <w:rsid w:val="00B91624"/>
    <w:rsid w:val="00B917B0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4DC1"/>
    <w:rsid w:val="00B95065"/>
    <w:rsid w:val="00B95244"/>
    <w:rsid w:val="00B956EE"/>
    <w:rsid w:val="00B95AF7"/>
    <w:rsid w:val="00B964C9"/>
    <w:rsid w:val="00B9672E"/>
    <w:rsid w:val="00B96CF8"/>
    <w:rsid w:val="00B972CD"/>
    <w:rsid w:val="00B9743C"/>
    <w:rsid w:val="00B974F4"/>
    <w:rsid w:val="00B978E1"/>
    <w:rsid w:val="00B97A7C"/>
    <w:rsid w:val="00B97EE7"/>
    <w:rsid w:val="00BA0167"/>
    <w:rsid w:val="00BA0247"/>
    <w:rsid w:val="00BA0366"/>
    <w:rsid w:val="00BA049C"/>
    <w:rsid w:val="00BA06D7"/>
    <w:rsid w:val="00BA0911"/>
    <w:rsid w:val="00BA0C53"/>
    <w:rsid w:val="00BA125D"/>
    <w:rsid w:val="00BA1475"/>
    <w:rsid w:val="00BA1B47"/>
    <w:rsid w:val="00BA1C64"/>
    <w:rsid w:val="00BA1D1A"/>
    <w:rsid w:val="00BA2015"/>
    <w:rsid w:val="00BA215A"/>
    <w:rsid w:val="00BA21F0"/>
    <w:rsid w:val="00BA2257"/>
    <w:rsid w:val="00BA23C6"/>
    <w:rsid w:val="00BA2B48"/>
    <w:rsid w:val="00BA2BA1"/>
    <w:rsid w:val="00BA2F22"/>
    <w:rsid w:val="00BA2FE8"/>
    <w:rsid w:val="00BA3562"/>
    <w:rsid w:val="00BA358F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5B7"/>
    <w:rsid w:val="00BA6CB7"/>
    <w:rsid w:val="00BA6FC7"/>
    <w:rsid w:val="00BA722D"/>
    <w:rsid w:val="00BA740B"/>
    <w:rsid w:val="00BA780C"/>
    <w:rsid w:val="00BA78C8"/>
    <w:rsid w:val="00BA7AD0"/>
    <w:rsid w:val="00BA7AFD"/>
    <w:rsid w:val="00BB0735"/>
    <w:rsid w:val="00BB0B4B"/>
    <w:rsid w:val="00BB10C0"/>
    <w:rsid w:val="00BB11C4"/>
    <w:rsid w:val="00BB1289"/>
    <w:rsid w:val="00BB1407"/>
    <w:rsid w:val="00BB15B3"/>
    <w:rsid w:val="00BB1AB4"/>
    <w:rsid w:val="00BB1AB6"/>
    <w:rsid w:val="00BB1ADE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B2B"/>
    <w:rsid w:val="00BB4F09"/>
    <w:rsid w:val="00BB5E2D"/>
    <w:rsid w:val="00BB5FF5"/>
    <w:rsid w:val="00BB614B"/>
    <w:rsid w:val="00BB6275"/>
    <w:rsid w:val="00BB6739"/>
    <w:rsid w:val="00BB690B"/>
    <w:rsid w:val="00BB72C0"/>
    <w:rsid w:val="00BB79F7"/>
    <w:rsid w:val="00BC0109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5B2"/>
    <w:rsid w:val="00BC7DB3"/>
    <w:rsid w:val="00BD020C"/>
    <w:rsid w:val="00BD0239"/>
    <w:rsid w:val="00BD0646"/>
    <w:rsid w:val="00BD0A75"/>
    <w:rsid w:val="00BD11B5"/>
    <w:rsid w:val="00BD13D5"/>
    <w:rsid w:val="00BD1497"/>
    <w:rsid w:val="00BD151F"/>
    <w:rsid w:val="00BD1C78"/>
    <w:rsid w:val="00BD202B"/>
    <w:rsid w:val="00BD20DC"/>
    <w:rsid w:val="00BD20E5"/>
    <w:rsid w:val="00BD2700"/>
    <w:rsid w:val="00BD2798"/>
    <w:rsid w:val="00BD28B1"/>
    <w:rsid w:val="00BD2A8D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F22"/>
    <w:rsid w:val="00BD54E0"/>
    <w:rsid w:val="00BD55AD"/>
    <w:rsid w:val="00BD5769"/>
    <w:rsid w:val="00BD5E2B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7F0"/>
    <w:rsid w:val="00BE1855"/>
    <w:rsid w:val="00BE1922"/>
    <w:rsid w:val="00BE1A6F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5DD"/>
    <w:rsid w:val="00BE5970"/>
    <w:rsid w:val="00BE5C49"/>
    <w:rsid w:val="00BE6002"/>
    <w:rsid w:val="00BE6254"/>
    <w:rsid w:val="00BE62BA"/>
    <w:rsid w:val="00BE638B"/>
    <w:rsid w:val="00BE6524"/>
    <w:rsid w:val="00BE6680"/>
    <w:rsid w:val="00BE66CB"/>
    <w:rsid w:val="00BE681A"/>
    <w:rsid w:val="00BE682A"/>
    <w:rsid w:val="00BE68A2"/>
    <w:rsid w:val="00BE6C51"/>
    <w:rsid w:val="00BE7041"/>
    <w:rsid w:val="00BE71F5"/>
    <w:rsid w:val="00BE765A"/>
    <w:rsid w:val="00BE79D0"/>
    <w:rsid w:val="00BE7D7B"/>
    <w:rsid w:val="00BF037C"/>
    <w:rsid w:val="00BF08FA"/>
    <w:rsid w:val="00BF1356"/>
    <w:rsid w:val="00BF135B"/>
    <w:rsid w:val="00BF1406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3C72"/>
    <w:rsid w:val="00BF432C"/>
    <w:rsid w:val="00BF465F"/>
    <w:rsid w:val="00BF4E58"/>
    <w:rsid w:val="00BF4EAB"/>
    <w:rsid w:val="00BF54CD"/>
    <w:rsid w:val="00BF5B06"/>
    <w:rsid w:val="00BF5E88"/>
    <w:rsid w:val="00BF5EA9"/>
    <w:rsid w:val="00BF5F2B"/>
    <w:rsid w:val="00BF6251"/>
    <w:rsid w:val="00BF63C4"/>
    <w:rsid w:val="00BF6CA4"/>
    <w:rsid w:val="00BF6DDC"/>
    <w:rsid w:val="00BF701A"/>
    <w:rsid w:val="00BF7DE0"/>
    <w:rsid w:val="00C00E59"/>
    <w:rsid w:val="00C01CC6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6F5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E77"/>
    <w:rsid w:val="00C12ECA"/>
    <w:rsid w:val="00C13500"/>
    <w:rsid w:val="00C13878"/>
    <w:rsid w:val="00C13E4A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912"/>
    <w:rsid w:val="00C20D82"/>
    <w:rsid w:val="00C20F8D"/>
    <w:rsid w:val="00C21194"/>
    <w:rsid w:val="00C2136B"/>
    <w:rsid w:val="00C213DC"/>
    <w:rsid w:val="00C214F4"/>
    <w:rsid w:val="00C21A4C"/>
    <w:rsid w:val="00C21DC1"/>
    <w:rsid w:val="00C21DD4"/>
    <w:rsid w:val="00C21F3D"/>
    <w:rsid w:val="00C22105"/>
    <w:rsid w:val="00C226CA"/>
    <w:rsid w:val="00C22833"/>
    <w:rsid w:val="00C22A08"/>
    <w:rsid w:val="00C22ED3"/>
    <w:rsid w:val="00C2346A"/>
    <w:rsid w:val="00C235C1"/>
    <w:rsid w:val="00C236D5"/>
    <w:rsid w:val="00C23A81"/>
    <w:rsid w:val="00C23B29"/>
    <w:rsid w:val="00C23BA3"/>
    <w:rsid w:val="00C23F9B"/>
    <w:rsid w:val="00C24002"/>
    <w:rsid w:val="00C24268"/>
    <w:rsid w:val="00C244B6"/>
    <w:rsid w:val="00C245C2"/>
    <w:rsid w:val="00C246CA"/>
    <w:rsid w:val="00C24928"/>
    <w:rsid w:val="00C24C9C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9FA"/>
    <w:rsid w:val="00C30D41"/>
    <w:rsid w:val="00C31156"/>
    <w:rsid w:val="00C31D33"/>
    <w:rsid w:val="00C3216E"/>
    <w:rsid w:val="00C323C4"/>
    <w:rsid w:val="00C324B0"/>
    <w:rsid w:val="00C33219"/>
    <w:rsid w:val="00C33940"/>
    <w:rsid w:val="00C33D9E"/>
    <w:rsid w:val="00C33E52"/>
    <w:rsid w:val="00C33F3C"/>
    <w:rsid w:val="00C3401C"/>
    <w:rsid w:val="00C340D1"/>
    <w:rsid w:val="00C34812"/>
    <w:rsid w:val="00C3522A"/>
    <w:rsid w:val="00C3528C"/>
    <w:rsid w:val="00C35B59"/>
    <w:rsid w:val="00C35C5B"/>
    <w:rsid w:val="00C35F05"/>
    <w:rsid w:val="00C36C0F"/>
    <w:rsid w:val="00C36EBC"/>
    <w:rsid w:val="00C36FB0"/>
    <w:rsid w:val="00C3702F"/>
    <w:rsid w:val="00C3704F"/>
    <w:rsid w:val="00C3710F"/>
    <w:rsid w:val="00C37696"/>
    <w:rsid w:val="00C37C0B"/>
    <w:rsid w:val="00C37CC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06"/>
    <w:rsid w:val="00C42712"/>
    <w:rsid w:val="00C431BF"/>
    <w:rsid w:val="00C43428"/>
    <w:rsid w:val="00C43620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D52"/>
    <w:rsid w:val="00C463BD"/>
    <w:rsid w:val="00C46526"/>
    <w:rsid w:val="00C468C6"/>
    <w:rsid w:val="00C46BFE"/>
    <w:rsid w:val="00C46D08"/>
    <w:rsid w:val="00C46DEB"/>
    <w:rsid w:val="00C46F1F"/>
    <w:rsid w:val="00C4726D"/>
    <w:rsid w:val="00C4733B"/>
    <w:rsid w:val="00C47CFA"/>
    <w:rsid w:val="00C501DE"/>
    <w:rsid w:val="00C502D9"/>
    <w:rsid w:val="00C5054E"/>
    <w:rsid w:val="00C505C2"/>
    <w:rsid w:val="00C50D80"/>
    <w:rsid w:val="00C5161E"/>
    <w:rsid w:val="00C51D22"/>
    <w:rsid w:val="00C51DD4"/>
    <w:rsid w:val="00C51F14"/>
    <w:rsid w:val="00C51F54"/>
    <w:rsid w:val="00C520A5"/>
    <w:rsid w:val="00C5219D"/>
    <w:rsid w:val="00C52202"/>
    <w:rsid w:val="00C52540"/>
    <w:rsid w:val="00C52580"/>
    <w:rsid w:val="00C527B4"/>
    <w:rsid w:val="00C528CC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70B"/>
    <w:rsid w:val="00C56CD8"/>
    <w:rsid w:val="00C56E51"/>
    <w:rsid w:val="00C5715E"/>
    <w:rsid w:val="00C57517"/>
    <w:rsid w:val="00C57634"/>
    <w:rsid w:val="00C5784B"/>
    <w:rsid w:val="00C57EF1"/>
    <w:rsid w:val="00C600BF"/>
    <w:rsid w:val="00C60169"/>
    <w:rsid w:val="00C603C7"/>
    <w:rsid w:val="00C604F8"/>
    <w:rsid w:val="00C60FAF"/>
    <w:rsid w:val="00C610E0"/>
    <w:rsid w:val="00C61361"/>
    <w:rsid w:val="00C614B0"/>
    <w:rsid w:val="00C61A3F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07F"/>
    <w:rsid w:val="00C6417B"/>
    <w:rsid w:val="00C6417F"/>
    <w:rsid w:val="00C643F1"/>
    <w:rsid w:val="00C64A37"/>
    <w:rsid w:val="00C6517E"/>
    <w:rsid w:val="00C651D7"/>
    <w:rsid w:val="00C652F6"/>
    <w:rsid w:val="00C65760"/>
    <w:rsid w:val="00C66712"/>
    <w:rsid w:val="00C667DF"/>
    <w:rsid w:val="00C668A5"/>
    <w:rsid w:val="00C66DCF"/>
    <w:rsid w:val="00C67213"/>
    <w:rsid w:val="00C67943"/>
    <w:rsid w:val="00C6799C"/>
    <w:rsid w:val="00C67B26"/>
    <w:rsid w:val="00C67BFD"/>
    <w:rsid w:val="00C67ECE"/>
    <w:rsid w:val="00C701C7"/>
    <w:rsid w:val="00C70312"/>
    <w:rsid w:val="00C705C2"/>
    <w:rsid w:val="00C706C0"/>
    <w:rsid w:val="00C70FFF"/>
    <w:rsid w:val="00C7158E"/>
    <w:rsid w:val="00C715C2"/>
    <w:rsid w:val="00C71AC3"/>
    <w:rsid w:val="00C71CE5"/>
    <w:rsid w:val="00C71DCE"/>
    <w:rsid w:val="00C720A6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088"/>
    <w:rsid w:val="00C742B1"/>
    <w:rsid w:val="00C7488C"/>
    <w:rsid w:val="00C74F78"/>
    <w:rsid w:val="00C75001"/>
    <w:rsid w:val="00C75593"/>
    <w:rsid w:val="00C755C6"/>
    <w:rsid w:val="00C7582C"/>
    <w:rsid w:val="00C75B73"/>
    <w:rsid w:val="00C7613D"/>
    <w:rsid w:val="00C7643D"/>
    <w:rsid w:val="00C76A00"/>
    <w:rsid w:val="00C76B97"/>
    <w:rsid w:val="00C7724E"/>
    <w:rsid w:val="00C774F2"/>
    <w:rsid w:val="00C778B1"/>
    <w:rsid w:val="00C778BD"/>
    <w:rsid w:val="00C7798A"/>
    <w:rsid w:val="00C77C0E"/>
    <w:rsid w:val="00C77C9C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0D2"/>
    <w:rsid w:val="00C821F9"/>
    <w:rsid w:val="00C824A7"/>
    <w:rsid w:val="00C824D5"/>
    <w:rsid w:val="00C825FA"/>
    <w:rsid w:val="00C82BB9"/>
    <w:rsid w:val="00C83127"/>
    <w:rsid w:val="00C83324"/>
    <w:rsid w:val="00C833E4"/>
    <w:rsid w:val="00C83628"/>
    <w:rsid w:val="00C83667"/>
    <w:rsid w:val="00C8392B"/>
    <w:rsid w:val="00C83B07"/>
    <w:rsid w:val="00C840D6"/>
    <w:rsid w:val="00C844F8"/>
    <w:rsid w:val="00C84622"/>
    <w:rsid w:val="00C849D6"/>
    <w:rsid w:val="00C849DB"/>
    <w:rsid w:val="00C84CD1"/>
    <w:rsid w:val="00C84E00"/>
    <w:rsid w:val="00C8514D"/>
    <w:rsid w:val="00C86211"/>
    <w:rsid w:val="00C8684E"/>
    <w:rsid w:val="00C86A23"/>
    <w:rsid w:val="00C86DE8"/>
    <w:rsid w:val="00C86EDD"/>
    <w:rsid w:val="00C86FE0"/>
    <w:rsid w:val="00C8718B"/>
    <w:rsid w:val="00C87812"/>
    <w:rsid w:val="00C87A8F"/>
    <w:rsid w:val="00C87B13"/>
    <w:rsid w:val="00C90187"/>
    <w:rsid w:val="00C9036A"/>
    <w:rsid w:val="00C9096C"/>
    <w:rsid w:val="00C91174"/>
    <w:rsid w:val="00C912E6"/>
    <w:rsid w:val="00C91476"/>
    <w:rsid w:val="00C91687"/>
    <w:rsid w:val="00C9169C"/>
    <w:rsid w:val="00C917E7"/>
    <w:rsid w:val="00C91B45"/>
    <w:rsid w:val="00C91D77"/>
    <w:rsid w:val="00C924A8"/>
    <w:rsid w:val="00C92D02"/>
    <w:rsid w:val="00C93303"/>
    <w:rsid w:val="00C936F0"/>
    <w:rsid w:val="00C93AE7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97CFD"/>
    <w:rsid w:val="00C97ED7"/>
    <w:rsid w:val="00CA0B53"/>
    <w:rsid w:val="00CA0E3C"/>
    <w:rsid w:val="00CA107B"/>
    <w:rsid w:val="00CA11A0"/>
    <w:rsid w:val="00CA1585"/>
    <w:rsid w:val="00CA17E0"/>
    <w:rsid w:val="00CA1CBC"/>
    <w:rsid w:val="00CA1CD9"/>
    <w:rsid w:val="00CA1E63"/>
    <w:rsid w:val="00CA20CF"/>
    <w:rsid w:val="00CA21A1"/>
    <w:rsid w:val="00CA21B5"/>
    <w:rsid w:val="00CA252F"/>
    <w:rsid w:val="00CA2617"/>
    <w:rsid w:val="00CA28E7"/>
    <w:rsid w:val="00CA2C11"/>
    <w:rsid w:val="00CA2E97"/>
    <w:rsid w:val="00CA35FF"/>
    <w:rsid w:val="00CA43D9"/>
    <w:rsid w:val="00CA4831"/>
    <w:rsid w:val="00CA484D"/>
    <w:rsid w:val="00CA4CAF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A7EDC"/>
    <w:rsid w:val="00CA7FBA"/>
    <w:rsid w:val="00CB047A"/>
    <w:rsid w:val="00CB0F54"/>
    <w:rsid w:val="00CB160F"/>
    <w:rsid w:val="00CB16AE"/>
    <w:rsid w:val="00CB1981"/>
    <w:rsid w:val="00CB1D2D"/>
    <w:rsid w:val="00CB20D2"/>
    <w:rsid w:val="00CB2111"/>
    <w:rsid w:val="00CB22A1"/>
    <w:rsid w:val="00CB24CF"/>
    <w:rsid w:val="00CB2646"/>
    <w:rsid w:val="00CB276B"/>
    <w:rsid w:val="00CB2780"/>
    <w:rsid w:val="00CB2840"/>
    <w:rsid w:val="00CB286F"/>
    <w:rsid w:val="00CB2A72"/>
    <w:rsid w:val="00CB2EB7"/>
    <w:rsid w:val="00CB30CA"/>
    <w:rsid w:val="00CB3397"/>
    <w:rsid w:val="00CB352F"/>
    <w:rsid w:val="00CB3684"/>
    <w:rsid w:val="00CB37A5"/>
    <w:rsid w:val="00CB3BF6"/>
    <w:rsid w:val="00CB3CBE"/>
    <w:rsid w:val="00CB3E93"/>
    <w:rsid w:val="00CB3F00"/>
    <w:rsid w:val="00CB4161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5E93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B7E60"/>
    <w:rsid w:val="00CC0196"/>
    <w:rsid w:val="00CC0DF5"/>
    <w:rsid w:val="00CC1A74"/>
    <w:rsid w:val="00CC1BD1"/>
    <w:rsid w:val="00CC1D62"/>
    <w:rsid w:val="00CC1D72"/>
    <w:rsid w:val="00CC1F7E"/>
    <w:rsid w:val="00CC23D8"/>
    <w:rsid w:val="00CC2546"/>
    <w:rsid w:val="00CC2B57"/>
    <w:rsid w:val="00CC3173"/>
    <w:rsid w:val="00CC37BF"/>
    <w:rsid w:val="00CC3DF0"/>
    <w:rsid w:val="00CC3E4C"/>
    <w:rsid w:val="00CC4365"/>
    <w:rsid w:val="00CC44AB"/>
    <w:rsid w:val="00CC4754"/>
    <w:rsid w:val="00CC4BBC"/>
    <w:rsid w:val="00CC4CF0"/>
    <w:rsid w:val="00CC4E7F"/>
    <w:rsid w:val="00CC4F04"/>
    <w:rsid w:val="00CC5CBA"/>
    <w:rsid w:val="00CC6084"/>
    <w:rsid w:val="00CC6194"/>
    <w:rsid w:val="00CC6FFF"/>
    <w:rsid w:val="00CC739E"/>
    <w:rsid w:val="00CC759F"/>
    <w:rsid w:val="00CC76CC"/>
    <w:rsid w:val="00CC7BE0"/>
    <w:rsid w:val="00CC7D0B"/>
    <w:rsid w:val="00CD00DB"/>
    <w:rsid w:val="00CD0202"/>
    <w:rsid w:val="00CD03D5"/>
    <w:rsid w:val="00CD0804"/>
    <w:rsid w:val="00CD0820"/>
    <w:rsid w:val="00CD0B90"/>
    <w:rsid w:val="00CD0FB4"/>
    <w:rsid w:val="00CD1671"/>
    <w:rsid w:val="00CD1D26"/>
    <w:rsid w:val="00CD21E3"/>
    <w:rsid w:val="00CD2509"/>
    <w:rsid w:val="00CD27DC"/>
    <w:rsid w:val="00CD29DB"/>
    <w:rsid w:val="00CD2A9C"/>
    <w:rsid w:val="00CD2AC1"/>
    <w:rsid w:val="00CD2FB8"/>
    <w:rsid w:val="00CD36B0"/>
    <w:rsid w:val="00CD3A6F"/>
    <w:rsid w:val="00CD3A93"/>
    <w:rsid w:val="00CD3C79"/>
    <w:rsid w:val="00CD3D11"/>
    <w:rsid w:val="00CD3DD5"/>
    <w:rsid w:val="00CD3E53"/>
    <w:rsid w:val="00CD42E7"/>
    <w:rsid w:val="00CD42FC"/>
    <w:rsid w:val="00CD451F"/>
    <w:rsid w:val="00CD4647"/>
    <w:rsid w:val="00CD4AFD"/>
    <w:rsid w:val="00CD50B7"/>
    <w:rsid w:val="00CD50E4"/>
    <w:rsid w:val="00CD52B5"/>
    <w:rsid w:val="00CD58B7"/>
    <w:rsid w:val="00CD5FED"/>
    <w:rsid w:val="00CD610F"/>
    <w:rsid w:val="00CD68FC"/>
    <w:rsid w:val="00CD6A1A"/>
    <w:rsid w:val="00CD6DEA"/>
    <w:rsid w:val="00CD6FCC"/>
    <w:rsid w:val="00CD79C2"/>
    <w:rsid w:val="00CD7B7B"/>
    <w:rsid w:val="00CE0283"/>
    <w:rsid w:val="00CE0826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8EA"/>
    <w:rsid w:val="00CE39AB"/>
    <w:rsid w:val="00CE410D"/>
    <w:rsid w:val="00CE42DB"/>
    <w:rsid w:val="00CE4657"/>
    <w:rsid w:val="00CE49F0"/>
    <w:rsid w:val="00CE4C1A"/>
    <w:rsid w:val="00CE4EDD"/>
    <w:rsid w:val="00CE51E5"/>
    <w:rsid w:val="00CE55DB"/>
    <w:rsid w:val="00CE5609"/>
    <w:rsid w:val="00CE5859"/>
    <w:rsid w:val="00CE5B46"/>
    <w:rsid w:val="00CE6438"/>
    <w:rsid w:val="00CE64B9"/>
    <w:rsid w:val="00CE65F7"/>
    <w:rsid w:val="00CE678E"/>
    <w:rsid w:val="00CE7416"/>
    <w:rsid w:val="00CE741E"/>
    <w:rsid w:val="00CE7DF6"/>
    <w:rsid w:val="00CE7F40"/>
    <w:rsid w:val="00CF0402"/>
    <w:rsid w:val="00CF0610"/>
    <w:rsid w:val="00CF0CF6"/>
    <w:rsid w:val="00CF1050"/>
    <w:rsid w:val="00CF13B2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3D"/>
    <w:rsid w:val="00CF2488"/>
    <w:rsid w:val="00CF273E"/>
    <w:rsid w:val="00CF29EE"/>
    <w:rsid w:val="00CF2C29"/>
    <w:rsid w:val="00CF2E5A"/>
    <w:rsid w:val="00CF2F4C"/>
    <w:rsid w:val="00CF2FF3"/>
    <w:rsid w:val="00CF333D"/>
    <w:rsid w:val="00CF3839"/>
    <w:rsid w:val="00CF3AED"/>
    <w:rsid w:val="00CF3C02"/>
    <w:rsid w:val="00CF3E44"/>
    <w:rsid w:val="00CF4099"/>
    <w:rsid w:val="00CF4C4F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979"/>
    <w:rsid w:val="00D00C96"/>
    <w:rsid w:val="00D01168"/>
    <w:rsid w:val="00D0133E"/>
    <w:rsid w:val="00D01406"/>
    <w:rsid w:val="00D01D0C"/>
    <w:rsid w:val="00D01ED2"/>
    <w:rsid w:val="00D0282E"/>
    <w:rsid w:val="00D02C0C"/>
    <w:rsid w:val="00D02DE2"/>
    <w:rsid w:val="00D03070"/>
    <w:rsid w:val="00D03195"/>
    <w:rsid w:val="00D0363C"/>
    <w:rsid w:val="00D03A17"/>
    <w:rsid w:val="00D03A67"/>
    <w:rsid w:val="00D03D58"/>
    <w:rsid w:val="00D04119"/>
    <w:rsid w:val="00D04A05"/>
    <w:rsid w:val="00D04A9F"/>
    <w:rsid w:val="00D04AC1"/>
    <w:rsid w:val="00D04E43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7D2"/>
    <w:rsid w:val="00D07AAA"/>
    <w:rsid w:val="00D07BFE"/>
    <w:rsid w:val="00D07C41"/>
    <w:rsid w:val="00D07FD4"/>
    <w:rsid w:val="00D1031E"/>
    <w:rsid w:val="00D10878"/>
    <w:rsid w:val="00D11803"/>
    <w:rsid w:val="00D11A99"/>
    <w:rsid w:val="00D11AA4"/>
    <w:rsid w:val="00D11E28"/>
    <w:rsid w:val="00D1208F"/>
    <w:rsid w:val="00D1279A"/>
    <w:rsid w:val="00D128B7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4E4F"/>
    <w:rsid w:val="00D14EDB"/>
    <w:rsid w:val="00D150AC"/>
    <w:rsid w:val="00D151A8"/>
    <w:rsid w:val="00D153B5"/>
    <w:rsid w:val="00D15CEA"/>
    <w:rsid w:val="00D15F84"/>
    <w:rsid w:val="00D16117"/>
    <w:rsid w:val="00D1659B"/>
    <w:rsid w:val="00D16E52"/>
    <w:rsid w:val="00D1722C"/>
    <w:rsid w:val="00D172AB"/>
    <w:rsid w:val="00D174D8"/>
    <w:rsid w:val="00D17B1E"/>
    <w:rsid w:val="00D17E91"/>
    <w:rsid w:val="00D17E9E"/>
    <w:rsid w:val="00D17F59"/>
    <w:rsid w:val="00D204D9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2C06"/>
    <w:rsid w:val="00D2344B"/>
    <w:rsid w:val="00D236D3"/>
    <w:rsid w:val="00D23A2D"/>
    <w:rsid w:val="00D23BFD"/>
    <w:rsid w:val="00D23E6D"/>
    <w:rsid w:val="00D23F73"/>
    <w:rsid w:val="00D249E7"/>
    <w:rsid w:val="00D24A5D"/>
    <w:rsid w:val="00D24DFB"/>
    <w:rsid w:val="00D251CB"/>
    <w:rsid w:val="00D25311"/>
    <w:rsid w:val="00D25729"/>
    <w:rsid w:val="00D25BC3"/>
    <w:rsid w:val="00D25DDA"/>
    <w:rsid w:val="00D25E03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90E"/>
    <w:rsid w:val="00D30AF8"/>
    <w:rsid w:val="00D30B93"/>
    <w:rsid w:val="00D30C24"/>
    <w:rsid w:val="00D31133"/>
    <w:rsid w:val="00D312B3"/>
    <w:rsid w:val="00D31E2F"/>
    <w:rsid w:val="00D31EBF"/>
    <w:rsid w:val="00D32104"/>
    <w:rsid w:val="00D3212F"/>
    <w:rsid w:val="00D3246C"/>
    <w:rsid w:val="00D328EC"/>
    <w:rsid w:val="00D32FDF"/>
    <w:rsid w:val="00D33010"/>
    <w:rsid w:val="00D331D1"/>
    <w:rsid w:val="00D332A8"/>
    <w:rsid w:val="00D33390"/>
    <w:rsid w:val="00D33A93"/>
    <w:rsid w:val="00D33EED"/>
    <w:rsid w:val="00D34221"/>
    <w:rsid w:val="00D344FA"/>
    <w:rsid w:val="00D34519"/>
    <w:rsid w:val="00D34A93"/>
    <w:rsid w:val="00D34C39"/>
    <w:rsid w:val="00D34E3F"/>
    <w:rsid w:val="00D35630"/>
    <w:rsid w:val="00D35B63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35"/>
    <w:rsid w:val="00D402A2"/>
    <w:rsid w:val="00D4039C"/>
    <w:rsid w:val="00D40503"/>
    <w:rsid w:val="00D41358"/>
    <w:rsid w:val="00D423CD"/>
    <w:rsid w:val="00D42A2B"/>
    <w:rsid w:val="00D42B6F"/>
    <w:rsid w:val="00D4320B"/>
    <w:rsid w:val="00D435AD"/>
    <w:rsid w:val="00D4372F"/>
    <w:rsid w:val="00D43A8A"/>
    <w:rsid w:val="00D43ECE"/>
    <w:rsid w:val="00D43FFB"/>
    <w:rsid w:val="00D445C2"/>
    <w:rsid w:val="00D446BC"/>
    <w:rsid w:val="00D45650"/>
    <w:rsid w:val="00D45F4F"/>
    <w:rsid w:val="00D4613A"/>
    <w:rsid w:val="00D466DC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4E6"/>
    <w:rsid w:val="00D51A65"/>
    <w:rsid w:val="00D51AB9"/>
    <w:rsid w:val="00D51BAA"/>
    <w:rsid w:val="00D51D99"/>
    <w:rsid w:val="00D52342"/>
    <w:rsid w:val="00D5237E"/>
    <w:rsid w:val="00D529EB"/>
    <w:rsid w:val="00D52B0E"/>
    <w:rsid w:val="00D52DE6"/>
    <w:rsid w:val="00D532D8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3E7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E3"/>
    <w:rsid w:val="00D606E6"/>
    <w:rsid w:val="00D6111A"/>
    <w:rsid w:val="00D61602"/>
    <w:rsid w:val="00D616D2"/>
    <w:rsid w:val="00D61C0C"/>
    <w:rsid w:val="00D61CAB"/>
    <w:rsid w:val="00D620AB"/>
    <w:rsid w:val="00D62335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6837"/>
    <w:rsid w:val="00D66DEC"/>
    <w:rsid w:val="00D6728F"/>
    <w:rsid w:val="00D6750D"/>
    <w:rsid w:val="00D67666"/>
    <w:rsid w:val="00D677A0"/>
    <w:rsid w:val="00D67CD5"/>
    <w:rsid w:val="00D67F27"/>
    <w:rsid w:val="00D700F6"/>
    <w:rsid w:val="00D70517"/>
    <w:rsid w:val="00D7053E"/>
    <w:rsid w:val="00D70A14"/>
    <w:rsid w:val="00D70B0C"/>
    <w:rsid w:val="00D70EF7"/>
    <w:rsid w:val="00D716B5"/>
    <w:rsid w:val="00D7186E"/>
    <w:rsid w:val="00D71893"/>
    <w:rsid w:val="00D71B4B"/>
    <w:rsid w:val="00D71BA1"/>
    <w:rsid w:val="00D71F90"/>
    <w:rsid w:val="00D72156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41C"/>
    <w:rsid w:val="00D74785"/>
    <w:rsid w:val="00D748EC"/>
    <w:rsid w:val="00D74938"/>
    <w:rsid w:val="00D749D5"/>
    <w:rsid w:val="00D74F68"/>
    <w:rsid w:val="00D7504F"/>
    <w:rsid w:val="00D75081"/>
    <w:rsid w:val="00D75312"/>
    <w:rsid w:val="00D75802"/>
    <w:rsid w:val="00D75B5F"/>
    <w:rsid w:val="00D75D80"/>
    <w:rsid w:val="00D7625F"/>
    <w:rsid w:val="00D76264"/>
    <w:rsid w:val="00D764C1"/>
    <w:rsid w:val="00D768E6"/>
    <w:rsid w:val="00D76C27"/>
    <w:rsid w:val="00D76C5D"/>
    <w:rsid w:val="00D76F8C"/>
    <w:rsid w:val="00D77288"/>
    <w:rsid w:val="00D77BCA"/>
    <w:rsid w:val="00D77DEE"/>
    <w:rsid w:val="00D800C0"/>
    <w:rsid w:val="00D80221"/>
    <w:rsid w:val="00D80820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502"/>
    <w:rsid w:val="00D837EF"/>
    <w:rsid w:val="00D8397C"/>
    <w:rsid w:val="00D83BA6"/>
    <w:rsid w:val="00D83C82"/>
    <w:rsid w:val="00D83D3B"/>
    <w:rsid w:val="00D83F40"/>
    <w:rsid w:val="00D84070"/>
    <w:rsid w:val="00D846C4"/>
    <w:rsid w:val="00D84B2C"/>
    <w:rsid w:val="00D84ED5"/>
    <w:rsid w:val="00D8531C"/>
    <w:rsid w:val="00D8538B"/>
    <w:rsid w:val="00D8573E"/>
    <w:rsid w:val="00D85783"/>
    <w:rsid w:val="00D85943"/>
    <w:rsid w:val="00D86292"/>
    <w:rsid w:val="00D86325"/>
    <w:rsid w:val="00D8658A"/>
    <w:rsid w:val="00D86CD3"/>
    <w:rsid w:val="00D86F1E"/>
    <w:rsid w:val="00D8706A"/>
    <w:rsid w:val="00D8736D"/>
    <w:rsid w:val="00D874F7"/>
    <w:rsid w:val="00D87684"/>
    <w:rsid w:val="00D87EA2"/>
    <w:rsid w:val="00D90529"/>
    <w:rsid w:val="00D90C1A"/>
    <w:rsid w:val="00D917F3"/>
    <w:rsid w:val="00D9182A"/>
    <w:rsid w:val="00D918CD"/>
    <w:rsid w:val="00D91980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74F"/>
    <w:rsid w:val="00D93986"/>
    <w:rsid w:val="00D93AE5"/>
    <w:rsid w:val="00D93F9F"/>
    <w:rsid w:val="00D9452A"/>
    <w:rsid w:val="00D94650"/>
    <w:rsid w:val="00D94CF9"/>
    <w:rsid w:val="00D94EED"/>
    <w:rsid w:val="00D950B2"/>
    <w:rsid w:val="00D955C7"/>
    <w:rsid w:val="00D9574A"/>
    <w:rsid w:val="00D957A3"/>
    <w:rsid w:val="00D95D6F"/>
    <w:rsid w:val="00D95EEC"/>
    <w:rsid w:val="00D95EFD"/>
    <w:rsid w:val="00D96026"/>
    <w:rsid w:val="00D963E3"/>
    <w:rsid w:val="00D967EA"/>
    <w:rsid w:val="00D96911"/>
    <w:rsid w:val="00D97284"/>
    <w:rsid w:val="00D97833"/>
    <w:rsid w:val="00D97DBC"/>
    <w:rsid w:val="00D97F27"/>
    <w:rsid w:val="00DA03C9"/>
    <w:rsid w:val="00DA03F6"/>
    <w:rsid w:val="00DA0C89"/>
    <w:rsid w:val="00DA122A"/>
    <w:rsid w:val="00DA13A8"/>
    <w:rsid w:val="00DA156F"/>
    <w:rsid w:val="00DA1578"/>
    <w:rsid w:val="00DA1857"/>
    <w:rsid w:val="00DA1A27"/>
    <w:rsid w:val="00DA1F13"/>
    <w:rsid w:val="00DA1FAB"/>
    <w:rsid w:val="00DA2491"/>
    <w:rsid w:val="00DA25C3"/>
    <w:rsid w:val="00DA2D12"/>
    <w:rsid w:val="00DA307B"/>
    <w:rsid w:val="00DA3124"/>
    <w:rsid w:val="00DA34F6"/>
    <w:rsid w:val="00DA4229"/>
    <w:rsid w:val="00DA4289"/>
    <w:rsid w:val="00DA5491"/>
    <w:rsid w:val="00DA56B4"/>
    <w:rsid w:val="00DA5B23"/>
    <w:rsid w:val="00DA5B80"/>
    <w:rsid w:val="00DA62AB"/>
    <w:rsid w:val="00DA637C"/>
    <w:rsid w:val="00DA63CB"/>
    <w:rsid w:val="00DA65D5"/>
    <w:rsid w:val="00DA6F0D"/>
    <w:rsid w:val="00DA7155"/>
    <w:rsid w:val="00DA74D9"/>
    <w:rsid w:val="00DA7911"/>
    <w:rsid w:val="00DA7A65"/>
    <w:rsid w:val="00DA7C1C"/>
    <w:rsid w:val="00DB072C"/>
    <w:rsid w:val="00DB08CF"/>
    <w:rsid w:val="00DB0B41"/>
    <w:rsid w:val="00DB1341"/>
    <w:rsid w:val="00DB147A"/>
    <w:rsid w:val="00DB147B"/>
    <w:rsid w:val="00DB1509"/>
    <w:rsid w:val="00DB16AD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816"/>
    <w:rsid w:val="00DB2B90"/>
    <w:rsid w:val="00DB2C38"/>
    <w:rsid w:val="00DB2F12"/>
    <w:rsid w:val="00DB3024"/>
    <w:rsid w:val="00DB3176"/>
    <w:rsid w:val="00DB3DB0"/>
    <w:rsid w:val="00DB4E2F"/>
    <w:rsid w:val="00DB52DE"/>
    <w:rsid w:val="00DB6217"/>
    <w:rsid w:val="00DB628B"/>
    <w:rsid w:val="00DB630E"/>
    <w:rsid w:val="00DB65EF"/>
    <w:rsid w:val="00DB6804"/>
    <w:rsid w:val="00DB68D8"/>
    <w:rsid w:val="00DB6947"/>
    <w:rsid w:val="00DB71A7"/>
    <w:rsid w:val="00DB768F"/>
    <w:rsid w:val="00DB769A"/>
    <w:rsid w:val="00DB7B5F"/>
    <w:rsid w:val="00DB7B82"/>
    <w:rsid w:val="00DC00C4"/>
    <w:rsid w:val="00DC09FA"/>
    <w:rsid w:val="00DC0BF7"/>
    <w:rsid w:val="00DC13F2"/>
    <w:rsid w:val="00DC17EF"/>
    <w:rsid w:val="00DC1843"/>
    <w:rsid w:val="00DC1B5B"/>
    <w:rsid w:val="00DC1B9C"/>
    <w:rsid w:val="00DC1C6E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C7ED3"/>
    <w:rsid w:val="00DD0684"/>
    <w:rsid w:val="00DD0750"/>
    <w:rsid w:val="00DD091B"/>
    <w:rsid w:val="00DD0BB3"/>
    <w:rsid w:val="00DD0BC9"/>
    <w:rsid w:val="00DD1493"/>
    <w:rsid w:val="00DD16BE"/>
    <w:rsid w:val="00DD1BC3"/>
    <w:rsid w:val="00DD1CCF"/>
    <w:rsid w:val="00DD21AC"/>
    <w:rsid w:val="00DD24D2"/>
    <w:rsid w:val="00DD26CB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710"/>
    <w:rsid w:val="00DD7773"/>
    <w:rsid w:val="00DD7DCA"/>
    <w:rsid w:val="00DE0642"/>
    <w:rsid w:val="00DE0E67"/>
    <w:rsid w:val="00DE0F1C"/>
    <w:rsid w:val="00DE16C3"/>
    <w:rsid w:val="00DE1731"/>
    <w:rsid w:val="00DE204B"/>
    <w:rsid w:val="00DE2471"/>
    <w:rsid w:val="00DE2E1F"/>
    <w:rsid w:val="00DE2F93"/>
    <w:rsid w:val="00DE3189"/>
    <w:rsid w:val="00DE34CA"/>
    <w:rsid w:val="00DE3610"/>
    <w:rsid w:val="00DE364A"/>
    <w:rsid w:val="00DE4262"/>
    <w:rsid w:val="00DE465E"/>
    <w:rsid w:val="00DE485B"/>
    <w:rsid w:val="00DE4D72"/>
    <w:rsid w:val="00DE4F08"/>
    <w:rsid w:val="00DE50C8"/>
    <w:rsid w:val="00DE514B"/>
    <w:rsid w:val="00DE5420"/>
    <w:rsid w:val="00DE55E2"/>
    <w:rsid w:val="00DE59BB"/>
    <w:rsid w:val="00DE5BF0"/>
    <w:rsid w:val="00DE5D4D"/>
    <w:rsid w:val="00DE5D7D"/>
    <w:rsid w:val="00DE6E1B"/>
    <w:rsid w:val="00DE6FE9"/>
    <w:rsid w:val="00DE78C0"/>
    <w:rsid w:val="00DF00A1"/>
    <w:rsid w:val="00DF01EE"/>
    <w:rsid w:val="00DF0247"/>
    <w:rsid w:val="00DF09FC"/>
    <w:rsid w:val="00DF16DC"/>
    <w:rsid w:val="00DF1EC3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076"/>
    <w:rsid w:val="00DF50B4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330"/>
    <w:rsid w:val="00E0242D"/>
    <w:rsid w:val="00E02A8C"/>
    <w:rsid w:val="00E02A92"/>
    <w:rsid w:val="00E02C0F"/>
    <w:rsid w:val="00E02CEE"/>
    <w:rsid w:val="00E0304F"/>
    <w:rsid w:val="00E03069"/>
    <w:rsid w:val="00E03137"/>
    <w:rsid w:val="00E03A77"/>
    <w:rsid w:val="00E03CD2"/>
    <w:rsid w:val="00E03E2D"/>
    <w:rsid w:val="00E04259"/>
    <w:rsid w:val="00E043D6"/>
    <w:rsid w:val="00E045BD"/>
    <w:rsid w:val="00E0483A"/>
    <w:rsid w:val="00E048BE"/>
    <w:rsid w:val="00E04978"/>
    <w:rsid w:val="00E05221"/>
    <w:rsid w:val="00E05550"/>
    <w:rsid w:val="00E0633A"/>
    <w:rsid w:val="00E06892"/>
    <w:rsid w:val="00E068A3"/>
    <w:rsid w:val="00E06CB1"/>
    <w:rsid w:val="00E06E07"/>
    <w:rsid w:val="00E06E0C"/>
    <w:rsid w:val="00E06FB1"/>
    <w:rsid w:val="00E075A6"/>
    <w:rsid w:val="00E07BF3"/>
    <w:rsid w:val="00E07F98"/>
    <w:rsid w:val="00E100CB"/>
    <w:rsid w:val="00E1040E"/>
    <w:rsid w:val="00E10C44"/>
    <w:rsid w:val="00E11427"/>
    <w:rsid w:val="00E115AE"/>
    <w:rsid w:val="00E116F9"/>
    <w:rsid w:val="00E118AA"/>
    <w:rsid w:val="00E12043"/>
    <w:rsid w:val="00E12077"/>
    <w:rsid w:val="00E12443"/>
    <w:rsid w:val="00E12F60"/>
    <w:rsid w:val="00E13529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5E88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0F17"/>
    <w:rsid w:val="00E2124D"/>
    <w:rsid w:val="00E2170B"/>
    <w:rsid w:val="00E21A33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4C13"/>
    <w:rsid w:val="00E251A8"/>
    <w:rsid w:val="00E25733"/>
    <w:rsid w:val="00E259EA"/>
    <w:rsid w:val="00E25C0C"/>
    <w:rsid w:val="00E25FF0"/>
    <w:rsid w:val="00E2626E"/>
    <w:rsid w:val="00E2652A"/>
    <w:rsid w:val="00E269E6"/>
    <w:rsid w:val="00E26E1A"/>
    <w:rsid w:val="00E26EA7"/>
    <w:rsid w:val="00E26EA8"/>
    <w:rsid w:val="00E308D1"/>
    <w:rsid w:val="00E30A1F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2BAF"/>
    <w:rsid w:val="00E3301B"/>
    <w:rsid w:val="00E339B5"/>
    <w:rsid w:val="00E33C18"/>
    <w:rsid w:val="00E3402B"/>
    <w:rsid w:val="00E340E1"/>
    <w:rsid w:val="00E340F0"/>
    <w:rsid w:val="00E341CF"/>
    <w:rsid w:val="00E34344"/>
    <w:rsid w:val="00E343BB"/>
    <w:rsid w:val="00E343EA"/>
    <w:rsid w:val="00E34404"/>
    <w:rsid w:val="00E34866"/>
    <w:rsid w:val="00E34C83"/>
    <w:rsid w:val="00E35C00"/>
    <w:rsid w:val="00E35CDB"/>
    <w:rsid w:val="00E35D80"/>
    <w:rsid w:val="00E3649B"/>
    <w:rsid w:val="00E36732"/>
    <w:rsid w:val="00E367D3"/>
    <w:rsid w:val="00E3692C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826"/>
    <w:rsid w:val="00E41B9D"/>
    <w:rsid w:val="00E41F62"/>
    <w:rsid w:val="00E41F75"/>
    <w:rsid w:val="00E42139"/>
    <w:rsid w:val="00E426EC"/>
    <w:rsid w:val="00E42FC9"/>
    <w:rsid w:val="00E42FF9"/>
    <w:rsid w:val="00E43603"/>
    <w:rsid w:val="00E4384F"/>
    <w:rsid w:val="00E4418A"/>
    <w:rsid w:val="00E448F9"/>
    <w:rsid w:val="00E45091"/>
    <w:rsid w:val="00E4577D"/>
    <w:rsid w:val="00E457D6"/>
    <w:rsid w:val="00E45B46"/>
    <w:rsid w:val="00E46186"/>
    <w:rsid w:val="00E461E4"/>
    <w:rsid w:val="00E4620A"/>
    <w:rsid w:val="00E4643D"/>
    <w:rsid w:val="00E4714C"/>
    <w:rsid w:val="00E473A8"/>
    <w:rsid w:val="00E4770F"/>
    <w:rsid w:val="00E503D7"/>
    <w:rsid w:val="00E50831"/>
    <w:rsid w:val="00E50AC6"/>
    <w:rsid w:val="00E5109F"/>
    <w:rsid w:val="00E51732"/>
    <w:rsid w:val="00E51AEB"/>
    <w:rsid w:val="00E51CE3"/>
    <w:rsid w:val="00E522A7"/>
    <w:rsid w:val="00E52CA2"/>
    <w:rsid w:val="00E52CE4"/>
    <w:rsid w:val="00E52EE4"/>
    <w:rsid w:val="00E52F90"/>
    <w:rsid w:val="00E532D6"/>
    <w:rsid w:val="00E532F2"/>
    <w:rsid w:val="00E5384C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9E6"/>
    <w:rsid w:val="00E54A1D"/>
    <w:rsid w:val="00E54F52"/>
    <w:rsid w:val="00E555FF"/>
    <w:rsid w:val="00E55A0E"/>
    <w:rsid w:val="00E55C52"/>
    <w:rsid w:val="00E55F9C"/>
    <w:rsid w:val="00E566C7"/>
    <w:rsid w:val="00E5682C"/>
    <w:rsid w:val="00E5687E"/>
    <w:rsid w:val="00E56989"/>
    <w:rsid w:val="00E56BB0"/>
    <w:rsid w:val="00E56D2E"/>
    <w:rsid w:val="00E56E1A"/>
    <w:rsid w:val="00E56E9A"/>
    <w:rsid w:val="00E571CB"/>
    <w:rsid w:val="00E60932"/>
    <w:rsid w:val="00E609CD"/>
    <w:rsid w:val="00E60CB3"/>
    <w:rsid w:val="00E61B05"/>
    <w:rsid w:val="00E62460"/>
    <w:rsid w:val="00E624CF"/>
    <w:rsid w:val="00E62641"/>
    <w:rsid w:val="00E626B2"/>
    <w:rsid w:val="00E63165"/>
    <w:rsid w:val="00E631B5"/>
    <w:rsid w:val="00E633FD"/>
    <w:rsid w:val="00E636D8"/>
    <w:rsid w:val="00E6386D"/>
    <w:rsid w:val="00E63950"/>
    <w:rsid w:val="00E63C6A"/>
    <w:rsid w:val="00E63CED"/>
    <w:rsid w:val="00E63F87"/>
    <w:rsid w:val="00E63FC8"/>
    <w:rsid w:val="00E6425F"/>
    <w:rsid w:val="00E644D3"/>
    <w:rsid w:val="00E647C7"/>
    <w:rsid w:val="00E64915"/>
    <w:rsid w:val="00E64DF4"/>
    <w:rsid w:val="00E64FAB"/>
    <w:rsid w:val="00E6574B"/>
    <w:rsid w:val="00E659D2"/>
    <w:rsid w:val="00E65A30"/>
    <w:rsid w:val="00E65A9C"/>
    <w:rsid w:val="00E664C5"/>
    <w:rsid w:val="00E667E8"/>
    <w:rsid w:val="00E669B0"/>
    <w:rsid w:val="00E66CB9"/>
    <w:rsid w:val="00E66F66"/>
    <w:rsid w:val="00E671A2"/>
    <w:rsid w:val="00E67587"/>
    <w:rsid w:val="00E6793D"/>
    <w:rsid w:val="00E67BE7"/>
    <w:rsid w:val="00E67DEE"/>
    <w:rsid w:val="00E701E1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4A0C"/>
    <w:rsid w:val="00E7557B"/>
    <w:rsid w:val="00E75891"/>
    <w:rsid w:val="00E75907"/>
    <w:rsid w:val="00E75917"/>
    <w:rsid w:val="00E75C18"/>
    <w:rsid w:val="00E75D93"/>
    <w:rsid w:val="00E75EF4"/>
    <w:rsid w:val="00E7683F"/>
    <w:rsid w:val="00E76D26"/>
    <w:rsid w:val="00E76E14"/>
    <w:rsid w:val="00E7757E"/>
    <w:rsid w:val="00E777D1"/>
    <w:rsid w:val="00E779E6"/>
    <w:rsid w:val="00E77B2A"/>
    <w:rsid w:val="00E77B55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2B80"/>
    <w:rsid w:val="00E8321F"/>
    <w:rsid w:val="00E836A9"/>
    <w:rsid w:val="00E83798"/>
    <w:rsid w:val="00E83A92"/>
    <w:rsid w:val="00E83B28"/>
    <w:rsid w:val="00E83C20"/>
    <w:rsid w:val="00E84523"/>
    <w:rsid w:val="00E84575"/>
    <w:rsid w:val="00E846A6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87F2D"/>
    <w:rsid w:val="00E90118"/>
    <w:rsid w:val="00E90145"/>
    <w:rsid w:val="00E90412"/>
    <w:rsid w:val="00E90638"/>
    <w:rsid w:val="00E91276"/>
    <w:rsid w:val="00E912E7"/>
    <w:rsid w:val="00E913D2"/>
    <w:rsid w:val="00E9150E"/>
    <w:rsid w:val="00E91895"/>
    <w:rsid w:val="00E91B6B"/>
    <w:rsid w:val="00E91E12"/>
    <w:rsid w:val="00E91ED1"/>
    <w:rsid w:val="00E923AE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A26"/>
    <w:rsid w:val="00E95C27"/>
    <w:rsid w:val="00E95E6F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1B1"/>
    <w:rsid w:val="00EA0218"/>
    <w:rsid w:val="00EA02C9"/>
    <w:rsid w:val="00EA02F9"/>
    <w:rsid w:val="00EA05E9"/>
    <w:rsid w:val="00EA0605"/>
    <w:rsid w:val="00EA065F"/>
    <w:rsid w:val="00EA0A1C"/>
    <w:rsid w:val="00EA1617"/>
    <w:rsid w:val="00EA1E35"/>
    <w:rsid w:val="00EA2586"/>
    <w:rsid w:val="00EA2850"/>
    <w:rsid w:val="00EA35F8"/>
    <w:rsid w:val="00EA3A25"/>
    <w:rsid w:val="00EA3C2D"/>
    <w:rsid w:val="00EA4396"/>
    <w:rsid w:val="00EA4CEA"/>
    <w:rsid w:val="00EA4E21"/>
    <w:rsid w:val="00EA4E75"/>
    <w:rsid w:val="00EA58D7"/>
    <w:rsid w:val="00EA59BE"/>
    <w:rsid w:val="00EA5A28"/>
    <w:rsid w:val="00EA5A2E"/>
    <w:rsid w:val="00EA5AAF"/>
    <w:rsid w:val="00EA6367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52F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36E"/>
    <w:rsid w:val="00EB2855"/>
    <w:rsid w:val="00EB2A3D"/>
    <w:rsid w:val="00EB2C46"/>
    <w:rsid w:val="00EB2C71"/>
    <w:rsid w:val="00EB3102"/>
    <w:rsid w:val="00EB322A"/>
    <w:rsid w:val="00EB336E"/>
    <w:rsid w:val="00EB33E2"/>
    <w:rsid w:val="00EB4340"/>
    <w:rsid w:val="00EB4670"/>
    <w:rsid w:val="00EB48B1"/>
    <w:rsid w:val="00EB4E4B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6DC"/>
    <w:rsid w:val="00EB6993"/>
    <w:rsid w:val="00EB6AEF"/>
    <w:rsid w:val="00EB7295"/>
    <w:rsid w:val="00EB7602"/>
    <w:rsid w:val="00EB78D8"/>
    <w:rsid w:val="00EB7A47"/>
    <w:rsid w:val="00EB7AE0"/>
    <w:rsid w:val="00EB7E7A"/>
    <w:rsid w:val="00EC079C"/>
    <w:rsid w:val="00EC0827"/>
    <w:rsid w:val="00EC09F4"/>
    <w:rsid w:val="00EC0CD5"/>
    <w:rsid w:val="00EC1223"/>
    <w:rsid w:val="00EC17F6"/>
    <w:rsid w:val="00EC185F"/>
    <w:rsid w:val="00EC1D39"/>
    <w:rsid w:val="00EC21D7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48CB"/>
    <w:rsid w:val="00EC5092"/>
    <w:rsid w:val="00EC5103"/>
    <w:rsid w:val="00EC523E"/>
    <w:rsid w:val="00EC5298"/>
    <w:rsid w:val="00EC53F8"/>
    <w:rsid w:val="00EC571F"/>
    <w:rsid w:val="00EC5A1B"/>
    <w:rsid w:val="00EC5E78"/>
    <w:rsid w:val="00EC5FB3"/>
    <w:rsid w:val="00EC60B7"/>
    <w:rsid w:val="00EC6163"/>
    <w:rsid w:val="00EC6E40"/>
    <w:rsid w:val="00EC7510"/>
    <w:rsid w:val="00EC77D4"/>
    <w:rsid w:val="00EC7894"/>
    <w:rsid w:val="00EC7A91"/>
    <w:rsid w:val="00EC7F1D"/>
    <w:rsid w:val="00ED011E"/>
    <w:rsid w:val="00ED0503"/>
    <w:rsid w:val="00ED0791"/>
    <w:rsid w:val="00ED081B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3A8A"/>
    <w:rsid w:val="00ED42F9"/>
    <w:rsid w:val="00ED4342"/>
    <w:rsid w:val="00ED454B"/>
    <w:rsid w:val="00ED558D"/>
    <w:rsid w:val="00ED55B0"/>
    <w:rsid w:val="00ED55C0"/>
    <w:rsid w:val="00ED578C"/>
    <w:rsid w:val="00ED5E65"/>
    <w:rsid w:val="00ED61DB"/>
    <w:rsid w:val="00ED61FD"/>
    <w:rsid w:val="00ED668A"/>
    <w:rsid w:val="00ED682B"/>
    <w:rsid w:val="00ED6888"/>
    <w:rsid w:val="00ED69E5"/>
    <w:rsid w:val="00ED6C62"/>
    <w:rsid w:val="00ED6E77"/>
    <w:rsid w:val="00ED6F11"/>
    <w:rsid w:val="00ED74BE"/>
    <w:rsid w:val="00ED77E4"/>
    <w:rsid w:val="00ED7A55"/>
    <w:rsid w:val="00ED7B18"/>
    <w:rsid w:val="00ED7C7F"/>
    <w:rsid w:val="00ED7E3B"/>
    <w:rsid w:val="00EE055F"/>
    <w:rsid w:val="00EE0938"/>
    <w:rsid w:val="00EE0A9D"/>
    <w:rsid w:val="00EE0B93"/>
    <w:rsid w:val="00EE14CB"/>
    <w:rsid w:val="00EE2055"/>
    <w:rsid w:val="00EE241B"/>
    <w:rsid w:val="00EE28B2"/>
    <w:rsid w:val="00EE2A67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0D6"/>
    <w:rsid w:val="00EE722B"/>
    <w:rsid w:val="00EE7554"/>
    <w:rsid w:val="00EE755A"/>
    <w:rsid w:val="00EE756D"/>
    <w:rsid w:val="00EE790F"/>
    <w:rsid w:val="00EE7C5C"/>
    <w:rsid w:val="00EE7E56"/>
    <w:rsid w:val="00EF007E"/>
    <w:rsid w:val="00EF0130"/>
    <w:rsid w:val="00EF02F2"/>
    <w:rsid w:val="00EF06C3"/>
    <w:rsid w:val="00EF0A03"/>
    <w:rsid w:val="00EF0F8D"/>
    <w:rsid w:val="00EF13B9"/>
    <w:rsid w:val="00EF13EB"/>
    <w:rsid w:val="00EF17FF"/>
    <w:rsid w:val="00EF1E2B"/>
    <w:rsid w:val="00EF1FCB"/>
    <w:rsid w:val="00EF21C8"/>
    <w:rsid w:val="00EF25CC"/>
    <w:rsid w:val="00EF26D5"/>
    <w:rsid w:val="00EF2F14"/>
    <w:rsid w:val="00EF315E"/>
    <w:rsid w:val="00EF3171"/>
    <w:rsid w:val="00EF320E"/>
    <w:rsid w:val="00EF3223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3"/>
    <w:rsid w:val="00EF6749"/>
    <w:rsid w:val="00EF68E4"/>
    <w:rsid w:val="00EF6D8E"/>
    <w:rsid w:val="00EF772B"/>
    <w:rsid w:val="00EF7D3F"/>
    <w:rsid w:val="00F0012C"/>
    <w:rsid w:val="00F0021A"/>
    <w:rsid w:val="00F0054C"/>
    <w:rsid w:val="00F0055B"/>
    <w:rsid w:val="00F00D06"/>
    <w:rsid w:val="00F010A8"/>
    <w:rsid w:val="00F01FAD"/>
    <w:rsid w:val="00F021C3"/>
    <w:rsid w:val="00F022B6"/>
    <w:rsid w:val="00F0235B"/>
    <w:rsid w:val="00F025DE"/>
    <w:rsid w:val="00F02DA0"/>
    <w:rsid w:val="00F03279"/>
    <w:rsid w:val="00F03598"/>
    <w:rsid w:val="00F037A4"/>
    <w:rsid w:val="00F03CB7"/>
    <w:rsid w:val="00F0407A"/>
    <w:rsid w:val="00F0422E"/>
    <w:rsid w:val="00F04536"/>
    <w:rsid w:val="00F0459F"/>
    <w:rsid w:val="00F0465B"/>
    <w:rsid w:val="00F04A1D"/>
    <w:rsid w:val="00F04BEF"/>
    <w:rsid w:val="00F04E66"/>
    <w:rsid w:val="00F05F55"/>
    <w:rsid w:val="00F060D2"/>
    <w:rsid w:val="00F061B1"/>
    <w:rsid w:val="00F066C1"/>
    <w:rsid w:val="00F06C6E"/>
    <w:rsid w:val="00F06C86"/>
    <w:rsid w:val="00F06CA3"/>
    <w:rsid w:val="00F0734D"/>
    <w:rsid w:val="00F07809"/>
    <w:rsid w:val="00F079BA"/>
    <w:rsid w:val="00F10323"/>
    <w:rsid w:val="00F105D8"/>
    <w:rsid w:val="00F106DB"/>
    <w:rsid w:val="00F108BD"/>
    <w:rsid w:val="00F114E1"/>
    <w:rsid w:val="00F11CEA"/>
    <w:rsid w:val="00F11FFB"/>
    <w:rsid w:val="00F1241B"/>
    <w:rsid w:val="00F12C83"/>
    <w:rsid w:val="00F12DDC"/>
    <w:rsid w:val="00F12EB3"/>
    <w:rsid w:val="00F1326C"/>
    <w:rsid w:val="00F1350A"/>
    <w:rsid w:val="00F1357E"/>
    <w:rsid w:val="00F13F5F"/>
    <w:rsid w:val="00F14007"/>
    <w:rsid w:val="00F1403C"/>
    <w:rsid w:val="00F14753"/>
    <w:rsid w:val="00F154B1"/>
    <w:rsid w:val="00F16054"/>
    <w:rsid w:val="00F167C7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0F5D"/>
    <w:rsid w:val="00F21459"/>
    <w:rsid w:val="00F21947"/>
    <w:rsid w:val="00F219A2"/>
    <w:rsid w:val="00F21A86"/>
    <w:rsid w:val="00F21D2D"/>
    <w:rsid w:val="00F21D7B"/>
    <w:rsid w:val="00F220BD"/>
    <w:rsid w:val="00F22CD1"/>
    <w:rsid w:val="00F22FEC"/>
    <w:rsid w:val="00F232E8"/>
    <w:rsid w:val="00F23B39"/>
    <w:rsid w:val="00F23E5D"/>
    <w:rsid w:val="00F240DE"/>
    <w:rsid w:val="00F2441E"/>
    <w:rsid w:val="00F246D2"/>
    <w:rsid w:val="00F24B5F"/>
    <w:rsid w:val="00F25122"/>
    <w:rsid w:val="00F25214"/>
    <w:rsid w:val="00F25267"/>
    <w:rsid w:val="00F25325"/>
    <w:rsid w:val="00F25827"/>
    <w:rsid w:val="00F25900"/>
    <w:rsid w:val="00F25AF4"/>
    <w:rsid w:val="00F26221"/>
    <w:rsid w:val="00F26499"/>
    <w:rsid w:val="00F264C8"/>
    <w:rsid w:val="00F26541"/>
    <w:rsid w:val="00F26815"/>
    <w:rsid w:val="00F26AEF"/>
    <w:rsid w:val="00F26DAF"/>
    <w:rsid w:val="00F272DF"/>
    <w:rsid w:val="00F27C8F"/>
    <w:rsid w:val="00F27F7D"/>
    <w:rsid w:val="00F3005B"/>
    <w:rsid w:val="00F301CF"/>
    <w:rsid w:val="00F3069F"/>
    <w:rsid w:val="00F30A2F"/>
    <w:rsid w:val="00F30D1E"/>
    <w:rsid w:val="00F312B8"/>
    <w:rsid w:val="00F31759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6E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2E4"/>
    <w:rsid w:val="00F366CA"/>
    <w:rsid w:val="00F368D8"/>
    <w:rsid w:val="00F36FD5"/>
    <w:rsid w:val="00F37062"/>
    <w:rsid w:val="00F37172"/>
    <w:rsid w:val="00F371D2"/>
    <w:rsid w:val="00F373CF"/>
    <w:rsid w:val="00F374F5"/>
    <w:rsid w:val="00F3754C"/>
    <w:rsid w:val="00F3762E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852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766"/>
    <w:rsid w:val="00F458CE"/>
    <w:rsid w:val="00F45A31"/>
    <w:rsid w:val="00F46587"/>
    <w:rsid w:val="00F46935"/>
    <w:rsid w:val="00F469A3"/>
    <w:rsid w:val="00F46EB0"/>
    <w:rsid w:val="00F47010"/>
    <w:rsid w:val="00F4712E"/>
    <w:rsid w:val="00F4721C"/>
    <w:rsid w:val="00F47548"/>
    <w:rsid w:val="00F4758C"/>
    <w:rsid w:val="00F4758E"/>
    <w:rsid w:val="00F47B6E"/>
    <w:rsid w:val="00F47CB3"/>
    <w:rsid w:val="00F47F1B"/>
    <w:rsid w:val="00F50056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1D7E"/>
    <w:rsid w:val="00F520B9"/>
    <w:rsid w:val="00F52102"/>
    <w:rsid w:val="00F52809"/>
    <w:rsid w:val="00F52B4C"/>
    <w:rsid w:val="00F52DFC"/>
    <w:rsid w:val="00F52E78"/>
    <w:rsid w:val="00F53696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6E8B"/>
    <w:rsid w:val="00F570AE"/>
    <w:rsid w:val="00F57313"/>
    <w:rsid w:val="00F57331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90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5FA8"/>
    <w:rsid w:val="00F664B2"/>
    <w:rsid w:val="00F6656C"/>
    <w:rsid w:val="00F6665E"/>
    <w:rsid w:val="00F66DB5"/>
    <w:rsid w:val="00F67C38"/>
    <w:rsid w:val="00F67D30"/>
    <w:rsid w:val="00F67D8F"/>
    <w:rsid w:val="00F67DA2"/>
    <w:rsid w:val="00F67EC3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41E"/>
    <w:rsid w:val="00F74549"/>
    <w:rsid w:val="00F7485E"/>
    <w:rsid w:val="00F754C9"/>
    <w:rsid w:val="00F75687"/>
    <w:rsid w:val="00F75CB5"/>
    <w:rsid w:val="00F75D9B"/>
    <w:rsid w:val="00F75EDB"/>
    <w:rsid w:val="00F7669E"/>
    <w:rsid w:val="00F772E3"/>
    <w:rsid w:val="00F77887"/>
    <w:rsid w:val="00F778D5"/>
    <w:rsid w:val="00F77B0F"/>
    <w:rsid w:val="00F77C2B"/>
    <w:rsid w:val="00F77E6B"/>
    <w:rsid w:val="00F802BE"/>
    <w:rsid w:val="00F805C9"/>
    <w:rsid w:val="00F80C35"/>
    <w:rsid w:val="00F80D0F"/>
    <w:rsid w:val="00F80D3F"/>
    <w:rsid w:val="00F80E93"/>
    <w:rsid w:val="00F81201"/>
    <w:rsid w:val="00F81409"/>
    <w:rsid w:val="00F81922"/>
    <w:rsid w:val="00F819F5"/>
    <w:rsid w:val="00F81B7E"/>
    <w:rsid w:val="00F81B81"/>
    <w:rsid w:val="00F8210F"/>
    <w:rsid w:val="00F8212C"/>
    <w:rsid w:val="00F82189"/>
    <w:rsid w:val="00F828C8"/>
    <w:rsid w:val="00F82ECE"/>
    <w:rsid w:val="00F8310A"/>
    <w:rsid w:val="00F8332F"/>
    <w:rsid w:val="00F83BA9"/>
    <w:rsid w:val="00F83BEF"/>
    <w:rsid w:val="00F843B9"/>
    <w:rsid w:val="00F843FD"/>
    <w:rsid w:val="00F846D3"/>
    <w:rsid w:val="00F84828"/>
    <w:rsid w:val="00F84DC1"/>
    <w:rsid w:val="00F85636"/>
    <w:rsid w:val="00F8595B"/>
    <w:rsid w:val="00F86024"/>
    <w:rsid w:val="00F8611A"/>
    <w:rsid w:val="00F86CCF"/>
    <w:rsid w:val="00F87366"/>
    <w:rsid w:val="00F874EE"/>
    <w:rsid w:val="00F878DD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E77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C50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1F55"/>
    <w:rsid w:val="00FA2141"/>
    <w:rsid w:val="00FA23E4"/>
    <w:rsid w:val="00FA2618"/>
    <w:rsid w:val="00FA29A0"/>
    <w:rsid w:val="00FA30D5"/>
    <w:rsid w:val="00FA32CD"/>
    <w:rsid w:val="00FA37BA"/>
    <w:rsid w:val="00FA3839"/>
    <w:rsid w:val="00FA387B"/>
    <w:rsid w:val="00FA3E3B"/>
    <w:rsid w:val="00FA3FC4"/>
    <w:rsid w:val="00FA426C"/>
    <w:rsid w:val="00FA4374"/>
    <w:rsid w:val="00FA45F8"/>
    <w:rsid w:val="00FA469F"/>
    <w:rsid w:val="00FA4776"/>
    <w:rsid w:val="00FA5128"/>
    <w:rsid w:val="00FA526E"/>
    <w:rsid w:val="00FA5CD9"/>
    <w:rsid w:val="00FA5D7C"/>
    <w:rsid w:val="00FA6B11"/>
    <w:rsid w:val="00FA7612"/>
    <w:rsid w:val="00FA77E9"/>
    <w:rsid w:val="00FA793A"/>
    <w:rsid w:val="00FA794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DF9"/>
    <w:rsid w:val="00FB1F0D"/>
    <w:rsid w:val="00FB1F2D"/>
    <w:rsid w:val="00FB2372"/>
    <w:rsid w:val="00FB2740"/>
    <w:rsid w:val="00FB31DE"/>
    <w:rsid w:val="00FB3650"/>
    <w:rsid w:val="00FB379F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02A"/>
    <w:rsid w:val="00FC015D"/>
    <w:rsid w:val="00FC0353"/>
    <w:rsid w:val="00FC0560"/>
    <w:rsid w:val="00FC06B4"/>
    <w:rsid w:val="00FC0749"/>
    <w:rsid w:val="00FC0ACC"/>
    <w:rsid w:val="00FC11E0"/>
    <w:rsid w:val="00FC18D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E34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8D"/>
    <w:rsid w:val="00FC5FEC"/>
    <w:rsid w:val="00FC601F"/>
    <w:rsid w:val="00FC624D"/>
    <w:rsid w:val="00FC6728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781"/>
    <w:rsid w:val="00FD0A54"/>
    <w:rsid w:val="00FD1195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213"/>
    <w:rsid w:val="00FD336D"/>
    <w:rsid w:val="00FD36EF"/>
    <w:rsid w:val="00FD38BF"/>
    <w:rsid w:val="00FD39B9"/>
    <w:rsid w:val="00FD4117"/>
    <w:rsid w:val="00FD4DD3"/>
    <w:rsid w:val="00FD5026"/>
    <w:rsid w:val="00FD555D"/>
    <w:rsid w:val="00FD5961"/>
    <w:rsid w:val="00FD5E0E"/>
    <w:rsid w:val="00FD5EA7"/>
    <w:rsid w:val="00FD5F5B"/>
    <w:rsid w:val="00FD60A9"/>
    <w:rsid w:val="00FD686F"/>
    <w:rsid w:val="00FD6AC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A68"/>
    <w:rsid w:val="00FE0E08"/>
    <w:rsid w:val="00FE130D"/>
    <w:rsid w:val="00FE14EC"/>
    <w:rsid w:val="00FE1876"/>
    <w:rsid w:val="00FE219F"/>
    <w:rsid w:val="00FE252C"/>
    <w:rsid w:val="00FE2E69"/>
    <w:rsid w:val="00FE2EFD"/>
    <w:rsid w:val="00FE30E8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53A"/>
    <w:rsid w:val="00FE58D9"/>
    <w:rsid w:val="00FE5CAA"/>
    <w:rsid w:val="00FE662F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5A1"/>
    <w:rsid w:val="00FF07C3"/>
    <w:rsid w:val="00FF080D"/>
    <w:rsid w:val="00FF100D"/>
    <w:rsid w:val="00FF1631"/>
    <w:rsid w:val="00FF1B7B"/>
    <w:rsid w:val="00FF1B94"/>
    <w:rsid w:val="00FF22A7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00"/>
    <w:rsid w:val="00FF491D"/>
    <w:rsid w:val="00FF4C2B"/>
    <w:rsid w:val="00FF5462"/>
    <w:rsid w:val="00FF5886"/>
    <w:rsid w:val="00FF5DDA"/>
    <w:rsid w:val="00FF6953"/>
    <w:rsid w:val="00FF6AEE"/>
    <w:rsid w:val="00FF7036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7A25B9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097FD3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E07F9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544A8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color w:val="000000"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632006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5A5088"/>
    <w:pPr>
      <w:numPr>
        <w:numId w:val="19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s://dbw.stat.gov.pl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kraju-w-pazdzierniku-2024-r-,1,150.html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tat.gov.pl/obszary-tematyczne/inne-opracowania/informacje-o-sytuacji-spoleczno-gospodarczej/sytuacja-spoleczno-gospodarcza-kraju-w-pazdzierniku-2024-r-,1,150.html" TargetMode="External"/><Relationship Id="rId59" Type="http://schemas.openxmlformats.org/officeDocument/2006/relationships/hyperlink" Target="https://dbw.stat.gov.pl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twitter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EE6065-840D-42C5-9BAB-6FF0089BA76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D3A08D4-4159-4EC0-B945-446679DA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29</Pages>
  <Words>10330</Words>
  <Characters>61983</Characters>
  <Application>Microsoft Office Word</Application>
  <DocSecurity>0</DocSecurity>
  <Lines>516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październiku 2024 r.</vt:lpstr>
    </vt:vector>
  </TitlesOfParts>
  <Company/>
  <LinksUpToDate>false</LinksUpToDate>
  <CharactersWithSpaces>72169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październiku 2024 r.</dc:title>
  <dc:subject/>
  <dc:creator>Urząd Statystyczny w Poznaniu</dc:creator>
  <cp:keywords/>
  <dc:description/>
  <cp:revision>100</cp:revision>
  <cp:lastPrinted>2024-11-29T12:21:00Z</cp:lastPrinted>
  <dcterms:created xsi:type="dcterms:W3CDTF">2024-11-25T07:25:00Z</dcterms:created>
  <dcterms:modified xsi:type="dcterms:W3CDTF">2024-11-29T12:21:00Z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