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 xml:space="preserve">w </w:t>
      </w:r>
      <w:r w:rsidR="00E04586">
        <w:t>październiku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F9347F">
        <w:t>pogorszenie</w:t>
      </w:r>
      <w:r>
        <w:t xml:space="preserve"> w relacji do poprzedniego okresu):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81AFE">
        <w:t xml:space="preserve">e wrześniu </w:t>
      </w:r>
      <w:r>
        <w:t>202</w:t>
      </w:r>
      <w:r w:rsidR="0055401D">
        <w:t>4</w:t>
      </w:r>
      <w:r>
        <w:t xml:space="preserve"> roku —</w:t>
      </w:r>
      <w:r w:rsidR="00AE4AE7">
        <w:t xml:space="preserve"> </w:t>
      </w:r>
      <w:r w:rsidR="00B81AFE">
        <w:t>5,1;</w:t>
      </w:r>
      <w:r w:rsidR="005050F8">
        <w:t xml:space="preserve"> 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>Wskaźnik w</w:t>
      </w:r>
      <w:r w:rsidR="00B47BDC">
        <w:t xml:space="preserve"> </w:t>
      </w:r>
      <w:r w:rsidR="00B81AFE">
        <w:t>październiku</w:t>
      </w:r>
      <w:r w:rsidR="00AE4AE7">
        <w:t xml:space="preserve"> </w:t>
      </w:r>
      <w:r>
        <w:t>202</w:t>
      </w:r>
      <w:r w:rsidR="00AE4AE7">
        <w:t>4</w:t>
      </w:r>
      <w:r>
        <w:t xml:space="preserve"> roku — </w:t>
      </w:r>
      <w:r w:rsidR="005050F8">
        <w:t xml:space="preserve">minus </w:t>
      </w:r>
      <w:r w:rsidR="00B81AFE">
        <w:t>5,7;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poprawa</w:t>
      </w:r>
      <w:r w:rsidR="000E1C2B">
        <w:t xml:space="preserve"> </w:t>
      </w:r>
      <w:r w:rsidR="001B2C72">
        <w:t>w relacji do poprzedniego okresu):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we wrześniu 2024 roku — </w:t>
      </w:r>
      <w:r>
        <w:t>0,1;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 październiku 2024 roku — </w:t>
      </w:r>
      <w:r>
        <w:t>0,8;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B81AFE">
        <w:t xml:space="preserve">pogorszenie </w:t>
      </w:r>
      <w:r w:rsidR="001B2C72">
        <w:t>w relacji do poprzedniego okresu):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we wrześniu 2024 roku — minus </w:t>
      </w:r>
      <w:r>
        <w:t>5,4;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 październiku 2024 roku — minus </w:t>
      </w:r>
      <w:r>
        <w:t>8,1;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B81AFE">
        <w:t xml:space="preserve">pogorszenie </w:t>
      </w:r>
      <w:r w:rsidR="001B2C72">
        <w:t>w relacji do poprzedniego okresu):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we wrześniu 2024 roku — minus </w:t>
      </w:r>
      <w:r>
        <w:t>15,5;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 październiku 2024 roku — minus </w:t>
      </w:r>
      <w:r>
        <w:t>16,0;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C34C57">
        <w:t xml:space="preserve">pogorszenie </w:t>
      </w:r>
      <w:r w:rsidR="001B2C72">
        <w:t>w relacji do poprzedniego okresu):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we wrześniu 2024 roku — </w:t>
      </w:r>
      <w:r>
        <w:t>7,0;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 październiku 2024 roku — </w:t>
      </w:r>
      <w:r>
        <w:t>2,1;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B81AFE">
        <w:t xml:space="preserve">pogorszenie </w:t>
      </w:r>
      <w:r w:rsidR="001B2C72">
        <w:t>w relacji do poprzedniego okresu):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we wrześniu 2024 roku — </w:t>
      </w:r>
      <w:r>
        <w:t>8,9;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 październiku 2024 roku — </w:t>
      </w:r>
      <w:r>
        <w:t>6,3;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B81AFE">
        <w:t xml:space="preserve">pogorszenie </w:t>
      </w:r>
      <w:r w:rsidR="001B2C72">
        <w:t>w relacji do poprzedniego okresu):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we wrześniu 2024 roku — </w:t>
      </w:r>
      <w:r>
        <w:t>11,9;</w:t>
      </w:r>
      <w:r>
        <w:t xml:space="preserve"> </w:t>
      </w:r>
    </w:p>
    <w:p w:rsidR="00B81AFE" w:rsidRDefault="00B81AFE" w:rsidP="00B81AFE">
      <w:pPr>
        <w:pStyle w:val="Akapitzlist"/>
        <w:numPr>
          <w:ilvl w:val="1"/>
          <w:numId w:val="17"/>
        </w:numPr>
      </w:pPr>
      <w:r>
        <w:t xml:space="preserve">Wskaźnik w październiku 2024 roku — </w:t>
      </w:r>
      <w:r>
        <w:t>9,5.</w:t>
      </w:r>
      <w:r>
        <w:t xml:space="preserve"> </w:t>
      </w:r>
    </w:p>
    <w:p w:rsidR="000E1C2B" w:rsidRDefault="008E0800" w:rsidP="000E1C2B">
      <w:pPr>
        <w:pStyle w:val="Nagwek2"/>
      </w:pPr>
      <w:r>
        <w:t>Procesy cenowe</w:t>
      </w:r>
    </w:p>
    <w:p w:rsidR="000E1C2B" w:rsidRDefault="008E0800" w:rsidP="008E0800">
      <w:r>
        <w:t xml:space="preserve">Przedsiębiorstwa przewidujące, że ceny ich </w:t>
      </w:r>
      <w:proofErr w:type="spellStart"/>
      <w:r>
        <w:t>uług</w:t>
      </w:r>
      <w:proofErr w:type="spellEnd"/>
      <w:r>
        <w:t>/materiałów/surowców w ciągu najbliższych 3 miesięcy, w porównaniu do aktualnej sytuacji</w:t>
      </w:r>
      <w:r w:rsidR="00E66315">
        <w:t>:</w:t>
      </w:r>
    </w:p>
    <w:p w:rsidR="00E66315" w:rsidRDefault="008E0800" w:rsidP="008E0800">
      <w:pPr>
        <w:pStyle w:val="Akapitzlist"/>
        <w:numPr>
          <w:ilvl w:val="0"/>
          <w:numId w:val="20"/>
        </w:numPr>
      </w:pPr>
      <w:r>
        <w:t>Wzrosną szybciej: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415DE6">
        <w:t>10,2%;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Budownictwo — </w:t>
      </w:r>
      <w:r w:rsidR="00415DE6">
        <w:t>22,7%;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Usługi — </w:t>
      </w:r>
      <w:r w:rsidR="00415DE6">
        <w:t>18,9%;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hurtowy — </w:t>
      </w:r>
      <w:r w:rsidR="00415DE6">
        <w:t>22,1%;</w:t>
      </w:r>
    </w:p>
    <w:p w:rsidR="00E66315" w:rsidRDefault="00E66315" w:rsidP="008E0800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415DE6">
        <w:t>19,7%;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Wzrosną wolniej: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lastRenderedPageBreak/>
        <w:t xml:space="preserve">Przetwórstwo przemysłowe — </w:t>
      </w:r>
      <w:r w:rsidR="00415DE6">
        <w:t>46,1%;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415DE6">
        <w:t>51,7%;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415DE6">
        <w:t>53,5%;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415DE6">
        <w:t>51,8%;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415DE6">
        <w:t>37,3%;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Ustabilizują się: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415DE6">
        <w:t>36,2%;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415DE6">
        <w:t>22,9%;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415DE6">
        <w:t>22,2%;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415DE6">
        <w:t>26,1%;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415DE6">
        <w:t>40,7%;</w:t>
      </w:r>
    </w:p>
    <w:p w:rsidR="00AC5944" w:rsidRDefault="00AC5944" w:rsidP="00AC5944">
      <w:pPr>
        <w:pStyle w:val="Akapitzlist"/>
        <w:numPr>
          <w:ilvl w:val="0"/>
          <w:numId w:val="20"/>
        </w:numPr>
      </w:pPr>
      <w:r>
        <w:t>Spadną: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Przetwórstwo przemysłowe — </w:t>
      </w:r>
      <w:r w:rsidR="00415DE6">
        <w:t>7,5%;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Budownictwo — </w:t>
      </w:r>
      <w:r w:rsidR="00415DE6">
        <w:t>2,7%;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Usługi — </w:t>
      </w:r>
      <w:r w:rsidR="00415DE6">
        <w:t>5,4%;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hurtowy — </w:t>
      </w:r>
      <w:r w:rsidR="00415DE6">
        <w:t>0,0%</w:t>
      </w:r>
    </w:p>
    <w:p w:rsidR="00AC5944" w:rsidRDefault="00AC5944" w:rsidP="00AC5944">
      <w:pPr>
        <w:pStyle w:val="Akapitzlist"/>
        <w:numPr>
          <w:ilvl w:val="1"/>
          <w:numId w:val="20"/>
        </w:numPr>
      </w:pPr>
      <w:r>
        <w:t xml:space="preserve">Handel detaliczny — </w:t>
      </w:r>
      <w:r w:rsidR="00415DE6">
        <w:t>2,3%.</w:t>
      </w:r>
    </w:p>
    <w:p w:rsidR="00A55EEA" w:rsidRDefault="00A55EEA" w:rsidP="00A55EEA">
      <w:pPr>
        <w:pStyle w:val="Nagwek2"/>
      </w:pPr>
      <w:r>
        <w:t>Czynniki, które w największym stopniu wpłyną na koszty funkcjonowania firm (przedsiębiorstwa przewidujące, że koszty funkcjonowania ich firm wzrosną lub spadną w okresie najbliższego kwartału)</w:t>
      </w:r>
    </w:p>
    <w:p w:rsidR="00A55EEA" w:rsidRDefault="00A55EEA" w:rsidP="00A55EEA">
      <w:pPr>
        <w:pStyle w:val="Akapitzlist"/>
        <w:numPr>
          <w:ilvl w:val="0"/>
          <w:numId w:val="21"/>
        </w:numPr>
      </w:pPr>
      <w:r>
        <w:t>Wzrost kosztów: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energii i paliw: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Przetwórstwo przemysłowe </w:t>
      </w:r>
      <w:r w:rsidR="00232873">
        <w:t>–</w:t>
      </w:r>
      <w:r w:rsidR="00361EEB">
        <w:t xml:space="preserve"> </w:t>
      </w:r>
      <w:r w:rsidR="00415DE6">
        <w:t>88,4%;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Budownictwo </w:t>
      </w:r>
      <w:r w:rsidR="00232873">
        <w:t>–</w:t>
      </w:r>
      <w:r>
        <w:t xml:space="preserve"> </w:t>
      </w:r>
      <w:r w:rsidR="00415DE6">
        <w:t>83,4%;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hurtowy </w:t>
      </w:r>
      <w:r w:rsidR="00232873">
        <w:t>–</w:t>
      </w:r>
      <w:r>
        <w:t xml:space="preserve"> </w:t>
      </w:r>
      <w:r w:rsidR="00415DE6">
        <w:t>89,5%;</w:t>
      </w:r>
    </w:p>
    <w:p w:rsidR="00A55EEA" w:rsidRDefault="00A55EEA" w:rsidP="00A55EEA">
      <w:pPr>
        <w:pStyle w:val="Akapitzlist"/>
        <w:numPr>
          <w:ilvl w:val="2"/>
          <w:numId w:val="21"/>
        </w:numPr>
      </w:pPr>
      <w:r>
        <w:t xml:space="preserve">Handel detaliczny </w:t>
      </w:r>
      <w:r w:rsidR="00232873">
        <w:t>–</w:t>
      </w:r>
      <w:r>
        <w:t xml:space="preserve"> </w:t>
      </w:r>
      <w:r w:rsidR="00415DE6">
        <w:t>82,3%;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415DE6">
        <w:t>72,3%;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FF474A">
        <w:t>46,6%;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FF474A">
        <w:t>32,1%;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FF474A">
        <w:t>53,2%;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FF474A">
        <w:t>57,6%;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FF474A">
        <w:t>53,7%;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FF474A">
        <w:t>65,1%;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FF474A">
        <w:t>60,0%;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FF474A">
        <w:t>57,5%;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Handel detaliczny </w:t>
      </w:r>
      <w:r w:rsidR="00415DE6">
        <w:t>–</w:t>
      </w:r>
      <w:r w:rsidR="00FF474A">
        <w:t xml:space="preserve"> 56,7%;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FF474A">
        <w:t>53,7%;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FF474A">
        <w:t>81,8%;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FF474A">
        <w:t>88,7%;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FF474A">
        <w:t>75,4%;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FF474A">
        <w:t>71,6%;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FF474A">
        <w:t>74,2%;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FF474A">
        <w:t>35,9%;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FF474A">
        <w:t>20,7%;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FF474A">
        <w:t>36,2%;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FF474A">
        <w:t>17,4%;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FF474A">
        <w:t>21,7%;</w:t>
      </w:r>
    </w:p>
    <w:p w:rsidR="00A55EEA" w:rsidRDefault="00A55EEA" w:rsidP="00A55EEA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FF474A">
        <w:t>44,4%;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FF474A">
        <w:t>31,2%;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FF474A">
        <w:t>38,6%;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FF474A">
        <w:t>38,7%;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FF474A">
        <w:t>37,9%;</w:t>
      </w:r>
    </w:p>
    <w:p w:rsidR="00232873" w:rsidRDefault="00A55EEA" w:rsidP="00A55EEA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FF474A">
        <w:t>46,4%;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Budownictwo –</w:t>
      </w:r>
      <w:r w:rsidR="00361EEB">
        <w:t xml:space="preserve"> </w:t>
      </w:r>
      <w:r w:rsidR="00200D25">
        <w:t>48,3%;</w:t>
      </w:r>
    </w:p>
    <w:p w:rsidR="00415DE6" w:rsidRDefault="00232873" w:rsidP="00232873">
      <w:pPr>
        <w:pStyle w:val="Akapitzlist"/>
        <w:numPr>
          <w:ilvl w:val="2"/>
          <w:numId w:val="21"/>
        </w:numPr>
      </w:pPr>
      <w:r>
        <w:t>Handel hurtowy –</w:t>
      </w:r>
      <w:r w:rsidR="00200D25">
        <w:t xml:space="preserve"> 42,9%;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detaliczny –</w:t>
      </w:r>
      <w:r w:rsidR="00415DE6">
        <w:t xml:space="preserve"> </w:t>
      </w:r>
      <w:r w:rsidR="00200D25">
        <w:t>34,0%;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36,9%;</w:t>
      </w:r>
    </w:p>
    <w:p w:rsidR="00A55EEA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</w:t>
      </w:r>
      <w:r w:rsidR="00794F68">
        <w:t xml:space="preserve"> </w:t>
      </w:r>
      <w:r w:rsidR="00200D25">
        <w:t>25,6%;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12,0%;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Handel hurtowy –</w:t>
      </w:r>
      <w:r w:rsidR="00794F68">
        <w:t xml:space="preserve"> </w:t>
      </w:r>
      <w:r w:rsidR="00200D25">
        <w:t>21,4%;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22,8%;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29,3%;</w:t>
      </w:r>
    </w:p>
    <w:p w:rsidR="00232873" w:rsidRDefault="00232873" w:rsidP="00232873">
      <w:pPr>
        <w:pStyle w:val="Akapitzlist"/>
        <w:numPr>
          <w:ilvl w:val="0"/>
          <w:numId w:val="21"/>
        </w:numPr>
      </w:pPr>
      <w:r>
        <w:t>Spadek kosztów: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energii i paliw: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4,8%;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3,9%;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1,0%;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1,4%;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8,3%;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czynszu, najmu lokali, itp.: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3,8%;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lastRenderedPageBreak/>
        <w:t xml:space="preserve">Budownictwo – </w:t>
      </w:r>
      <w:r w:rsidR="00200D25">
        <w:t>10,7%;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3,3%;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1,0%;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4,3%;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komponentów i usług: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4,8%;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0,6%;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1,9%;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0,4%;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0,6%;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zatrudnienia: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0,0%;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1,1%;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1,0%;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3,0%;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0,0%;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Ceny importu bezpośredniego: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>Przetwórstwo przemysłowe –</w:t>
      </w:r>
      <w:r w:rsidR="00794F68">
        <w:t xml:space="preserve"> </w:t>
      </w:r>
      <w:r w:rsidR="00200D25">
        <w:t>13,3%;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6,8%;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6,1%;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13,8%;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13,2%;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Zmiany w przepisach i wymogach prawnych: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1,8%;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3,4%;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3,3%;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5,2%;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8,0%;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Koszty finansowania (kredyty, pożyczki, itp.):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9,5%;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3,7%;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6,1%;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5,0%;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8,6%;</w:t>
      </w:r>
    </w:p>
    <w:p w:rsidR="00232873" w:rsidRDefault="00232873" w:rsidP="00232873">
      <w:pPr>
        <w:pStyle w:val="Akapitzlist"/>
        <w:numPr>
          <w:ilvl w:val="1"/>
          <w:numId w:val="21"/>
        </w:numPr>
      </w:pPr>
      <w:r>
        <w:t>Inne: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Przetwórstwo przemysłowe – </w:t>
      </w:r>
      <w:r w:rsidR="00200D25">
        <w:t>8,9%;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Budownictwo – </w:t>
      </w:r>
      <w:r w:rsidR="00200D25">
        <w:t>2,6%;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hurtowy – </w:t>
      </w:r>
      <w:r w:rsidR="00200D25">
        <w:t>5,3%;</w:t>
      </w:r>
    </w:p>
    <w:p w:rsidR="00232873" w:rsidRDefault="00232873" w:rsidP="00232873">
      <w:pPr>
        <w:pStyle w:val="Akapitzlist"/>
        <w:numPr>
          <w:ilvl w:val="2"/>
          <w:numId w:val="21"/>
        </w:numPr>
      </w:pPr>
      <w:r>
        <w:t xml:space="preserve">Handel detaliczny – </w:t>
      </w:r>
      <w:r w:rsidR="00200D25">
        <w:t>5,6%;</w:t>
      </w:r>
    </w:p>
    <w:p w:rsidR="00232873" w:rsidRPr="00A55EEA" w:rsidRDefault="00232873" w:rsidP="00232873">
      <w:pPr>
        <w:pStyle w:val="Akapitzlist"/>
        <w:numPr>
          <w:ilvl w:val="2"/>
          <w:numId w:val="21"/>
        </w:numPr>
      </w:pPr>
      <w:r>
        <w:t xml:space="preserve">Usługi – </w:t>
      </w:r>
      <w:r w:rsidR="00200D25">
        <w:t>4,3%.</w:t>
      </w:r>
    </w:p>
    <w:p w:rsidR="00E749BD" w:rsidRDefault="00E749BD" w:rsidP="00E749BD">
      <w:pPr>
        <w:pStyle w:val="Nagwek2"/>
      </w:pPr>
      <w:r>
        <w:lastRenderedPageBreak/>
        <w:t>Wpływ wojny na Ukrainie</w:t>
      </w:r>
    </w:p>
    <w:p w:rsidR="000E1C2B" w:rsidRPr="000E1C2B" w:rsidRDefault="00E66315" w:rsidP="000E1C2B">
      <w:r>
        <w:t>N</w:t>
      </w:r>
      <w:r w:rsidR="000E1C2B" w:rsidRPr="000E1C2B">
        <w:t>egatywne skutki wojny i jej konsekwencje w bieżącym miesiącu dla przedsiębiorstw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Przetwórstwo przemysłowe: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6C196D">
        <w:t>43,8%;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B651F0">
        <w:t>49,</w:t>
      </w:r>
      <w:r w:rsidR="00B21DE0">
        <w:t>6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B651F0">
        <w:t>5,</w:t>
      </w:r>
      <w:r w:rsidR="00B21DE0">
        <w:t>9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B21DE0">
        <w:t>0,7</w:t>
      </w:r>
      <w:r w:rsidR="003C377E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Budownictwo: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B21DE0">
        <w:t>54,1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B21DE0">
        <w:t>36,9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B21DE0">
        <w:t>8,1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B21DE0">
        <w:t>0,9</w:t>
      </w:r>
      <w:r w:rsidR="003C377E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hurtowy: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B21DE0">
        <w:t>40,2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B21DE0">
        <w:t>38,2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B21DE0">
        <w:t>11,6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— </w:t>
      </w:r>
      <w:r w:rsidR="00B21DE0">
        <w:t>3,0</w:t>
      </w:r>
      <w:r w:rsidR="003C377E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Handel detaliczny: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Brak negatywnych skutków — </w:t>
      </w:r>
      <w:r w:rsidR="00B21DE0">
        <w:t>52,6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B21DE0">
        <w:t>32,8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3C377E">
        <w:t>11,</w:t>
      </w:r>
      <w:r w:rsidR="00B21DE0">
        <w:t>6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>Zagrażające stabilności firmy —</w:t>
      </w:r>
      <w:r w:rsidR="00B21DE0">
        <w:t>3,0</w:t>
      </w:r>
      <w:r w:rsidR="003C377E">
        <w:t>%;</w:t>
      </w:r>
    </w:p>
    <w:p w:rsidR="00E749BD" w:rsidRDefault="00E749BD" w:rsidP="00E749BD">
      <w:pPr>
        <w:pStyle w:val="Akapitzlist"/>
        <w:numPr>
          <w:ilvl w:val="0"/>
          <w:numId w:val="18"/>
        </w:numPr>
      </w:pPr>
      <w:r>
        <w:t>Usługi:</w:t>
      </w:r>
      <w:bookmarkStart w:id="0" w:name="_GoBack"/>
      <w:bookmarkEnd w:id="0"/>
    </w:p>
    <w:p w:rsidR="00E749BD" w:rsidRDefault="00E749BD" w:rsidP="00E749BD">
      <w:pPr>
        <w:pStyle w:val="Akapitzlist"/>
        <w:numPr>
          <w:ilvl w:val="1"/>
          <w:numId w:val="18"/>
        </w:numPr>
      </w:pPr>
      <w:r>
        <w:t>Brak negatywnych skutków —</w:t>
      </w:r>
      <w:r w:rsidR="003C377E">
        <w:t xml:space="preserve"> </w:t>
      </w:r>
      <w:r w:rsidR="00B21DE0">
        <w:t>42,7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Nieznaczne — </w:t>
      </w:r>
      <w:r w:rsidR="00B21DE0">
        <w:t>48,9</w:t>
      </w:r>
      <w:r w:rsidR="003C377E">
        <w:t>%;</w:t>
      </w:r>
    </w:p>
    <w:p w:rsidR="00E749BD" w:rsidRDefault="00E749BD" w:rsidP="00E749BD">
      <w:pPr>
        <w:pStyle w:val="Akapitzlist"/>
        <w:numPr>
          <w:ilvl w:val="1"/>
          <w:numId w:val="18"/>
        </w:numPr>
      </w:pPr>
      <w:r>
        <w:t xml:space="preserve">Poważne — </w:t>
      </w:r>
      <w:r w:rsidR="00B21DE0">
        <w:t>1,9</w:t>
      </w:r>
      <w:r w:rsidR="003C377E">
        <w:t>%;</w:t>
      </w:r>
    </w:p>
    <w:p w:rsidR="00E749BD" w:rsidRPr="00E749BD" w:rsidRDefault="00E749BD" w:rsidP="00E749BD">
      <w:pPr>
        <w:pStyle w:val="Akapitzlist"/>
        <w:numPr>
          <w:ilvl w:val="1"/>
          <w:numId w:val="18"/>
        </w:numPr>
      </w:pPr>
      <w:r>
        <w:t xml:space="preserve">Zagrażające stabilności firmy </w:t>
      </w:r>
      <w:r w:rsidR="00310015">
        <w:t>6</w:t>
      </w:r>
      <w:r w:rsidR="00B21DE0">
        <w:t>,5</w:t>
      </w:r>
      <w:r w:rsidR="003C377E">
        <w:t>%.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9D36A0" w:rsidRPr="009D36A0" w:rsidRDefault="00E749BD" w:rsidP="003508D2">
      <w:pPr>
        <w:rPr>
          <w:color w:val="0563C1" w:themeColor="hyperlink"/>
          <w:u w:val="single"/>
        </w:rPr>
      </w:pPr>
      <w:r>
        <w:t xml:space="preserve">przez jednostki z siedzibą w województwie Lubelskim – </w:t>
      </w:r>
      <w:r w:rsidR="009D36A0">
        <w:t>październik</w:t>
      </w:r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</w:t>
      </w:r>
      <w:r w:rsidR="00C41D9F">
        <w:t>k</w:t>
      </w:r>
      <w:r w:rsidR="00ED5D1F" w:rsidRPr="00ED5D1F">
        <w:t xml:space="preserve"> </w:t>
      </w:r>
      <w:hyperlink r:id="rId5" w:history="1">
        <w:r w:rsidR="00ED5D1F">
          <w:rPr>
            <w:rStyle w:val="Hipercze"/>
          </w:rPr>
          <w:t>Urząd Statystyczny w Lublinie / Opracowania bieżące / Opracowania sygnalne / Inne opracowania / Koniunktura gospodarcza w województwie lubelskim - październik 2024 r.</w:t>
        </w:r>
      </w:hyperlink>
    </w:p>
    <w:p w:rsidR="003508D2" w:rsidRDefault="003508D2" w:rsidP="003508D2">
      <w:r>
        <w:t>Dane: Urząd Statystyczny w Lublinie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lastRenderedPageBreak/>
        <w:t>Platforma X</w:t>
      </w:r>
      <w:r w:rsidR="003508D2">
        <w:t xml:space="preserve"> </w:t>
      </w:r>
      <w:hyperlink r:id="rId7" w:history="1">
        <w:r w:rsidR="00361EEB" w:rsidRPr="008B0B5F">
          <w:rPr>
            <w:rStyle w:val="Hipercze"/>
          </w:rPr>
          <w:t>https://x.com/Lublin_STAT</w:t>
        </w:r>
      </w:hyperlink>
      <w:r w:rsidR="003508D2">
        <w:t xml:space="preserve"> </w:t>
      </w:r>
    </w:p>
    <w:p w:rsidR="000D04A8" w:rsidRDefault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7"/>
  </w:num>
  <w:num w:numId="5">
    <w:abstractNumId w:val="16"/>
  </w:num>
  <w:num w:numId="6">
    <w:abstractNumId w:val="4"/>
  </w:num>
  <w:num w:numId="7">
    <w:abstractNumId w:val="19"/>
  </w:num>
  <w:num w:numId="8">
    <w:abstractNumId w:val="5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12"/>
  </w:num>
  <w:num w:numId="14">
    <w:abstractNumId w:val="20"/>
  </w:num>
  <w:num w:numId="15">
    <w:abstractNumId w:val="13"/>
  </w:num>
  <w:num w:numId="16">
    <w:abstractNumId w:val="8"/>
  </w:num>
  <w:num w:numId="17">
    <w:abstractNumId w:val="11"/>
  </w:num>
  <w:num w:numId="18">
    <w:abstractNumId w:val="0"/>
  </w:num>
  <w:num w:numId="19">
    <w:abstractNumId w:val="18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D04A8"/>
    <w:rsid w:val="000E1C2B"/>
    <w:rsid w:val="000F2650"/>
    <w:rsid w:val="001A5B8E"/>
    <w:rsid w:val="001B2C72"/>
    <w:rsid w:val="001D7ADC"/>
    <w:rsid w:val="001F5FF2"/>
    <w:rsid w:val="00200D25"/>
    <w:rsid w:val="00232873"/>
    <w:rsid w:val="0025605F"/>
    <w:rsid w:val="00310015"/>
    <w:rsid w:val="003508D2"/>
    <w:rsid w:val="00361EEB"/>
    <w:rsid w:val="003653EE"/>
    <w:rsid w:val="003C377E"/>
    <w:rsid w:val="00415DE6"/>
    <w:rsid w:val="00447BB7"/>
    <w:rsid w:val="004A5E71"/>
    <w:rsid w:val="004C2548"/>
    <w:rsid w:val="004C3F25"/>
    <w:rsid w:val="004F0AD7"/>
    <w:rsid w:val="005050F8"/>
    <w:rsid w:val="00515DF2"/>
    <w:rsid w:val="00552F58"/>
    <w:rsid w:val="0055401D"/>
    <w:rsid w:val="005A0E18"/>
    <w:rsid w:val="005B4C30"/>
    <w:rsid w:val="005D5547"/>
    <w:rsid w:val="005D7340"/>
    <w:rsid w:val="0060617C"/>
    <w:rsid w:val="00612B8D"/>
    <w:rsid w:val="00642DB5"/>
    <w:rsid w:val="00694A44"/>
    <w:rsid w:val="006C196D"/>
    <w:rsid w:val="00776FA7"/>
    <w:rsid w:val="00782CBC"/>
    <w:rsid w:val="00794F68"/>
    <w:rsid w:val="00807D8A"/>
    <w:rsid w:val="00815241"/>
    <w:rsid w:val="008A5BB1"/>
    <w:rsid w:val="008E0800"/>
    <w:rsid w:val="008E6E1A"/>
    <w:rsid w:val="009774E3"/>
    <w:rsid w:val="00993A0E"/>
    <w:rsid w:val="009D36A0"/>
    <w:rsid w:val="009D3B28"/>
    <w:rsid w:val="00A0138B"/>
    <w:rsid w:val="00A22F89"/>
    <w:rsid w:val="00A25CA2"/>
    <w:rsid w:val="00A37541"/>
    <w:rsid w:val="00A55EEA"/>
    <w:rsid w:val="00AC5944"/>
    <w:rsid w:val="00AE4AE7"/>
    <w:rsid w:val="00AE636B"/>
    <w:rsid w:val="00B21DE0"/>
    <w:rsid w:val="00B36D35"/>
    <w:rsid w:val="00B45CAD"/>
    <w:rsid w:val="00B47BDC"/>
    <w:rsid w:val="00B651F0"/>
    <w:rsid w:val="00B81AFE"/>
    <w:rsid w:val="00C34C57"/>
    <w:rsid w:val="00C41D9F"/>
    <w:rsid w:val="00C67AA2"/>
    <w:rsid w:val="00CA2854"/>
    <w:rsid w:val="00CA5A50"/>
    <w:rsid w:val="00CB3B0B"/>
    <w:rsid w:val="00D04507"/>
    <w:rsid w:val="00E02D2F"/>
    <w:rsid w:val="00E04586"/>
    <w:rsid w:val="00E166AD"/>
    <w:rsid w:val="00E50B3A"/>
    <w:rsid w:val="00E66315"/>
    <w:rsid w:val="00E70D1F"/>
    <w:rsid w:val="00E730A2"/>
    <w:rsid w:val="00E749BD"/>
    <w:rsid w:val="00E9258D"/>
    <w:rsid w:val="00ED5D1F"/>
    <w:rsid w:val="00EF27DD"/>
    <w:rsid w:val="00EF5235"/>
    <w:rsid w:val="00F36023"/>
    <w:rsid w:val="00F9347F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2454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pazdziernik-2024-r-,3,17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6</Pages>
  <Words>907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lipcu 2024 roku (infografika) – opis alternatywny</vt:lpstr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 październiku 2024 roku (infografika) – opis alternatywny</dc:title>
  <dc:subject/>
  <dc:creator>Szymkiewicz Szymon</dc:creator>
  <cp:keywords/>
  <dc:description/>
  <cp:lastModifiedBy>Szymkiewicz Szymon</cp:lastModifiedBy>
  <cp:revision>46</cp:revision>
  <dcterms:created xsi:type="dcterms:W3CDTF">2023-06-14T09:24:00Z</dcterms:created>
  <dcterms:modified xsi:type="dcterms:W3CDTF">2024-10-31T13:11:00Z</dcterms:modified>
</cp:coreProperties>
</file>