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 xml:space="preserve">w </w:t>
      </w:r>
      <w:r w:rsidR="00930FC2">
        <w:t>czerwcu</w:t>
      </w:r>
      <w:r w:rsidR="00CA2854">
        <w:t xml:space="preserve"> </w:t>
      </w:r>
      <w:r>
        <w:t>202</w:t>
      </w:r>
      <w:r w:rsidR="00A55EEA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F9347F">
        <w:t>pogorszenie</w:t>
      </w:r>
      <w:r>
        <w:t xml:space="preserve"> w relacji do poprzedniego okresu):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 xml:space="preserve">Wskaźnik w </w:t>
      </w:r>
      <w:r w:rsidR="00930FC2">
        <w:t>maju</w:t>
      </w:r>
      <w:r>
        <w:t xml:space="preserve"> 2024 roku — </w:t>
      </w:r>
      <w:r w:rsidR="00930FC2">
        <w:t>1</w:t>
      </w:r>
      <w:r>
        <w:t>,5;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AE4AE7">
        <w:t xml:space="preserve"> </w:t>
      </w:r>
      <w:r w:rsidR="00930FC2">
        <w:t>czerwcu</w:t>
      </w:r>
      <w:r w:rsidR="00AE4AE7">
        <w:t xml:space="preserve"> </w:t>
      </w:r>
      <w:r>
        <w:t>202</w:t>
      </w:r>
      <w:r w:rsidR="0055401D">
        <w:t>4</w:t>
      </w:r>
      <w:r>
        <w:t xml:space="preserve"> roku —</w:t>
      </w:r>
      <w:r w:rsidR="00AE4AE7">
        <w:t xml:space="preserve"> </w:t>
      </w:r>
      <w:r w:rsidR="00930FC2">
        <w:t xml:space="preserve">minus </w:t>
      </w:r>
      <w:r w:rsidR="0055401D">
        <w:t>5,</w:t>
      </w:r>
      <w:r w:rsidR="00930FC2">
        <w:t>1</w:t>
      </w:r>
      <w:r w:rsidR="00F9347F"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AE4AE7">
        <w:t>p</w:t>
      </w:r>
      <w:r w:rsidR="00930FC2">
        <w:t>ogorszenie</w:t>
      </w:r>
      <w:r w:rsidR="000E1C2B">
        <w:t xml:space="preserve"> </w:t>
      </w:r>
      <w:r w:rsidR="001B2C72">
        <w:t>w relacji do poprzedniego okresu):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maju 2024 roku — 1,0;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czerwcu 2024 roku — 0,4;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maju 2024 roku — minus 2,1;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czerwcu 2024 roku — minus 1,8;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930FC2">
        <w:t>pogorszenie</w:t>
      </w:r>
      <w:r w:rsidR="00C34C57">
        <w:t xml:space="preserve"> </w:t>
      </w:r>
      <w:r w:rsidR="001B2C72">
        <w:t>w relacji do poprzedniego okresu):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maju 2024 roku — minus 4,3;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czerwcu 2024 roku — minus 14,1;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C34C57">
        <w:t xml:space="preserve">pogorszenie </w:t>
      </w:r>
      <w:r w:rsidR="001B2C72">
        <w:t>w relacji do poprzedniego okresu):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maju 2024 roku — minus 3,2;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czerwcu 2024 roku — minus 10,2;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(poprawa w relacji do poprzedniego okresu):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maju 2024 roku — 4,6;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czerwcu 2024 roku — 7,1;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930FC2">
        <w:t>brak zmian</w:t>
      </w:r>
      <w:r w:rsidR="00C34C57">
        <w:t xml:space="preserve"> </w:t>
      </w:r>
      <w:r w:rsidR="001B2C72">
        <w:t>w relacji do poprzedniego okresu):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maju 2024 roku — 10,4;</w:t>
      </w:r>
    </w:p>
    <w:p w:rsidR="00930FC2" w:rsidRDefault="00930FC2" w:rsidP="00930FC2">
      <w:pPr>
        <w:pStyle w:val="Akapitzlist"/>
        <w:numPr>
          <w:ilvl w:val="1"/>
          <w:numId w:val="17"/>
        </w:numPr>
      </w:pPr>
      <w:r>
        <w:t>Wskaźnik w czerwcu 2024 roku — 10,4.</w:t>
      </w:r>
    </w:p>
    <w:p w:rsidR="00E8587D" w:rsidRDefault="00E8587D" w:rsidP="00E8587D">
      <w:pPr>
        <w:pStyle w:val="Nagwek2"/>
      </w:pPr>
      <w:r>
        <w:t>Rynek pracy</w:t>
      </w:r>
    </w:p>
    <w:p w:rsidR="00E8587D" w:rsidRDefault="00E8587D" w:rsidP="00E8587D">
      <w:r>
        <w:t>Przedsiębiorstwa zamierzające w najbliższych trzech miesiącach, w porównaniu z aktualną sytuacją, w przypadku pracowników: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łatwych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9B73EB">
        <w:t>5,3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9B73EB">
        <w:t>14,6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CE22A9">
        <w:t>4,3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CE22A9">
        <w:t>5,7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 — 1</w:t>
      </w:r>
      <w:r w:rsidR="00CE22A9">
        <w:t>8,4</w:t>
      </w:r>
      <w:r>
        <w:t>%;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lastRenderedPageBreak/>
        <w:t>Utrzymać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CE22A9">
        <w:t>85,6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CE22A9">
        <w:t>80,0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CE22A9">
        <w:t>89,7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CE22A9">
        <w:t>92,6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detaliczny — </w:t>
      </w:r>
      <w:r w:rsidR="00CE22A9">
        <w:t>81,1</w:t>
      </w:r>
      <w:r>
        <w:t>%;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CE22A9">
        <w:t>9,1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CE22A9">
        <w:t>5,4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F42452">
        <w:t>6</w:t>
      </w:r>
      <w:r w:rsidR="00CE22A9">
        <w:t>,0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CE22A9">
        <w:t>1,7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detaliczny — </w:t>
      </w:r>
      <w:r w:rsidR="00CE22A9">
        <w:t>0,5</w:t>
      </w:r>
      <w:r>
        <w:t>%;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trudnych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CE22A9">
        <w:t>14,6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CE22A9">
        <w:t>14,9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CE22A9">
        <w:t>6,9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CE22A9">
        <w:t>11,2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detaliczny — </w:t>
      </w:r>
      <w:r w:rsidR="00CE22A9">
        <w:t>20,4</w:t>
      </w:r>
      <w:r>
        <w:t>%;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Utrzymać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CE22A9">
        <w:t>74,3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CE22A9">
        <w:t>67,9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CE22A9">
        <w:t>91,5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CE22A9">
        <w:t>87,1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detaliczny — </w:t>
      </w:r>
      <w:r w:rsidR="00CE22A9">
        <w:t>78,0</w:t>
      </w:r>
      <w:r>
        <w:t>%;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CE22A9">
        <w:t>11,1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CE22A9">
        <w:t>1</w:t>
      </w:r>
      <w:r w:rsidR="00B5549E">
        <w:t>7</w:t>
      </w:r>
      <w:r w:rsidR="00CE22A9">
        <w:t>,2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CE22A9">
        <w:t>1</w:t>
      </w:r>
      <w:r w:rsidR="00F42452">
        <w:t>,6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CE22A9">
        <w:t>1,7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 — 1</w:t>
      </w:r>
      <w:r w:rsidR="00F42452">
        <w:t>,</w:t>
      </w:r>
      <w:r w:rsidR="00CE22A9">
        <w:t>6</w:t>
      </w:r>
      <w:r>
        <w:t>%.</w:t>
      </w:r>
    </w:p>
    <w:p w:rsidR="00E879AD" w:rsidRDefault="00E879AD" w:rsidP="00E879AD">
      <w:pPr>
        <w:pStyle w:val="Nagwek2"/>
      </w:pPr>
      <w:r>
        <w:t>Wynagrodzenia pracowników</w:t>
      </w:r>
    </w:p>
    <w:p w:rsidR="00E879AD" w:rsidRDefault="00E879AD" w:rsidP="00E879AD">
      <w:r>
        <w:t xml:space="preserve">Czynniki, które w ciągu najbliższych trzech miesięcy wpłyną na poziom </w:t>
      </w:r>
      <w:r w:rsidR="00A008A5">
        <w:t>wynagrodzenia pracowników w firmach przedsiębiorców</w:t>
      </w:r>
    </w:p>
    <w:p w:rsidR="00A008A5" w:rsidRDefault="00A008A5" w:rsidP="00A008A5">
      <w:pPr>
        <w:pStyle w:val="Akapitzlist"/>
        <w:numPr>
          <w:ilvl w:val="0"/>
          <w:numId w:val="23"/>
        </w:numPr>
      </w:pPr>
      <w:r>
        <w:t>Wpłyną w istotnym stopniu:</w:t>
      </w:r>
    </w:p>
    <w:p w:rsidR="00A008A5" w:rsidRDefault="00A008A5" w:rsidP="00A008A5">
      <w:pPr>
        <w:pStyle w:val="Akapitzlist"/>
        <w:numPr>
          <w:ilvl w:val="1"/>
          <w:numId w:val="23"/>
        </w:numPr>
      </w:pPr>
      <w:r>
        <w:t xml:space="preserve">Utrzymanie realnej </w:t>
      </w:r>
      <w:r w:rsidR="004F742E">
        <w:t>wartości wynagrodzeń (podwyżki inflacyjne):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5B6595">
        <w:t>54,6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5B6595">
        <w:t>59,6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lastRenderedPageBreak/>
        <w:t xml:space="preserve">Usługi — </w:t>
      </w:r>
      <w:r w:rsidR="005B6595">
        <w:t>68,2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5B6595">
        <w:t>46,8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5B6595">
        <w:t>44,6</w:t>
      </w:r>
      <w:r>
        <w:t>%;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Sytuacja finansowa firmy: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DA719E">
        <w:t>66,7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DA719E">
        <w:t>69,3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DA719E">
        <w:t>60,5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DA719E">
        <w:t>69,0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DA719E">
        <w:t>65,2</w:t>
      </w:r>
      <w:r>
        <w:t>%;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DA719E">
        <w:t>31,8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DA719E">
        <w:t>36,7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DA719E">
        <w:t>20,6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DA719E">
        <w:t>27,9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DA719E">
        <w:t>12,5</w:t>
      </w:r>
      <w:r>
        <w:t>%;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DA719E">
        <w:t>11,0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DA719E">
        <w:t>9,5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DA719E">
        <w:t>1,4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DA719E">
        <w:t>10,3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DA719E">
        <w:t>9,4</w:t>
      </w:r>
      <w:r>
        <w:t>%.</w:t>
      </w:r>
    </w:p>
    <w:p w:rsidR="004F742E" w:rsidRDefault="004F742E" w:rsidP="004F742E">
      <w:pPr>
        <w:pStyle w:val="Akapitzlist"/>
        <w:numPr>
          <w:ilvl w:val="0"/>
          <w:numId w:val="23"/>
        </w:numPr>
      </w:pPr>
      <w:r>
        <w:t>Wpłyną w małym stopniu lub brak wpływu: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realnej wartości wynagrodzeń (podwyżki inflacyjne):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DA719E">
        <w:t>39,5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DA719E">
        <w:t>28,3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DA719E">
        <w:t>20,0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DA719E">
        <w:t>37,8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DA719E">
        <w:t>41,8</w:t>
      </w:r>
      <w:r>
        <w:t>%;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Sytuacja finansowa firmy: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DA719E">
        <w:t>19,5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DA719E">
        <w:t>16,3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DA719E">
        <w:t>17,7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DA719E">
        <w:t>16,2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DA719E">
        <w:t>26,5</w:t>
      </w:r>
      <w:r>
        <w:t>%;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DA719E">
        <w:t>45,6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DA719E">
        <w:t>39,1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DA719E">
        <w:t>36,6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DA719E">
        <w:t>41,3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DA719E">
        <w:t>32,7</w:t>
      </w:r>
      <w:r>
        <w:t>%;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lastRenderedPageBreak/>
        <w:t xml:space="preserve">Przetwórstwo przemysłowe — </w:t>
      </w:r>
      <w:r w:rsidR="00DA719E">
        <w:t>44,7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DA719E">
        <w:t>41,3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DA719E">
        <w:t>44,1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DA719E">
        <w:t>39,0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DA719E">
        <w:t>29,6</w:t>
      </w:r>
      <w:r>
        <w:t>%.</w:t>
      </w:r>
    </w:p>
    <w:p w:rsidR="0020615D" w:rsidRDefault="0020615D" w:rsidP="0020615D">
      <w:pPr>
        <w:pStyle w:val="Nagwek2"/>
      </w:pPr>
      <w:r>
        <w:t>Decyzje w zakresie wynagrodzeń i zatrudnienia</w:t>
      </w:r>
    </w:p>
    <w:p w:rsidR="00AF7FC5" w:rsidRDefault="00AF7FC5" w:rsidP="00AF7FC5">
      <w:r>
        <w:t>Przedsiębiorcy opierający swoje decyzje w zakresie zatrudnienia i wynagrodzeń w ciągu najbliższych trzech miesięcy w %:</w:t>
      </w:r>
    </w:p>
    <w:p w:rsidR="00AF7FC5" w:rsidRDefault="00AF7FC5" w:rsidP="00AF7FC5">
      <w:pPr>
        <w:pStyle w:val="Akapitzlist"/>
        <w:numPr>
          <w:ilvl w:val="0"/>
          <w:numId w:val="25"/>
        </w:numPr>
      </w:pPr>
      <w:r>
        <w:t>W stopniu istotnym: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Przetwórstwo przemysłowe: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>
        <w:t>58,8;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>
        <w:t>50,5;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Budownictwo: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>
        <w:t>62,4;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>
        <w:t>38,9;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Usługi: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>
        <w:t>62,0;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>
        <w:t>39,1;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Handel hurtowy: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>
        <w:t>63,6;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>
        <w:t>22,7;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Handel detaliczny: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>
        <w:t>68,6;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>
        <w:t>34,8;</w:t>
      </w:r>
    </w:p>
    <w:p w:rsidR="00AF7FC5" w:rsidRDefault="00AF7FC5" w:rsidP="00AF7FC5">
      <w:pPr>
        <w:pStyle w:val="Akapitzlist"/>
        <w:numPr>
          <w:ilvl w:val="0"/>
          <w:numId w:val="25"/>
        </w:numPr>
      </w:pPr>
      <w:r>
        <w:t>W stopniu istotnym: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Przetwórstwo przemysłowe: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>
        <w:t>41,2;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>
        <w:t>44,4;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Budownictwo: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>
        <w:t>37,6;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lastRenderedPageBreak/>
        <w:t xml:space="preserve">Na podstawie oczekiwań dotyczących zmian jakie mogą nastąpić w długim okresie (rok) –  </w:t>
      </w:r>
      <w:r>
        <w:t>56,0;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Usługi: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>
        <w:t>38,0;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>
        <w:t>58,1;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Handel hurtowy: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>
        <w:t>34,4;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>
        <w:t>74,8;</w:t>
      </w:r>
    </w:p>
    <w:p w:rsidR="00AF7FC5" w:rsidRDefault="00AF7FC5" w:rsidP="00AF7FC5">
      <w:pPr>
        <w:pStyle w:val="Akapitzlist"/>
        <w:numPr>
          <w:ilvl w:val="2"/>
          <w:numId w:val="25"/>
        </w:numPr>
      </w:pPr>
      <w:r>
        <w:t>Handel detaliczny:</w:t>
      </w:r>
    </w:p>
    <w:p w:rsidR="00AF7FC5" w:rsidRDefault="00AF7FC5" w:rsidP="00AF7FC5">
      <w:pPr>
        <w:pStyle w:val="Akapitzlist"/>
        <w:numPr>
          <w:ilvl w:val="3"/>
          <w:numId w:val="25"/>
        </w:numPr>
      </w:pPr>
      <w:r>
        <w:t>Na podstawie bieżącyc</w:t>
      </w:r>
      <w:bookmarkStart w:id="0" w:name="_GoBack"/>
      <w:bookmarkEnd w:id="0"/>
      <w:r>
        <w:t xml:space="preserve">h danych – </w:t>
      </w:r>
      <w:r>
        <w:t>31,4;</w:t>
      </w:r>
    </w:p>
    <w:p w:rsidR="00AF7FC5" w:rsidRPr="0020615D" w:rsidRDefault="00AF7FC5" w:rsidP="00AF7FC5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>
        <w:t>56,7.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F66364" w:rsidRDefault="00E749BD" w:rsidP="003508D2">
      <w:r>
        <w:t xml:space="preserve">przez jednostki z siedzibą w województwie Lubelskim – </w:t>
      </w:r>
      <w:r w:rsidR="00062D93">
        <w:t>czerwiec</w:t>
      </w:r>
      <w:r>
        <w:t xml:space="preserve"> 202</w:t>
      </w:r>
      <w:r w:rsidR="00642DB5">
        <w:t>4</w:t>
      </w:r>
      <w:r>
        <w:t xml:space="preserve"> rok”</w:t>
      </w:r>
      <w:r w:rsidR="000F2650">
        <w:t>. L</w:t>
      </w:r>
      <w:r>
        <w:t>ink</w:t>
      </w:r>
      <w:r w:rsidR="00F66364">
        <w:t xml:space="preserve">: </w:t>
      </w:r>
      <w:hyperlink r:id="rId5" w:history="1">
        <w:r w:rsidR="00062D93">
          <w:rPr>
            <w:rStyle w:val="Hipercze"/>
          </w:rPr>
          <w:t>Urząd Statystyczny w Lublinie / Opracowania bieżące / Opracowania sygnalne / Inne opracowania / Ważniejsze informacje o sytuacji społeczno-gospodarczej województwa lubelskiego kwiecień 2020 r.</w:t>
        </w:r>
      </w:hyperlink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7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2D6E"/>
    <w:multiLevelType w:val="hybridMultilevel"/>
    <w:tmpl w:val="607A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676C6"/>
    <w:multiLevelType w:val="hybridMultilevel"/>
    <w:tmpl w:val="AEF6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B1E0A"/>
    <w:multiLevelType w:val="hybridMultilevel"/>
    <w:tmpl w:val="419E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8"/>
  </w:num>
  <w:num w:numId="5">
    <w:abstractNumId w:val="19"/>
  </w:num>
  <w:num w:numId="6">
    <w:abstractNumId w:val="5"/>
  </w:num>
  <w:num w:numId="7">
    <w:abstractNumId w:val="22"/>
  </w:num>
  <w:num w:numId="8">
    <w:abstractNumId w:val="6"/>
  </w:num>
  <w:num w:numId="9">
    <w:abstractNumId w:val="17"/>
  </w:num>
  <w:num w:numId="10">
    <w:abstractNumId w:val="2"/>
  </w:num>
  <w:num w:numId="11">
    <w:abstractNumId w:val="7"/>
  </w:num>
  <w:num w:numId="12">
    <w:abstractNumId w:val="11"/>
  </w:num>
  <w:num w:numId="13">
    <w:abstractNumId w:val="15"/>
  </w:num>
  <w:num w:numId="14">
    <w:abstractNumId w:val="23"/>
  </w:num>
  <w:num w:numId="15">
    <w:abstractNumId w:val="16"/>
  </w:num>
  <w:num w:numId="16">
    <w:abstractNumId w:val="9"/>
  </w:num>
  <w:num w:numId="17">
    <w:abstractNumId w:val="14"/>
  </w:num>
  <w:num w:numId="18">
    <w:abstractNumId w:val="1"/>
  </w:num>
  <w:num w:numId="19">
    <w:abstractNumId w:val="21"/>
  </w:num>
  <w:num w:numId="20">
    <w:abstractNumId w:val="3"/>
  </w:num>
  <w:num w:numId="21">
    <w:abstractNumId w:val="13"/>
  </w:num>
  <w:num w:numId="22">
    <w:abstractNumId w:val="21"/>
  </w:num>
  <w:num w:numId="23">
    <w:abstractNumId w:val="12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62D93"/>
    <w:rsid w:val="000D04A8"/>
    <w:rsid w:val="000E1C2B"/>
    <w:rsid w:val="000F2650"/>
    <w:rsid w:val="0014692E"/>
    <w:rsid w:val="001A5B8E"/>
    <w:rsid w:val="001B2C72"/>
    <w:rsid w:val="001D7ADC"/>
    <w:rsid w:val="001F5FF2"/>
    <w:rsid w:val="0020615D"/>
    <w:rsid w:val="00232873"/>
    <w:rsid w:val="003508D2"/>
    <w:rsid w:val="003653EE"/>
    <w:rsid w:val="00447BB7"/>
    <w:rsid w:val="004A5E71"/>
    <w:rsid w:val="004C2548"/>
    <w:rsid w:val="004C3F25"/>
    <w:rsid w:val="004F0AD7"/>
    <w:rsid w:val="004F742E"/>
    <w:rsid w:val="00552F58"/>
    <w:rsid w:val="0055401D"/>
    <w:rsid w:val="005A0E18"/>
    <w:rsid w:val="005B4C30"/>
    <w:rsid w:val="005B6595"/>
    <w:rsid w:val="005D5547"/>
    <w:rsid w:val="005D7340"/>
    <w:rsid w:val="0060617C"/>
    <w:rsid w:val="00612B8D"/>
    <w:rsid w:val="00642DB5"/>
    <w:rsid w:val="00694A44"/>
    <w:rsid w:val="00782CBC"/>
    <w:rsid w:val="00807D8A"/>
    <w:rsid w:val="00815241"/>
    <w:rsid w:val="008A5BB1"/>
    <w:rsid w:val="008E0800"/>
    <w:rsid w:val="008E6E1A"/>
    <w:rsid w:val="008F1428"/>
    <w:rsid w:val="00930FC2"/>
    <w:rsid w:val="009774E3"/>
    <w:rsid w:val="00993A0E"/>
    <w:rsid w:val="009B73EB"/>
    <w:rsid w:val="009D3B28"/>
    <w:rsid w:val="00A008A5"/>
    <w:rsid w:val="00A0138B"/>
    <w:rsid w:val="00A22F89"/>
    <w:rsid w:val="00A24F43"/>
    <w:rsid w:val="00A25CA2"/>
    <w:rsid w:val="00A55EEA"/>
    <w:rsid w:val="00AC5944"/>
    <w:rsid w:val="00AE4AE7"/>
    <w:rsid w:val="00AF3C66"/>
    <w:rsid w:val="00AF7FC5"/>
    <w:rsid w:val="00B36D35"/>
    <w:rsid w:val="00B47BDC"/>
    <w:rsid w:val="00B5549E"/>
    <w:rsid w:val="00BE0361"/>
    <w:rsid w:val="00C34C57"/>
    <w:rsid w:val="00C67AA2"/>
    <w:rsid w:val="00CA2854"/>
    <w:rsid w:val="00CA5A50"/>
    <w:rsid w:val="00CB3B0B"/>
    <w:rsid w:val="00CE22A9"/>
    <w:rsid w:val="00DA719E"/>
    <w:rsid w:val="00E02D2F"/>
    <w:rsid w:val="00E166AD"/>
    <w:rsid w:val="00E50B3A"/>
    <w:rsid w:val="00E66315"/>
    <w:rsid w:val="00E749BD"/>
    <w:rsid w:val="00E8587D"/>
    <w:rsid w:val="00E879AD"/>
    <w:rsid w:val="00E9258D"/>
    <w:rsid w:val="00EF27DD"/>
    <w:rsid w:val="00EF5235"/>
    <w:rsid w:val="00F42452"/>
    <w:rsid w:val="00F66364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87E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czerwiec-2024-r-,3,17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styczniu 2024 roku (infografika) – opis alternatywny</vt:lpstr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czerwcu 2024 roku (infografika) – opis alternatywny</dc:title>
  <dc:subject/>
  <dc:creator>Szymkiewicz Szymon</dc:creator>
  <cp:keywords/>
  <dc:description/>
  <cp:lastModifiedBy>Szymkiewicz Szymon</cp:lastModifiedBy>
  <cp:revision>39</cp:revision>
  <dcterms:created xsi:type="dcterms:W3CDTF">2023-06-14T09:24:00Z</dcterms:created>
  <dcterms:modified xsi:type="dcterms:W3CDTF">2024-09-26T11:20:00Z</dcterms:modified>
</cp:coreProperties>
</file>