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213BCA1B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3F2D25">
        <w:rPr>
          <w:shd w:val="clear" w:color="auto" w:fill="FFFFFF"/>
        </w:rPr>
        <w:t>3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1DFC939D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35A0BB2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dół, co oznacza spadek o 0,2% liczby przekroczeń granicy Polski w 3 kwartale 2024 roku w stosunku do 3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08C160C8" w:rsidR="00B2033F" w:rsidRPr="00AD66BD" w:rsidRDefault="001D6645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</w:t>
                            </w:r>
                            <w:r w:rsidR="008E280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6CAEED3D" w:rsidR="00B2033F" w:rsidRPr="00AE4A8B" w:rsidRDefault="001D6645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AE4A8B" w:rsidRPr="00047E31">
                              <w:t xml:space="preserve"> liczby przekroczeń granicy Polski w </w:t>
                            </w:r>
                            <w:r w:rsidR="008E280B">
                              <w:t>3</w:t>
                            </w:r>
                            <w:r w:rsidR="00AE4A8B" w:rsidRPr="00047E31">
                              <w:t xml:space="preserve"> kwartale 202</w:t>
                            </w:r>
                            <w:r w:rsidR="00514118">
                              <w:t>4</w:t>
                            </w:r>
                            <w:r w:rsidR="00AE4A8B" w:rsidRPr="00047E31">
                              <w:t xml:space="preserve"> r. w</w:t>
                            </w:r>
                            <w:r w:rsidR="00AE4A8B">
                              <w:t> </w:t>
                            </w:r>
                            <w:r w:rsidR="00AE4A8B" w:rsidRPr="00047E31">
                              <w:t xml:space="preserve">stosunku do </w:t>
                            </w:r>
                            <w:r w:rsidR="008E280B">
                              <w:t>3</w:t>
                            </w:r>
                            <w:r w:rsidR="00AE4A8B" w:rsidRPr="00047E31">
                              <w:t xml:space="preserve"> kwartału 202</w:t>
                            </w:r>
                            <w:r w:rsidR="00514118">
                              <w:t>3</w:t>
                            </w:r>
                            <w:r w:rsidR="00AE4A8B"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dół, co oznacza spadek o 0,2% liczby przekroczeń granicy Polski w 3 kwartale 2024 roku w stosunku do 3 kwartału 2023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" fillcolor="#001d77" stroked="f">
                <v:stroke joinstyle="miter"/>
                <v:textbox inset="2mm,,2mm">
                  <w:txbxContent>
                    <w:p w14:paraId="1D1B0A34" w14:textId="08C160C8" w:rsidR="00B2033F" w:rsidRPr="00AD66BD" w:rsidRDefault="001D6645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</w:t>
                      </w:r>
                      <w:r w:rsidR="008E280B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6CAEED3D" w:rsidR="00B2033F" w:rsidRPr="00AE4A8B" w:rsidRDefault="001D6645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AE4A8B" w:rsidRPr="00047E31">
                        <w:t xml:space="preserve"> liczby przekroczeń granicy Polski w </w:t>
                      </w:r>
                      <w:r w:rsidR="008E280B">
                        <w:t>3</w:t>
                      </w:r>
                      <w:r w:rsidR="00AE4A8B" w:rsidRPr="00047E31">
                        <w:t xml:space="preserve"> kwartale 202</w:t>
                      </w:r>
                      <w:r w:rsidR="00514118">
                        <w:t>4</w:t>
                      </w:r>
                      <w:r w:rsidR="00AE4A8B" w:rsidRPr="00047E31">
                        <w:t xml:space="preserve"> r. w</w:t>
                      </w:r>
                      <w:r w:rsidR="00AE4A8B">
                        <w:t> </w:t>
                      </w:r>
                      <w:r w:rsidR="00AE4A8B" w:rsidRPr="00047E31">
                        <w:t xml:space="preserve">stosunku do </w:t>
                      </w:r>
                      <w:r w:rsidR="008E280B">
                        <w:t>3</w:t>
                      </w:r>
                      <w:r w:rsidR="00AE4A8B" w:rsidRPr="00047E31">
                        <w:t xml:space="preserve"> kwartału 202</w:t>
                      </w:r>
                      <w:r w:rsidR="00514118">
                        <w:t>3</w:t>
                      </w:r>
                      <w:r w:rsidR="00AE4A8B"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8E280B">
        <w:rPr>
          <w:b/>
          <w:sz w:val="19"/>
          <w:szCs w:val="19"/>
        </w:rPr>
        <w:t>3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782646">
        <w:rPr>
          <w:b/>
          <w:sz w:val="19"/>
          <w:szCs w:val="19"/>
        </w:rPr>
        <w:t xml:space="preserve">ruch graniczny cudzoziemców spadł o </w:t>
      </w:r>
      <w:r w:rsidR="008E280B">
        <w:rPr>
          <w:b/>
          <w:sz w:val="19"/>
          <w:szCs w:val="19"/>
        </w:rPr>
        <w:t>2,3</w:t>
      </w:r>
      <w:r w:rsidR="00782646">
        <w:rPr>
          <w:b/>
          <w:sz w:val="19"/>
          <w:szCs w:val="19"/>
        </w:rPr>
        <w:t xml:space="preserve">%, a Polaków wzrósł o </w:t>
      </w:r>
      <w:r w:rsidR="008E280B">
        <w:rPr>
          <w:b/>
          <w:sz w:val="19"/>
          <w:szCs w:val="19"/>
        </w:rPr>
        <w:t>2,6</w:t>
      </w:r>
      <w:r w:rsidR="00782646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55617D09" w:rsidR="00314458" w:rsidRPr="00B96855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B96855">
        <w:rPr>
          <w:b/>
          <w:szCs w:val="19"/>
        </w:rPr>
        <w:t xml:space="preserve">w tym okresie 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B96855">
        <w:rPr>
          <w:szCs w:val="19"/>
        </w:rPr>
        <w:t> 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B96855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A37B01"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1F3D3F">
        <w:rPr>
          <w:rFonts w:eastAsia="Times New Roman" w:cs="Times New Roman"/>
          <w:b/>
          <w:bCs/>
          <w:spacing w:val="-4"/>
          <w:szCs w:val="19"/>
          <w:lang w:eastAsia="pl-PL"/>
        </w:rPr>
        <w:t>6,3%</w:t>
      </w:r>
      <w:r w:rsidRPr="001F3D3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i </w:t>
      </w:r>
      <w:r w:rsidR="00B96855">
        <w:rPr>
          <w:rFonts w:eastAsia="Times New Roman" w:cs="Times New Roman"/>
          <w:b/>
          <w:bCs/>
          <w:spacing w:val="-4"/>
          <w:szCs w:val="19"/>
          <w:lang w:eastAsia="pl-PL"/>
        </w:rPr>
        <w:t>8,4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72D2B473" w14:textId="77777777" w:rsidR="001065B8" w:rsidRDefault="001065B8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67E081C0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3 kwartale 2024 r. liczba przekroczeń granicy była mniejsza w porównaniu z analogicznym okresem ubiegłego roku, a większa w porównaniu z 2 kwartał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758F274F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2C35C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 porównaniu z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oku, 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2C35C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4 r. liczba przekroczeń granicy była mniejsza w porównaniu z analogicznym okresem ubiegłego roku, a większa w porównaniu z 2 kwartałem 2024 r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" filled="f" stroked="f">
                <v:textbox inset=",0">
                  <w:txbxContent>
                    <w:p w14:paraId="67F09CDE" w14:textId="758F274F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2C35C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 porównaniu z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oku, 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2C35C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4A6F422D" w:rsidR="00CF49DE" w:rsidRPr="00782A59" w:rsidRDefault="00C32DF7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B3074A">
        <w:rPr>
          <w:sz w:val="19"/>
          <w:szCs w:val="19"/>
        </w:rPr>
        <w:t xml:space="preserve">W </w:t>
      </w:r>
      <w:r w:rsidR="002C35C0">
        <w:rPr>
          <w:sz w:val="19"/>
          <w:szCs w:val="19"/>
        </w:rPr>
        <w:t>3</w:t>
      </w:r>
      <w:r w:rsidR="001F6359" w:rsidRPr="00B3074A">
        <w:rPr>
          <w:sz w:val="19"/>
          <w:szCs w:val="19"/>
        </w:rPr>
        <w:t xml:space="preserve"> kwartale </w:t>
      </w:r>
      <w:r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Pr="00B3074A">
        <w:rPr>
          <w:sz w:val="19"/>
          <w:szCs w:val="19"/>
        </w:rPr>
        <w:t xml:space="preserve"> r. liczba przekroczeń granicy Polski wyniosła </w:t>
      </w:r>
      <w:r w:rsidR="002C35C0">
        <w:rPr>
          <w:sz w:val="19"/>
          <w:szCs w:val="19"/>
        </w:rPr>
        <w:t>83,5</w:t>
      </w:r>
      <w:r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2C35C0">
        <w:rPr>
          <w:sz w:val="19"/>
          <w:szCs w:val="19"/>
        </w:rPr>
        <w:t>54,9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 xml:space="preserve">zkańcy Polski (rezydenci) – </w:t>
      </w:r>
      <w:r w:rsidR="002C35C0">
        <w:rPr>
          <w:sz w:val="19"/>
          <w:szCs w:val="19"/>
        </w:rPr>
        <w:t>45,1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 xml:space="preserve">ki i do Polski) był </w:t>
      </w:r>
      <w:r w:rsidR="0044504C">
        <w:rPr>
          <w:sz w:val="19"/>
          <w:szCs w:val="19"/>
        </w:rPr>
        <w:t>mniejszy</w:t>
      </w:r>
      <w:r w:rsidR="00FE3733" w:rsidRPr="000A19A2">
        <w:rPr>
          <w:sz w:val="19"/>
          <w:szCs w:val="19"/>
        </w:rPr>
        <w:t xml:space="preserve"> o</w:t>
      </w:r>
      <w:r w:rsidR="00923098" w:rsidRPr="000A19A2">
        <w:rPr>
          <w:sz w:val="19"/>
          <w:szCs w:val="19"/>
        </w:rPr>
        <w:t xml:space="preserve"> </w:t>
      </w:r>
      <w:r w:rsidR="0044504C">
        <w:rPr>
          <w:sz w:val="19"/>
          <w:szCs w:val="19"/>
        </w:rPr>
        <w:t>0,</w:t>
      </w:r>
      <w:r w:rsidR="002C35C0">
        <w:rPr>
          <w:sz w:val="19"/>
          <w:szCs w:val="19"/>
        </w:rPr>
        <w:t>1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mln przekroczeń </w:t>
      </w:r>
      <w:r w:rsidR="00EB43F8">
        <w:rPr>
          <w:sz w:val="19"/>
          <w:szCs w:val="19"/>
        </w:rPr>
        <w:br/>
      </w:r>
      <w:r w:rsidR="00AE4A8B" w:rsidRPr="000A19A2">
        <w:rPr>
          <w:sz w:val="19"/>
          <w:szCs w:val="19"/>
        </w:rPr>
        <w:t>w</w:t>
      </w:r>
      <w:r w:rsidR="00782A59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44504C">
        <w:rPr>
          <w:sz w:val="19"/>
          <w:szCs w:val="19"/>
        </w:rPr>
        <w:t>wzrosła</w:t>
      </w:r>
      <w:r w:rsidR="00FE3733" w:rsidRPr="000A19A2">
        <w:rPr>
          <w:sz w:val="19"/>
          <w:szCs w:val="19"/>
        </w:rPr>
        <w:t xml:space="preserve"> o </w:t>
      </w:r>
      <w:r w:rsidR="002C35C0">
        <w:rPr>
          <w:sz w:val="19"/>
          <w:szCs w:val="19"/>
        </w:rPr>
        <w:t>10,4</w:t>
      </w:r>
      <w:r w:rsidR="00AE4A8B" w:rsidRPr="000A19A2">
        <w:rPr>
          <w:sz w:val="19"/>
          <w:szCs w:val="19"/>
        </w:rPr>
        <w:t xml:space="preserve">% (cudzoziemców o </w:t>
      </w:r>
      <w:r w:rsidR="002C35C0">
        <w:rPr>
          <w:sz w:val="19"/>
          <w:szCs w:val="19"/>
        </w:rPr>
        <w:t>6,6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2C35C0">
        <w:rPr>
          <w:sz w:val="19"/>
          <w:szCs w:val="19"/>
        </w:rPr>
        <w:t>15,5</w:t>
      </w:r>
      <w:r w:rsidR="00AE4A8B" w:rsidRPr="00782A59">
        <w:rPr>
          <w:sz w:val="19"/>
          <w:szCs w:val="19"/>
        </w:rPr>
        <w:t>%).</w:t>
      </w:r>
    </w:p>
    <w:p w14:paraId="1211D4B9" w14:textId="514D1B00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635A87">
        <w:rPr>
          <w:szCs w:val="19"/>
        </w:rPr>
        <w:t>70,2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2C35C0">
        <w:rPr>
          <w:szCs w:val="19"/>
        </w:rPr>
        <w:t>21,4</w:t>
      </w:r>
      <w:r w:rsidRPr="00F01CA0">
        <w:rPr>
          <w:szCs w:val="19"/>
        </w:rPr>
        <w:t xml:space="preserve">% granicy na lotniskach, </w:t>
      </w:r>
      <w:r w:rsidR="002C35C0">
        <w:rPr>
          <w:szCs w:val="19"/>
        </w:rPr>
        <w:t>7,7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2C35C0">
        <w:rPr>
          <w:szCs w:val="19"/>
        </w:rPr>
        <w:t>7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5F05F24A" w:rsidR="0080162D" w:rsidRPr="00C8354A" w:rsidRDefault="0010566C" w:rsidP="00E76CC1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>
        <w:rPr>
          <w:rFonts w:eastAsia="Times New Roman" w:cs="Arial"/>
          <w:b/>
          <w:szCs w:val="19"/>
          <w:lang w:eastAsia="pl-PL"/>
        </w:rPr>
        <w:t>Wykres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1</w:t>
      </w:r>
      <w:r w:rsidR="005B08B2" w:rsidRPr="00F75588">
        <w:rPr>
          <w:rFonts w:eastAsia="Times New Roman" w:cs="Arial"/>
          <w:b/>
          <w:szCs w:val="19"/>
          <w:lang w:eastAsia="pl-PL"/>
        </w:rPr>
        <w:t>.</w:t>
      </w:r>
      <w:r w:rsidR="005B08B2" w:rsidRPr="00F75588">
        <w:rPr>
          <w:b/>
          <w:szCs w:val="19"/>
        </w:rPr>
        <w:t xml:space="preserve"> </w:t>
      </w:r>
      <w:r w:rsidR="00E10394" w:rsidRPr="007F6CED">
        <w:rPr>
          <w:b/>
          <w:szCs w:val="19"/>
        </w:rPr>
        <w:t>R</w:t>
      </w:r>
      <w:r w:rsidR="005B08B2" w:rsidRPr="007F6CED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7F6CED">
        <w:rPr>
          <w:rFonts w:eastAsia="Times New Roman" w:cs="Arial"/>
          <w:b/>
          <w:szCs w:val="19"/>
          <w:lang w:eastAsia="pl-PL"/>
        </w:rPr>
        <w:t>y</w:t>
      </w:r>
      <w:r w:rsidR="005B08B2" w:rsidRPr="007F6CED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7F6CED">
        <w:rPr>
          <w:rFonts w:eastAsia="Times New Roman" w:cs="Arial"/>
          <w:b/>
          <w:szCs w:val="19"/>
          <w:lang w:eastAsia="pl-PL"/>
        </w:rPr>
        <w:br/>
      </w:r>
      <w:r w:rsidR="005B08B2" w:rsidRPr="007F6CED">
        <w:rPr>
          <w:rFonts w:eastAsia="Times New Roman" w:cs="Arial"/>
          <w:b/>
          <w:szCs w:val="19"/>
          <w:lang w:eastAsia="pl-PL"/>
        </w:rPr>
        <w:t>w </w:t>
      </w:r>
      <w:r w:rsidR="002A625F">
        <w:rPr>
          <w:rFonts w:eastAsia="Times New Roman" w:cs="Arial"/>
          <w:b/>
          <w:szCs w:val="19"/>
          <w:lang w:eastAsia="pl-PL"/>
        </w:rPr>
        <w:t>3</w:t>
      </w:r>
      <w:r w:rsidR="005B08B2" w:rsidRPr="007F6CED">
        <w:rPr>
          <w:rFonts w:eastAsia="Times New Roman" w:cs="Arial"/>
          <w:b/>
          <w:szCs w:val="19"/>
          <w:lang w:eastAsia="pl-PL"/>
        </w:rPr>
        <w:t> kwartale 2024 r</w:t>
      </w:r>
      <w:r w:rsidR="009E5999" w:rsidRPr="007F6CED">
        <w:rPr>
          <w:rFonts w:eastAsia="Times New Roman" w:cs="Arial"/>
          <w:b/>
          <w:szCs w:val="19"/>
          <w:lang w:eastAsia="pl-PL"/>
        </w:rPr>
        <w:t>.</w:t>
      </w:r>
    </w:p>
    <w:p w14:paraId="1D5E959A" w14:textId="0E315E34" w:rsidR="00B535A7" w:rsidRPr="00CF75BD" w:rsidRDefault="00AD76B0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6F79D8D" wp14:editId="01810EEB">
            <wp:extent cx="5109465" cy="2656800"/>
            <wp:effectExtent l="0" t="0" r="0" b="0"/>
            <wp:docPr id="13" name="Obraz 13" descr="Wykres 1. Ruch graniczny osób (z Polski i do Polski) według odcinków granicy w 3 kwartale 2024 roku.&#10;Wartości  ogółem – dla cudzoziemców 45,8 miliona &#10;przekroczeń, dla Polaków 37,7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_ru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465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7A7FD153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2F78BA">
        <w:rPr>
          <w:szCs w:val="19"/>
        </w:rPr>
        <w:t>49,7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827B60">
        <w:rPr>
          <w:szCs w:val="19"/>
        </w:rPr>
        <w:t xml:space="preserve"> Czechami (</w:t>
      </w:r>
      <w:r w:rsidR="002F78BA">
        <w:rPr>
          <w:szCs w:val="19"/>
        </w:rPr>
        <w:t>24,0</w:t>
      </w:r>
      <w:r w:rsidR="002429FB" w:rsidRPr="002B6F00">
        <w:rPr>
          <w:szCs w:val="19"/>
        </w:rPr>
        <w:t>%), Słowacją (</w:t>
      </w:r>
      <w:r w:rsidR="00827B60">
        <w:rPr>
          <w:szCs w:val="19"/>
        </w:rPr>
        <w:t>12,</w:t>
      </w:r>
      <w:r w:rsidR="002F78BA">
        <w:rPr>
          <w:szCs w:val="19"/>
        </w:rPr>
        <w:t>8</w:t>
      </w:r>
      <w:r w:rsidR="0049156C" w:rsidRPr="002B6F00">
        <w:rPr>
          <w:szCs w:val="19"/>
        </w:rPr>
        <w:t>%), Ukrainą (</w:t>
      </w:r>
      <w:r w:rsidR="002F78BA">
        <w:rPr>
          <w:szCs w:val="19"/>
        </w:rPr>
        <w:t>8,3</w:t>
      </w:r>
      <w:r w:rsidR="0049156C" w:rsidRPr="002B6F00">
        <w:rPr>
          <w:szCs w:val="19"/>
        </w:rPr>
        <w:t>%), Litwą (</w:t>
      </w:r>
      <w:r w:rsidR="002F78BA">
        <w:rPr>
          <w:szCs w:val="19"/>
        </w:rPr>
        <w:t>3,6</w:t>
      </w:r>
      <w:r w:rsidR="00821F05" w:rsidRPr="002B6F00">
        <w:rPr>
          <w:szCs w:val="19"/>
        </w:rPr>
        <w:t>%), Białorusią (</w:t>
      </w:r>
      <w:r w:rsidR="002F78BA">
        <w:rPr>
          <w:szCs w:val="19"/>
        </w:rPr>
        <w:t>1,2</w:t>
      </w:r>
      <w:r w:rsidRPr="002B6F00">
        <w:rPr>
          <w:szCs w:val="19"/>
        </w:rPr>
        <w:t>%) i Rosją (0,</w:t>
      </w:r>
      <w:r w:rsidR="002F78BA">
        <w:rPr>
          <w:szCs w:val="19"/>
        </w:rPr>
        <w:t>4</w:t>
      </w:r>
      <w:r w:rsidRPr="002B6F00">
        <w:rPr>
          <w:szCs w:val="19"/>
        </w:rPr>
        <w:t>%).</w:t>
      </w:r>
    </w:p>
    <w:p w14:paraId="120C3C77" w14:textId="34E8EDF0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2F78BA">
        <w:rPr>
          <w:szCs w:val="19"/>
        </w:rPr>
        <w:t>96,1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2F78BA">
        <w:rPr>
          <w:szCs w:val="19"/>
        </w:rPr>
        <w:t>81,7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7EE52E8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3 kwartale 2023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6E8730A2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B7720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alt="Wartość zakupionych towarów i usług, zarówno przez cudzoziemców w Polsce jak i przez Polaków za granicą, była większa niż w 3 kwartale 2023 roku.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" filled="f" stroked="f">
                <v:textbox inset=",0,1mm,0">
                  <w:txbxContent>
                    <w:p w14:paraId="135118CB" w14:textId="6E8730A2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B7720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2CFAACFD" w:rsidR="009A1A9F" w:rsidRPr="00B77204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1F3D3F">
        <w:rPr>
          <w:spacing w:val="-3"/>
          <w:szCs w:val="19"/>
        </w:rPr>
        <w:t>Wartość towarów i usług zakupionych w Polsce przez cudzoziemców w</w:t>
      </w:r>
      <w:r w:rsidR="00B77204" w:rsidRPr="001F3D3F">
        <w:rPr>
          <w:spacing w:val="-3"/>
          <w:szCs w:val="19"/>
        </w:rPr>
        <w:t xml:space="preserve"> 3</w:t>
      </w:r>
      <w:r w:rsidRPr="001F3D3F">
        <w:rPr>
          <w:spacing w:val="-3"/>
          <w:szCs w:val="19"/>
        </w:rPr>
        <w:t xml:space="preserve"> kwartale 2024 r. ukształtowała</w:t>
      </w:r>
      <w:r w:rsidRPr="001F3D3F">
        <w:rPr>
          <w:spacing w:val="-2"/>
          <w:szCs w:val="19"/>
        </w:rPr>
        <w:t xml:space="preserve"> się na poziomie </w:t>
      </w:r>
      <w:r w:rsidR="001F3D3F" w:rsidRPr="001F3D3F">
        <w:rPr>
          <w:spacing w:val="-2"/>
          <w:szCs w:val="19"/>
        </w:rPr>
        <w:t>14,4</w:t>
      </w:r>
      <w:r w:rsidRPr="001F3D3F">
        <w:rPr>
          <w:spacing w:val="-2"/>
          <w:szCs w:val="19"/>
        </w:rPr>
        <w:t xml:space="preserve"> mld zł, </w:t>
      </w:r>
      <w:r w:rsidRPr="00B77204">
        <w:rPr>
          <w:spacing w:val="-2"/>
          <w:szCs w:val="19"/>
        </w:rPr>
        <w:t>natomiast wydatki poniesione w tym okresie za granicą przez</w:t>
      </w:r>
      <w:r w:rsidR="00B77204">
        <w:rPr>
          <w:spacing w:val="-2"/>
          <w:szCs w:val="19"/>
        </w:rPr>
        <w:t xml:space="preserve"> mieszkańców Polski wyniosły 9,6</w:t>
      </w:r>
      <w:r w:rsidRPr="00B77204">
        <w:rPr>
          <w:spacing w:val="-2"/>
          <w:szCs w:val="19"/>
        </w:rPr>
        <w:t xml:space="preserve"> mld zł. </w:t>
      </w:r>
      <w:r w:rsidRPr="001F3D3F">
        <w:rPr>
          <w:spacing w:val="-2"/>
          <w:szCs w:val="19"/>
        </w:rPr>
        <w:t xml:space="preserve">Było to odpowiednio o </w:t>
      </w:r>
      <w:r w:rsidR="001F3D3F" w:rsidRPr="001F3D3F">
        <w:rPr>
          <w:spacing w:val="-2"/>
          <w:szCs w:val="19"/>
        </w:rPr>
        <w:t>6,3</w:t>
      </w:r>
      <w:r w:rsidRPr="001F3D3F">
        <w:rPr>
          <w:spacing w:val="-2"/>
          <w:szCs w:val="19"/>
        </w:rPr>
        <w:t xml:space="preserve">% i o </w:t>
      </w:r>
      <w:r w:rsidR="00B77204" w:rsidRPr="00B77204">
        <w:rPr>
          <w:spacing w:val="-2"/>
          <w:szCs w:val="19"/>
        </w:rPr>
        <w:t>8,4</w:t>
      </w:r>
      <w:r w:rsidRPr="00B77204">
        <w:rPr>
          <w:spacing w:val="-2"/>
          <w:szCs w:val="19"/>
        </w:rPr>
        <w:t>% więcej</w:t>
      </w:r>
      <w:r w:rsidRPr="00922C46">
        <w:rPr>
          <w:color w:val="FF0000"/>
          <w:spacing w:val="-2"/>
          <w:szCs w:val="19"/>
        </w:rPr>
        <w:t xml:space="preserve"> </w:t>
      </w:r>
      <w:r w:rsidRPr="00B77204">
        <w:rPr>
          <w:spacing w:val="-2"/>
          <w:szCs w:val="19"/>
        </w:rPr>
        <w:t xml:space="preserve">niż w analogicznym kwartale poprzedniego roku. W stosunku do poprzedniego kwartału wydatki </w:t>
      </w:r>
      <w:r w:rsidR="006F6D98" w:rsidRPr="00B77204">
        <w:rPr>
          <w:spacing w:val="-2"/>
          <w:szCs w:val="19"/>
        </w:rPr>
        <w:t xml:space="preserve"> zarówno </w:t>
      </w:r>
      <w:r w:rsidRPr="00B77204">
        <w:rPr>
          <w:spacing w:val="-2"/>
          <w:szCs w:val="19"/>
        </w:rPr>
        <w:t xml:space="preserve">cudzoziemców </w:t>
      </w:r>
      <w:r w:rsidR="006F6D98" w:rsidRPr="00B77204">
        <w:rPr>
          <w:spacing w:val="-2"/>
          <w:szCs w:val="19"/>
        </w:rPr>
        <w:t xml:space="preserve">jak i Polaków były większe </w:t>
      </w:r>
      <w:r w:rsidR="006F6D98" w:rsidRPr="001F3D3F">
        <w:rPr>
          <w:spacing w:val="-2"/>
          <w:szCs w:val="19"/>
        </w:rPr>
        <w:t xml:space="preserve">odpowiednio o </w:t>
      </w:r>
      <w:r w:rsidR="001F3D3F" w:rsidRPr="001F3D3F">
        <w:rPr>
          <w:spacing w:val="-2"/>
          <w:szCs w:val="19"/>
        </w:rPr>
        <w:t>19,1</w:t>
      </w:r>
      <w:r w:rsidRPr="001F3D3F">
        <w:rPr>
          <w:spacing w:val="-2"/>
          <w:szCs w:val="19"/>
        </w:rPr>
        <w:t>%</w:t>
      </w:r>
      <w:r w:rsidR="006F6D98" w:rsidRPr="001F3D3F">
        <w:rPr>
          <w:spacing w:val="-2"/>
          <w:szCs w:val="19"/>
        </w:rPr>
        <w:t xml:space="preserve"> i</w:t>
      </w:r>
      <w:r w:rsidRPr="001F3D3F">
        <w:rPr>
          <w:spacing w:val="-2"/>
          <w:szCs w:val="19"/>
        </w:rPr>
        <w:t xml:space="preserve"> </w:t>
      </w:r>
      <w:r w:rsidR="00B77204" w:rsidRPr="001F3D3F">
        <w:rPr>
          <w:spacing w:val="-2"/>
          <w:szCs w:val="19"/>
        </w:rPr>
        <w:t>22</w:t>
      </w:r>
      <w:r w:rsidR="00B77204" w:rsidRPr="00B77204">
        <w:rPr>
          <w:spacing w:val="-2"/>
          <w:szCs w:val="19"/>
        </w:rPr>
        <w:t>,0</w:t>
      </w:r>
      <w:r w:rsidRPr="00B77204">
        <w:rPr>
          <w:spacing w:val="-2"/>
          <w:szCs w:val="19"/>
        </w:rPr>
        <w:t>%.</w:t>
      </w:r>
    </w:p>
    <w:p w14:paraId="581C75FC" w14:textId="5C5E2EE8" w:rsidR="004C7802" w:rsidRPr="008349CB" w:rsidRDefault="004C7802" w:rsidP="00E76CC1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</w:t>
      </w:r>
      <w:r w:rsidR="005B08B2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>. </w:t>
      </w:r>
      <w:r w:rsidR="00106C02" w:rsidRPr="00792005">
        <w:rPr>
          <w:rFonts w:cs="Arial"/>
          <w:b/>
          <w:bCs/>
          <w:spacing w:val="-2"/>
          <w:szCs w:val="19"/>
        </w:rPr>
        <w:t>W</w:t>
      </w:r>
      <w:r w:rsidRPr="00792005">
        <w:rPr>
          <w:rFonts w:cs="Arial"/>
          <w:b/>
          <w:bCs/>
          <w:spacing w:val="-2"/>
          <w:szCs w:val="19"/>
        </w:rPr>
        <w:t>ydatk</w:t>
      </w:r>
      <w:r w:rsidR="00106C02" w:rsidRPr="00792005">
        <w:rPr>
          <w:rFonts w:cs="Arial"/>
          <w:b/>
          <w:bCs/>
          <w:spacing w:val="-2"/>
          <w:szCs w:val="19"/>
        </w:rPr>
        <w:t>i</w:t>
      </w:r>
      <w:r w:rsidRPr="00792005">
        <w:rPr>
          <w:rFonts w:cs="Arial"/>
          <w:b/>
          <w:bCs/>
          <w:spacing w:val="-2"/>
          <w:szCs w:val="19"/>
        </w:rPr>
        <w:t xml:space="preserve"> </w:t>
      </w:r>
      <w:r w:rsidR="0045504A" w:rsidRPr="00792005">
        <w:rPr>
          <w:rFonts w:cs="Arial"/>
          <w:b/>
          <w:bCs/>
          <w:spacing w:val="-2"/>
          <w:szCs w:val="19"/>
        </w:rPr>
        <w:t xml:space="preserve">ogółem </w:t>
      </w:r>
      <w:r w:rsidRPr="00792005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792005">
        <w:rPr>
          <w:rFonts w:cs="Arial"/>
          <w:b/>
          <w:bCs/>
          <w:spacing w:val="-2"/>
          <w:szCs w:val="19"/>
        </w:rPr>
        <w:t xml:space="preserve"> </w:t>
      </w:r>
      <w:r w:rsidR="0020670C" w:rsidRPr="00792005">
        <w:rPr>
          <w:rFonts w:cs="Arial"/>
          <w:b/>
          <w:bCs/>
          <w:spacing w:val="-2"/>
          <w:szCs w:val="19"/>
        </w:rPr>
        <w:t xml:space="preserve">według </w:t>
      </w:r>
      <w:r w:rsidR="0020670C" w:rsidRPr="00792005">
        <w:rPr>
          <w:rFonts w:eastAsia="Times New Roman" w:cs="Arial"/>
          <w:b/>
          <w:szCs w:val="19"/>
          <w:lang w:eastAsia="pl-PL"/>
        </w:rPr>
        <w:t>odcinków</w:t>
      </w:r>
      <w:r w:rsidR="002643BF" w:rsidRPr="00792005">
        <w:rPr>
          <w:rFonts w:eastAsia="Times New Roman" w:cs="Arial"/>
          <w:b/>
          <w:szCs w:val="19"/>
          <w:lang w:eastAsia="pl-PL"/>
        </w:rPr>
        <w:br/>
      </w:r>
      <w:r w:rsidR="0020670C" w:rsidRPr="00792005">
        <w:rPr>
          <w:rFonts w:eastAsia="Times New Roman" w:cs="Arial"/>
          <w:b/>
          <w:szCs w:val="19"/>
          <w:lang w:eastAsia="pl-PL"/>
        </w:rPr>
        <w:t>granic</w:t>
      </w:r>
      <w:r w:rsidR="00E10394" w:rsidRPr="00792005">
        <w:rPr>
          <w:rFonts w:eastAsia="Times New Roman" w:cs="Arial"/>
          <w:b/>
          <w:szCs w:val="19"/>
          <w:lang w:eastAsia="pl-PL"/>
        </w:rPr>
        <w:t>y</w:t>
      </w:r>
      <w:r w:rsidR="0020670C" w:rsidRPr="00792005">
        <w:rPr>
          <w:rFonts w:eastAsia="Times New Roman" w:cs="Arial"/>
          <w:b/>
          <w:szCs w:val="19"/>
          <w:lang w:eastAsia="pl-PL"/>
        </w:rPr>
        <w:t xml:space="preserve"> </w:t>
      </w:r>
      <w:r w:rsidRPr="00792005">
        <w:rPr>
          <w:rFonts w:cs="Arial"/>
          <w:b/>
          <w:bCs/>
          <w:spacing w:val="-2"/>
          <w:szCs w:val="19"/>
        </w:rPr>
        <w:t xml:space="preserve">w </w:t>
      </w:r>
      <w:r w:rsidR="00DD4976" w:rsidRPr="00792005">
        <w:rPr>
          <w:rFonts w:cs="Arial"/>
          <w:b/>
          <w:bCs/>
          <w:spacing w:val="-2"/>
          <w:szCs w:val="19"/>
        </w:rPr>
        <w:t>3</w:t>
      </w:r>
      <w:r w:rsidRPr="00792005">
        <w:rPr>
          <w:rFonts w:cs="Arial"/>
          <w:b/>
          <w:bCs/>
          <w:spacing w:val="-2"/>
          <w:szCs w:val="19"/>
        </w:rPr>
        <w:t xml:space="preserve"> kwartale 202</w:t>
      </w:r>
      <w:r w:rsidR="00731496" w:rsidRPr="00792005">
        <w:rPr>
          <w:rFonts w:cs="Arial"/>
          <w:b/>
          <w:bCs/>
          <w:spacing w:val="-2"/>
          <w:szCs w:val="19"/>
        </w:rPr>
        <w:t>4</w:t>
      </w:r>
      <w:r w:rsidR="0020670C" w:rsidRPr="00792005">
        <w:rPr>
          <w:b/>
          <w:bCs/>
          <w:spacing w:val="-2"/>
          <w:szCs w:val="19"/>
        </w:rPr>
        <w:t xml:space="preserve"> </w:t>
      </w:r>
      <w:r w:rsidRPr="00792005">
        <w:rPr>
          <w:rFonts w:cs="Arial"/>
          <w:b/>
          <w:bCs/>
          <w:spacing w:val="-2"/>
          <w:szCs w:val="19"/>
        </w:rPr>
        <w:t>r</w:t>
      </w:r>
      <w:r w:rsidR="009E5999" w:rsidRPr="00792005">
        <w:rPr>
          <w:rFonts w:cs="Arial"/>
          <w:b/>
          <w:bCs/>
          <w:spacing w:val="-2"/>
          <w:szCs w:val="19"/>
        </w:rPr>
        <w:t>.</w:t>
      </w:r>
    </w:p>
    <w:p w14:paraId="1235BF72" w14:textId="43B8CBE3" w:rsidR="002E248E" w:rsidRDefault="00792005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>
        <w:rPr>
          <w:noProof/>
          <w:spacing w:val="-2"/>
          <w:szCs w:val="19"/>
          <w:lang w:eastAsia="pl-PL"/>
        </w:rPr>
        <w:drawing>
          <wp:inline distT="0" distB="0" distL="0" distR="0" wp14:anchorId="2372A52C" wp14:editId="13F9666C">
            <wp:extent cx="5122545" cy="2670810"/>
            <wp:effectExtent l="0" t="0" r="1905" b="0"/>
            <wp:docPr id="16" name="Obraz 16" descr="Wykres 2. Wydatki ogółem cudzoziemców w Polsce i Polaków za granicą według odcinków granicy w 3 kwartale 2024 roku.&#10;Wartości  ogółem wydatków – dla cudzoziemców 14,4 miliarda złotych, dla Polaków 9,6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_wydat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0033C1C8" w:rsidR="003D7D93" w:rsidRPr="00A16F22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color w:val="FF0000"/>
          <w:spacing w:val="-2"/>
          <w:szCs w:val="19"/>
        </w:rPr>
      </w:pPr>
      <w:r w:rsidRPr="001F3D3F">
        <w:rPr>
          <w:spacing w:val="-2"/>
          <w:szCs w:val="19"/>
        </w:rPr>
        <w:t>W strukturze wydatków poniesionych w Polsce przez cudzoziemców</w:t>
      </w:r>
      <w:r w:rsidR="0085000E" w:rsidRPr="001F3D3F">
        <w:rPr>
          <w:spacing w:val="-2"/>
          <w:szCs w:val="19"/>
        </w:rPr>
        <w:t>,</w:t>
      </w:r>
      <w:r w:rsidRPr="001F3D3F">
        <w:rPr>
          <w:spacing w:val="-2"/>
          <w:szCs w:val="19"/>
        </w:rPr>
        <w:t xml:space="preserve"> przekraczających lądową granicę w </w:t>
      </w:r>
      <w:r w:rsidR="00E21CE8" w:rsidRPr="001F3D3F">
        <w:rPr>
          <w:spacing w:val="-2"/>
          <w:szCs w:val="19"/>
        </w:rPr>
        <w:t>3</w:t>
      </w:r>
      <w:r w:rsidRPr="001F3D3F">
        <w:rPr>
          <w:spacing w:val="-2"/>
          <w:szCs w:val="19"/>
        </w:rPr>
        <w:t xml:space="preserve"> kwartale 202</w:t>
      </w:r>
      <w:r w:rsidR="00750E8F" w:rsidRPr="001F3D3F">
        <w:rPr>
          <w:spacing w:val="-2"/>
          <w:szCs w:val="19"/>
        </w:rPr>
        <w:t>4</w:t>
      </w:r>
      <w:r w:rsidR="000C4CC2" w:rsidRPr="001F3D3F">
        <w:rPr>
          <w:spacing w:val="-2"/>
          <w:szCs w:val="19"/>
        </w:rPr>
        <w:t xml:space="preserve"> </w:t>
      </w:r>
      <w:r w:rsidRPr="001F3D3F">
        <w:rPr>
          <w:spacing w:val="-2"/>
          <w:szCs w:val="19"/>
        </w:rPr>
        <w:t>r.</w:t>
      </w:r>
      <w:r w:rsidR="0085000E" w:rsidRPr="001F3D3F">
        <w:rPr>
          <w:spacing w:val="-2"/>
          <w:szCs w:val="19"/>
        </w:rPr>
        <w:t>,</w:t>
      </w:r>
      <w:r w:rsidRPr="001F3D3F">
        <w:rPr>
          <w:spacing w:val="-2"/>
          <w:szCs w:val="19"/>
        </w:rPr>
        <w:t xml:space="preserve"> największy udział miały wydatki przekraczających granicę z Niemcami (</w:t>
      </w:r>
      <w:r w:rsidR="001F3D3F" w:rsidRPr="001F3D3F">
        <w:rPr>
          <w:spacing w:val="-2"/>
          <w:szCs w:val="19"/>
        </w:rPr>
        <w:t>50,7</w:t>
      </w:r>
      <w:r w:rsidRPr="001F3D3F">
        <w:rPr>
          <w:spacing w:val="-2"/>
          <w:szCs w:val="19"/>
        </w:rPr>
        <w:t xml:space="preserve">%), </w:t>
      </w:r>
      <w:r w:rsidR="0085000E" w:rsidRPr="001F3D3F">
        <w:rPr>
          <w:spacing w:val="-2"/>
          <w:szCs w:val="19"/>
        </w:rPr>
        <w:t xml:space="preserve">a </w:t>
      </w:r>
      <w:r w:rsidRPr="001F3D3F">
        <w:rPr>
          <w:spacing w:val="-2"/>
          <w:szCs w:val="19"/>
        </w:rPr>
        <w:t>następnie z</w:t>
      </w:r>
      <w:r w:rsidR="00A8436E" w:rsidRPr="001F3D3F">
        <w:rPr>
          <w:spacing w:val="-2"/>
          <w:szCs w:val="19"/>
        </w:rPr>
        <w:t>:</w:t>
      </w:r>
      <w:r w:rsidRPr="001F3D3F">
        <w:rPr>
          <w:spacing w:val="-2"/>
          <w:szCs w:val="19"/>
        </w:rPr>
        <w:t xml:space="preserve"> Ukrainą (</w:t>
      </w:r>
      <w:r w:rsidR="001F3D3F" w:rsidRPr="001F3D3F">
        <w:rPr>
          <w:spacing w:val="-2"/>
          <w:szCs w:val="19"/>
        </w:rPr>
        <w:t>21,2</w:t>
      </w:r>
      <w:r w:rsidRPr="001F3D3F">
        <w:rPr>
          <w:spacing w:val="-2"/>
          <w:szCs w:val="19"/>
        </w:rPr>
        <w:t>%), Czechami (</w:t>
      </w:r>
      <w:r w:rsidR="001F3D3F" w:rsidRPr="001F3D3F">
        <w:rPr>
          <w:spacing w:val="-2"/>
          <w:szCs w:val="19"/>
        </w:rPr>
        <w:t>13,4</w:t>
      </w:r>
      <w:r w:rsidRPr="001F3D3F">
        <w:rPr>
          <w:spacing w:val="-2"/>
          <w:szCs w:val="19"/>
        </w:rPr>
        <w:t>%), Słowacją (</w:t>
      </w:r>
      <w:r w:rsidR="001F3D3F" w:rsidRPr="001F3D3F">
        <w:rPr>
          <w:spacing w:val="-2"/>
          <w:szCs w:val="19"/>
        </w:rPr>
        <w:t>8,0</w:t>
      </w:r>
      <w:r w:rsidRPr="001F3D3F">
        <w:rPr>
          <w:spacing w:val="-2"/>
          <w:szCs w:val="19"/>
        </w:rPr>
        <w:t>%), Litwą (</w:t>
      </w:r>
      <w:r w:rsidR="001F3D3F" w:rsidRPr="001F3D3F">
        <w:rPr>
          <w:spacing w:val="-2"/>
          <w:szCs w:val="19"/>
        </w:rPr>
        <w:t>4,5</w:t>
      </w:r>
      <w:r w:rsidRPr="001F3D3F">
        <w:rPr>
          <w:spacing w:val="-2"/>
          <w:szCs w:val="19"/>
        </w:rPr>
        <w:t>%), Białorusią (</w:t>
      </w:r>
      <w:r w:rsidR="001F3D3F" w:rsidRPr="001F3D3F">
        <w:rPr>
          <w:spacing w:val="-2"/>
          <w:szCs w:val="19"/>
        </w:rPr>
        <w:t>1,8</w:t>
      </w:r>
      <w:r w:rsidRPr="001F3D3F">
        <w:rPr>
          <w:spacing w:val="-2"/>
          <w:szCs w:val="19"/>
        </w:rPr>
        <w:t>%) i Rosją (0,</w:t>
      </w:r>
      <w:r w:rsidR="001F3D3F" w:rsidRPr="001F3D3F">
        <w:rPr>
          <w:spacing w:val="-2"/>
          <w:szCs w:val="19"/>
        </w:rPr>
        <w:t>4</w:t>
      </w:r>
      <w:r w:rsidRPr="001F3D3F">
        <w:rPr>
          <w:spacing w:val="-2"/>
          <w:szCs w:val="19"/>
        </w:rPr>
        <w:t>%).</w:t>
      </w:r>
    </w:p>
    <w:p w14:paraId="4FEF2FF9" w14:textId="7C69A98C" w:rsidR="002E4B41" w:rsidRPr="00B4551F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4551F">
        <w:rPr>
          <w:szCs w:val="19"/>
        </w:rPr>
        <w:t>W przypadku mieszkańców Polski, przekraczających lądową granicę kraju, największe wydatki za granicą ponieśli przekraczający granicę z Niemcami (</w:t>
      </w:r>
      <w:r w:rsidR="00A16F22">
        <w:rPr>
          <w:szCs w:val="19"/>
        </w:rPr>
        <w:t>58,2</w:t>
      </w:r>
      <w:r w:rsidRPr="00B4551F">
        <w:rPr>
          <w:szCs w:val="19"/>
        </w:rPr>
        <w:t>%</w:t>
      </w:r>
      <w:r w:rsidR="00A16F22">
        <w:rPr>
          <w:szCs w:val="19"/>
        </w:rPr>
        <w:t>), a następnie z: Czechami (24,2</w:t>
      </w:r>
      <w:r w:rsidRPr="00B4551F">
        <w:rPr>
          <w:szCs w:val="19"/>
        </w:rPr>
        <w:t>%), Słowacją (</w:t>
      </w:r>
      <w:r w:rsidR="00A16F22">
        <w:rPr>
          <w:szCs w:val="19"/>
        </w:rPr>
        <w:t>14,4</w:t>
      </w:r>
      <w:r w:rsidRPr="00B4551F">
        <w:rPr>
          <w:szCs w:val="19"/>
        </w:rPr>
        <w:t>%), Litwą (</w:t>
      </w:r>
      <w:r w:rsidR="00A16F22">
        <w:rPr>
          <w:szCs w:val="19"/>
        </w:rPr>
        <w:t>2,7</w:t>
      </w:r>
      <w:r w:rsidRPr="00B4551F">
        <w:rPr>
          <w:szCs w:val="19"/>
        </w:rPr>
        <w:t>%), Ukrainą (0,3%), Białorusią i Rosją (po 0,1%).</w:t>
      </w:r>
    </w:p>
    <w:p w14:paraId="02C441F0" w14:textId="634AC4FA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>
        <w:rPr>
          <w:rFonts w:ascii="Fira Sans" w:hAnsi="Fira Sans" w:cs="Arial"/>
          <w:b/>
          <w:bCs/>
          <w:sz w:val="19"/>
          <w:szCs w:val="19"/>
        </w:rPr>
        <w:t>3</w:t>
      </w:r>
      <w:r w:rsidRPr="008349CB">
        <w:rPr>
          <w:rFonts w:ascii="Fira Sans" w:hAnsi="Fira Sans" w:cs="Arial"/>
          <w:b/>
          <w:bCs/>
          <w:sz w:val="19"/>
          <w:szCs w:val="19"/>
        </w:rPr>
        <w:t>. </w:t>
      </w:r>
      <w:r w:rsidRPr="005331A6">
        <w:rPr>
          <w:rFonts w:ascii="Fira Sans" w:hAnsi="Fira Sans" w:cs="Arial"/>
          <w:b/>
          <w:bCs/>
          <w:sz w:val="19"/>
          <w:szCs w:val="19"/>
        </w:rPr>
        <w:t xml:space="preserve">Struktura wydatków </w:t>
      </w:r>
      <w:r w:rsidR="0045504A" w:rsidRPr="005331A6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5331A6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5331A6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5331A6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DD4976" w:rsidRPr="005331A6">
        <w:rPr>
          <w:rFonts w:ascii="Fira Sans" w:hAnsi="Fira Sans" w:cs="Arial"/>
          <w:b/>
          <w:bCs/>
          <w:sz w:val="19"/>
          <w:szCs w:val="19"/>
        </w:rPr>
        <w:t>3</w:t>
      </w:r>
      <w:r w:rsidRPr="005331A6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 w:rsidRPr="005331A6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5331A6">
        <w:rPr>
          <w:rFonts w:ascii="Fira Sans" w:hAnsi="Fira Sans"/>
          <w:b/>
          <w:bCs/>
          <w:sz w:val="19"/>
          <w:szCs w:val="19"/>
        </w:rPr>
        <w:t xml:space="preserve"> </w:t>
      </w:r>
      <w:r w:rsidRPr="005331A6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5331A6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779535F7" w:rsidR="002E248E" w:rsidRDefault="005331A6" w:rsidP="002E248E">
      <w:pPr>
        <w:spacing w:before="240" w:after="240" w:line="288" w:lineRule="auto"/>
        <w:rPr>
          <w:szCs w:val="19"/>
        </w:rPr>
      </w:pPr>
      <w:r w:rsidRPr="005331A6">
        <w:rPr>
          <w:noProof/>
          <w:lang w:eastAsia="pl-PL"/>
        </w:rPr>
        <w:drawing>
          <wp:inline distT="0" distB="0" distL="0" distR="0" wp14:anchorId="7F171504" wp14:editId="32EB206C">
            <wp:extent cx="5228460" cy="1764000"/>
            <wp:effectExtent l="0" t="0" r="0" b="8255"/>
            <wp:docPr id="4" name="Obraz 4" descr="Wykres 3. Struktura wydatków ogółem cudzoziemców w Polsce i Polaków za granicą według grup asortymentowych w 3 kwartale 2024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46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7379828A" w:rsidR="00195FC4" w:rsidRPr="001F3D3F" w:rsidRDefault="00195FC4" w:rsidP="007D5306">
      <w:pPr>
        <w:spacing w:line="288" w:lineRule="auto"/>
        <w:rPr>
          <w:szCs w:val="19"/>
        </w:rPr>
      </w:pPr>
      <w:r w:rsidRPr="001F3D3F">
        <w:rPr>
          <w:szCs w:val="19"/>
        </w:rPr>
        <w:lastRenderedPageBreak/>
        <w:t xml:space="preserve">Cudzoziemcy przekraczający zewnętrzną lądową granicę UE na terenie Polski na zakup towarów nieżywnościowych przeznaczyli </w:t>
      </w:r>
      <w:r w:rsidR="001F3D3F" w:rsidRPr="001F3D3F">
        <w:rPr>
          <w:szCs w:val="19"/>
        </w:rPr>
        <w:t>76,9</w:t>
      </w:r>
      <w:r w:rsidRPr="001F3D3F">
        <w:rPr>
          <w:szCs w:val="19"/>
        </w:rPr>
        <w:t xml:space="preserve">% swoich wydatków, na żywność i napoje bezalkoholowe </w:t>
      </w:r>
      <w:r w:rsidR="001D3C3F" w:rsidRPr="001F3D3F">
        <w:rPr>
          <w:szCs w:val="19"/>
        </w:rPr>
        <w:t>–</w:t>
      </w:r>
      <w:r w:rsidRPr="001F3D3F">
        <w:rPr>
          <w:szCs w:val="19"/>
        </w:rPr>
        <w:t xml:space="preserve"> </w:t>
      </w:r>
      <w:r w:rsidR="001F3D3F" w:rsidRPr="001F3D3F">
        <w:rPr>
          <w:szCs w:val="19"/>
        </w:rPr>
        <w:t>14,2</w:t>
      </w:r>
      <w:r w:rsidRPr="001F3D3F">
        <w:rPr>
          <w:szCs w:val="19"/>
        </w:rPr>
        <w:t xml:space="preserve">%, a na pozostałe wydatki (usługi) </w:t>
      </w:r>
      <w:r w:rsidR="001D3C3F" w:rsidRPr="001F3D3F">
        <w:rPr>
          <w:szCs w:val="19"/>
        </w:rPr>
        <w:t>–</w:t>
      </w:r>
      <w:r w:rsidRPr="001F3D3F">
        <w:rPr>
          <w:szCs w:val="19"/>
        </w:rPr>
        <w:t xml:space="preserve"> </w:t>
      </w:r>
      <w:r w:rsidR="001F3D3F" w:rsidRPr="001F3D3F">
        <w:rPr>
          <w:szCs w:val="19"/>
        </w:rPr>
        <w:t>8,8</w:t>
      </w:r>
      <w:r w:rsidRPr="001F3D3F">
        <w:rPr>
          <w:szCs w:val="19"/>
        </w:rPr>
        <w:t>%.</w:t>
      </w:r>
    </w:p>
    <w:p w14:paraId="02D2ED93" w14:textId="25BD6596" w:rsidR="002E4B41" w:rsidRPr="00156B7D" w:rsidRDefault="002E4B41" w:rsidP="002E4B41">
      <w:pPr>
        <w:spacing w:line="288" w:lineRule="auto"/>
        <w:rPr>
          <w:spacing w:val="-2"/>
          <w:szCs w:val="19"/>
        </w:rPr>
      </w:pPr>
      <w:r w:rsidRPr="00156B7D">
        <w:rPr>
          <w:spacing w:val="-2"/>
          <w:szCs w:val="19"/>
        </w:rPr>
        <w:t>Mieszkańcy Polski, przekraczający zewnętrzną lądową granicę UE na terenie Polski, większość wydatk</w:t>
      </w:r>
      <w:r w:rsidR="00234D05">
        <w:rPr>
          <w:spacing w:val="-2"/>
          <w:szCs w:val="19"/>
        </w:rPr>
        <w:t>owanych za granicą środków (</w:t>
      </w:r>
      <w:r w:rsidR="00B77204">
        <w:rPr>
          <w:spacing w:val="-2"/>
          <w:szCs w:val="19"/>
        </w:rPr>
        <w:t>53,</w:t>
      </w:r>
      <w:r w:rsidR="00C06D91">
        <w:rPr>
          <w:spacing w:val="-2"/>
          <w:szCs w:val="19"/>
        </w:rPr>
        <w:t>8</w:t>
      </w:r>
      <w:r w:rsidRPr="00156B7D">
        <w:rPr>
          <w:spacing w:val="-2"/>
          <w:szCs w:val="19"/>
        </w:rPr>
        <w:t xml:space="preserve">%) przeznaczyli na zakup towarów nieżywnościowych, na pozostałe wydatki (usługi) – </w:t>
      </w:r>
      <w:r w:rsidR="00B77204">
        <w:rPr>
          <w:spacing w:val="-2"/>
          <w:szCs w:val="19"/>
        </w:rPr>
        <w:t>21,6</w:t>
      </w:r>
      <w:r w:rsidRPr="00156B7D">
        <w:rPr>
          <w:spacing w:val="-2"/>
          <w:szCs w:val="19"/>
        </w:rPr>
        <w:t xml:space="preserve">%, a na żywność i napoje bezalkoholowe – </w:t>
      </w:r>
      <w:r w:rsidR="00B77204">
        <w:rPr>
          <w:spacing w:val="-2"/>
          <w:szCs w:val="19"/>
        </w:rPr>
        <w:t>11,1</w:t>
      </w:r>
      <w:r w:rsidRPr="00156B7D">
        <w:rPr>
          <w:spacing w:val="-2"/>
          <w:szCs w:val="19"/>
        </w:rPr>
        <w:t>%.</w:t>
      </w:r>
    </w:p>
    <w:p w14:paraId="70F0C6D7" w14:textId="05C4BFCA" w:rsidR="002E4B41" w:rsidRPr="00EF11EC" w:rsidRDefault="00E75D4F" w:rsidP="002E4B41">
      <w:pPr>
        <w:spacing w:line="288" w:lineRule="auto"/>
        <w:rPr>
          <w:color w:val="FF0000"/>
          <w:szCs w:val="19"/>
        </w:rPr>
      </w:pPr>
      <w:r w:rsidRPr="001F3D3F">
        <w:rPr>
          <w:szCs w:val="19"/>
        </w:rPr>
        <w:t>Największy odsetek (</w:t>
      </w:r>
      <w:r w:rsidR="001F3D3F" w:rsidRPr="001F3D3F">
        <w:rPr>
          <w:szCs w:val="19"/>
        </w:rPr>
        <w:t>51,</w:t>
      </w:r>
      <w:r w:rsidR="00C06D91">
        <w:rPr>
          <w:szCs w:val="19"/>
        </w:rPr>
        <w:t>8</w:t>
      </w:r>
      <w:r w:rsidR="002E4B41" w:rsidRPr="001F3D3F">
        <w:rPr>
          <w:szCs w:val="19"/>
        </w:rPr>
        <w:t xml:space="preserve">%) w strukturze wydatków ogółem poniesionych w Polsce przez cudzoziemców przekraczających wewnętrzną granicę UE w </w:t>
      </w:r>
      <w:r w:rsidR="00B77204" w:rsidRPr="001F3D3F">
        <w:rPr>
          <w:szCs w:val="19"/>
        </w:rPr>
        <w:t>3</w:t>
      </w:r>
      <w:r w:rsidR="002E4B41" w:rsidRPr="001F3D3F">
        <w:rPr>
          <w:szCs w:val="19"/>
        </w:rPr>
        <w:t xml:space="preserve"> kwartale 2024 r. stanowiły wydatki na towary nieżywnościowe. Znaczny udział w strukturze wydatków nierezydentów miały p</w:t>
      </w:r>
      <w:r w:rsidRPr="001F3D3F">
        <w:rPr>
          <w:szCs w:val="19"/>
        </w:rPr>
        <w:t xml:space="preserve">ozostałe wydatki (usługi) – </w:t>
      </w:r>
      <w:r w:rsidR="001F3D3F" w:rsidRPr="001F3D3F">
        <w:rPr>
          <w:szCs w:val="19"/>
        </w:rPr>
        <w:t>20,8</w:t>
      </w:r>
      <w:r w:rsidR="002E4B41" w:rsidRPr="001F3D3F">
        <w:rPr>
          <w:szCs w:val="19"/>
        </w:rPr>
        <w:t>% oraz wydatki na żywno</w:t>
      </w:r>
      <w:r w:rsidR="001F3D3F" w:rsidRPr="001F3D3F">
        <w:rPr>
          <w:szCs w:val="19"/>
        </w:rPr>
        <w:t>ść i napoje bezalkoholowe – 13,5</w:t>
      </w:r>
      <w:r w:rsidR="002E4B41" w:rsidRPr="001F3D3F">
        <w:rPr>
          <w:szCs w:val="19"/>
        </w:rPr>
        <w:t xml:space="preserve">%. </w:t>
      </w:r>
      <w:r w:rsidR="002E4B41" w:rsidRPr="007D322D">
        <w:rPr>
          <w:szCs w:val="19"/>
        </w:rPr>
        <w:t xml:space="preserve">Z kolei w strukturze wydatków poniesionych za granicą przez mieszkańców Polski dominowały pozostałe wydatki (usługi) – </w:t>
      </w:r>
      <w:r w:rsidR="00B77204">
        <w:rPr>
          <w:szCs w:val="19"/>
        </w:rPr>
        <w:t>52,6</w:t>
      </w:r>
      <w:r w:rsidR="00234D05">
        <w:rPr>
          <w:szCs w:val="19"/>
        </w:rPr>
        <w:t xml:space="preserve">% i towary nieżywnościowe – </w:t>
      </w:r>
      <w:r w:rsidR="00B77204">
        <w:rPr>
          <w:szCs w:val="19"/>
        </w:rPr>
        <w:t>31,5</w:t>
      </w:r>
      <w:r w:rsidR="002E4B41" w:rsidRPr="007D322D">
        <w:rPr>
          <w:szCs w:val="19"/>
        </w:rPr>
        <w:t xml:space="preserve">%. Na żywność i napoje bezalkoholowe Polacy przeznaczyli </w:t>
      </w:r>
      <w:r w:rsidR="00B77204">
        <w:rPr>
          <w:szCs w:val="19"/>
        </w:rPr>
        <w:t>12,7</w:t>
      </w:r>
      <w:r w:rsidR="002E4B41" w:rsidRPr="007D322D">
        <w:rPr>
          <w:szCs w:val="19"/>
        </w:rPr>
        <w:t>% swoich wydatków.</w:t>
      </w:r>
    </w:p>
    <w:p w14:paraId="70176119" w14:textId="2B2D4387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7E1C3E">
        <w:rPr>
          <w:b/>
          <w:szCs w:val="19"/>
        </w:rPr>
        <w:t>3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3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3 kwartału 2024 roku w stosunku do 3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7A78FDF9" w:rsidR="00F16770" w:rsidRPr="00124A79" w:rsidRDefault="007E1C3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5285C27B" w:rsidR="00F16770" w:rsidRPr="00124A79" w:rsidRDefault="007E1C3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2DA54CD5" w:rsidR="00F16770" w:rsidRPr="00AE3CBD" w:rsidRDefault="007E1C3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022A4ABC" w:rsidR="00F16770" w:rsidRPr="00AE3CBD" w:rsidRDefault="007E1C3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D1ACA" w:rsidRPr="00687DC1" w14:paraId="43CECA29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034C7D6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45,79</w:t>
            </w:r>
          </w:p>
        </w:tc>
        <w:tc>
          <w:tcPr>
            <w:tcW w:w="502" w:type="pct"/>
            <w:vAlign w:val="bottom"/>
          </w:tcPr>
          <w:p w14:paraId="4902569D" w14:textId="594AE16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97,7</w:t>
            </w:r>
          </w:p>
        </w:tc>
        <w:tc>
          <w:tcPr>
            <w:tcW w:w="501" w:type="pct"/>
            <w:vAlign w:val="bottom"/>
          </w:tcPr>
          <w:p w14:paraId="79C19821" w14:textId="7D73B484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37,67</w:t>
            </w:r>
          </w:p>
        </w:tc>
        <w:tc>
          <w:tcPr>
            <w:tcW w:w="502" w:type="pct"/>
            <w:vAlign w:val="bottom"/>
          </w:tcPr>
          <w:p w14:paraId="12F614B0" w14:textId="3F8AB248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102,6</w:t>
            </w:r>
          </w:p>
        </w:tc>
        <w:tc>
          <w:tcPr>
            <w:tcW w:w="501" w:type="pct"/>
            <w:vAlign w:val="bottom"/>
          </w:tcPr>
          <w:p w14:paraId="05847098" w14:textId="2F25D2F1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14 393,2</w:t>
            </w:r>
          </w:p>
        </w:tc>
        <w:tc>
          <w:tcPr>
            <w:tcW w:w="502" w:type="pct"/>
            <w:vAlign w:val="bottom"/>
          </w:tcPr>
          <w:p w14:paraId="44E023BA" w14:textId="591A2631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106,3</w:t>
            </w:r>
          </w:p>
        </w:tc>
        <w:tc>
          <w:tcPr>
            <w:tcW w:w="501" w:type="pct"/>
            <w:vAlign w:val="bottom"/>
          </w:tcPr>
          <w:p w14:paraId="65C76C5C" w14:textId="0C060C58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D2371B">
              <w:t>9 620,3</w:t>
            </w:r>
          </w:p>
        </w:tc>
        <w:tc>
          <w:tcPr>
            <w:tcW w:w="500" w:type="pct"/>
            <w:vAlign w:val="bottom"/>
          </w:tcPr>
          <w:p w14:paraId="2E9504CD" w14:textId="447B1A64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108,4</w:t>
            </w:r>
          </w:p>
        </w:tc>
      </w:tr>
      <w:tr w:rsidR="009D1ACA" w:rsidRPr="00687DC1" w14:paraId="40974DE7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43C35B7D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39,22</w:t>
            </w:r>
          </w:p>
        </w:tc>
        <w:tc>
          <w:tcPr>
            <w:tcW w:w="502" w:type="pct"/>
            <w:vAlign w:val="bottom"/>
          </w:tcPr>
          <w:p w14:paraId="3F246E59" w14:textId="6D0D3BCB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96,2</w:t>
            </w:r>
          </w:p>
        </w:tc>
        <w:tc>
          <w:tcPr>
            <w:tcW w:w="501" w:type="pct"/>
            <w:vAlign w:val="bottom"/>
          </w:tcPr>
          <w:p w14:paraId="73AA2A70" w14:textId="516E7F70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25,77</w:t>
            </w:r>
          </w:p>
        </w:tc>
        <w:tc>
          <w:tcPr>
            <w:tcW w:w="502" w:type="pct"/>
            <w:vAlign w:val="bottom"/>
          </w:tcPr>
          <w:p w14:paraId="622B1048" w14:textId="69DE58D2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291C9544" w14:textId="5B37F9F2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10 381,5</w:t>
            </w:r>
          </w:p>
        </w:tc>
        <w:tc>
          <w:tcPr>
            <w:tcW w:w="502" w:type="pct"/>
            <w:vAlign w:val="bottom"/>
          </w:tcPr>
          <w:p w14:paraId="489715E3" w14:textId="0D7C921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101,1</w:t>
            </w:r>
          </w:p>
        </w:tc>
        <w:tc>
          <w:tcPr>
            <w:tcW w:w="501" w:type="pct"/>
            <w:vAlign w:val="bottom"/>
          </w:tcPr>
          <w:p w14:paraId="672F8A8B" w14:textId="5F14313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4 459,5</w:t>
            </w:r>
          </w:p>
        </w:tc>
        <w:tc>
          <w:tcPr>
            <w:tcW w:w="500" w:type="pct"/>
            <w:vAlign w:val="bottom"/>
          </w:tcPr>
          <w:p w14:paraId="25E2D19C" w14:textId="41B04F10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102,6</w:t>
            </w:r>
          </w:p>
        </w:tc>
      </w:tr>
      <w:tr w:rsidR="009D1ACA" w:rsidRPr="00687DC1" w14:paraId="774751C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55041E36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6,26</w:t>
            </w:r>
          </w:p>
        </w:tc>
        <w:tc>
          <w:tcPr>
            <w:tcW w:w="502" w:type="pct"/>
            <w:vAlign w:val="bottom"/>
          </w:tcPr>
          <w:p w14:paraId="1E2A7472" w14:textId="25052F8E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95,9</w:t>
            </w:r>
          </w:p>
        </w:tc>
        <w:tc>
          <w:tcPr>
            <w:tcW w:w="501" w:type="pct"/>
            <w:vAlign w:val="bottom"/>
          </w:tcPr>
          <w:p w14:paraId="5DC1F5A8" w14:textId="3F4D2C8E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0,19</w:t>
            </w:r>
          </w:p>
        </w:tc>
        <w:tc>
          <w:tcPr>
            <w:tcW w:w="502" w:type="pct"/>
            <w:vAlign w:val="bottom"/>
          </w:tcPr>
          <w:p w14:paraId="74FA095E" w14:textId="0EB3175C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501" w:type="pct"/>
            <w:vAlign w:val="bottom"/>
          </w:tcPr>
          <w:p w14:paraId="37464519" w14:textId="7EFCE8F2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2 423,4</w:t>
            </w:r>
          </w:p>
        </w:tc>
        <w:tc>
          <w:tcPr>
            <w:tcW w:w="502" w:type="pct"/>
            <w:vAlign w:val="bottom"/>
          </w:tcPr>
          <w:p w14:paraId="1DD5A3EE" w14:textId="47818A6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96,8</w:t>
            </w:r>
          </w:p>
        </w:tc>
        <w:tc>
          <w:tcPr>
            <w:tcW w:w="501" w:type="pct"/>
            <w:vAlign w:val="bottom"/>
          </w:tcPr>
          <w:p w14:paraId="27FE9EC1" w14:textId="24B0AE29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22,0</w:t>
            </w:r>
          </w:p>
        </w:tc>
        <w:tc>
          <w:tcPr>
            <w:tcW w:w="500" w:type="pct"/>
            <w:vAlign w:val="bottom"/>
          </w:tcPr>
          <w:p w14:paraId="6E1D1BEA" w14:textId="23D5DF66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102,2</w:t>
            </w:r>
          </w:p>
        </w:tc>
      </w:tr>
      <w:tr w:rsidR="009D1ACA" w:rsidRPr="00687DC1" w14:paraId="24B9BC25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61A423A" w14:textId="6C8353B2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70654295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0,23</w:t>
            </w:r>
          </w:p>
        </w:tc>
        <w:tc>
          <w:tcPr>
            <w:tcW w:w="502" w:type="pct"/>
            <w:vAlign w:val="bottom"/>
          </w:tcPr>
          <w:p w14:paraId="0A0B730D" w14:textId="3562C840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125,5</w:t>
            </w:r>
          </w:p>
        </w:tc>
        <w:tc>
          <w:tcPr>
            <w:tcW w:w="501" w:type="pct"/>
            <w:vAlign w:val="bottom"/>
          </w:tcPr>
          <w:p w14:paraId="74497D3B" w14:textId="0793DAC0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4E3B9F50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00037586" w14:textId="4FA70F8B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42,4</w:t>
            </w:r>
          </w:p>
        </w:tc>
        <w:tc>
          <w:tcPr>
            <w:tcW w:w="502" w:type="pct"/>
            <w:vAlign w:val="bottom"/>
          </w:tcPr>
          <w:p w14:paraId="1FC040FE" w14:textId="570C32F1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122,3</w:t>
            </w:r>
          </w:p>
        </w:tc>
        <w:tc>
          <w:tcPr>
            <w:tcW w:w="501" w:type="pct"/>
            <w:vAlign w:val="bottom"/>
          </w:tcPr>
          <w:p w14:paraId="2D8A034D" w14:textId="29162C4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2,4</w:t>
            </w:r>
          </w:p>
        </w:tc>
        <w:tc>
          <w:tcPr>
            <w:tcW w:w="500" w:type="pct"/>
            <w:vAlign w:val="bottom"/>
          </w:tcPr>
          <w:p w14:paraId="22AD7D06" w14:textId="5EE80393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97,6</w:t>
            </w:r>
          </w:p>
        </w:tc>
      </w:tr>
      <w:tr w:rsidR="009D1ACA" w:rsidRPr="00687DC1" w14:paraId="21D6C98F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473A36C" w14:textId="57544EBF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2F346E0F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0,74</w:t>
            </w:r>
          </w:p>
        </w:tc>
        <w:tc>
          <w:tcPr>
            <w:tcW w:w="502" w:type="pct"/>
            <w:vAlign w:val="bottom"/>
          </w:tcPr>
          <w:p w14:paraId="3A6260A2" w14:textId="11C91ABA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100,7</w:t>
            </w:r>
          </w:p>
        </w:tc>
        <w:tc>
          <w:tcPr>
            <w:tcW w:w="501" w:type="pct"/>
            <w:vAlign w:val="bottom"/>
          </w:tcPr>
          <w:p w14:paraId="6B21FC7E" w14:textId="605B964E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34A20ACC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501" w:type="pct"/>
            <w:vAlign w:val="bottom"/>
          </w:tcPr>
          <w:p w14:paraId="67B19B1E" w14:textId="0A0B3387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183,7</w:t>
            </w:r>
          </w:p>
        </w:tc>
        <w:tc>
          <w:tcPr>
            <w:tcW w:w="502" w:type="pct"/>
            <w:vAlign w:val="bottom"/>
          </w:tcPr>
          <w:p w14:paraId="2398BB72" w14:textId="6AC46BB3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77,1</w:t>
            </w:r>
          </w:p>
        </w:tc>
        <w:tc>
          <w:tcPr>
            <w:tcW w:w="501" w:type="pct"/>
            <w:vAlign w:val="bottom"/>
          </w:tcPr>
          <w:p w14:paraId="355BCD52" w14:textId="52AD109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4,2</w:t>
            </w:r>
          </w:p>
        </w:tc>
        <w:tc>
          <w:tcPr>
            <w:tcW w:w="500" w:type="pct"/>
            <w:vAlign w:val="bottom"/>
          </w:tcPr>
          <w:p w14:paraId="1DE09284" w14:textId="05DE0F19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101,2</w:t>
            </w:r>
          </w:p>
        </w:tc>
      </w:tr>
      <w:tr w:rsidR="009D1ACA" w:rsidRPr="00687DC1" w14:paraId="42F69DF8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0EEE5DA2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5,30</w:t>
            </w:r>
          </w:p>
        </w:tc>
        <w:tc>
          <w:tcPr>
            <w:tcW w:w="502" w:type="pct"/>
            <w:vAlign w:val="bottom"/>
          </w:tcPr>
          <w:p w14:paraId="5D11C657" w14:textId="7118C697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94,3</w:t>
            </w:r>
          </w:p>
        </w:tc>
        <w:tc>
          <w:tcPr>
            <w:tcW w:w="501" w:type="pct"/>
            <w:vAlign w:val="bottom"/>
          </w:tcPr>
          <w:p w14:paraId="0DF2D605" w14:textId="4785137E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0,13</w:t>
            </w:r>
          </w:p>
        </w:tc>
        <w:tc>
          <w:tcPr>
            <w:tcW w:w="502" w:type="pct"/>
            <w:vAlign w:val="bottom"/>
          </w:tcPr>
          <w:p w14:paraId="38092C33" w14:textId="5749AB61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98,4</w:t>
            </w:r>
          </w:p>
        </w:tc>
        <w:tc>
          <w:tcPr>
            <w:tcW w:w="501" w:type="pct"/>
            <w:vAlign w:val="bottom"/>
          </w:tcPr>
          <w:p w14:paraId="52F164B6" w14:textId="0C64B1EF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2 197,4</w:t>
            </w:r>
          </w:p>
        </w:tc>
        <w:tc>
          <w:tcPr>
            <w:tcW w:w="502" w:type="pct"/>
            <w:vAlign w:val="bottom"/>
          </w:tcPr>
          <w:p w14:paraId="11B17F33" w14:textId="0E0AD3B3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98,4</w:t>
            </w:r>
          </w:p>
        </w:tc>
        <w:tc>
          <w:tcPr>
            <w:tcW w:w="501" w:type="pct"/>
            <w:vAlign w:val="bottom"/>
          </w:tcPr>
          <w:p w14:paraId="61697C46" w14:textId="546202D6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15,4</w:t>
            </w:r>
          </w:p>
        </w:tc>
        <w:tc>
          <w:tcPr>
            <w:tcW w:w="500" w:type="pct"/>
            <w:vAlign w:val="bottom"/>
          </w:tcPr>
          <w:p w14:paraId="26D184D7" w14:textId="32F5ECC1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103,2</w:t>
            </w:r>
          </w:p>
        </w:tc>
      </w:tr>
      <w:tr w:rsidR="009D1ACA" w:rsidRPr="00687DC1" w14:paraId="23F83C60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3F322A5A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32,96</w:t>
            </w:r>
          </w:p>
        </w:tc>
        <w:tc>
          <w:tcPr>
            <w:tcW w:w="502" w:type="pct"/>
            <w:vAlign w:val="bottom"/>
          </w:tcPr>
          <w:p w14:paraId="23457E66" w14:textId="569E3513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96,3</w:t>
            </w:r>
          </w:p>
        </w:tc>
        <w:tc>
          <w:tcPr>
            <w:tcW w:w="501" w:type="pct"/>
            <w:vAlign w:val="bottom"/>
          </w:tcPr>
          <w:p w14:paraId="3C0EE66C" w14:textId="40408394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25,58</w:t>
            </w:r>
          </w:p>
        </w:tc>
        <w:tc>
          <w:tcPr>
            <w:tcW w:w="502" w:type="pct"/>
            <w:vAlign w:val="bottom"/>
          </w:tcPr>
          <w:p w14:paraId="22AA8F22" w14:textId="0604885B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0441D349" w14:textId="50684481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7 958,1</w:t>
            </w:r>
          </w:p>
        </w:tc>
        <w:tc>
          <w:tcPr>
            <w:tcW w:w="502" w:type="pct"/>
            <w:vAlign w:val="bottom"/>
          </w:tcPr>
          <w:p w14:paraId="6C535961" w14:textId="4B18F7D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102,5</w:t>
            </w:r>
          </w:p>
        </w:tc>
        <w:tc>
          <w:tcPr>
            <w:tcW w:w="501" w:type="pct"/>
            <w:vAlign w:val="bottom"/>
          </w:tcPr>
          <w:p w14:paraId="5498D17A" w14:textId="4F13BC5C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4 437,5</w:t>
            </w:r>
          </w:p>
        </w:tc>
        <w:tc>
          <w:tcPr>
            <w:tcW w:w="500" w:type="pct"/>
            <w:vAlign w:val="bottom"/>
          </w:tcPr>
          <w:p w14:paraId="05A91D40" w14:textId="1F88643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102,6</w:t>
            </w:r>
          </w:p>
        </w:tc>
      </w:tr>
      <w:tr w:rsidR="009D1ACA" w:rsidRPr="00687DC1" w14:paraId="0E2F2B13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32451A44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1,57</w:t>
            </w:r>
          </w:p>
        </w:tc>
        <w:tc>
          <w:tcPr>
            <w:tcW w:w="502" w:type="pct"/>
            <w:vAlign w:val="bottom"/>
          </w:tcPr>
          <w:p w14:paraId="1F2E7AFC" w14:textId="79600A7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99,8</w:t>
            </w:r>
          </w:p>
        </w:tc>
        <w:tc>
          <w:tcPr>
            <w:tcW w:w="501" w:type="pct"/>
            <w:vAlign w:val="bottom"/>
          </w:tcPr>
          <w:p w14:paraId="5530DD7A" w14:textId="76EFB863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0,76</w:t>
            </w:r>
          </w:p>
        </w:tc>
        <w:tc>
          <w:tcPr>
            <w:tcW w:w="502" w:type="pct"/>
            <w:vAlign w:val="bottom"/>
          </w:tcPr>
          <w:p w14:paraId="4EAD798C" w14:textId="6581AA0B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701CBCBC" w14:textId="17E88098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464,9</w:t>
            </w:r>
          </w:p>
        </w:tc>
        <w:tc>
          <w:tcPr>
            <w:tcW w:w="502" w:type="pct"/>
            <w:vAlign w:val="bottom"/>
          </w:tcPr>
          <w:p w14:paraId="19816013" w14:textId="4D9A155E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106,0</w:t>
            </w:r>
          </w:p>
        </w:tc>
        <w:tc>
          <w:tcPr>
            <w:tcW w:w="501" w:type="pct"/>
            <w:vAlign w:val="bottom"/>
          </w:tcPr>
          <w:p w14:paraId="134F8269" w14:textId="432DEF7C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120,4</w:t>
            </w:r>
          </w:p>
        </w:tc>
        <w:tc>
          <w:tcPr>
            <w:tcW w:w="500" w:type="pct"/>
            <w:vAlign w:val="bottom"/>
          </w:tcPr>
          <w:p w14:paraId="6C4AB0E3" w14:textId="4E7912A7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98,8</w:t>
            </w:r>
          </w:p>
        </w:tc>
      </w:tr>
      <w:tr w:rsidR="009D1ACA" w:rsidRPr="00687DC1" w14:paraId="7741D0F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392E128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4,22</w:t>
            </w:r>
          </w:p>
        </w:tc>
        <w:tc>
          <w:tcPr>
            <w:tcW w:w="502" w:type="pct"/>
            <w:vAlign w:val="bottom"/>
          </w:tcPr>
          <w:p w14:paraId="617AEE7B" w14:textId="75C952E7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94,7</w:t>
            </w:r>
          </w:p>
        </w:tc>
        <w:tc>
          <w:tcPr>
            <w:tcW w:w="501" w:type="pct"/>
            <w:vAlign w:val="bottom"/>
          </w:tcPr>
          <w:p w14:paraId="441BDC92" w14:textId="3A656068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4,09</w:t>
            </w:r>
          </w:p>
        </w:tc>
        <w:tc>
          <w:tcPr>
            <w:tcW w:w="502" w:type="pct"/>
            <w:vAlign w:val="bottom"/>
          </w:tcPr>
          <w:p w14:paraId="7BE9987D" w14:textId="5E304BA6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96,4</w:t>
            </w:r>
          </w:p>
        </w:tc>
        <w:tc>
          <w:tcPr>
            <w:tcW w:w="501" w:type="pct"/>
            <w:vAlign w:val="bottom"/>
          </w:tcPr>
          <w:p w14:paraId="4B8BF03E" w14:textId="2B32A24C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833,7</w:t>
            </w:r>
          </w:p>
        </w:tc>
        <w:tc>
          <w:tcPr>
            <w:tcW w:w="502" w:type="pct"/>
            <w:vAlign w:val="bottom"/>
          </w:tcPr>
          <w:p w14:paraId="528C45AD" w14:textId="50890DB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99,7</w:t>
            </w:r>
          </w:p>
        </w:tc>
        <w:tc>
          <w:tcPr>
            <w:tcW w:w="501" w:type="pct"/>
            <w:vAlign w:val="bottom"/>
          </w:tcPr>
          <w:p w14:paraId="6A59DECD" w14:textId="54494E9F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640,9</w:t>
            </w:r>
          </w:p>
        </w:tc>
        <w:tc>
          <w:tcPr>
            <w:tcW w:w="500" w:type="pct"/>
            <w:vAlign w:val="bottom"/>
          </w:tcPr>
          <w:p w14:paraId="14C56054" w14:textId="15CD82DD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102,8</w:t>
            </w:r>
          </w:p>
        </w:tc>
      </w:tr>
      <w:tr w:rsidR="009D1ACA" w:rsidRPr="00687DC1" w14:paraId="08F13E4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4FC2F017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7,62</w:t>
            </w:r>
          </w:p>
        </w:tc>
        <w:tc>
          <w:tcPr>
            <w:tcW w:w="502" w:type="pct"/>
            <w:vAlign w:val="bottom"/>
          </w:tcPr>
          <w:p w14:paraId="31DD9372" w14:textId="022172B8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1C6E53DC" w14:textId="7DD2FF49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7,99</w:t>
            </w:r>
          </w:p>
        </w:tc>
        <w:tc>
          <w:tcPr>
            <w:tcW w:w="502" w:type="pct"/>
            <w:vAlign w:val="bottom"/>
          </w:tcPr>
          <w:p w14:paraId="4F93D16C" w14:textId="22988783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97,9</w:t>
            </w:r>
          </w:p>
        </w:tc>
        <w:tc>
          <w:tcPr>
            <w:tcW w:w="501" w:type="pct"/>
            <w:vAlign w:val="bottom"/>
          </w:tcPr>
          <w:p w14:paraId="74D60668" w14:textId="34DFB943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1 392,5</w:t>
            </w:r>
          </w:p>
        </w:tc>
        <w:tc>
          <w:tcPr>
            <w:tcW w:w="502" w:type="pct"/>
            <w:vAlign w:val="bottom"/>
          </w:tcPr>
          <w:p w14:paraId="51C0AC61" w14:textId="05D31762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103,0</w:t>
            </w:r>
          </w:p>
        </w:tc>
        <w:tc>
          <w:tcPr>
            <w:tcW w:w="501" w:type="pct"/>
            <w:vAlign w:val="bottom"/>
          </w:tcPr>
          <w:p w14:paraId="67A1F4F4" w14:textId="1B5A1D27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1 078,4</w:t>
            </w:r>
          </w:p>
        </w:tc>
        <w:tc>
          <w:tcPr>
            <w:tcW w:w="500" w:type="pct"/>
            <w:vAlign w:val="bottom"/>
          </w:tcPr>
          <w:p w14:paraId="4B3F2E2D" w14:textId="082204DF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98,5</w:t>
            </w:r>
          </w:p>
        </w:tc>
      </w:tr>
      <w:tr w:rsidR="009D1ACA" w:rsidRPr="00687DC1" w14:paraId="34B1CF37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D1ACA" w:rsidRPr="00124A79" w:rsidRDefault="009D1ACA" w:rsidP="009D1ACA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68F04010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19,55</w:t>
            </w:r>
          </w:p>
        </w:tc>
        <w:tc>
          <w:tcPr>
            <w:tcW w:w="502" w:type="pct"/>
            <w:vAlign w:val="bottom"/>
          </w:tcPr>
          <w:p w14:paraId="1273C628" w14:textId="08F94F14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95,9</w:t>
            </w:r>
          </w:p>
        </w:tc>
        <w:tc>
          <w:tcPr>
            <w:tcW w:w="501" w:type="pct"/>
            <w:vAlign w:val="bottom"/>
          </w:tcPr>
          <w:p w14:paraId="7E859C1B" w14:textId="509366F5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12,75</w:t>
            </w:r>
          </w:p>
        </w:tc>
        <w:tc>
          <w:tcPr>
            <w:tcW w:w="502" w:type="pct"/>
            <w:vAlign w:val="bottom"/>
          </w:tcPr>
          <w:p w14:paraId="66C2C51F" w14:textId="41E1B1F3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97,1</w:t>
            </w:r>
          </w:p>
        </w:tc>
        <w:tc>
          <w:tcPr>
            <w:tcW w:w="501" w:type="pct"/>
            <w:vAlign w:val="bottom"/>
          </w:tcPr>
          <w:p w14:paraId="59112647" w14:textId="0E34CE7D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5 266,9</w:t>
            </w:r>
          </w:p>
        </w:tc>
        <w:tc>
          <w:tcPr>
            <w:tcW w:w="502" w:type="pct"/>
            <w:vAlign w:val="bottom"/>
          </w:tcPr>
          <w:p w14:paraId="01F660D7" w14:textId="1AE25A9E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102,5</w:t>
            </w:r>
          </w:p>
        </w:tc>
        <w:tc>
          <w:tcPr>
            <w:tcW w:w="501" w:type="pct"/>
            <w:vAlign w:val="bottom"/>
          </w:tcPr>
          <w:p w14:paraId="63EDD2EC" w14:textId="6B1D3084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2 597,8</w:t>
            </w:r>
          </w:p>
        </w:tc>
        <w:tc>
          <w:tcPr>
            <w:tcW w:w="500" w:type="pct"/>
            <w:vAlign w:val="bottom"/>
          </w:tcPr>
          <w:p w14:paraId="35C19821" w14:textId="1C21956A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104,5</w:t>
            </w:r>
          </w:p>
        </w:tc>
      </w:tr>
      <w:tr w:rsidR="009D1ACA" w:rsidRPr="00687DC1" w14:paraId="41469363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0A5E24BF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0,28</w:t>
            </w:r>
          </w:p>
        </w:tc>
        <w:tc>
          <w:tcPr>
            <w:tcW w:w="502" w:type="pct"/>
            <w:vAlign w:val="bottom"/>
          </w:tcPr>
          <w:p w14:paraId="0432DA6B" w14:textId="27308ACB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106,2</w:t>
            </w:r>
          </w:p>
        </w:tc>
        <w:tc>
          <w:tcPr>
            <w:tcW w:w="501" w:type="pct"/>
            <w:vAlign w:val="bottom"/>
          </w:tcPr>
          <w:p w14:paraId="2DF1E07D" w14:textId="0A74952B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0,35</w:t>
            </w:r>
          </w:p>
        </w:tc>
        <w:tc>
          <w:tcPr>
            <w:tcW w:w="502" w:type="pct"/>
            <w:vAlign w:val="bottom"/>
          </w:tcPr>
          <w:p w14:paraId="333DD5EE" w14:textId="358B3696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105,4</w:t>
            </w:r>
          </w:p>
        </w:tc>
        <w:tc>
          <w:tcPr>
            <w:tcW w:w="501" w:type="pct"/>
            <w:vAlign w:val="bottom"/>
          </w:tcPr>
          <w:p w14:paraId="6644DFFA" w14:textId="78BB24A1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188,9</w:t>
            </w:r>
          </w:p>
        </w:tc>
        <w:tc>
          <w:tcPr>
            <w:tcW w:w="502" w:type="pct"/>
            <w:vAlign w:val="bottom"/>
          </w:tcPr>
          <w:p w14:paraId="7B5175D3" w14:textId="3E792E66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113,8</w:t>
            </w:r>
          </w:p>
        </w:tc>
        <w:tc>
          <w:tcPr>
            <w:tcW w:w="501" w:type="pct"/>
            <w:vAlign w:val="bottom"/>
          </w:tcPr>
          <w:p w14:paraId="7F221117" w14:textId="59DB1F81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150,4</w:t>
            </w:r>
          </w:p>
        </w:tc>
        <w:tc>
          <w:tcPr>
            <w:tcW w:w="500" w:type="pct"/>
            <w:vAlign w:val="bottom"/>
          </w:tcPr>
          <w:p w14:paraId="58F69FDB" w14:textId="4F6DB20A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106,8</w:t>
            </w:r>
          </w:p>
        </w:tc>
      </w:tr>
      <w:tr w:rsidR="009D1ACA" w:rsidRPr="00687DC1" w14:paraId="337655E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0C49638B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6,29</w:t>
            </w:r>
          </w:p>
        </w:tc>
        <w:tc>
          <w:tcPr>
            <w:tcW w:w="502" w:type="pct"/>
            <w:vAlign w:val="bottom"/>
          </w:tcPr>
          <w:p w14:paraId="6E000978" w14:textId="767C7E25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107,4</w:t>
            </w:r>
          </w:p>
        </w:tc>
        <w:tc>
          <w:tcPr>
            <w:tcW w:w="501" w:type="pct"/>
            <w:vAlign w:val="bottom"/>
          </w:tcPr>
          <w:p w14:paraId="12783D34" w14:textId="38B9F986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11,55</w:t>
            </w:r>
          </w:p>
        </w:tc>
        <w:tc>
          <w:tcPr>
            <w:tcW w:w="502" w:type="pct"/>
            <w:vAlign w:val="bottom"/>
          </w:tcPr>
          <w:p w14:paraId="29D0AA11" w14:textId="51A66C22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116,6</w:t>
            </w:r>
          </w:p>
        </w:tc>
        <w:tc>
          <w:tcPr>
            <w:tcW w:w="501" w:type="pct"/>
            <w:vAlign w:val="bottom"/>
          </w:tcPr>
          <w:p w14:paraId="45190E2A" w14:textId="49F5C6E9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3 822,8</w:t>
            </w:r>
          </w:p>
        </w:tc>
        <w:tc>
          <w:tcPr>
            <w:tcW w:w="502" w:type="pct"/>
            <w:vAlign w:val="bottom"/>
          </w:tcPr>
          <w:p w14:paraId="6D413FBD" w14:textId="74DCB9E6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123,3</w:t>
            </w:r>
          </w:p>
        </w:tc>
        <w:tc>
          <w:tcPr>
            <w:tcW w:w="501" w:type="pct"/>
            <w:vAlign w:val="bottom"/>
          </w:tcPr>
          <w:p w14:paraId="7B3737BB" w14:textId="465472E7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5 010,4</w:t>
            </w:r>
          </w:p>
        </w:tc>
        <w:tc>
          <w:tcPr>
            <w:tcW w:w="500" w:type="pct"/>
            <w:vAlign w:val="bottom"/>
          </w:tcPr>
          <w:p w14:paraId="10620DBA" w14:textId="3E53FBC1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114,1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219339C1" w:rsidR="00E56EF8" w:rsidRPr="006D66CB" w:rsidRDefault="00E56EF8" w:rsidP="00E56EF8">
      <w:pPr>
        <w:spacing w:line="288" w:lineRule="auto"/>
        <w:rPr>
          <w:szCs w:val="19"/>
        </w:rPr>
      </w:pPr>
      <w:r w:rsidRPr="006D66CB">
        <w:rPr>
          <w:szCs w:val="19"/>
        </w:rPr>
        <w:t>Zróżnicowanie wydatków, w tym także pod względem struktury asortymentowej, występowało wśród przekraczających poszczególne odcinki granic cudzoziemców oraz Polaków. Związane jest to,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24FC1EF8">
                <wp:simplePos x="0" y="0"/>
                <wp:positionH relativeFrom="column">
                  <wp:posOffset>5261610</wp:posOffset>
                </wp:positionH>
                <wp:positionV relativeFrom="paragraph">
                  <wp:posOffset>338704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3 kwartale 2024 r. mały ruch graniczny stanowił 3,1% przekroczeń przez cudzoziemców lądowej granicy Polski z Ukrainą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24631447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922C46">
                              <w:t>3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922C46">
                              <w:rPr>
                                <w:spacing w:val="-2"/>
                              </w:rPr>
                              <w:t>3,1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>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3 kwartale 2024 r. mały ruch graniczny stanowił 3,1% przekroczeń przez cudzoziemców lądowej granicy Polski z Ukrainą." style="position:absolute;margin-left:414.3pt;margin-top:26.65pt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" filled="f" stroked="f">
                <v:textbox inset=",0">
                  <w:txbxContent>
                    <w:p w14:paraId="222CFFDE" w14:textId="24631447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922C46">
                        <w:t>3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922C46">
                        <w:rPr>
                          <w:spacing w:val="-2"/>
                        </w:rPr>
                        <w:t>3,1</w:t>
                      </w:r>
                      <w:r w:rsidRPr="00C35815">
                        <w:rPr>
                          <w:spacing w:val="-2"/>
                        </w:rPr>
                        <w:t>% przekroczeń 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>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294A8B12" w:rsidR="009C7E6A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922C46">
        <w:rPr>
          <w:spacing w:val="-5"/>
          <w:szCs w:val="19"/>
        </w:rPr>
        <w:t>3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922C46">
        <w:rPr>
          <w:spacing w:val="-5"/>
          <w:szCs w:val="19"/>
        </w:rPr>
        <w:t>162,8</w:t>
      </w:r>
      <w:r w:rsidR="00BA13EC" w:rsidRPr="00E65B99">
        <w:rPr>
          <w:spacing w:val="-5"/>
          <w:szCs w:val="19"/>
        </w:rPr>
        <w:t xml:space="preserve"> tys. przekroczeń przez cudzoziemców granicy Polski z Ukrainą. </w:t>
      </w:r>
      <w:r w:rsidR="00DD6F12" w:rsidRPr="00E65B99">
        <w:rPr>
          <w:szCs w:val="19"/>
        </w:rPr>
        <w:t>W porównaniu z analogicznym okresem poprzedniego roku</w:t>
      </w:r>
      <w:r w:rsidR="00DD6F12" w:rsidRPr="00E65B99">
        <w:rPr>
          <w:spacing w:val="-5"/>
          <w:szCs w:val="19"/>
        </w:rPr>
        <w:t xml:space="preserve"> </w:t>
      </w:r>
      <w:r w:rsidR="000147BA">
        <w:rPr>
          <w:spacing w:val="-5"/>
          <w:szCs w:val="19"/>
        </w:rPr>
        <w:t>odnotowano</w:t>
      </w:r>
      <w:r w:rsidR="00BA13EC" w:rsidRPr="00E65B99">
        <w:rPr>
          <w:spacing w:val="-5"/>
          <w:szCs w:val="19"/>
        </w:rPr>
        <w:t xml:space="preserve"> </w:t>
      </w:r>
      <w:r w:rsidR="003F4D47">
        <w:rPr>
          <w:spacing w:val="-5"/>
          <w:szCs w:val="19"/>
        </w:rPr>
        <w:t>spadek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922C46">
        <w:rPr>
          <w:spacing w:val="-5"/>
          <w:szCs w:val="19"/>
        </w:rPr>
        <w:t>28,8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F10597">
        <w:rPr>
          <w:szCs w:val="19"/>
        </w:rPr>
        <w:t>spadek</w:t>
      </w:r>
      <w:r w:rsidR="00DD6F12" w:rsidRPr="00E65B99">
        <w:rPr>
          <w:szCs w:val="19"/>
        </w:rPr>
        <w:t xml:space="preserve"> </w:t>
      </w:r>
      <w:r w:rsidR="00EB43F8">
        <w:rPr>
          <w:szCs w:val="19"/>
        </w:rPr>
        <w:br/>
      </w:r>
      <w:r w:rsidR="00DD6F12" w:rsidRPr="00E65B99">
        <w:rPr>
          <w:szCs w:val="19"/>
        </w:rPr>
        <w:t xml:space="preserve">o </w:t>
      </w:r>
      <w:r w:rsidR="00922C46">
        <w:rPr>
          <w:szCs w:val="19"/>
        </w:rPr>
        <w:t>13,0</w:t>
      </w:r>
      <w:r w:rsidR="00DD6F12" w:rsidRPr="004764B2">
        <w:rPr>
          <w:szCs w:val="19"/>
        </w:rPr>
        <w:t>%</w:t>
      </w:r>
      <w:r w:rsidR="00BA13EC" w:rsidRPr="004764B2">
        <w:rPr>
          <w:spacing w:val="-5"/>
          <w:szCs w:val="19"/>
        </w:rPr>
        <w:t xml:space="preserve">. </w:t>
      </w:r>
      <w:r w:rsidR="00BA13EC" w:rsidRPr="00901648">
        <w:rPr>
          <w:spacing w:val="-5"/>
          <w:szCs w:val="19"/>
        </w:rPr>
        <w:t xml:space="preserve">Wartość wydatków poniesionych przez cudzoziemców </w:t>
      </w:r>
      <w:r w:rsidR="009848BA" w:rsidRPr="00901648">
        <w:rPr>
          <w:spacing w:val="-5"/>
          <w:szCs w:val="19"/>
        </w:rPr>
        <w:t xml:space="preserve">przekraczających granicę w ramach MRG </w:t>
      </w:r>
      <w:r w:rsidR="00BA13EC" w:rsidRPr="00901648">
        <w:rPr>
          <w:spacing w:val="-5"/>
          <w:szCs w:val="19"/>
        </w:rPr>
        <w:t>w</w:t>
      </w:r>
      <w:r w:rsidR="00DD6F12" w:rsidRPr="00901648">
        <w:rPr>
          <w:spacing w:val="-5"/>
          <w:szCs w:val="19"/>
        </w:rPr>
        <w:t> </w:t>
      </w:r>
      <w:r w:rsidR="00DC48AD" w:rsidRPr="00901648">
        <w:rPr>
          <w:spacing w:val="-5"/>
          <w:szCs w:val="19"/>
        </w:rPr>
        <w:t>3</w:t>
      </w:r>
      <w:r w:rsidR="00DD6F12" w:rsidRPr="00901648">
        <w:rPr>
          <w:spacing w:val="-5"/>
          <w:szCs w:val="19"/>
        </w:rPr>
        <w:t> </w:t>
      </w:r>
      <w:r w:rsidR="00BA13EC" w:rsidRPr="00901648">
        <w:rPr>
          <w:spacing w:val="-5"/>
          <w:szCs w:val="19"/>
        </w:rPr>
        <w:t>kwartale 202</w:t>
      </w:r>
      <w:r w:rsidR="00BD3BAB" w:rsidRPr="00901648">
        <w:rPr>
          <w:spacing w:val="-5"/>
          <w:szCs w:val="19"/>
        </w:rPr>
        <w:t>4</w:t>
      </w:r>
      <w:r w:rsidR="000C4CC2" w:rsidRPr="00901648">
        <w:rPr>
          <w:spacing w:val="-5"/>
          <w:szCs w:val="19"/>
        </w:rPr>
        <w:t xml:space="preserve"> </w:t>
      </w:r>
      <w:r w:rsidR="00BA13EC" w:rsidRPr="00901648">
        <w:rPr>
          <w:spacing w:val="-5"/>
          <w:szCs w:val="19"/>
        </w:rPr>
        <w:t xml:space="preserve">r. wyniosła </w:t>
      </w:r>
      <w:r w:rsidR="00901648" w:rsidRPr="00901648">
        <w:rPr>
          <w:spacing w:val="-5"/>
          <w:szCs w:val="19"/>
        </w:rPr>
        <w:t>70,7</w:t>
      </w:r>
      <w:r w:rsidR="00BA13EC" w:rsidRPr="00901648">
        <w:rPr>
          <w:spacing w:val="-5"/>
          <w:szCs w:val="19"/>
        </w:rPr>
        <w:t xml:space="preserve"> mln zł.</w:t>
      </w:r>
    </w:p>
    <w:p w14:paraId="5D1FF927" w14:textId="023C5633" w:rsidR="00517FFA" w:rsidRPr="00A21E62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E55EE0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E55EE0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E55EE0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  <w:r w:rsidR="0014256A" w:rsidRPr="00E55EE0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77777777" w:rsidR="00517FFA" w:rsidRPr="00687DC1" w:rsidRDefault="00E55EE0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E55EE0">
        <w:rPr>
          <w:noProof/>
          <w:lang w:eastAsia="pl-PL"/>
        </w:rPr>
        <w:drawing>
          <wp:inline distT="0" distB="0" distL="0" distR="0" wp14:anchorId="4E05B16B" wp14:editId="4CDA49D3">
            <wp:extent cx="5122545" cy="2337710"/>
            <wp:effectExtent l="0" t="0" r="1905" b="5715"/>
            <wp:docPr id="23" name="Obraz 23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6D6A2986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222B65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222B65">
        <w:rPr>
          <w:rFonts w:ascii="Fira Sans" w:hAnsi="Fira Sans"/>
          <w:spacing w:val="-2"/>
          <w:sz w:val="19"/>
          <w:szCs w:val="19"/>
        </w:rPr>
        <w:t>wynika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222B65">
        <w:rPr>
          <w:rFonts w:ascii="Fira Sans" w:hAnsi="Fira Sans"/>
          <w:spacing w:val="-2"/>
          <w:sz w:val="19"/>
          <w:szCs w:val="19"/>
        </w:rPr>
        <w:t>3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 w:rsidRPr="00222B65">
        <w:rPr>
          <w:rFonts w:ascii="Fira Sans" w:hAnsi="Fira Sans"/>
          <w:spacing w:val="-2"/>
          <w:sz w:val="19"/>
          <w:szCs w:val="19"/>
        </w:rPr>
        <w:t>4</w:t>
      </w:r>
      <w:r w:rsidR="004D31C9" w:rsidRPr="00222B65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222B65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>
        <w:rPr>
          <w:rFonts w:ascii="Fira Sans" w:hAnsi="Fira Sans"/>
          <w:spacing w:val="-2"/>
          <w:sz w:val="19"/>
          <w:szCs w:val="19"/>
        </w:rPr>
        <w:t>,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jak i Polacy</w:t>
      </w:r>
      <w:bookmarkStart w:id="1" w:name="_GoBack"/>
      <w:bookmarkEnd w:id="1"/>
      <w:r w:rsidR="004C62BE" w:rsidRPr="00222B65">
        <w:rPr>
          <w:rFonts w:ascii="Fira Sans" w:hAnsi="Fira Sans"/>
          <w:spacing w:val="-2"/>
          <w:sz w:val="19"/>
          <w:szCs w:val="19"/>
        </w:rPr>
        <w:t xml:space="preserve"> byli najczęściej mieszkańcami miejscowości zlokalizowanych w odległości do 50 </w:t>
      </w:r>
      <w:r w:rsidR="001E066E" w:rsidRPr="00222B65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od 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granicy </w:t>
      </w:r>
      <w:r w:rsidR="00D15FB9" w:rsidRPr="008A7ED1">
        <w:rPr>
          <w:rFonts w:ascii="Fira Sans" w:hAnsi="Fira Sans"/>
          <w:spacing w:val="-2"/>
          <w:sz w:val="19"/>
          <w:szCs w:val="19"/>
        </w:rPr>
        <w:t>–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8A7ED1">
        <w:rPr>
          <w:rFonts w:ascii="Fira Sans" w:hAnsi="Fira Sans"/>
          <w:spacing w:val="-2"/>
          <w:sz w:val="19"/>
          <w:szCs w:val="19"/>
        </w:rPr>
        <w:t>71,7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222B65" w:rsidRPr="008A7ED1">
        <w:rPr>
          <w:rFonts w:ascii="Fira Sans" w:hAnsi="Fira Sans"/>
          <w:spacing w:val="-2"/>
          <w:sz w:val="19"/>
          <w:szCs w:val="19"/>
        </w:rPr>
        <w:t>69,9</w:t>
      </w:r>
      <w:r w:rsidR="004C62BE" w:rsidRPr="008A7ED1">
        <w:rPr>
          <w:rFonts w:ascii="Fira Sans" w:hAnsi="Fira Sans"/>
          <w:spacing w:val="-2"/>
          <w:sz w:val="19"/>
          <w:szCs w:val="19"/>
        </w:rPr>
        <w:t>%</w:t>
      </w:r>
      <w:r w:rsidR="003474C3" w:rsidRPr="008A7ED1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8A7ED1">
        <w:rPr>
          <w:rFonts w:ascii="Fira Sans" w:hAnsi="Fira Sans"/>
          <w:spacing w:val="-2"/>
          <w:sz w:val="19"/>
          <w:szCs w:val="19"/>
        </w:rPr>
        <w:t>w tym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8A7ED1">
        <w:rPr>
          <w:rFonts w:ascii="Fira Sans" w:hAnsi="Fira Sans"/>
          <w:spacing w:val="-2"/>
          <w:sz w:val="19"/>
          <w:szCs w:val="19"/>
        </w:rPr>
        <w:t>53,4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% cudzoziemców </w:t>
      </w:r>
      <w:r w:rsidR="004C62BE" w:rsidRPr="00222B65">
        <w:rPr>
          <w:rFonts w:ascii="Fira Sans" w:hAnsi="Fira Sans"/>
          <w:spacing w:val="-2"/>
          <w:sz w:val="19"/>
          <w:szCs w:val="19"/>
        </w:rPr>
        <w:t>i</w:t>
      </w:r>
      <w:r w:rsidR="003474C3" w:rsidRPr="00222B65">
        <w:rPr>
          <w:rFonts w:ascii="Fira Sans" w:hAnsi="Fira Sans"/>
          <w:spacing w:val="-2"/>
          <w:sz w:val="19"/>
          <w:szCs w:val="19"/>
        </w:rPr>
        <w:t> </w:t>
      </w:r>
      <w:r w:rsidR="00222B65" w:rsidRPr="00222B65">
        <w:rPr>
          <w:rFonts w:ascii="Fira Sans" w:hAnsi="Fira Sans"/>
          <w:spacing w:val="-2"/>
          <w:sz w:val="19"/>
          <w:szCs w:val="19"/>
        </w:rPr>
        <w:t>57,6</w:t>
      </w:r>
      <w:r w:rsidR="004C62BE" w:rsidRPr="00222B65">
        <w:rPr>
          <w:rFonts w:ascii="Fira Sans" w:hAnsi="Fira Sans"/>
          <w:spacing w:val="-2"/>
          <w:sz w:val="19"/>
          <w:szCs w:val="19"/>
        </w:rPr>
        <w:t>% Polaków mieszkało w pasie do 30 km od granicy</w:t>
      </w:r>
      <w:r w:rsidR="004C62BE" w:rsidRPr="00C7197A">
        <w:rPr>
          <w:rFonts w:ascii="Fira Sans" w:hAnsi="Fira Sans"/>
          <w:spacing w:val="-2"/>
          <w:sz w:val="19"/>
          <w:szCs w:val="19"/>
        </w:rPr>
        <w:t>.</w:t>
      </w:r>
    </w:p>
    <w:p w14:paraId="69FBCF81" w14:textId="00C9BBC8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1065B8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DC2DC8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DC2DC8">
        <w:rPr>
          <w:rFonts w:eastAsia="Times New Roman" w:cs="Arial"/>
          <w:b/>
          <w:szCs w:val="19"/>
          <w:lang w:eastAsia="pl-PL"/>
        </w:rPr>
        <w:t>y</w:t>
      </w:r>
      <w:r w:rsidR="00997BF9" w:rsidRPr="00DC2DC8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DC2DC8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ziemców w </w:t>
      </w:r>
      <w:r w:rsidR="00DD4976" w:rsidRPr="00DC2DC8">
        <w:rPr>
          <w:rFonts w:eastAsia="Times New Roman" w:cs="Arial"/>
          <w:b/>
          <w:szCs w:val="19"/>
          <w:lang w:eastAsia="pl-PL"/>
        </w:rPr>
        <w:t>3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C2DC8">
        <w:rPr>
          <w:rFonts w:eastAsia="Times New Roman" w:cs="Arial"/>
          <w:b/>
          <w:szCs w:val="19"/>
          <w:lang w:eastAsia="pl-PL"/>
        </w:rPr>
        <w:t>2</w:t>
      </w:r>
      <w:r w:rsidR="00731496" w:rsidRPr="00DC2DC8">
        <w:rPr>
          <w:rFonts w:eastAsia="Times New Roman" w:cs="Arial"/>
          <w:b/>
          <w:szCs w:val="19"/>
          <w:lang w:eastAsia="pl-PL"/>
        </w:rPr>
        <w:t>4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DC2DC8">
        <w:rPr>
          <w:rFonts w:eastAsia="Times New Roman" w:cs="Arial"/>
          <w:b/>
          <w:szCs w:val="19"/>
          <w:lang w:eastAsia="pl-PL"/>
        </w:rPr>
        <w:t>.</w:t>
      </w:r>
    </w:p>
    <w:p w14:paraId="1B4B24B0" w14:textId="0999B393" w:rsidR="001A4A84" w:rsidRPr="00510671" w:rsidRDefault="00DC2DC8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DC2DC8">
        <w:rPr>
          <w:noProof/>
          <w:lang w:eastAsia="pl-PL"/>
        </w:rPr>
        <w:drawing>
          <wp:inline distT="0" distB="0" distL="0" distR="0" wp14:anchorId="697D7A27" wp14:editId="1E51D767">
            <wp:extent cx="4995796" cy="3132000"/>
            <wp:effectExtent l="0" t="0" r="0" b="0"/>
            <wp:docPr id="6" name="Obraz 6" descr="Mapa 1. Struktura odległości od granicy miejsca zamieszkania i miejsca dokonywania zakupów przez cudzoziemców w 3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796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1B03B7EE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</w:t>
      </w:r>
      <w:r w:rsidRPr="004764B2">
        <w:rPr>
          <w:rFonts w:eastAsia="Times New Roman" w:cs="Times New Roman"/>
          <w:szCs w:val="19"/>
          <w:lang w:eastAsia="pl-PL"/>
        </w:rPr>
        <w:t xml:space="preserve">Polski </w:t>
      </w:r>
      <w:r w:rsidR="008A7ED1" w:rsidRPr="008A7ED1">
        <w:rPr>
          <w:rFonts w:eastAsia="Times New Roman" w:cs="Times New Roman"/>
          <w:szCs w:val="19"/>
          <w:lang w:eastAsia="pl-PL"/>
        </w:rPr>
        <w:t>60,4</w:t>
      </w:r>
      <w:r w:rsidRPr="008A7ED1">
        <w:rPr>
          <w:rFonts w:eastAsia="Times New Roman" w:cs="Times New Roman"/>
          <w:szCs w:val="19"/>
          <w:lang w:eastAsia="pl-PL"/>
        </w:rPr>
        <w:t xml:space="preserve">% </w:t>
      </w:r>
      <w:r w:rsidRPr="00C7197A">
        <w:rPr>
          <w:rFonts w:eastAsia="Times New Roman" w:cs="Times New Roman"/>
          <w:szCs w:val="19"/>
          <w:lang w:eastAsia="pl-PL"/>
        </w:rPr>
        <w:t xml:space="preserve">cudzoziemców oraz </w:t>
      </w:r>
      <w:r w:rsidR="00222B65">
        <w:rPr>
          <w:rFonts w:eastAsia="Times New Roman" w:cs="Times New Roman"/>
          <w:szCs w:val="19"/>
          <w:lang w:eastAsia="pl-PL"/>
        </w:rPr>
        <w:t>66,7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</w:t>
      </w:r>
      <w:r w:rsidR="008A7ED1" w:rsidRPr="008A7ED1">
        <w:rPr>
          <w:rFonts w:eastAsia="Times New Roman" w:cs="Times New Roman"/>
          <w:szCs w:val="19"/>
          <w:lang w:eastAsia="pl-PL"/>
        </w:rPr>
        <w:t>73,8</w:t>
      </w:r>
      <w:r w:rsidRPr="008A7ED1">
        <w:rPr>
          <w:rFonts w:eastAsia="Times New Roman" w:cs="Times New Roman"/>
          <w:szCs w:val="19"/>
          <w:lang w:eastAsia="pl-PL"/>
        </w:rPr>
        <w:t xml:space="preserve">% </w:t>
      </w:r>
      <w:r w:rsidRPr="00C7197A">
        <w:rPr>
          <w:rFonts w:eastAsia="Times New Roman" w:cs="Times New Roman"/>
          <w:szCs w:val="19"/>
          <w:lang w:eastAsia="pl-PL"/>
        </w:rPr>
        <w:t xml:space="preserve">i </w:t>
      </w:r>
      <w:r w:rsidR="00105079">
        <w:rPr>
          <w:rFonts w:eastAsia="Times New Roman" w:cs="Times New Roman"/>
          <w:szCs w:val="19"/>
          <w:lang w:eastAsia="pl-PL"/>
        </w:rPr>
        <w:t>69,9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6BCF8A7D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85661F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85661F">
        <w:rPr>
          <w:rFonts w:eastAsia="Times New Roman" w:cs="Arial"/>
          <w:b/>
          <w:szCs w:val="19"/>
          <w:lang w:eastAsia="pl-PL"/>
        </w:rPr>
        <w:t>Mapa </w:t>
      </w:r>
      <w:r w:rsidR="005B08B2" w:rsidRPr="0085661F">
        <w:rPr>
          <w:rFonts w:eastAsia="Times New Roman" w:cs="Arial"/>
          <w:b/>
          <w:szCs w:val="19"/>
          <w:lang w:eastAsia="pl-PL"/>
        </w:rPr>
        <w:t>2</w:t>
      </w:r>
      <w:r w:rsidR="008A697D" w:rsidRPr="0085661F">
        <w:rPr>
          <w:rFonts w:eastAsia="Times New Roman" w:cs="Arial"/>
          <w:b/>
          <w:szCs w:val="19"/>
          <w:lang w:eastAsia="pl-PL"/>
        </w:rPr>
        <w:t>. </w:t>
      </w:r>
      <w:r w:rsidR="00AD491B" w:rsidRPr="0085661F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85661F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85661F">
        <w:rPr>
          <w:rFonts w:eastAsia="Times New Roman" w:cs="Arial"/>
          <w:b/>
          <w:szCs w:val="19"/>
          <w:lang w:eastAsia="pl-PL"/>
        </w:rPr>
        <w:t>y</w:t>
      </w:r>
      <w:r w:rsidR="002F77F7" w:rsidRPr="0085661F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85661F">
        <w:rPr>
          <w:rFonts w:eastAsia="Times New Roman" w:cs="Arial"/>
          <w:b/>
          <w:szCs w:val="19"/>
          <w:lang w:eastAsia="pl-PL"/>
        </w:rPr>
        <w:br/>
      </w:r>
      <w:r w:rsidR="002F77F7" w:rsidRPr="0085661F">
        <w:rPr>
          <w:rFonts w:eastAsia="Times New Roman" w:cs="Arial"/>
          <w:b/>
          <w:szCs w:val="19"/>
          <w:lang w:eastAsia="pl-PL"/>
        </w:rPr>
        <w:t xml:space="preserve">Polaków w </w:t>
      </w:r>
      <w:r w:rsidR="00DD4976" w:rsidRPr="0085661F">
        <w:rPr>
          <w:rFonts w:eastAsia="Times New Roman" w:cs="Arial"/>
          <w:b/>
          <w:szCs w:val="19"/>
          <w:lang w:eastAsia="pl-PL"/>
        </w:rPr>
        <w:t>3</w:t>
      </w:r>
      <w:r w:rsidR="00AD491B" w:rsidRPr="0085661F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85661F">
        <w:rPr>
          <w:rFonts w:eastAsia="Times New Roman" w:cs="Arial"/>
          <w:b/>
          <w:szCs w:val="19"/>
          <w:lang w:eastAsia="pl-PL"/>
        </w:rPr>
        <w:t>2</w:t>
      </w:r>
      <w:r w:rsidR="00731496" w:rsidRPr="0085661F">
        <w:rPr>
          <w:rFonts w:eastAsia="Times New Roman" w:cs="Arial"/>
          <w:b/>
          <w:szCs w:val="19"/>
          <w:lang w:eastAsia="pl-PL"/>
        </w:rPr>
        <w:t>4</w:t>
      </w:r>
      <w:r w:rsidR="00AD491B" w:rsidRPr="0085661F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85661F">
        <w:rPr>
          <w:rFonts w:eastAsia="Times New Roman" w:cs="Arial"/>
          <w:b/>
          <w:szCs w:val="19"/>
          <w:lang w:eastAsia="pl-PL"/>
        </w:rPr>
        <w:t>.</w:t>
      </w:r>
    </w:p>
    <w:p w14:paraId="09EBDE58" w14:textId="1BDBB720" w:rsidR="001A4A84" w:rsidRPr="00A27528" w:rsidRDefault="0085661F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85661F">
        <w:rPr>
          <w:noProof/>
          <w:lang w:eastAsia="pl-PL"/>
        </w:rPr>
        <w:drawing>
          <wp:inline distT="0" distB="0" distL="0" distR="0" wp14:anchorId="5253DD97" wp14:editId="268BA77C">
            <wp:extent cx="4980981" cy="3132000"/>
            <wp:effectExtent l="0" t="0" r="0" b="0"/>
            <wp:docPr id="25" name="Obraz 25" descr="Mapa 2. Struktura odległości od granicy miejsca zamieszkania i miejsca dokonywania zakupów przez Polaków w 3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81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2521F4F5" w:rsidR="00E01541" w:rsidRPr="003C57FD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  <w:sectPr w:rsidR="00E01541" w:rsidRPr="003C57FD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A7ED1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8A7ED1">
        <w:rPr>
          <w:rFonts w:eastAsia="Times New Roman" w:cs="Times New Roman"/>
          <w:szCs w:val="19"/>
          <w:lang w:eastAsia="pl-PL"/>
        </w:rPr>
        <w:t>a</w:t>
      </w:r>
      <w:r w:rsidRPr="008A7ED1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8A7ED1">
        <w:rPr>
          <w:rFonts w:eastAsia="Times New Roman" w:cs="Times New Roman"/>
          <w:szCs w:val="19"/>
          <w:lang w:eastAsia="pl-PL"/>
        </w:rPr>
        <w:t xml:space="preserve"> km</w:t>
      </w:r>
      <w:r w:rsidRPr="008A7ED1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8A7ED1">
        <w:rPr>
          <w:rFonts w:eastAsia="Times New Roman" w:cs="Times New Roman"/>
          <w:szCs w:val="19"/>
          <w:lang w:eastAsia="pl-PL"/>
        </w:rPr>
        <w:t>.</w:t>
      </w:r>
      <w:r w:rsidRPr="008A7ED1">
        <w:rPr>
          <w:rFonts w:eastAsia="Times New Roman" w:cs="Times New Roman"/>
          <w:szCs w:val="19"/>
          <w:lang w:eastAsia="pl-PL"/>
        </w:rPr>
        <w:t xml:space="preserve"> </w:t>
      </w:r>
      <w:r w:rsidR="00EE40C0" w:rsidRPr="008A7ED1">
        <w:rPr>
          <w:rFonts w:eastAsia="Times New Roman" w:cs="Times New Roman"/>
          <w:szCs w:val="19"/>
          <w:lang w:eastAsia="pl-PL"/>
        </w:rPr>
        <w:t>W</w:t>
      </w:r>
      <w:r w:rsidRPr="008A7ED1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8A7ED1">
        <w:rPr>
          <w:rFonts w:eastAsia="Times New Roman" w:cs="Times New Roman"/>
          <w:szCs w:val="19"/>
          <w:lang w:eastAsia="pl-PL"/>
        </w:rPr>
        <w:t xml:space="preserve">było to </w:t>
      </w:r>
      <w:r w:rsidR="008A7ED1" w:rsidRPr="008A7ED1">
        <w:rPr>
          <w:rFonts w:eastAsia="Times New Roman" w:cs="Times New Roman"/>
          <w:szCs w:val="19"/>
          <w:lang w:eastAsia="pl-PL"/>
        </w:rPr>
        <w:t>64,0</w:t>
      </w:r>
      <w:r w:rsidRPr="008A7ED1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8A7ED1" w:rsidRPr="008A7ED1">
        <w:rPr>
          <w:rFonts w:eastAsia="Times New Roman" w:cs="Times New Roman"/>
          <w:szCs w:val="19"/>
          <w:lang w:eastAsia="pl-PL"/>
        </w:rPr>
        <w:t>85,4</w:t>
      </w:r>
      <w:r w:rsidRPr="008A7ED1">
        <w:rPr>
          <w:rFonts w:eastAsia="Times New Roman" w:cs="Times New Roman"/>
          <w:szCs w:val="19"/>
          <w:lang w:eastAsia="pl-PL"/>
        </w:rPr>
        <w:t xml:space="preserve">%. </w:t>
      </w:r>
      <w:r w:rsidRPr="009E3D65">
        <w:rPr>
          <w:rFonts w:eastAsia="Times New Roman" w:cs="Times New Roman"/>
          <w:szCs w:val="19"/>
          <w:lang w:eastAsia="pl-PL"/>
        </w:rPr>
        <w:t>Z kolei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222B65">
        <w:rPr>
          <w:rFonts w:eastAsia="Times New Roman" w:cs="Times New Roman"/>
          <w:szCs w:val="19"/>
          <w:lang w:eastAsia="pl-PL"/>
        </w:rPr>
        <w:t>86,6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="00222B65">
        <w:rPr>
          <w:rFonts w:eastAsia="Times New Roman" w:cs="Times New Roman"/>
          <w:szCs w:val="19"/>
          <w:lang w:eastAsia="pl-PL"/>
        </w:rPr>
        <w:t>65,7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90CE5C6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370AA7">
        <w:rPr>
          <w:rFonts w:eastAsia="Times New Roman" w:cs="Times New Roman"/>
          <w:spacing w:val="-4"/>
          <w:szCs w:val="19"/>
          <w:lang w:eastAsia="pl-PL"/>
        </w:rPr>
        <w:t>3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2DF0E77" w:rsidR="00E73C06" w:rsidRPr="00545482" w:rsidRDefault="00545482" w:rsidP="00545482">
            <w:pPr>
              <w:pStyle w:val="Nagwek3"/>
              <w:spacing w:before="0" w:after="120" w:line="240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781B4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781B4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645B17DE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3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70AA7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345F63D4" w:rsidR="00E73C06" w:rsidRPr="008709A4" w:rsidRDefault="000C69DF" w:rsidP="00F81736">
            <w:pPr>
              <w:rPr>
                <w:rFonts w:cs="Times New Roman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211DC5B1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33F35E56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B0477FF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62D07ABF" w:rsidR="00E73C06" w:rsidRPr="00E40BDF" w:rsidRDefault="000C69DF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3B51879B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19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37E22005" w:rsidR="00B14288" w:rsidRPr="00395BCE" w:rsidRDefault="003F2D25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19.12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" filled="f" stroked="f">
              <v:textbox>
                <w:txbxContent>
                  <w:p w14:paraId="285C67AA" w14:textId="37E22005" w:rsidR="00B14288" w:rsidRPr="00395BCE" w:rsidRDefault="003F2D25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079"/>
    <w:rsid w:val="0010566C"/>
    <w:rsid w:val="001065B8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3D3F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6811"/>
    <w:rsid w:val="00277CC4"/>
    <w:rsid w:val="00280B2C"/>
    <w:rsid w:val="0028100D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5C0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4B41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87820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3CF7"/>
    <w:rsid w:val="00524F67"/>
    <w:rsid w:val="005250B3"/>
    <w:rsid w:val="00530CF1"/>
    <w:rsid w:val="005331A6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5E5F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F25"/>
    <w:rsid w:val="006016AC"/>
    <w:rsid w:val="00601E4B"/>
    <w:rsid w:val="00603A9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2E93"/>
    <w:rsid w:val="00663981"/>
    <w:rsid w:val="00664235"/>
    <w:rsid w:val="00667120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FF8"/>
    <w:rsid w:val="006F6D9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486C"/>
    <w:rsid w:val="00735841"/>
    <w:rsid w:val="0073694F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25F1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2005"/>
    <w:rsid w:val="00794952"/>
    <w:rsid w:val="0079514B"/>
    <w:rsid w:val="0079538C"/>
    <w:rsid w:val="00795E4F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1C3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6C0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A7ED1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6953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ACA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16F22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3F25"/>
    <w:rsid w:val="00B4403C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E21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56EE"/>
    <w:rsid w:val="00B96687"/>
    <w:rsid w:val="00B96855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C7D96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06777"/>
    <w:rsid w:val="00D1106D"/>
    <w:rsid w:val="00D140B1"/>
    <w:rsid w:val="00D15433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4C23"/>
    <w:rsid w:val="00DB5A15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5EE0"/>
    <w:rsid w:val="00E56503"/>
    <w:rsid w:val="00E56EF8"/>
    <w:rsid w:val="00E57F6D"/>
    <w:rsid w:val="00E601A1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33C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43F8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3-roku,15,10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4B192-9654-4E42-B831-ED205FF5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7</Pages>
  <Words>1836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2024-12-06T11:08:00Z</cp:lastPrinted>
  <dcterms:created xsi:type="dcterms:W3CDTF">2024-06-06T07:51:00Z</dcterms:created>
  <dcterms:modified xsi:type="dcterms:W3CDTF">2024-12-12T11:30:00Z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