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4C916C2A" w:rsidR="00627E8E" w:rsidRPr="00C25904" w:rsidRDefault="00195FB0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Start w:id="1" w:name="_GoBack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01EF64EC" wp14:editId="174CB749">
                <wp:simplePos x="0" y="0"/>
                <wp:positionH relativeFrom="page">
                  <wp:posOffset>5854890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8 czerwca 2024 roku. Numer 05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C5848" w14:textId="26EA51BB" w:rsidR="00DA5AAD" w:rsidRDefault="00DA5AAD" w:rsidP="00195FB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28.06.2024 r.</w:t>
                            </w:r>
                          </w:p>
                          <w:p w14:paraId="6D93A62F" w14:textId="019CBF5E" w:rsidR="00DA5AAD" w:rsidRPr="00A7182C" w:rsidRDefault="00DA5AAD" w:rsidP="00195FB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05/2024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F64E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8 czerwca 2024 roku. Numer 05/2024&#10;" style="position:absolute;margin-left:461pt;margin-top:0;width:126.1pt;height:54.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" filled="f" stroked="f">
                <v:textbox>
                  <w:txbxContent>
                    <w:p w14:paraId="6DBC5848" w14:textId="26EA51BB" w:rsidR="00DA5AAD" w:rsidRDefault="00DA5AAD" w:rsidP="00195FB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28.06.2024 r.</w:t>
                      </w:r>
                    </w:p>
                    <w:p w14:paraId="6D93A62F" w14:textId="019CBF5E" w:rsidR="00DA5AAD" w:rsidRPr="00A7182C" w:rsidRDefault="00DA5AAD" w:rsidP="00195FB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05/2024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C2590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C2590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C25904">
        <w:rPr>
          <w:noProof/>
          <w:spacing w:val="-6"/>
          <w:highlight w:val="black"/>
          <w:shd w:val="clear" w:color="auto" w:fill="FFFFFF"/>
        </w:rPr>
        <w:t>a</w:t>
      </w:r>
      <w:r w:rsidR="00440846" w:rsidRPr="00C25904">
        <w:rPr>
          <w:noProof/>
          <w:spacing w:val="-6"/>
          <w:highlight w:val="black"/>
          <w:shd w:val="clear" w:color="auto" w:fill="FFFFFF"/>
        </w:rPr>
        <w:t>ckiego</w:t>
      </w:r>
      <w:r w:rsidR="004251FF" w:rsidRPr="00C25904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C25904">
        <w:rPr>
          <w:noProof/>
          <w:spacing w:val="-6"/>
          <w:highlight w:val="black"/>
          <w:shd w:val="clear" w:color="auto" w:fill="FFFFFF"/>
        </w:rPr>
        <w:t>w</w:t>
      </w:r>
      <w:r w:rsidR="003673BD" w:rsidRPr="00C25904">
        <w:rPr>
          <w:noProof/>
          <w:spacing w:val="-6"/>
          <w:highlight w:val="black"/>
          <w:shd w:val="clear" w:color="auto" w:fill="FFFFFF"/>
        </w:rPr>
        <w:t xml:space="preserve"> </w:t>
      </w:r>
      <w:r w:rsidR="00B84869" w:rsidRPr="00C25904">
        <w:rPr>
          <w:noProof/>
          <w:spacing w:val="-6"/>
          <w:highlight w:val="black"/>
          <w:shd w:val="clear" w:color="auto" w:fill="FFFFFF"/>
        </w:rPr>
        <w:t>maj</w:t>
      </w:r>
      <w:r w:rsidR="00785C18" w:rsidRPr="00C25904">
        <w:rPr>
          <w:noProof/>
          <w:spacing w:val="-6"/>
          <w:highlight w:val="black"/>
          <w:shd w:val="clear" w:color="auto" w:fill="FFFFFF"/>
        </w:rPr>
        <w:t>u</w:t>
      </w:r>
      <w:r w:rsidR="00831592" w:rsidRPr="00C2590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C25904">
        <w:rPr>
          <w:noProof/>
          <w:spacing w:val="-6"/>
          <w:highlight w:val="black"/>
          <w:shd w:val="clear" w:color="auto" w:fill="FFFFFF"/>
        </w:rPr>
        <w:t>202</w:t>
      </w:r>
      <w:r w:rsidR="00365D9D" w:rsidRPr="00C25904">
        <w:rPr>
          <w:noProof/>
          <w:spacing w:val="-6"/>
          <w:highlight w:val="black"/>
          <w:shd w:val="clear" w:color="auto" w:fill="FFFFFF"/>
        </w:rPr>
        <w:t>4</w:t>
      </w:r>
      <w:r w:rsidR="00FE0C01" w:rsidRPr="00C2590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C25904">
        <w:rPr>
          <w:noProof/>
          <w:spacing w:val="-6"/>
          <w:highlight w:val="black"/>
          <w:shd w:val="clear" w:color="auto" w:fill="FFFFFF"/>
        </w:rPr>
        <w:t>r</w:t>
      </w:r>
      <w:bookmarkEnd w:id="1"/>
      <w:r w:rsidR="0048329B" w:rsidRPr="00C25904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ju 2024 r."/>
      </w:tblPr>
      <w:tblGrid>
        <w:gridCol w:w="10467"/>
      </w:tblGrid>
      <w:tr w:rsidR="00627E8E" w:rsidRPr="00C25904" w14:paraId="012B0DB3" w14:textId="77777777" w:rsidTr="00C25904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40DB7F93" w:rsidR="004D6C5C" w:rsidRPr="00C25904" w:rsidRDefault="005F6AD8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maju 2024 r. przeciętne zatrudnienie w sektorze przedsiębiorstw było niższe niż przed rokiem (o 1,1%), a pozostało na zbliżonym poziomie względem kwietnia 2024 r.</w:t>
            </w:r>
          </w:p>
          <w:p w14:paraId="640B7B96" w14:textId="4CF174BD" w:rsidR="004217A4" w:rsidRPr="00C25904" w:rsidRDefault="00E405C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2,6% niższa niż przed miesiącem i o 4,0% niższa niż w maju 2023 r. Stopa bezrobocia rejestrowanego w końcu maja 2024 r. wyniosła 8,3% i zmniejszyła się w porównaniu z poprzednim miesiącem, a także w odniesieniu do maja 2023 r.</w:t>
            </w:r>
          </w:p>
          <w:p w14:paraId="5BDF7246" w14:textId="5A3FDA41" w:rsidR="007F4233" w:rsidRPr="00C25904" w:rsidRDefault="009E7AD7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maju 2023 r. (o 15,5%), a niższe niż w kwietniu 2024 r. (o 3,3%).</w:t>
            </w:r>
          </w:p>
          <w:p w14:paraId="671833E6" w14:textId="31E12D39" w:rsidR="00657E6C" w:rsidRPr="00C25904" w:rsidRDefault="00657E6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497C52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</w:t>
            </w: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kwartale 202</w:t>
            </w:r>
            <w:r w:rsidR="00497C52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r., w porównaniu z analogicznym okresem poprzedniego roku, wystąpił wzrost cen towarów i usług konsumpcyjnych o </w:t>
            </w:r>
            <w:r w:rsidR="00957A29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,0%.</w:t>
            </w:r>
          </w:p>
          <w:p w14:paraId="5F3DE4B1" w14:textId="3B173B12" w:rsidR="0036035E" w:rsidRPr="00C25904" w:rsidRDefault="009D4EB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niższe niż przed rokiem, z wyjątkiem ziemniaków. W porównaniu z kwietniem br. wyższe były ceny skupu pszenicy, żyta, ziemniaków, żywca drobiowego i mleka. W obrocie targowiskowym w odniesieniu do maja 2023 r. więcej płacono za ziemniaki, a w odniesieniu do kwietnia br. ceny były wyższe</w:t>
            </w:r>
            <w:r w:rsidR="008D5FB2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6E82544E" w:rsidR="004D6C5C" w:rsidRPr="00C25904" w:rsidRDefault="004E659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6854,4 mln zł i była (w cenach stałych) o 4,2% niższa niż w maju 2023 r., kiedy notowano wzrost o 2,7%. W stosunku do kwietnia 2024 r. produkcja sprzedana obniżyła się o 5,7%.</w:t>
            </w:r>
          </w:p>
          <w:p w14:paraId="19F993FE" w14:textId="566F2028" w:rsidR="006E5A0E" w:rsidRPr="00C25904" w:rsidRDefault="00D26A98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maju ubiegłego roku (o 20,5%), a wyższa niż w kwietniu bieżącego roku (o 24,5%).</w:t>
            </w:r>
          </w:p>
          <w:p w14:paraId="3AC2EDF9" w14:textId="449AFDC6" w:rsidR="00CC53D0" w:rsidRPr="00C25904" w:rsidRDefault="0066070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/>
                <w:sz w:val="19"/>
                <w:szCs w:val="19"/>
                <w:highlight w:val="black"/>
              </w:rPr>
              <w:t>W maju 2024 r., w porównaniu z analogicznym okresem 2023 r., wzrosła liczba mieszkań na realizację których wydano pozwolenia lub dokonano zgłoszenia z projektem budowlanym (o 17,2%) oraz liczba mieszkań, których budowę rozpoczęto (o 9,5%). Spadła natomiast liczba mieszkań oddanych do użytkowania (o 15,0%).</w:t>
            </w:r>
          </w:p>
          <w:p w14:paraId="627B39AC" w14:textId="1E7E815C" w:rsidR="006E5A0E" w:rsidRPr="00C25904" w:rsidRDefault="00665A1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maju 2024 r. zwiększyła się o 5,9% w odniesieniu do maja 2023 r. (wobec wzrostu o 0,1% przed rokiem). W porównaniu z poprzednim miesiącem sprzedaż detaliczna zmniejszyła się o 0,2%.</w:t>
            </w:r>
          </w:p>
          <w:p w14:paraId="3D7E7D5B" w14:textId="5C39145D" w:rsidR="007002EA" w:rsidRPr="00C2590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72047F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9</w:t>
            </w:r>
            <w:r w:rsidR="00DB06F6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C2590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22BEAC35" w:rsidR="008C4DB4" w:rsidRPr="00C25904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5B2FFF"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czerwc</w:t>
            </w:r>
            <w:r w:rsidR="004B781E"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C63B0B"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ED3B79" w:rsidRPr="00C2590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C2590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C25904">
        <w:rPr>
          <w:rFonts w:ascii="Arial" w:hAnsi="Arial" w:cs="Arial"/>
          <w:b/>
          <w:noProof/>
          <w:highlight w:val="black"/>
        </w:rPr>
        <w:br w:type="page"/>
      </w:r>
    </w:p>
    <w:p w14:paraId="456EC737" w14:textId="77777777" w:rsidR="007A57AE" w:rsidRPr="00C25904" w:rsidRDefault="003A10CF" w:rsidP="00B473F9">
      <w:pPr>
        <w:pStyle w:val="Spistreci"/>
        <w:rPr>
          <w:noProof/>
          <w:highlight w:val="black"/>
        </w:rPr>
      </w:pPr>
      <w:r w:rsidRPr="00C25904">
        <w:rPr>
          <w:highlight w:val="black"/>
        </w:rPr>
        <w:lastRenderedPageBreak/>
        <w:t>Spis treści</w:t>
      </w:r>
      <w:r w:rsidR="00650939" w:rsidRPr="00C25904">
        <w:rPr>
          <w:szCs w:val="19"/>
          <w:highlight w:val="black"/>
        </w:rPr>
        <w:fldChar w:fldCharType="begin"/>
      </w:r>
      <w:r w:rsidR="00650939" w:rsidRPr="00C25904">
        <w:rPr>
          <w:szCs w:val="19"/>
          <w:highlight w:val="black"/>
        </w:rPr>
        <w:instrText xml:space="preserve"> TOC \h \z \t "Nagłówek 1;1" </w:instrText>
      </w:r>
      <w:r w:rsidR="00650939" w:rsidRPr="00C25904">
        <w:rPr>
          <w:szCs w:val="19"/>
          <w:highlight w:val="black"/>
        </w:rPr>
        <w:fldChar w:fldCharType="end"/>
      </w:r>
      <w:r w:rsidR="00560533" w:rsidRPr="00C25904">
        <w:rPr>
          <w:szCs w:val="19"/>
          <w:highlight w:val="black"/>
        </w:rPr>
        <w:fldChar w:fldCharType="begin"/>
      </w:r>
      <w:r w:rsidR="00560533" w:rsidRPr="00C25904">
        <w:rPr>
          <w:szCs w:val="19"/>
          <w:highlight w:val="black"/>
        </w:rPr>
        <w:instrText xml:space="preserve"> TOC \f \h \z \t "Nagłówek 1;1" </w:instrText>
      </w:r>
      <w:r w:rsidR="00560533" w:rsidRPr="00C25904">
        <w:rPr>
          <w:szCs w:val="19"/>
          <w:highlight w:val="black"/>
        </w:rPr>
        <w:fldChar w:fldCharType="separate"/>
      </w:r>
    </w:p>
    <w:p w14:paraId="45DD64C5" w14:textId="324612BC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2" w:history="1">
        <w:r w:rsidR="007A57AE" w:rsidRPr="00C25904">
          <w:rPr>
            <w:rStyle w:val="Hipercze"/>
            <w:highlight w:val="black"/>
          </w:rPr>
          <w:t>Rynek pracy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_Toc170470022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5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596FA099" w14:textId="6D0E5074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3" w:history="1">
        <w:r w:rsidR="007A57AE" w:rsidRPr="00C25904">
          <w:rPr>
            <w:rStyle w:val="Hipercze"/>
            <w:highlight w:val="black"/>
          </w:rPr>
          <w:t>Wynagrodzenia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_Toc170470023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10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2A70EEEA" w14:textId="552837E4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4" w:history="1">
        <w:r w:rsidR="007A57AE" w:rsidRPr="00C25904">
          <w:rPr>
            <w:rStyle w:val="Hipercze"/>
            <w:highlight w:val="black"/>
          </w:rPr>
          <w:t>Ceny detaliczne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_Toc170470024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12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498A5EF9" w14:textId="0BE735F6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5" w:history="1">
        <w:r w:rsidR="007A57AE" w:rsidRPr="00C25904">
          <w:rPr>
            <w:rStyle w:val="Hipercze"/>
            <w:highlight w:val="black"/>
          </w:rPr>
          <w:t>Rolnictwo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_Toc170470025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12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5C6A59BC" w14:textId="6CF6171B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6" w:history="1">
        <w:r w:rsidR="007A57AE" w:rsidRPr="00C25904">
          <w:rPr>
            <w:rStyle w:val="Hipercze"/>
            <w:highlight w:val="black"/>
          </w:rPr>
          <w:t>Przemysł i budownictwo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_Toc170470026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15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770174FC" w14:textId="5C36FB79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7" w:history="1">
        <w:r w:rsidR="007A57AE" w:rsidRPr="00C25904">
          <w:rPr>
            <w:rStyle w:val="Hipercze"/>
            <w:highlight w:val="black"/>
          </w:rPr>
          <w:t>Budownictwo mieszkaniowe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_Toc170470027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18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0DF1D2C6" w14:textId="56F9CE4D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8" w:history="1">
        <w:r w:rsidR="007A57AE" w:rsidRPr="00C25904">
          <w:rPr>
            <w:rStyle w:val="Hipercze"/>
            <w:highlight w:val="black"/>
          </w:rPr>
          <w:t>Rynek wewnętrzny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_Toc170470028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21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112FA6B6" w14:textId="7A65D891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29" w:history="1">
        <w:r w:rsidR="007A57AE" w:rsidRPr="00C25904">
          <w:rPr>
            <w:rStyle w:val="Hipercze"/>
            <w:highlight w:val="black"/>
          </w:rPr>
          <w:t>Podmioty gospodarki narodowej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_Toc170470029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22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6C1B511B" w14:textId="124982BB" w:rsidR="007A57AE" w:rsidRPr="00C25904" w:rsidRDefault="00DA5AA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0470030" w:history="1">
        <w:r w:rsidR="007A57AE" w:rsidRPr="00C25904">
          <w:rPr>
            <w:rStyle w:val="Hipercze"/>
            <w:highlight w:val="black"/>
          </w:rPr>
          <w:t>Koniunktura gospodarcza</w:t>
        </w:r>
        <w:r w:rsidR="007A57AE" w:rsidRPr="00C25904">
          <w:rPr>
            <w:webHidden/>
            <w:highlight w:val="black"/>
          </w:rPr>
          <w:tab/>
        </w:r>
        <w:r w:rsidR="007A57AE" w:rsidRPr="00C25904">
          <w:rPr>
            <w:webHidden/>
            <w:highlight w:val="black"/>
          </w:rPr>
          <w:fldChar w:fldCharType="begin"/>
        </w:r>
        <w:r w:rsidR="007A57AE" w:rsidRPr="00C25904">
          <w:rPr>
            <w:webHidden/>
            <w:highlight w:val="black"/>
          </w:rPr>
          <w:instrText xml:space="preserve"> PAGEREF _Toc170470030 \h </w:instrText>
        </w:r>
        <w:r w:rsidR="007A57AE" w:rsidRPr="00C25904">
          <w:rPr>
            <w:webHidden/>
            <w:highlight w:val="black"/>
          </w:rPr>
        </w:r>
        <w:r w:rsidR="007A57AE" w:rsidRPr="00C25904">
          <w:rPr>
            <w:webHidden/>
            <w:highlight w:val="black"/>
          </w:rPr>
          <w:fldChar w:fldCharType="separate"/>
        </w:r>
        <w:r w:rsidR="002C52BB">
          <w:rPr>
            <w:webHidden/>
            <w:highlight w:val="black"/>
          </w:rPr>
          <w:t>25</w:t>
        </w:r>
        <w:r w:rsidR="007A57AE" w:rsidRPr="00C25904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C25904" w:rsidRDefault="00560533" w:rsidP="001E694B">
      <w:pPr>
        <w:pStyle w:val="Spistreci"/>
        <w:rPr>
          <w:highlight w:val="black"/>
        </w:rPr>
      </w:pPr>
      <w:r w:rsidRPr="00C25904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C25904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C25904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C25904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C25904" w:rsidRDefault="00292906" w:rsidP="00B616E2">
      <w:pPr>
        <w:pStyle w:val="Tekstwypunktowany"/>
        <w:spacing w:line="288" w:lineRule="auto"/>
        <w:rPr>
          <w:highlight w:val="black"/>
        </w:rPr>
      </w:pPr>
      <w:r w:rsidRPr="00C2590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C25904">
        <w:rPr>
          <w:highlight w:val="black"/>
        </w:rPr>
        <w:t>a pracujących przekracza 9 osób;</w:t>
      </w:r>
    </w:p>
    <w:p w14:paraId="11D10930" w14:textId="48925543" w:rsidR="00B3482C" w:rsidRPr="00C25904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C25904">
        <w:rPr>
          <w:noProof/>
          <w:spacing w:val="-4"/>
          <w:szCs w:val="19"/>
          <w:highlight w:val="black"/>
        </w:rPr>
        <w:t>o sektorze przedsiębiorstw</w:t>
      </w:r>
      <w:r w:rsidR="00ED7C5A" w:rsidRPr="00C25904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C25904">
        <w:rPr>
          <w:noProof/>
          <w:spacing w:val="-4"/>
          <w:szCs w:val="19"/>
          <w:highlight w:val="black"/>
        </w:rPr>
        <w:t>odarczą w zakresie: leśnictwa i </w:t>
      </w:r>
      <w:r w:rsidR="00ED7C5A" w:rsidRPr="00C2590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C25904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C2590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C25904">
        <w:rPr>
          <w:noProof/>
          <w:spacing w:val="-4"/>
          <w:szCs w:val="19"/>
          <w:highlight w:val="black"/>
        </w:rPr>
        <w:t>-</w:t>
      </w:r>
      <w:r w:rsidR="00ED7C5A" w:rsidRPr="00C25904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C25904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C25904">
        <w:rPr>
          <w:noProof/>
          <w:spacing w:val="-4"/>
          <w:szCs w:val="19"/>
          <w:highlight w:val="black"/>
        </w:rPr>
        <w:t>rekultywacją; budowni</w:t>
      </w:r>
      <w:r w:rsidR="00454E28" w:rsidRPr="00C25904">
        <w:rPr>
          <w:noProof/>
          <w:spacing w:val="-4"/>
          <w:szCs w:val="19"/>
          <w:highlight w:val="black"/>
        </w:rPr>
        <w:t>-</w:t>
      </w:r>
      <w:r w:rsidR="00ED7C5A" w:rsidRPr="00C2590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C25904">
        <w:rPr>
          <w:noProof/>
          <w:spacing w:val="-4"/>
          <w:szCs w:val="19"/>
          <w:highlight w:val="black"/>
        </w:rPr>
        <w:t> </w:t>
      </w:r>
      <w:r w:rsidR="00ED7C5A" w:rsidRPr="00C25904">
        <w:rPr>
          <w:noProof/>
          <w:spacing w:val="-4"/>
          <w:szCs w:val="19"/>
          <w:highlight w:val="black"/>
        </w:rPr>
        <w:t>gospodarki magazynowej; działalnośc</w:t>
      </w:r>
      <w:r w:rsidR="00170047" w:rsidRPr="00C25904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C25904">
        <w:rPr>
          <w:noProof/>
          <w:spacing w:val="-4"/>
          <w:szCs w:val="19"/>
          <w:highlight w:val="black"/>
        </w:rPr>
        <w:t>usługami</w:t>
      </w:r>
      <w:r w:rsidR="0071034B" w:rsidRPr="00C2590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C25904">
        <w:rPr>
          <w:noProof/>
          <w:spacing w:val="-4"/>
          <w:szCs w:val="19"/>
          <w:highlight w:val="black"/>
        </w:rPr>
        <w:t> </w:t>
      </w:r>
      <w:r w:rsidR="00ED7C5A" w:rsidRPr="00C2590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C25904">
        <w:rPr>
          <w:noProof/>
          <w:spacing w:val="-4"/>
          <w:szCs w:val="19"/>
          <w:highlight w:val="black"/>
        </w:rPr>
        <w:t> </w:t>
      </w:r>
      <w:r w:rsidR="00ED7C5A" w:rsidRPr="00C25904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C25904">
        <w:rPr>
          <w:i/>
          <w:noProof/>
          <w:spacing w:val="-4"/>
          <w:szCs w:val="19"/>
          <w:highlight w:val="black"/>
        </w:rPr>
        <w:t>head offices</w:t>
      </w:r>
      <w:r w:rsidR="00ED7C5A" w:rsidRPr="00C25904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C25904">
        <w:rPr>
          <w:noProof/>
          <w:spacing w:val="-4"/>
          <w:szCs w:val="19"/>
          <w:highlight w:val="black"/>
        </w:rPr>
        <w:t xml:space="preserve">j i </w:t>
      </w:r>
      <w:r w:rsidR="00170047" w:rsidRPr="00C25904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C25904">
        <w:rPr>
          <w:noProof/>
          <w:spacing w:val="-4"/>
          <w:szCs w:val="19"/>
          <w:highlight w:val="black"/>
        </w:rPr>
        <w:t>z</w:t>
      </w:r>
      <w:r w:rsidR="00170047" w:rsidRPr="00C25904">
        <w:rPr>
          <w:noProof/>
          <w:spacing w:val="-4"/>
          <w:szCs w:val="19"/>
          <w:highlight w:val="black"/>
        </w:rPr>
        <w:t>akresie usług administro</w:t>
      </w:r>
      <w:r w:rsidR="00454E28" w:rsidRPr="00C25904">
        <w:rPr>
          <w:noProof/>
          <w:spacing w:val="-4"/>
          <w:szCs w:val="19"/>
          <w:highlight w:val="black"/>
        </w:rPr>
        <w:t>-</w:t>
      </w:r>
      <w:r w:rsidR="00170047" w:rsidRPr="00C25904">
        <w:rPr>
          <w:noProof/>
          <w:spacing w:val="-4"/>
          <w:szCs w:val="19"/>
          <w:highlight w:val="black"/>
        </w:rPr>
        <w:t xml:space="preserve">wania i </w:t>
      </w:r>
      <w:r w:rsidR="00ED7C5A" w:rsidRPr="00C25904">
        <w:rPr>
          <w:noProof/>
          <w:spacing w:val="-4"/>
          <w:szCs w:val="19"/>
          <w:highlight w:val="black"/>
        </w:rPr>
        <w:t>działalności wspiera</w:t>
      </w:r>
      <w:r w:rsidR="00C4541A" w:rsidRPr="00C25904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C25904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C25904">
        <w:rPr>
          <w:noProof/>
          <w:spacing w:val="-4"/>
          <w:szCs w:val="19"/>
          <w:highlight w:val="black"/>
        </w:rPr>
        <w:t xml:space="preserve"> </w:t>
      </w:r>
      <w:r w:rsidR="00ED7C5A" w:rsidRPr="00C2590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C25904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C25904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C25904">
        <w:rPr>
          <w:spacing w:val="-4"/>
          <w:highlight w:val="black"/>
        </w:rPr>
        <w:t>;</w:t>
      </w:r>
    </w:p>
    <w:p w14:paraId="1B5A3C46" w14:textId="6634A894" w:rsidR="00B3482C" w:rsidRPr="00C25904" w:rsidRDefault="001B0E1A" w:rsidP="00B616E2">
      <w:pPr>
        <w:pStyle w:val="Tekstwypunktowany"/>
        <w:spacing w:line="288" w:lineRule="auto"/>
        <w:rPr>
          <w:highlight w:val="black"/>
        </w:rPr>
      </w:pPr>
      <w:r w:rsidRPr="00C2590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C25904">
        <w:rPr>
          <w:noProof/>
          <w:szCs w:val="19"/>
          <w:highlight w:val="black"/>
        </w:rPr>
        <w:t>ch oraz usług, które pochodzą z </w:t>
      </w:r>
      <w:r w:rsidRPr="00C2590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C25904">
        <w:rPr>
          <w:noProof/>
          <w:szCs w:val="19"/>
          <w:highlight w:val="black"/>
        </w:rPr>
        <w:t>,</w:t>
      </w:r>
      <w:r w:rsidRPr="00C25904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C25904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C25904" w:rsidRDefault="00D07EBC" w:rsidP="00B616E2">
      <w:pPr>
        <w:pStyle w:val="Tekstwypunktowany"/>
        <w:spacing w:line="288" w:lineRule="auto"/>
        <w:rPr>
          <w:highlight w:val="black"/>
        </w:rPr>
      </w:pPr>
      <w:r w:rsidRPr="00C25904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C25904">
        <w:rPr>
          <w:noProof/>
          <w:szCs w:val="19"/>
          <w:highlight w:val="black"/>
        </w:rPr>
        <w:t xml:space="preserve">ealizowany przez osoby prawne i </w:t>
      </w:r>
      <w:r w:rsidRPr="00C25904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C25904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C25904" w:rsidRDefault="00D07EBC" w:rsidP="00B616E2">
      <w:pPr>
        <w:pStyle w:val="Tekstwypunktowany"/>
        <w:spacing w:line="288" w:lineRule="auto"/>
        <w:rPr>
          <w:highlight w:val="black"/>
        </w:rPr>
      </w:pPr>
      <w:r w:rsidRPr="00C2590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C25904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C25904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C2590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C25904">
        <w:rPr>
          <w:noProof/>
          <w:spacing w:val="-2"/>
          <w:szCs w:val="19"/>
          <w:highlight w:val="black"/>
        </w:rPr>
        <w:t>iczba pracujących przekracza 49</w:t>
      </w:r>
      <w:r w:rsidR="00EF1D3A" w:rsidRPr="00C25904">
        <w:rPr>
          <w:noProof/>
          <w:spacing w:val="-2"/>
          <w:szCs w:val="19"/>
          <w:highlight w:val="black"/>
        </w:rPr>
        <w:t xml:space="preserve"> </w:t>
      </w:r>
      <w:r w:rsidRPr="00C25904">
        <w:rPr>
          <w:noProof/>
          <w:spacing w:val="-2"/>
          <w:szCs w:val="19"/>
          <w:highlight w:val="black"/>
        </w:rPr>
        <w:t>osób</w:t>
      </w:r>
      <w:r w:rsidR="00104786" w:rsidRPr="00C25904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C25904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C25904">
        <w:rPr>
          <w:highlight w:val="black"/>
        </w:rPr>
        <w:br w:type="page"/>
      </w:r>
    </w:p>
    <w:p w14:paraId="360189E2" w14:textId="37510265" w:rsidR="00E949F3" w:rsidRPr="00C25904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25904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C25904">
        <w:rPr>
          <w:highlight w:val="black"/>
        </w:rPr>
        <w:t xml:space="preserve">od stycznia 2024 r. </w:t>
      </w:r>
      <w:r w:rsidRPr="00C25904">
        <w:rPr>
          <w:highlight w:val="black"/>
        </w:rPr>
        <w:t>średnie ceny bieżące 20</w:t>
      </w:r>
      <w:r w:rsidR="00F96567" w:rsidRPr="00C25904">
        <w:rPr>
          <w:highlight w:val="black"/>
        </w:rPr>
        <w:t>21</w:t>
      </w:r>
      <w:r w:rsidRPr="00C25904">
        <w:rPr>
          <w:highlight w:val="black"/>
        </w:rPr>
        <w:t xml:space="preserve"> r.).</w:t>
      </w:r>
    </w:p>
    <w:p w14:paraId="741376A5" w14:textId="77777777" w:rsidR="00E949F3" w:rsidRPr="00C25904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2590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C25904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25904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C25904">
        <w:rPr>
          <w:highlight w:val="black"/>
        </w:rPr>
        <w:t>owanych</w:t>
      </w:r>
      <w:r w:rsidR="00373895" w:rsidRPr="00C25904">
        <w:rPr>
          <w:highlight w:val="black"/>
        </w:rPr>
        <w:t xml:space="preserve"> </w:t>
      </w:r>
      <w:r w:rsidRPr="00C25904">
        <w:rPr>
          <w:highlight w:val="black"/>
        </w:rPr>
        <w:t xml:space="preserve">na podstawie wyników Powszechnego Spisu Rolnego 2020. Dane te nie są w pełni porównywalne z </w:t>
      </w:r>
      <w:r w:rsidR="00F07CB3" w:rsidRPr="00C25904">
        <w:rPr>
          <w:highlight w:val="black"/>
        </w:rPr>
        <w:t>danymi za okresy</w:t>
      </w:r>
      <w:r w:rsidR="00F43C7E" w:rsidRPr="00C25904">
        <w:rPr>
          <w:highlight w:val="black"/>
        </w:rPr>
        <w:t xml:space="preserve"> </w:t>
      </w:r>
      <w:r w:rsidR="00F07CB3" w:rsidRPr="00C25904">
        <w:rPr>
          <w:highlight w:val="black"/>
        </w:rPr>
        <w:t>wcześniejsze</w:t>
      </w:r>
      <w:r w:rsidRPr="00C25904">
        <w:rPr>
          <w:highlight w:val="black"/>
        </w:rPr>
        <w:t>.</w:t>
      </w:r>
    </w:p>
    <w:p w14:paraId="48FCF23D" w14:textId="19C3EBE9" w:rsidR="006E6036" w:rsidRPr="00C25904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25904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C25904" w:rsidRDefault="004941DA" w:rsidP="001E694B">
      <w:pPr>
        <w:pStyle w:val="Spistreci"/>
        <w:rPr>
          <w:noProof/>
          <w:highlight w:val="black"/>
        </w:rPr>
      </w:pPr>
      <w:r w:rsidRPr="00C25904">
        <w:rPr>
          <w:noProof/>
          <w:highlight w:val="black"/>
        </w:rPr>
        <w:t>Polska Klasyfikacja D</w:t>
      </w:r>
      <w:r w:rsidR="000C2165" w:rsidRPr="00C25904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C25904" w14:paraId="05004863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C2590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C2590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C25904" w14:paraId="643F9472" w14:textId="77777777" w:rsidTr="00C2590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C2590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C25904" w14:paraId="1EBFB7B3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C2590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C25904" w14:paraId="14860AC9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C25904" w14:paraId="433ACFC0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C25904" w14:paraId="6D17539B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C25904" w14:paraId="47368E68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C25904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C25904" w14:paraId="4F1A3C62" w14:textId="77777777" w:rsidTr="00C2590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C2590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C25904" w14:paraId="2FB72B89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C25904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C25904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C25904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C25904" w14:paraId="5285A1FC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C25904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C25904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C25904" w14:paraId="07FB87C6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C25904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C25904" w14:paraId="41081043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C25904" w14:paraId="7F0994C2" w14:textId="77777777" w:rsidTr="00C2590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C25904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C25904" w14:paraId="60A3EBF8" w14:textId="77777777" w:rsidTr="00C2590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C2590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C25904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C25904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C25904">
        <w:rPr>
          <w:noProof/>
          <w:highlight w:val="black"/>
        </w:rPr>
        <w:br w:type="page"/>
      </w:r>
    </w:p>
    <w:p w14:paraId="0BA075D1" w14:textId="411BC052" w:rsidR="00502C57" w:rsidRPr="00C25904" w:rsidRDefault="00237809" w:rsidP="001E694B">
      <w:pPr>
        <w:pStyle w:val="Spistreci"/>
        <w:rPr>
          <w:noProof/>
          <w:highlight w:val="black"/>
        </w:rPr>
      </w:pPr>
      <w:r w:rsidRPr="00C25904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C25904" w14:paraId="5BB5D55D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C25904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C25904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C25904" w14:paraId="21770883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C2590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C2590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25904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C2590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C25904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C25904" w14:paraId="0D0ED342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C2590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C2590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25904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C2590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C25904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C25904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C25904" w14:paraId="6CE52D09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C25904" w14:paraId="38CAB51D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C25904" w14:paraId="28745486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C2590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C25904" w14:paraId="1215AF80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C2590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2590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25904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C2590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C25904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C25904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C25904" w14:paraId="5AA9EDD9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C2590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2590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25904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C2590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25904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C25904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C25904" w14:paraId="5B8782C6" w14:textId="77777777" w:rsidTr="00C2590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C2590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C2590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25904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C25904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C2590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1FB515B1" w:rsidR="00502C57" w:rsidRPr="00C25904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C25904">
        <w:rPr>
          <w:noProof/>
          <w:highlight w:val="black"/>
        </w:rPr>
        <w:t>Raport „Koniunktura gospodarcza w w</w:t>
      </w:r>
      <w:r w:rsidR="00100B33" w:rsidRPr="00C25904">
        <w:rPr>
          <w:noProof/>
          <w:highlight w:val="black"/>
        </w:rPr>
        <w:t>oj</w:t>
      </w:r>
      <w:r w:rsidR="00B02551" w:rsidRPr="00C25904">
        <w:rPr>
          <w:noProof/>
          <w:highlight w:val="black"/>
        </w:rPr>
        <w:t xml:space="preserve">ewództwie </w:t>
      </w:r>
      <w:r w:rsidR="00BB37D0" w:rsidRPr="00C25904">
        <w:rPr>
          <w:noProof/>
          <w:highlight w:val="black"/>
        </w:rPr>
        <w:t>podkarpackim</w:t>
      </w:r>
      <w:r w:rsidR="009D2CA6" w:rsidRPr="00C25904">
        <w:rPr>
          <w:noProof/>
          <w:highlight w:val="black"/>
        </w:rPr>
        <w:t>.</w:t>
      </w:r>
      <w:r w:rsidR="00CA2A1C" w:rsidRPr="00C25904">
        <w:rPr>
          <w:noProof/>
          <w:highlight w:val="black"/>
        </w:rPr>
        <w:t xml:space="preserve"> </w:t>
      </w:r>
      <w:r w:rsidR="00DC23CA" w:rsidRPr="00C25904">
        <w:rPr>
          <w:noProof/>
          <w:highlight w:val="black"/>
        </w:rPr>
        <w:t>Czerwiec</w:t>
      </w:r>
      <w:r w:rsidR="003C7F22" w:rsidRPr="00C25904">
        <w:rPr>
          <w:noProof/>
          <w:highlight w:val="black"/>
        </w:rPr>
        <w:t xml:space="preserve"> </w:t>
      </w:r>
      <w:r w:rsidR="005F6BFD" w:rsidRPr="00C25904">
        <w:rPr>
          <w:noProof/>
          <w:highlight w:val="black"/>
        </w:rPr>
        <w:t>202</w:t>
      </w:r>
      <w:r w:rsidR="00F51406" w:rsidRPr="00C25904">
        <w:rPr>
          <w:noProof/>
          <w:highlight w:val="black"/>
        </w:rPr>
        <w:t>4</w:t>
      </w:r>
      <w:r w:rsidRPr="00C25904">
        <w:rPr>
          <w:noProof/>
          <w:highlight w:val="black"/>
        </w:rPr>
        <w:t xml:space="preserve"> r.” </w:t>
      </w:r>
      <w:r w:rsidR="00E87DDC" w:rsidRPr="00C25904">
        <w:rPr>
          <w:noProof/>
          <w:highlight w:val="black"/>
        </w:rPr>
        <w:t>uka</w:t>
      </w:r>
      <w:r w:rsidR="00DC23CA" w:rsidRPr="00C25904">
        <w:rPr>
          <w:noProof/>
          <w:highlight w:val="black"/>
        </w:rPr>
        <w:t>zał</w:t>
      </w:r>
      <w:r w:rsidR="00912FE6" w:rsidRPr="00C25904">
        <w:rPr>
          <w:noProof/>
          <w:highlight w:val="black"/>
        </w:rPr>
        <w:t xml:space="preserve"> się</w:t>
      </w:r>
      <w:r w:rsidRPr="00C25904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C25904">
          <w:rPr>
            <w:rStyle w:val="Hipercze"/>
            <w:noProof/>
            <w:highlight w:val="black"/>
          </w:rPr>
          <w:t>https://rzeszow.stat.gov.pl/</w:t>
        </w:r>
      </w:hyperlink>
      <w:r w:rsidR="00100B33" w:rsidRPr="00C25904">
        <w:rPr>
          <w:noProof/>
          <w:highlight w:val="black"/>
        </w:rPr>
        <w:t xml:space="preserve"> </w:t>
      </w:r>
      <w:r w:rsidR="00DC23CA" w:rsidRPr="00C25904">
        <w:rPr>
          <w:noProof/>
          <w:highlight w:val="black"/>
        </w:rPr>
        <w:t>28 czerwc</w:t>
      </w:r>
      <w:r w:rsidR="006745A9" w:rsidRPr="00C25904">
        <w:rPr>
          <w:noProof/>
          <w:highlight w:val="black"/>
        </w:rPr>
        <w:t>a</w:t>
      </w:r>
      <w:r w:rsidR="006E35D2" w:rsidRPr="00C25904">
        <w:rPr>
          <w:noProof/>
          <w:highlight w:val="black"/>
        </w:rPr>
        <w:t xml:space="preserve"> </w:t>
      </w:r>
      <w:r w:rsidR="006A7608" w:rsidRPr="00C25904">
        <w:rPr>
          <w:noProof/>
          <w:highlight w:val="black"/>
        </w:rPr>
        <w:t>202</w:t>
      </w:r>
      <w:r w:rsidR="00F51406" w:rsidRPr="00C25904">
        <w:rPr>
          <w:noProof/>
          <w:highlight w:val="black"/>
        </w:rPr>
        <w:t>4</w:t>
      </w:r>
      <w:r w:rsidR="00C54FAC" w:rsidRPr="00C25904">
        <w:rPr>
          <w:noProof/>
          <w:highlight w:val="black"/>
        </w:rPr>
        <w:t xml:space="preserve"> </w:t>
      </w:r>
      <w:r w:rsidRPr="00C25904">
        <w:rPr>
          <w:noProof/>
          <w:highlight w:val="black"/>
        </w:rPr>
        <w:t>r.</w:t>
      </w:r>
    </w:p>
    <w:p w14:paraId="33CBE131" w14:textId="2EE0BBB5" w:rsidR="005760DA" w:rsidRPr="00C25904" w:rsidRDefault="005760DA" w:rsidP="007E6E06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C25904" w:rsidRDefault="00502C57" w:rsidP="00502C57">
      <w:pPr>
        <w:rPr>
          <w:noProof/>
          <w:highlight w:val="black"/>
        </w:rPr>
      </w:pPr>
      <w:r w:rsidRPr="00C25904">
        <w:rPr>
          <w:noProof/>
          <w:highlight w:val="black"/>
        </w:rPr>
        <w:br w:type="page"/>
      </w:r>
    </w:p>
    <w:p w14:paraId="1FEC4E22" w14:textId="77777777" w:rsidR="00502C57" w:rsidRPr="00C25904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70470022"/>
      <w:r w:rsidRPr="00C25904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1416D61B" w14:textId="77777777" w:rsidR="00C91393" w:rsidRPr="00C25904" w:rsidRDefault="00C91393" w:rsidP="00C91393">
      <w:pPr>
        <w:spacing w:before="120" w:after="120" w:line="288" w:lineRule="auto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C25904">
        <w:rPr>
          <w:highlight w:val="black"/>
        </w:rPr>
        <w:t>W maju 2024 r., podobnie jak w poprzednim miesiącu, w ujęciu rocznym odnotowano spadek zatrudnienia w sektorze przedsiębiorstw. W skali roku zmniejszyła się liczba zarejestrowanych bezrobotnych, a także stopa bezrobocia rejestrowanego.</w:t>
      </w:r>
    </w:p>
    <w:p w14:paraId="4B20939D" w14:textId="5B198998" w:rsidR="00C91393" w:rsidRPr="00C25904" w:rsidRDefault="00C91393" w:rsidP="00C91393">
      <w:pPr>
        <w:spacing w:before="120" w:after="120" w:line="288" w:lineRule="auto"/>
        <w:rPr>
          <w:highlight w:val="black"/>
        </w:rPr>
      </w:pPr>
      <w:r w:rsidRPr="00C25904">
        <w:rPr>
          <w:b/>
          <w:highlight w:val="black"/>
        </w:rPr>
        <w:t>Przeciętne zatrudnienie</w:t>
      </w:r>
      <w:r w:rsidRPr="00C25904">
        <w:rPr>
          <w:highlight w:val="black"/>
        </w:rPr>
        <w:t xml:space="preserve"> w sektorze przedsiębiorstw w maju 2024 r. wyniosło 250,8 tys. osób (w przeliczeniu na etaty) i</w:t>
      </w:r>
      <w:r w:rsidR="005509BB" w:rsidRPr="00C25904">
        <w:rPr>
          <w:highlight w:val="black"/>
        </w:rPr>
        <w:t> </w:t>
      </w:r>
      <w:r w:rsidRPr="00C25904">
        <w:rPr>
          <w:highlight w:val="black"/>
        </w:rPr>
        <w:t>było niższe niż przed rokiem (o 1,1%), a utrzymało się na zbliżonym poziomie z poprzedniego miesiąca. W kraju przeciętne zatrudnienie zmniejszyło się zarówno w stosunku do maja 2023 r., jak i kwietnia 2024 r. (odpowiednio o 0,5% i</w:t>
      </w:r>
      <w:r w:rsidR="005509BB" w:rsidRPr="00C25904">
        <w:rPr>
          <w:highlight w:val="black"/>
        </w:rPr>
        <w:t> </w:t>
      </w:r>
      <w:r w:rsidRPr="00C25904">
        <w:rPr>
          <w:highlight w:val="black"/>
        </w:rPr>
        <w:t>o</w:t>
      </w:r>
      <w:r w:rsidR="005509BB" w:rsidRPr="00C25904">
        <w:rPr>
          <w:highlight w:val="black"/>
        </w:rPr>
        <w:t> </w:t>
      </w:r>
      <w:r w:rsidRPr="00C25904">
        <w:rPr>
          <w:highlight w:val="black"/>
        </w:rPr>
        <w:t>0,2%).</w:t>
      </w:r>
    </w:p>
    <w:p w14:paraId="3BCBC4A7" w14:textId="77777777" w:rsidR="00C91393" w:rsidRPr="00C25904" w:rsidRDefault="00C91393" w:rsidP="00C91393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 xml:space="preserve">W odniesieniu do maja 2023 r. spadek zatrudnienia odnotowano w siedmiu sekcjach, w tym największy w </w:t>
      </w:r>
      <w:bookmarkStart w:id="18" w:name="_Hlk167698287"/>
      <w:r w:rsidRPr="00C25904">
        <w:rPr>
          <w:highlight w:val="black"/>
        </w:rPr>
        <w:t xml:space="preserve">administrowaniu i działalności wspierającej </w:t>
      </w:r>
      <w:bookmarkEnd w:id="18"/>
      <w:r w:rsidRPr="00C25904">
        <w:rPr>
          <w:highlight w:val="black"/>
        </w:rPr>
        <w:t xml:space="preserve">(o 4,1%), najwyższy natomiast wzrost zatrudnienia odnotowano w </w:t>
      </w:r>
      <w:bookmarkStart w:id="19" w:name="_Hlk167698357"/>
      <w:r w:rsidRPr="00C25904">
        <w:rPr>
          <w:highlight w:val="black"/>
        </w:rPr>
        <w:t xml:space="preserve">zakwaterowaniu i gastronomii </w:t>
      </w:r>
      <w:bookmarkEnd w:id="19"/>
      <w:r w:rsidRPr="00C25904">
        <w:rPr>
          <w:highlight w:val="black"/>
        </w:rPr>
        <w:t>(o 5,3%).</w:t>
      </w:r>
    </w:p>
    <w:p w14:paraId="1344139C" w14:textId="77777777" w:rsidR="00C91393" w:rsidRPr="00C25904" w:rsidRDefault="00C91393" w:rsidP="00C91393">
      <w:pPr>
        <w:pStyle w:val="Tablicespis"/>
        <w:rPr>
          <w:highlight w:val="black"/>
        </w:rPr>
      </w:pPr>
      <w:r w:rsidRPr="00C25904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91393" w:rsidRPr="00C25904" w14:paraId="70DF4266" w14:textId="77777777" w:rsidTr="00C25904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1127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1DAA41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E196FB5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2024</w:t>
            </w:r>
          </w:p>
        </w:tc>
      </w:tr>
      <w:tr w:rsidR="00C25904" w:rsidRPr="00C25904" w14:paraId="35137CB1" w14:textId="77777777" w:rsidTr="00C25904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3467B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3A73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39EBB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8D686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FEA92E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2023=100</w:t>
            </w:r>
          </w:p>
        </w:tc>
      </w:tr>
      <w:tr w:rsidR="00C25904" w:rsidRPr="00C25904" w14:paraId="0C4F1979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37009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DEC06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250,8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48B75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6C2D8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250,9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6DD347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C25904" w:rsidRPr="00C25904" w14:paraId="2A67650E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0DFCB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6485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2D48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10AFA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61EE5E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34736758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C8727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9BE6F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134,6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B64F0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C495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07707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C25904" w:rsidRPr="00C25904" w14:paraId="2F7A51C6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05F14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C6061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A221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B60D7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22EFBB0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6BDA80B1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FF3AC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3BFB0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D913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9BAE2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B35542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C25904" w:rsidRPr="00C25904" w14:paraId="1D359C91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7FD96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843E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2AC2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3DBF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DB681B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C25904" w:rsidRPr="00C25904" w14:paraId="03EABA3F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42877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12323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DE19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50D17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540905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C25904" w:rsidRPr="00C25904" w14:paraId="468E7B96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7A38E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2590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4A5FEB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E9257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0D086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5C7202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C25904" w:rsidRPr="00C25904" w14:paraId="6DDAAB07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8008F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A4A57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29DA8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71CC2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37198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C25904" w:rsidRPr="00C25904" w14:paraId="645E3865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00FB8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Zakwaterowanie i gastronomia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80080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815AE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46C41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E9F4BA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C25904" w:rsidRPr="00C25904" w14:paraId="4953F17B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656B6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92A55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9CAC9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A53492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DE9DA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102,0</w:t>
            </w:r>
          </w:p>
        </w:tc>
      </w:tr>
      <w:tr w:rsidR="00C25904" w:rsidRPr="00C25904" w14:paraId="68D2C5CB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3CA6F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C25904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9DA7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FE94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96,0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4B949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F84E85B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95,5</w:t>
            </w:r>
          </w:p>
        </w:tc>
      </w:tr>
      <w:tr w:rsidR="00C25904" w:rsidRPr="00C25904" w14:paraId="042674D7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AFBAC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C25904">
              <w:rPr>
                <w:rFonts w:cs="Arial"/>
                <w:szCs w:val="19"/>
                <w:highlight w:val="black"/>
              </w:rPr>
              <w:t>techniczna</w:t>
            </w:r>
            <w:r w:rsidRPr="00C2590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2590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5EA26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4869A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C90C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E7AB2B4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106,5</w:t>
            </w:r>
          </w:p>
        </w:tc>
      </w:tr>
      <w:tr w:rsidR="00C25904" w:rsidRPr="00C25904" w14:paraId="13E821B6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D2097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81B71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1AF0C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0F89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551F31A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96,0</w:t>
            </w:r>
          </w:p>
        </w:tc>
      </w:tr>
      <w:tr w:rsidR="00C91393" w:rsidRPr="00C25904" w14:paraId="0A2EADE9" w14:textId="77777777" w:rsidTr="00C2590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6200DC" w14:textId="77777777" w:rsidR="00C91393" w:rsidRPr="00C25904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C7C52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E40D3D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DCB858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0990A59" w14:textId="77777777" w:rsidR="00C91393" w:rsidRPr="00C25904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102,6</w:t>
            </w:r>
          </w:p>
        </w:tc>
      </w:tr>
    </w:tbl>
    <w:p w14:paraId="3BD27240" w14:textId="77777777" w:rsidR="00C91393" w:rsidRPr="00C25904" w:rsidRDefault="00C91393" w:rsidP="00257EDC">
      <w:pPr>
        <w:suppressAutoHyphens/>
        <w:spacing w:before="120" w:after="720" w:line="240" w:lineRule="exact"/>
        <w:rPr>
          <w:rFonts w:cs="Arial"/>
          <w:sz w:val="16"/>
          <w:szCs w:val="16"/>
          <w:highlight w:val="black"/>
        </w:rPr>
      </w:pPr>
      <w:r w:rsidRPr="00C25904">
        <w:rPr>
          <w:sz w:val="16"/>
          <w:szCs w:val="16"/>
          <w:highlight w:val="black"/>
        </w:rPr>
        <w:t xml:space="preserve">a </w:t>
      </w:r>
      <w:r w:rsidRPr="00C2590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375E5D8" w14:textId="125BCA47" w:rsidR="00C91393" w:rsidRPr="00C25904" w:rsidRDefault="00C91393" w:rsidP="00C91393">
      <w:pPr>
        <w:spacing w:before="120" w:after="120" w:line="288" w:lineRule="auto"/>
        <w:rPr>
          <w:rFonts w:cs="Arial"/>
          <w:szCs w:val="19"/>
          <w:highlight w:val="black"/>
        </w:rPr>
      </w:pPr>
      <w:r w:rsidRPr="00C25904">
        <w:rPr>
          <w:rFonts w:cs="Arial"/>
          <w:szCs w:val="19"/>
          <w:highlight w:val="black"/>
        </w:rPr>
        <w:lastRenderedPageBreak/>
        <w:t>W przetwórstwie przemysłowym, dostawie wody; gospodarowaniu ściekami i odpadami; rekultywacji</w:t>
      </w:r>
      <w:r w:rsidRPr="00C25904">
        <w:rPr>
          <w:highlight w:val="black"/>
        </w:rPr>
        <w:t xml:space="preserve"> oraz w handlu; naprawie pojazdów samochodowych zatrudnienie </w:t>
      </w:r>
      <w:r w:rsidRPr="00C25904">
        <w:rPr>
          <w:rFonts w:cs="Arial"/>
          <w:szCs w:val="19"/>
          <w:highlight w:val="black"/>
        </w:rPr>
        <w:t>pozostało na zbliżonym poziomie względem kwietnia 2024 r. W</w:t>
      </w:r>
      <w:r w:rsidRPr="00C25904">
        <w:rPr>
          <w:highlight w:val="black"/>
        </w:rPr>
        <w:t>zrost przeciętnego zatrudnienia w porównaniu z poprzednim miesiącem wystąpił w dziesięciu sekcjach – w przedziale od 0,1% w</w:t>
      </w:r>
      <w:r w:rsidR="00DF4A7D" w:rsidRPr="00C25904">
        <w:rPr>
          <w:highlight w:val="black"/>
        </w:rPr>
        <w:t> </w:t>
      </w:r>
      <w:r w:rsidRPr="00C25904">
        <w:rPr>
          <w:highlight w:val="black"/>
        </w:rPr>
        <w:t xml:space="preserve">informacji i komunikacji do 0,9% w </w:t>
      </w:r>
      <w:r w:rsidRPr="00C25904">
        <w:rPr>
          <w:rFonts w:cs="Arial"/>
          <w:szCs w:val="19"/>
          <w:highlight w:val="black"/>
        </w:rPr>
        <w:t>działalności związanej z kulturą, rozrywką i rekreacją. Natomiast spadek zatrudnienia odnotowano w budownictwie (o 0,4%).</w:t>
      </w:r>
    </w:p>
    <w:p w14:paraId="2CFF5082" w14:textId="77777777" w:rsidR="00C91393" w:rsidRPr="00C25904" w:rsidRDefault="00C91393" w:rsidP="00C9139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t>Dynamika przeciętnego zatrudnienia w sektorze przedsiębiorstw (przeciętna miesięczna 2021=100)</w:t>
      </w:r>
    </w:p>
    <w:p w14:paraId="59C0582D" w14:textId="095B7A86" w:rsidR="00C91393" w:rsidRPr="00C25904" w:rsidRDefault="00195FB0" w:rsidP="00C91393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9B31596" wp14:editId="6A1A26A4">
            <wp:extent cx="6645275" cy="2895600"/>
            <wp:effectExtent l="0" t="0" r="3175" b="0"/>
            <wp:docPr id="25" name="Obraz 25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502D445" w:rsidR="00F75386" w:rsidRPr="00C25904" w:rsidRDefault="00C91393" w:rsidP="00C91393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 okresie styczeń–maj 2024 r. przeciętne zatrudnienie w sektorze przedsiębiorstw ukształtowało się na poziomie 250,9</w:t>
      </w:r>
      <w:r w:rsidR="002C34C7" w:rsidRPr="00C25904">
        <w:rPr>
          <w:highlight w:val="black"/>
        </w:rPr>
        <w:t> </w:t>
      </w:r>
      <w:r w:rsidRPr="00C25904">
        <w:rPr>
          <w:highlight w:val="black"/>
        </w:rPr>
        <w:t>tys. osób (w przeliczeniu na etaty) i zmniejszyło się o 1,1% w porównaniu z analogicznym okresem 2023 r. (w kraju spadek o 0,3%). Największy spadek zatrudnienia odnotowano w obsłudze rynku nieruchomości (o 4,5%), najwyższy natomiast wzrost zatrudnienia wystąpił w działalności profesjonalnej, naukowej i technicznej (o 6,5%).</w:t>
      </w:r>
    </w:p>
    <w:p w14:paraId="3B98C8DA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końcu maja 2024 r. </w:t>
      </w:r>
      <w:r w:rsidRPr="00C2590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w urzędach pracy wyniosła 64,5 tys. osób i była niższa o 1,7 tys. osób niż w poprzednim miesiącu i o 2,7 tys. osób niższa niż w maju 2023 r. Kobiety stanowiły 51,0% ogółu zarejestrowanych bezrobotnych (przed rokiem 52,2%).</w:t>
      </w:r>
    </w:p>
    <w:p w14:paraId="6F5E1820" w14:textId="77777777" w:rsidR="00E65FF9" w:rsidRPr="00C25904" w:rsidRDefault="00E65FF9" w:rsidP="00E65FF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C25904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E65FF9" w:rsidRPr="00C25904" w14:paraId="22F163FD" w14:textId="77777777" w:rsidTr="00C25904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7D08807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2685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759C14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C25904" w:rsidRPr="00C25904" w14:paraId="677E7E6D" w14:textId="77777777" w:rsidTr="00C2590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5A7A5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D2A67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07380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3BFDA6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C25904" w:rsidRPr="00C25904" w14:paraId="501B63DD" w14:textId="77777777" w:rsidTr="00C2590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137B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9477F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67,2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8D00B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66,2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2080B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64,5</w:t>
            </w:r>
          </w:p>
        </w:tc>
      </w:tr>
      <w:tr w:rsidR="00C25904" w:rsidRPr="00C25904" w14:paraId="13446415" w14:textId="77777777" w:rsidTr="00C2590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2F545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825B1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AD80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EE97DB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</w:tr>
      <w:tr w:rsidR="00C25904" w:rsidRPr="00C25904" w14:paraId="3EDF9649" w14:textId="77777777" w:rsidTr="00C2590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043F5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FBEF0A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E0EB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57C2F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</w:tr>
      <w:tr w:rsidR="00E65FF9" w:rsidRPr="00C25904" w14:paraId="6403FFDC" w14:textId="77777777" w:rsidTr="00C2590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954178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FD4EFE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CC3B2A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806B2BE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</w:tr>
    </w:tbl>
    <w:p w14:paraId="087B76CA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w końcu maja 2024 r. wyniosła 8,3% i zmniejszyła się w </w:t>
      </w:r>
      <w:r w:rsidRPr="00C25904">
        <w:rPr>
          <w:szCs w:val="19"/>
          <w:highlight w:val="black"/>
        </w:rPr>
        <w:t>odniesieniu do poprzedniego miesiąca o 0,2 p.proc., a także zmniejszyła się o 0,3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p.proc. w porównaniu z majem 2023 r. W rankingu województw, pod względem wysokości stopy bezrobocia, województwo podkarpackie uplasowało się na szesnastym miejscu (najniższą stopę bezrobocia zanotowano w województwie wielkopolskim – 3,0%). W kraju stopa bezrobocia wyniosła 5,0%, wobec 5,1% w maju 2023 r.</w:t>
      </w:r>
    </w:p>
    <w:p w14:paraId="0388CB06" w14:textId="77777777" w:rsidR="00E65FF9" w:rsidRPr="00C25904" w:rsidRDefault="00E65FF9" w:rsidP="00E65FF9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31E15C07" w14:textId="3FEA0534" w:rsidR="00E65FF9" w:rsidRPr="00C25904" w:rsidRDefault="00DA5AAD" w:rsidP="00E65FF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2E0C3A3C" wp14:editId="37940564">
            <wp:extent cx="6608445" cy="3096895"/>
            <wp:effectExtent l="0" t="0" r="1905" b="8255"/>
            <wp:docPr id="33" name="Obraz 33" descr="Wykres 2. Na wykresie liniowym zaprezentowano stopę bezrobocia rejestrowanego dla poszczególnych miesięcy w latach 2021-2024 dla Polski i województwa podkarpackiego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450E3" w14:textId="77777777" w:rsidR="00E65FF9" w:rsidRPr="00C25904" w:rsidRDefault="00E65FF9" w:rsidP="00E65FF9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maja 2024 r. wystąpiła w powiecie brzozowskim (18,9%), a najniższy jej poziom odnotowano w Krośnie (3,0%). </w:t>
      </w:r>
      <w:r w:rsidRPr="00C25904">
        <w:rPr>
          <w:rFonts w:eastAsia="Times New Roman" w:cs="Arial"/>
          <w:szCs w:val="19"/>
          <w:highlight w:val="black"/>
          <w:lang w:eastAsia="pl-PL"/>
        </w:rPr>
        <w:t>W porównaniu z poprzednim miesiącem spadek stopy bezrobocia odnotowano w dwudziestu czterech powiatach, w tym największy w brzozowskim (o 0,7 p.proc.). Natomiast w powiecie strzyżowskim stopa bezrobocia utrzymała się na poziomie z kwietnia 2024 r.</w:t>
      </w:r>
    </w:p>
    <w:p w14:paraId="2DEFCDDD" w14:textId="77777777" w:rsidR="00E65FF9" w:rsidRPr="00C25904" w:rsidRDefault="00E65FF9" w:rsidP="00CF7866">
      <w:pPr>
        <w:spacing w:before="120" w:after="73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 w:cs="Arial"/>
          <w:szCs w:val="19"/>
          <w:highlight w:val="black"/>
          <w:lang w:eastAsia="pl-PL"/>
        </w:rPr>
        <w:t xml:space="preserve">W porównaniu z majem 2023 r. spadek stopy bezrobocia rejestrowanego zanotowano w dwudziestu powiatach, w tym największy w niżańskim (o 1,1 p.proc.), a jej wzrost odnotowano w trzech powiatach, 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w tym największy w krośnieńskim i Krośnie (po 0,3 p.proc.). </w:t>
      </w:r>
      <w:r w:rsidRPr="00C25904">
        <w:rPr>
          <w:rFonts w:eastAsia="Times New Roman" w:cs="Arial"/>
          <w:szCs w:val="19"/>
          <w:highlight w:val="black"/>
          <w:lang w:eastAsia="pl-PL"/>
        </w:rPr>
        <w:t>Natomiast w powiatach jasielskim i sanockim stopa bezrobocia utrzymała się na poziomie z maja 2023 r.</w:t>
      </w:r>
    </w:p>
    <w:p w14:paraId="63B95001" w14:textId="77777777" w:rsidR="00E65FF9" w:rsidRPr="00C25904" w:rsidRDefault="00E65FF9" w:rsidP="00E65FF9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C25904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2024 r. (stan w końcu maja)</w:t>
      </w:r>
    </w:p>
    <w:p w14:paraId="573F2375" w14:textId="77777777" w:rsidR="00E65FF9" w:rsidRPr="00C25904" w:rsidRDefault="00E65FF9" w:rsidP="00E65F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C402B54" w14:textId="7C9F754E" w:rsidR="00E65FF9" w:rsidRPr="00C25904" w:rsidRDefault="00195FB0" w:rsidP="00E65F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C642E2C" wp14:editId="73531DBA">
            <wp:extent cx="4282449" cy="4943866"/>
            <wp:effectExtent l="0" t="0" r="3810" b="9525"/>
            <wp:docPr id="9" name="Obraz 9" descr="Mapa 1. Na mapie przedstawiono stopę bezrobocia rejestrowanego według powiatów województwa podkarpackiego w końcu maj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obocia_05_2024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F79A" w14:textId="77777777" w:rsidR="00E65FF9" w:rsidRPr="00C25904" w:rsidRDefault="00E65FF9" w:rsidP="00E65FF9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pacing w:val="2"/>
          <w:szCs w:val="19"/>
          <w:highlight w:val="black"/>
          <w:lang w:eastAsia="pl-PL"/>
        </w:rPr>
        <w:t xml:space="preserve">W maju 2024 r. w urzędach pracy </w:t>
      </w:r>
      <w:r w:rsidRPr="00C25904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C25904">
        <w:rPr>
          <w:rFonts w:eastAsia="Times New Roman"/>
          <w:spacing w:val="2"/>
          <w:szCs w:val="19"/>
          <w:highlight w:val="black"/>
          <w:lang w:eastAsia="pl-PL"/>
        </w:rPr>
        <w:t xml:space="preserve"> 5,6 tys. osób bezrobotnych (o 14,7% mniej niż przed miesiącem i o 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>19,1% mniej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niż przed rokiem). Udział osób rejestrujących się po raz kolejny w nowo zarejestrowanych ogółem zmniejszył się w stosunku do maja 2023 r. (o 1,1 p.proc. do 79,0%). Zmalał również udział osób bez doświadczenia zawodowego (o 2,0 p.proc. do 21,2%) i absolwentów (o 1,5 p.proc. do 9,2%). Zwiększył się natomiast udział osób zwolnionych z przyczyn dotyczących zakładu pracy (o 0,7 p.proc. do 4,0%). </w:t>
      </w:r>
      <w:r w:rsidRPr="00C25904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6989B0B9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maju 2024 r. z ewidencji bezrobotnych </w:t>
      </w:r>
      <w:r w:rsidRPr="00C25904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7,4 tys. osób (o 15,6% mniej niż w poprzednim miesiącu i o 13,7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>% mniej niż w maju 2023 r.).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4,5 tys. osób (przed rokiem – 4,8 tys.). Udział tej kategorii osób w ogólnej liczbie wyrejestrowanych zwiększył się w ujęciu rocznym (o 5,3 p.proc. do 61,1%).</w:t>
      </w:r>
    </w:p>
    <w:p w14:paraId="624DAAFB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C25904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, które </w:t>
      </w:r>
      <w:r w:rsidRPr="00C25904">
        <w:rPr>
          <w:szCs w:val="19"/>
          <w:highlight w:val="black"/>
        </w:rPr>
        <w:t>osiągnęły wiek emerytalny (o 0,2 p.proc. do 1,9%)</w:t>
      </w:r>
      <w:r w:rsidRPr="00C25904">
        <w:rPr>
          <w:rFonts w:eastAsia="Times New Roman"/>
          <w:szCs w:val="19"/>
          <w:highlight w:val="black"/>
          <w:lang w:eastAsia="pl-PL"/>
        </w:rPr>
        <w:t>. Względem maja 2023 r. zmniejszył się natomiast udział osób,</w:t>
      </w:r>
      <w:r w:rsidRPr="00C25904">
        <w:rPr>
          <w:szCs w:val="19"/>
          <w:highlight w:val="black"/>
        </w:rPr>
        <w:t xml:space="preserve"> 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które rozpoczęły szkolenie lub staż u pracodawców (o 3,7 p.proc. do 6,5%) oraz tych, które dobrowolnie zrezygnowały ze statusu bezrobotnego (o 1,6 p.proc. do 6,5%). </w:t>
      </w:r>
      <w:r w:rsidRPr="00C25904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C25904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11,1%.</w:t>
      </w:r>
    </w:p>
    <w:p w14:paraId="58A55019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końcu maja 2024 r. </w:t>
      </w:r>
      <w:r w:rsidRPr="00C25904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pozostawało 54,6 tys. bezrobotnych, a ich udział w ogólnej liczbie bezrobotnych zmniejszył się w porównaniu z analogicznym miesiącem 2023 r. (z 85,5% do 84,7%).</w:t>
      </w:r>
    </w:p>
    <w:p w14:paraId="58FEC505" w14:textId="77777777" w:rsidR="00E65FF9" w:rsidRPr="00C25904" w:rsidRDefault="00E65FF9" w:rsidP="00E65FF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C25904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w końcu maja 2024 r. stanowili 85,7% ogółu bezrobotnych (przed rokiem 85,9%). Do bezrobotnych będących w szczególnej sytuacji na rynku pracy zaliczane są m.in. osoby długotrwale bezrobotne</w:t>
      </w:r>
      <w:r w:rsidRPr="00C25904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C25904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0,5 p.proc. do 56,1%). Zwiększył się natomiast udział osób do 25. roku życia (o 0,6 p.proc. do 13,4%), a także osób niepełnosprawnych (o 0,5 p.proc. do 7,3%).</w:t>
      </w:r>
    </w:p>
    <w:p w14:paraId="40D926E9" w14:textId="77777777" w:rsidR="00E65FF9" w:rsidRPr="00C25904" w:rsidRDefault="00E65FF9" w:rsidP="00E65FF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C25904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C25904">
        <w:rPr>
          <w:rFonts w:cs="Arial"/>
          <w:b/>
          <w:szCs w:val="19"/>
          <w:highlight w:val="black"/>
          <w:lang w:eastAsia="pl-PL"/>
        </w:rPr>
        <w:t>bezrobotnych</w:t>
      </w:r>
      <w:r w:rsidRPr="00C25904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C25904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E65FF9" w:rsidRPr="00C25904" w14:paraId="0F5FA968" w14:textId="77777777" w:rsidTr="00C2590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5B6872B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6440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4EA6BF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E65FF9" w:rsidRPr="00C25904" w14:paraId="03CBB8AF" w14:textId="77777777" w:rsidTr="00C2590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3F2C136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B2AED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F08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DF7656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E65FF9" w:rsidRPr="00C25904" w14:paraId="5F5E6B1A" w14:textId="77777777" w:rsidTr="00C2590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8B338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80342C" w14:textId="77777777" w:rsidR="00E65FF9" w:rsidRPr="00C25904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C25904" w:rsidRPr="00C25904" w14:paraId="289496C7" w14:textId="77777777" w:rsidTr="00C2590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FAC99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D2F7D" w14:textId="77777777" w:rsidR="00E65FF9" w:rsidRPr="00C25904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A3BA4F" w14:textId="77777777" w:rsidR="00E65FF9" w:rsidRPr="00C25904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2F31C1" w14:textId="77777777" w:rsidR="00E65FF9" w:rsidRPr="00C25904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25904" w:rsidRPr="00C25904" w14:paraId="4D0A8546" w14:textId="77777777" w:rsidTr="00C2590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6905B7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D2AE0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cs="Calibri"/>
                <w:szCs w:val="19"/>
                <w:highlight w:val="black"/>
              </w:rPr>
              <w:t>12,8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2B4B4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4B5BB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13,4</w:t>
            </w:r>
          </w:p>
        </w:tc>
      </w:tr>
      <w:tr w:rsidR="00C25904" w:rsidRPr="00C25904" w14:paraId="15F86E0B" w14:textId="77777777" w:rsidTr="00C2590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A7A9B2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5CE47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777F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7260CD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C25904" w:rsidRPr="00C25904" w14:paraId="0BEBA367" w14:textId="77777777" w:rsidTr="00C2590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2601A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C9EB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cs="Calibri"/>
                <w:szCs w:val="19"/>
                <w:highlight w:val="black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1B9C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57DDF9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56,1</w:t>
            </w:r>
          </w:p>
        </w:tc>
      </w:tr>
      <w:tr w:rsidR="00E65FF9" w:rsidRPr="00C25904" w14:paraId="0FBE23AC" w14:textId="77777777" w:rsidTr="00C2590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E86954" w14:textId="77777777" w:rsidR="00E65FF9" w:rsidRPr="00C25904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1D9D3A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256827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9196ED7" w14:textId="77777777" w:rsidR="00E65FF9" w:rsidRPr="00C2590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0C6B30BD" w14:textId="77777777" w:rsidR="00E65FF9" w:rsidRPr="00C25904" w:rsidRDefault="00E65FF9" w:rsidP="00E65FF9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C25904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C25904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C2590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7397F6E" w14:textId="227B9D3F" w:rsidR="00E65FF9" w:rsidRPr="00C25904" w:rsidRDefault="00E65FF9" w:rsidP="00E65FF9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C25904">
        <w:rPr>
          <w:rFonts w:eastAsia="Times New Roman"/>
          <w:spacing w:val="-4"/>
          <w:szCs w:val="19"/>
          <w:highlight w:val="black"/>
          <w:lang w:eastAsia="pl-PL"/>
        </w:rPr>
        <w:t xml:space="preserve">W maju 2024 r. do urzędów pracy zgłoszono 3,2 tys. </w:t>
      </w:r>
      <w:r w:rsidRPr="00C25904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C25904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 xml:space="preserve"> (o 0,4 tys. mniej niż przed miesiącem i o 1,4 tys. mniej niż w maju 2023 r.). </w:t>
      </w:r>
      <w:r w:rsidRPr="00C25904">
        <w:rPr>
          <w:rFonts w:eastAsia="Times New Roman"/>
          <w:spacing w:val="-2"/>
          <w:szCs w:val="19"/>
          <w:highlight w:val="black"/>
          <w:lang w:eastAsia="pl-PL"/>
        </w:rPr>
        <w:t xml:space="preserve">W końcu miesiąca na 1 ofertę pracy przypadało 28 bezrobotnych (przed miesiącem 31, a </w:t>
      </w:r>
      <w:r w:rsidRPr="00C25904">
        <w:rPr>
          <w:rFonts w:eastAsia="Times New Roman"/>
          <w:szCs w:val="19"/>
          <w:highlight w:val="black"/>
          <w:lang w:eastAsia="pl-PL"/>
        </w:rPr>
        <w:t>w maju 2023</w:t>
      </w:r>
      <w:r w:rsidR="0057324D" w:rsidRPr="00C25904">
        <w:rPr>
          <w:rFonts w:eastAsia="Times New Roman"/>
          <w:szCs w:val="19"/>
          <w:highlight w:val="black"/>
          <w:lang w:eastAsia="pl-PL"/>
        </w:rPr>
        <w:t> </w:t>
      </w:r>
      <w:r w:rsidRPr="00C25904">
        <w:rPr>
          <w:rFonts w:eastAsia="Times New Roman"/>
          <w:szCs w:val="19"/>
          <w:highlight w:val="black"/>
          <w:lang w:eastAsia="pl-PL"/>
        </w:rPr>
        <w:t>r.</w:t>
      </w:r>
      <w:r w:rsidR="0057324D" w:rsidRPr="00C25904">
        <w:rPr>
          <w:rFonts w:eastAsia="Times New Roman"/>
          <w:szCs w:val="19"/>
          <w:highlight w:val="black"/>
          <w:lang w:eastAsia="pl-PL"/>
        </w:rPr>
        <w:t> </w:t>
      </w:r>
      <w:r w:rsidRPr="00C25904">
        <w:rPr>
          <w:rFonts w:eastAsia="Times New Roman"/>
          <w:szCs w:val="19"/>
          <w:highlight w:val="black"/>
          <w:lang w:eastAsia="pl-PL"/>
        </w:rPr>
        <w:t>–</w:t>
      </w:r>
      <w:r w:rsidR="0057324D" w:rsidRPr="00C25904">
        <w:rPr>
          <w:rFonts w:eastAsia="Times New Roman"/>
          <w:spacing w:val="-2"/>
          <w:szCs w:val="19"/>
          <w:highlight w:val="black"/>
          <w:lang w:eastAsia="pl-PL"/>
        </w:rPr>
        <w:t> </w:t>
      </w:r>
      <w:r w:rsidRPr="00C25904">
        <w:rPr>
          <w:rFonts w:eastAsia="Times New Roman"/>
          <w:spacing w:val="-2"/>
          <w:szCs w:val="19"/>
          <w:highlight w:val="black"/>
          <w:lang w:eastAsia="pl-PL"/>
        </w:rPr>
        <w:t>23).</w:t>
      </w:r>
    </w:p>
    <w:p w14:paraId="43DA5E5A" w14:textId="77777777" w:rsidR="00E65FF9" w:rsidRPr="00C25904" w:rsidRDefault="00E65FF9" w:rsidP="00E65FF9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C25904">
        <w:rPr>
          <w:b/>
          <w:highlight w:val="black"/>
          <w:lang w:eastAsia="pl-PL"/>
        </w:rPr>
        <w:t>Bezrobotni na 1 ofertę pracy (stan w końcu miesiąca)</w:t>
      </w:r>
    </w:p>
    <w:p w14:paraId="2B626FCC" w14:textId="5550862B" w:rsidR="00E65FF9" w:rsidRPr="00C25904" w:rsidRDefault="00DA5AAD" w:rsidP="00E65FF9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0DFD05E" wp14:editId="161C1C4C">
            <wp:extent cx="6638925" cy="3139440"/>
            <wp:effectExtent l="0" t="0" r="9525" b="3810"/>
            <wp:docPr id="34" name="Obraz 34" descr="Wykres 3. Na wykresie kolumnowym zaprezentowano liczbę bezrobotnych przypadających na 1 ofertę pracy w województwie podkarpackim w końcu poszczególnych miesięcy w latach 2021-2024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A67BB6C" w:rsidR="00DB54AE" w:rsidRPr="00C25904" w:rsidRDefault="00E65FF9" w:rsidP="00E65FF9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C25904">
        <w:rPr>
          <w:rFonts w:eastAsia="Times New Roman"/>
          <w:spacing w:val="-4"/>
          <w:highlight w:val="black"/>
          <w:lang w:eastAsia="pl-PL"/>
        </w:rPr>
        <w:t>Wydatki Funduszu Pracy w maju 2024 r. wyniosły 58,3 mln zł, z których 29,4% przeznaczono na zasiłki dla bezrobotnych.</w:t>
      </w:r>
    </w:p>
    <w:p w14:paraId="333BE970" w14:textId="744ED2E1" w:rsidR="00502C57" w:rsidRPr="00C25904" w:rsidRDefault="00A40037" w:rsidP="00CE3E17">
      <w:pPr>
        <w:pStyle w:val="Nagwek1"/>
        <w:rPr>
          <w:highlight w:val="black"/>
        </w:rPr>
      </w:pPr>
      <w:bookmarkStart w:id="21" w:name="_Toc170470023"/>
      <w:r w:rsidRPr="00C25904">
        <w:rPr>
          <w:highlight w:val="black"/>
        </w:rPr>
        <w:lastRenderedPageBreak/>
        <w:t>W</w:t>
      </w:r>
      <w:r w:rsidR="00502C57" w:rsidRPr="00C25904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1"/>
    </w:p>
    <w:p w14:paraId="322CDECB" w14:textId="77777777" w:rsidR="00D80352" w:rsidRPr="00C25904" w:rsidRDefault="00D80352" w:rsidP="00D80352">
      <w:pPr>
        <w:spacing w:before="120" w:after="120" w:line="288" w:lineRule="auto"/>
        <w:rPr>
          <w:highlight w:val="black"/>
        </w:rPr>
      </w:pPr>
      <w:bookmarkStart w:id="22" w:name="_Toc162592892"/>
      <w:bookmarkStart w:id="23" w:name="_Toc328389332"/>
      <w:bookmarkStart w:id="24" w:name="_Toc507071633"/>
      <w:bookmarkStart w:id="25" w:name="_Toc507072376"/>
      <w:bookmarkStart w:id="26" w:name="_Toc507417428"/>
      <w:r w:rsidRPr="00C25904">
        <w:rPr>
          <w:highlight w:val="black"/>
        </w:rPr>
        <w:t>W maju 2024 r. przeciętne miesięczne wynagrodzenie brutto</w:t>
      </w:r>
      <w:r w:rsidRPr="00C25904">
        <w:rPr>
          <w:b/>
          <w:highlight w:val="black"/>
        </w:rPr>
        <w:t xml:space="preserve"> </w:t>
      </w:r>
      <w:r w:rsidRPr="00C25904">
        <w:rPr>
          <w:highlight w:val="black"/>
        </w:rPr>
        <w:t>zwiększyło się w skali roku (w odniesieniu – maj 2024 r. do maja 2023 r.), a tempo tego wzrostu było wyższe od notowanego w maju 2023 r.</w:t>
      </w:r>
    </w:p>
    <w:p w14:paraId="7E6BEB82" w14:textId="77777777" w:rsidR="00D80352" w:rsidRPr="00C25904" w:rsidRDefault="00D80352" w:rsidP="00D80352">
      <w:pPr>
        <w:spacing w:before="120" w:after="120" w:line="288" w:lineRule="auto"/>
        <w:rPr>
          <w:highlight w:val="black"/>
        </w:rPr>
      </w:pPr>
      <w:r w:rsidRPr="00C25904">
        <w:rPr>
          <w:b/>
          <w:highlight w:val="black"/>
        </w:rPr>
        <w:t>Przeciętne miesięczne wynagrodzenie brutto</w:t>
      </w:r>
      <w:r w:rsidRPr="00C25904">
        <w:rPr>
          <w:highlight w:val="black"/>
        </w:rPr>
        <w:t xml:space="preserve"> w sektorze przedsiębiorstw w maju 2024 r. ukształtowało się na poziomie 6795,73 zł i było o 15,5% wyższe niż w maju 2023 r., kiedy notowano wzrost o 11,7%. W porównaniu z poprzednim miesiącem płace zmalały o 3,3%. W Polsce przeciętne miesięczne wynagrodzenie brutto wyniosło 7999,69 zł i wzrosło w porównaniu z majem 2023 r. (o 11,4%), zmniejszyło się natomiast w odniesieniu do kwietnia 2024 r. (o 3,3%).</w:t>
      </w:r>
    </w:p>
    <w:p w14:paraId="0D36CB4C" w14:textId="77777777" w:rsidR="00D80352" w:rsidRPr="00C25904" w:rsidRDefault="00D80352" w:rsidP="00D80352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 odniesieniu do maja 2023 r. wzrost wynagrodzeń odnotowano niemal we wszystkich sekcjach sektora przedsiębiorstw, w tym najwyższy wzrost wystąpił w budownictwie (o 24,0%).</w:t>
      </w:r>
    </w:p>
    <w:p w14:paraId="0A21D9D6" w14:textId="77777777" w:rsidR="00D80352" w:rsidRPr="00C25904" w:rsidRDefault="00D80352" w:rsidP="00D8035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D80352" w:rsidRPr="00C25904" w14:paraId="2C410143" w14:textId="77777777" w:rsidTr="00C25904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E953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9E90AD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921442C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2024</w:t>
            </w:r>
          </w:p>
        </w:tc>
      </w:tr>
      <w:tr w:rsidR="00C25904" w:rsidRPr="00C25904" w14:paraId="17FBDE7B" w14:textId="77777777" w:rsidTr="00C25904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A206F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B2BE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6FEDC5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0188E4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ED6300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2023=100</w:t>
            </w:r>
          </w:p>
        </w:tc>
      </w:tr>
      <w:tr w:rsidR="00C25904" w:rsidRPr="00C25904" w14:paraId="2839664D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C251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568A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6 795,73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CB69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5BCA8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6 850,74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3784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115,7</w:t>
            </w:r>
          </w:p>
        </w:tc>
      </w:tr>
      <w:tr w:rsidR="00C25904" w:rsidRPr="00C25904" w14:paraId="16905BCA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66825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63AE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F1D4A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38A81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6562E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4431FCCB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E1160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D642C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7 020,05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8ACB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70CA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7 147,28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4D152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115,2</w:t>
            </w:r>
          </w:p>
        </w:tc>
      </w:tr>
      <w:tr w:rsidR="00C25904" w:rsidRPr="00C25904" w14:paraId="15CCA172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BE058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A7FAF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1561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13B7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837FD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0747F671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A3E65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89A6F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6 983,00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963D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764C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7 121,81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D1F8F0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115,6</w:t>
            </w:r>
          </w:p>
        </w:tc>
      </w:tr>
      <w:tr w:rsidR="00C25904" w:rsidRPr="00C25904" w14:paraId="1AB8FBDF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60C36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F788A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6 601,17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5028F7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0559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6 518,72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211F4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115,0</w:t>
            </w:r>
          </w:p>
        </w:tc>
      </w:tr>
      <w:tr w:rsidR="00C25904" w:rsidRPr="00C25904" w14:paraId="55C97977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A36C22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83130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6 523,32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DA4E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A89F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6 390,62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EBF2A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123,3</w:t>
            </w:r>
          </w:p>
        </w:tc>
      </w:tr>
      <w:tr w:rsidR="00C25904" w:rsidRPr="00C25904" w14:paraId="31939D6A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5A113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2590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11D6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6 269,73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11D61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0F7D8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6 233,96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50D8A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117,7</w:t>
            </w:r>
          </w:p>
        </w:tc>
      </w:tr>
      <w:tr w:rsidR="00C25904" w:rsidRPr="00C25904" w14:paraId="195D0B44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AA7D4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27" w:name="_Hlk162424839"/>
            <w:r w:rsidRPr="00C25904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27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52BF5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6 941,08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43BD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82E7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6 819,28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9AC3FA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C25904" w:rsidRPr="00C25904" w14:paraId="6539BD35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5E115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Zakwaterowanie i gastronomia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8B101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5 127,44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B4D0D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7D5D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5 120,61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32BAEB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115,2</w:t>
            </w:r>
          </w:p>
        </w:tc>
      </w:tr>
      <w:tr w:rsidR="00C25904" w:rsidRPr="00C25904" w14:paraId="22A37456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C938F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5D81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11 086,68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F25F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F94FA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11 262,80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B2E90E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110,2</w:t>
            </w:r>
          </w:p>
        </w:tc>
      </w:tr>
      <w:tr w:rsidR="00C25904" w:rsidRPr="00C25904" w14:paraId="6A76856D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2CE32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Obsługa rynku nieruchomości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D54E4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6 719,84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8B1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9D5A8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6 936,07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4656A4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C25904" w:rsidRPr="00C25904" w14:paraId="0D2F2763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99B1C" w14:textId="1D1DE3E2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Działalność profesjonalna, naukowa</w:t>
            </w:r>
            <w:r w:rsidR="0095632F" w:rsidRPr="00C25904">
              <w:rPr>
                <w:rFonts w:cs="Arial"/>
                <w:szCs w:val="19"/>
                <w:highlight w:val="black"/>
              </w:rPr>
              <w:t xml:space="preserve"> </w:t>
            </w:r>
            <w:r w:rsidRPr="00C25904">
              <w:rPr>
                <w:rFonts w:cs="Arial"/>
                <w:szCs w:val="19"/>
                <w:highlight w:val="black"/>
              </w:rPr>
              <w:t>i</w:t>
            </w:r>
            <w:r w:rsidR="0095632F" w:rsidRPr="00C25904">
              <w:rPr>
                <w:rFonts w:cs="Arial"/>
                <w:szCs w:val="19"/>
                <w:highlight w:val="black"/>
              </w:rPr>
              <w:t> </w:t>
            </w:r>
            <w:proofErr w:type="spellStart"/>
            <w:r w:rsidRPr="00C25904">
              <w:rPr>
                <w:rFonts w:cs="Arial"/>
                <w:szCs w:val="19"/>
                <w:highlight w:val="black"/>
              </w:rPr>
              <w:t>techniczna</w:t>
            </w:r>
            <w:r w:rsidRPr="00C2590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2590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06C52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7 113,59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855E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3C5F9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7 193,09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4EB97F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110,4</w:t>
            </w:r>
          </w:p>
        </w:tc>
      </w:tr>
      <w:tr w:rsidR="00C25904" w:rsidRPr="00C25904" w14:paraId="2AB9C87D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6CA2B" w14:textId="77777777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6BF38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5 081,83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29AE3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E49C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5 068,83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3B0EF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114,8</w:t>
            </w:r>
          </w:p>
        </w:tc>
      </w:tr>
      <w:tr w:rsidR="00D80352" w:rsidRPr="00C25904" w14:paraId="5D20D8B0" w14:textId="77777777" w:rsidTr="00C2590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44D2413" w14:textId="317366FA" w:rsidR="00D80352" w:rsidRPr="00C25904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95632F" w:rsidRPr="00C25904">
              <w:rPr>
                <w:rFonts w:cs="Arial"/>
                <w:szCs w:val="19"/>
                <w:highlight w:val="black"/>
              </w:rPr>
              <w:t> </w:t>
            </w:r>
            <w:r w:rsidRPr="00C25904">
              <w:rPr>
                <w:rFonts w:cs="Arial"/>
                <w:szCs w:val="19"/>
                <w:highlight w:val="black"/>
              </w:rPr>
              <w:t>rekreacją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6DBD61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6 551,62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06E8DD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2029B8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6 365,44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BED63F6" w14:textId="77777777" w:rsidR="00D80352" w:rsidRPr="00C25904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120,1</w:t>
            </w:r>
          </w:p>
        </w:tc>
      </w:tr>
    </w:tbl>
    <w:p w14:paraId="5025CFBF" w14:textId="77777777" w:rsidR="00D80352" w:rsidRPr="00C25904" w:rsidRDefault="00D80352" w:rsidP="00D80352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25904">
        <w:rPr>
          <w:sz w:val="16"/>
          <w:szCs w:val="16"/>
          <w:highlight w:val="black"/>
        </w:rPr>
        <w:t xml:space="preserve">a </w:t>
      </w:r>
      <w:r w:rsidRPr="00C2590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59FBD3C" w14:textId="77777777" w:rsidR="00D80352" w:rsidRPr="00C25904" w:rsidRDefault="00D80352" w:rsidP="00D8035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maju 2024 r.</w:t>
      </w:r>
    </w:p>
    <w:p w14:paraId="6C2B8162" w14:textId="21675E2E" w:rsidR="00D80352" w:rsidRPr="00C25904" w:rsidRDefault="00195FB0" w:rsidP="00EC2E20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1594D7AA" wp14:editId="7EA64132">
            <wp:extent cx="6645910" cy="3663315"/>
            <wp:effectExtent l="0" t="0" r="2540" b="0"/>
            <wp:docPr id="18" name="Obraz 18" descr="Wykres 4. Na wykresie słupkowym przedstawiono odchylenia względne przeciętnych miesięcznych wynagrodzeń brutto w wybranych sekcjach od średniego wynagrodzenia w sektorze przedsiębiorstw w województwie podkarpackim w maj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ez tytuł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06C2" w14:textId="77777777" w:rsidR="00D80352" w:rsidRPr="00C25904" w:rsidRDefault="00D80352" w:rsidP="00D80352">
      <w:pPr>
        <w:spacing w:before="120" w:after="120" w:line="240" w:lineRule="exact"/>
        <w:rPr>
          <w:sz w:val="16"/>
          <w:szCs w:val="16"/>
          <w:highlight w:val="black"/>
        </w:rPr>
      </w:pPr>
      <w:r w:rsidRPr="00C2590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3ADA38D0" w14:textId="4F6C65EA" w:rsidR="00D80352" w:rsidRPr="00C25904" w:rsidRDefault="00D80352" w:rsidP="00D80352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C25904">
        <w:rPr>
          <w:bCs/>
          <w:highlight w:val="black"/>
        </w:rPr>
        <w:t xml:space="preserve">W stosunku do kwietnia 2024 r. płace obniżyły się </w:t>
      </w:r>
      <w:bookmarkStart w:id="28" w:name="_Hlk129938097"/>
      <w:r w:rsidRPr="00C25904">
        <w:rPr>
          <w:bCs/>
          <w:highlight w:val="black"/>
        </w:rPr>
        <w:t xml:space="preserve">m.in. w: informacji i komunikacji (o 15,9%), </w:t>
      </w:r>
      <w:bookmarkStart w:id="29" w:name="_Hlk162425484"/>
      <w:r w:rsidRPr="00C25904">
        <w:rPr>
          <w:bCs/>
          <w:highlight w:val="black"/>
        </w:rPr>
        <w:t xml:space="preserve">działalności profesjonalnej, naukowej i technicznej </w:t>
      </w:r>
      <w:bookmarkEnd w:id="29"/>
      <w:r w:rsidRPr="00C25904">
        <w:rPr>
          <w:bCs/>
          <w:highlight w:val="black"/>
        </w:rPr>
        <w:t>(o 10,7%), przetwórstwie przemysłowym (o 4,7%)</w:t>
      </w:r>
      <w:bookmarkStart w:id="30" w:name="_Hlk170280681"/>
      <w:r w:rsidRPr="00C25904">
        <w:rPr>
          <w:bCs/>
          <w:highlight w:val="black"/>
        </w:rPr>
        <w:t>, handlu; naprawie pojazdów samochodowych</w:t>
      </w:r>
      <w:bookmarkEnd w:id="30"/>
      <w:r w:rsidRPr="00C25904">
        <w:rPr>
          <w:bCs/>
          <w:highlight w:val="black"/>
        </w:rPr>
        <w:t xml:space="preserve"> (o</w:t>
      </w:r>
      <w:r w:rsidR="00147AEC" w:rsidRPr="00C25904">
        <w:rPr>
          <w:bCs/>
          <w:highlight w:val="black"/>
        </w:rPr>
        <w:t> </w:t>
      </w:r>
      <w:r w:rsidRPr="00C25904">
        <w:rPr>
          <w:bCs/>
          <w:highlight w:val="black"/>
        </w:rPr>
        <w:t xml:space="preserve">0,7%), zakwaterowaniu i gastronomii (o 0,6%) oraz w budownictwie (o 0,1%). Wzrost wynagrodzeń wystąpił natomiast m.in. w: </w:t>
      </w:r>
      <w:bookmarkStart w:id="31" w:name="_Hlk162425443"/>
      <w:r w:rsidRPr="00C25904">
        <w:rPr>
          <w:bCs/>
          <w:highlight w:val="black"/>
        </w:rPr>
        <w:t>działalności związanej z kulturą, rozrywką i rekreacją (o 5,1%), dostawie wody; gospodarowaniu ściekami i odpadami; rekultywacji oraz w transporcie i gospodarce magazynowej (po 1,3%), obsłudze rynku nieruchomości (o 0,7%), a</w:t>
      </w:r>
      <w:r w:rsidR="00147AEC" w:rsidRPr="00C25904">
        <w:rPr>
          <w:bCs/>
          <w:highlight w:val="black"/>
        </w:rPr>
        <w:t> </w:t>
      </w:r>
      <w:r w:rsidRPr="00C25904">
        <w:rPr>
          <w:bCs/>
          <w:highlight w:val="black"/>
        </w:rPr>
        <w:t xml:space="preserve">także w </w:t>
      </w:r>
      <w:bookmarkEnd w:id="31"/>
      <w:r w:rsidRPr="00C25904">
        <w:rPr>
          <w:bCs/>
          <w:highlight w:val="black"/>
        </w:rPr>
        <w:t>administrowaniu i działalności wspierającej (o 0,4%).</w:t>
      </w:r>
    </w:p>
    <w:p w14:paraId="60C25276" w14:textId="55C707F6" w:rsidR="00D80352" w:rsidRPr="00C25904" w:rsidRDefault="00D80352" w:rsidP="00D80352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C25904">
        <w:rPr>
          <w:bCs/>
          <w:highlight w:val="black"/>
        </w:rPr>
        <w:t>Od stycznia do maja 2024 r. przeciętne miesięczne wynagrodzenie brutto w sektorze przedsiębiorstw wyniosło 6850,74 zł i</w:t>
      </w:r>
      <w:r w:rsidR="00147AEC" w:rsidRPr="00C25904">
        <w:rPr>
          <w:bCs/>
          <w:highlight w:val="black"/>
        </w:rPr>
        <w:t> </w:t>
      </w:r>
      <w:r w:rsidRPr="00C25904">
        <w:rPr>
          <w:bCs/>
          <w:highlight w:val="black"/>
        </w:rPr>
        <w:t>było o 15,7% wyższe (w Polsce o 12,0%) niż w analogicznym okresie 2023 r. Niemal we wszystkich sekcjach sektora przedsiębiorstw odnotowano wzrost płac, w tym znaczący wzrost dotyczył budownictwa (o 23,3%).</w:t>
      </w:r>
    </w:p>
    <w:bookmarkEnd w:id="28"/>
    <w:p w14:paraId="19E25CF9" w14:textId="77777777" w:rsidR="00D80352" w:rsidRPr="00C25904" w:rsidRDefault="00D80352" w:rsidP="00D8035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t>Dynamika przeciętnego miesięcznego wynagrodzenia brutto w sektorze przedsiębiorstw</w:t>
      </w:r>
      <w:r w:rsidRPr="00C25904">
        <w:rPr>
          <w:b/>
          <w:szCs w:val="19"/>
          <w:highlight w:val="black"/>
        </w:rPr>
        <w:br/>
        <w:t>(przeciętna miesięczna 2021=100)</w:t>
      </w:r>
    </w:p>
    <w:p w14:paraId="1C1589B6" w14:textId="3F46994B" w:rsidR="00D80352" w:rsidRPr="00C25904" w:rsidRDefault="00195FB0" w:rsidP="00BA057A">
      <w:pPr>
        <w:suppressAutoHyphens/>
        <w:spacing w:before="120" w:after="7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E4C70F2" wp14:editId="513B7BC7">
            <wp:extent cx="6645275" cy="2590800"/>
            <wp:effectExtent l="0" t="0" r="3175" b="0"/>
            <wp:docPr id="27" name="Obraz 27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51FDE" w14:textId="77777777" w:rsidR="00C31C41" w:rsidRPr="00C25904" w:rsidRDefault="00C31C41" w:rsidP="00C31C41">
      <w:pPr>
        <w:pStyle w:val="Nagwek1"/>
        <w:rPr>
          <w:highlight w:val="black"/>
        </w:rPr>
      </w:pPr>
      <w:bookmarkStart w:id="32" w:name="_Toc170470024"/>
      <w:r w:rsidRPr="00C25904">
        <w:rPr>
          <w:highlight w:val="black"/>
        </w:rPr>
        <w:lastRenderedPageBreak/>
        <w:t>Ceny detaliczne</w:t>
      </w:r>
      <w:bookmarkEnd w:id="22"/>
      <w:bookmarkEnd w:id="32"/>
    </w:p>
    <w:p w14:paraId="513C72D4" w14:textId="77777777" w:rsidR="00903D47" w:rsidRPr="00C25904" w:rsidRDefault="00903D47" w:rsidP="00903D47">
      <w:pPr>
        <w:spacing w:before="120" w:after="120" w:line="288" w:lineRule="auto"/>
        <w:rPr>
          <w:rFonts w:eastAsia="Times New Roman" w:cs="Arial"/>
          <w:bCs/>
          <w:szCs w:val="19"/>
          <w:highlight w:val="black"/>
          <w:lang w:eastAsia="pl-PL"/>
        </w:rPr>
      </w:pPr>
      <w:r w:rsidRPr="00C25904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1 kwartale 2024 r., </w:t>
      </w:r>
      <w:r w:rsidRPr="00C25904">
        <w:rPr>
          <w:rFonts w:cs="Arial"/>
          <w:bCs/>
          <w:szCs w:val="19"/>
          <w:highlight w:val="black"/>
        </w:rPr>
        <w:t>w porównaniu z analogicznym okresem poprzedniego roku,</w:t>
      </w:r>
      <w:r w:rsidRPr="00C25904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 usług konsumpcyjnych o 3,0% (wobec wzrostu o 7,0% w 4 kwartale 2023 r.). Najwyższy wzrost wystąpił w grupie: napoje alkoholowe i wyroby tytoniowe (o 7,3%), edukacja (o 5,5%), rekreacja i kultura (o 4,9%) oraz żywność i napoje bezalkoholowe (o 3,5%). Spadek cen zanotowano w grupie transport (o 5,5%). W tym okresie w kraju odnotowano wzrost cen o 2,8%.</w:t>
      </w:r>
    </w:p>
    <w:p w14:paraId="170E1A8A" w14:textId="77777777" w:rsidR="00903D47" w:rsidRPr="00C25904" w:rsidRDefault="00903D47" w:rsidP="00903D47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C25904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903D47" w:rsidRPr="00C25904" w14:paraId="45C5E639" w14:textId="77777777" w:rsidTr="00C25904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CECB6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783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1CE05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2022</w:t>
            </w:r>
          </w:p>
          <w:p w14:paraId="5B396FBB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03193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2023</w:t>
            </w:r>
          </w:p>
        </w:tc>
        <w:tc>
          <w:tcPr>
            <w:tcW w:w="781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1FAA9AB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2024</w:t>
            </w:r>
          </w:p>
          <w:p w14:paraId="684BFA15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 kw.</w:t>
            </w:r>
          </w:p>
        </w:tc>
      </w:tr>
      <w:tr w:rsidR="00903D47" w:rsidRPr="00C25904" w14:paraId="5721E7BF" w14:textId="77777777" w:rsidTr="00C25904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41DF671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42FCF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2ADB1D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4A2E2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1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89662E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903D47" w:rsidRPr="00C25904" w14:paraId="53111BF5" w14:textId="77777777" w:rsidTr="00C25904">
        <w:tc>
          <w:tcPr>
            <w:tcW w:w="1870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47FF3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6D66E4" w14:textId="77777777" w:rsidR="00903D47" w:rsidRPr="00C25904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C25904" w:rsidRPr="00C25904" w14:paraId="04F32102" w14:textId="77777777" w:rsidTr="00C25904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6A6BD5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B79E73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4673F9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DBFB43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1431116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C25904" w:rsidRPr="00C25904" w14:paraId="38B3F714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45FD0D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09D151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AFF91A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F42AC5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19969D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C25904" w:rsidRPr="00C25904" w14:paraId="5E4EA80D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1A7F46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91856E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B8C778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C91FD5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D71508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107,3</w:t>
            </w:r>
          </w:p>
        </w:tc>
      </w:tr>
      <w:tr w:rsidR="00C25904" w:rsidRPr="00C25904" w14:paraId="3CBF2429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91D3E4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7A8B27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3908EB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81096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4135F1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102,6</w:t>
            </w:r>
          </w:p>
        </w:tc>
      </w:tr>
      <w:tr w:rsidR="00C25904" w:rsidRPr="00C25904" w14:paraId="00EEF418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DB08EC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F1F8E8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E6DECF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FE6EDC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3EFC895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102,4</w:t>
            </w:r>
          </w:p>
        </w:tc>
      </w:tr>
      <w:tr w:rsidR="00C25904" w:rsidRPr="00C25904" w14:paraId="5A091A94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16E8C6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ECECA5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3F266C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B1C4B7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D48543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102,7</w:t>
            </w:r>
          </w:p>
        </w:tc>
      </w:tr>
      <w:tr w:rsidR="00C25904" w:rsidRPr="00C25904" w14:paraId="7B548CCB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D854C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FF6CCD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FDFD84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F39356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6810AC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C25904" w:rsidRPr="00C25904" w14:paraId="14CFAA10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AA40AD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8033A5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4A1217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A4CB54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5194096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903D47" w:rsidRPr="00C25904" w14:paraId="1994918B" w14:textId="77777777" w:rsidTr="00C2590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DBBED0B" w14:textId="77777777" w:rsidR="00903D47" w:rsidRPr="00C25904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D81B8E8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49F6423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1D173F9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B5AE874" w14:textId="77777777" w:rsidR="00903D47" w:rsidRPr="00C25904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105,5</w:t>
            </w:r>
          </w:p>
        </w:tc>
      </w:tr>
    </w:tbl>
    <w:p w14:paraId="42F49F83" w14:textId="78886682" w:rsidR="00502C57" w:rsidRPr="00C25904" w:rsidRDefault="00502C57" w:rsidP="00B934B6">
      <w:pPr>
        <w:pStyle w:val="Nagwek1"/>
        <w:rPr>
          <w:highlight w:val="black"/>
        </w:rPr>
      </w:pPr>
      <w:bookmarkStart w:id="33" w:name="_Toc170470025"/>
      <w:r w:rsidRPr="00C25904">
        <w:rPr>
          <w:highlight w:val="black"/>
        </w:rPr>
        <w:t>Rolnictwo</w:t>
      </w:r>
      <w:bookmarkEnd w:id="23"/>
      <w:bookmarkEnd w:id="24"/>
      <w:bookmarkEnd w:id="25"/>
      <w:bookmarkEnd w:id="26"/>
      <w:bookmarkEnd w:id="33"/>
    </w:p>
    <w:p w14:paraId="17CB1E99" w14:textId="77777777" w:rsidR="00153165" w:rsidRPr="00C25904" w:rsidRDefault="00153165" w:rsidP="00153165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34" w:name="_Toc328389333"/>
      <w:bookmarkStart w:id="35" w:name="_Toc507071634"/>
      <w:bookmarkStart w:id="36" w:name="_Toc507072377"/>
      <w:bookmarkStart w:id="37" w:name="_Toc507417429"/>
      <w:r w:rsidRPr="00C25904">
        <w:rPr>
          <w:bCs/>
          <w:highlight w:val="black"/>
        </w:rPr>
        <w:t>Na rynku rolnym w maju 2024 r. przeciętne ceny skupu podstawowych produktów rolnych były niższe niż przed rokiem (oprócz ziemniaków). W porównaniu z kwietniem br. wyższe były ceny skupu pszenicy, żyta, ziemniaków, żywca drobiowego i mleka. W obrocie targowiskowym więcej niż przed rokiem płacono za ziemniaki, a w odniesieniu do kwietnia br. wyższe były ceny pszenicy, żyta i ziemniaków. Wskaźnik opłacalności tuczu trzody chlewnej był niższy niż przed miesiącem, a wyższy od notowanego przed rokiem.</w:t>
      </w:r>
    </w:p>
    <w:p w14:paraId="66619B49" w14:textId="77777777" w:rsidR="00153165" w:rsidRPr="00C25904" w:rsidRDefault="00153165" w:rsidP="00153165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25904">
        <w:rPr>
          <w:rFonts w:eastAsia="Times New Roman" w:cs="Arial"/>
          <w:szCs w:val="19"/>
          <w:highlight w:val="black"/>
          <w:lang w:eastAsia="pl-PL"/>
        </w:rPr>
        <w:t>W maju br. średnia temperatura powietrza wyniosła 15,9°C i była wyższa o 1,9°C od średniej z lat 1991</w:t>
      </w:r>
      <w:r w:rsidRPr="00C25904">
        <w:rPr>
          <w:rFonts w:cs="Arial"/>
          <w:szCs w:val="19"/>
          <w:highlight w:val="black"/>
        </w:rPr>
        <w:t>–</w:t>
      </w:r>
      <w:r w:rsidRPr="00C25904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8" w:name="_Hlk157506739"/>
      <w:r w:rsidRPr="00C25904">
        <w:rPr>
          <w:rFonts w:eastAsia="Times New Roman" w:cs="Arial"/>
          <w:szCs w:val="19"/>
          <w:highlight w:val="black"/>
          <w:lang w:eastAsia="pl-PL"/>
        </w:rPr>
        <w:t>26,4°</w:t>
      </w:r>
      <w:bookmarkEnd w:id="38"/>
      <w:r w:rsidRPr="00C25904">
        <w:rPr>
          <w:rFonts w:eastAsia="Times New Roman" w:cs="Arial"/>
          <w:szCs w:val="19"/>
          <w:highlight w:val="black"/>
          <w:lang w:eastAsia="pl-PL"/>
        </w:rPr>
        <w:t xml:space="preserve">C, a minimalna 1,2°C. Średnia suma opadów atmosferycznych (22,6 mm) stanowiła 28% normy z </w:t>
      </w:r>
      <w:proofErr w:type="spellStart"/>
      <w:r w:rsidRPr="00C2590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C2590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C25904">
        <w:rPr>
          <w:rFonts w:eastAsia="Times New Roman" w:cs="Arial"/>
          <w:szCs w:val="19"/>
          <w:highlight w:val="black"/>
          <w:lang w:eastAsia="pl-PL"/>
        </w:rPr>
        <w:t>. Odnotowano 6 dni z opadami.</w:t>
      </w:r>
    </w:p>
    <w:p w14:paraId="498F3934" w14:textId="45B57471" w:rsidR="00153165" w:rsidRPr="00C25904" w:rsidRDefault="00153165" w:rsidP="007E5124">
      <w:pPr>
        <w:spacing w:before="120" w:after="1920" w:line="288" w:lineRule="auto"/>
        <w:rPr>
          <w:highlight w:val="black"/>
        </w:rPr>
      </w:pPr>
      <w:r w:rsidRPr="00C25904">
        <w:rPr>
          <w:rFonts w:eastAsia="Times New Roman" w:cs="Arial"/>
          <w:szCs w:val="19"/>
          <w:highlight w:val="black"/>
          <w:lang w:eastAsia="pl-PL"/>
        </w:rPr>
        <w:t xml:space="preserve">Maj br. był słoneczny, ciepły z niewielkimi opadami deszczu. Niedobór wilgoci w fazie dużego zapotrzebowania na wodę przez rośliny spowolnił ich wzrost. </w:t>
      </w:r>
      <w:r w:rsidRPr="00C25904">
        <w:rPr>
          <w:rFonts w:cs="Arial"/>
          <w:highlight w:val="black"/>
        </w:rPr>
        <w:t xml:space="preserve">Zboża jare </w:t>
      </w:r>
      <w:r w:rsidR="007E549B" w:rsidRPr="00C25904">
        <w:rPr>
          <w:rFonts w:cs="Arial"/>
          <w:highlight w:val="black"/>
        </w:rPr>
        <w:t>były</w:t>
      </w:r>
      <w:r w:rsidRPr="00C25904">
        <w:rPr>
          <w:rFonts w:cs="Arial"/>
          <w:highlight w:val="black"/>
        </w:rPr>
        <w:t xml:space="preserve"> słabiej wyrośnięte. </w:t>
      </w:r>
      <w:r w:rsidRPr="00C25904">
        <w:rPr>
          <w:rFonts w:eastAsia="Times New Roman" w:cs="Arial"/>
          <w:szCs w:val="19"/>
          <w:highlight w:val="black"/>
          <w:lang w:eastAsia="pl-PL"/>
        </w:rPr>
        <w:t xml:space="preserve">Rzepak ozimy, którego kwitnienie było wcześniejsze (w połowie kwietnia), dobrze zawiązał łuszczyny, jednak </w:t>
      </w:r>
      <w:r w:rsidR="0067004E" w:rsidRPr="00C25904">
        <w:rPr>
          <w:rFonts w:eastAsia="Times New Roman" w:cs="Arial"/>
          <w:szCs w:val="19"/>
          <w:highlight w:val="black"/>
          <w:lang w:eastAsia="pl-PL"/>
        </w:rPr>
        <w:t>z powodu</w:t>
      </w:r>
      <w:r w:rsidRPr="00C25904">
        <w:rPr>
          <w:rFonts w:eastAsia="Times New Roman" w:cs="Arial"/>
          <w:szCs w:val="19"/>
          <w:highlight w:val="black"/>
          <w:lang w:eastAsia="pl-PL"/>
        </w:rPr>
        <w:t xml:space="preserve"> suszy nasiona będą drobniejsze. Truskawki zaowocowały wcześniej, ale </w:t>
      </w:r>
      <w:r w:rsidRPr="00C25904">
        <w:rPr>
          <w:highlight w:val="black"/>
        </w:rPr>
        <w:t>przy braku opadów i wysokiej temperaturze, owoce były drobne i sezon na ich zbiór krótszy niż zwykle. Obniżona wilgotność gleby może mieć negatywny wpływ na plonowanie warzyw gruntowych.</w:t>
      </w:r>
    </w:p>
    <w:p w14:paraId="16925922" w14:textId="77777777" w:rsidR="00153165" w:rsidRPr="00C25904" w:rsidRDefault="00153165" w:rsidP="00153165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C25904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53165" w:rsidRPr="00C25904" w14:paraId="57C3126A" w14:textId="77777777" w:rsidTr="00C25904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7722DA5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DC093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07 2023–05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E192A2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05 2024</w:t>
            </w:r>
          </w:p>
        </w:tc>
      </w:tr>
      <w:tr w:rsidR="00C25904" w:rsidRPr="00C25904" w14:paraId="7F694935" w14:textId="77777777" w:rsidTr="00C2590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643DF" w14:textId="77777777" w:rsidR="00153165" w:rsidRPr="00C25904" w:rsidRDefault="00153165" w:rsidP="0015316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6BA46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4D76F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9AC85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3313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05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9021B0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04 2024=100</w:t>
            </w:r>
          </w:p>
        </w:tc>
      </w:tr>
      <w:tr w:rsidR="00C25904" w:rsidRPr="00C25904" w14:paraId="29093FD1" w14:textId="77777777" w:rsidTr="00C2590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A6228" w14:textId="77777777" w:rsidR="00153165" w:rsidRPr="00C25904" w:rsidRDefault="00153165" w:rsidP="0015316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C2590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43B3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192 552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0D75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98,1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30CF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24 874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41A3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99,1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EEB7A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162,3</w:t>
            </w:r>
          </w:p>
        </w:tc>
      </w:tr>
      <w:tr w:rsidR="00C25904" w:rsidRPr="00C25904" w14:paraId="22FCD1B3" w14:textId="77777777" w:rsidTr="00C2590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1F1D7" w14:textId="77777777" w:rsidR="00153165" w:rsidRPr="00C25904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7B8CC" w14:textId="77777777" w:rsidR="00153165" w:rsidRPr="00C25904" w:rsidRDefault="00153165" w:rsidP="00153165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92EF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9BB72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E7C6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886E51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25904" w:rsidRPr="00C25904" w14:paraId="72538081" w14:textId="77777777" w:rsidTr="00C2590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58350" w14:textId="77777777" w:rsidR="00153165" w:rsidRPr="00C25904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B723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170 567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AC11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E5FE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22 855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204D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96,2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31C4B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155,5</w:t>
            </w:r>
          </w:p>
        </w:tc>
      </w:tr>
      <w:tr w:rsidR="00153165" w:rsidRPr="00C25904" w14:paraId="09777682" w14:textId="77777777" w:rsidTr="00C25904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75DCA3" w14:textId="77777777" w:rsidR="00153165" w:rsidRPr="00C25904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9E11C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5 002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1D2B2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168,8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0E516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749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5610D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161,3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DD1174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231,8</w:t>
            </w:r>
          </w:p>
        </w:tc>
      </w:tr>
    </w:tbl>
    <w:p w14:paraId="470A202F" w14:textId="77777777" w:rsidR="00153165" w:rsidRPr="00C25904" w:rsidRDefault="00153165" w:rsidP="00153165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25904">
        <w:rPr>
          <w:rFonts w:eastAsia="Times New Roman"/>
          <w:sz w:val="16"/>
          <w:szCs w:val="16"/>
          <w:highlight w:val="black"/>
          <w:lang w:eastAsia="pl-PL"/>
        </w:rPr>
        <w:t>a W okresie styczeń-maj b</w:t>
      </w:r>
      <w:r w:rsidRPr="00C25904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C2590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C2590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C25904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6A81856F" w14:textId="77777777" w:rsidR="00153165" w:rsidRPr="00C25904" w:rsidRDefault="00153165" w:rsidP="0015316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2023 r.–maj 2024 r. wyniósł 192,6 tys. ton i był o 1,9% mniejszy niż w analogicznym okresie poprzedniego roku. Skup pszenicy w tym okresie był mniejszy o 1,0%, natomiast większy był skup żyta o 68,8%.</w:t>
      </w:r>
    </w:p>
    <w:p w14:paraId="05E8F5C7" w14:textId="1D3EB714" w:rsidR="00153165" w:rsidRPr="00C25904" w:rsidRDefault="00153165" w:rsidP="00153165">
      <w:pPr>
        <w:spacing w:before="120" w:after="120" w:line="288" w:lineRule="auto"/>
        <w:rPr>
          <w:highlight w:val="black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maju br. skup zbóż podstawowych (z mieszankami zbożowymi bez ziarna siewnego) był mniejszy (o 0,9%) niż przed rokiem. Mniejsze niż przed rokiem były dostawy do skupu </w:t>
      </w:r>
      <w:r w:rsidRPr="00C25904">
        <w:rPr>
          <w:rFonts w:eastAsia="Times New Roman"/>
          <w:spacing w:val="-2"/>
          <w:szCs w:val="19"/>
          <w:highlight w:val="black"/>
          <w:lang w:eastAsia="pl-PL"/>
        </w:rPr>
        <w:t>pszenicy (o 3,8%),</w:t>
      </w:r>
      <w:r w:rsidR="00D3295A" w:rsidRPr="00C2590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26682F" w:rsidRPr="00C25904">
        <w:rPr>
          <w:rFonts w:eastAsia="Times New Roman"/>
          <w:spacing w:val="-2"/>
          <w:szCs w:val="19"/>
          <w:highlight w:val="black"/>
          <w:lang w:eastAsia="pl-PL"/>
        </w:rPr>
        <w:t>a</w:t>
      </w:r>
      <w:r w:rsidRPr="00C25904">
        <w:rPr>
          <w:rFonts w:eastAsia="Times New Roman"/>
          <w:spacing w:val="-2"/>
          <w:szCs w:val="19"/>
          <w:highlight w:val="black"/>
          <w:lang w:eastAsia="pl-PL"/>
        </w:rPr>
        <w:t xml:space="preserve"> skup </w:t>
      </w:r>
      <w:r w:rsidRPr="00C25904">
        <w:rPr>
          <w:rFonts w:eastAsia="Times New Roman"/>
          <w:szCs w:val="19"/>
          <w:highlight w:val="black"/>
          <w:lang w:eastAsia="pl-PL"/>
        </w:rPr>
        <w:t>żyta był o 61,3% większy.</w:t>
      </w:r>
      <w:r w:rsidRPr="00C25904">
        <w:rPr>
          <w:spacing w:val="-2"/>
          <w:highlight w:val="black"/>
        </w:rPr>
        <w:t xml:space="preserve"> </w:t>
      </w:r>
      <w:r w:rsidRPr="00C25904">
        <w:rPr>
          <w:highlight w:val="black"/>
        </w:rPr>
        <w:t>W skali miesiąca odnotowano wzrost (o 62,3%) dostaw do skupu zbóż podstawowych (z mieszankami zbożowymi bez ziarna siewnego), w tym więcej skupiono pszenicy (o 55,5%) i żyta (ponad 2-krotnie).</w:t>
      </w:r>
    </w:p>
    <w:p w14:paraId="55298FD6" w14:textId="77777777" w:rsidR="00153165" w:rsidRPr="00C25904" w:rsidRDefault="00153165" w:rsidP="00153165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C25904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53165" w:rsidRPr="00C25904" w14:paraId="319A642E" w14:textId="77777777" w:rsidTr="00C25904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FD597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1DB51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01–05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B7ADFB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05 2024</w:t>
            </w:r>
          </w:p>
        </w:tc>
      </w:tr>
      <w:tr w:rsidR="00C25904" w:rsidRPr="00C25904" w14:paraId="62C34C36" w14:textId="77777777" w:rsidTr="00C25904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20511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142C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7C244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01–05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45BDB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4C065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D5A262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04 2024=100</w:t>
            </w:r>
          </w:p>
        </w:tc>
      </w:tr>
      <w:tr w:rsidR="00C25904" w:rsidRPr="00C25904" w14:paraId="3618F616" w14:textId="77777777" w:rsidTr="00C2590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9FCF" w14:textId="77777777" w:rsidR="00153165" w:rsidRPr="00C25904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C2590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2D37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13 601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8560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112,1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9088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2 986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84562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119,1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A987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118,3</w:t>
            </w:r>
          </w:p>
        </w:tc>
      </w:tr>
      <w:tr w:rsidR="00C25904" w:rsidRPr="00C25904" w14:paraId="077D6945" w14:textId="77777777" w:rsidTr="00C2590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57B70" w14:textId="77777777" w:rsidR="00153165" w:rsidRPr="00C25904" w:rsidRDefault="00153165" w:rsidP="0015316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D6289" w14:textId="77777777" w:rsidR="00153165" w:rsidRPr="00C25904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9FC81" w14:textId="77777777" w:rsidR="00153165" w:rsidRPr="00C25904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8DFCB" w14:textId="77777777" w:rsidR="00153165" w:rsidRPr="00C25904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E3D32" w14:textId="77777777" w:rsidR="00153165" w:rsidRPr="00C25904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0E87D2" w14:textId="77777777" w:rsidR="00153165" w:rsidRPr="00C25904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25904" w:rsidRPr="00C25904" w14:paraId="07024507" w14:textId="77777777" w:rsidTr="00C2590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3C37B5" w14:textId="77777777" w:rsidR="00153165" w:rsidRPr="00C25904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20B1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667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F962B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90C74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150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A294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106,5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4ED9B1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89,9</w:t>
            </w:r>
          </w:p>
        </w:tc>
      </w:tr>
      <w:tr w:rsidR="00C25904" w:rsidRPr="00C25904" w14:paraId="2120B06E" w14:textId="77777777" w:rsidTr="00C2590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EDC54" w14:textId="77777777" w:rsidR="00153165" w:rsidRPr="00C25904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78AF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6 282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AD05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115,7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8672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1 378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B6964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146,0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66E9B5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106,4</w:t>
            </w:r>
          </w:p>
        </w:tc>
      </w:tr>
      <w:tr w:rsidR="00C25904" w:rsidRPr="00C25904" w14:paraId="15C1B2F2" w14:textId="77777777" w:rsidTr="00C2590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D201C" w14:textId="77777777" w:rsidR="00153165" w:rsidRPr="00C25904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5BC32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6 604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1A4E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109,4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00A7B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1 442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F055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101,8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6CFA0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136,6</w:t>
            </w:r>
          </w:p>
        </w:tc>
      </w:tr>
      <w:tr w:rsidR="00153165" w:rsidRPr="00C25904" w14:paraId="69B1A423" w14:textId="77777777" w:rsidTr="00C2590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FAA8CF" w14:textId="77777777" w:rsidR="00153165" w:rsidRPr="00C25904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C2590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2ADE3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38 408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9B0B9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99,6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786A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8 965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9496F1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36F8E45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117,8</w:t>
            </w:r>
          </w:p>
        </w:tc>
      </w:tr>
    </w:tbl>
    <w:p w14:paraId="5EF2BFF5" w14:textId="77777777" w:rsidR="00153165" w:rsidRPr="00C25904" w:rsidRDefault="00153165" w:rsidP="00153165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25904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21BB13C4" w14:textId="77777777" w:rsidR="00153165" w:rsidRPr="00C25904" w:rsidRDefault="00153165" w:rsidP="0015316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C25904">
        <w:rPr>
          <w:rFonts w:eastAsia="Times New Roman"/>
          <w:szCs w:val="19"/>
          <w:highlight w:val="black"/>
          <w:lang w:eastAsia="pl-PL"/>
        </w:rPr>
        <w:t>w wadze żywej w maju br. wyniósł 3,0 tys. ton (o 19,1% więcej niż przed rokiem). Większe były dostawy do skupu trzody chlewnej (o 46,0%), bydła (o 6,5%) i drobiu (o 1,8%). W skali miesiąca odnotowano wzrost skupu żywca rzeźnego w wadze żywej (o 18,3%),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</w:t>
      </w:r>
      <w:r w:rsidRPr="00C25904">
        <w:rPr>
          <w:rFonts w:eastAsia="Times New Roman"/>
          <w:szCs w:val="19"/>
          <w:highlight w:val="black"/>
          <w:lang w:eastAsia="pl-PL"/>
        </w:rPr>
        <w:t>drobiu (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>o 36,6%) i trzody chlewnej (o 6,4%).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Skup bydła 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 xml:space="preserve">był mniejszy </w:t>
      </w:r>
      <w:r w:rsidRPr="00C25904">
        <w:rPr>
          <w:rFonts w:eastAsia="Times New Roman"/>
          <w:szCs w:val="19"/>
          <w:highlight w:val="black"/>
          <w:lang w:eastAsia="pl-PL"/>
        </w:rPr>
        <w:t>o 10,1%</w:t>
      </w:r>
      <w:r w:rsidRPr="00C25904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20F2000D" w14:textId="77777777" w:rsidR="00153165" w:rsidRPr="00C25904" w:rsidRDefault="00153165" w:rsidP="007E5124">
      <w:pPr>
        <w:spacing w:before="120" w:after="180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w maju br. był niższy w porównaniu z analogicznym miesiącem 2023 r. (o 2,8%), a wyższy w odniesieniu do kwietnia br. (o 17,8%).</w:t>
      </w:r>
    </w:p>
    <w:p w14:paraId="7EF8AEE3" w14:textId="77777777" w:rsidR="00153165" w:rsidRPr="00C25904" w:rsidRDefault="00153165" w:rsidP="0015316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153165" w:rsidRPr="00C25904" w14:paraId="5980EDEB" w14:textId="77777777" w:rsidTr="00C2590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5A3533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7AD63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8369DB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153165" w:rsidRPr="00C25904" w14:paraId="51FF9BF1" w14:textId="77777777" w:rsidTr="00C25904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23437D9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F53C0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CD75F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01–05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EF4390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05 2024</w:t>
            </w:r>
          </w:p>
        </w:tc>
      </w:tr>
      <w:tr w:rsidR="00C25904" w:rsidRPr="00C25904" w14:paraId="31F4C0F8" w14:textId="77777777" w:rsidTr="00C25904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E41F8" w14:textId="77777777" w:rsidR="00153165" w:rsidRPr="00C25904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5A3A0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33DD6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83FBE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21F62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AD7C1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01–05</w:t>
            </w: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3E959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BB3E7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C18415" w14:textId="77777777" w:rsidR="00153165" w:rsidRPr="00C25904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C25904" w:rsidRPr="00C25904" w14:paraId="7F45B8EA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BAB6F" w14:textId="77777777" w:rsidR="00153165" w:rsidRPr="00C25904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C2590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C83C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8944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D54F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1542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666D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4E814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81F2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C01DD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25904" w:rsidRPr="00C25904" w14:paraId="10E86C26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3D3DB" w14:textId="77777777" w:rsidR="00153165" w:rsidRPr="00C25904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3534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79,23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F632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96,2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C83A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115,9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34A0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74,86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BB66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1484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112,76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F60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8F84DB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</w:tr>
      <w:tr w:rsidR="00C25904" w:rsidRPr="00C25904" w14:paraId="65F4DFE6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9B630" w14:textId="77777777" w:rsidR="00153165" w:rsidRPr="00C25904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F14C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57,13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BBDE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74,4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610A95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113,6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FAA6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55,72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A0F9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61,1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3C1C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93,75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CFD0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73,2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C3CF5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107,1</w:t>
            </w:r>
          </w:p>
        </w:tc>
      </w:tr>
      <w:tr w:rsidR="00C25904" w:rsidRPr="00C25904" w14:paraId="2710A3FE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E5F16" w14:textId="77777777" w:rsidR="00153165" w:rsidRPr="00C25904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C25904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2CDE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245,37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2A52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164,6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7DCB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142,5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BD7E9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110,02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6E7A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111,2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1BB9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233,96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7A76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133,7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4D7F12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</w:tr>
      <w:tr w:rsidR="00C25904" w:rsidRPr="00C25904" w14:paraId="6E2E55DD" w14:textId="77777777" w:rsidTr="00C25904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00191" w14:textId="77777777" w:rsidR="00153165" w:rsidRPr="00C25904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8FDA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7D1A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3A3C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FD40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5E13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EDE8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CB345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06350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25904" w:rsidRPr="00C25904" w14:paraId="33C92333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10230" w14:textId="77777777" w:rsidR="00153165" w:rsidRPr="00C25904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DAB8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9,77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932F4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96,0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4A94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99,6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0206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9,81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7EE0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96,4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4526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8E4B3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7A66D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25904" w:rsidRPr="00C25904" w14:paraId="26B8F7A9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8191E" w14:textId="77777777" w:rsidR="00153165" w:rsidRPr="00C25904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87994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7,31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CE8E5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84,1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F99F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3886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7,16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4BD2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86,2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A0E3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0F80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98E5E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25904" w:rsidRPr="00C25904" w14:paraId="2C969B3F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1C3F8" w14:textId="77777777" w:rsidR="00153165" w:rsidRPr="00C25904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7D610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5,35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BFCE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202A1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103,9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BDD1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5,17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D85E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70B3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6396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B64C36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25904" w:rsidRPr="00C25904" w14:paraId="5C0957F4" w14:textId="77777777" w:rsidTr="00C2590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CE7B62" w14:textId="77777777" w:rsidR="00153165" w:rsidRPr="00C25904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601A9F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1,95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EA0C32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95,6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E2AA1D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A4ED1C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1,96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290518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87,9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B52CDA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869DCE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660D647" w14:textId="77777777" w:rsidR="00153165" w:rsidRPr="00C25904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2590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D8016A3" w14:textId="77777777" w:rsidR="00153165" w:rsidRPr="00C25904" w:rsidRDefault="00153165" w:rsidP="00153165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25904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65F153BD" w14:textId="77777777" w:rsidR="00153165" w:rsidRPr="00C25904" w:rsidRDefault="00153165" w:rsidP="00153165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C25904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77,59 zł za 1 </w:t>
      </w:r>
      <w:proofErr w:type="spellStart"/>
      <w:r w:rsidRPr="00C25904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C25904">
        <w:rPr>
          <w:rFonts w:eastAsia="Times New Roman"/>
          <w:szCs w:val="19"/>
          <w:highlight w:val="black"/>
          <w:lang w:eastAsia="pl-PL"/>
        </w:rPr>
        <w:t xml:space="preserve"> i były niższe niż przed rokiem (o 5,7%), a wyższe w odniesieniu do cen sprzed miesiąca (o 14,7%).</w:t>
      </w:r>
    </w:p>
    <w:p w14:paraId="7626627B" w14:textId="77777777" w:rsidR="00153165" w:rsidRPr="00C25904" w:rsidRDefault="00153165" w:rsidP="00153165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niższa w skali roku (o 3,8%), a wyższa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niż przed miesiącem (o 15,9%). Cena skupu żyta była niższa w porównaniu z ceną sprzed roku (o 25,6%), a wyższa w odniesieniu do ceny sprzed miesiąca (o 13,6%). W obrocie targowiskowym w skali roku niższe były ceny pszenicy (o 20,3%) i żyta (o 26,8%). W odniesieniu do kwietnia br. wyższe były ceny zarówno pszenicy (o 7,6%), jak i żyta (o 7,1%).</w:t>
      </w:r>
    </w:p>
    <w:p w14:paraId="399D0D4F" w14:textId="77777777" w:rsidR="00153165" w:rsidRPr="00C25904" w:rsidRDefault="00153165" w:rsidP="00153165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t>Przeciętne ceny skupu zbóż</w:t>
      </w:r>
    </w:p>
    <w:p w14:paraId="591456A8" w14:textId="056E1B62" w:rsidR="00153165" w:rsidRPr="00C25904" w:rsidRDefault="00DA5AAD" w:rsidP="00153165">
      <w:pPr>
        <w:keepNext/>
        <w:suppressAutoHyphens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FC8099D" wp14:editId="5F9B66B7">
            <wp:extent cx="6657340" cy="2974975"/>
            <wp:effectExtent l="0" t="0" r="0" b="0"/>
            <wp:docPr id="36" name="Obraz 36" descr="Wykres 6. Na wykresie liniowym zaprezentowano przeciętne ceny skupu pszenicy i żyta dla poszczególnych miesięcy w latach 2021-2024 dla województwa podkarpackiego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D4564" w14:textId="77777777" w:rsidR="00153165" w:rsidRPr="00C25904" w:rsidRDefault="00153165" w:rsidP="00153165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C25904">
        <w:rPr>
          <w:spacing w:val="-4"/>
          <w:highlight w:val="black"/>
          <w:lang w:eastAsia="pl-PL"/>
        </w:rPr>
        <w:t xml:space="preserve">Za 1 </w:t>
      </w:r>
      <w:proofErr w:type="spellStart"/>
      <w:r w:rsidRPr="00C25904">
        <w:rPr>
          <w:highlight w:val="black"/>
          <w:lang w:eastAsia="pl-PL"/>
        </w:rPr>
        <w:t>dt</w:t>
      </w:r>
      <w:proofErr w:type="spellEnd"/>
      <w:r w:rsidRPr="00C25904">
        <w:rPr>
          <w:b/>
          <w:highlight w:val="black"/>
          <w:lang w:eastAsia="pl-PL"/>
        </w:rPr>
        <w:t xml:space="preserve"> ziemniaków </w:t>
      </w:r>
      <w:r w:rsidRPr="00C25904">
        <w:rPr>
          <w:highlight w:val="black"/>
          <w:lang w:eastAsia="pl-PL"/>
        </w:rPr>
        <w:t xml:space="preserve">w skupie w maju br. płacono średnio 245,37 zł (o 64,6% więcej niż przed rokiem i o 42,5% więcej niż w kwietniu 2024 r.). Przeciętna cena ziemniaków jadalnych na targowiskach wyniosła 233,96 zł za 1 </w:t>
      </w:r>
      <w:proofErr w:type="spellStart"/>
      <w:r w:rsidRPr="00C25904">
        <w:rPr>
          <w:highlight w:val="black"/>
          <w:lang w:eastAsia="pl-PL"/>
        </w:rPr>
        <w:t>dt</w:t>
      </w:r>
      <w:proofErr w:type="spellEnd"/>
      <w:r w:rsidRPr="00C25904">
        <w:rPr>
          <w:highlight w:val="black"/>
          <w:lang w:eastAsia="pl-PL"/>
        </w:rPr>
        <w:t xml:space="preserve"> i była wyższa w skali roku (o 33,7%) i wyższa w skali miesiąca (o 3,0%).</w:t>
      </w:r>
    </w:p>
    <w:p w14:paraId="3B6C0FC7" w14:textId="77777777" w:rsidR="00153165" w:rsidRPr="00C25904" w:rsidRDefault="00153165" w:rsidP="00153165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25904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C25904">
        <w:rPr>
          <w:spacing w:val="-4"/>
          <w:highlight w:val="black"/>
          <w:lang w:eastAsia="pl-PL"/>
        </w:rPr>
        <w:t xml:space="preserve"> były niższe w porównaniu z cenami sprzed roku (o 15,9%) i niższe w odniesieniu do kwietnia br.</w:t>
      </w:r>
      <w:r w:rsidRPr="00C25904">
        <w:rPr>
          <w:highlight w:val="black"/>
          <w:lang w:eastAsia="pl-PL"/>
        </w:rPr>
        <w:t xml:space="preserve"> (o 0,5%). W maju br. cena 1 kg żywca wieprzowego w skupie wyniosła 7,31 zł i </w:t>
      </w:r>
      <w:r w:rsidRPr="00C25904">
        <w:rPr>
          <w:rFonts w:eastAsia="Times New Roman" w:cs="Arial"/>
          <w:szCs w:val="19"/>
          <w:highlight w:val="black"/>
          <w:lang w:eastAsia="pl-PL"/>
        </w:rPr>
        <w:t>równoważyła wartość 7,8 kg żyta na targowiskach (wobec 8,4 kg w kwietniu br. i 6,8 kg przed rokiem).</w:t>
      </w:r>
    </w:p>
    <w:p w14:paraId="3BA62846" w14:textId="77777777" w:rsidR="00153165" w:rsidRPr="00C25904" w:rsidRDefault="00153165" w:rsidP="00153165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C25904">
        <w:rPr>
          <w:noProof/>
          <w:highlight w:val="black"/>
          <w:lang w:eastAsia="pl-PL"/>
        </w:rPr>
        <w:t xml:space="preserve">W maju br. </w:t>
      </w:r>
      <w:r w:rsidRPr="00C25904">
        <w:rPr>
          <w:b/>
          <w:noProof/>
          <w:highlight w:val="black"/>
          <w:lang w:eastAsia="pl-PL"/>
        </w:rPr>
        <w:t>średnia cena skupu 1 kg żywca drobiowego</w:t>
      </w:r>
      <w:r w:rsidRPr="00C25904">
        <w:rPr>
          <w:noProof/>
          <w:highlight w:val="black"/>
          <w:lang w:eastAsia="pl-PL"/>
        </w:rPr>
        <w:t xml:space="preserve"> wyniosła 5,35 zł i była niższa niż przed rokiem (o 11,6%), a wyższa w odniesieniu do miesiąca poprzedniego (o 3,9%).</w:t>
      </w:r>
    </w:p>
    <w:p w14:paraId="7063DD3E" w14:textId="77777777" w:rsidR="00153165" w:rsidRPr="00C25904" w:rsidRDefault="00153165" w:rsidP="00153165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C25904">
        <w:rPr>
          <w:b/>
          <w:szCs w:val="19"/>
          <w:highlight w:val="black"/>
        </w:rPr>
        <w:t>Przeciętne ceny skupu żywca i mleka</w:t>
      </w:r>
    </w:p>
    <w:p w14:paraId="422B8F3B" w14:textId="3D56AEF0" w:rsidR="00153165" w:rsidRPr="00C25904" w:rsidRDefault="00DA5AAD" w:rsidP="00153165">
      <w:pPr>
        <w:keepNext/>
        <w:suppressAutoHyphens/>
        <w:outlineLvl w:val="4"/>
        <w:rPr>
          <w:noProof/>
          <w:szCs w:val="19"/>
          <w:highlight w:val="black"/>
          <w:lang w:eastAsia="pl-PL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70759A90" wp14:editId="15B53071">
            <wp:extent cx="6657340" cy="3164205"/>
            <wp:effectExtent l="0" t="0" r="0" b="0"/>
            <wp:docPr id="37" name="Obraz 37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2A014" w14:textId="77777777" w:rsidR="00153165" w:rsidRPr="00C25904" w:rsidRDefault="00153165" w:rsidP="0015316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b/>
          <w:szCs w:val="19"/>
          <w:highlight w:val="black"/>
          <w:lang w:eastAsia="pl-PL"/>
        </w:rPr>
        <w:t>Ceny skupu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</w:t>
      </w:r>
      <w:r w:rsidRPr="00C25904">
        <w:rPr>
          <w:rFonts w:eastAsia="Times New Roman"/>
          <w:b/>
          <w:szCs w:val="19"/>
          <w:highlight w:val="black"/>
          <w:lang w:eastAsia="pl-PL"/>
        </w:rPr>
        <w:t>żywca wołowego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obniżyły się zarówno w skali roku, jak i w skali miesiąca. Za 1 kg żywca wołowego w maju br. płacono 9,77 zł (o 4,0% mniej niż w maju 2023 r.). W porównaniu z kwietniem br. średnia cena żywca wołowego była niższa o 0,4%.</w:t>
      </w:r>
    </w:p>
    <w:p w14:paraId="32CA675E" w14:textId="7763EA57" w:rsidR="004D374C" w:rsidRPr="00C25904" w:rsidRDefault="00153165" w:rsidP="00AB60C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25904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C25904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C25904">
        <w:rPr>
          <w:rFonts w:eastAsia="Times New Roman"/>
          <w:szCs w:val="19"/>
          <w:highlight w:val="black"/>
          <w:lang w:eastAsia="pl-PL"/>
        </w:rPr>
        <w:t xml:space="preserve"> były niższe niż przed rokiem (o 4,4%), a wyższe w odniesieniu do kwietnia br. (o 0,5%).</w:t>
      </w:r>
    </w:p>
    <w:p w14:paraId="3B2DB420" w14:textId="6C6E9C11" w:rsidR="00502C57" w:rsidRPr="00C25904" w:rsidRDefault="00502C57" w:rsidP="00EE0070">
      <w:pPr>
        <w:pStyle w:val="Nagwek1"/>
        <w:rPr>
          <w:highlight w:val="black"/>
        </w:rPr>
      </w:pPr>
      <w:bookmarkStart w:id="39" w:name="_Toc170470026"/>
      <w:r w:rsidRPr="00C25904">
        <w:rPr>
          <w:highlight w:val="black"/>
        </w:rPr>
        <w:t>Przemysł</w:t>
      </w:r>
      <w:r w:rsidR="00191C58" w:rsidRPr="00C25904">
        <w:rPr>
          <w:highlight w:val="black"/>
        </w:rPr>
        <w:t xml:space="preserve"> i </w:t>
      </w:r>
      <w:r w:rsidRPr="00C25904">
        <w:rPr>
          <w:highlight w:val="black"/>
        </w:rPr>
        <w:t>budownictwo</w:t>
      </w:r>
      <w:bookmarkEnd w:id="34"/>
      <w:bookmarkEnd w:id="35"/>
      <w:bookmarkEnd w:id="36"/>
      <w:bookmarkEnd w:id="37"/>
      <w:bookmarkEnd w:id="39"/>
    </w:p>
    <w:p w14:paraId="1147A37F" w14:textId="77777777" w:rsidR="00E703F7" w:rsidRPr="00C25904" w:rsidRDefault="00E703F7" w:rsidP="00E703F7">
      <w:pPr>
        <w:spacing w:before="120" w:after="120" w:line="288" w:lineRule="auto"/>
        <w:rPr>
          <w:bCs/>
          <w:highlight w:val="black"/>
        </w:rPr>
      </w:pPr>
      <w:bookmarkStart w:id="40" w:name="_Toc507071635"/>
      <w:bookmarkStart w:id="41" w:name="_Toc507072378"/>
      <w:bookmarkStart w:id="42" w:name="_Toc507417430"/>
      <w:bookmarkStart w:id="43" w:name="_Toc328389335"/>
      <w:bookmarkStart w:id="44" w:name="_Toc507071636"/>
      <w:bookmarkStart w:id="45" w:name="_Toc507072379"/>
      <w:bookmarkStart w:id="46" w:name="_Toc507417431"/>
      <w:r w:rsidRPr="00C25904">
        <w:rPr>
          <w:bCs/>
          <w:highlight w:val="black"/>
        </w:rPr>
        <w:t>W maju 2024 r. odnotowano spadek produkcji sprzedanej przemysłu w ujęciu rocznym. Zmalała również w skali roku produkcja sprzedana budownictwa oraz produkcja budowlano-montażowa.</w:t>
      </w:r>
    </w:p>
    <w:p w14:paraId="0457F4B7" w14:textId="77777777" w:rsidR="00E703F7" w:rsidRPr="00C25904" w:rsidRDefault="00E703F7" w:rsidP="00E703F7">
      <w:pPr>
        <w:spacing w:before="120" w:after="120" w:line="288" w:lineRule="auto"/>
        <w:rPr>
          <w:bCs/>
          <w:highlight w:val="black"/>
        </w:rPr>
      </w:pPr>
      <w:r w:rsidRPr="00C25904">
        <w:rPr>
          <w:b/>
          <w:bCs/>
          <w:highlight w:val="black"/>
        </w:rPr>
        <w:t>Produkcja sprzedana przemysłu</w:t>
      </w:r>
      <w:r w:rsidRPr="00C25904">
        <w:rPr>
          <w:bCs/>
          <w:highlight w:val="black"/>
        </w:rPr>
        <w:t xml:space="preserve"> w maju 2024 r. osiągnęła wartość (w cenach bieżących) 6854,4 mln zł i była (w cenach stałych) o 4,2% niższa niż w maju 2023 r., kiedy notowano wzrost o 2,7%. W Polsce produkcja zmalała zarówno w skali miesiąca, jak i roku (odpowiednio o 4,6% i o 1,7%). Udział produkcji sprzedanej przemysłu w województwie podkarpackim stanowił 3,7% przychodów krajowych.</w:t>
      </w:r>
    </w:p>
    <w:p w14:paraId="3D53BF16" w14:textId="77777777" w:rsidR="00E703F7" w:rsidRPr="00C25904" w:rsidRDefault="00E703F7" w:rsidP="00E703F7">
      <w:pPr>
        <w:spacing w:before="120" w:after="120" w:line="288" w:lineRule="auto"/>
        <w:rPr>
          <w:bCs/>
          <w:highlight w:val="black"/>
        </w:rPr>
      </w:pPr>
      <w:r w:rsidRPr="00C25904">
        <w:rPr>
          <w:bCs/>
          <w:highlight w:val="black"/>
        </w:rPr>
        <w:t>W przetwórstwie przemysłowym w odniesieniu do maja 2023 r., produkcja zmalała o 5,5%, a w dostawie wody; gospodarowaniu ściekami i odpadami; rekultywacji o 0,1%.</w:t>
      </w:r>
    </w:p>
    <w:p w14:paraId="50D68815" w14:textId="77777777" w:rsidR="00E703F7" w:rsidRPr="00C25904" w:rsidRDefault="00E703F7" w:rsidP="00E703F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C25904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12F6658" w14:textId="5A5D3E61" w:rsidR="00E703F7" w:rsidRPr="00C25904" w:rsidRDefault="00195FB0" w:rsidP="00E703F7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C2F7749" wp14:editId="7CBF90AD">
            <wp:extent cx="6645275" cy="2597150"/>
            <wp:effectExtent l="0" t="0" r="3175" b="0"/>
            <wp:docPr id="31" name="Obraz 31" descr="Wykres 8. Na wykresie liniowym zaprezentowano dynamikę produkcji sprzedanej przemysłu przy podstawie przeciętna miesięczna 2021=100 dla poszczególnych miesięcy w latach 2021–2024 dla Polski oraz dla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61A35" w14:textId="56EA7EC7" w:rsidR="00E703F7" w:rsidRPr="00C25904" w:rsidRDefault="00E703F7" w:rsidP="00A07E22">
      <w:pPr>
        <w:spacing w:before="120" w:after="8400" w:line="288" w:lineRule="auto"/>
        <w:rPr>
          <w:bCs/>
          <w:highlight w:val="black"/>
        </w:rPr>
      </w:pPr>
      <w:r w:rsidRPr="00C25904">
        <w:rPr>
          <w:bCs/>
          <w:highlight w:val="black"/>
        </w:rPr>
        <w:t>W maju 2024 r. spadek produkcji sprzedanej w stosunku do maja 2023 r. wystąpił w 16 działach przemysłu (spośród 31 występujących w województwie). Uwzględniając działy o znaczącym udziale w produkcji sprzedanej przemysłu spadki, w stosunku rocznym odnotowano w produkcji: wyrobów z metali (o 25,1%), mebli (o 11,0%), wyrobów z gumy i tworzyw sztucznych (o 9,4%),</w:t>
      </w:r>
      <w:r w:rsidRPr="00C25904">
        <w:rPr>
          <w:highlight w:val="black"/>
        </w:rPr>
        <w:t xml:space="preserve"> </w:t>
      </w:r>
      <w:r w:rsidRPr="00C25904">
        <w:rPr>
          <w:bCs/>
          <w:highlight w:val="black"/>
        </w:rPr>
        <w:t>artykułów spożywczych oraz pojazdów samochodowych, przyczep i naczep (po 7,8%), metali (o 7,6%), a także maszyn i urządzeń (o 3,6%). Wzrosty natomiast wystąpiły w produkcji: pozostałego sprzętu transportowego (o 26,0%), komputerów, wyrobów elektronicznych i optycznych (o 19,2%), napojów (o 9,2%), wyrobów z pozostałych mineralnych surowców niemetalicznych (o 7,6%), wyrobów z drewna, korka, słomy i wikliny (o 6,7%) oraz chemikaliów i wyrobów chemicznych (o 4,3%).</w:t>
      </w:r>
    </w:p>
    <w:p w14:paraId="27D82DBC" w14:textId="77777777" w:rsidR="00E703F7" w:rsidRPr="00C25904" w:rsidRDefault="00E703F7" w:rsidP="00E703F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E703F7" w:rsidRPr="00C25904" w14:paraId="48A660A6" w14:textId="77777777" w:rsidTr="00C25904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F4DE7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3C712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3CCF38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2024</w:t>
            </w:r>
          </w:p>
        </w:tc>
      </w:tr>
      <w:tr w:rsidR="00E703F7" w:rsidRPr="00C25904" w14:paraId="080D9A37" w14:textId="77777777" w:rsidTr="00C25904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6A76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E1183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6B1B9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25904" w:rsidRPr="00C25904" w14:paraId="4228CFE9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1F238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1617B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013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72CCD5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25904" w:rsidRPr="00C25904" w14:paraId="1A633677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CF0E4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22D1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902DB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2F5F2E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1D60EC48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D2308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5E5C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C4D6C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2EB1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C25904" w:rsidRPr="00C25904" w14:paraId="454B140D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5386F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2CF9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2C8D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9EE88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69F34B0F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4D197A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7469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C170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CB366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C25904" w:rsidRPr="00C25904" w14:paraId="7A00A47B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937463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4D00E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E9DF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CF411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C25904" w:rsidRPr="00C25904" w14:paraId="5A6F374A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30B6E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7" w:name="_Hlk141338432"/>
            <w:r w:rsidRPr="00C25904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47"/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A417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E6F8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48C30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C25904" w:rsidRPr="00C25904" w14:paraId="257C7983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A8F7DB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8" w:name="_Hlk129942093"/>
            <w:r w:rsidRPr="00C25904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48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3994EE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3386A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681F1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C25904" w:rsidRPr="00C25904" w14:paraId="3559AB06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4E621E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6F655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5082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458704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10,8</w:t>
            </w:r>
          </w:p>
        </w:tc>
      </w:tr>
      <w:tr w:rsidR="00C25904" w:rsidRPr="00C25904" w14:paraId="3268FB96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E7B6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0057D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F541F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2AD639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C25904" w:rsidRPr="00C25904" w14:paraId="37391574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8869C9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EF1A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95EE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DA6A9E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C25904" w:rsidRPr="00C25904" w14:paraId="3D84E83A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F8C5C1" w14:textId="77777777" w:rsidR="00E703F7" w:rsidRPr="00C25904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wyrobów z metali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742F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022D9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2585A5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11,7</w:t>
            </w:r>
          </w:p>
        </w:tc>
      </w:tr>
      <w:tr w:rsidR="00C25904" w:rsidRPr="00C25904" w14:paraId="33B6A7DC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CDD861" w14:textId="77777777" w:rsidR="00E703F7" w:rsidRPr="00C25904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2DCE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5CD5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C640F4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C25904" w:rsidRPr="00C25904" w14:paraId="1900C35E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5266E3" w14:textId="77777777" w:rsidR="00E703F7" w:rsidRPr="00C25904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maszyn i urządzeń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1BC4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0B0E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EF93AB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C25904" w:rsidRPr="00C25904" w14:paraId="4FCBA4B4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53A21F" w14:textId="77777777" w:rsidR="00E703F7" w:rsidRPr="00C25904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693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4104F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22A2C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C25904" w:rsidRPr="00C25904" w14:paraId="635EBC4F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7A6342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EBAF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73CFE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BBD0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10,1</w:t>
            </w:r>
          </w:p>
        </w:tc>
      </w:tr>
      <w:tr w:rsidR="00C25904" w:rsidRPr="00C25904" w14:paraId="33756F4A" w14:textId="77777777" w:rsidTr="00C2590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6B0096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244D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89,0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70D5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66E53F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E703F7" w:rsidRPr="00C25904" w14:paraId="2818B5BC" w14:textId="77777777" w:rsidTr="00C25904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3B35B6" w14:textId="77777777" w:rsidR="00E703F7" w:rsidRPr="00C25904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885A1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F3F49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FFA804B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5700A3C5" w14:textId="77777777" w:rsidR="00E703F7" w:rsidRPr="00C25904" w:rsidRDefault="00E703F7" w:rsidP="00E703F7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 porównaniu z poprzednim miesiącem odnotowano spadek produkcji o 5,7%. W przetwórstwie przemysłowym produkcja także zmalała o 5,7%, natomiast w dostawie wody; gospodarowaniu ściekami i odpadami; rekultywacji wzrosła o 1,1%.</w:t>
      </w:r>
    </w:p>
    <w:p w14:paraId="4E97986E" w14:textId="77777777" w:rsidR="00E703F7" w:rsidRPr="00C25904" w:rsidRDefault="00E703F7" w:rsidP="00E703F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25904">
        <w:rPr>
          <w:rFonts w:cstheme="minorBidi"/>
          <w:b/>
          <w:szCs w:val="19"/>
          <w:highlight w:val="black"/>
        </w:rPr>
        <w:t>Wydajność pracy</w:t>
      </w:r>
      <w:r w:rsidRPr="00C25904">
        <w:rPr>
          <w:rFonts w:cstheme="minorBidi"/>
          <w:szCs w:val="19"/>
          <w:highlight w:val="black"/>
        </w:rPr>
        <w:t xml:space="preserve"> w przemyśle, mierzona produkcją sprzedaną na jednego zatrudnionego, w maju 2024 r. wyniosła (w cenach bieżących) 50,9 tys. zł i była niższa, licząc w cenach stałych, o 2,9% w odniesieniu do maja 2023 r., przy spadku przeciętnego zatrudnienia o 1,3% i wzroście płac o 14,2%.</w:t>
      </w:r>
    </w:p>
    <w:p w14:paraId="28BF81F7" w14:textId="6BFCA2B6" w:rsidR="00E703F7" w:rsidRPr="00C25904" w:rsidRDefault="00E703F7" w:rsidP="00E703F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C25904">
        <w:rPr>
          <w:rFonts w:cstheme="minorBidi"/>
          <w:szCs w:val="19"/>
          <w:highlight w:val="black"/>
        </w:rPr>
        <w:t>W okresie od stycznia do maja 2024 r. produkcja sprzedana przemysłu wyniosła 34 943,2 mln zł i była o 1,5% niższa (w</w:t>
      </w:r>
      <w:r w:rsidR="001C39FB" w:rsidRPr="00C25904">
        <w:rPr>
          <w:rFonts w:cstheme="minorBidi"/>
          <w:szCs w:val="19"/>
          <w:highlight w:val="black"/>
        </w:rPr>
        <w:t> </w:t>
      </w:r>
      <w:r w:rsidRPr="00C25904">
        <w:rPr>
          <w:rFonts w:cstheme="minorBidi"/>
          <w:szCs w:val="19"/>
          <w:highlight w:val="black"/>
        </w:rPr>
        <w:t>kraju wzrost o 0,3%) niż w analogicznym okresie 2023 r., w tym w przetwórstwie przemysłowym odnotowano spadek o</w:t>
      </w:r>
      <w:r w:rsidR="001C39FB" w:rsidRPr="00C25904">
        <w:rPr>
          <w:rFonts w:cstheme="minorBidi"/>
          <w:szCs w:val="19"/>
          <w:highlight w:val="black"/>
        </w:rPr>
        <w:t> </w:t>
      </w:r>
      <w:r w:rsidRPr="00C25904">
        <w:rPr>
          <w:rFonts w:cstheme="minorBidi"/>
          <w:szCs w:val="19"/>
          <w:highlight w:val="black"/>
        </w:rPr>
        <w:t>2,4%. Spadek produkcji odnotowano w 17 działach przemysłu, w tym w produkcji: wyrobów z gumy i tworzyw sztucznych (o 10,7%),</w:t>
      </w:r>
      <w:r w:rsidRPr="00C25904">
        <w:rPr>
          <w:highlight w:val="black"/>
        </w:rPr>
        <w:t xml:space="preserve"> </w:t>
      </w:r>
      <w:r w:rsidRPr="00C25904">
        <w:rPr>
          <w:rFonts w:cstheme="minorBidi"/>
          <w:szCs w:val="19"/>
          <w:highlight w:val="black"/>
        </w:rPr>
        <w:t>metali (o 10,1%), mebli (o 7,6%), wyrobów z metali (o 6,5%), chemikaliów i wyrobów chemicznych (o 6,4%), artykułów spożywczych (o 5,4%), pojazdów samochodowych, przyczep i naczep (o 4,4%) oraz maszyn i urządzeń (o 3,0%). Wzrost produkcji dotyczył natomiast m.in. przedsiębiorstw związanych z produkcją: pozostałego sprzętu transportowego (o 20,3%), napojów (o 16,5%), wyrobów z drewna, korka, słomy i wikliny (o 7,3%), komputerów, wyrobów elektronicznych i</w:t>
      </w:r>
      <w:r w:rsidR="001C39FB" w:rsidRPr="00C25904">
        <w:rPr>
          <w:rFonts w:cstheme="minorBidi"/>
          <w:szCs w:val="19"/>
          <w:highlight w:val="black"/>
        </w:rPr>
        <w:t> </w:t>
      </w:r>
      <w:r w:rsidRPr="00C25904">
        <w:rPr>
          <w:rFonts w:cstheme="minorBidi"/>
          <w:szCs w:val="19"/>
          <w:highlight w:val="black"/>
        </w:rPr>
        <w:t>optycznych (o 2,0%) oraz wyrobów z pozostałych mineralnych surowców niemetalicznych (o 0,9%).</w:t>
      </w:r>
    </w:p>
    <w:p w14:paraId="55E99794" w14:textId="1967F157" w:rsidR="00E703F7" w:rsidRPr="00C25904" w:rsidRDefault="00E703F7" w:rsidP="00E703F7">
      <w:pPr>
        <w:spacing w:before="120" w:after="120" w:line="288" w:lineRule="auto"/>
        <w:jc w:val="both"/>
        <w:rPr>
          <w:rFonts w:eastAsia="Calibri"/>
          <w:szCs w:val="19"/>
          <w:highlight w:val="black"/>
        </w:rPr>
      </w:pPr>
      <w:r w:rsidRPr="00C25904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C25904">
        <w:rPr>
          <w:rFonts w:eastAsia="Calibri"/>
          <w:szCs w:val="19"/>
          <w:highlight w:val="black"/>
        </w:rPr>
        <w:t xml:space="preserve"> (w cenach bieżących) w maju 2024 r. wyniosła 1028,5 mln zł. Była niższa niż w maju 2023</w:t>
      </w:r>
      <w:r w:rsidR="001C39FB" w:rsidRPr="00C25904">
        <w:rPr>
          <w:rFonts w:eastAsia="Calibri"/>
          <w:szCs w:val="19"/>
          <w:highlight w:val="black"/>
        </w:rPr>
        <w:t> </w:t>
      </w:r>
      <w:r w:rsidRPr="00C25904">
        <w:rPr>
          <w:rFonts w:eastAsia="Calibri"/>
          <w:szCs w:val="19"/>
          <w:highlight w:val="black"/>
        </w:rPr>
        <w:t>r. (o 14,1%), a wyższa niż w kwietniu 2024 r. (o 11,4%).</w:t>
      </w:r>
      <w:r w:rsidRPr="00C25904">
        <w:rPr>
          <w:highlight w:val="black"/>
        </w:rPr>
        <w:t xml:space="preserve"> </w:t>
      </w:r>
      <w:r w:rsidRPr="00C25904">
        <w:rPr>
          <w:rFonts w:eastAsia="Calibri"/>
          <w:szCs w:val="19"/>
          <w:highlight w:val="black"/>
        </w:rPr>
        <w:t>W okresie pięciu miesięcy 2024 r. produkcja sprzedana przedsiębiorstw budowlanych osiągnęła wartość 4480,1 mln zł i w porównaniu z analogicznym okresem 2023 r. obniżyła się o 5,7%.</w:t>
      </w:r>
    </w:p>
    <w:p w14:paraId="7D68E11A" w14:textId="0CC53736" w:rsidR="00E703F7" w:rsidRPr="00C25904" w:rsidRDefault="00E703F7" w:rsidP="00E703F7">
      <w:pPr>
        <w:spacing w:before="120" w:after="120" w:line="288" w:lineRule="auto"/>
        <w:jc w:val="both"/>
        <w:rPr>
          <w:rFonts w:eastAsia="Calibri"/>
          <w:szCs w:val="19"/>
          <w:highlight w:val="black"/>
        </w:rPr>
      </w:pPr>
      <w:r w:rsidRPr="00C25904">
        <w:rPr>
          <w:rFonts w:eastAsia="Calibri"/>
          <w:szCs w:val="19"/>
          <w:highlight w:val="black"/>
        </w:rPr>
        <w:t>W przeliczeniu na 1 zatrudnionego produkcja sprzedana budownictwa, w maju 2024 r. ukształtowała się na poziomie 55,5</w:t>
      </w:r>
      <w:r w:rsidR="001C39FB" w:rsidRPr="00C25904">
        <w:rPr>
          <w:rFonts w:eastAsia="Calibri"/>
          <w:szCs w:val="19"/>
          <w:highlight w:val="black"/>
        </w:rPr>
        <w:t> </w:t>
      </w:r>
      <w:r w:rsidRPr="00C25904">
        <w:rPr>
          <w:rFonts w:eastAsia="Calibri"/>
          <w:szCs w:val="19"/>
          <w:highlight w:val="black"/>
        </w:rPr>
        <w:t>tys. zł. Była o 13,1% niższa niż w maju 2023 r., przy przeciętnym zatrudnieniu niższym o 1,2% i wzroście wynagrodzeń o</w:t>
      </w:r>
      <w:r w:rsidR="001C39FB" w:rsidRPr="00C25904">
        <w:rPr>
          <w:rFonts w:eastAsia="Calibri"/>
          <w:szCs w:val="19"/>
          <w:highlight w:val="black"/>
        </w:rPr>
        <w:t> </w:t>
      </w:r>
      <w:r w:rsidRPr="00C25904">
        <w:rPr>
          <w:rFonts w:eastAsia="Calibri"/>
          <w:szCs w:val="19"/>
          <w:highlight w:val="black"/>
        </w:rPr>
        <w:t>24,0%.</w:t>
      </w:r>
    </w:p>
    <w:p w14:paraId="3B90A891" w14:textId="0AB8ED36" w:rsidR="00E703F7" w:rsidRPr="00C25904" w:rsidRDefault="00E703F7" w:rsidP="00E703F7">
      <w:pPr>
        <w:spacing w:before="120" w:after="120" w:line="288" w:lineRule="auto"/>
        <w:rPr>
          <w:highlight w:val="black"/>
        </w:rPr>
      </w:pPr>
      <w:r w:rsidRPr="00C25904">
        <w:rPr>
          <w:b/>
          <w:highlight w:val="black"/>
        </w:rPr>
        <w:t>Sprzedaż produkcji budowlano-montażowej</w:t>
      </w:r>
      <w:r w:rsidRPr="00C25904">
        <w:rPr>
          <w:highlight w:val="black"/>
        </w:rPr>
        <w:t xml:space="preserve"> (stanowiącej ponad 63% przychodów ogółem osiągniętych przez jednostki w</w:t>
      </w:r>
      <w:r w:rsidR="001C39FB" w:rsidRPr="00C25904">
        <w:rPr>
          <w:highlight w:val="black"/>
        </w:rPr>
        <w:t> </w:t>
      </w:r>
      <w:r w:rsidRPr="00C25904">
        <w:rPr>
          <w:highlight w:val="black"/>
        </w:rPr>
        <w:t>sekcji budownictwo), zrealizowana w maju 2024 r. wyniosła 651,9 mln zł i była niższa o 20,5% od uzyskanej w maju 2023</w:t>
      </w:r>
      <w:r w:rsidR="001C39FB" w:rsidRPr="00C25904">
        <w:rPr>
          <w:highlight w:val="black"/>
        </w:rPr>
        <w:t> </w:t>
      </w:r>
      <w:r w:rsidRPr="00C25904">
        <w:rPr>
          <w:highlight w:val="black"/>
        </w:rPr>
        <w:t>r. (wobec wzrostu o 91,1% przed rokiem). Spadek produkcji budowlano-montażowej w ujęciu rocznym wystąpił we wszystkich trzech działach budownictwa, w tym największy w podmiotach specjalizujących się w budowie obiektów inżynierii lądowej i wodnej (o 34,4%), a mniejszy w podmiotach realizujących głównie roboty budowlane specjalistyczne (o</w:t>
      </w:r>
      <w:r w:rsidR="001C39FB" w:rsidRPr="00C25904">
        <w:rPr>
          <w:highlight w:val="black"/>
        </w:rPr>
        <w:t> </w:t>
      </w:r>
      <w:r w:rsidRPr="00C25904">
        <w:rPr>
          <w:highlight w:val="black"/>
        </w:rPr>
        <w:t>6,8%) oraz w jednostkach, w których podstawowym rodzajem działalności jest budowa budynków (o 3,8%).</w:t>
      </w:r>
    </w:p>
    <w:p w14:paraId="379FA1E9" w14:textId="77777777" w:rsidR="00E703F7" w:rsidRPr="00C25904" w:rsidRDefault="00E703F7" w:rsidP="00E703F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E703F7" w:rsidRPr="00C25904" w14:paraId="5158DC09" w14:textId="77777777" w:rsidTr="00C25904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33C5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FDACA5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D4F8C8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2024</w:t>
            </w:r>
          </w:p>
        </w:tc>
      </w:tr>
      <w:tr w:rsidR="00E703F7" w:rsidRPr="00C25904" w14:paraId="48627B2A" w14:textId="77777777" w:rsidTr="00C25904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E14C4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6F98B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4190F3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25904" w:rsidRPr="00C25904" w14:paraId="62C41515" w14:textId="77777777" w:rsidTr="00C2590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1BDFA4" w14:textId="77777777" w:rsidR="00E703F7" w:rsidRPr="00C25904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5F40D7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79,5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73CA9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88,9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EF275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25904" w:rsidRPr="00C25904" w14:paraId="167C43E9" w14:textId="77777777" w:rsidTr="00C2590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69AB7C" w14:textId="77777777" w:rsidR="00E703F7" w:rsidRPr="00C25904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Budowa budynków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E47A4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96,2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2F106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99,7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552BC1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C25904" w:rsidRPr="00C25904" w14:paraId="625A3919" w14:textId="77777777" w:rsidTr="00C2590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460F59" w14:textId="77777777" w:rsidR="00E703F7" w:rsidRPr="00C25904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78AAB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65,6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FAAF2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89,0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EDE440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34,9</w:t>
            </w:r>
          </w:p>
        </w:tc>
      </w:tr>
      <w:tr w:rsidR="00E703F7" w:rsidRPr="00C25904" w14:paraId="4262FE44" w14:textId="77777777" w:rsidTr="00C25904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4D69B8" w14:textId="77777777" w:rsidR="00E703F7" w:rsidRPr="00C25904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6DD986D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93,2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2D6C9B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79,6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FAC5C6F" w14:textId="77777777" w:rsidR="00E703F7" w:rsidRPr="00C25904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31,7</w:t>
            </w:r>
          </w:p>
        </w:tc>
      </w:tr>
    </w:tbl>
    <w:p w14:paraId="6AC15EED" w14:textId="77777777" w:rsidR="00E703F7" w:rsidRPr="00C25904" w:rsidRDefault="00E703F7" w:rsidP="00E703F7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 porównaniu z poprzednim miesiącem sprzedaż produkcji budowlano-montażowej była wyższa o 24,5%. Produkcja budowlano-montażowa zwiększyła się w podmiotach specjalizujących się w budowie obiektów inżynierii lądowej i wodnej (o 40,1%) oraz w podmiotach realizujących głównie roboty budowlane specjalistyczne (o 36,2%). Spadek natomiast odnotowano w jednostkach, w których podstawowym rodzajem działalności jest budowa budynków (o 0,4%).</w:t>
      </w:r>
    </w:p>
    <w:p w14:paraId="13BC492A" w14:textId="17639D57" w:rsidR="00114DF8" w:rsidRPr="00C25904" w:rsidRDefault="00E703F7" w:rsidP="00E703F7">
      <w:pPr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Od początku roku 2024 produkcja budowlano-montażowa wyniosła 2488,6 mln zł i była o 11,1% niższa niż w analogicznym okresie 2023 r. Spadek odnotowano we wszystkich działach budownictwa, w tym najwyższy w podmiotach realizujących głównie roboty budowlane specjalistyczne, a mniejszy w podmiotach specjalizujących się w budowie obiektów inżynierii lądowej i wodnej oraz w jednostkach, w których podstawowym rodzajem działalności jest budowa budynków.</w:t>
      </w:r>
    </w:p>
    <w:p w14:paraId="32323267" w14:textId="583A0FA5" w:rsidR="005068B0" w:rsidRPr="00C25904" w:rsidRDefault="005068B0" w:rsidP="003B06C9">
      <w:pPr>
        <w:pStyle w:val="Nagwek1"/>
        <w:rPr>
          <w:highlight w:val="black"/>
        </w:rPr>
      </w:pPr>
      <w:bookmarkStart w:id="49" w:name="_Toc170470027"/>
      <w:r w:rsidRPr="00C25904">
        <w:rPr>
          <w:highlight w:val="black"/>
        </w:rPr>
        <w:t>Budownictwo mieszkaniowe</w:t>
      </w:r>
      <w:bookmarkEnd w:id="40"/>
      <w:bookmarkEnd w:id="41"/>
      <w:bookmarkEnd w:id="42"/>
      <w:bookmarkEnd w:id="49"/>
    </w:p>
    <w:p w14:paraId="52F6D1E2" w14:textId="759577ED" w:rsidR="00876731" w:rsidRPr="00C25904" w:rsidRDefault="00876731" w:rsidP="00876731">
      <w:pPr>
        <w:spacing w:before="120" w:after="120" w:line="288" w:lineRule="auto"/>
        <w:rPr>
          <w:szCs w:val="19"/>
          <w:highlight w:val="black"/>
        </w:rPr>
      </w:pPr>
      <w:bookmarkStart w:id="50" w:name="_Toc12612941"/>
      <w:bookmarkEnd w:id="43"/>
      <w:bookmarkEnd w:id="44"/>
      <w:bookmarkEnd w:id="45"/>
      <w:bookmarkEnd w:id="46"/>
      <w:r w:rsidRPr="00C25904">
        <w:rPr>
          <w:szCs w:val="19"/>
          <w:highlight w:val="black"/>
        </w:rPr>
        <w:t>W maju 2024 r., w porównaniu z analogicznym okresem 2023 r., wzrosła liczba mieszkań na realizację których wydano pozwolenia lub dokonano zgłoszenia z projektem budowlanym (o 17,2%) oraz liczba mieszkań, których budowę rozpoczęto (o 9,5%). Spadła natomiast liczba mieszkań oddanych do użytkowania (o 15,0%).</w:t>
      </w:r>
    </w:p>
    <w:p w14:paraId="61DEB86C" w14:textId="7B78D9F1" w:rsidR="00876731" w:rsidRPr="00C25904" w:rsidRDefault="00876731" w:rsidP="00876731">
      <w:pPr>
        <w:spacing w:before="120" w:after="120" w:line="288" w:lineRule="auto"/>
        <w:rPr>
          <w:szCs w:val="19"/>
          <w:highlight w:val="black"/>
        </w:rPr>
      </w:pPr>
      <w:r w:rsidRPr="00C25904">
        <w:rPr>
          <w:szCs w:val="19"/>
          <w:highlight w:val="black"/>
        </w:rPr>
        <w:t>Według wstępnych danych</w:t>
      </w:r>
      <w:r w:rsidRPr="00C25904">
        <w:rPr>
          <w:szCs w:val="19"/>
          <w:highlight w:val="black"/>
          <w:vertAlign w:val="superscript"/>
        </w:rPr>
        <w:footnoteReference w:id="4"/>
      </w:r>
      <w:r w:rsidRPr="00C25904">
        <w:rPr>
          <w:szCs w:val="19"/>
          <w:highlight w:val="black"/>
        </w:rPr>
        <w:t>, w maju 2024 r. przekazano do użytkowania 652 mieszkania o łącznej powierzchni 69,7 tys. m</w:t>
      </w:r>
      <w:r w:rsidRPr="00C25904">
        <w:rPr>
          <w:szCs w:val="19"/>
          <w:highlight w:val="black"/>
          <w:vertAlign w:val="superscript"/>
        </w:rPr>
        <w:t>2</w:t>
      </w:r>
      <w:r w:rsidRPr="00C25904">
        <w:rPr>
          <w:szCs w:val="19"/>
          <w:highlight w:val="black"/>
        </w:rPr>
        <w:t xml:space="preserve">. Liczba nowo wybudowanych mieszkań, w porównaniu z majem 2023 r., spadła o 115 lokali. W maju 2024 r. w budownictwie przeznaczonym na sprzedaż lub wynajem przekazano 331 mieszkań (o 101 więcej niż w maju 2023 r.), a w budownictwie indywidualnym oddano do użytkowania 321 mieszkań (o 216 mniej niż w maju 2023 r.). </w:t>
      </w:r>
      <w:r w:rsidRPr="00C25904">
        <w:rPr>
          <w:highlight w:val="black"/>
        </w:rPr>
        <w:t xml:space="preserve">W pozostałych formach budownictwa </w:t>
      </w:r>
      <w:r w:rsidRPr="00C25904">
        <w:rPr>
          <w:rFonts w:cstheme="minorBidi"/>
          <w:szCs w:val="19"/>
          <w:highlight w:val="black"/>
          <w:shd w:val="clear" w:color="auto" w:fill="FFFFFF"/>
        </w:rPr>
        <w:t>nie odnotowano efektów.</w:t>
      </w:r>
    </w:p>
    <w:p w14:paraId="3855E199" w14:textId="74493EFB" w:rsidR="00876731" w:rsidRPr="00C25904" w:rsidRDefault="00876731" w:rsidP="00A07E22">
      <w:pPr>
        <w:spacing w:before="120" w:after="1440" w:line="288" w:lineRule="auto"/>
        <w:rPr>
          <w:szCs w:val="19"/>
          <w:highlight w:val="black"/>
        </w:rPr>
      </w:pPr>
      <w:r w:rsidRPr="00C25904">
        <w:rPr>
          <w:szCs w:val="19"/>
          <w:highlight w:val="black"/>
        </w:rPr>
        <w:t>W maju 2024 r. udział województwa podkarpackiego wśród mieszkań oddanych do użytkowania w kraju wyniósł 4,5% i był o 0,6 p.proc. niższy niż w kwietniu 2024 r.</w:t>
      </w:r>
    </w:p>
    <w:p w14:paraId="51BC86AB" w14:textId="77777777" w:rsidR="00876731" w:rsidRPr="00C25904" w:rsidRDefault="00876731" w:rsidP="00876731">
      <w:pPr>
        <w:pStyle w:val="Tablicespis"/>
        <w:rPr>
          <w:highlight w:val="black"/>
        </w:rPr>
      </w:pPr>
      <w:r w:rsidRPr="00C25904">
        <w:rPr>
          <w:highlight w:val="black"/>
        </w:rPr>
        <w:lastRenderedPageBreak/>
        <w:t>Liczba mieszkań oddanych do użytkowania w okresie styczeń</w:t>
      </w:r>
      <w:r w:rsidRPr="00C25904">
        <w:rPr>
          <w:bCs/>
          <w:noProof/>
          <w:highlight w:val="black"/>
        </w:rPr>
        <w:t>–</w:t>
      </w:r>
      <w:r w:rsidRPr="00C25904">
        <w:rPr>
          <w:highlight w:val="black"/>
        </w:rPr>
        <w:t>maj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j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876731" w:rsidRPr="00C25904" w14:paraId="5EDD1BF0" w14:textId="77777777" w:rsidTr="00C2590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73107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0AA65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4E4597CB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 xml:space="preserve">Przeciętna </w:t>
            </w:r>
            <w:r w:rsidRPr="00C25904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C25904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C25904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C25904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C25904" w:rsidRPr="00C25904" w14:paraId="40CC8D51" w14:textId="77777777" w:rsidTr="00C2590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5B42E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E3B6E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 xml:space="preserve">w liczbach </w:t>
            </w:r>
            <w:r w:rsidRPr="00C25904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AA1F6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41A48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</w:t>
            </w:r>
            <w:r w:rsidRPr="00C25904">
              <w:rPr>
                <w:bCs/>
                <w:noProof/>
                <w:szCs w:val="19"/>
                <w:highlight w:val="black"/>
              </w:rPr>
              <w:t>–</w:t>
            </w:r>
            <w:r w:rsidRPr="00C25904">
              <w:rPr>
                <w:rFonts w:cs="Arial"/>
                <w:szCs w:val="19"/>
                <w:highlight w:val="black"/>
              </w:rPr>
              <w:t>05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3113AC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54CBB824" w14:textId="77777777" w:rsidTr="00C2590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6427B" w14:textId="77777777" w:rsidR="00876731" w:rsidRPr="00C25904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412B4C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3550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6C872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492FC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84,6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E791A8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102,9</w:t>
            </w:r>
          </w:p>
        </w:tc>
      </w:tr>
      <w:tr w:rsidR="00C25904" w:rsidRPr="00C25904" w14:paraId="045691D5" w14:textId="77777777" w:rsidTr="00C2590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641C50" w14:textId="77777777" w:rsidR="00876731" w:rsidRPr="00C25904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9EFDBB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1818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8D284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51,2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0D4CB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60,2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60241E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143,1</w:t>
            </w:r>
          </w:p>
        </w:tc>
      </w:tr>
      <w:tr w:rsidR="00C25904" w:rsidRPr="00C25904" w14:paraId="78BA490B" w14:textId="77777777" w:rsidTr="00C2590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54078" w14:textId="77777777" w:rsidR="00876731" w:rsidRPr="00C25904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26F5E4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1631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3EB72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45,9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C300E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138,5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AC7967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61,1</w:t>
            </w:r>
          </w:p>
        </w:tc>
      </w:tr>
      <w:tr w:rsidR="00876731" w:rsidRPr="00C25904" w14:paraId="01D3618C" w14:textId="77777777" w:rsidTr="00C2590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912907" w14:textId="77777777" w:rsidR="00876731" w:rsidRPr="00C25904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DFB919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CDFD3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B3A97F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A7A531D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54,3</w:t>
            </w:r>
          </w:p>
        </w:tc>
      </w:tr>
    </w:tbl>
    <w:p w14:paraId="2551DB74" w14:textId="77777777" w:rsidR="00876731" w:rsidRPr="00C25904" w:rsidRDefault="00876731" w:rsidP="00876731">
      <w:pPr>
        <w:pStyle w:val="Nagwek5"/>
        <w:rPr>
          <w:highlight w:val="black"/>
        </w:rPr>
      </w:pPr>
      <w:r w:rsidRPr="00C25904">
        <w:rPr>
          <w:highlight w:val="black"/>
        </w:rPr>
        <w:t>Dynamika mieszkań oddanych do użytkowania (analogiczny okres 2021=100)</w:t>
      </w:r>
    </w:p>
    <w:p w14:paraId="505CAF55" w14:textId="12D769BF" w:rsidR="00876731" w:rsidRPr="00C25904" w:rsidRDefault="00DA5AAD" w:rsidP="00876731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D0FE9BC" wp14:editId="3C5009DD">
            <wp:extent cx="6809740" cy="3145790"/>
            <wp:effectExtent l="0" t="0" r="0" b="0"/>
            <wp:docPr id="38" name="Obraz 38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F3795" w14:textId="53EED831" w:rsidR="00876731" w:rsidRPr="00C25904" w:rsidRDefault="00876731" w:rsidP="00876731">
      <w:pPr>
        <w:spacing w:before="120" w:after="120" w:line="288" w:lineRule="auto"/>
        <w:rPr>
          <w:szCs w:val="19"/>
          <w:highlight w:val="black"/>
        </w:rPr>
      </w:pPr>
      <w:r w:rsidRPr="00C25904">
        <w:rPr>
          <w:rFonts w:cs="Arial"/>
          <w:spacing w:val="-2"/>
          <w:szCs w:val="19"/>
          <w:highlight w:val="black"/>
        </w:rPr>
        <w:t>W okresie styczeń</w:t>
      </w:r>
      <w:r w:rsidRPr="00C25904">
        <w:rPr>
          <w:bCs/>
          <w:noProof/>
          <w:szCs w:val="19"/>
          <w:highlight w:val="black"/>
        </w:rPr>
        <w:t>–</w:t>
      </w:r>
      <w:r w:rsidRPr="00C25904">
        <w:rPr>
          <w:rFonts w:cs="Arial"/>
          <w:spacing w:val="-2"/>
          <w:szCs w:val="19"/>
          <w:highlight w:val="black"/>
        </w:rPr>
        <w:t xml:space="preserve">maj 2024 r. </w:t>
      </w:r>
      <w:r w:rsidRPr="00C25904">
        <w:rPr>
          <w:rFonts w:cs="Arial"/>
          <w:b/>
          <w:bCs/>
          <w:spacing w:val="-2"/>
          <w:szCs w:val="19"/>
          <w:highlight w:val="black"/>
        </w:rPr>
        <w:t xml:space="preserve">oddano do użytkowania </w:t>
      </w:r>
      <w:r w:rsidRPr="00C25904">
        <w:rPr>
          <w:rFonts w:cs="Arial"/>
          <w:bCs/>
          <w:spacing w:val="-2"/>
          <w:szCs w:val="19"/>
          <w:highlight w:val="black"/>
        </w:rPr>
        <w:t>3550</w:t>
      </w:r>
      <w:r w:rsidRPr="00C25904">
        <w:rPr>
          <w:rFonts w:cs="Arial"/>
          <w:spacing w:val="-2"/>
          <w:szCs w:val="19"/>
          <w:highlight w:val="black"/>
        </w:rPr>
        <w:t xml:space="preserve"> </w:t>
      </w:r>
      <w:r w:rsidRPr="00C25904">
        <w:rPr>
          <w:rFonts w:cs="Arial"/>
          <w:bCs/>
          <w:spacing w:val="-2"/>
          <w:szCs w:val="19"/>
          <w:highlight w:val="black"/>
        </w:rPr>
        <w:t>mieszkań</w:t>
      </w:r>
      <w:r w:rsidR="006B0C6A" w:rsidRPr="00C25904">
        <w:rPr>
          <w:rFonts w:cs="Arial"/>
          <w:spacing w:val="-2"/>
          <w:szCs w:val="19"/>
          <w:highlight w:val="black"/>
        </w:rPr>
        <w:t xml:space="preserve"> (</w:t>
      </w:r>
      <w:r w:rsidRPr="00C25904">
        <w:rPr>
          <w:rFonts w:cs="Arial"/>
          <w:spacing w:val="-2"/>
          <w:szCs w:val="19"/>
          <w:highlight w:val="black"/>
        </w:rPr>
        <w:t>o 648 lokali mniej niż w analogicznym okresie ub.</w:t>
      </w:r>
      <w:r w:rsidR="005D0CE9" w:rsidRPr="00C25904">
        <w:rPr>
          <w:rFonts w:cs="Arial"/>
          <w:spacing w:val="-2"/>
          <w:szCs w:val="19"/>
          <w:highlight w:val="black"/>
        </w:rPr>
        <w:t> </w:t>
      </w:r>
      <w:r w:rsidRPr="00C25904">
        <w:rPr>
          <w:rFonts w:cs="Arial"/>
          <w:spacing w:val="-2"/>
          <w:szCs w:val="19"/>
          <w:highlight w:val="black"/>
        </w:rPr>
        <w:t>roku</w:t>
      </w:r>
      <w:r w:rsidR="006B0C6A" w:rsidRPr="00C25904">
        <w:rPr>
          <w:rFonts w:cs="Arial"/>
          <w:spacing w:val="-2"/>
          <w:szCs w:val="19"/>
          <w:highlight w:val="black"/>
        </w:rPr>
        <w:t>).</w:t>
      </w:r>
      <w:r w:rsidRPr="00C25904">
        <w:rPr>
          <w:rFonts w:cs="Arial"/>
          <w:spacing w:val="-2"/>
          <w:szCs w:val="19"/>
          <w:highlight w:val="black"/>
        </w:rPr>
        <w:t xml:space="preserve"> W budownictwie przeznaczonym na sprzedaż lub wynajem przekazano o 453 mieszkania więcej, natomiast mniej mieszkań (o</w:t>
      </w:r>
      <w:r w:rsidR="0003250B" w:rsidRPr="00C25904">
        <w:rPr>
          <w:rFonts w:cs="Arial"/>
          <w:spacing w:val="-2"/>
          <w:szCs w:val="19"/>
          <w:highlight w:val="black"/>
        </w:rPr>
        <w:t xml:space="preserve"> </w:t>
      </w:r>
      <w:r w:rsidRPr="00C25904">
        <w:rPr>
          <w:rFonts w:cs="Arial"/>
          <w:spacing w:val="-2"/>
          <w:szCs w:val="19"/>
          <w:highlight w:val="black"/>
        </w:rPr>
        <w:t>1202) przekazano w budownictwie indywidualnym.</w:t>
      </w:r>
      <w:r w:rsidRPr="00C25904">
        <w:rPr>
          <w:szCs w:val="19"/>
          <w:highlight w:val="black"/>
        </w:rPr>
        <w:t xml:space="preserve"> </w:t>
      </w:r>
      <w:r w:rsidRPr="00C25904">
        <w:rPr>
          <w:highlight w:val="black"/>
        </w:rPr>
        <w:t xml:space="preserve">Ponadto w budownictwie społecznym czynszowym oddano do użytkowania 101 mieszkań (przed rokiem w tej formie budownictwa </w:t>
      </w:r>
      <w:r w:rsidRPr="00C25904">
        <w:rPr>
          <w:rFonts w:cstheme="minorBidi"/>
          <w:szCs w:val="19"/>
          <w:highlight w:val="black"/>
          <w:shd w:val="clear" w:color="auto" w:fill="FFFFFF"/>
        </w:rPr>
        <w:t>nie odnotowano efektów).</w:t>
      </w:r>
    </w:p>
    <w:p w14:paraId="58C41197" w14:textId="18420E10" w:rsidR="00876731" w:rsidRPr="00C25904" w:rsidRDefault="00876731" w:rsidP="0087673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25904">
        <w:rPr>
          <w:b/>
          <w:bCs/>
          <w:noProof/>
          <w:szCs w:val="19"/>
          <w:highlight w:val="black"/>
        </w:rPr>
        <w:t>Przeciętna powierzchnia użytkowa</w:t>
      </w:r>
      <w:r w:rsidRPr="00C25904">
        <w:rPr>
          <w:bCs/>
          <w:noProof/>
          <w:szCs w:val="19"/>
          <w:highlight w:val="black"/>
        </w:rPr>
        <w:t xml:space="preserve"> mieszkania przekazanego do użytkowania w </w:t>
      </w:r>
      <w:r w:rsidRPr="00C25904">
        <w:rPr>
          <w:rFonts w:cs="Arial"/>
          <w:spacing w:val="-2"/>
          <w:szCs w:val="19"/>
          <w:highlight w:val="black"/>
        </w:rPr>
        <w:t>okresie styczeń</w:t>
      </w:r>
      <w:r w:rsidRPr="00C25904">
        <w:rPr>
          <w:bCs/>
          <w:noProof/>
          <w:szCs w:val="19"/>
          <w:highlight w:val="black"/>
        </w:rPr>
        <w:t>–</w:t>
      </w:r>
      <w:r w:rsidRPr="00C25904">
        <w:rPr>
          <w:rFonts w:cs="Arial"/>
          <w:spacing w:val="-2"/>
          <w:szCs w:val="19"/>
          <w:highlight w:val="black"/>
        </w:rPr>
        <w:t xml:space="preserve">maj 2024 r. </w:t>
      </w:r>
      <w:r w:rsidRPr="00C25904">
        <w:rPr>
          <w:bCs/>
          <w:noProof/>
          <w:szCs w:val="19"/>
          <w:highlight w:val="black"/>
        </w:rPr>
        <w:t>wyniosła 102,9 m</w:t>
      </w:r>
      <w:r w:rsidRPr="00C25904">
        <w:rPr>
          <w:bCs/>
          <w:noProof/>
          <w:szCs w:val="19"/>
          <w:highlight w:val="black"/>
          <w:vertAlign w:val="superscript"/>
        </w:rPr>
        <w:t>2</w:t>
      </w:r>
      <w:r w:rsidRPr="00C25904">
        <w:rPr>
          <w:bCs/>
          <w:noProof/>
          <w:szCs w:val="19"/>
          <w:highlight w:val="black"/>
        </w:rPr>
        <w:t>, z tego w</w:t>
      </w:r>
      <w:r w:rsidR="0003250B" w:rsidRPr="00C25904">
        <w:rPr>
          <w:bCs/>
          <w:noProof/>
          <w:szCs w:val="19"/>
          <w:highlight w:val="black"/>
        </w:rPr>
        <w:t xml:space="preserve"> </w:t>
      </w:r>
      <w:r w:rsidRPr="00C25904">
        <w:rPr>
          <w:bCs/>
          <w:noProof/>
          <w:szCs w:val="19"/>
          <w:highlight w:val="black"/>
        </w:rPr>
        <w:t>budownictwie indywidualnym – 143,1 m</w:t>
      </w:r>
      <w:r w:rsidRPr="00C25904">
        <w:rPr>
          <w:bCs/>
          <w:noProof/>
          <w:szCs w:val="19"/>
          <w:highlight w:val="black"/>
          <w:vertAlign w:val="superscript"/>
        </w:rPr>
        <w:t>2</w:t>
      </w:r>
      <w:r w:rsidRPr="00C25904">
        <w:rPr>
          <w:bCs/>
          <w:noProof/>
          <w:szCs w:val="19"/>
          <w:highlight w:val="black"/>
        </w:rPr>
        <w:t>, w przeznaczonym na sprzedaż lub wynajem – 61,1</w:t>
      </w:r>
      <w:r w:rsidR="0003250B" w:rsidRPr="00C25904">
        <w:rPr>
          <w:bCs/>
          <w:noProof/>
          <w:szCs w:val="19"/>
          <w:highlight w:val="black"/>
        </w:rPr>
        <w:t xml:space="preserve"> </w:t>
      </w:r>
      <w:r w:rsidRPr="00C25904">
        <w:rPr>
          <w:bCs/>
          <w:noProof/>
          <w:szCs w:val="19"/>
          <w:highlight w:val="black"/>
        </w:rPr>
        <w:t>m</w:t>
      </w:r>
      <w:r w:rsidRPr="00C25904">
        <w:rPr>
          <w:bCs/>
          <w:noProof/>
          <w:szCs w:val="19"/>
          <w:highlight w:val="black"/>
          <w:vertAlign w:val="superscript"/>
        </w:rPr>
        <w:t>2</w:t>
      </w:r>
      <w:r w:rsidRPr="00C25904">
        <w:rPr>
          <w:bCs/>
          <w:noProof/>
          <w:szCs w:val="19"/>
          <w:highlight w:val="black"/>
        </w:rPr>
        <w:t>, a w społecznym czynszowym – 54,3 m</w:t>
      </w:r>
      <w:r w:rsidRPr="00C25904">
        <w:rPr>
          <w:bCs/>
          <w:noProof/>
          <w:szCs w:val="19"/>
          <w:highlight w:val="black"/>
          <w:vertAlign w:val="superscript"/>
        </w:rPr>
        <w:t>2</w:t>
      </w:r>
      <w:r w:rsidRPr="00C25904">
        <w:rPr>
          <w:bCs/>
          <w:noProof/>
          <w:szCs w:val="19"/>
          <w:highlight w:val="black"/>
        </w:rPr>
        <w:t>.</w:t>
      </w:r>
    </w:p>
    <w:p w14:paraId="74E3AC1D" w14:textId="77777777" w:rsidR="00876731" w:rsidRPr="00C25904" w:rsidRDefault="00876731" w:rsidP="00876731">
      <w:pPr>
        <w:spacing w:before="120" w:after="120" w:line="288" w:lineRule="auto"/>
        <w:rPr>
          <w:noProof/>
          <w:szCs w:val="19"/>
          <w:highlight w:val="black"/>
        </w:rPr>
      </w:pPr>
      <w:r w:rsidRPr="00C25904">
        <w:rPr>
          <w:noProof/>
          <w:szCs w:val="19"/>
          <w:highlight w:val="black"/>
        </w:rPr>
        <w:t>Mieszkania o największej przeciętnej powierzchni użytkowej wybudowano w powiecie leżajskim (161,0 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), następnie</w:t>
      </w:r>
      <w:r w:rsidRPr="00C25904">
        <w:rPr>
          <w:bCs/>
          <w:noProof/>
          <w:szCs w:val="19"/>
          <w:highlight w:val="black"/>
        </w:rPr>
        <w:t xml:space="preserve"> w </w:t>
      </w:r>
      <w:r w:rsidRPr="00C25904">
        <w:rPr>
          <w:noProof/>
          <w:szCs w:val="19"/>
          <w:highlight w:val="black"/>
        </w:rPr>
        <w:t>stalowowolskim (158,2 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 i sanockim (147,8 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). Najmniejsze natomiast w Rzeszowie (67,5 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), następnie w Krośnie (68,9 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 i w powiecie leskim (86,6 m</w:t>
      </w:r>
      <w:r w:rsidRPr="00C25904">
        <w:rPr>
          <w:noProof/>
          <w:szCs w:val="19"/>
          <w:highlight w:val="black"/>
          <w:vertAlign w:val="superscript"/>
        </w:rPr>
        <w:t>2</w:t>
      </w:r>
      <w:r w:rsidRPr="00C25904">
        <w:rPr>
          <w:noProof/>
          <w:szCs w:val="19"/>
          <w:highlight w:val="black"/>
        </w:rPr>
        <w:t>).</w:t>
      </w:r>
    </w:p>
    <w:p w14:paraId="5D4EC1B4" w14:textId="506BB136" w:rsidR="00876731" w:rsidRPr="00C25904" w:rsidRDefault="00876731" w:rsidP="0087673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25904">
        <w:rPr>
          <w:bCs/>
          <w:noProof/>
          <w:szCs w:val="19"/>
          <w:highlight w:val="black"/>
        </w:rPr>
        <w:t>W przekroju terytorialnym najwięcej mieszkań oddano do użytkowania w Rzeszowie (1244), następnie w powiatach rzeszowskim (389) i jarosławskim (247). Najmniej mieszkań przekazano natomiast w Przemyślu oraz w</w:t>
      </w:r>
      <w:r w:rsidR="00427372" w:rsidRPr="00C25904">
        <w:rPr>
          <w:bCs/>
          <w:noProof/>
          <w:szCs w:val="19"/>
          <w:highlight w:val="black"/>
        </w:rPr>
        <w:t xml:space="preserve"> </w:t>
      </w:r>
      <w:r w:rsidRPr="00C25904">
        <w:rPr>
          <w:bCs/>
          <w:noProof/>
          <w:szCs w:val="19"/>
          <w:highlight w:val="black"/>
        </w:rPr>
        <w:t>powiecie bieszczadzkim (po 9).</w:t>
      </w:r>
    </w:p>
    <w:p w14:paraId="316A0942" w14:textId="77777777" w:rsidR="00876731" w:rsidRPr="00C25904" w:rsidRDefault="00876731" w:rsidP="00876731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C25904">
        <w:rPr>
          <w:b/>
          <w:highlight w:val="black"/>
        </w:rPr>
        <w:lastRenderedPageBreak/>
        <w:t xml:space="preserve">Mapa 2. Mieszkania oddane do użytkowania według powiatów </w:t>
      </w:r>
      <w:r w:rsidRPr="00C25904">
        <w:rPr>
          <w:b/>
          <w:bCs/>
          <w:noProof/>
          <w:szCs w:val="19"/>
          <w:highlight w:val="black"/>
        </w:rPr>
        <w:t>w okresie styczeń</w:t>
      </w:r>
      <w:r w:rsidRPr="00C25904">
        <w:rPr>
          <w:bCs/>
          <w:noProof/>
          <w:szCs w:val="19"/>
          <w:highlight w:val="black"/>
        </w:rPr>
        <w:t>–</w:t>
      </w:r>
      <w:r w:rsidRPr="00C25904">
        <w:rPr>
          <w:b/>
          <w:bCs/>
          <w:noProof/>
          <w:szCs w:val="19"/>
          <w:highlight w:val="black"/>
        </w:rPr>
        <w:t>maj</w:t>
      </w:r>
      <w:r w:rsidRPr="00C25904">
        <w:rPr>
          <w:b/>
          <w:noProof/>
          <w:highlight w:val="black"/>
        </w:rPr>
        <w:t xml:space="preserve"> </w:t>
      </w:r>
      <w:r w:rsidRPr="00C25904">
        <w:rPr>
          <w:b/>
          <w:highlight w:val="black"/>
        </w:rPr>
        <w:t>2024 r.</w:t>
      </w:r>
    </w:p>
    <w:p w14:paraId="4BF1EDE9" w14:textId="33E1F27C" w:rsidR="00876731" w:rsidRPr="00C25904" w:rsidRDefault="00195FB0" w:rsidP="00876731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7E204A0C" wp14:editId="70C733C1">
            <wp:extent cx="4276353" cy="4940818"/>
            <wp:effectExtent l="0" t="0" r="0" b="0"/>
            <wp:docPr id="23" name="Obraz 23" descr="Mapa 2. Na mapie przedstawiono mieszkania oddane do użytkowania według powiatów województwa podkarpackiego w okresie styczeń-maj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eszkania_05_2024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0E1AF" w14:textId="4BD20101" w:rsidR="00876731" w:rsidRPr="00C25904" w:rsidRDefault="00876731" w:rsidP="00876731">
      <w:pPr>
        <w:spacing w:before="240" w:after="120" w:line="288" w:lineRule="auto"/>
        <w:rPr>
          <w:noProof/>
          <w:szCs w:val="19"/>
          <w:highlight w:val="black"/>
        </w:rPr>
      </w:pPr>
      <w:r w:rsidRPr="00C25904">
        <w:rPr>
          <w:rFonts w:cs="Arial"/>
          <w:szCs w:val="19"/>
          <w:highlight w:val="black"/>
        </w:rPr>
        <w:t>W okresie styczeń</w:t>
      </w:r>
      <w:r w:rsidRPr="00C25904">
        <w:rPr>
          <w:bCs/>
          <w:noProof/>
          <w:szCs w:val="19"/>
          <w:highlight w:val="black"/>
        </w:rPr>
        <w:t>–</w:t>
      </w:r>
      <w:r w:rsidRPr="00C25904">
        <w:rPr>
          <w:rFonts w:cs="Arial"/>
          <w:szCs w:val="19"/>
          <w:highlight w:val="black"/>
        </w:rPr>
        <w:t>maj 2024 r. wzrost liczby mieszkań oddanych do użytkowania w odniesieniu do analogicznego okresu 2023 r. odnotowano w trzech powiatach, z tego największy w Krośnie (prawie 5,3-krotny), następnie w</w:t>
      </w:r>
      <w:r w:rsidR="00815D22" w:rsidRPr="00C25904">
        <w:rPr>
          <w:rFonts w:cs="Arial"/>
          <w:szCs w:val="19"/>
          <w:highlight w:val="black"/>
        </w:rPr>
        <w:t xml:space="preserve"> </w:t>
      </w:r>
      <w:r w:rsidRPr="00C25904">
        <w:rPr>
          <w:rFonts w:cs="Arial"/>
          <w:szCs w:val="19"/>
          <w:highlight w:val="black"/>
        </w:rPr>
        <w:t>Rzeszowie (o 98,7%) oraz powiecie jarosławskim (o 45,3%). Spadek liczby mieszkań oddanych do użytkowania wystąpił w</w:t>
      </w:r>
      <w:r w:rsidR="00815D22" w:rsidRPr="00C25904">
        <w:rPr>
          <w:rFonts w:cs="Arial"/>
          <w:szCs w:val="19"/>
          <w:highlight w:val="black"/>
        </w:rPr>
        <w:t xml:space="preserve"> </w:t>
      </w:r>
      <w:r w:rsidRPr="00C25904">
        <w:rPr>
          <w:rFonts w:cs="Arial"/>
          <w:szCs w:val="19"/>
          <w:highlight w:val="black"/>
        </w:rPr>
        <w:t>dwudziestu dwóch powiatach, w tym największy w powiecie bieszczadzkim (o 90,6%), następnie w Przemyślu (o 88,0%) i</w:t>
      </w:r>
      <w:r w:rsidR="00815D22" w:rsidRPr="00C25904">
        <w:rPr>
          <w:rFonts w:cs="Arial"/>
          <w:szCs w:val="19"/>
          <w:highlight w:val="black"/>
        </w:rPr>
        <w:t xml:space="preserve"> </w:t>
      </w:r>
      <w:r w:rsidRPr="00C25904">
        <w:rPr>
          <w:rFonts w:cs="Arial"/>
          <w:szCs w:val="19"/>
          <w:highlight w:val="black"/>
        </w:rPr>
        <w:t>powiecie stalowowolskim (o 64,2%).</w:t>
      </w:r>
    </w:p>
    <w:p w14:paraId="231EA87B" w14:textId="3EE021B0" w:rsidR="00876731" w:rsidRPr="00C25904" w:rsidRDefault="00876731" w:rsidP="00876731">
      <w:pPr>
        <w:spacing w:before="120" w:after="120" w:line="288" w:lineRule="auto"/>
        <w:rPr>
          <w:noProof/>
          <w:szCs w:val="19"/>
          <w:highlight w:val="black"/>
        </w:rPr>
      </w:pPr>
      <w:r w:rsidRPr="00C25904">
        <w:rPr>
          <w:noProof/>
          <w:szCs w:val="19"/>
          <w:highlight w:val="black"/>
        </w:rPr>
        <w:t>W maju 2024 r.</w:t>
      </w:r>
      <w:r w:rsidRPr="00C25904">
        <w:rPr>
          <w:rFonts w:cs="Arial"/>
          <w:b/>
          <w:szCs w:val="19"/>
          <w:highlight w:val="black"/>
        </w:rPr>
        <w:t xml:space="preserve"> liczba mieszkań, na realizację których wydano pozwolenia lub dokonano zgłoszenia z projektem budowlanym </w:t>
      </w:r>
      <w:r w:rsidRPr="00C25904">
        <w:rPr>
          <w:noProof/>
          <w:szCs w:val="19"/>
          <w:highlight w:val="black"/>
        </w:rPr>
        <w:t>wyniosła 1284 (w analogicznym miesiącu 2023 r. – 1096), w tym w budownictwie przeznaczonym na sprzedaż lub wynajem – 771, a w indywidualnym – 512.</w:t>
      </w:r>
    </w:p>
    <w:p w14:paraId="6A32291C" w14:textId="77777777" w:rsidR="00876731" w:rsidRPr="00C25904" w:rsidRDefault="00876731" w:rsidP="00413C26">
      <w:pPr>
        <w:spacing w:before="120" w:after="3600" w:line="288" w:lineRule="auto"/>
        <w:rPr>
          <w:noProof/>
          <w:szCs w:val="19"/>
          <w:highlight w:val="black"/>
        </w:rPr>
      </w:pPr>
      <w:r w:rsidRPr="00C25904">
        <w:rPr>
          <w:noProof/>
          <w:szCs w:val="19"/>
          <w:highlight w:val="black"/>
        </w:rPr>
        <w:t xml:space="preserve">W badanym miesiącu </w:t>
      </w:r>
      <w:r w:rsidRPr="00C25904">
        <w:rPr>
          <w:b/>
          <w:noProof/>
          <w:szCs w:val="19"/>
          <w:highlight w:val="black"/>
        </w:rPr>
        <w:t xml:space="preserve">rozpoczęto budowę </w:t>
      </w:r>
      <w:r w:rsidRPr="00C25904">
        <w:rPr>
          <w:noProof/>
          <w:szCs w:val="19"/>
          <w:highlight w:val="black"/>
        </w:rPr>
        <w:t>712 mieszkań (w analogicznym miesiącu 2023 r. – 650), z tego w budownictwie indywidualnym – 535 mieszkań, a w przeznaczonym na sprzedaż lub wynajem – 177 mieszkań.</w:t>
      </w:r>
    </w:p>
    <w:p w14:paraId="7A152198" w14:textId="77777777" w:rsidR="00876731" w:rsidRPr="00C25904" w:rsidRDefault="00876731" w:rsidP="00876731">
      <w:pPr>
        <w:pStyle w:val="Tablicespis"/>
        <w:rPr>
          <w:highlight w:val="black"/>
        </w:rPr>
      </w:pPr>
      <w:r w:rsidRPr="00C25904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C25904">
        <w:rPr>
          <w:bCs/>
          <w:noProof/>
          <w:highlight w:val="black"/>
        </w:rPr>
        <w:t>–</w:t>
      </w:r>
      <w:r w:rsidRPr="00C25904">
        <w:rPr>
          <w:highlight w:val="black"/>
        </w:rPr>
        <w:t>maj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maj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76731" w:rsidRPr="00C25904" w14:paraId="01B1C7DF" w14:textId="77777777" w:rsidTr="00C2590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6B391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37227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0F3004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C25904" w:rsidRPr="00C25904" w14:paraId="2E96B0DE" w14:textId="77777777" w:rsidTr="00C2590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7541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7FDC7" w14:textId="77777777" w:rsidR="00876731" w:rsidRPr="00C25904" w:rsidRDefault="00876731" w:rsidP="00DF4A7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FB0DA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09B2C" w14:textId="77777777" w:rsidR="00876731" w:rsidRPr="00C25904" w:rsidRDefault="00876731" w:rsidP="00DF4A7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</w:t>
            </w:r>
            <w:r w:rsidRPr="00C25904">
              <w:rPr>
                <w:bCs/>
                <w:noProof/>
                <w:szCs w:val="19"/>
                <w:highlight w:val="black"/>
              </w:rPr>
              <w:t>–</w:t>
            </w:r>
            <w:r w:rsidRPr="00C25904">
              <w:rPr>
                <w:rFonts w:cs="Arial"/>
                <w:szCs w:val="19"/>
                <w:highlight w:val="black"/>
              </w:rPr>
              <w:t>05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DCA1D" w14:textId="77777777" w:rsidR="00876731" w:rsidRPr="00C25904" w:rsidRDefault="00876731" w:rsidP="00DF4A7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FA04A" w14:textId="77777777" w:rsidR="00876731" w:rsidRPr="00C25904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A503FC" w14:textId="77777777" w:rsidR="00876731" w:rsidRPr="00C25904" w:rsidRDefault="00876731" w:rsidP="00DF4A7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</w:t>
            </w:r>
            <w:r w:rsidRPr="00C25904">
              <w:rPr>
                <w:bCs/>
                <w:noProof/>
                <w:szCs w:val="19"/>
                <w:highlight w:val="black"/>
              </w:rPr>
              <w:t>–</w:t>
            </w:r>
            <w:r w:rsidRPr="00C25904">
              <w:rPr>
                <w:rFonts w:cs="Arial"/>
                <w:szCs w:val="19"/>
                <w:highlight w:val="black"/>
              </w:rPr>
              <w:t>05 2023 =100</w:t>
            </w:r>
          </w:p>
        </w:tc>
      </w:tr>
      <w:tr w:rsidR="00C25904" w:rsidRPr="00C25904" w14:paraId="2403658F" w14:textId="77777777" w:rsidTr="00C2590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0BF1B7" w14:textId="77777777" w:rsidR="00876731" w:rsidRPr="00C25904" w:rsidRDefault="00876731" w:rsidP="00DF4A7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4D4BE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4952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26001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9DE42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03FED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4135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01388C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E31757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133,5</w:t>
            </w:r>
          </w:p>
        </w:tc>
      </w:tr>
      <w:tr w:rsidR="00C25904" w:rsidRPr="00C25904" w14:paraId="4CE37982" w14:textId="77777777" w:rsidTr="00C2590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5BE9A7" w14:textId="77777777" w:rsidR="00876731" w:rsidRPr="00C25904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1F892E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2113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E7791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42,7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9D9E97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9C114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2208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0D4E9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53,4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84D4C5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116,6</w:t>
            </w:r>
          </w:p>
        </w:tc>
      </w:tr>
      <w:tr w:rsidR="00C25904" w:rsidRPr="00C25904" w14:paraId="5F20D730" w14:textId="77777777" w:rsidTr="00C2590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B9584D" w14:textId="77777777" w:rsidR="00876731" w:rsidRPr="00C25904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D6746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2442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FD873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49,3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F7C75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88,4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675AF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1927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BDAAF7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46,6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54B141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160,2</w:t>
            </w:r>
          </w:p>
        </w:tc>
      </w:tr>
      <w:tr w:rsidR="00C25904" w:rsidRPr="00C25904" w14:paraId="22956F2A" w14:textId="77777777" w:rsidTr="00C2590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EC3EB5" w14:textId="77777777" w:rsidR="00876731" w:rsidRPr="00C25904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594E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24DDFA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49517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B861F5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2BC3C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4C2788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C25904" w:rsidRPr="00C25904" w14:paraId="42F3AC78" w14:textId="77777777" w:rsidTr="00C2590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D6612B" w14:textId="77777777" w:rsidR="00876731" w:rsidRPr="00C25904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5A9055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5FBAF5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943E0A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1CFB58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E34684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2153734" w14:textId="77777777" w:rsidR="00876731" w:rsidRPr="00C25904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C25904" w:rsidRDefault="003A65C9" w:rsidP="003B06C9">
      <w:pPr>
        <w:pStyle w:val="Nagwek1"/>
        <w:rPr>
          <w:highlight w:val="black"/>
        </w:rPr>
      </w:pPr>
      <w:bookmarkStart w:id="51" w:name="_Toc170470028"/>
      <w:bookmarkEnd w:id="50"/>
      <w:r w:rsidRPr="00C25904">
        <w:rPr>
          <w:highlight w:val="black"/>
        </w:rPr>
        <w:t>Rynek wewnętrzny</w:t>
      </w:r>
      <w:bookmarkEnd w:id="51"/>
    </w:p>
    <w:p w14:paraId="273D2A39" w14:textId="77777777" w:rsidR="00CB694F" w:rsidRPr="00C25904" w:rsidRDefault="00CB694F" w:rsidP="00CB694F">
      <w:pPr>
        <w:spacing w:before="120" w:after="120" w:line="288" w:lineRule="auto"/>
        <w:rPr>
          <w:highlight w:val="black"/>
        </w:rPr>
      </w:pPr>
      <w:bookmarkStart w:id="52" w:name="_Toc6905819"/>
      <w:bookmarkStart w:id="53" w:name="_Toc52179244"/>
      <w:r w:rsidRPr="00C25904">
        <w:rPr>
          <w:highlight w:val="black"/>
        </w:rPr>
        <w:t>W maju 2024 r. w skali roku zwiększyła się sprzedaż detaliczna (w cenach bieżących). Niższa była natomiast sprzedaż hurtowa, zarówno w jednostkach handlowych, jak i hurtowych.</w:t>
      </w:r>
    </w:p>
    <w:p w14:paraId="70898739" w14:textId="77777777" w:rsidR="00CB694F" w:rsidRPr="00C25904" w:rsidRDefault="00CB694F" w:rsidP="00CB694F">
      <w:pPr>
        <w:spacing w:before="120" w:after="120" w:line="288" w:lineRule="auto"/>
        <w:rPr>
          <w:highlight w:val="black"/>
        </w:rPr>
      </w:pPr>
      <w:r w:rsidRPr="00C25904">
        <w:rPr>
          <w:b/>
          <w:highlight w:val="black"/>
        </w:rPr>
        <w:t>Sprzedaż detaliczna</w:t>
      </w:r>
      <w:r w:rsidRPr="00C25904">
        <w:rPr>
          <w:highlight w:val="black"/>
        </w:rPr>
        <w:t xml:space="preserve"> zrealizowana przez przedsiębiorstwa handlowe i niehandlowe, w maju 2024 r. zwiększyła się o 5,9% w odniesieniu do maja 2023 r. (wobec wzrostu o 0,1% przed rokiem). W porównaniu z poprzednim miesiącem sprzedaż detaliczna zmalała o 0,2%.</w:t>
      </w:r>
    </w:p>
    <w:p w14:paraId="67159096" w14:textId="340DE03A" w:rsidR="00CB694F" w:rsidRPr="00C25904" w:rsidRDefault="00CB694F" w:rsidP="005E42F1">
      <w:pPr>
        <w:spacing w:before="120" w:after="5880" w:line="288" w:lineRule="auto"/>
        <w:rPr>
          <w:highlight w:val="black"/>
        </w:rPr>
      </w:pPr>
      <w:r w:rsidRPr="00C25904">
        <w:rPr>
          <w:highlight w:val="black"/>
        </w:rPr>
        <w:t>Wzrost sprzedaży detalicznej w odniesieniu do maja 2023 r. wystąpił m.in. w grupach: prasa, książki, pozostała sprzedaż w</w:t>
      </w:r>
      <w:r w:rsidR="009A0AF7" w:rsidRPr="00C25904">
        <w:rPr>
          <w:highlight w:val="black"/>
        </w:rPr>
        <w:t> </w:t>
      </w:r>
      <w:r w:rsidRPr="00C25904">
        <w:rPr>
          <w:highlight w:val="black"/>
        </w:rPr>
        <w:t>wyspecjalizowanych sklepach (o 37,2%), farmaceutyki, kosmetyki, sprzęt ortopedyczny (o 26,8%), żywność, napoje i wyroby tytoniowe (o 6,7%) oraz w jednostkach zgrupowanych w kategorii pozostałe (o 2,0%). Łączny udział tych czterech grup w strukturze sprzedaży detalicznej wyniósł 60,0% i w stosunku do maja 2023 r. zwiększył się o 1,1 p.proc. Natomiast spadek sprzedaży wystąpił w grupie meble, sprzęt RTV i AGD (o 18,8%) oraz w grupie pojazdy samochodowe, motocykle, części (o 13,2%), a także w pozostałej sprzedaży detalicznej w niewyspecjalizowanych sklepach (o 4,3%).</w:t>
      </w:r>
    </w:p>
    <w:p w14:paraId="4158C680" w14:textId="77777777" w:rsidR="00CB694F" w:rsidRPr="00C25904" w:rsidRDefault="00CB694F" w:rsidP="00CB694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2590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CB694F" w:rsidRPr="00C25904" w14:paraId="1F704B5B" w14:textId="77777777" w:rsidTr="00C25904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3E795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97F2C1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05 2024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48B5B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01–05 2024</w:t>
            </w:r>
          </w:p>
        </w:tc>
      </w:tr>
      <w:tr w:rsidR="00CB694F" w:rsidRPr="00C25904" w14:paraId="237829B1" w14:textId="77777777" w:rsidTr="00C25904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7B10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1F6AFA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7E851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C25904" w:rsidRPr="00C25904" w14:paraId="4BC9D763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442F7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C25904">
              <w:rPr>
                <w:rFonts w:cs="Arial"/>
                <w:szCs w:val="19"/>
                <w:highlight w:val="black"/>
              </w:rPr>
              <w:t>Ogółem</w:t>
            </w:r>
            <w:r w:rsidRPr="00C2590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C25904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9EB7F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FC6B50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AD9F6D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C25904" w:rsidRPr="00C25904" w14:paraId="754A2D56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8D30C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A54447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95E98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EE9800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C25904" w:rsidRPr="00C25904" w14:paraId="5693B590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BA3E65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86FCD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5CD6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0608FD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9,8</w:t>
            </w:r>
          </w:p>
        </w:tc>
      </w:tr>
      <w:tr w:rsidR="00C25904" w:rsidRPr="00C25904" w14:paraId="7F07327F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A9457A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4" w:name="_Hlk143771912"/>
            <w:r w:rsidRPr="00C25904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54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B564D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95,7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AA0EA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4BFBC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C25904" w:rsidRPr="00C25904" w14:paraId="5E6FAFF6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29224E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5E108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A973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7F8DCC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C25904" w:rsidRPr="00C25904" w14:paraId="2ABC8938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BE5CEF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0449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545A28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36953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C25904" w:rsidRPr="00C25904" w14:paraId="39C4B768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E8EAAF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FFE0A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81,2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17D87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84,9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799137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C25904" w:rsidRPr="00C25904" w14:paraId="524B9B2A" w14:textId="77777777" w:rsidTr="00C2590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BCF51C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41554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137,2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830F67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F2E519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CB694F" w:rsidRPr="00C25904" w14:paraId="66F41EDE" w14:textId="77777777" w:rsidTr="00C25904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8C851B" w14:textId="77777777" w:rsidR="00CB694F" w:rsidRPr="00C25904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DB3765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E90EB0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9E5261D" w14:textId="77777777" w:rsidR="00CB694F" w:rsidRPr="00C25904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25904">
              <w:rPr>
                <w:rFonts w:cs="Arial"/>
                <w:szCs w:val="19"/>
                <w:highlight w:val="black"/>
              </w:rPr>
              <w:t>17,3</w:t>
            </w:r>
          </w:p>
        </w:tc>
      </w:tr>
    </w:tbl>
    <w:p w14:paraId="3E512010" w14:textId="77777777" w:rsidR="00CB694F" w:rsidRPr="00C25904" w:rsidRDefault="00CB694F" w:rsidP="00CB694F">
      <w:pPr>
        <w:spacing w:before="120" w:after="120" w:line="240" w:lineRule="exact"/>
        <w:rPr>
          <w:rFonts w:cs="Arial"/>
          <w:spacing w:val="-2"/>
          <w:highlight w:val="black"/>
        </w:rPr>
      </w:pPr>
      <w:r w:rsidRPr="00C25904">
        <w:rPr>
          <w:sz w:val="16"/>
          <w:szCs w:val="16"/>
          <w:highlight w:val="black"/>
        </w:rPr>
        <w:t xml:space="preserve">a </w:t>
      </w:r>
      <w:r w:rsidRPr="00C2590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947D17D" w14:textId="77777777" w:rsidR="00CB694F" w:rsidRPr="00C25904" w:rsidRDefault="00CB694F" w:rsidP="00CB694F">
      <w:pPr>
        <w:spacing w:before="120" w:after="120" w:line="288" w:lineRule="auto"/>
        <w:rPr>
          <w:szCs w:val="19"/>
          <w:highlight w:val="black"/>
        </w:rPr>
      </w:pPr>
      <w:r w:rsidRPr="00C25904">
        <w:rPr>
          <w:szCs w:val="19"/>
          <w:highlight w:val="black"/>
        </w:rPr>
        <w:t>W porównaniu z poprzednim miesiącem spadki sprzedaży odnotowano m.in. w podmiotach handlujących zarówno farmaceutykami, kosmetykami, sprzętem ortopedycznym (o 8,7%), jak również pojazdami samochodowymi, motocyklami, częściami (o 8,0%), a także w jednostkach zgrupowanych w kategorii pozostałe (o 5,5%) oraz w grupie tekstylia, odzież, obuwie (o 3,7%). Natomiast wzrost sprzedaży odnotowano m.in. w podmiotach sprzedających żywność, napoje i wyroby tytoniowe (o 5,7%), a także w pozostałej sprzedaży detalicznej w niewyspecjalizowanych sklepach (o 3,7%) oraz w podmiotach zajmujących się sprzedażą zarówno mebli, sprzętu RTV i AGD (o 2,7%), jak i prasy, książek, pozostałej sprzedaży w wyspecjalizowanych sklepach (o 1,0%).</w:t>
      </w:r>
    </w:p>
    <w:p w14:paraId="633C93C8" w14:textId="17A4153A" w:rsidR="00CB694F" w:rsidRPr="00C25904" w:rsidRDefault="00CB694F" w:rsidP="00CB694F">
      <w:pPr>
        <w:spacing w:before="120" w:after="120" w:line="288" w:lineRule="auto"/>
        <w:rPr>
          <w:szCs w:val="19"/>
          <w:highlight w:val="black"/>
        </w:rPr>
      </w:pPr>
      <w:r w:rsidRPr="00C25904">
        <w:rPr>
          <w:szCs w:val="19"/>
          <w:highlight w:val="black"/>
        </w:rPr>
        <w:t>W okresie od stycznia do maja 2024 r. sprzedaż detaliczna była o 11,3% wyższa w porównaniu z analogicznym okresem 2023 r. (przed rokiem odnotowano wzrost o 0,3%). Wzrost sprzedaży wystąpił m.in. w grupach: farmaceutyki, kosmetyki, sprzęt ortopedyczny (o 29,9%), prasa, książki, pozostała sprzedaż w wyspecjalizowanych sklepach (o 23,3%), pozostałe (o</w:t>
      </w:r>
      <w:r w:rsidR="005E42F1" w:rsidRPr="00C25904">
        <w:rPr>
          <w:szCs w:val="19"/>
          <w:highlight w:val="black"/>
        </w:rPr>
        <w:t> </w:t>
      </w:r>
      <w:r w:rsidRPr="00C25904">
        <w:rPr>
          <w:szCs w:val="19"/>
          <w:highlight w:val="black"/>
        </w:rPr>
        <w:t>20,3%), żywność, napoje i wyroby tytoniowe (o 8,1%) oraz pozostała sprzedaż detaliczna w niewyspecjalizowanych sklepach (o 0,4%). Natomiast spadek odnotowano w podmiotach zajmujących się sprzedażą zarówno mebli, sprzętu RTV i</w:t>
      </w:r>
      <w:r w:rsidR="005E42F1" w:rsidRPr="00C25904">
        <w:rPr>
          <w:szCs w:val="19"/>
          <w:highlight w:val="black"/>
        </w:rPr>
        <w:t> </w:t>
      </w:r>
      <w:r w:rsidRPr="00C25904">
        <w:rPr>
          <w:szCs w:val="19"/>
          <w:highlight w:val="black"/>
        </w:rPr>
        <w:t>AGD (o 15,1%), jak i pojazdów samochodowych, motocykli, części (o 11,5%).</w:t>
      </w:r>
    </w:p>
    <w:bookmarkEnd w:id="52"/>
    <w:bookmarkEnd w:id="53"/>
    <w:p w14:paraId="1E4C2585" w14:textId="25FE44A9" w:rsidR="002D05C9" w:rsidRPr="00C25904" w:rsidRDefault="00CB694F" w:rsidP="00CB694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C25904">
        <w:rPr>
          <w:b/>
          <w:szCs w:val="19"/>
          <w:highlight w:val="black"/>
        </w:rPr>
        <w:t>Sprzedaż hurtowa</w:t>
      </w:r>
      <w:r w:rsidRPr="00C25904">
        <w:rPr>
          <w:szCs w:val="19"/>
          <w:highlight w:val="black"/>
        </w:rPr>
        <w:t xml:space="preserve"> w przedsiębiorstwach handlowych, w maju 2024 r. była o 1,0% niższa niż przed rokiem, w tym w przedsiębiorstwach handlu hurtowego obniżyła się o 2,9%. Sprzedaż hurtowa, w porównaniu z poprzednim miesiącem, zmniejszyła się o 9,8% w przedsiębiorstwach handlowych, a o 10,3% w przedsiębiorstwach handlu hurtowego. W okresie styczeń–maj 2024 r., w odniesieniu do analogicznego okresu ubiegłego roku sprzedaż hurtowa w przedsiębiorstwach handlowych była niższa o 1,1%, a w przedsiębiorstwach handlu hurtowego o 2,7%.</w:t>
      </w:r>
    </w:p>
    <w:p w14:paraId="02AF9477" w14:textId="77777777" w:rsidR="00400A40" w:rsidRPr="00C25904" w:rsidRDefault="00400A40" w:rsidP="00400A40">
      <w:pPr>
        <w:pStyle w:val="Nagwek1"/>
        <w:rPr>
          <w:highlight w:val="black"/>
        </w:rPr>
      </w:pPr>
      <w:bookmarkStart w:id="55" w:name="_Toc170470029"/>
      <w:r w:rsidRPr="00C25904">
        <w:rPr>
          <w:highlight w:val="black"/>
        </w:rPr>
        <w:t>Podmioty gospodarki narodowej</w:t>
      </w:r>
      <w:bookmarkEnd w:id="55"/>
    </w:p>
    <w:p w14:paraId="37B9ADA9" w14:textId="3E46FEF9" w:rsidR="00CF621A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t xml:space="preserve">Według stanu na koniec maja 2024 r. w rejestrze REGON wpisanych było 211,4 tys. </w:t>
      </w:r>
      <w:r w:rsidRPr="00C25904">
        <w:rPr>
          <w:rFonts w:cs="FiraSans-Regular"/>
          <w:b/>
          <w:szCs w:val="19"/>
          <w:highlight w:val="black"/>
        </w:rPr>
        <w:t>podmiotów gospodarki narodowej</w:t>
      </w:r>
      <w:r w:rsidRPr="00C25904">
        <w:rPr>
          <w:rFonts w:cs="FiraSans-Regular"/>
          <w:szCs w:val="19"/>
          <w:highlight w:val="black"/>
          <w:vertAlign w:val="superscript"/>
        </w:rPr>
        <w:footnoteReference w:id="5"/>
      </w:r>
      <w:r w:rsidRPr="00C25904">
        <w:rPr>
          <w:rFonts w:cs="FiraSans-Regular"/>
          <w:szCs w:val="19"/>
          <w:highlight w:val="black"/>
        </w:rPr>
        <w:t xml:space="preserve">, </w:t>
      </w:r>
      <w:r w:rsidR="00F260E7" w:rsidRPr="00C25904">
        <w:rPr>
          <w:rFonts w:cs="FiraSans-Regular"/>
          <w:szCs w:val="19"/>
          <w:highlight w:val="black"/>
        </w:rPr>
        <w:t>(</w:t>
      </w:r>
      <w:r w:rsidRPr="00C25904">
        <w:rPr>
          <w:rFonts w:cs="FiraSans-Regular"/>
          <w:szCs w:val="19"/>
          <w:highlight w:val="black"/>
        </w:rPr>
        <w:t>o</w:t>
      </w:r>
      <w:r w:rsidR="00A21B26" w:rsidRPr="00C25904">
        <w:rPr>
          <w:rFonts w:cs="FiraSans-Regular"/>
          <w:szCs w:val="19"/>
          <w:highlight w:val="black"/>
        </w:rPr>
        <w:t> </w:t>
      </w:r>
      <w:r w:rsidRPr="00C25904">
        <w:rPr>
          <w:rFonts w:cs="FiraSans-Regular"/>
          <w:szCs w:val="19"/>
          <w:highlight w:val="black"/>
        </w:rPr>
        <w:t>2,9% więcej niż przed rokiem i o 0,3% więcej niż w końcu kwietnia 2024 r.</w:t>
      </w:r>
      <w:r w:rsidR="00F260E7" w:rsidRPr="00C25904">
        <w:rPr>
          <w:rFonts w:cs="FiraSans-Regular"/>
          <w:szCs w:val="19"/>
          <w:highlight w:val="black"/>
        </w:rPr>
        <w:t>).</w:t>
      </w:r>
    </w:p>
    <w:p w14:paraId="69480329" w14:textId="6B42827A" w:rsidR="00CF621A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lastRenderedPageBreak/>
        <w:t xml:space="preserve">Liczba zarejestrowanych </w:t>
      </w:r>
      <w:r w:rsidRPr="00C25904">
        <w:rPr>
          <w:rFonts w:cs="FiraSans-Regular"/>
          <w:b/>
          <w:szCs w:val="19"/>
          <w:highlight w:val="black"/>
        </w:rPr>
        <w:t>osób fizycznych</w:t>
      </w:r>
      <w:r w:rsidRPr="00C25904">
        <w:rPr>
          <w:rFonts w:cs="FiraSans-Regular"/>
          <w:szCs w:val="19"/>
          <w:highlight w:val="black"/>
        </w:rPr>
        <w:t xml:space="preserve"> prowadzących działalność gospodarczą wyniosła 158,0 tys. i w porównaniu z analogicznym okresem poprzedniego roku była o 2,7% większa. Do rejestru REGON wpisanych było 30,6 tys. </w:t>
      </w:r>
      <w:r w:rsidRPr="00C25904">
        <w:rPr>
          <w:rFonts w:cs="FiraSans-Regular"/>
          <w:b/>
          <w:szCs w:val="19"/>
          <w:highlight w:val="black"/>
        </w:rPr>
        <w:t>spółek</w:t>
      </w:r>
      <w:r w:rsidRPr="00C25904">
        <w:rPr>
          <w:rFonts w:cs="FiraSans-Regular"/>
          <w:szCs w:val="19"/>
          <w:highlight w:val="black"/>
        </w:rPr>
        <w:t>, w tym 19 838 spółek handlowych i 10 585 spółek cywilnych. Liczba spółek wzrosła w skali roku o 2,8%, spółek handlowych o 4,6%, natomiast spółek cywilnych zmalała o 0,2%.</w:t>
      </w:r>
    </w:p>
    <w:p w14:paraId="0AAE22C6" w14:textId="7CCC55D6" w:rsidR="00CF621A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b/>
          <w:szCs w:val="19"/>
          <w:highlight w:val="black"/>
        </w:rPr>
        <w:t>Według przewidywanej liczby pracujących</w:t>
      </w:r>
      <w:r w:rsidRPr="00C25904">
        <w:rPr>
          <w:rFonts w:cs="FiraSans-Regular"/>
          <w:szCs w:val="19"/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C25904">
        <w:rPr>
          <w:rFonts w:cs="FiraSans-Regular"/>
          <w:bCs/>
          <w:szCs w:val="19"/>
          <w:highlight w:val="black"/>
        </w:rPr>
        <w:t>–</w:t>
      </w:r>
      <w:r w:rsidRPr="00C25904">
        <w:rPr>
          <w:rFonts w:cs="FiraSans-Regular"/>
          <w:szCs w:val="19"/>
          <w:highlight w:val="black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C25904">
        <w:rPr>
          <w:rFonts w:cs="FiraSans-Regular"/>
          <w:bCs/>
          <w:szCs w:val="19"/>
          <w:highlight w:val="black"/>
        </w:rPr>
        <w:t>–</w:t>
      </w:r>
      <w:r w:rsidRPr="00C25904">
        <w:rPr>
          <w:rFonts w:cs="FiraSans-Regular"/>
          <w:szCs w:val="19"/>
          <w:highlight w:val="black"/>
        </w:rPr>
        <w:t>9 o 6029 (o 3,0%).</w:t>
      </w:r>
    </w:p>
    <w:p w14:paraId="5578C877" w14:textId="40567C72" w:rsidR="00CF621A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t>W analizowanym okresie największy wzrost liczby podmiotów, w odniesieniu do analogicznego miesiąca roku poprzedniego, odnotowano w sekcji: informacja i komunikacja (o 6,9%), pozostała działalność usługowa (o 6,2%)</w:t>
      </w:r>
      <w:r w:rsidR="00CD12CD" w:rsidRPr="00C25904">
        <w:rPr>
          <w:rFonts w:cs="FiraSans-Regular"/>
          <w:szCs w:val="19"/>
          <w:highlight w:val="black"/>
        </w:rPr>
        <w:t xml:space="preserve"> i</w:t>
      </w:r>
      <w:r w:rsidRPr="00C25904">
        <w:rPr>
          <w:rFonts w:cs="FiraSans-Regular"/>
          <w:szCs w:val="19"/>
          <w:highlight w:val="black"/>
        </w:rPr>
        <w:t xml:space="preserve"> </w:t>
      </w:r>
      <w:r w:rsidRPr="00C25904">
        <w:rPr>
          <w:szCs w:val="19"/>
          <w:highlight w:val="black"/>
        </w:rPr>
        <w:t>budownictwo (o 4,5%)</w:t>
      </w:r>
      <w:r w:rsidR="00CD12CD" w:rsidRPr="00C25904">
        <w:rPr>
          <w:szCs w:val="19"/>
          <w:highlight w:val="black"/>
        </w:rPr>
        <w:t>.</w:t>
      </w:r>
      <w:r w:rsidRPr="00C25904">
        <w:rPr>
          <w:szCs w:val="19"/>
          <w:highlight w:val="black"/>
        </w:rPr>
        <w:t xml:space="preserve"> </w:t>
      </w:r>
      <w:r w:rsidR="00CD12CD" w:rsidRPr="00C25904">
        <w:rPr>
          <w:rFonts w:cs="FiraSans-Regular"/>
          <w:szCs w:val="19"/>
          <w:highlight w:val="black"/>
        </w:rPr>
        <w:t>S</w:t>
      </w:r>
      <w:r w:rsidRPr="00C25904">
        <w:rPr>
          <w:rFonts w:cs="FiraSans-Regular"/>
          <w:szCs w:val="19"/>
          <w:highlight w:val="black"/>
        </w:rPr>
        <w:t xml:space="preserve">padek odnotowano w sekcjach górnictwo i wydobywanie (o 1,3%) </w:t>
      </w:r>
      <w:r w:rsidR="00CD12CD" w:rsidRPr="00C25904">
        <w:rPr>
          <w:rFonts w:cs="FiraSans-Regular"/>
          <w:szCs w:val="19"/>
          <w:highlight w:val="black"/>
        </w:rPr>
        <w:t>oraz</w:t>
      </w:r>
      <w:r w:rsidRPr="00C25904">
        <w:rPr>
          <w:rFonts w:cs="FiraSans-Regular"/>
          <w:szCs w:val="19"/>
          <w:highlight w:val="black"/>
        </w:rPr>
        <w:t xml:space="preserve"> dostawa wody; gospodarowanie ściekami i</w:t>
      </w:r>
      <w:r w:rsidR="00CD12CD" w:rsidRPr="00C25904">
        <w:rPr>
          <w:rFonts w:cs="FiraSans-Regular"/>
          <w:szCs w:val="19"/>
          <w:highlight w:val="black"/>
        </w:rPr>
        <w:t xml:space="preserve"> </w:t>
      </w:r>
      <w:r w:rsidRPr="00C25904">
        <w:rPr>
          <w:rFonts w:cs="FiraSans-Regular"/>
          <w:szCs w:val="19"/>
          <w:highlight w:val="black"/>
        </w:rPr>
        <w:t>odpadami; rekultywacj</w:t>
      </w:r>
      <w:r w:rsidR="00CD12CD" w:rsidRPr="00C25904">
        <w:rPr>
          <w:rFonts w:cs="FiraSans-Regular"/>
          <w:szCs w:val="19"/>
          <w:highlight w:val="black"/>
        </w:rPr>
        <w:t>a</w:t>
      </w:r>
      <w:r w:rsidRPr="00C25904">
        <w:rPr>
          <w:rFonts w:cs="FiraSans-Regular"/>
          <w:szCs w:val="19"/>
          <w:highlight w:val="black"/>
        </w:rPr>
        <w:t xml:space="preserve"> (o 0,2%).</w:t>
      </w:r>
    </w:p>
    <w:p w14:paraId="15AF6276" w14:textId="2F24C6D3" w:rsidR="00CF621A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t xml:space="preserve">W maju 2024 r. do rejestru REGON wpisano 1334 </w:t>
      </w:r>
      <w:r w:rsidRPr="00C25904">
        <w:rPr>
          <w:rFonts w:cs="FiraSans-Regular"/>
          <w:b/>
          <w:szCs w:val="19"/>
          <w:highlight w:val="black"/>
        </w:rPr>
        <w:t>nowe podmioty</w:t>
      </w:r>
      <w:r w:rsidR="00262015" w:rsidRPr="00C25904">
        <w:rPr>
          <w:rFonts w:cs="FiraSans-Regular"/>
          <w:szCs w:val="19"/>
          <w:highlight w:val="black"/>
        </w:rPr>
        <w:t xml:space="preserve"> (</w:t>
      </w:r>
      <w:r w:rsidRPr="00C25904">
        <w:rPr>
          <w:rFonts w:cs="FiraSans-Regular"/>
          <w:szCs w:val="19"/>
          <w:highlight w:val="black"/>
        </w:rPr>
        <w:t>o 5,1% mniej niż w poprzednim miesiącu</w:t>
      </w:r>
      <w:r w:rsidR="00262015" w:rsidRPr="00C25904">
        <w:rPr>
          <w:rFonts w:cs="FiraSans-Regular"/>
          <w:szCs w:val="19"/>
          <w:highlight w:val="black"/>
        </w:rPr>
        <w:t>)</w:t>
      </w:r>
      <w:r w:rsidRPr="00C25904">
        <w:rPr>
          <w:rFonts w:cs="FiraSans-Regular"/>
          <w:szCs w:val="19"/>
          <w:highlight w:val="black"/>
        </w:rPr>
        <w:t>. Wśród nowo zarejestrowanych jednostek przeważały osoby fizyczne prowadzące działalność gospodarczą, których wpisano 1145</w:t>
      </w:r>
      <w:r w:rsidR="00CB694F" w:rsidRPr="00C25904">
        <w:rPr>
          <w:rFonts w:cs="FiraSans-Regular"/>
          <w:szCs w:val="19"/>
          <w:highlight w:val="black"/>
        </w:rPr>
        <w:t> </w:t>
      </w:r>
      <w:r w:rsidRPr="00C25904">
        <w:rPr>
          <w:rFonts w:cs="FiraSans-Regular"/>
          <w:szCs w:val="19"/>
          <w:highlight w:val="black"/>
        </w:rPr>
        <w:t>(o</w:t>
      </w:r>
      <w:r w:rsidR="00CB694F" w:rsidRPr="00C25904">
        <w:rPr>
          <w:rFonts w:cs="FiraSans-Regular"/>
          <w:szCs w:val="19"/>
          <w:highlight w:val="black"/>
        </w:rPr>
        <w:t> </w:t>
      </w:r>
      <w:r w:rsidRPr="00C25904">
        <w:rPr>
          <w:rFonts w:cs="FiraSans-Regular"/>
          <w:szCs w:val="19"/>
          <w:highlight w:val="black"/>
        </w:rPr>
        <w:t>2,8% mniej niż w kwietniu 2024 r.). Liczba nowo zarejestrowanych spółek handlowych była mniejsza o 17,2%, w tym spółek z ograniczoną odpowiedzialnością mniej o 18,5%.</w:t>
      </w:r>
    </w:p>
    <w:p w14:paraId="17D5B334" w14:textId="7E003980" w:rsidR="00400A40" w:rsidRPr="00C2590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t xml:space="preserve">W maju 2024 r. z rejestru REGON </w:t>
      </w:r>
      <w:r w:rsidRPr="00C25904">
        <w:rPr>
          <w:rFonts w:cs="FiraSans-Regular"/>
          <w:b/>
          <w:szCs w:val="19"/>
          <w:highlight w:val="black"/>
        </w:rPr>
        <w:t>wykreślono</w:t>
      </w:r>
      <w:r w:rsidRPr="00C25904">
        <w:rPr>
          <w:rFonts w:cs="FiraSans-Regular"/>
          <w:szCs w:val="19"/>
          <w:highlight w:val="black"/>
        </w:rPr>
        <w:t xml:space="preserve"> 659 podmiotów (o 31,4% mniej niż przed miesiącem), w tym 557 osób fizycznych prowadzących działalność gospodarczą (o 24,4% mniej niż w kwietniu 2024 r</w:t>
      </w:r>
      <w:r w:rsidR="00CD12CD" w:rsidRPr="00C25904">
        <w:rPr>
          <w:rFonts w:cs="FiraSans-Regular"/>
          <w:szCs w:val="19"/>
          <w:highlight w:val="black"/>
        </w:rPr>
        <w:t>.</w:t>
      </w:r>
      <w:r w:rsidRPr="00C25904">
        <w:rPr>
          <w:rFonts w:cs="FiraSans-Regular"/>
          <w:szCs w:val="19"/>
          <w:highlight w:val="black"/>
        </w:rPr>
        <w:t>).</w:t>
      </w:r>
    </w:p>
    <w:p w14:paraId="7C48861D" w14:textId="705E7E20" w:rsidR="00400A40" w:rsidRPr="00C25904" w:rsidRDefault="00400A40" w:rsidP="00400A40">
      <w:pPr>
        <w:pStyle w:val="Nagwek5"/>
        <w:rPr>
          <w:highlight w:val="black"/>
        </w:rPr>
      </w:pPr>
      <w:r w:rsidRPr="00C25904">
        <w:rPr>
          <w:highlight w:val="black"/>
        </w:rPr>
        <w:t xml:space="preserve">Podmioty gospodarki narodowej nowo zarejestrowane i wyrejestrowane </w:t>
      </w:r>
      <w:r w:rsidRPr="00C25904">
        <w:rPr>
          <w:bCs/>
          <w:highlight w:val="black"/>
        </w:rPr>
        <w:t>w</w:t>
      </w:r>
      <w:r w:rsidR="00A949FD" w:rsidRPr="00C25904">
        <w:rPr>
          <w:bCs/>
          <w:highlight w:val="black"/>
        </w:rPr>
        <w:t xml:space="preserve"> </w:t>
      </w:r>
      <w:r w:rsidR="00CF621A" w:rsidRPr="00C25904">
        <w:rPr>
          <w:bCs/>
          <w:highlight w:val="black"/>
        </w:rPr>
        <w:t>maj</w:t>
      </w:r>
      <w:r w:rsidR="00CD43CC" w:rsidRPr="00C25904">
        <w:rPr>
          <w:bCs/>
          <w:highlight w:val="black"/>
        </w:rPr>
        <w:t>u</w:t>
      </w:r>
      <w:r w:rsidRPr="00C25904">
        <w:rPr>
          <w:bCs/>
          <w:highlight w:val="black"/>
        </w:rPr>
        <w:t xml:space="preserve"> </w:t>
      </w:r>
      <w:r w:rsidRPr="00C25904">
        <w:rPr>
          <w:highlight w:val="black"/>
        </w:rPr>
        <w:t>202</w:t>
      </w:r>
      <w:r w:rsidR="004223DD" w:rsidRPr="00C25904">
        <w:rPr>
          <w:highlight w:val="black"/>
        </w:rPr>
        <w:t>4</w:t>
      </w:r>
      <w:r w:rsidRPr="00C25904">
        <w:rPr>
          <w:highlight w:val="black"/>
        </w:rPr>
        <w:t xml:space="preserve"> r.</w:t>
      </w:r>
    </w:p>
    <w:p w14:paraId="054DF788" w14:textId="559CD72A" w:rsidR="00400A40" w:rsidRPr="00C25904" w:rsidRDefault="00DA5AAD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7469CA45" wp14:editId="33C6EE80">
            <wp:extent cx="5194300" cy="5444490"/>
            <wp:effectExtent l="0" t="0" r="6350" b="3810"/>
            <wp:docPr id="39" name="Obraz 39" descr="Wykres 10. Na wykresie słupkowym zaprezentowano liczbę nowo zarejestrowanych i wyrejestrowanych podmiotów gospodarki narodowej w maj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3160D62" w:rsidR="00400A40" w:rsidRPr="00C25904" w:rsidRDefault="00CF621A" w:rsidP="007C3CA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C25904">
        <w:rPr>
          <w:rFonts w:cs="FiraSans-Regular"/>
          <w:szCs w:val="19"/>
          <w:highlight w:val="black"/>
        </w:rPr>
        <w:lastRenderedPageBreak/>
        <w:t xml:space="preserve">Według stanu na koniec maja 2024 r. w rejestrze REGON 30 678 podmiotów miało </w:t>
      </w:r>
      <w:r w:rsidRPr="00C25904">
        <w:rPr>
          <w:rFonts w:cs="FiraSans-Regular"/>
          <w:b/>
          <w:szCs w:val="19"/>
          <w:highlight w:val="black"/>
        </w:rPr>
        <w:t>zawieszoną działalność</w:t>
      </w:r>
      <w:r w:rsidRPr="00C25904">
        <w:rPr>
          <w:rFonts w:cs="FiraSans-Regular"/>
          <w:szCs w:val="19"/>
          <w:highlight w:val="black"/>
        </w:rPr>
        <w:t xml:space="preserve"> (o 0,8% mniej niż przed miesiącem). Zdecydowaną większość (96,4%) stanowiły osoby fizyczne prowadzące działalność gospodarczą (przed miesiącem 96,5%).</w:t>
      </w:r>
    </w:p>
    <w:p w14:paraId="613E6876" w14:textId="1DFB8BC7" w:rsidR="00400A40" w:rsidRPr="00C25904" w:rsidRDefault="00400A40" w:rsidP="00400A40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C25904">
        <w:rPr>
          <w:b/>
          <w:highlight w:val="black"/>
        </w:rPr>
        <w:t>Mapa 3. Podmioty gospodarki narodowej z zawieszoną działalnością w</w:t>
      </w:r>
      <w:r w:rsidR="007F7E4B" w:rsidRPr="00C25904">
        <w:rPr>
          <w:b/>
          <w:highlight w:val="black"/>
        </w:rPr>
        <w:t xml:space="preserve"> </w:t>
      </w:r>
      <w:r w:rsidR="00CF621A" w:rsidRPr="00C25904">
        <w:rPr>
          <w:b/>
          <w:highlight w:val="black"/>
        </w:rPr>
        <w:t>maj</w:t>
      </w:r>
      <w:r w:rsidR="00C44A32" w:rsidRPr="00C25904">
        <w:rPr>
          <w:b/>
          <w:highlight w:val="black"/>
        </w:rPr>
        <w:t>u</w:t>
      </w:r>
      <w:r w:rsidRPr="00C25904">
        <w:rPr>
          <w:b/>
          <w:highlight w:val="black"/>
        </w:rPr>
        <w:t xml:space="preserve"> 202</w:t>
      </w:r>
      <w:r w:rsidR="004223DD" w:rsidRPr="00C25904">
        <w:rPr>
          <w:b/>
          <w:highlight w:val="black"/>
        </w:rPr>
        <w:t>4</w:t>
      </w:r>
      <w:r w:rsidRPr="00C25904">
        <w:rPr>
          <w:b/>
          <w:highlight w:val="black"/>
        </w:rPr>
        <w:t xml:space="preserve"> r.</w:t>
      </w:r>
    </w:p>
    <w:p w14:paraId="323A6C22" w14:textId="1ABFC76C" w:rsidR="00400A40" w:rsidRPr="00C25904" w:rsidRDefault="00195FB0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A5234C1" wp14:editId="624296B4">
            <wp:extent cx="4605537" cy="6160021"/>
            <wp:effectExtent l="0" t="0" r="0" b="0"/>
            <wp:docPr id="24" name="Obraz 24" descr="Mapa 3. Na kartodiagramie zaprezentowano zmianę liczby podmiotów ogółem z zawieszoną działalnością (kartogram) oraz liczbę osób fizycznych z zawieszoną działalnością (diagram słupkowy) w maj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odmioty_05_2024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16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C25904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C25904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C25904" w:rsidRDefault="002138AA" w:rsidP="00581DA9">
      <w:pPr>
        <w:pStyle w:val="Nagwek1"/>
        <w:rPr>
          <w:highlight w:val="black"/>
        </w:rPr>
      </w:pPr>
      <w:bookmarkStart w:id="56" w:name="_Toc170470030"/>
      <w:r w:rsidRPr="00C25904">
        <w:rPr>
          <w:highlight w:val="black"/>
        </w:rPr>
        <w:lastRenderedPageBreak/>
        <w:t>Koniunktura gospodarcza</w:t>
      </w:r>
      <w:bookmarkEnd w:id="56"/>
    </w:p>
    <w:p w14:paraId="3BE56AC7" w14:textId="4FFFEE34" w:rsidR="00302D95" w:rsidRPr="00C25904" w:rsidRDefault="00A91D5B" w:rsidP="00302D95">
      <w:pPr>
        <w:spacing w:before="120" w:after="120" w:line="288" w:lineRule="auto"/>
        <w:rPr>
          <w:rFonts w:cs="Fira Sans"/>
          <w:szCs w:val="19"/>
          <w:highlight w:val="black"/>
        </w:rPr>
      </w:pPr>
      <w:r w:rsidRPr="00C25904">
        <w:rPr>
          <w:rFonts w:cs="Fira Sans"/>
          <w:highlight w:val="black"/>
        </w:rPr>
        <w:t>W czerwcu br. w większości badanych obszarów gospodarki oceny koniunktury formułowane przez przedsiębiorców są niekorzystne. Najbardziej pesymistyczne nastroje gospodarcze panują wśród jednostek prowadzących działalność w zakresie transportu i gospodarki magazynowej. Bardziej negatywnie niż w maju br. oceniają koniunkturę podmioty zajmujące się przetwórstwem przemysłowym oraz handlem detalicznym. Mimo utrzymanych niekorzystnych opinii, największy wzrost wskaźnika odnotowano w sekcji informacja i komunikacja. Poprawę nastrojów gospodarczych zaobserwowano także wśród przedsiębiorców prowadzących działalność w handlu hurtowym. Wśród tych jednostek opinie odnośnie koniunktury są optymistyczne. Również w sekcji budownictwo oceny są pozytywne, ale mniej korzystne niż w maju br. Natomiast podmioty zajmujące się zakwaterowaniem i gastronomią wyrażają opinie korzystne, ale na poziomie zbliżonym do tego z ubiegłego miesiąca.</w:t>
      </w:r>
    </w:p>
    <w:p w14:paraId="75B1E31F" w14:textId="242781E1" w:rsidR="00C8489B" w:rsidRPr="00C25904" w:rsidRDefault="00C8489B" w:rsidP="00CF72B9">
      <w:pPr>
        <w:pStyle w:val="Nagwek5"/>
        <w:rPr>
          <w:highlight w:val="black"/>
        </w:rPr>
      </w:pPr>
      <w:r w:rsidRPr="00C25904">
        <w:rPr>
          <w:highlight w:val="black"/>
        </w:rPr>
        <w:t xml:space="preserve">Wskaźniki ogólnego klimatu koniunktury według rodzaju działalności (sekcje </w:t>
      </w:r>
      <w:r w:rsidR="00682801" w:rsidRPr="00C25904">
        <w:rPr>
          <w:highlight w:val="black"/>
        </w:rPr>
        <w:t xml:space="preserve">i </w:t>
      </w:r>
      <w:r w:rsidRPr="00C25904">
        <w:rPr>
          <w:highlight w:val="black"/>
        </w:rPr>
        <w:t>działy PKD 2007)</w:t>
      </w:r>
    </w:p>
    <w:p w14:paraId="44631C50" w14:textId="150AF594" w:rsidR="007377F9" w:rsidRPr="00C25904" w:rsidRDefault="00AD77C0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98D9657" wp14:editId="08811885">
            <wp:extent cx="6748780" cy="4840605"/>
            <wp:effectExtent l="0" t="0" r="0" b="0"/>
            <wp:docPr id="40" name="Obraz 40" descr="Wykres 11. Na dwóch wykresach słupkowych zaprezentowano wskaźniki ogólnego klimatu koniunktury w województwie podkarpackim w czerwcu i maju 2024 roku oraz w czerwc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48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C25904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C25904">
        <w:rPr>
          <w:noProof/>
          <w:szCs w:val="19"/>
          <w:highlight w:val="black"/>
        </w:rPr>
        <w:br w:type="page"/>
      </w:r>
    </w:p>
    <w:p w14:paraId="23AF8768" w14:textId="75616588" w:rsidR="00560C30" w:rsidRPr="00C25904" w:rsidRDefault="003D1B14" w:rsidP="00560C30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C25904">
        <w:rPr>
          <w:b/>
          <w:szCs w:val="19"/>
          <w:highlight w:val="black"/>
        </w:rPr>
        <w:lastRenderedPageBreak/>
        <w:t xml:space="preserve">Pytania o </w:t>
      </w:r>
      <w:r w:rsidR="009E3DCE" w:rsidRPr="00C25904">
        <w:rPr>
          <w:b/>
          <w:szCs w:val="19"/>
          <w:highlight w:val="black"/>
        </w:rPr>
        <w:t>rynek pracy</w:t>
      </w:r>
      <w:r w:rsidRPr="00C25904">
        <w:rPr>
          <w:b/>
          <w:szCs w:val="19"/>
          <w:highlight w:val="black"/>
          <w:vertAlign w:val="superscript"/>
        </w:rPr>
        <w:footnoteReference w:id="6"/>
      </w:r>
    </w:p>
    <w:p w14:paraId="1FEA71A2" w14:textId="7018BF5B" w:rsidR="00560C30" w:rsidRPr="00C25904" w:rsidRDefault="00151E30" w:rsidP="00660000">
      <w:pPr>
        <w:spacing w:after="120"/>
        <w:jc w:val="both"/>
        <w:rPr>
          <w:rFonts w:cs="FiraSans-Bold"/>
          <w:bCs/>
          <w:i/>
          <w:szCs w:val="19"/>
          <w:highlight w:val="black"/>
        </w:rPr>
      </w:pPr>
      <w:r w:rsidRPr="00C25904">
        <w:rPr>
          <w:rFonts w:cs="FiraSans-Bold"/>
          <w:bCs/>
          <w:i/>
          <w:szCs w:val="19"/>
          <w:highlight w:val="black"/>
        </w:rPr>
        <w:t xml:space="preserve">Pyt. 1. </w:t>
      </w:r>
      <w:r w:rsidR="00660000" w:rsidRPr="00C25904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681593D5" w14:textId="0321888C" w:rsidR="00560C30" w:rsidRPr="00C25904" w:rsidRDefault="006A1287" w:rsidP="00151E30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6D96845" wp14:editId="4AA4BEED">
            <wp:extent cx="6743065" cy="3700780"/>
            <wp:effectExtent l="0" t="0" r="635" b="0"/>
            <wp:docPr id="41" name="Obraz 41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257A5871" w:rsidR="00560C30" w:rsidRPr="00C25904" w:rsidRDefault="00660000" w:rsidP="003339C5">
      <w:pPr>
        <w:autoSpaceDE w:val="0"/>
        <w:autoSpaceDN w:val="0"/>
        <w:adjustRightInd w:val="0"/>
        <w:spacing w:before="120" w:after="6120" w:line="288" w:lineRule="auto"/>
        <w:rPr>
          <w:rFonts w:cs="Fira Sans"/>
          <w:szCs w:val="19"/>
          <w:highlight w:val="black"/>
        </w:rPr>
      </w:pPr>
      <w:r w:rsidRPr="00C25904">
        <w:rPr>
          <w:rFonts w:cs="Fira Sans"/>
          <w:szCs w:val="19"/>
          <w:highlight w:val="black"/>
        </w:rPr>
        <w:t>Przedstawiciele wszystkich badanych rodzajów działalności najczęściej byli zdania, że w przypadku pracowników prognozują utrzymać zatrudnienie. Zwiększenie zatrudniania pracowników relatywnie łatwych do zastąpienia dotyczyć będzie w największym stopniu budownictwa (17,0%), podobnie w przypadku zatrudniania pracowników relatywnie trudnych do zastąpienia (16,0%).</w:t>
      </w:r>
    </w:p>
    <w:p w14:paraId="64AA09E4" w14:textId="1BFA0510" w:rsidR="00560C30" w:rsidRPr="00C25904" w:rsidRDefault="00AE2EA6" w:rsidP="00512B28">
      <w:pPr>
        <w:spacing w:after="120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C25904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2F31E9" w:rsidRPr="00C25904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6A4A6756" w14:textId="35572C4E" w:rsidR="00560C30" w:rsidRPr="00C25904" w:rsidRDefault="006A1287" w:rsidP="00560C3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26DBCDB" wp14:editId="30F8C49F">
            <wp:extent cx="6492875" cy="7285355"/>
            <wp:effectExtent l="0" t="0" r="3175" b="0"/>
            <wp:docPr id="42" name="Obraz 42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728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577E81C1" w:rsidR="00560C30" w:rsidRPr="00C25904" w:rsidRDefault="008F5074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25904">
        <w:rPr>
          <w:rFonts w:cs="Fira Sans"/>
          <w:szCs w:val="19"/>
          <w:highlight w:val="black"/>
        </w:rPr>
        <w:t>Wśród przedsiębiorców, którzy odpowiedzieli na pytania dotyczące rynku pracy najczęściej pojawiały się zdania, że na poziom wynagrodzeń w ich firmach w istotnym stopniu wpływają sytuacja finansowa firmy oraz podwyżki inflacyjne. „Inne” czynniki najczęściej wskazywane były jako mające mały wpływ lub niemający wpływu na poziom wynagrodzeń w badanych przedsiębiorstwach.</w:t>
      </w:r>
    </w:p>
    <w:p w14:paraId="492B543C" w14:textId="77777777" w:rsidR="00560C30" w:rsidRPr="00C25904" w:rsidRDefault="00560C30" w:rsidP="00560C30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C25904">
        <w:rPr>
          <w:rFonts w:cs="Fira Sans"/>
          <w:szCs w:val="19"/>
          <w:highlight w:val="black"/>
        </w:rPr>
        <w:br w:type="page"/>
      </w:r>
    </w:p>
    <w:p w14:paraId="1E4B666E" w14:textId="05B26FB5" w:rsidR="00560C30" w:rsidRPr="00C25904" w:rsidRDefault="00ED1EB7" w:rsidP="005D5D9F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C25904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3. </w:t>
      </w:r>
      <w:r w:rsidR="00580EED" w:rsidRPr="00C25904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 są:</w:t>
      </w:r>
    </w:p>
    <w:p w14:paraId="7611D8E8" w14:textId="72EC26B3" w:rsidR="00560C30" w:rsidRPr="00C25904" w:rsidRDefault="006A1287" w:rsidP="005A4E5F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6731EE69" wp14:editId="3359DD4E">
            <wp:extent cx="6565900" cy="7059930"/>
            <wp:effectExtent l="0" t="0" r="6350" b="7620"/>
            <wp:docPr id="43" name="Obraz 43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705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2E4736D7" w:rsidR="00560C30" w:rsidRPr="00C25904" w:rsidRDefault="00556D3F" w:rsidP="00560C30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C25904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budownictwie (76,4%), a następnie w usługach (76,3%).</w:t>
      </w:r>
    </w:p>
    <w:p w14:paraId="18BEB2EF" w14:textId="52EDC527" w:rsidR="00852886" w:rsidRPr="00C25904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C25904">
        <w:rPr>
          <w:bCs/>
          <w:szCs w:val="19"/>
          <w:highlight w:val="black"/>
        </w:rPr>
        <w:t xml:space="preserve">Więcej informacji </w:t>
      </w:r>
      <w:r w:rsidRPr="00C25904">
        <w:rPr>
          <w:szCs w:val="19"/>
          <w:highlight w:val="black"/>
        </w:rPr>
        <w:t xml:space="preserve">dotyczących wyników badań koniunktury gospodarczej </w:t>
      </w:r>
      <w:r w:rsidRPr="00C25904">
        <w:rPr>
          <w:bCs/>
          <w:szCs w:val="19"/>
          <w:highlight w:val="black"/>
        </w:rPr>
        <w:t>można znaleźć na stronie Urzędu Statystycznego w Zielonej Górze</w:t>
      </w:r>
      <w:r w:rsidRPr="00C25904">
        <w:rPr>
          <w:szCs w:val="19"/>
          <w:highlight w:val="black"/>
        </w:rPr>
        <w:t xml:space="preserve"> </w:t>
      </w:r>
      <w:hyperlink r:id="rId26" w:tooltip="Strona internetowa Urzędu Statystycznego w Zielonej Górze" w:history="1">
        <w:r w:rsidR="00E53851" w:rsidRPr="00C25904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C25904">
        <w:rPr>
          <w:szCs w:val="19"/>
          <w:highlight w:val="black"/>
          <w:u w:val="single"/>
        </w:rPr>
        <w:t>.</w:t>
      </w:r>
    </w:p>
    <w:p w14:paraId="7D7F6597" w14:textId="77777777" w:rsidR="006B2BB6" w:rsidRPr="00C25904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C25904" w:rsidRDefault="00EC5577" w:rsidP="00EC5577">
      <w:pPr>
        <w:tabs>
          <w:tab w:val="left" w:pos="2102"/>
        </w:tabs>
        <w:rPr>
          <w:highlight w:val="black"/>
        </w:rPr>
        <w:sectPr w:rsidR="00EC5577" w:rsidRPr="00C25904" w:rsidSect="00364C5D"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BCC843F" w:rsidR="00D21774" w:rsidRPr="00C25904" w:rsidRDefault="00B73E37" w:rsidP="007C0B8B">
      <w:pPr>
        <w:pStyle w:val="podstawowyFira95"/>
        <w:rPr>
          <w:b/>
          <w:highlight w:val="black"/>
        </w:rPr>
      </w:pPr>
      <w:r w:rsidRPr="00C25904">
        <w:rPr>
          <w:b/>
          <w:highlight w:val="black"/>
        </w:rPr>
        <w:lastRenderedPageBreak/>
        <w:t>Tablica 1</w:t>
      </w:r>
      <w:r w:rsidR="003D6AE5" w:rsidRPr="00C25904">
        <w:rPr>
          <w:b/>
          <w:highlight w:val="black"/>
        </w:rPr>
        <w:t>4</w:t>
      </w:r>
      <w:r w:rsidR="001E65CD" w:rsidRPr="00C25904">
        <w:rPr>
          <w:b/>
          <w:highlight w:val="black"/>
        </w:rPr>
        <w:t>. Wybrane d</w:t>
      </w:r>
      <w:r w:rsidR="00433A5E" w:rsidRPr="00C25904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25904" w:rsidRPr="00C25904" w14:paraId="6FAE542A" w14:textId="77777777" w:rsidTr="00195FB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C25904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C2590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2590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C2590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C2590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C2590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C25904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5E88682" w14:textId="538887B7" w:rsidR="00E87F28" w:rsidRPr="00C25904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25904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47CF37B" w14:textId="10658CA9" w:rsidR="00E87F28" w:rsidRPr="00C25904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C25904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C2590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C25904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25904" w:rsidRPr="00C25904" w14:paraId="22F4A1CC" w14:textId="77777777" w:rsidTr="00195FB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C25904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C2590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C25904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C25904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C25904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FA090CC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2C45E1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C25904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C25904" w:rsidRPr="00C25904" w14:paraId="54F83FFC" w14:textId="77777777" w:rsidTr="00195FB0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C25904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C25904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C25904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C25904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C25904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C2CBDF9" w14:textId="4765530A" w:rsidR="0066660C" w:rsidRPr="00C25904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B80E281" w14:textId="436E31DA" w:rsidR="0066660C" w:rsidRPr="00C25904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F527113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6BB6D06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CE42064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C2590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38F5AAC7" w14:textId="77777777" w:rsidTr="00195FB0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C25904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C25904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4D2EB5" w14:textId="6D9004DB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A0597EA" w14:textId="4917416A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C25904" w:rsidRPr="00C25904" w14:paraId="60313CB7" w14:textId="77777777" w:rsidTr="00195FB0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C25904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C25904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C25904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C25904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C25904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2042881" w14:textId="1FAFC4A8" w:rsidR="00A44419" w:rsidRPr="00C25904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492A29F" w14:textId="3169818C" w:rsidR="00A44419" w:rsidRPr="00C25904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5073808E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9B3C404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B9BF931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C2590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0B55ADD3" w14:textId="77777777" w:rsidTr="00195FB0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C25904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C2590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837FB1" w14:textId="457E21CA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C684CA" w14:textId="12E32B23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C25904" w:rsidRPr="00C25904" w14:paraId="42AB54B7" w14:textId="77777777" w:rsidTr="00195FB0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C25904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C2590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C25904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C25904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C25904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7E019C" w14:textId="59860C1C" w:rsidR="0068263F" w:rsidRPr="00C25904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108621" w14:textId="7D50AE8E" w:rsidR="0068263F" w:rsidRPr="00C25904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3CBE97C1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8E5A383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D470709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7EE27FF6" w14:textId="77777777" w:rsidTr="00195FB0">
        <w:tc>
          <w:tcPr>
            <w:tcW w:w="3994" w:type="dxa"/>
            <w:shd w:val="clear" w:color="auto" w:fill="000000"/>
            <w:vAlign w:val="bottom"/>
          </w:tcPr>
          <w:p w14:paraId="41DDC958" w14:textId="77777777" w:rsidR="0068263F" w:rsidRPr="00C25904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68263F" w:rsidRPr="00C2590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8A6B33" w:rsidRPr="00C25904">
              <w:rPr>
                <w:rFonts w:ascii="Fira Sans" w:hAnsi="Fira Sans" w:cs="Arial"/>
                <w:szCs w:val="16"/>
                <w:highlight w:val="black"/>
              </w:rPr>
              <w:t>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87B7A87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68263F" w:rsidRPr="00C25904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4F1B2AD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68263F" w:rsidRPr="00C25904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51AEE9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8E13CD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Pr="00C25904">
              <w:rPr>
                <w:rFonts w:ascii="Fira Sans" w:hAnsi="Fira Sans" w:cs="Arial"/>
                <w:szCs w:val="16"/>
                <w:highlight w:val="black"/>
              </w:rPr>
              <w:t>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C25904">
              <w:rPr>
                <w:rFonts w:ascii="Fira Sans" w:hAnsi="Fira Sans" w:cs="Arial"/>
                <w:szCs w:val="16"/>
                <w:highlight w:val="black"/>
              </w:rPr>
              <w:t>7,7</w:t>
            </w:r>
          </w:p>
        </w:tc>
      </w:tr>
      <w:tr w:rsidR="00C25904" w:rsidRPr="00C25904" w14:paraId="0CEB367B" w14:textId="77777777" w:rsidTr="00195FB0">
        <w:tc>
          <w:tcPr>
            <w:tcW w:w="3994" w:type="dxa"/>
            <w:shd w:val="clear" w:color="auto" w:fill="000000"/>
            <w:vAlign w:val="bottom"/>
          </w:tcPr>
          <w:p w14:paraId="52540F7B" w14:textId="77777777" w:rsidR="0068263F" w:rsidRPr="00C25904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8263F" w:rsidRPr="00C2590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68263F" w:rsidRPr="00C25904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68263F" w:rsidRPr="00C25904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68263F" w:rsidRPr="00C25904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C1718F0" w14:textId="4F4633CF" w:rsidR="0068263F" w:rsidRPr="00C25904" w:rsidRDefault="00094C1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D24A559" w14:textId="032D4645" w:rsidR="0068263F" w:rsidRPr="00C25904" w:rsidRDefault="000A2A6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031A4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A67C7F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33CA803D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68263F" w:rsidRPr="00C2590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07F9BAB5" w14:textId="77777777" w:rsidTr="00195FB0">
        <w:tc>
          <w:tcPr>
            <w:tcW w:w="3994" w:type="dxa"/>
            <w:shd w:val="clear" w:color="auto" w:fill="000000"/>
            <w:vAlign w:val="bottom"/>
          </w:tcPr>
          <w:p w14:paraId="3695B91E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bezrobocia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2590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2590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742592" w14:textId="63CBA1D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D24175" w14:textId="160D35BD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3D34BB6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C25904" w:rsidRPr="00C25904" w14:paraId="7662A346" w14:textId="77777777" w:rsidTr="00195FB0">
        <w:tc>
          <w:tcPr>
            <w:tcW w:w="3994" w:type="dxa"/>
            <w:shd w:val="clear" w:color="auto" w:fill="000000"/>
            <w:vAlign w:val="bottom"/>
          </w:tcPr>
          <w:p w14:paraId="127C6276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BCF83CD" w:rsidR="00AC7CFF" w:rsidRPr="00C25904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0B44C24D" w:rsidR="00AC7CFF" w:rsidRPr="00C25904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5816B3D3" w:rsidR="00AC7CFF" w:rsidRPr="00C25904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3234F6" w14:textId="6B620C35" w:rsidR="00AC7CFF" w:rsidRPr="00C25904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267F2F" w14:textId="25C074E5" w:rsidR="00AC7CFF" w:rsidRPr="00C25904" w:rsidRDefault="004E7FA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4964226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BF9CE1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303A69C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1650074B" w14:textId="77777777" w:rsidTr="00195FB0">
        <w:tc>
          <w:tcPr>
            <w:tcW w:w="3994" w:type="dxa"/>
            <w:shd w:val="clear" w:color="auto" w:fill="000000"/>
            <w:vAlign w:val="bottom"/>
          </w:tcPr>
          <w:p w14:paraId="411E9C0E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274509" w14:textId="72E4AEE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905C51" w14:textId="4A16056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49D9BFB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C25904" w:rsidRPr="00C25904" w14:paraId="5A546BC0" w14:textId="77777777" w:rsidTr="00195FB0">
        <w:tc>
          <w:tcPr>
            <w:tcW w:w="3994" w:type="dxa"/>
            <w:shd w:val="clear" w:color="auto" w:fill="000000"/>
            <w:vAlign w:val="bottom"/>
          </w:tcPr>
          <w:p w14:paraId="1734756E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AC7CFF" w:rsidRPr="00C25904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AC7CFF" w:rsidRPr="00C25904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AC7CFF" w:rsidRPr="00C25904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FE6722" w14:textId="69716060" w:rsidR="00AC7CFF" w:rsidRPr="00C25904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C76056" w14:textId="09539E2C" w:rsidR="00AC7CFF" w:rsidRPr="00C25904" w:rsidRDefault="0032464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5881EBD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E96568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247EC69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57A07B1B" w14:textId="77777777" w:rsidTr="00195FB0">
        <w:tc>
          <w:tcPr>
            <w:tcW w:w="3994" w:type="dxa"/>
            <w:shd w:val="clear" w:color="auto" w:fill="000000"/>
            <w:vAlign w:val="bottom"/>
          </w:tcPr>
          <w:p w14:paraId="73B67991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769802" w14:textId="7EADF94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B275F2" w14:textId="7341DAF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07AD17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C25904" w:rsidRPr="00C25904" w14:paraId="4ADD167B" w14:textId="77777777" w:rsidTr="00195FB0">
        <w:tc>
          <w:tcPr>
            <w:tcW w:w="3994" w:type="dxa"/>
            <w:shd w:val="clear" w:color="auto" w:fill="000000"/>
            <w:vAlign w:val="bottom"/>
          </w:tcPr>
          <w:p w14:paraId="429FADC0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AC7CFF" w:rsidRPr="00C25904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AC7CFF" w:rsidRPr="00C25904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AC7CFF" w:rsidRPr="00C25904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5A80B7" w14:textId="219393B5" w:rsidR="00AC7CFF" w:rsidRPr="00C25904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08BC81" w14:textId="354973AC" w:rsidR="00AC7CFF" w:rsidRPr="00C25904" w:rsidRDefault="0032464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7DDE10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75D0D73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35721D0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0DD843CE" w14:textId="77777777" w:rsidTr="00195FB0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C2590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C2590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6FE1DC9" w14:textId="7FB2C64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DC9921F" w14:textId="086E4E8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C25904" w:rsidRPr="00C25904" w14:paraId="550FC8AB" w14:textId="77777777" w:rsidTr="00195FB0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C2590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C25904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C2590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0F4A16" w14:textId="4CB0126D" w:rsidR="00AC7CFF" w:rsidRPr="00C2590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9A2101" w14:textId="263F93A5" w:rsidR="00AC7CFF" w:rsidRPr="00C2590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0300F704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2448416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8EEDD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3211F68D" w14:textId="77777777" w:rsidTr="00195FB0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C2590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60F9DE" w14:textId="62BE44FE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95EA459" w14:textId="3869AA2D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C25904" w:rsidRPr="00C25904" w14:paraId="55FE6316" w14:textId="77777777" w:rsidTr="00195FB0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C2590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C2590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C25904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C2590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89E2701" w14:textId="43801E22" w:rsidR="00AC7CFF" w:rsidRPr="00C2590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4B25A8" w14:textId="411DDD1E" w:rsidR="00AC7CFF" w:rsidRPr="00C2590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0A4376F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1227EC6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024E553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2FDD34D6" w14:textId="77777777" w:rsidTr="00195FB0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C2590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06762C8" w14:textId="0DE87CC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453E56" w14:textId="2B0822E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C25904" w:rsidRPr="00C25904" w14:paraId="532306B1" w14:textId="77777777" w:rsidTr="00195FB0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C2590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C25904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C25904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C2590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B7DCC17" w14:textId="419C54D9" w:rsidR="00AC7CFF" w:rsidRPr="00C2590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40B607A" w14:textId="47742072" w:rsidR="00AC7CFF" w:rsidRPr="00C2590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3D39E18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CDD34A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CDF4815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C2590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4D599F39" w14:textId="77777777" w:rsidTr="00195FB0">
        <w:tc>
          <w:tcPr>
            <w:tcW w:w="3994" w:type="dxa"/>
            <w:shd w:val="clear" w:color="auto" w:fill="000000"/>
          </w:tcPr>
          <w:p w14:paraId="01C4A020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780922F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74E6F8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2A4CDCB1" w14:textId="77777777" w:rsidTr="00195FB0">
        <w:tc>
          <w:tcPr>
            <w:tcW w:w="3994" w:type="dxa"/>
            <w:shd w:val="clear" w:color="auto" w:fill="000000"/>
          </w:tcPr>
          <w:p w14:paraId="023E19EA" w14:textId="77777777" w:rsidR="00AC7CFF" w:rsidRPr="00C2590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konsumpcyjnych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D6CD13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86370D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30B17E48" w14:textId="77777777" w:rsidTr="00195FB0">
        <w:tc>
          <w:tcPr>
            <w:tcW w:w="3994" w:type="dxa"/>
            <w:shd w:val="clear" w:color="auto" w:fill="000000"/>
          </w:tcPr>
          <w:p w14:paraId="61BB361C" w14:textId="77777777" w:rsidR="00AC7CFF" w:rsidRPr="00C25904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C2590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B30BD7" w14:textId="0A382709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DA0A5A" w14:textId="273E4CCD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C2590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C2590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C25904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C25904" w:rsidRPr="00C25904" w14:paraId="7A0FBC1F" w14:textId="77777777" w:rsidTr="00195FB0">
        <w:tc>
          <w:tcPr>
            <w:tcW w:w="3994" w:type="dxa"/>
            <w:shd w:val="clear" w:color="auto" w:fill="000000"/>
          </w:tcPr>
          <w:p w14:paraId="24466AE5" w14:textId="77777777" w:rsidR="00AC7CFF" w:rsidRPr="00C2590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C2590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C25904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C25904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807CF4" w14:textId="2AEF9F90" w:rsidR="00AC7CFF" w:rsidRPr="00C25904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469400" w14:textId="2BDC5733" w:rsidR="00AC7CFF" w:rsidRPr="00C25904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3BB251EF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4C2859CF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C950688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C2590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C25904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25904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C25904">
        <w:rPr>
          <w:rFonts w:ascii="Fira Sans" w:hAnsi="Fira Sans"/>
          <w:sz w:val="15"/>
          <w:szCs w:val="15"/>
          <w:highlight w:val="black"/>
        </w:rPr>
        <w:t>; w przeliczeniu na etaty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C2590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C25904">
        <w:rPr>
          <w:rFonts w:ascii="Fira Sans" w:hAnsi="Fira Sans"/>
          <w:sz w:val="15"/>
          <w:szCs w:val="15"/>
          <w:highlight w:val="black"/>
        </w:rPr>
        <w:t>b</w:t>
      </w:r>
      <w:r w:rsidR="005113D5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C25904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0457F754" w:rsidR="009C6D35" w:rsidRPr="00C25904" w:rsidRDefault="00E87F28" w:rsidP="007C0B8B">
      <w:pPr>
        <w:pStyle w:val="podstawowyFira95"/>
        <w:rPr>
          <w:rFonts w:cs="Arial"/>
          <w:b/>
          <w:highlight w:val="black"/>
        </w:rPr>
      </w:pPr>
      <w:r w:rsidRPr="00C25904">
        <w:rPr>
          <w:sz w:val="16"/>
          <w:szCs w:val="16"/>
          <w:highlight w:val="black"/>
        </w:rPr>
        <w:br w:type="page"/>
      </w:r>
      <w:r w:rsidR="00B73E37" w:rsidRPr="00C25904">
        <w:rPr>
          <w:b/>
          <w:highlight w:val="black"/>
        </w:rPr>
        <w:lastRenderedPageBreak/>
        <w:t>Tablica 1</w:t>
      </w:r>
      <w:r w:rsidR="003D6AE5" w:rsidRPr="00C25904">
        <w:rPr>
          <w:b/>
          <w:highlight w:val="black"/>
        </w:rPr>
        <w:t>4</w:t>
      </w:r>
      <w:r w:rsidR="006A726B" w:rsidRPr="00C25904">
        <w:rPr>
          <w:b/>
          <w:highlight w:val="black"/>
        </w:rPr>
        <w:t xml:space="preserve">. Wybrane dane o województwie podkarpackim </w:t>
      </w:r>
      <w:r w:rsidR="007B038B" w:rsidRPr="00C25904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25904" w:rsidRPr="00C25904" w14:paraId="0021106F" w14:textId="77777777" w:rsidTr="00195FB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C25904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C25904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2590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C2590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C25904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C2590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86EA05" w14:textId="20B3F941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2CCA480" w14:textId="1D6B0C23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C2590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25904" w:rsidRPr="00C25904" w14:paraId="397346FD" w14:textId="77777777" w:rsidTr="00195FB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C25904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C25904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5C4652" w14:textId="77777777" w:rsidR="00E87F28" w:rsidRPr="00C25904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026A4B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C2590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67C23DD4" w14:textId="77777777" w:rsidTr="00195FB0">
        <w:tc>
          <w:tcPr>
            <w:tcW w:w="3994" w:type="dxa"/>
            <w:shd w:val="clear" w:color="auto" w:fill="000000"/>
          </w:tcPr>
          <w:p w14:paraId="16771907" w14:textId="77777777" w:rsidR="00AA4F64" w:rsidRPr="00C25904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22E85" w14:textId="1E9046C4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2F814D" w14:textId="1FF78E3E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C25904" w:rsidRPr="00C25904" w14:paraId="6A1FE669" w14:textId="77777777" w:rsidTr="00195FB0">
        <w:tc>
          <w:tcPr>
            <w:tcW w:w="3994" w:type="dxa"/>
            <w:shd w:val="clear" w:color="auto" w:fill="000000"/>
          </w:tcPr>
          <w:p w14:paraId="21CACB9A" w14:textId="77777777" w:rsidR="00AA4F64" w:rsidRPr="00C2590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C25904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C25904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C25904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4F55578" w14:textId="4CD3F994" w:rsidR="00AA4F64" w:rsidRPr="00C25904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DC90B5" w14:textId="556DB7F0" w:rsidR="00AA4F64" w:rsidRPr="00C25904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061E2C4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B26F1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05DBF92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2C107B3B" w14:textId="77777777" w:rsidTr="00195FB0">
        <w:tc>
          <w:tcPr>
            <w:tcW w:w="3994" w:type="dxa"/>
            <w:shd w:val="clear" w:color="auto" w:fill="000000"/>
          </w:tcPr>
          <w:p w14:paraId="64D73657" w14:textId="77777777" w:rsidR="00AA4F64" w:rsidRPr="00C25904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1B5D61" w14:textId="6EAC3385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DA48B4" w14:textId="5F415C6B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C25904" w:rsidRPr="00C25904" w14:paraId="7B7C4A50" w14:textId="77777777" w:rsidTr="00195FB0">
        <w:tc>
          <w:tcPr>
            <w:tcW w:w="3994" w:type="dxa"/>
            <w:shd w:val="clear" w:color="auto" w:fill="000000"/>
          </w:tcPr>
          <w:p w14:paraId="0F54400F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C25904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C25904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C25904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FC1C0B" w14:textId="2DEEFE9C" w:rsidR="00AA4F64" w:rsidRPr="00C25904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CC8CAA" w14:textId="1CA18FD4" w:rsidR="00AA4F64" w:rsidRPr="00C25904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2F3E7B3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8D0F27F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5166FEE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25904" w:rsidRPr="00C25904" w14:paraId="31D0E4E6" w14:textId="77777777" w:rsidTr="00195FB0">
        <w:tc>
          <w:tcPr>
            <w:tcW w:w="3994" w:type="dxa"/>
            <w:shd w:val="clear" w:color="auto" w:fill="000000"/>
          </w:tcPr>
          <w:p w14:paraId="6A3BDDC4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9B3433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2E55B5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56433F01" w14:textId="77777777" w:rsidTr="00195FB0">
        <w:tc>
          <w:tcPr>
            <w:tcW w:w="3994" w:type="dxa"/>
            <w:shd w:val="clear" w:color="auto" w:fill="000000"/>
          </w:tcPr>
          <w:p w14:paraId="35EA1E6D" w14:textId="77777777" w:rsidR="00AA4F64" w:rsidRPr="00C25904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167135" w14:textId="065F16E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01F0BE" w14:textId="08FE929C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C25904" w:rsidRPr="00C25904" w14:paraId="6C772201" w14:textId="77777777" w:rsidTr="00195FB0">
        <w:tc>
          <w:tcPr>
            <w:tcW w:w="3994" w:type="dxa"/>
            <w:shd w:val="clear" w:color="auto" w:fill="000000"/>
          </w:tcPr>
          <w:p w14:paraId="6CD4E0CD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C2590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C2590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C2590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74BF8C" w14:textId="7D2F575B" w:rsidR="00AA4F64" w:rsidRPr="00C2590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E5221E" w14:textId="15B734E1" w:rsidR="00AA4F64" w:rsidRPr="00C2590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750674B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6FA8D2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46A242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4750C67A" w14:textId="77777777" w:rsidTr="00195FB0">
        <w:tc>
          <w:tcPr>
            <w:tcW w:w="3994" w:type="dxa"/>
            <w:shd w:val="clear" w:color="auto" w:fill="000000"/>
          </w:tcPr>
          <w:p w14:paraId="31606691" w14:textId="77777777" w:rsidR="00AA4F64" w:rsidRPr="00C25904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0EC6B6" w14:textId="7FF8A6E3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E9F0CF" w14:textId="01273FCA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C25904" w:rsidRPr="00C25904" w14:paraId="6FF8F050" w14:textId="77777777" w:rsidTr="00195FB0">
        <w:tc>
          <w:tcPr>
            <w:tcW w:w="3994" w:type="dxa"/>
            <w:shd w:val="clear" w:color="auto" w:fill="000000"/>
          </w:tcPr>
          <w:p w14:paraId="00DB1EED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C25904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C25904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C25904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F6168F" w14:textId="5E1C3336" w:rsidR="00AA4F64" w:rsidRPr="00C25904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CC73CB" w14:textId="22CE90D2" w:rsidR="00AA4F64" w:rsidRPr="00C25904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AFB4BC1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576D5F8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13E724AE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C2590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25904" w:rsidRPr="00C25904" w14:paraId="74AAE6A4" w14:textId="77777777" w:rsidTr="00195FB0">
        <w:tc>
          <w:tcPr>
            <w:tcW w:w="3994" w:type="dxa"/>
            <w:shd w:val="clear" w:color="auto" w:fill="000000"/>
          </w:tcPr>
          <w:p w14:paraId="3C281716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674805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2C926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2538723B" w14:textId="77777777" w:rsidTr="00195FB0">
        <w:tc>
          <w:tcPr>
            <w:tcW w:w="3994" w:type="dxa"/>
            <w:shd w:val="clear" w:color="auto" w:fill="000000"/>
          </w:tcPr>
          <w:p w14:paraId="5B5F23A7" w14:textId="77777777" w:rsidR="00AA4F64" w:rsidRPr="00C25904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B677C0" w14:textId="6922C314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25904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1CF8C9" w14:textId="75A2B74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25904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C25904" w:rsidRPr="00C25904" w14:paraId="2B4FC5AB" w14:textId="77777777" w:rsidTr="00195FB0">
        <w:tc>
          <w:tcPr>
            <w:tcW w:w="3994" w:type="dxa"/>
            <w:shd w:val="clear" w:color="auto" w:fill="000000"/>
          </w:tcPr>
          <w:p w14:paraId="018315BB" w14:textId="77777777" w:rsidR="00AA4F64" w:rsidRPr="00C25904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C2590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C2590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C2590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00C3F4" w14:textId="0B61310D" w:rsidR="00AA4F64" w:rsidRPr="00C2590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25904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6A1DBC" w14:textId="1DDEF4AE" w:rsidR="00AA4F64" w:rsidRPr="00C2590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53EB0D5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4E8B5FE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C3529A4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77BFC489" w14:textId="77777777" w:rsidTr="00195FB0">
        <w:tc>
          <w:tcPr>
            <w:tcW w:w="3994" w:type="dxa"/>
            <w:shd w:val="clear" w:color="auto" w:fill="000000"/>
          </w:tcPr>
          <w:p w14:paraId="2E5F0052" w14:textId="77777777" w:rsidR="00AA4F64" w:rsidRPr="00C25904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E0A608" w14:textId="7DE9BDF8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04E6456" w14:textId="0B29D1A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C25904" w:rsidRPr="00C25904" w14:paraId="396C40E9" w14:textId="77777777" w:rsidTr="00195FB0">
        <w:tc>
          <w:tcPr>
            <w:tcW w:w="3994" w:type="dxa"/>
            <w:shd w:val="clear" w:color="auto" w:fill="000000"/>
          </w:tcPr>
          <w:p w14:paraId="12E3B2AF" w14:textId="77777777" w:rsidR="00AA4F64" w:rsidRPr="00C2590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C2590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C2590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C2590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5255E" w14:textId="66F53DCA" w:rsidR="00AA4F64" w:rsidRPr="00C2590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C74D35" w14:textId="3D462FE1" w:rsidR="00AA4F64" w:rsidRPr="00C2590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CEDB1D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4BCE018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406705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12958544" w14:textId="77777777" w:rsidTr="00195FB0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C2590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skupu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C2590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C25904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EF44EB" w14:textId="7F5A107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33B420" w14:textId="3D36E44C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7,2</w:t>
            </w:r>
          </w:p>
        </w:tc>
      </w:tr>
      <w:tr w:rsidR="00C25904" w:rsidRPr="00C25904" w14:paraId="45BC391C" w14:textId="77777777" w:rsidTr="00195FB0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C2590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C2590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C2590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C25904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C2590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754FE6" w14:textId="742F1905" w:rsidR="000F10E9" w:rsidRPr="00C25904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871794" w14:textId="1DCAD71D" w:rsidR="00AA4F64" w:rsidRPr="00C2590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6A07E053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5CB79AF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979840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7AB31625" w14:textId="77777777" w:rsidTr="00195FB0">
        <w:tc>
          <w:tcPr>
            <w:tcW w:w="3994" w:type="dxa"/>
            <w:shd w:val="clear" w:color="auto" w:fill="000000"/>
          </w:tcPr>
          <w:p w14:paraId="60E7D17E" w14:textId="77777777" w:rsidR="00AA4F64" w:rsidRPr="00C25904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przemysłu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935832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AB7384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6E8278C3" w14:textId="77777777" w:rsidTr="00195FB0">
        <w:tc>
          <w:tcPr>
            <w:tcW w:w="3994" w:type="dxa"/>
            <w:shd w:val="clear" w:color="auto" w:fill="000000"/>
          </w:tcPr>
          <w:p w14:paraId="43657C4E" w14:textId="1A995D24" w:rsidR="00AA4F64" w:rsidRPr="00C25904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95,</w:t>
            </w:r>
            <w:r w:rsidR="00D742BF" w:rsidRPr="00C2590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C2590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C2590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C25904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20C0A6" w14:textId="54C2926B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86,</w:t>
            </w:r>
            <w:r w:rsidR="00D742BF" w:rsidRPr="00C25904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8B9AA9" w14:textId="4777F6D3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104,</w:t>
            </w:r>
            <w:r w:rsidR="00D742BF" w:rsidRPr="00C25904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108,</w:t>
            </w:r>
            <w:r w:rsidR="00D742BF" w:rsidRPr="00C2590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</w:t>
            </w:r>
            <w:r w:rsidR="00D742BF" w:rsidRPr="00C25904">
              <w:rPr>
                <w:rFonts w:ascii="Fira Sans" w:hAnsi="Fira Sans"/>
                <w:highlight w:val="black"/>
              </w:rPr>
              <w:t>7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D742BF" w:rsidRPr="00C25904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C25904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C25904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C25904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C25904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C25904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C25904" w:rsidRPr="00C25904" w14:paraId="12860B2B" w14:textId="77777777" w:rsidTr="00195FB0">
        <w:tc>
          <w:tcPr>
            <w:tcW w:w="3994" w:type="dxa"/>
            <w:shd w:val="clear" w:color="auto" w:fill="000000"/>
          </w:tcPr>
          <w:p w14:paraId="1E5FCD13" w14:textId="77777777" w:rsidR="00AA4F64" w:rsidRPr="00C25904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C25904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</w:t>
            </w:r>
            <w:r w:rsidR="00F235F9" w:rsidRPr="00C2590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C25904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C25904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2464E2" w14:textId="2E978EB6" w:rsidR="00AA4F64" w:rsidRPr="00C25904" w:rsidRDefault="001870B6" w:rsidP="00C82C9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</w:t>
            </w:r>
            <w:r w:rsidR="00EC794A" w:rsidRPr="00C25904">
              <w:rPr>
                <w:rFonts w:ascii="Fira Sans" w:hAnsi="Fira Sans"/>
                <w:highlight w:val="black"/>
              </w:rPr>
              <w:t>3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EC794A" w:rsidRPr="00C25904">
              <w:rPr>
                <w:rFonts w:ascii="Fira Sans" w:hAnsi="Fira Sans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3F1FF2" w14:textId="12FBC5A5" w:rsidR="00AA4F64" w:rsidRPr="00C25904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7E3FCC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F8C895A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80128F1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C25904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686018C8" w14:textId="77777777" w:rsidTr="00195FB0">
        <w:tc>
          <w:tcPr>
            <w:tcW w:w="3994" w:type="dxa"/>
            <w:shd w:val="clear" w:color="auto" w:fill="000000"/>
          </w:tcPr>
          <w:p w14:paraId="3B673136" w14:textId="425619AA" w:rsidR="00AA4F64" w:rsidRPr="00C25904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C25904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C2590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C25904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</w:t>
            </w:r>
            <w:r w:rsidR="0044741E" w:rsidRPr="00C25904">
              <w:rPr>
                <w:rFonts w:ascii="Fira Sans" w:hAnsi="Fira Sans"/>
                <w:highlight w:val="black"/>
              </w:rPr>
              <w:t>8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44741E" w:rsidRPr="00C2590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FE04BA" w14:textId="0D15C4D7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</w:t>
            </w:r>
            <w:r w:rsidR="0044741E" w:rsidRPr="00C25904">
              <w:rPr>
                <w:rFonts w:ascii="Fira Sans" w:hAnsi="Fira Sans"/>
                <w:highlight w:val="black"/>
              </w:rPr>
              <w:t>8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44741E" w:rsidRPr="00C2590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0856C5" w14:textId="172D12FF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</w:t>
            </w:r>
            <w:r w:rsidR="0044741E" w:rsidRPr="00C25904">
              <w:rPr>
                <w:rFonts w:ascii="Fira Sans" w:hAnsi="Fira Sans"/>
                <w:highlight w:val="black"/>
              </w:rPr>
              <w:t>2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44741E" w:rsidRPr="00C2590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</w:t>
            </w:r>
            <w:r w:rsidR="0044741E" w:rsidRPr="00C25904">
              <w:rPr>
                <w:rFonts w:ascii="Fira Sans" w:hAnsi="Fira Sans"/>
                <w:highlight w:val="black"/>
              </w:rPr>
              <w:t>8</w:t>
            </w:r>
            <w:r w:rsidRPr="00C25904">
              <w:rPr>
                <w:rFonts w:ascii="Fira Sans" w:hAnsi="Fira Sans"/>
                <w:highlight w:val="black"/>
              </w:rPr>
              <w:t>,</w:t>
            </w:r>
            <w:r w:rsidR="0044741E" w:rsidRPr="00C25904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C2590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</w:t>
            </w:r>
            <w:r w:rsidR="0044741E" w:rsidRPr="00C25904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C2590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C25904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C2590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C2590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C2590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C25904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C25904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C25904" w:rsidRPr="00C25904" w14:paraId="5B8FA6B3" w14:textId="77777777" w:rsidTr="00195FB0">
        <w:tc>
          <w:tcPr>
            <w:tcW w:w="3994" w:type="dxa"/>
            <w:shd w:val="clear" w:color="auto" w:fill="000000"/>
          </w:tcPr>
          <w:p w14:paraId="49A3A52B" w14:textId="77777777" w:rsidR="00AA4F64" w:rsidRPr="00C2590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C25904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104,</w:t>
            </w:r>
            <w:r w:rsidR="00F235F9" w:rsidRPr="00C25904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C25904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C2590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C25904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C25904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C25904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FF7B46" w14:textId="72F2A06A" w:rsidR="00AA4F64" w:rsidRPr="00C25904" w:rsidRDefault="001870B6" w:rsidP="00C82C9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</w:t>
            </w:r>
            <w:r w:rsidR="00EC794A" w:rsidRPr="00C25904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F5A3" w14:textId="68917918" w:rsidR="00AA4F64" w:rsidRPr="00C25904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1B9DED87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ADDD76B" w:rsidR="00AA4F64" w:rsidRPr="00C2590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23DCE3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C25904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C2590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25904" w:rsidRPr="00C25904" w14:paraId="645EFC24" w14:textId="77777777" w:rsidTr="00195FB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C25904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montażowa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BDA189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EAE79A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47766202" w14:textId="77777777" w:rsidTr="00195FB0">
        <w:tc>
          <w:tcPr>
            <w:tcW w:w="3994" w:type="dxa"/>
            <w:shd w:val="clear" w:color="auto" w:fill="000000"/>
          </w:tcPr>
          <w:p w14:paraId="2AFBE9CA" w14:textId="737D613B" w:rsidR="00AA4F64" w:rsidRPr="00C25904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C91218" w14:textId="0DB5E9FD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C7E8B4" w14:textId="16DE41C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C25904" w:rsidRPr="00C25904" w14:paraId="6E6DB98B" w14:textId="77777777" w:rsidTr="00195FB0">
        <w:tc>
          <w:tcPr>
            <w:tcW w:w="3994" w:type="dxa"/>
            <w:shd w:val="clear" w:color="auto" w:fill="000000"/>
          </w:tcPr>
          <w:p w14:paraId="239AC464" w14:textId="77777777" w:rsidR="00AA4F64" w:rsidRPr="00C2590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C25904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C25904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C25904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F80B79" w14:textId="42968156" w:rsidR="00AA4F64" w:rsidRPr="00C25904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DCEE48" w14:textId="4E3C723E" w:rsidR="00AA4F64" w:rsidRPr="00C25904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6DDFB393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5D740D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8F4791E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30FBB3B2" w14:textId="77777777" w:rsidTr="00195FB0">
        <w:tc>
          <w:tcPr>
            <w:tcW w:w="3994" w:type="dxa"/>
            <w:shd w:val="clear" w:color="auto" w:fill="000000"/>
          </w:tcPr>
          <w:p w14:paraId="0273F3F9" w14:textId="799242A1" w:rsidR="00AA4F64" w:rsidRPr="00C25904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 </w:t>
            </w:r>
            <w:r w:rsidR="00AA4F64"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C2590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CC6CA8" w14:textId="3866ADBE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12F17" w14:textId="56241BFA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C25904" w:rsidRPr="00C25904" w14:paraId="01FB30FA" w14:textId="77777777" w:rsidTr="00195FB0">
        <w:tc>
          <w:tcPr>
            <w:tcW w:w="3994" w:type="dxa"/>
            <w:shd w:val="clear" w:color="auto" w:fill="000000"/>
          </w:tcPr>
          <w:p w14:paraId="4329905A" w14:textId="77777777" w:rsidR="00AA4F64" w:rsidRPr="00C2590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C2590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C25904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C25904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C25904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9A9FE0" w14:textId="64E17640" w:rsidR="00AA4F64" w:rsidRPr="00C25904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F42FB7" w14:textId="52AE9894" w:rsidR="00AA4F64" w:rsidRPr="00C25904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71A19DDF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A8D1669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6D1D2B4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C2590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C25904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25904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C25904">
        <w:rPr>
          <w:rFonts w:ascii="Fira Sans" w:hAnsi="Fira Sans"/>
          <w:sz w:val="15"/>
          <w:szCs w:val="15"/>
          <w:highlight w:val="black"/>
        </w:rPr>
        <w:t xml:space="preserve"> 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84B0E71" w:rsidR="009C6D35" w:rsidRPr="00C25904" w:rsidRDefault="00E87F28" w:rsidP="007C0B8B">
      <w:pPr>
        <w:pStyle w:val="podstawowyFira95"/>
        <w:rPr>
          <w:rFonts w:cs="Arial"/>
          <w:b/>
          <w:highlight w:val="black"/>
        </w:rPr>
      </w:pPr>
      <w:r w:rsidRPr="00C25904">
        <w:rPr>
          <w:sz w:val="16"/>
          <w:szCs w:val="16"/>
          <w:highlight w:val="black"/>
        </w:rPr>
        <w:br w:type="page"/>
      </w:r>
      <w:r w:rsidR="00B73E37" w:rsidRPr="00C25904">
        <w:rPr>
          <w:b/>
          <w:highlight w:val="black"/>
        </w:rPr>
        <w:lastRenderedPageBreak/>
        <w:t>Tablica 1</w:t>
      </w:r>
      <w:r w:rsidR="003D6AE5" w:rsidRPr="00C25904">
        <w:rPr>
          <w:b/>
          <w:highlight w:val="black"/>
        </w:rPr>
        <w:t>4</w:t>
      </w:r>
      <w:r w:rsidR="00D93148" w:rsidRPr="00C25904">
        <w:rPr>
          <w:b/>
          <w:highlight w:val="black"/>
        </w:rPr>
        <w:t xml:space="preserve">. </w:t>
      </w:r>
      <w:r w:rsidR="007B038B" w:rsidRPr="00C25904">
        <w:rPr>
          <w:b/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25904" w:rsidRPr="00C25904" w14:paraId="439BF910" w14:textId="77777777" w:rsidTr="00195FB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C25904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C2590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C2590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C2590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C2590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C2590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C2590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57C8B79" w14:textId="2D1A6DD1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5FF4EE3" w14:textId="441EAF6C" w:rsidR="00E87F28" w:rsidRPr="00C25904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C25904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C2590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25904" w:rsidRPr="00C25904" w14:paraId="2E1193C1" w14:textId="77777777" w:rsidTr="00195FB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C25904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C25904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C2590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38CE877" w14:textId="25337583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BEFF76" w14:textId="32B54239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7D1DBA6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8E478A6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F55031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126A7B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A8B9BC5" w:rsidR="009137E3" w:rsidRPr="00C2590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C25904" w:rsidRPr="00C25904" w14:paraId="14A02D4D" w14:textId="77777777" w:rsidTr="00195FB0">
        <w:tc>
          <w:tcPr>
            <w:tcW w:w="3994" w:type="dxa"/>
            <w:shd w:val="clear" w:color="auto" w:fill="000000"/>
          </w:tcPr>
          <w:p w14:paraId="735E2827" w14:textId="77777777" w:rsidR="0080384D" w:rsidRPr="00C25904" w:rsidRDefault="0080384D" w:rsidP="0080384D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80384D" w:rsidRPr="00C25904" w:rsidRDefault="0080384D" w:rsidP="0080384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0D6BF70" w:rsidR="0080384D" w:rsidRPr="00C25904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706*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60649425" w:rsidR="0080384D" w:rsidRPr="00C25904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1 605*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0839FE3F" w:rsidR="0080384D" w:rsidRPr="00C25904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2 086*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B5132E" w14:textId="02A08E11" w:rsidR="0080384D" w:rsidRPr="00C25904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2 898*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ADA122" w14:textId="6476CDDB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3 550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A683B7A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24133AD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5C99AB7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80384D" w:rsidRPr="00C25904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366B2ABD" w14:textId="77777777" w:rsidTr="00195FB0">
        <w:tc>
          <w:tcPr>
            <w:tcW w:w="3994" w:type="dxa"/>
            <w:shd w:val="clear" w:color="auto" w:fill="000000"/>
          </w:tcPr>
          <w:p w14:paraId="5FF6B17F" w14:textId="77777777" w:rsidR="00076D74" w:rsidRPr="00C25904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C25904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C2590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800AB2" w14:textId="073A31C5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27213C" w14:textId="6E207808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EB8E331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5F09455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655F34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C02020A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C2590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C25904" w:rsidRPr="00C25904" w14:paraId="0B7CAD4D" w14:textId="77777777" w:rsidTr="00195FB0">
        <w:tc>
          <w:tcPr>
            <w:tcW w:w="3994" w:type="dxa"/>
            <w:shd w:val="clear" w:color="auto" w:fill="000000"/>
          </w:tcPr>
          <w:p w14:paraId="485353D3" w14:textId="77777777" w:rsidR="003253A3" w:rsidRPr="00C25904" w:rsidRDefault="003253A3" w:rsidP="003253A3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253A3" w:rsidRPr="00C25904" w:rsidRDefault="003253A3" w:rsidP="003253A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D5F2F8D" w:rsidR="003253A3" w:rsidRPr="00C25904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76,3*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18578AA4" w:rsidR="003253A3" w:rsidRPr="00C25904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102,6*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3758E660" w:rsidR="003253A3" w:rsidRPr="00C25904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91,9*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8A36E4" w14:textId="2D5C3980" w:rsidR="003253A3" w:rsidRPr="00C25904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C25904">
              <w:rPr>
                <w:rFonts w:ascii="Fira Sans" w:hAnsi="Fira Sans" w:cs="Calibri"/>
                <w:highlight w:val="black"/>
              </w:rPr>
              <w:t>84,5*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687BA1" w14:textId="4616BEFD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2F55445C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0DDE970B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D793477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3253A3" w:rsidRPr="00C2590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2CD366CD" w14:textId="77777777" w:rsidTr="00195FB0">
        <w:tc>
          <w:tcPr>
            <w:tcW w:w="3994" w:type="dxa"/>
            <w:shd w:val="clear" w:color="auto" w:fill="000000"/>
          </w:tcPr>
          <w:p w14:paraId="4911267C" w14:textId="77777777" w:rsidR="002A7628" w:rsidRPr="00C2590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towarów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55DF31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601E50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C2590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0BC56087" w14:textId="77777777" w:rsidTr="00195FB0">
        <w:tc>
          <w:tcPr>
            <w:tcW w:w="3994" w:type="dxa"/>
            <w:shd w:val="clear" w:color="auto" w:fill="000000"/>
          </w:tcPr>
          <w:p w14:paraId="451B997E" w14:textId="52B5DC6B" w:rsidR="002A7628" w:rsidRPr="00C25904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B33687" w14:textId="4EC1D3A4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3FABC5" w14:textId="7CE12486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25904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C2590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25904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C25904" w:rsidRPr="00C25904" w14:paraId="156101CB" w14:textId="77777777" w:rsidTr="00195FB0">
        <w:tc>
          <w:tcPr>
            <w:tcW w:w="3994" w:type="dxa"/>
            <w:shd w:val="clear" w:color="auto" w:fill="000000"/>
          </w:tcPr>
          <w:p w14:paraId="2E14D57D" w14:textId="77777777" w:rsidR="002A7628" w:rsidRPr="00C2590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C25904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C25904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C25904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61F437" w14:textId="44D91D7C" w:rsidR="002A7628" w:rsidRPr="00C25904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E2B202" w14:textId="2CDDBCE9" w:rsidR="002A7628" w:rsidRPr="00C25904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7E95B1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C47546D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971C2B4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C2590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2EA14C8F" w14:textId="77777777" w:rsidTr="00195FB0">
        <w:tc>
          <w:tcPr>
            <w:tcW w:w="3994" w:type="dxa"/>
            <w:shd w:val="clear" w:color="auto" w:fill="000000"/>
          </w:tcPr>
          <w:p w14:paraId="458E9865" w14:textId="77777777" w:rsidR="002A7628" w:rsidRPr="00C25904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6F1699" w14:textId="375EFB49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C2B409" w14:textId="51DAE487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C2590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25904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C25904" w:rsidRPr="00C25904" w14:paraId="78A989C3" w14:textId="77777777" w:rsidTr="00195FB0">
        <w:tc>
          <w:tcPr>
            <w:tcW w:w="3994" w:type="dxa"/>
            <w:shd w:val="clear" w:color="auto" w:fill="000000"/>
          </w:tcPr>
          <w:p w14:paraId="7D02E5F5" w14:textId="77777777" w:rsidR="002A7628" w:rsidRPr="00C2590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C25904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C25904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C25904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C59464" w14:textId="2441C817" w:rsidR="002A7628" w:rsidRPr="00C25904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DACB53" w14:textId="17456E5C" w:rsidR="002A7628" w:rsidRPr="00C25904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DB60DA6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C9EDD6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3004BCC0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C2590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C2590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25904" w:rsidRPr="00C25904" w14:paraId="5E9F541B" w14:textId="77777777" w:rsidTr="00195FB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C25904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przedsiębiorstwach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21771D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E39071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C2590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52EF22C7" w14:textId="77777777" w:rsidTr="00195FB0">
        <w:tc>
          <w:tcPr>
            <w:tcW w:w="3994" w:type="dxa"/>
            <w:shd w:val="clear" w:color="auto" w:fill="000000"/>
          </w:tcPr>
          <w:p w14:paraId="216A70D8" w14:textId="77777777" w:rsidR="002A7628" w:rsidRPr="00C2590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25904">
              <w:rPr>
                <w:rFonts w:ascii="Fira Sans" w:hAnsi="Fira Sans"/>
                <w:highlight w:val="black"/>
              </w:rPr>
              <w:t>brutto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2590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2590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2C2B5" w14:textId="2251A82D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144849" w14:textId="31AD97B9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C25904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C25904" w:rsidRPr="00C25904" w14:paraId="14E9F495" w14:textId="77777777" w:rsidTr="00195FB0">
        <w:tc>
          <w:tcPr>
            <w:tcW w:w="3994" w:type="dxa"/>
            <w:shd w:val="clear" w:color="auto" w:fill="000000"/>
          </w:tcPr>
          <w:p w14:paraId="3B161B6A" w14:textId="77777777" w:rsidR="002A7628" w:rsidRPr="00C2590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C25904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C25904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C2590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CED3E9" w14:textId="6E8F54CF" w:rsidR="002A7628" w:rsidRPr="00C2590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A478EF" w14:textId="3D18F475" w:rsidR="002A7628" w:rsidRPr="00C25904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1148B75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DD936B5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B2FA4FC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25904" w:rsidRPr="00C25904" w14:paraId="631EEA7C" w14:textId="77777777" w:rsidTr="00195FB0">
        <w:tc>
          <w:tcPr>
            <w:tcW w:w="3994" w:type="dxa"/>
            <w:shd w:val="clear" w:color="auto" w:fill="000000"/>
          </w:tcPr>
          <w:p w14:paraId="6E58C275" w14:textId="77777777" w:rsidR="002A7628" w:rsidRPr="00C2590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25904">
              <w:rPr>
                <w:rFonts w:ascii="Fira Sans" w:hAnsi="Fira Sans"/>
                <w:highlight w:val="black"/>
              </w:rPr>
              <w:t>netto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2590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2590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F4AE2A" w14:textId="00936DC0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CA80DC" w14:textId="32E5FDC5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C25904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C25904" w:rsidRPr="00C25904" w14:paraId="63F3BA07" w14:textId="77777777" w:rsidTr="00195FB0">
        <w:tc>
          <w:tcPr>
            <w:tcW w:w="3994" w:type="dxa"/>
            <w:shd w:val="clear" w:color="auto" w:fill="000000"/>
          </w:tcPr>
          <w:p w14:paraId="34168E8F" w14:textId="77777777" w:rsidR="002A7628" w:rsidRPr="00C25904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C25904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C25904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C2590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C82AA1B" w14:textId="0BB5852B" w:rsidR="002A7628" w:rsidRPr="00C2590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C4BB94" w14:textId="0166F7E3" w:rsidR="002A7628" w:rsidRPr="00C25904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783A0CCB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6F46550F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4ED50ED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C2590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C25904" w:rsidRPr="00C25904" w14:paraId="0994815D" w14:textId="77777777" w:rsidTr="00195FB0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C25904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przedsiębiorstw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2590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2590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CD8E45" w14:textId="5769F80E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CD7B54D" w14:textId="175E0DDA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C25904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C25904" w:rsidRPr="00C25904" w14:paraId="43CF098F" w14:textId="77777777" w:rsidTr="00195FB0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C25904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C2590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C25904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C25904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C25904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C01843" w14:textId="4DC28947" w:rsidR="002A7628" w:rsidRPr="00C25904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6F8062" w14:textId="66406899" w:rsidR="002A7628" w:rsidRPr="00C25904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7BAE0F8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FD3B45A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12FC9B04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C2590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C2590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67F5C5D7" w14:textId="77777777" w:rsidTr="00195FB0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C25904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C2590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C2590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C2590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138B3B" w14:textId="1507CEA8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D155F6" w14:textId="678FC830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C25904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C25904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C25904" w:rsidRPr="00C25904" w14:paraId="0CF23CC4" w14:textId="77777777" w:rsidTr="00195FB0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C25904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C2590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C25904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C25904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C25904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195DC5" w14:textId="3B194DA6" w:rsidR="001F26BE" w:rsidRPr="00C25904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2F31B3" w14:textId="4FF9AB12" w:rsidR="001F26BE" w:rsidRPr="00C25904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755F27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1DFF9149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26C99255" w:rsidR="001F26BE" w:rsidRPr="00C25904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C2590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C25904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533C91EF" w14:textId="77777777" w:rsidTr="00195FB0">
        <w:tc>
          <w:tcPr>
            <w:tcW w:w="3994" w:type="dxa"/>
            <w:shd w:val="clear" w:color="auto" w:fill="000000"/>
          </w:tcPr>
          <w:p w14:paraId="4411DA68" w14:textId="77777777" w:rsidR="00D711C9" w:rsidRPr="00C2590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C25904">
              <w:rPr>
                <w:rFonts w:ascii="Fira Sans" w:hAnsi="Fira Sans"/>
                <w:highlight w:val="black"/>
              </w:rPr>
              <w:t>narodowej</w:t>
            </w:r>
            <w:r w:rsidRPr="00C25904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C2590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F0DE4B" w14:textId="7B6FB70E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8CC853" w14:textId="07CE94D1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C25904" w:rsidRPr="00C25904" w14:paraId="78B04BE1" w14:textId="77777777" w:rsidTr="00195FB0">
        <w:tc>
          <w:tcPr>
            <w:tcW w:w="3994" w:type="dxa"/>
            <w:shd w:val="clear" w:color="auto" w:fill="000000"/>
          </w:tcPr>
          <w:p w14:paraId="55B74D66" w14:textId="77777777" w:rsidR="00D711C9" w:rsidRPr="00C2590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C2590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C2590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C2590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4B2734" w14:textId="0C7F0A93" w:rsidR="00D711C9" w:rsidRPr="00C2590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2BE2B0" w14:textId="73584EA0" w:rsidR="00D711C9" w:rsidRPr="00C2590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593327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CA0C958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3089DF7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410C41F4" w14:textId="77777777" w:rsidTr="00195FB0">
        <w:tc>
          <w:tcPr>
            <w:tcW w:w="3994" w:type="dxa"/>
            <w:shd w:val="clear" w:color="auto" w:fill="000000"/>
          </w:tcPr>
          <w:p w14:paraId="1E5BDF44" w14:textId="77777777" w:rsidR="00D711C9" w:rsidRPr="00C25904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0CCF0E" w14:textId="55D533F9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7007E2" w14:textId="6F37C5D3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C25904" w:rsidRPr="00C25904" w14:paraId="6250BC86" w14:textId="77777777" w:rsidTr="00195FB0">
        <w:tc>
          <w:tcPr>
            <w:tcW w:w="3994" w:type="dxa"/>
            <w:shd w:val="clear" w:color="auto" w:fill="000000"/>
          </w:tcPr>
          <w:p w14:paraId="0E4AF580" w14:textId="77777777" w:rsidR="00D711C9" w:rsidRPr="00C25904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C2590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C2590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C2590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51E639" w14:textId="02D6C61F" w:rsidR="00D711C9" w:rsidRPr="00C2590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F9DE78" w14:textId="06C8D59E" w:rsidR="00D711C9" w:rsidRPr="00C2590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46FE00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27FB4C6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50128B88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25904" w:rsidRPr="00C25904" w14:paraId="7FEE8768" w14:textId="77777777" w:rsidTr="00195FB0">
        <w:tc>
          <w:tcPr>
            <w:tcW w:w="3994" w:type="dxa"/>
            <w:shd w:val="clear" w:color="auto" w:fill="000000"/>
          </w:tcPr>
          <w:p w14:paraId="4E5D3D84" w14:textId="77777777" w:rsidR="00D711C9" w:rsidRPr="00C25904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054264" w14:textId="2F87C1C7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D0D56A" w14:textId="0621C28B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25904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C25904" w:rsidRPr="00C25904" w14:paraId="1FD1479C" w14:textId="77777777" w:rsidTr="00195FB0">
        <w:tc>
          <w:tcPr>
            <w:tcW w:w="3994" w:type="dxa"/>
            <w:shd w:val="clear" w:color="auto" w:fill="000000"/>
          </w:tcPr>
          <w:p w14:paraId="7CCD9285" w14:textId="77777777" w:rsidR="00D711C9" w:rsidRPr="00C2590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C2590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C2590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C2590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C2590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F70631" w14:textId="1D51CF0F" w:rsidR="00D711C9" w:rsidRPr="00C2590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B55081" w14:textId="45D999D6" w:rsidR="00D711C9" w:rsidRPr="00C2590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F3E91CE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CB60DDD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27E274A" w:rsidR="00D711C9" w:rsidRPr="00C2590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C2590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C2590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C25904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25904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 c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 </w:t>
      </w:r>
      <w:r w:rsidRPr="00C25904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 </w:t>
      </w:r>
      <w:r w:rsidRPr="00C25904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C2590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C2590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C2590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C2590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C2590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C25904" w:rsidRDefault="00E87F28">
      <w:pPr>
        <w:spacing w:line="230" w:lineRule="exact"/>
        <w:ind w:firstLine="454"/>
        <w:rPr>
          <w:highlight w:val="black"/>
        </w:rPr>
        <w:sectPr w:rsidR="00E87F28" w:rsidRPr="00C25904" w:rsidSect="00FA558F">
          <w:headerReference w:type="first" r:id="rId31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C25904" w14:paraId="6EB86DA4" w14:textId="77777777" w:rsidTr="00C25904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C2590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25904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C2590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C25904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C25904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25904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C25904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25904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C2590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25904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C2590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C25904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C25904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C25904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C25904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C25904" w14:paraId="5573F632" w14:textId="77777777" w:rsidTr="00C2590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C2590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C25904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C25904" w:rsidRDefault="004B4DF6" w:rsidP="000378AF">
            <w:pPr>
              <w:rPr>
                <w:rFonts w:ascii="Fira Sans" w:hAnsi="Fira Sans"/>
                <w:highlight w:val="black"/>
              </w:rPr>
            </w:pPr>
            <w:r w:rsidRPr="00C25904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C25904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C25904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C25904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25904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752F39D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Rzeszowie" w:history="1">
              <w:r w:rsidR="004B4DF6" w:rsidRPr="00C2590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C25904" w14:paraId="153DF665" w14:textId="77777777" w:rsidTr="00C2590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C2590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C25904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25904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02357779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 Urzędu Statystycznego w Rzeszowie" w:history="1">
              <w:r w:rsidR="004B4DF6" w:rsidRPr="00C2590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C2590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C25904" w14:paraId="4B82A92F" w14:textId="77777777" w:rsidTr="00C2590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C2590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C25904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25904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356FA59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C2590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25904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C25904" w:rsidRDefault="004B4DF6" w:rsidP="009B729B">
      <w:pPr>
        <w:rPr>
          <w:highlight w:val="black"/>
        </w:rPr>
      </w:pPr>
    </w:p>
    <w:p w14:paraId="23591FFA" w14:textId="77777777" w:rsidR="004B4DF6" w:rsidRPr="00C25904" w:rsidRDefault="004B4DF6" w:rsidP="009B729B">
      <w:pPr>
        <w:rPr>
          <w:highlight w:val="black"/>
        </w:rPr>
      </w:pPr>
    </w:p>
    <w:p w14:paraId="5EDCF7F2" w14:textId="77777777" w:rsidR="00D667EC" w:rsidRPr="00C25904" w:rsidRDefault="00D667EC" w:rsidP="009B729B">
      <w:pPr>
        <w:rPr>
          <w:highlight w:val="black"/>
        </w:rPr>
      </w:pPr>
    </w:p>
    <w:p w14:paraId="77AF758F" w14:textId="66F64835" w:rsidR="00111673" w:rsidRPr="00C25904" w:rsidRDefault="004D19D0" w:rsidP="009B729B">
      <w:pPr>
        <w:rPr>
          <w:highlight w:val="black"/>
          <w:lang w:val="en-US"/>
        </w:rPr>
      </w:pPr>
      <w:r w:rsidRPr="00C2590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2590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36C45851" w:rsidR="00DA5AAD" w:rsidRPr="00C25904" w:rsidRDefault="00DA5AA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C2590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C2590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"https://stat.gov.pl/obszary-tematyczne/inne-opracowania/informacje-o-sytuacji-spoleczno-gospodarczej/sytuacja-spoleczno-gospodarcza-kraju-w-maju-2024-r-,1,145.html" \o "Link do opracowania Sytuacja społeczno-gospodarcza kraju"</w:instrText>
                            </w:r>
                            <w:r w:rsidRPr="00C2590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C2590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maju 2024 r.</w:t>
                            </w:r>
                          </w:p>
                          <w:p w14:paraId="39D90BB6" w14:textId="760F3A0A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C2590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2590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1" w:tooltip="Link do bazy danych: Bank Danych Lokalnych (BDL)" w:history="1">
                              <w:r w:rsidRPr="00C2590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2" w:tooltip="Link do bazy danych: Dziedzinowe Bazy Wiedzy (DBW)" w:history="1">
                              <w:r w:rsidRPr="00C25904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2590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DA5AAD" w:rsidRPr="00C25904" w:rsidRDefault="00DA5AA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3" w:tooltip="Link do pojęć stosowanych w statystyce publicznej" w:history="1">
                              <w:r w:rsidRPr="00C2590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A5AAD" w:rsidRPr="00C25904" w:rsidRDefault="00DA5AAD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DA5AAD" w:rsidRPr="00C25904" w:rsidRDefault="00DA5AAD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2590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36C45851" w:rsidR="00DA5AAD" w:rsidRPr="00C25904" w:rsidRDefault="00DA5AA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C2590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C2590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"https://stat.gov.pl/obszary-tematyczne/inne-opracowania/informacje-o-sytuacji-spoleczno-gospodarczej/sytuacja-spoleczno-gospodarcza-kraju-w-maju-2024-r-,1,145.html" \o "Link do opracowania Sytuacja społeczno-gospodarcza kraju"</w:instrText>
                      </w:r>
                      <w:r w:rsidRPr="00C2590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C2590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maju 2024 r.</w:t>
                      </w:r>
                    </w:p>
                    <w:p w14:paraId="39D90BB6" w14:textId="760F3A0A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C2590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2590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4" w:tooltip="Link do bazy danych: Bank Danych Lokalnych (BDL)" w:history="1">
                        <w:r w:rsidRPr="00C2590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5" w:tooltip="Link do bazy danych: Dziedzinowe Bazy Wiedzy (DBW)" w:history="1">
                        <w:r w:rsidRPr="00C25904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2590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DA5AAD" w:rsidRPr="00C25904" w:rsidRDefault="00DA5A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6" w:tooltip="Link do pojęć stosowanych w statystyce publicznej" w:history="1">
                        <w:r w:rsidRPr="00C2590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A5AAD" w:rsidRPr="00C25904" w:rsidRDefault="00DA5AAD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25904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41750" w14:textId="77777777" w:rsidR="00691827" w:rsidRDefault="00691827" w:rsidP="00502C57">
      <w:r>
        <w:separator/>
      </w:r>
    </w:p>
  </w:endnote>
  <w:endnote w:type="continuationSeparator" w:id="0">
    <w:p w14:paraId="263E9C14" w14:textId="77777777" w:rsidR="00691827" w:rsidRDefault="0069182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A5AAD" w:rsidRDefault="00DA5AA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DA5AAD" w:rsidRDefault="00DA5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DA5AAD" w:rsidRDefault="00DA5AA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A5AAD" w:rsidRDefault="00DA5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DA5AAD" w:rsidRDefault="00DA5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A5AAD" w:rsidRDefault="00DA5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67D9" w14:textId="77777777" w:rsidR="00691827" w:rsidRDefault="00691827" w:rsidP="00502C57">
      <w:r>
        <w:separator/>
      </w:r>
    </w:p>
  </w:footnote>
  <w:footnote w:type="continuationSeparator" w:id="0">
    <w:p w14:paraId="14FD95EB" w14:textId="77777777" w:rsidR="00691827" w:rsidRDefault="00691827" w:rsidP="00502C57">
      <w:r>
        <w:continuationSeparator/>
      </w:r>
    </w:p>
  </w:footnote>
  <w:footnote w:id="1">
    <w:p w14:paraId="2A61E265" w14:textId="77777777" w:rsidR="00DA5AAD" w:rsidRPr="00BB5D72" w:rsidRDefault="00DA5AAD" w:rsidP="00E65FF9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8370C0B" w14:textId="77777777" w:rsidR="00DA5AAD" w:rsidRPr="00BB5D72" w:rsidRDefault="00DA5AAD" w:rsidP="00E65F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47CE3AA2" w14:textId="77777777" w:rsidR="00DA5AAD" w:rsidRPr="005D5750" w:rsidRDefault="00DA5AAD" w:rsidP="0015316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2369738" w14:textId="77777777" w:rsidR="00DA5AAD" w:rsidRPr="004D4843" w:rsidRDefault="00DA5AAD" w:rsidP="0087673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A051364" w14:textId="77777777" w:rsidR="00DA5AAD" w:rsidRPr="00F15BE1" w:rsidRDefault="00DA5AAD" w:rsidP="00CF621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3C9BEE0" w14:textId="77777777" w:rsidR="00DA5AAD" w:rsidRPr="00E70D05" w:rsidRDefault="00DA5AAD" w:rsidP="003D1B14"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E1683E">
        <w:t>Badanie zostało przeprowadzone od 1 do 10 dnia bieżącego miesiąca na próbie jednostek przemysłowych, budowlanych, handlowych i usługowych. Odpowiedzi na cały dodatkowy blok pytań są udzielane na zasadzie dobrowolnoś</w:t>
      </w:r>
      <w:r w:rsidRPr="0082083F">
        <w:t>ci</w:t>
      </w:r>
      <w:r w:rsidRPr="0082083F">
        <w:rPr>
          <w:strike/>
        </w:rPr>
        <w:t xml:space="preserve">. </w:t>
      </w:r>
      <w:r w:rsidRPr="00E1683E">
        <w:t>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19B9B71D" w:rsidR="00DA5AAD" w:rsidRDefault="00DA5AA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18C14F47" w:rsidR="00DA5AAD" w:rsidRPr="00AF15B1" w:rsidRDefault="00DA5AAD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B0B0938" w:rsidR="00DA5AAD" w:rsidRDefault="00DA5AAD" w:rsidP="00195FB0">
    <w:pPr>
      <w:pStyle w:val="Nagwek"/>
      <w:tabs>
        <w:tab w:val="clear" w:pos="4536"/>
        <w:tab w:val="clear" w:pos="9072"/>
        <w:tab w:val="center" w:pos="5233"/>
      </w:tabs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86FD87" wp14:editId="60319504">
              <wp:simplePos x="0" y="0"/>
              <wp:positionH relativeFrom="page">
                <wp:posOffset>5520519</wp:posOffset>
              </wp:positionH>
              <wp:positionV relativeFrom="paragraph">
                <wp:posOffset>6189</wp:posOffset>
              </wp:positionV>
              <wp:extent cx="2058670" cy="356235"/>
              <wp:effectExtent l="0" t="0" r="0" b="5715"/>
              <wp:wrapNone/>
              <wp:docPr id="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F1BC0" w14:textId="77777777" w:rsidR="00DA5AAD" w:rsidRPr="00A7182C" w:rsidRDefault="00DA5AAD" w:rsidP="00195FB0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6FD87" id="Schemat blokowy: opóźnienie 6" o:spid="_x0000_s1028" alt="Napis &quot;Informacje sygnalne&quot;" style="position:absolute;margin-left:434.7pt;margin-top:.5pt;width:162.1pt;height:28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N9WwYAADc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9EF1BC0" w14:textId="77777777" w:rsidR="00DA5AAD" w:rsidRPr="00A7182C" w:rsidRDefault="00DA5AAD" w:rsidP="00195FB0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18793FD8" wp14:editId="7E9312C3">
          <wp:extent cx="1395467" cy="432000"/>
          <wp:effectExtent l="0" t="0" r="0" b="6350"/>
          <wp:docPr id="2" name="Obraz 2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C03E4CE" w14:textId="30BEE555" w:rsidR="00DA5AAD" w:rsidRDefault="00DA5AAD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FCF3D5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4A3168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29282B5" w:rsidR="00DA5AAD" w:rsidRPr="00285307" w:rsidRDefault="00DA5AAD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DA5AAD" w:rsidRPr="008926DD" w:rsidRDefault="00DA5AA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DA5AAD" w:rsidRPr="008926DD" w:rsidRDefault="00DA5AAD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E60289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5087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C82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9CC5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5C15D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44713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506D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6CCAB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E6FE7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5338F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15BF05A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4399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1"/>
  </w:num>
  <w:num w:numId="16">
    <w:abstractNumId w:val="20"/>
  </w:num>
  <w:num w:numId="17">
    <w:abstractNumId w:val="13"/>
  </w:num>
  <w:num w:numId="18">
    <w:abstractNumId w:val="17"/>
  </w:num>
  <w:num w:numId="19">
    <w:abstractNumId w:val="20"/>
  </w:num>
  <w:num w:numId="20">
    <w:abstractNumId w:val="20"/>
  </w:num>
  <w:num w:numId="21">
    <w:abstractNumId w:val="20"/>
  </w:num>
  <w:num w:numId="22">
    <w:abstractNumId w:val="12"/>
  </w:num>
  <w:num w:numId="23">
    <w:abstractNumId w:val="19"/>
  </w:num>
  <w:num w:numId="24">
    <w:abstractNumId w:val="10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5FB0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2BB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7B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C6A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482"/>
    <w:rsid w:val="00512526"/>
    <w:rsid w:val="00512B28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4D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0EED"/>
    <w:rsid w:val="00580FE1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82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87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70D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766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AB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07E22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B26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3CB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D2D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1D5B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512F"/>
    <w:rsid w:val="00AB5A9E"/>
    <w:rsid w:val="00AB5B0D"/>
    <w:rsid w:val="00AB5FBD"/>
    <w:rsid w:val="00AB60C2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7C0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579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A50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6D3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904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AAD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BD9"/>
    <w:rsid w:val="00E05E38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302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0E7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C2590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9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C25904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C25904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C2590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2590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90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90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25904"/>
    <w:pPr>
      <w:numPr>
        <w:numId w:val="24"/>
      </w:numPr>
    </w:pPr>
  </w:style>
  <w:style w:type="paragraph" w:styleId="Bezodstpw">
    <w:name w:val="No Spacing"/>
    <w:uiPriority w:val="1"/>
    <w:rsid w:val="00C2590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25904"/>
  </w:style>
  <w:style w:type="table" w:styleId="Ciemnalista">
    <w:name w:val="Dark List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C2590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2590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259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90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25904"/>
  </w:style>
  <w:style w:type="character" w:customStyle="1" w:styleId="DataZnak">
    <w:name w:val="Data Znak"/>
    <w:basedOn w:val="Domylnaczcionkaakapitu"/>
    <w:link w:val="Data"/>
    <w:uiPriority w:val="99"/>
    <w:semiHidden/>
    <w:rsid w:val="00C25904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C25904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C25904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2590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2590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2590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2590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2590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2590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2590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2590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2590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2590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2590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C2590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2590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2590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2590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2590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2590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2590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2590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2590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2590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2590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2590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2590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2590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2590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2590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2590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2590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2590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2590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2590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2590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25904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25904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25904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25904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25904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25904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25904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25904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25904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2590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2590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2590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259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2590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2590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904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C25904"/>
    <w:rPr>
      <w:color w:val="FFFFFF"/>
    </w:rPr>
  </w:style>
  <w:style w:type="character" w:styleId="Odwoaniedelikatne">
    <w:name w:val="Subtle Reference"/>
    <w:basedOn w:val="Domylnaczcionkaakapitu"/>
    <w:uiPriority w:val="31"/>
    <w:rsid w:val="00C2590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2590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590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2590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2590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2590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2590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C2590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2590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C259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2590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2590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2590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2590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2590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2590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2590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2590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2590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2590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C2590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2590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2590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2590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2590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2590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2590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2590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2590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2590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2590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2590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2590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C259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2590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2590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2590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2590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2590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C2590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C259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90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C2590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C2590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2590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2590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C2590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C25904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C25904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2590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2590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2590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25904"/>
    <w:rPr>
      <w:color w:val="FFFFFF"/>
    </w:rPr>
  </w:style>
  <w:style w:type="table" w:styleId="Zwykatabela1">
    <w:name w:val="Plain Table 1"/>
    <w:basedOn w:val="Standardowy"/>
    <w:uiPriority w:val="41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590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259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2590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2590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zielonagora.stat.gov.pl/osrodki/osrodek-badan-koniunktury/obk-dane/" TargetMode="External"/><Relationship Id="rId39" Type="http://schemas.microsoft.com/office/2007/relationships/hdphoto" Target="media/hdphoto3.wdp"/><Relationship Id="rId21" Type="http://schemas.openxmlformats.org/officeDocument/2006/relationships/image" Target="media/image13.png"/><Relationship Id="rId34" Type="http://schemas.openxmlformats.org/officeDocument/2006/relationships/hyperlink" Target="https://rzeszow.stat.gov.pl/" TargetMode="Externa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eader" Target="header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9.png"/><Relationship Id="rId37" Type="http://schemas.openxmlformats.org/officeDocument/2006/relationships/hyperlink" Target="https://twitter.com/Rzeszow_STAT" TargetMode="External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36" Type="http://schemas.microsoft.com/office/2007/relationships/hdphoto" Target="media/hdphoto2.wdp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image" Target="media/image20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microsoft.com/office/2007/relationships/hdphoto" Target="media/hdphoto1.wdp"/><Relationship Id="rId38" Type="http://schemas.openxmlformats.org/officeDocument/2006/relationships/image" Target="media/image21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45FEB-0E61-4A59-B28D-5B78BC6D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32</Pages>
  <Words>7885</Words>
  <Characters>47315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podkarpackiego w maju 2024 r. - wersja o wysokim kontraście</dc:title>
  <dc:subject/>
  <dc:creator>Korab Andrzej</dc:creator>
  <cp:keywords/>
  <dc:description/>
  <cp:lastModifiedBy>Dziok Tomasz</cp:lastModifiedBy>
  <cp:revision>9</cp:revision>
  <cp:lastPrinted>2024-06-28T11:28:00Z</cp:lastPrinted>
  <dcterms:created xsi:type="dcterms:W3CDTF">2024-06-28T10:58:00Z</dcterms:created>
  <dcterms:modified xsi:type="dcterms:W3CDTF">2024-06-28T11:28:00Z</dcterms:modified>
</cp:coreProperties>
</file>