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8D2" w:rsidRDefault="001B2C72" w:rsidP="003508D2">
      <w:pPr>
        <w:pStyle w:val="Nagwek1"/>
      </w:pPr>
      <w:r>
        <w:t xml:space="preserve">Koniunktura gospodarcza w województwie lubelskim </w:t>
      </w:r>
      <w:r w:rsidR="00A22F89">
        <w:t xml:space="preserve">w </w:t>
      </w:r>
      <w:r w:rsidR="00A55EEA">
        <w:t>styczniu</w:t>
      </w:r>
      <w:r w:rsidR="00CA2854">
        <w:t xml:space="preserve"> </w:t>
      </w:r>
      <w:r>
        <w:t>202</w:t>
      </w:r>
      <w:r w:rsidR="00A55EEA">
        <w:t>4</w:t>
      </w:r>
      <w:r>
        <w:t xml:space="preserve"> roku </w:t>
      </w:r>
      <w:r w:rsidR="003508D2">
        <w:t>(infografika) – opis alternatywny</w:t>
      </w:r>
    </w:p>
    <w:p w:rsidR="001B2C72" w:rsidRPr="001B2C72" w:rsidRDefault="001B2C72" w:rsidP="001B2C72">
      <w:pPr>
        <w:pStyle w:val="Nagwek2"/>
      </w:pPr>
      <w:r>
        <w:t>Wskaźniki ogólnego klimatu koniunktury</w:t>
      </w:r>
    </w:p>
    <w:p w:rsidR="003508D2" w:rsidRDefault="001B2C72" w:rsidP="001B2C72">
      <w:pPr>
        <w:pStyle w:val="Akapitzlist"/>
        <w:numPr>
          <w:ilvl w:val="0"/>
          <w:numId w:val="17"/>
        </w:numPr>
      </w:pPr>
      <w:r>
        <w:t>Przetwórstwo przemysłowe (</w:t>
      </w:r>
      <w:r w:rsidR="00F9347F">
        <w:t>pogorszenie</w:t>
      </w:r>
      <w:r>
        <w:t xml:space="preserve"> w relacji do poprzedniego okresu):</w:t>
      </w:r>
    </w:p>
    <w:p w:rsidR="001B2C72" w:rsidRDefault="001B2C72" w:rsidP="001B2C72">
      <w:pPr>
        <w:pStyle w:val="Akapitzlist"/>
        <w:numPr>
          <w:ilvl w:val="1"/>
          <w:numId w:val="17"/>
        </w:numPr>
      </w:pPr>
      <w:r>
        <w:t>Wskaźnik w</w:t>
      </w:r>
      <w:r w:rsidR="00AE4AE7">
        <w:t xml:space="preserve"> grudniu </w:t>
      </w:r>
      <w:r>
        <w:t>2023 roku —</w:t>
      </w:r>
      <w:bookmarkStart w:id="0" w:name="_GoBack"/>
      <w:bookmarkEnd w:id="0"/>
      <w:r w:rsidR="00AE4AE7">
        <w:t xml:space="preserve"> 0,5</w:t>
      </w:r>
      <w:r w:rsidR="00F9347F">
        <w:t>;</w:t>
      </w:r>
    </w:p>
    <w:p w:rsidR="001B2C72" w:rsidRDefault="001B2C72" w:rsidP="001B2C72">
      <w:pPr>
        <w:pStyle w:val="Akapitzlist"/>
        <w:numPr>
          <w:ilvl w:val="1"/>
          <w:numId w:val="17"/>
        </w:numPr>
      </w:pPr>
      <w:r>
        <w:t>Wskaźnik w</w:t>
      </w:r>
      <w:r w:rsidR="00B47BDC">
        <w:t xml:space="preserve"> </w:t>
      </w:r>
      <w:r w:rsidR="00AE4AE7">
        <w:t xml:space="preserve">styczniu </w:t>
      </w:r>
      <w:r>
        <w:t>202</w:t>
      </w:r>
      <w:r w:rsidR="00AE4AE7">
        <w:t>4</w:t>
      </w:r>
      <w:r>
        <w:t xml:space="preserve"> roku — </w:t>
      </w:r>
      <w:r w:rsidR="00AE4AE7">
        <w:t>0,0</w:t>
      </w:r>
      <w:r w:rsidR="00F9347F">
        <w:t>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Budownictwo</w:t>
      </w:r>
      <w:r w:rsidR="001B2C72">
        <w:t xml:space="preserve"> (</w:t>
      </w:r>
      <w:r w:rsidR="00AE4AE7">
        <w:t>poprawa</w:t>
      </w:r>
      <w:r w:rsidR="000E1C2B">
        <w:t xml:space="preserve"> </w:t>
      </w:r>
      <w:r w:rsidR="001B2C72">
        <w:t>w relacji do poprzedniego okresu):</w:t>
      </w:r>
    </w:p>
    <w:p w:rsidR="00AE4AE7" w:rsidRDefault="00AE4AE7" w:rsidP="00AE4AE7">
      <w:pPr>
        <w:pStyle w:val="Akapitzlist"/>
        <w:numPr>
          <w:ilvl w:val="1"/>
          <w:numId w:val="17"/>
        </w:numPr>
      </w:pPr>
      <w:r>
        <w:t>Wskaźnik w grudniu 2023 roku — minus 19,1;</w:t>
      </w:r>
    </w:p>
    <w:p w:rsidR="00AE4AE7" w:rsidRDefault="00AE4AE7" w:rsidP="00AE4AE7">
      <w:pPr>
        <w:pStyle w:val="Akapitzlist"/>
        <w:numPr>
          <w:ilvl w:val="1"/>
          <w:numId w:val="17"/>
        </w:numPr>
      </w:pPr>
      <w:r>
        <w:t>Wskaźnik w styczniu 2024 roku — minus 6,0;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Handel hurtowy</w:t>
      </w:r>
      <w:r w:rsidR="001B2C72">
        <w:t xml:space="preserve"> (</w:t>
      </w:r>
      <w:r w:rsidR="00AE4AE7">
        <w:t>poprawa</w:t>
      </w:r>
      <w:r w:rsidR="000E1C2B">
        <w:t xml:space="preserve"> </w:t>
      </w:r>
      <w:r w:rsidR="001B2C72">
        <w:t>w relacji do poprzedniego okresu):</w:t>
      </w:r>
    </w:p>
    <w:p w:rsidR="00AE4AE7" w:rsidRDefault="00AE4AE7" w:rsidP="00AE4AE7">
      <w:pPr>
        <w:pStyle w:val="Akapitzlist"/>
        <w:numPr>
          <w:ilvl w:val="1"/>
          <w:numId w:val="17"/>
        </w:numPr>
      </w:pPr>
      <w:r>
        <w:t>Wskaźnik w grudniu 2023 roku — minus 7,3;</w:t>
      </w:r>
    </w:p>
    <w:p w:rsidR="00B47BDC" w:rsidRDefault="00AE4AE7" w:rsidP="00AE4AE7">
      <w:pPr>
        <w:pStyle w:val="Akapitzlist"/>
        <w:numPr>
          <w:ilvl w:val="1"/>
          <w:numId w:val="17"/>
        </w:numPr>
      </w:pPr>
      <w:r>
        <w:t>Wskaźnik w styczniu 2024 roku — 0,2</w:t>
      </w:r>
      <w:r w:rsidR="00B47BDC">
        <w:t>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 xml:space="preserve">Handel detaliczny </w:t>
      </w:r>
      <w:r w:rsidR="001B2C72">
        <w:t>(</w:t>
      </w:r>
      <w:r w:rsidR="00AE4AE7">
        <w:t>pogorszenie</w:t>
      </w:r>
      <w:r w:rsidR="001B2C72">
        <w:t xml:space="preserve"> w relacji do poprzedniego okresu):</w:t>
      </w:r>
    </w:p>
    <w:p w:rsidR="00AE4AE7" w:rsidRDefault="00AE4AE7" w:rsidP="00AE4AE7">
      <w:pPr>
        <w:pStyle w:val="Akapitzlist"/>
        <w:numPr>
          <w:ilvl w:val="1"/>
          <w:numId w:val="17"/>
        </w:numPr>
      </w:pPr>
      <w:r>
        <w:t>Wskaźnik w grudniu 2023 roku — minus 12,6;</w:t>
      </w:r>
    </w:p>
    <w:p w:rsidR="00AE4AE7" w:rsidRDefault="00AE4AE7" w:rsidP="00AE4AE7">
      <w:pPr>
        <w:pStyle w:val="Akapitzlist"/>
        <w:numPr>
          <w:ilvl w:val="1"/>
          <w:numId w:val="17"/>
        </w:numPr>
      </w:pPr>
      <w:r>
        <w:t>Wskaźnik w styczniu 2024 roku — minus 11,6;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Transport i gospodarka magazynowa</w:t>
      </w:r>
      <w:r w:rsidR="001B2C72">
        <w:t xml:space="preserve"> (</w:t>
      </w:r>
      <w:r w:rsidR="00AE4AE7">
        <w:t>poprawa</w:t>
      </w:r>
      <w:r w:rsidR="001B2C72">
        <w:t xml:space="preserve"> w relacji do poprzedniego okresu):</w:t>
      </w:r>
    </w:p>
    <w:p w:rsidR="00AE4AE7" w:rsidRDefault="00AE4AE7" w:rsidP="00AE4AE7">
      <w:pPr>
        <w:pStyle w:val="Akapitzlist"/>
        <w:numPr>
          <w:ilvl w:val="1"/>
          <w:numId w:val="17"/>
        </w:numPr>
      </w:pPr>
      <w:r>
        <w:t>Wskaźnik w grudniu 2023 roku — minus 13,9;</w:t>
      </w:r>
    </w:p>
    <w:p w:rsidR="00AE4AE7" w:rsidRDefault="00AE4AE7" w:rsidP="00AE4AE7">
      <w:pPr>
        <w:pStyle w:val="Akapitzlist"/>
        <w:numPr>
          <w:ilvl w:val="1"/>
          <w:numId w:val="17"/>
        </w:numPr>
      </w:pPr>
      <w:r>
        <w:t>Wskaźnik w styczniu 2024 roku — 9,1;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Zakwaterowanie i gastronomia</w:t>
      </w:r>
      <w:r w:rsidR="001B2C72">
        <w:t xml:space="preserve"> (poprawa w relacji do poprzedniego okresu):</w:t>
      </w:r>
    </w:p>
    <w:p w:rsidR="00AE4AE7" w:rsidRDefault="00AE4AE7" w:rsidP="00AE4AE7">
      <w:pPr>
        <w:pStyle w:val="Akapitzlist"/>
        <w:numPr>
          <w:ilvl w:val="1"/>
          <w:numId w:val="17"/>
        </w:numPr>
      </w:pPr>
      <w:r>
        <w:t>Wskaźnik w grudniu 2023 roku — 0,2;</w:t>
      </w:r>
    </w:p>
    <w:p w:rsidR="00AE4AE7" w:rsidRDefault="00AE4AE7" w:rsidP="00AE4AE7">
      <w:pPr>
        <w:pStyle w:val="Akapitzlist"/>
        <w:numPr>
          <w:ilvl w:val="1"/>
          <w:numId w:val="17"/>
        </w:numPr>
      </w:pPr>
      <w:r>
        <w:t>Wskaźnik w styczniu 2024 roku — 5,9;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Informacja i komunikacja</w:t>
      </w:r>
      <w:r w:rsidR="001B2C72">
        <w:t xml:space="preserve"> (</w:t>
      </w:r>
      <w:r w:rsidR="00AE4AE7">
        <w:t>pogorszenie</w:t>
      </w:r>
      <w:r w:rsidR="000E1C2B">
        <w:t xml:space="preserve"> </w:t>
      </w:r>
      <w:r w:rsidR="001B2C72">
        <w:t>w relacji do poprzedniego okresu):</w:t>
      </w:r>
    </w:p>
    <w:p w:rsidR="00AE4AE7" w:rsidRDefault="00AE4AE7" w:rsidP="00AE4AE7">
      <w:pPr>
        <w:pStyle w:val="Akapitzlist"/>
        <w:numPr>
          <w:ilvl w:val="1"/>
          <w:numId w:val="17"/>
        </w:numPr>
      </w:pPr>
      <w:r>
        <w:t>Wskaźnik w grudniu 2023 roku — 12,0;</w:t>
      </w:r>
    </w:p>
    <w:p w:rsidR="00AE4AE7" w:rsidRDefault="00AE4AE7" w:rsidP="00AE4AE7">
      <w:pPr>
        <w:pStyle w:val="Akapitzlist"/>
        <w:numPr>
          <w:ilvl w:val="1"/>
          <w:numId w:val="17"/>
        </w:numPr>
      </w:pPr>
      <w:r>
        <w:t>Wskaźnik w styczniu 2024 roku — 11,6.</w:t>
      </w:r>
    </w:p>
    <w:p w:rsidR="000E1C2B" w:rsidRDefault="008E0800" w:rsidP="000E1C2B">
      <w:pPr>
        <w:pStyle w:val="Nagwek2"/>
      </w:pPr>
      <w:r>
        <w:t>Procesy cenowe</w:t>
      </w:r>
    </w:p>
    <w:p w:rsidR="000E1C2B" w:rsidRDefault="008E0800" w:rsidP="008E0800">
      <w:r>
        <w:t xml:space="preserve">Przedsiębiorstwa przewidujące, że ceny ich </w:t>
      </w:r>
      <w:proofErr w:type="spellStart"/>
      <w:r>
        <w:t>uług</w:t>
      </w:r>
      <w:proofErr w:type="spellEnd"/>
      <w:r>
        <w:t>/materiałów/surowców w ciągu najbliższych 3 miesięcy, w porównaniu do aktualnej sytuacji</w:t>
      </w:r>
      <w:r w:rsidR="00E66315">
        <w:t>:</w:t>
      </w:r>
    </w:p>
    <w:p w:rsidR="00E66315" w:rsidRDefault="008E0800" w:rsidP="008E0800">
      <w:pPr>
        <w:pStyle w:val="Akapitzlist"/>
        <w:numPr>
          <w:ilvl w:val="0"/>
          <w:numId w:val="20"/>
        </w:numPr>
      </w:pPr>
      <w:r>
        <w:t>Wzrosną szybciej:</w:t>
      </w:r>
    </w:p>
    <w:p w:rsidR="00E66315" w:rsidRDefault="00E66315" w:rsidP="008E0800">
      <w:pPr>
        <w:pStyle w:val="Akapitzlist"/>
        <w:numPr>
          <w:ilvl w:val="1"/>
          <w:numId w:val="20"/>
        </w:numPr>
      </w:pPr>
      <w:r>
        <w:t xml:space="preserve">Przetwórstwo przemysłowe — </w:t>
      </w:r>
      <w:r w:rsidR="00AC5944">
        <w:t>1</w:t>
      </w:r>
      <w:r w:rsidR="00AE4AE7">
        <w:t>6,8</w:t>
      </w:r>
      <w:r>
        <w:t>%;</w:t>
      </w:r>
    </w:p>
    <w:p w:rsidR="00E66315" w:rsidRDefault="00E66315" w:rsidP="008E0800">
      <w:pPr>
        <w:pStyle w:val="Akapitzlist"/>
        <w:numPr>
          <w:ilvl w:val="1"/>
          <w:numId w:val="20"/>
        </w:numPr>
      </w:pPr>
      <w:r>
        <w:t xml:space="preserve">Budownictwo — </w:t>
      </w:r>
      <w:r w:rsidR="00AE4AE7">
        <w:t>30,1</w:t>
      </w:r>
      <w:r>
        <w:t>%;</w:t>
      </w:r>
    </w:p>
    <w:p w:rsidR="00E66315" w:rsidRDefault="00E66315" w:rsidP="008E0800">
      <w:pPr>
        <w:pStyle w:val="Akapitzlist"/>
        <w:numPr>
          <w:ilvl w:val="1"/>
          <w:numId w:val="20"/>
        </w:numPr>
      </w:pPr>
      <w:r>
        <w:t xml:space="preserve">Usługi — </w:t>
      </w:r>
      <w:r w:rsidR="00AE4AE7">
        <w:t>22,6</w:t>
      </w:r>
      <w:r>
        <w:t>%;</w:t>
      </w:r>
    </w:p>
    <w:p w:rsidR="00E66315" w:rsidRDefault="00E66315" w:rsidP="008E0800">
      <w:pPr>
        <w:pStyle w:val="Akapitzlist"/>
        <w:numPr>
          <w:ilvl w:val="1"/>
          <w:numId w:val="20"/>
        </w:numPr>
      </w:pPr>
      <w:r>
        <w:t xml:space="preserve">Handel hurtowy — </w:t>
      </w:r>
      <w:r w:rsidR="00AE4AE7">
        <w:t>19,9</w:t>
      </w:r>
      <w:r w:rsidR="00AC5944">
        <w:t>%</w:t>
      </w:r>
      <w:r>
        <w:t>;</w:t>
      </w:r>
    </w:p>
    <w:p w:rsidR="00E66315" w:rsidRDefault="00E66315" w:rsidP="008E0800">
      <w:pPr>
        <w:pStyle w:val="Akapitzlist"/>
        <w:numPr>
          <w:ilvl w:val="1"/>
          <w:numId w:val="20"/>
        </w:numPr>
      </w:pPr>
      <w:r>
        <w:t xml:space="preserve">Handel detaliczny — </w:t>
      </w:r>
      <w:r w:rsidR="00AE4AE7">
        <w:t>21,4</w:t>
      </w:r>
      <w:r>
        <w:t>%;</w:t>
      </w:r>
    </w:p>
    <w:p w:rsidR="00AC5944" w:rsidRDefault="00AC5944" w:rsidP="00AC5944">
      <w:pPr>
        <w:pStyle w:val="Akapitzlist"/>
        <w:numPr>
          <w:ilvl w:val="0"/>
          <w:numId w:val="20"/>
        </w:numPr>
      </w:pPr>
      <w:r>
        <w:t>Wzrosną wolniej: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lastRenderedPageBreak/>
        <w:t>Przetwórstwo przemysłowe — 4</w:t>
      </w:r>
      <w:r w:rsidR="00AE4AE7">
        <w:t>5,2</w:t>
      </w:r>
      <w:r>
        <w:t>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Budownictwo — </w:t>
      </w:r>
      <w:r w:rsidR="00AE4AE7">
        <w:t>49,1</w:t>
      </w:r>
      <w:r>
        <w:t>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Usługi — </w:t>
      </w:r>
      <w:r w:rsidR="00AE4AE7">
        <w:t>49,4</w:t>
      </w:r>
      <w:r>
        <w:t>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Handel hurtowy — </w:t>
      </w:r>
      <w:r w:rsidR="00AE4AE7">
        <w:t>47,0</w:t>
      </w:r>
      <w:r>
        <w:t>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Handel detaliczny — </w:t>
      </w:r>
      <w:r w:rsidR="00AE4AE7">
        <w:t>45,6</w:t>
      </w:r>
      <w:r>
        <w:t>%;</w:t>
      </w:r>
    </w:p>
    <w:p w:rsidR="00AC5944" w:rsidRDefault="00AC5944" w:rsidP="00AC5944">
      <w:pPr>
        <w:pStyle w:val="Akapitzlist"/>
        <w:numPr>
          <w:ilvl w:val="0"/>
          <w:numId w:val="20"/>
        </w:numPr>
      </w:pPr>
      <w:r>
        <w:t>Ustabilizują się: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Przetwórstwo przemysłowe — </w:t>
      </w:r>
      <w:r w:rsidR="00AE4AE7">
        <w:t>33,1</w:t>
      </w:r>
      <w:r>
        <w:t>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>Budownictwo — 2</w:t>
      </w:r>
      <w:r w:rsidR="00AE4AE7">
        <w:t>0,8</w:t>
      </w:r>
      <w:r>
        <w:t>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>Usługi — 2</w:t>
      </w:r>
      <w:r w:rsidR="00AE4AE7">
        <w:t>7,4</w:t>
      </w:r>
      <w:r>
        <w:t>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Handel hurtowy — </w:t>
      </w:r>
      <w:r w:rsidR="00AE4AE7">
        <w:t>30,1</w:t>
      </w:r>
      <w:r>
        <w:t>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Handel detaliczny — </w:t>
      </w:r>
      <w:r w:rsidR="00AE4AE7">
        <w:t>27,1</w:t>
      </w:r>
      <w:r>
        <w:t>%;</w:t>
      </w:r>
    </w:p>
    <w:p w:rsidR="00AC5944" w:rsidRDefault="00AC5944" w:rsidP="00AC5944">
      <w:pPr>
        <w:pStyle w:val="Akapitzlist"/>
        <w:numPr>
          <w:ilvl w:val="0"/>
          <w:numId w:val="20"/>
        </w:numPr>
      </w:pPr>
      <w:r>
        <w:t>Spadną: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Przetwórstwo przemysłowe — </w:t>
      </w:r>
      <w:r w:rsidR="00AE4AE7">
        <w:t>4,9</w:t>
      </w:r>
      <w:r>
        <w:t>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Budownictwo — </w:t>
      </w:r>
      <w:r w:rsidR="00AE4AE7">
        <w:t>0,0</w:t>
      </w:r>
      <w:r>
        <w:t>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Usługi — </w:t>
      </w:r>
      <w:r w:rsidR="00AE4AE7">
        <w:t>0,6</w:t>
      </w:r>
      <w:r>
        <w:t>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Handel hurtowy — </w:t>
      </w:r>
      <w:r w:rsidR="00AE4AE7">
        <w:t>3,0</w:t>
      </w:r>
      <w:r>
        <w:t>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Handel detaliczny — </w:t>
      </w:r>
      <w:r w:rsidR="00AE4AE7">
        <w:t>5,9</w:t>
      </w:r>
      <w:r>
        <w:t>%;</w:t>
      </w:r>
    </w:p>
    <w:p w:rsidR="00A55EEA" w:rsidRDefault="00A55EEA" w:rsidP="00A55EEA">
      <w:pPr>
        <w:pStyle w:val="Nagwek2"/>
      </w:pPr>
      <w:r>
        <w:t>Czynniki, które w największym stopniu wpłyną na koszty funkcjonowania firm (przedsiębiorstwa przewidujące, że koszty funkcjonowania ich firm wzrosną lub spadną w okresie najbliższego kwartału)</w:t>
      </w:r>
    </w:p>
    <w:p w:rsidR="00A55EEA" w:rsidRDefault="00A55EEA" w:rsidP="00A55EEA">
      <w:pPr>
        <w:pStyle w:val="Akapitzlist"/>
        <w:numPr>
          <w:ilvl w:val="0"/>
          <w:numId w:val="21"/>
        </w:numPr>
      </w:pPr>
      <w:r>
        <w:t>Wzrost kosztów:</w:t>
      </w:r>
    </w:p>
    <w:p w:rsidR="00A55EEA" w:rsidRDefault="00A55EEA" w:rsidP="00A55EEA">
      <w:pPr>
        <w:pStyle w:val="Akapitzlist"/>
        <w:numPr>
          <w:ilvl w:val="1"/>
          <w:numId w:val="21"/>
        </w:numPr>
      </w:pPr>
      <w:r>
        <w:t>Ceny energii i paliw:</w:t>
      </w:r>
    </w:p>
    <w:p w:rsidR="00A55EEA" w:rsidRDefault="00A55EEA" w:rsidP="00A55EEA">
      <w:pPr>
        <w:pStyle w:val="Akapitzlist"/>
        <w:numPr>
          <w:ilvl w:val="2"/>
          <w:numId w:val="21"/>
        </w:numPr>
      </w:pPr>
      <w:r>
        <w:t xml:space="preserve">Przetwórstwo przemysłowe </w:t>
      </w:r>
      <w:r w:rsidR="00232873">
        <w:t>–</w:t>
      </w:r>
      <w:r>
        <w:t xml:space="preserve"> </w:t>
      </w:r>
      <w:r w:rsidR="00232873">
        <w:t>80,0</w:t>
      </w:r>
      <w:r>
        <w:t>%;</w:t>
      </w:r>
    </w:p>
    <w:p w:rsidR="00A55EEA" w:rsidRDefault="00A55EEA" w:rsidP="00A55EEA">
      <w:pPr>
        <w:pStyle w:val="Akapitzlist"/>
        <w:numPr>
          <w:ilvl w:val="2"/>
          <w:numId w:val="21"/>
        </w:numPr>
      </w:pPr>
      <w:r>
        <w:t xml:space="preserve">Budownictwo </w:t>
      </w:r>
      <w:r w:rsidR="00232873">
        <w:t>–</w:t>
      </w:r>
      <w:r>
        <w:t xml:space="preserve"> </w:t>
      </w:r>
      <w:r w:rsidR="00232873">
        <w:t>93,3</w:t>
      </w:r>
      <w:r>
        <w:t>%;</w:t>
      </w:r>
    </w:p>
    <w:p w:rsidR="00A55EEA" w:rsidRDefault="00A55EEA" w:rsidP="00A55EEA">
      <w:pPr>
        <w:pStyle w:val="Akapitzlist"/>
        <w:numPr>
          <w:ilvl w:val="2"/>
          <w:numId w:val="21"/>
        </w:numPr>
      </w:pPr>
      <w:r>
        <w:t xml:space="preserve">Handel hurtowy </w:t>
      </w:r>
      <w:r w:rsidR="00232873">
        <w:t>–</w:t>
      </w:r>
      <w:r>
        <w:t xml:space="preserve"> </w:t>
      </w:r>
      <w:r w:rsidR="00232873">
        <w:t>82,4</w:t>
      </w:r>
      <w:r>
        <w:t>%;</w:t>
      </w:r>
    </w:p>
    <w:p w:rsidR="00A55EEA" w:rsidRDefault="00A55EEA" w:rsidP="00A55EEA">
      <w:pPr>
        <w:pStyle w:val="Akapitzlist"/>
        <w:numPr>
          <w:ilvl w:val="2"/>
          <w:numId w:val="21"/>
        </w:numPr>
      </w:pPr>
      <w:r>
        <w:t xml:space="preserve">Handel detaliczny </w:t>
      </w:r>
      <w:r w:rsidR="00232873">
        <w:t>–</w:t>
      </w:r>
      <w:r>
        <w:t xml:space="preserve"> </w:t>
      </w:r>
      <w:r w:rsidR="00232873">
        <w:t>73,7%</w:t>
      </w:r>
      <w:r>
        <w:t>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>
        <w:t>91,2</w:t>
      </w:r>
      <w:r>
        <w:t>%;</w:t>
      </w:r>
    </w:p>
    <w:p w:rsidR="00A55EEA" w:rsidRDefault="00A55EEA" w:rsidP="00A55EEA">
      <w:pPr>
        <w:pStyle w:val="Akapitzlist"/>
        <w:numPr>
          <w:ilvl w:val="1"/>
          <w:numId w:val="21"/>
        </w:numPr>
      </w:pPr>
      <w:r>
        <w:t>Ceny czynszu, najmu lokali, itp.: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>
        <w:t>43,2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>
        <w:t>46,6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>
        <w:t>54,2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>
        <w:t>71,7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>
        <w:t>50,9</w:t>
      </w:r>
      <w:r>
        <w:t>%;</w:t>
      </w:r>
    </w:p>
    <w:p w:rsidR="00A55EEA" w:rsidRDefault="00A55EEA" w:rsidP="00A55EEA">
      <w:pPr>
        <w:pStyle w:val="Akapitzlist"/>
        <w:numPr>
          <w:ilvl w:val="1"/>
          <w:numId w:val="21"/>
        </w:numPr>
      </w:pPr>
      <w:r>
        <w:t>Ceny komponentów i usług: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>
        <w:t>62,3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>
        <w:t>73,7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>
        <w:t>59,9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lastRenderedPageBreak/>
        <w:t xml:space="preserve">Handel detaliczny – </w:t>
      </w:r>
      <w:r>
        <w:t>52,8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>
        <w:t>64,2</w:t>
      </w:r>
      <w:r>
        <w:t>%;</w:t>
      </w:r>
    </w:p>
    <w:p w:rsidR="00A55EEA" w:rsidRDefault="00A55EEA" w:rsidP="00A55EEA">
      <w:pPr>
        <w:pStyle w:val="Akapitzlist"/>
        <w:numPr>
          <w:ilvl w:val="1"/>
          <w:numId w:val="21"/>
        </w:numPr>
      </w:pPr>
      <w:r>
        <w:t>Koszty zatrudnienia: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>
        <w:t>88,9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>
        <w:t>93,7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>
        <w:t>84,2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>
        <w:t>89,3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>
        <w:t>83,8</w:t>
      </w:r>
      <w:r>
        <w:t>%;</w:t>
      </w:r>
    </w:p>
    <w:p w:rsidR="00A55EEA" w:rsidRDefault="00A55EEA" w:rsidP="00A55EEA">
      <w:pPr>
        <w:pStyle w:val="Akapitzlist"/>
        <w:numPr>
          <w:ilvl w:val="1"/>
          <w:numId w:val="21"/>
        </w:numPr>
      </w:pPr>
      <w:r>
        <w:t>Ceny importu bezpośredniego: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>
        <w:t>33,3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>
        <w:t>24,6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>
        <w:t>31,6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>
        <w:t>21,5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>
        <w:t>20,2</w:t>
      </w:r>
      <w:r>
        <w:t>%;</w:t>
      </w:r>
    </w:p>
    <w:p w:rsidR="00A55EEA" w:rsidRDefault="00A55EEA" w:rsidP="00A55EEA">
      <w:pPr>
        <w:pStyle w:val="Akapitzlist"/>
        <w:numPr>
          <w:ilvl w:val="1"/>
          <w:numId w:val="21"/>
        </w:numPr>
      </w:pPr>
      <w:r>
        <w:t>Zmiany w przepisach i wymogach prawnych: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Przetwórstwo przemysłowe – 4</w:t>
      </w:r>
      <w:r>
        <w:t>5,2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>
        <w:t>66,4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>
        <w:t>47,1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>
        <w:t>46,7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>
        <w:t>44,7</w:t>
      </w:r>
      <w:r>
        <w:t>%;</w:t>
      </w:r>
    </w:p>
    <w:p w:rsidR="00232873" w:rsidRDefault="00A55EEA" w:rsidP="00A55EEA">
      <w:pPr>
        <w:pStyle w:val="Akapitzlist"/>
        <w:numPr>
          <w:ilvl w:val="1"/>
          <w:numId w:val="21"/>
        </w:numPr>
      </w:pPr>
      <w:r>
        <w:t>Koszty finansowania (kredyty, pożyczki, itp.):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>
        <w:t>35,4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>
        <w:t>50,0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>
        <w:t>42,7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>
        <w:t>39,5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>
        <w:t>31,5</w:t>
      </w:r>
      <w:r>
        <w:t>%;</w:t>
      </w:r>
    </w:p>
    <w:p w:rsidR="00A55EEA" w:rsidRDefault="00232873" w:rsidP="00232873">
      <w:pPr>
        <w:pStyle w:val="Akapitzlist"/>
        <w:numPr>
          <w:ilvl w:val="1"/>
          <w:numId w:val="21"/>
        </w:numPr>
      </w:pPr>
      <w:r>
        <w:t>Inne: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>
        <w:t>20,3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>
        <w:t>30,3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>
        <w:t>24,7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>
        <w:t>19,7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>
        <w:t>19,3</w:t>
      </w:r>
      <w:r>
        <w:t>%;</w:t>
      </w:r>
    </w:p>
    <w:p w:rsidR="00232873" w:rsidRDefault="00232873" w:rsidP="00232873">
      <w:pPr>
        <w:pStyle w:val="Akapitzlist"/>
        <w:numPr>
          <w:ilvl w:val="0"/>
          <w:numId w:val="21"/>
        </w:numPr>
      </w:pPr>
      <w:r>
        <w:t>Spadek</w:t>
      </w:r>
      <w:r>
        <w:t xml:space="preserve"> kosztów: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Ceny energii i paliw: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B36D35">
        <w:t>9,4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B36D35">
        <w:t>1,9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B36D35">
        <w:t>4,3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B36D35">
        <w:t>1,0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B36D35">
        <w:t>1,7</w:t>
      </w:r>
      <w:r>
        <w:t>%;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Ceny czynszu, najmu lokali, itp.: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B36D35">
        <w:t>2,9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lastRenderedPageBreak/>
        <w:t xml:space="preserve">Budownictwo – </w:t>
      </w:r>
      <w:r w:rsidR="00B36D35">
        <w:t>12,0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B36D35">
        <w:t>4,3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B36D35">
        <w:t>0</w:t>
      </w:r>
      <w:r>
        <w:t>,9%;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Usługi – 0,</w:t>
      </w:r>
      <w:r w:rsidR="00B36D35">
        <w:t>3</w:t>
      </w:r>
      <w:r>
        <w:t>%;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Ceny komponentów i usług: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Przetwórstwo przemysłowe – 4,</w:t>
      </w:r>
      <w:r w:rsidR="00B36D35">
        <w:t>6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Budownictwo – 0,</w:t>
      </w:r>
      <w:r w:rsidR="00B36D35">
        <w:t>6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B36D35">
        <w:t>5,4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B36D35">
        <w:t>0,3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Usługi – 0,</w:t>
      </w:r>
      <w:r w:rsidR="00B36D35">
        <w:t>0</w:t>
      </w:r>
      <w:r>
        <w:t>%;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Koszty zatrudnienia: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B36D35">
        <w:t>2,3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Budownictwo – 0,</w:t>
      </w:r>
      <w:r w:rsidR="00B36D35">
        <w:t>6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B36D35">
        <w:t>0</w:t>
      </w:r>
      <w:r>
        <w:t>,0%;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B36D35">
        <w:t>0,3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Usługi – 0,</w:t>
      </w:r>
      <w:r w:rsidR="00B36D35">
        <w:t>0</w:t>
      </w:r>
      <w:r>
        <w:t>%;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Ceny importu bezpośredniego: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B36D35">
        <w:t>8,2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B36D35">
        <w:t>16,3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B36D35">
        <w:t>7,6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B36D35">
        <w:t>2,9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B36D35">
        <w:t>1,3</w:t>
      </w:r>
      <w:r>
        <w:t>%;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Zmiany w przepisach i wymogach prawnych: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B36D35">
        <w:t>0,0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B36D35">
        <w:t>1,2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B36D35">
        <w:t>0</w:t>
      </w:r>
      <w:r>
        <w:t>,0%;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B36D35">
        <w:t>1,4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Usługi – 0,</w:t>
      </w:r>
      <w:r w:rsidR="00B36D35">
        <w:t>3</w:t>
      </w:r>
      <w:r>
        <w:t>%;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Koszty finansowania (kredyty, pożyczki, itp.):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B36D35">
        <w:t>8,2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B36D35">
        <w:t>6,9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B36D35">
        <w:t>10,2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B36D35">
        <w:t>1,3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B36D35">
        <w:t>9,9</w:t>
      </w:r>
      <w:r>
        <w:t>%;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Inne: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B36D35">
        <w:t>2,7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B36D35">
        <w:t>6,9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B36D35">
        <w:t>5,4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B36D35">
        <w:t>2,3</w:t>
      </w:r>
      <w:r>
        <w:t>%;</w:t>
      </w:r>
    </w:p>
    <w:p w:rsidR="00232873" w:rsidRPr="00A55EEA" w:rsidRDefault="00232873" w:rsidP="00232873">
      <w:pPr>
        <w:pStyle w:val="Akapitzlist"/>
        <w:numPr>
          <w:ilvl w:val="2"/>
          <w:numId w:val="21"/>
        </w:numPr>
      </w:pPr>
      <w:r>
        <w:t>Usługi – 0,</w:t>
      </w:r>
      <w:r w:rsidR="00B36D35">
        <w:t>9</w:t>
      </w:r>
      <w:r>
        <w:t>%</w:t>
      </w:r>
      <w:r>
        <w:t>.</w:t>
      </w:r>
    </w:p>
    <w:p w:rsidR="00E749BD" w:rsidRDefault="00E749BD" w:rsidP="00E749BD">
      <w:pPr>
        <w:pStyle w:val="Nagwek2"/>
      </w:pPr>
      <w:r>
        <w:lastRenderedPageBreak/>
        <w:t>Wpływ wojny na Ukrainie</w:t>
      </w:r>
    </w:p>
    <w:p w:rsidR="000E1C2B" w:rsidRPr="000E1C2B" w:rsidRDefault="00E66315" w:rsidP="000E1C2B">
      <w:r>
        <w:t>N</w:t>
      </w:r>
      <w:r w:rsidR="000E1C2B" w:rsidRPr="000E1C2B">
        <w:t>egatywne skutki wojny i jej konsekwencje w bieżącym miesiącu dla przedsiębiorstw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Przetwórstwo przemysłowe: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Brak negatywnych skutków — </w:t>
      </w:r>
      <w:r w:rsidR="005D5547">
        <w:t>43,6</w:t>
      </w:r>
      <w:r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Nieznaczne — </w:t>
      </w:r>
      <w:r w:rsidR="005D5547">
        <w:t>44,8</w:t>
      </w:r>
      <w:r w:rsidR="00A25CA2">
        <w:t>%</w:t>
      </w:r>
      <w:r>
        <w:t>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Poważne — </w:t>
      </w:r>
      <w:r w:rsidR="005D5547">
        <w:t>9,6</w:t>
      </w:r>
      <w:r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Zagrażające stabilności firmy — </w:t>
      </w:r>
      <w:r w:rsidR="005D5547">
        <w:t>2</w:t>
      </w:r>
      <w:r w:rsidR="00AC5944">
        <w:t>,0</w:t>
      </w:r>
      <w:r>
        <w:t>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Budownictwo: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Brak negatywnych skutków — </w:t>
      </w:r>
      <w:r w:rsidR="005D5547">
        <w:t>40,8</w:t>
      </w:r>
      <w:r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Nieznaczne — </w:t>
      </w:r>
      <w:r w:rsidR="005D5547">
        <w:t>44,5</w:t>
      </w:r>
      <w:r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Poważne — </w:t>
      </w:r>
      <w:r w:rsidR="005D5547">
        <w:t>8,3</w:t>
      </w:r>
      <w:r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Zagrażające stabilności firmy — </w:t>
      </w:r>
      <w:r w:rsidR="005D5547">
        <w:t>6,4</w:t>
      </w:r>
      <w:r>
        <w:t>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Handel hurtowy: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Brak negatywnych skutków — </w:t>
      </w:r>
      <w:r w:rsidR="005D5547">
        <w:t>30,6</w:t>
      </w:r>
      <w:r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Nieznaczne — </w:t>
      </w:r>
      <w:r w:rsidR="00A25CA2">
        <w:t>4</w:t>
      </w:r>
      <w:r w:rsidR="005D5547">
        <w:t>6,2</w:t>
      </w:r>
      <w:r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Poważne — </w:t>
      </w:r>
      <w:r w:rsidR="005D5547">
        <w:t>16,2</w:t>
      </w:r>
      <w:r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Zagrażające stabilności firmy — </w:t>
      </w:r>
      <w:r w:rsidR="005D5547">
        <w:t>7,0</w:t>
      </w:r>
      <w:r>
        <w:t>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Handel detaliczny: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Brak negatywnych skutków — </w:t>
      </w:r>
      <w:r w:rsidR="005D5547">
        <w:t>32,5</w:t>
      </w:r>
      <w:r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Nieznaczne — </w:t>
      </w:r>
      <w:r w:rsidR="005D5547">
        <w:t>48,5</w:t>
      </w:r>
      <w:r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Poważne — </w:t>
      </w:r>
      <w:r w:rsidR="00AC5944">
        <w:t>1</w:t>
      </w:r>
      <w:r w:rsidR="005D5547">
        <w:t>1,3</w:t>
      </w:r>
      <w:r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Zagrażające stabilności firmy — </w:t>
      </w:r>
      <w:r w:rsidR="005D5547">
        <w:t>7,7</w:t>
      </w:r>
      <w:r>
        <w:t>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Usługi: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Brak negatywnych skutków — </w:t>
      </w:r>
      <w:r w:rsidR="005D5547">
        <w:t>44,9</w:t>
      </w:r>
      <w:r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Nieznaczne — </w:t>
      </w:r>
      <w:r w:rsidR="005D5547">
        <w:t>45,8</w:t>
      </w:r>
      <w:r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Poważne — </w:t>
      </w:r>
      <w:r w:rsidR="005D5547">
        <w:t>6,3</w:t>
      </w:r>
      <w:r>
        <w:t>%;</w:t>
      </w:r>
    </w:p>
    <w:p w:rsidR="00E749BD" w:rsidRPr="00E749BD" w:rsidRDefault="00E749BD" w:rsidP="00E749BD">
      <w:pPr>
        <w:pStyle w:val="Akapitzlist"/>
        <w:numPr>
          <w:ilvl w:val="1"/>
          <w:numId w:val="18"/>
        </w:numPr>
      </w:pPr>
      <w:r>
        <w:t xml:space="preserve">Zagrażające stabilności firmy — </w:t>
      </w:r>
      <w:r w:rsidR="005D5547">
        <w:t>3,0</w:t>
      </w:r>
      <w:r>
        <w:t>%</w:t>
      </w:r>
      <w:r w:rsidR="00E66315">
        <w:t>.</w:t>
      </w:r>
    </w:p>
    <w:p w:rsidR="003508D2" w:rsidRDefault="003508D2" w:rsidP="003508D2">
      <w:pPr>
        <w:pStyle w:val="Nagwek2"/>
      </w:pPr>
      <w:r>
        <w:t>Dolny pasek w infografice</w:t>
      </w:r>
    </w:p>
    <w:p w:rsidR="00E749BD" w:rsidRDefault="00E749BD" w:rsidP="00E749BD">
      <w:r>
        <w:t xml:space="preserve">Więcej do przeczytania w informacji sygnalnej „Koniunktura gospodarcza, opinie formułowane </w:t>
      </w:r>
    </w:p>
    <w:p w:rsidR="00642DB5" w:rsidRDefault="00E749BD" w:rsidP="003508D2">
      <w:r>
        <w:t xml:space="preserve">przez jednostki z siedzibą w województwie Lubelskim – </w:t>
      </w:r>
      <w:r w:rsidR="00642DB5">
        <w:t>styczeń</w:t>
      </w:r>
      <w:r>
        <w:t xml:space="preserve"> 202</w:t>
      </w:r>
      <w:r w:rsidR="00642DB5">
        <w:t>4</w:t>
      </w:r>
      <w:r>
        <w:t xml:space="preserve"> rok”</w:t>
      </w:r>
      <w:r w:rsidR="000F2650">
        <w:t>. L</w:t>
      </w:r>
      <w:r>
        <w:t>ink</w:t>
      </w:r>
      <w:r w:rsidR="000F2650">
        <w:t xml:space="preserve"> </w:t>
      </w:r>
      <w:hyperlink r:id="rId5" w:history="1">
        <w:r w:rsidR="00642DB5">
          <w:rPr>
            <w:rStyle w:val="Hipercze"/>
          </w:rPr>
          <w:t>Urząd Statystyczny w Lublinie / Opracowania bieżące / Opracowania sygnalne / Inne opracowania / Koniunktura gospodarcza w województwie lubelskim - styczeń 2024 r.</w:t>
        </w:r>
      </w:hyperlink>
    </w:p>
    <w:p w:rsidR="003508D2" w:rsidRDefault="003508D2" w:rsidP="003508D2">
      <w:r>
        <w:t>Dane: Urząd Statystyczny w Lublinie</w:t>
      </w:r>
    </w:p>
    <w:p w:rsidR="003508D2" w:rsidRDefault="003508D2" w:rsidP="003508D2">
      <w:r>
        <w:t>Opracowanie: Lubelski Ośrodek Badań Regionalnych</w:t>
      </w:r>
    </w:p>
    <w:p w:rsidR="003508D2" w:rsidRDefault="003508D2" w:rsidP="003508D2">
      <w:r>
        <w:t>Prosimy o podanie źródła przy publikowaniu danych Urzędu Statystycznego w Lublinie</w:t>
      </w:r>
    </w:p>
    <w:p w:rsidR="003508D2" w:rsidRDefault="003508D2" w:rsidP="003508D2">
      <w:r>
        <w:t xml:space="preserve">Adresy </w:t>
      </w:r>
      <w:proofErr w:type="spellStart"/>
      <w:r>
        <w:t>social</w:t>
      </w:r>
      <w:proofErr w:type="spellEnd"/>
      <w:r>
        <w:t xml:space="preserve"> mediów Urzędu Statystycznego w Lublinie:</w:t>
      </w:r>
    </w:p>
    <w:p w:rsidR="003508D2" w:rsidRDefault="003508D2" w:rsidP="003508D2">
      <w:pPr>
        <w:pStyle w:val="Akapitzlist"/>
        <w:numPr>
          <w:ilvl w:val="0"/>
          <w:numId w:val="1"/>
        </w:numPr>
      </w:pPr>
      <w:r>
        <w:t xml:space="preserve">Facebook </w:t>
      </w:r>
      <w:hyperlink r:id="rId6" w:history="1">
        <w:r w:rsidRPr="0067650E">
          <w:rPr>
            <w:rStyle w:val="Hipercze"/>
          </w:rPr>
          <w:t>https://www.facebook.com/UrzadStatystycznyLublin/</w:t>
        </w:r>
      </w:hyperlink>
      <w:r>
        <w:t xml:space="preserve"> </w:t>
      </w:r>
    </w:p>
    <w:p w:rsidR="003508D2" w:rsidRDefault="005B4C30" w:rsidP="003508D2">
      <w:pPr>
        <w:pStyle w:val="Akapitzlist"/>
        <w:numPr>
          <w:ilvl w:val="0"/>
          <w:numId w:val="1"/>
        </w:numPr>
      </w:pPr>
      <w:r>
        <w:lastRenderedPageBreak/>
        <w:t>Platforma X</w:t>
      </w:r>
      <w:r w:rsidR="003508D2">
        <w:t xml:space="preserve"> </w:t>
      </w:r>
      <w:hyperlink r:id="rId7" w:history="1">
        <w:r w:rsidR="003508D2" w:rsidRPr="0067650E">
          <w:rPr>
            <w:rStyle w:val="Hipercze"/>
          </w:rPr>
          <w:t>https://twitter.com/Lublin_STAT</w:t>
        </w:r>
      </w:hyperlink>
      <w:r w:rsidR="003508D2">
        <w:t xml:space="preserve"> </w:t>
      </w:r>
    </w:p>
    <w:p w:rsidR="003508D2" w:rsidRDefault="003508D2" w:rsidP="003508D2">
      <w:r>
        <w:t xml:space="preserve">Link na stronę internetową Urzędu Statystycznego w Lublinie </w:t>
      </w:r>
      <w:hyperlink r:id="rId8" w:history="1">
        <w:r w:rsidRPr="0067650E">
          <w:rPr>
            <w:rStyle w:val="Hipercze"/>
          </w:rPr>
          <w:t>https://lublin.stat.gov.pl/</w:t>
        </w:r>
      </w:hyperlink>
      <w:r>
        <w:t xml:space="preserve"> </w:t>
      </w:r>
    </w:p>
    <w:p w:rsidR="003508D2" w:rsidRPr="00E877BA" w:rsidRDefault="003508D2" w:rsidP="003508D2"/>
    <w:p w:rsidR="000D04A8" w:rsidRDefault="000D04A8"/>
    <w:sectPr w:rsidR="000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00AB5"/>
    <w:multiLevelType w:val="hybridMultilevel"/>
    <w:tmpl w:val="FA009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17F4D"/>
    <w:multiLevelType w:val="hybridMultilevel"/>
    <w:tmpl w:val="05108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15A9F"/>
    <w:multiLevelType w:val="hybridMultilevel"/>
    <w:tmpl w:val="7CAEB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C7F92"/>
    <w:multiLevelType w:val="hybridMultilevel"/>
    <w:tmpl w:val="C36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F5954"/>
    <w:multiLevelType w:val="hybridMultilevel"/>
    <w:tmpl w:val="50543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11D7B"/>
    <w:multiLevelType w:val="hybridMultilevel"/>
    <w:tmpl w:val="77FED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23600"/>
    <w:multiLevelType w:val="hybridMultilevel"/>
    <w:tmpl w:val="AE14C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36564"/>
    <w:multiLevelType w:val="hybridMultilevel"/>
    <w:tmpl w:val="134EE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07A8F"/>
    <w:multiLevelType w:val="hybridMultilevel"/>
    <w:tmpl w:val="FFCCF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83FC0"/>
    <w:multiLevelType w:val="hybridMultilevel"/>
    <w:tmpl w:val="FA88C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65C79"/>
    <w:multiLevelType w:val="hybridMultilevel"/>
    <w:tmpl w:val="CEBCB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50B7F"/>
    <w:multiLevelType w:val="hybridMultilevel"/>
    <w:tmpl w:val="681A0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00500"/>
    <w:multiLevelType w:val="hybridMultilevel"/>
    <w:tmpl w:val="E1F28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75D20"/>
    <w:multiLevelType w:val="hybridMultilevel"/>
    <w:tmpl w:val="97506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1DAB"/>
    <w:multiLevelType w:val="hybridMultilevel"/>
    <w:tmpl w:val="CD363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F7483"/>
    <w:multiLevelType w:val="hybridMultilevel"/>
    <w:tmpl w:val="091E4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076A0"/>
    <w:multiLevelType w:val="hybridMultilevel"/>
    <w:tmpl w:val="95AE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D3211"/>
    <w:multiLevelType w:val="hybridMultilevel"/>
    <w:tmpl w:val="CA7EE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72819"/>
    <w:multiLevelType w:val="hybridMultilevel"/>
    <w:tmpl w:val="E6FE3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148E3"/>
    <w:multiLevelType w:val="hybridMultilevel"/>
    <w:tmpl w:val="E0E2E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472B9"/>
    <w:multiLevelType w:val="hybridMultilevel"/>
    <w:tmpl w:val="D4BE3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7"/>
  </w:num>
  <w:num w:numId="5">
    <w:abstractNumId w:val="16"/>
  </w:num>
  <w:num w:numId="6">
    <w:abstractNumId w:val="4"/>
  </w:num>
  <w:num w:numId="7">
    <w:abstractNumId w:val="19"/>
  </w:num>
  <w:num w:numId="8">
    <w:abstractNumId w:val="5"/>
  </w:num>
  <w:num w:numId="9">
    <w:abstractNumId w:val="14"/>
  </w:num>
  <w:num w:numId="10">
    <w:abstractNumId w:val="1"/>
  </w:num>
  <w:num w:numId="11">
    <w:abstractNumId w:val="6"/>
  </w:num>
  <w:num w:numId="12">
    <w:abstractNumId w:val="9"/>
  </w:num>
  <w:num w:numId="13">
    <w:abstractNumId w:val="12"/>
  </w:num>
  <w:num w:numId="14">
    <w:abstractNumId w:val="20"/>
  </w:num>
  <w:num w:numId="15">
    <w:abstractNumId w:val="13"/>
  </w:num>
  <w:num w:numId="16">
    <w:abstractNumId w:val="8"/>
  </w:num>
  <w:num w:numId="17">
    <w:abstractNumId w:val="11"/>
  </w:num>
  <w:num w:numId="18">
    <w:abstractNumId w:val="0"/>
  </w:num>
  <w:num w:numId="19">
    <w:abstractNumId w:val="18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2"/>
    <w:rsid w:val="000D04A8"/>
    <w:rsid w:val="000E1C2B"/>
    <w:rsid w:val="000F2650"/>
    <w:rsid w:val="001A5B8E"/>
    <w:rsid w:val="001B2C72"/>
    <w:rsid w:val="001D7ADC"/>
    <w:rsid w:val="001F5FF2"/>
    <w:rsid w:val="00232873"/>
    <w:rsid w:val="003508D2"/>
    <w:rsid w:val="003653EE"/>
    <w:rsid w:val="00447BB7"/>
    <w:rsid w:val="004A5E71"/>
    <w:rsid w:val="004C2548"/>
    <w:rsid w:val="004C3F25"/>
    <w:rsid w:val="004F0AD7"/>
    <w:rsid w:val="00552F58"/>
    <w:rsid w:val="005A0E18"/>
    <w:rsid w:val="005B4C30"/>
    <w:rsid w:val="005D5547"/>
    <w:rsid w:val="005D7340"/>
    <w:rsid w:val="0060617C"/>
    <w:rsid w:val="00612B8D"/>
    <w:rsid w:val="00642DB5"/>
    <w:rsid w:val="00694A44"/>
    <w:rsid w:val="00782CBC"/>
    <w:rsid w:val="00807D8A"/>
    <w:rsid w:val="00815241"/>
    <w:rsid w:val="008E0800"/>
    <w:rsid w:val="008E6E1A"/>
    <w:rsid w:val="009774E3"/>
    <w:rsid w:val="00993A0E"/>
    <w:rsid w:val="009D3B28"/>
    <w:rsid w:val="00A0138B"/>
    <w:rsid w:val="00A22F89"/>
    <w:rsid w:val="00A25CA2"/>
    <w:rsid w:val="00A55EEA"/>
    <w:rsid w:val="00AC5944"/>
    <w:rsid w:val="00AE4AE7"/>
    <w:rsid w:val="00B36D35"/>
    <w:rsid w:val="00B47BDC"/>
    <w:rsid w:val="00C67AA2"/>
    <w:rsid w:val="00CA2854"/>
    <w:rsid w:val="00CA5A50"/>
    <w:rsid w:val="00E02D2F"/>
    <w:rsid w:val="00E166AD"/>
    <w:rsid w:val="00E50B3A"/>
    <w:rsid w:val="00E66315"/>
    <w:rsid w:val="00E749BD"/>
    <w:rsid w:val="00E9258D"/>
    <w:rsid w:val="00EF27DD"/>
    <w:rsid w:val="00EF5235"/>
    <w:rsid w:val="00F9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89B7"/>
  <w15:chartTrackingRefBased/>
  <w15:docId w15:val="{4CE4F26C-E9A2-4A32-97CF-13EE029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8D2"/>
    <w:pPr>
      <w:spacing w:after="0" w:line="360" w:lineRule="auto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3A"/>
    <w:pPr>
      <w:keepNext/>
      <w:keepLines/>
      <w:outlineLvl w:val="0"/>
    </w:pPr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D2"/>
    <w:pPr>
      <w:keepNext/>
      <w:keepLines/>
      <w:spacing w:before="600" w:after="240"/>
      <w:outlineLvl w:val="1"/>
    </w:pPr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3A"/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08D2"/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350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4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lin.stat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itter.com/Lublin_ST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UrzadStatystycznyLublin/" TargetMode="External"/><Relationship Id="rId5" Type="http://schemas.openxmlformats.org/officeDocument/2006/relationships/hyperlink" Target="https://lublin.stat.gov.pl/opracowania-biezace/opracowania-sygnalne/inne-opracowania/koniunktura-gospodarcza-w-wojewodztwie-lubelskim-styczen-2024-r-,3,169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6</Pages>
  <Words>900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Koniunktura gospodarcza w województwie lubelskim w październiku 2023 roku (infografika) – opis alternatywny</vt:lpstr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gospodarcza w województwie lubelskim w styczniu 2024 roku (infografika) – opis alternatywny</dc:title>
  <dc:subject/>
  <dc:creator>Szymkiewicz Szymon</dc:creator>
  <cp:keywords/>
  <dc:description/>
  <cp:lastModifiedBy>Szymkiewicz Szymon</cp:lastModifiedBy>
  <cp:revision>28</cp:revision>
  <dcterms:created xsi:type="dcterms:W3CDTF">2023-06-14T09:24:00Z</dcterms:created>
  <dcterms:modified xsi:type="dcterms:W3CDTF">2024-01-31T13:40:00Z</dcterms:modified>
</cp:coreProperties>
</file>