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1DE87" w14:textId="77777777" w:rsidR="00C12C30" w:rsidRPr="00C12C30" w:rsidRDefault="00C12C30" w:rsidP="00C12C30">
      <w:pPr>
        <w:widowControl w:val="0"/>
        <w:spacing w:before="120" w:after="120" w:line="240" w:lineRule="auto"/>
        <w:rPr>
          <w:rFonts w:ascii="Fira Sans" w:eastAsia="Times New Roman" w:hAnsi="Fira Sans" w:cs="Times New Roman"/>
          <w:lang w:eastAsia="pl-PL"/>
        </w:rPr>
      </w:pPr>
      <w:r w:rsidRPr="00C12C30">
        <w:rPr>
          <w:rFonts w:ascii="Fira Sans" w:eastAsia="Times New Roman" w:hAnsi="Fira Sans" w:cs="Times New Roman"/>
          <w:lang w:eastAsia="pl-PL"/>
        </w:rPr>
        <w:t>Rynek pracy w grudniu 2023 r. – opis alternatywny</w:t>
      </w:r>
    </w:p>
    <w:p w14:paraId="03029293" w14:textId="77777777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Infografika pokazuje wybrane zagadnienia dotyczące rynku pracy w województwie mazowieckim i Warszawie w grudniu 2023 r. </w:t>
      </w:r>
    </w:p>
    <w:p w14:paraId="14BDC75B" w14:textId="77777777" w:rsidR="00C12C30" w:rsidRPr="00C12C30" w:rsidRDefault="00C12C30" w:rsidP="00C12C30">
      <w:pPr>
        <w:spacing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Tytuł infografiki</w:t>
      </w:r>
    </w:p>
    <w:p w14:paraId="4F959925" w14:textId="77777777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Rynek pracy w grudniu 2023 r.; dane dla województwa mazowieckiego i Warszawy</w:t>
      </w:r>
    </w:p>
    <w:p w14:paraId="3920FBEE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Logotyp Urzędu Statystycznego w Warszawie przedstawiający dwa koła nachodzące na siebie pionowo znajduje się u góry strony po lewej stronie wraz z adresami strony internetowej warszawa.stat.gov.pl i kontem do serwisu X (dawniej Twitter) @</w:t>
      </w:r>
      <w:proofErr w:type="spellStart"/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Warszawa_STAT</w:t>
      </w:r>
      <w:proofErr w:type="spellEnd"/>
    </w:p>
    <w:p w14:paraId="5A5AECCD" w14:textId="1030D70E" w:rsidR="00DB70AD" w:rsidRDefault="00C12C30" w:rsidP="00DB70A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Po prawej stronie infografi</w:t>
      </w:r>
      <w:r w:rsidR="00755A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ki znajduje się informacja, że </w:t>
      </w:r>
      <w:bookmarkStart w:id="0" w:name="_GoBack"/>
      <w:bookmarkEnd w:id="0"/>
      <w:r w:rsidR="00DB70A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1/4 bezrobotnych mężczyzn w Warszawie </w:t>
      </w:r>
      <w:r w:rsidR="0090533C">
        <w:rPr>
          <w:rFonts w:ascii="Fira Sans" w:eastAsia="Times New Roman" w:hAnsi="Fira Sans" w:cs="Times New Roman"/>
          <w:sz w:val="19"/>
          <w:szCs w:val="19"/>
          <w:lang w:eastAsia="pl-PL"/>
        </w:rPr>
        <w:t>miała wykształcenie wyższe</w:t>
      </w:r>
      <w:r w:rsidR="00DB70AD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7455100" w14:textId="6D3B5A73" w:rsidR="00C12C30" w:rsidRPr="00C12C30" w:rsidRDefault="00C12C30" w:rsidP="00DB70A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Grafika 1. Przeciętne zatrudnienie i przeciętne miesięczne wynagrodzenie brutto w sektorze przedsiębiorstw (w przedsiębiorstwach, w których liczba pracujących przekracza 9 osób)</w:t>
      </w:r>
    </w:p>
    <w:p w14:paraId="29414378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Po lewej stronie infografiki podano wartości przeciętnego zatrudnienia</w:t>
      </w:r>
      <w:r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 grudniu 2023 r., które w województwie mazowieckim wyniosło 1595 tysięcy osób, a w Warszawie 1139 tysięcy osób. Zarówno w województwie mazowieckim, jak i w Warszawie przeciętne zatrudnienie wzrosło w stosunku do grudnia 2022 roku.</w:t>
      </w:r>
    </w:p>
    <w:p w14:paraId="47C61D99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Następnie przedstawiona jest grafika dotycząca przeciętnego zatrudnienia i wynagrodzenia w województwie i w Warszawie oraz sekcje, w których zatrudnienie i wynagrodzenie wzrosło najbardziej. Największy wzrost zatrudnienia w województwie odnotowano w obsłudze rynku nieruchomości (o 5%), zakwaterowaniu i gastronomii oraz działalności profesjonalnej, naukowej i technicznej (po 4%),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 w Warszawie w budownictwie (o 5%), działalności profesjonalnej, naukowej i technicznej (o 4%) oraz informacji i komunikacji (o 3%).</w:t>
      </w:r>
    </w:p>
    <w:p w14:paraId="166A499B" w14:textId="2DD00A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Największy wzrost jeśli chodzi o przeciętne wynagrodzenie w województwie odnotowano w zakwaterowaniu i gastronomii (o 16%),</w:t>
      </w:r>
      <w:r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przemyśle oraz  administrowaniu i działalności wspierającej (po</w:t>
      </w:r>
      <w:r w:rsidR="0092053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13%)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a w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Warszawie</w:t>
      </w:r>
      <w:r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w przemyśle oraz</w:t>
      </w:r>
      <w:r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zakwaterowaniu i gastronomii (po 15%),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administrowaniu i działalności wspierającej (o 13%).</w:t>
      </w:r>
    </w:p>
    <w:p w14:paraId="06967CAE" w14:textId="7383C082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color w:val="0563C1"/>
          <w:sz w:val="19"/>
          <w:szCs w:val="19"/>
          <w:u w:val="single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Następnie podana jest wartość przeciętnego wynagrodzenia ogółem, które w województwie mazowieckim wyniosło</w:t>
      </w:r>
      <w:r w:rsidR="00EF48B1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9030 złotych, a w Warszawie 9519 </w:t>
      </w:r>
      <w:r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złotych Zarówno w województwie mazowieckim, jak i w Warszawie przeciętne wynagrodzenie wzrosło w stosunku do grudnia 2022 roku.</w:t>
      </w:r>
      <w:r w:rsidRPr="00C12C30">
        <w:rPr>
          <w:rFonts w:ascii="Fira Sans" w:eastAsia="Times New Roman" w:hAnsi="Fira Sans" w:cs="Times New Roman"/>
          <w:color w:val="0563C1"/>
          <w:sz w:val="19"/>
          <w:szCs w:val="20"/>
          <w:u w:val="single"/>
          <w:lang w:eastAsia="pl-PL"/>
        </w:rPr>
        <w:fldChar w:fldCharType="begin"/>
      </w:r>
      <w:r w:rsidRPr="00C12C30">
        <w:rPr>
          <w:rFonts w:ascii="Fira Sans" w:eastAsia="Times New Roman" w:hAnsi="Fira Sans" w:cs="Times New Roman"/>
          <w:color w:val="0563C1"/>
          <w:sz w:val="19"/>
          <w:szCs w:val="20"/>
          <w:u w:val="single"/>
          <w:lang w:eastAsia="pl-PL"/>
        </w:rPr>
        <w:instrText>HYPERLINK "https://warszawa.stat.gov.pl/gfx/warszawa/userfiles/kozminskid/jednostronicowe/rynek_pracy_202312_wykresy.xls"</w:instrText>
      </w:r>
      <w:r w:rsidRPr="00C12C30">
        <w:rPr>
          <w:rFonts w:ascii="Fira Sans" w:eastAsia="Times New Roman" w:hAnsi="Fira Sans" w:cs="Times New Roman"/>
          <w:color w:val="0563C1"/>
          <w:sz w:val="19"/>
          <w:szCs w:val="20"/>
          <w:u w:val="single"/>
          <w:lang w:eastAsia="pl-PL"/>
        </w:rPr>
        <w:fldChar w:fldCharType="separate"/>
      </w:r>
      <w:r w:rsidRPr="00C12C30">
        <w:rPr>
          <w:rFonts w:ascii="Fira Sans" w:eastAsia="Times New Roman" w:hAnsi="Fira Sans" w:cs="Times New Roman"/>
          <w:color w:val="0563C1"/>
          <w:sz w:val="19"/>
          <w:szCs w:val="20"/>
          <w:u w:val="single"/>
          <w:lang w:eastAsia="pl-PL"/>
        </w:rPr>
        <w:t xml:space="preserve"> Link do arkusza z danymi do wykresu w formacie Excel</w:t>
      </w:r>
    </w:p>
    <w:p w14:paraId="5639C99F" w14:textId="77777777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bCs/>
          <w:color w:val="0563C1"/>
          <w:sz w:val="19"/>
          <w:szCs w:val="19"/>
          <w:u w:val="single"/>
          <w:lang w:eastAsia="pl-PL"/>
        </w:rPr>
        <w:fldChar w:fldCharType="end"/>
      </w: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Grafika 2. Bezrobotni zarejestrowani w końcu miesiąca</w:t>
      </w:r>
    </w:p>
    <w:p w14:paraId="01F8AB43" w14:textId="77777777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Po lewej stronie podane są dane dla województwa mazowieckiego dotyczące bezrobotnych w podziale na płeć w grudniu 2023 r. Liczba bezrobotnych kobiet wyniosła 54 tysiące i zmalała w stosunku do grudnia 2022 r. o 8%. Liczba bezrobotnych mężczyzn wyniosła 56 tysięcy i zmalała w stosunku do grudnia 2022 r. o 2%.</w:t>
      </w:r>
    </w:p>
    <w:p w14:paraId="3BCEDC4B" w14:textId="77777777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Pokazane są także udziały bezrobotnych kobiet i mężczyzn według wieku w ogólnej ich liczbie. Udział kobiet w wieku 18–24 lata wyniósł 12%, 25–34 (28%), 35–44 (29%), 45–54 (21%), 55 lat i więcej (10%).</w:t>
      </w:r>
      <w:r w:rsidRPr="00C12C30">
        <w:rPr>
          <w:rFonts w:ascii="Fira Sans" w:eastAsia="Times New Roman" w:hAnsi="Fira Sans" w:cs="Arial"/>
          <w:bCs/>
          <w:sz w:val="20"/>
          <w:szCs w:val="19"/>
          <w:lang w:eastAsia="pl-PL"/>
        </w:rPr>
        <w:t xml:space="preserve"> </w:t>
      </w: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Udział mężczyzn w wieku 18–24 lata wyniósł 11%, 25–34 (18%), 35–44 (24%), 45–54 (23%), 55 lat i więcej (24%).</w:t>
      </w:r>
    </w:p>
    <w:p w14:paraId="09E5F082" w14:textId="77777777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Obok po prawej stronie podane są dane dla Warszawy dotyczące bezrobotnych w podziale na płeć w grudniu 2023 r. Liczba bezrobotnych kobiet wyniosła 9 tysięcy i zmalała w stosunku do grudnia 2022 r. o 14%. Liczba bezrobotnych mężczyzn wyniosła 10 tysięcy i zmalała w stosunku do grudnia 2022 r. o 6%.  </w:t>
      </w:r>
    </w:p>
    <w:p w14:paraId="55486BBD" w14:textId="11EE9072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</w:pP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Pokazane są także udziały bezrobotnych kobiet i mężczyzn według wieku w ogólnej ich liczbie. Udział kobiet w wieku 18–24 lata wyniósł </w:t>
      </w:r>
      <w:r w:rsidR="001135BB">
        <w:rPr>
          <w:rFonts w:ascii="Fira Sans" w:eastAsia="Times New Roman" w:hAnsi="Fira Sans" w:cs="Arial"/>
          <w:bCs/>
          <w:sz w:val="19"/>
          <w:szCs w:val="19"/>
          <w:lang w:eastAsia="pl-PL"/>
        </w:rPr>
        <w:t>5</w:t>
      </w: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%, 25–34 (23%), 35–44 (33%), 45–54 (27%), 55 lat i więcej (1</w:t>
      </w:r>
      <w:r w:rsidR="001135BB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%). Udział mężczyzn w wieku 18–24 lata wyniósł 5%, 25–34 (14%), 35–44 (25%), 45–54 (28%), 55 lat i więcej (2</w:t>
      </w:r>
      <w:r w:rsidR="001135BB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%). </w:t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begin"/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instrText>HYPERLINK "https://warszawa.stat.gov.pl/gfx/warszawa/userfiles/kozminskid/jednostronicowe/rynek_pracy_202312_wykresy.xls"</w:instrText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separate"/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Link do arkusza z danymi do wykresu w formacie Excel</w:t>
      </w:r>
    </w:p>
    <w:p w14:paraId="565A1A8F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color w:val="0563C1"/>
          <w:sz w:val="19"/>
          <w:szCs w:val="20"/>
          <w:u w:val="single"/>
          <w:lang w:eastAsia="pl-PL"/>
        </w:rPr>
      </w:pPr>
      <w:r w:rsidRPr="00C12C30">
        <w:rPr>
          <w:rFonts w:ascii="Fira Sans" w:eastAsia="Times New Roman" w:hAnsi="Fira Sans" w:cs="Arial"/>
          <w:color w:val="0563C1"/>
          <w:sz w:val="19"/>
          <w:szCs w:val="20"/>
          <w:u w:val="single"/>
          <w:lang w:eastAsia="pl-PL"/>
        </w:rPr>
        <w:fldChar w:fldCharType="end"/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Wykres 1. Dynamika liczby bezrobotnych zarejestrowanych w końcu miesiąca</w:t>
      </w:r>
    </w:p>
    <w:p w14:paraId="59B9C52D" w14:textId="77777777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</w:pP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 wykresie liniowym pokazano dynamikę liczby zarejestrowanych bezrobotnych, przy podstawie miesiąc poprzedni=100 w okresie styczeń 2021–grudzień 2023 roku dla województwa mazowieckiego i </w:t>
      </w: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lastRenderedPageBreak/>
        <w:t>Warszawy. W grudniu 2023 r. dynamika ta dla województwa mazowieckiego wyniosła 100,6, a dla Warszawy 98,6.</w:t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begin"/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instrText>HYPERLINK "https://warszawa.stat.gov.pl/gfx/warszawa/userfiles/kozminskid/jednostronicowe/rynek_pracy_202312_wykresy.xls"</w:instrText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separate"/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Link do arkusza z danymi do wykresu w formacie Excel</w:t>
      </w:r>
    </w:p>
    <w:p w14:paraId="46CE3866" w14:textId="77777777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end"/>
      </w: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Następnie opisany jest dział stopa bezrobocia rejestrowanego</w:t>
      </w:r>
    </w:p>
    <w:p w14:paraId="70566DDB" w14:textId="33D278BF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Do powiatów o najniższej stopie bezrobocia należały – miasto stołeczne Warszawa – 1,4% (spadek o 0,1 punktu procentowego w stosunku do grudnia 2022 r.), warszawski zachodni – 1,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(bez zmian), pruszkowski – 2,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1% </w:t>
      </w:r>
      <w:r w:rsidR="0092053C" w:rsidRPr="0092053C">
        <w:rPr>
          <w:rFonts w:ascii="Fira Sans" w:eastAsia="Times New Roman" w:hAnsi="Fira Sans" w:cs="Times New Roman"/>
          <w:sz w:val="19"/>
          <w:szCs w:val="19"/>
          <w:lang w:eastAsia="pl-PL"/>
        </w:rPr>
        <w:t>(spadek o 0,1 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a o najwyższej stopie bezrobocia: szydłowiecki – 24,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(spadek o 0,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procentowego), przysuski – 18,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8% (spadek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p. proc.), radomski – 16,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punktu procentowego). </w:t>
      </w:r>
    </w:p>
    <w:p w14:paraId="3EC14B5E" w14:textId="4E98D1FF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grudniem 2022 r. stopa bezrobocia zmniejszyła się w 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27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42 powiatów. Największy spadek zanotowano w powiatach: żuromińskim (o 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1,2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procentowego), płockim (o 1,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EF48B1">
        <w:rPr>
          <w:rFonts w:ascii="Fira Sans" w:eastAsia="Times New Roman" w:hAnsi="Fira Sans" w:cs="Times New Roman"/>
          <w:sz w:val="19"/>
          <w:szCs w:val="19"/>
          <w:lang w:eastAsia="pl-PL"/>
        </w:rPr>
        <w:t>unktu procentowy)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garwolińs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kim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przysuskim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EF48B1">
        <w:rPr>
          <w:rFonts w:ascii="Fira Sans" w:eastAsia="Times New Roman" w:hAnsi="Fira Sans" w:cs="Times New Roman"/>
          <w:sz w:val="19"/>
          <w:szCs w:val="19"/>
          <w:lang w:eastAsia="pl-PL"/>
        </w:rPr>
        <w:t>po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0,9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procentowego).</w:t>
      </w:r>
    </w:p>
    <w:p w14:paraId="187522B4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Mapa 1. Stopa bezrobocia rejestrowanego według powiatów</w:t>
      </w:r>
    </w:p>
    <w:p w14:paraId="60C106CA" w14:textId="247971F6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Kolorem pokazano stopę bezrobocia w przedziałach procentowych. W najwyższym przedziale od 20,0 do 24,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jest jeden powiat – szydłowiecki, natomiast w najniższym przedziale od 1,4 do 4,9% jest 1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powiatów (miasto stołeczne Warszawa, warszawski zachodni, pruszkowski, sochaczewski, grójecki, grodziski,</w:t>
      </w:r>
      <w:r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wyszkowski, otwocki, piaseczyński, miasto Siedlce, miński, siedlecki, łosicki). </w:t>
      </w:r>
      <w:hyperlink r:id="rId5" w:history="1">
        <w:r w:rsidRPr="00C12C30">
          <w:rPr>
            <w:rFonts w:ascii="Fira Sans" w:eastAsia="Times New Roman" w:hAnsi="Fira Sans" w:cs="Times New Roman"/>
            <w:color w:val="0563C1"/>
            <w:sz w:val="19"/>
            <w:szCs w:val="19"/>
            <w:u w:val="single"/>
            <w:lang w:eastAsia="pl-PL"/>
          </w:rPr>
          <w:t>Link do arkusza z danymi do map w formacie Excel</w:t>
        </w:r>
      </w:hyperlink>
    </w:p>
    <w:p w14:paraId="682E6473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Mapa 2. Miasta na prawach powiatu z najniższą i najwyższą stopą bezrobocia w Polsce</w:t>
      </w:r>
    </w:p>
    <w:p w14:paraId="56D06D49" w14:textId="753BDB9D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Najniższa stopa bezrobocia wystąpiła w mieście Katowicach i Poznaniu (po 1,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10,0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%). </w:t>
      </w:r>
    </w:p>
    <w:p w14:paraId="14FD7DBC" w14:textId="02839166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Mapa 3. Obok mapy Polski, po prawej stronie znajduje się mapa województwa mazowieckiego w podziale na region mazowiecki regionalny (stopa bezrobocia 8,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%) i region warszawski stołeczny (stopa bezrobocia 2,0%). </w:t>
      </w:r>
      <w:hyperlink r:id="rId6" w:history="1">
        <w:r w:rsidRPr="00C12C30">
          <w:rPr>
            <w:rFonts w:ascii="Fira Sans" w:eastAsia="Times New Roman" w:hAnsi="Fira Sans" w:cs="Times New Roman"/>
            <w:color w:val="0563C1"/>
            <w:sz w:val="19"/>
            <w:szCs w:val="19"/>
            <w:u w:val="single"/>
            <w:lang w:eastAsia="pl-PL"/>
          </w:rPr>
          <w:t>Link do arkusza z danymi do map w formacie Excel</w:t>
        </w:r>
      </w:hyperlink>
    </w:p>
    <w:p w14:paraId="5BCD6492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Wykres 2. Stopa bezrobocia rejestrowanego</w:t>
      </w:r>
    </w:p>
    <w:p w14:paraId="7198159E" w14:textId="77777777" w:rsidR="00C12C30" w:rsidRPr="00C12C30" w:rsidRDefault="00C12C30" w:rsidP="00C12C30">
      <w:pPr>
        <w:spacing w:after="120" w:line="240" w:lineRule="auto"/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</w:pPr>
      <w:r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 wykresie liniowym pokazano stopę bezrobocia według miesięcy w okresie styczeń 2021–grudzień 2023 roku dla województwa mazowieckiego i Warszawy. W grudniu 2023 r. stopa bezrobocia dla województwa mazowieckiego wyniosła 4,1%, a dla Warszawy 1,4%. </w:t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begin"/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instrText>HYPERLINK "https://warszawa.stat.gov.pl/gfx/warszawa/userfiles/kozminskid/jednostronicowe/rynek_pracy_202312_wykresy.xls"</w:instrText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separate"/>
      </w: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Link do arkusza z danymi do wykresu w formacie Excel</w:t>
      </w:r>
    </w:p>
    <w:p w14:paraId="728253C5" w14:textId="77777777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  <w:r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fldChar w:fldCharType="end"/>
      </w:r>
    </w:p>
    <w:p w14:paraId="0CD492B2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Oceń opracowanie</w:t>
      </w:r>
    </w:p>
    <w:p w14:paraId="520C8051" w14:textId="77777777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 dole infografiki po prawej stronie zamieszczono napis „Oceń opracowanie”. Infografikę można ocenić w skali 1-5. </w:t>
      </w:r>
    </w:p>
    <w:p w14:paraId="44A39278" w14:textId="77777777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 dole została również umieszczona prośba Urzędu o podanie źródła w przypadku publikowania danych.</w:t>
      </w: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6C97"/>
    <w:rsid w:val="00037A99"/>
    <w:rsid w:val="0004147E"/>
    <w:rsid w:val="000530BB"/>
    <w:rsid w:val="00053486"/>
    <w:rsid w:val="00053E9F"/>
    <w:rsid w:val="00061D56"/>
    <w:rsid w:val="000624E5"/>
    <w:rsid w:val="00064276"/>
    <w:rsid w:val="00066807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E87"/>
    <w:rsid w:val="000B270F"/>
    <w:rsid w:val="000B3A17"/>
    <w:rsid w:val="000B7350"/>
    <w:rsid w:val="000C38F8"/>
    <w:rsid w:val="000C3EB7"/>
    <w:rsid w:val="000D154E"/>
    <w:rsid w:val="000D61BA"/>
    <w:rsid w:val="000E08B3"/>
    <w:rsid w:val="000E0D24"/>
    <w:rsid w:val="000E14F0"/>
    <w:rsid w:val="000E47D0"/>
    <w:rsid w:val="000E6BA0"/>
    <w:rsid w:val="000E6DA4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41B5"/>
    <w:rsid w:val="001D4244"/>
    <w:rsid w:val="001D6DE7"/>
    <w:rsid w:val="001E06CD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C1FF2"/>
    <w:rsid w:val="002C22C7"/>
    <w:rsid w:val="002C3EB2"/>
    <w:rsid w:val="002C7014"/>
    <w:rsid w:val="002D10FA"/>
    <w:rsid w:val="002D1DA6"/>
    <w:rsid w:val="002D1FC1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526E0"/>
    <w:rsid w:val="00353245"/>
    <w:rsid w:val="003552F5"/>
    <w:rsid w:val="00355D42"/>
    <w:rsid w:val="00357A1D"/>
    <w:rsid w:val="003647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C1570"/>
    <w:rsid w:val="003C240C"/>
    <w:rsid w:val="003C38BB"/>
    <w:rsid w:val="003C5D24"/>
    <w:rsid w:val="003C6EFC"/>
    <w:rsid w:val="003D5117"/>
    <w:rsid w:val="003E0EAA"/>
    <w:rsid w:val="003E2CE6"/>
    <w:rsid w:val="003E50CE"/>
    <w:rsid w:val="003E5639"/>
    <w:rsid w:val="003E6696"/>
    <w:rsid w:val="003F51F7"/>
    <w:rsid w:val="003F6074"/>
    <w:rsid w:val="0040282F"/>
    <w:rsid w:val="00402F7E"/>
    <w:rsid w:val="004060CA"/>
    <w:rsid w:val="004068D1"/>
    <w:rsid w:val="00407AAB"/>
    <w:rsid w:val="00411457"/>
    <w:rsid w:val="00412253"/>
    <w:rsid w:val="004177DF"/>
    <w:rsid w:val="00424466"/>
    <w:rsid w:val="00432494"/>
    <w:rsid w:val="00433B46"/>
    <w:rsid w:val="00437248"/>
    <w:rsid w:val="00437484"/>
    <w:rsid w:val="0044021F"/>
    <w:rsid w:val="0044222D"/>
    <w:rsid w:val="004439E9"/>
    <w:rsid w:val="00446CE4"/>
    <w:rsid w:val="0044715F"/>
    <w:rsid w:val="00450BEF"/>
    <w:rsid w:val="00451BE1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BD4"/>
    <w:rsid w:val="00635F12"/>
    <w:rsid w:val="00636615"/>
    <w:rsid w:val="00640AB8"/>
    <w:rsid w:val="0064391A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2291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4DC3"/>
    <w:rsid w:val="00727ED0"/>
    <w:rsid w:val="0073048B"/>
    <w:rsid w:val="00735EDD"/>
    <w:rsid w:val="00737563"/>
    <w:rsid w:val="00747062"/>
    <w:rsid w:val="00750FAA"/>
    <w:rsid w:val="00752334"/>
    <w:rsid w:val="00755AE4"/>
    <w:rsid w:val="007560AF"/>
    <w:rsid w:val="00761391"/>
    <w:rsid w:val="00761FFF"/>
    <w:rsid w:val="007624CA"/>
    <w:rsid w:val="007630FD"/>
    <w:rsid w:val="0076478D"/>
    <w:rsid w:val="00764CAB"/>
    <w:rsid w:val="00764D1B"/>
    <w:rsid w:val="007656A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30493"/>
    <w:rsid w:val="00831F8E"/>
    <w:rsid w:val="008359A1"/>
    <w:rsid w:val="00836126"/>
    <w:rsid w:val="00844555"/>
    <w:rsid w:val="00850121"/>
    <w:rsid w:val="00855100"/>
    <w:rsid w:val="0085711E"/>
    <w:rsid w:val="0086061A"/>
    <w:rsid w:val="00860B43"/>
    <w:rsid w:val="00860D6E"/>
    <w:rsid w:val="0086407F"/>
    <w:rsid w:val="00865D09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4652"/>
    <w:rsid w:val="0090533C"/>
    <w:rsid w:val="00906DC6"/>
    <w:rsid w:val="0090726D"/>
    <w:rsid w:val="00915B9D"/>
    <w:rsid w:val="0092053C"/>
    <w:rsid w:val="00924134"/>
    <w:rsid w:val="009248B1"/>
    <w:rsid w:val="00926CF0"/>
    <w:rsid w:val="00931415"/>
    <w:rsid w:val="00935D0C"/>
    <w:rsid w:val="00936413"/>
    <w:rsid w:val="0094411F"/>
    <w:rsid w:val="00953D59"/>
    <w:rsid w:val="00956661"/>
    <w:rsid w:val="009575B7"/>
    <w:rsid w:val="00957FCB"/>
    <w:rsid w:val="00961D7F"/>
    <w:rsid w:val="00966812"/>
    <w:rsid w:val="009744FC"/>
    <w:rsid w:val="00975AE1"/>
    <w:rsid w:val="00976443"/>
    <w:rsid w:val="0098426F"/>
    <w:rsid w:val="00990514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B0278"/>
    <w:rsid w:val="00AB29C9"/>
    <w:rsid w:val="00AB4CAB"/>
    <w:rsid w:val="00AB61B4"/>
    <w:rsid w:val="00AC601D"/>
    <w:rsid w:val="00AD3840"/>
    <w:rsid w:val="00AE0400"/>
    <w:rsid w:val="00AE5A1D"/>
    <w:rsid w:val="00AE6FAB"/>
    <w:rsid w:val="00AF1321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71347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A9"/>
    <w:rsid w:val="00CF47E8"/>
    <w:rsid w:val="00CF7F05"/>
    <w:rsid w:val="00D00454"/>
    <w:rsid w:val="00D0144E"/>
    <w:rsid w:val="00D11802"/>
    <w:rsid w:val="00D13829"/>
    <w:rsid w:val="00D1402B"/>
    <w:rsid w:val="00D14770"/>
    <w:rsid w:val="00D166F8"/>
    <w:rsid w:val="00D16B5F"/>
    <w:rsid w:val="00D33788"/>
    <w:rsid w:val="00D33E23"/>
    <w:rsid w:val="00D400B8"/>
    <w:rsid w:val="00D4221F"/>
    <w:rsid w:val="00D422CA"/>
    <w:rsid w:val="00D45994"/>
    <w:rsid w:val="00D45F8C"/>
    <w:rsid w:val="00D54089"/>
    <w:rsid w:val="00D5653A"/>
    <w:rsid w:val="00D565E8"/>
    <w:rsid w:val="00D56B4E"/>
    <w:rsid w:val="00D72075"/>
    <w:rsid w:val="00D75C30"/>
    <w:rsid w:val="00D84400"/>
    <w:rsid w:val="00D865DF"/>
    <w:rsid w:val="00D9031E"/>
    <w:rsid w:val="00D907FA"/>
    <w:rsid w:val="00D931CB"/>
    <w:rsid w:val="00D94B3F"/>
    <w:rsid w:val="00D95740"/>
    <w:rsid w:val="00D97065"/>
    <w:rsid w:val="00DA119C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2E32"/>
    <w:rsid w:val="00E83642"/>
    <w:rsid w:val="00E95B61"/>
    <w:rsid w:val="00EA4746"/>
    <w:rsid w:val="00EA742B"/>
    <w:rsid w:val="00EA7526"/>
    <w:rsid w:val="00EA7670"/>
    <w:rsid w:val="00EB4784"/>
    <w:rsid w:val="00EB49E6"/>
    <w:rsid w:val="00EC1C31"/>
    <w:rsid w:val="00EC1DE9"/>
    <w:rsid w:val="00EC40DC"/>
    <w:rsid w:val="00ED3E30"/>
    <w:rsid w:val="00EE0125"/>
    <w:rsid w:val="00EE584B"/>
    <w:rsid w:val="00EE6B92"/>
    <w:rsid w:val="00EE6F43"/>
    <w:rsid w:val="00EF48B1"/>
    <w:rsid w:val="00EF7156"/>
    <w:rsid w:val="00EF787C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6734"/>
    <w:rsid w:val="00FA0328"/>
    <w:rsid w:val="00FA0525"/>
    <w:rsid w:val="00FA28F2"/>
    <w:rsid w:val="00FA33B5"/>
    <w:rsid w:val="00FA4C7A"/>
    <w:rsid w:val="00FB3210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arszawa.stat.gov.pl/gfx/warszawa/userfiles/kozminskid/jednostronicowe/rynek_pracy_202312_mapy.xls" TargetMode="External"/><Relationship Id="rId5" Type="http://schemas.openxmlformats.org/officeDocument/2006/relationships/hyperlink" Target="https://warszawa.stat.gov.pl/gfx/warszawa/userfiles/kozminskid/jednostronicowe/rynek_pracy_202312_mapy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0DE1-670F-4965-918B-1CB2972E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6</cp:revision>
  <cp:lastPrinted>2020-02-24T09:44:00Z</cp:lastPrinted>
  <dcterms:created xsi:type="dcterms:W3CDTF">2024-01-24T13:17:00Z</dcterms:created>
  <dcterms:modified xsi:type="dcterms:W3CDTF">2024-01-26T10:55:00Z</dcterms:modified>
</cp:coreProperties>
</file>