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FB5080" w14:textId="77777777" w:rsidR="00393761" w:rsidRPr="00BE6822" w:rsidRDefault="00DD06BA" w:rsidP="008B52B6">
      <w:pPr>
        <w:pStyle w:val="Tytuinfomacjisygnalnej"/>
      </w:pPr>
      <w:r w:rsidRPr="00587CEE">
        <w:rPr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766784" behindDoc="0" locked="0" layoutInCell="1" allowOverlap="1" wp14:anchorId="1EA9263D" wp14:editId="5A2CBB10">
                <wp:simplePos x="0" y="0"/>
                <wp:positionH relativeFrom="margin">
                  <wp:align>left</wp:align>
                </wp:positionH>
                <wp:positionV relativeFrom="paragraph">
                  <wp:posOffset>1062990</wp:posOffset>
                </wp:positionV>
                <wp:extent cx="2204085" cy="1154430"/>
                <wp:effectExtent l="0" t="0" r="5715" b="7620"/>
                <wp:wrapSquare wrapText="bothSides"/>
                <wp:docPr id="6" name="Pole tekstowe 2" descr="Ikona strzałki. Strzałka skierowana grotem do góry, obok napis 101,6 dynamika liczby mieszkań rok do roku." title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544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AE3C4" w14:textId="77777777" w:rsidR="00F935A9" w:rsidRPr="00F65A5A" w:rsidRDefault="00F935A9" w:rsidP="0058703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Ramka-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>
                              <w:rPr>
                                <w:rFonts w:ascii="Fira Sans SemiBold" w:hAnsi="Fira Sans SemiBold"/>
                                <w:color w:val="66AFDE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4F5441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101,6</w:t>
                            </w:r>
                          </w:p>
                          <w:p w14:paraId="24E0BC7B" w14:textId="77777777" w:rsidR="00F935A9" w:rsidRPr="001B0B46" w:rsidRDefault="00F935A9" w:rsidP="001B0B46">
                            <w:pPr>
                              <w:pStyle w:val="Opiswskanika"/>
                              <w:spacing w:before="120"/>
                            </w:pPr>
                            <w:r>
                              <w:t>Dynamika liczby mieszkań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89DB3B" id="Pole tekstowe 2" o:spid="_x0000_s1026" alt="Tytuł: Opis wskaźnika — opis: Ikona strzałki. Strzałka skierowana grotem do góry, obok napis 101,6 dynamika liczby mieszkań rok do roku." style="position:absolute;margin-left:0;margin-top:83.7pt;width:173.55pt;height:90.9pt;z-index:2517667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" fillcolor="#001d77" stroked="f">
                <v:stroke joinstyle="miter"/>
                <v:textbox>
                  <w:txbxContent>
                    <w:p w:rsidR="00F935A9" w:rsidRPr="00F65A5A" w:rsidRDefault="00F935A9" w:rsidP="00587032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Ramka-ikonawskanikaZnak"/>
                          <w:sz w:val="76"/>
                          <w:szCs w:val="76"/>
                        </w:rPr>
                        <w:sym w:font="Wingdings" w:char="F0F1"/>
                      </w:r>
                      <w:r>
                        <w:rPr>
                          <w:rFonts w:ascii="Fira Sans SemiBold" w:hAnsi="Fira Sans SemiBold"/>
                          <w:color w:val="66AFDE"/>
                          <w:sz w:val="60"/>
                          <w:szCs w:val="60"/>
                        </w:rPr>
                        <w:t xml:space="preserve"> </w:t>
                      </w:r>
                      <w:r w:rsidR="004F5441">
                        <w:rPr>
                          <w:rStyle w:val="WartowskanikaZnak"/>
                          <w:sz w:val="72"/>
                          <w:szCs w:val="72"/>
                        </w:rPr>
                        <w:t>101,6</w:t>
                      </w:r>
                    </w:p>
                    <w:p w:rsidR="00F935A9" w:rsidRPr="001B0B46" w:rsidRDefault="00F935A9" w:rsidP="001B0B46">
                      <w:pPr>
                        <w:pStyle w:val="Opiswskanika"/>
                        <w:spacing w:before="120"/>
                      </w:pPr>
                      <w:r>
                        <w:t>Dynamika liczby mieszkań r/r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3C4426">
        <w:t xml:space="preserve">Zasoby </w:t>
      </w:r>
      <w:r w:rsidR="003C4426" w:rsidRPr="008B52B6">
        <w:t>mieszkaniowe</w:t>
      </w:r>
      <w:r w:rsidR="00615EE5" w:rsidRPr="00BE6822">
        <w:t xml:space="preserve"> w</w:t>
      </w:r>
      <w:r w:rsidR="008257A1">
        <w:t xml:space="preserve"> województwie mazowieckim w 2022</w:t>
      </w:r>
      <w:r w:rsidR="00615EE5" w:rsidRPr="00BE6822">
        <w:t xml:space="preserve"> r.</w:t>
      </w:r>
    </w:p>
    <w:p w14:paraId="214BE6E3" w14:textId="77777777" w:rsidR="00DE58F1" w:rsidRPr="00F935A9" w:rsidRDefault="00F935A9" w:rsidP="00F5205E">
      <w:pPr>
        <w:pStyle w:val="Lead"/>
        <w:rPr>
          <w:rFonts w:eastAsia="Times New Roman" w:cs="Times New Roman"/>
          <w:bCs/>
          <w:noProof w:val="0"/>
        </w:rPr>
      </w:pPr>
      <w:r w:rsidRPr="00E16328">
        <w:t xml:space="preserve">Rok </w:t>
      </w:r>
      <w:r w:rsidR="0029416F" w:rsidRPr="00E16328">
        <w:t>2022</w:t>
      </w:r>
      <w:r w:rsidR="00FF2E7C" w:rsidRPr="00E16328">
        <w:t xml:space="preserve"> </w:t>
      </w:r>
      <w:r w:rsidRPr="00E16328">
        <w:t>był kolejnym, w którym odnotowano wzrost liczby mieszkań. Śred</w:t>
      </w:r>
      <w:r w:rsidR="00AB0E03">
        <w:t>nia wielkość mieszkania wyniosła</w:t>
      </w:r>
      <w:r w:rsidRPr="00E16328">
        <w:t xml:space="preserve"> </w:t>
      </w:r>
      <w:r w:rsidR="001473CC" w:rsidRPr="00E16328">
        <w:t>blisko</w:t>
      </w:r>
      <w:r w:rsidRPr="00E16328">
        <w:t xml:space="preserve"> 74 m</w:t>
      </w:r>
      <w:r w:rsidRPr="00E16328">
        <w:rPr>
          <w:vertAlign w:val="superscript"/>
        </w:rPr>
        <w:t>2</w:t>
      </w:r>
      <w:r w:rsidRPr="00E16328">
        <w:t xml:space="preserve">. </w:t>
      </w:r>
      <w:r w:rsidR="001E297F">
        <w:t>W stosunku do</w:t>
      </w:r>
      <w:r w:rsidR="001E297F" w:rsidRPr="002B1D80">
        <w:t xml:space="preserve"> </w:t>
      </w:r>
      <w:r w:rsidR="001E297F" w:rsidRPr="001E297F">
        <w:rPr>
          <w:spacing w:val="2"/>
        </w:rPr>
        <w:t>2021 r. z</w:t>
      </w:r>
      <w:r w:rsidR="00356957" w:rsidRPr="001E297F">
        <w:rPr>
          <w:spacing w:val="2"/>
        </w:rPr>
        <w:t>mniejszyła się przecię</w:t>
      </w:r>
      <w:r w:rsidR="001E297F" w:rsidRPr="001E297F">
        <w:rPr>
          <w:spacing w:val="2"/>
        </w:rPr>
        <w:t>tna liczba osób na 1 mieszkanie.</w:t>
      </w:r>
      <w:r w:rsidR="001E297F">
        <w:t xml:space="preserve"> Wzrosła liczba i </w:t>
      </w:r>
      <w:r w:rsidR="00356957" w:rsidRPr="002B1D80">
        <w:t>kwota wypłaconych dodatków mieszkaniowych.</w:t>
      </w:r>
    </w:p>
    <w:p w14:paraId="77E568A2" w14:textId="77777777" w:rsidR="009615E3" w:rsidRDefault="009615E3" w:rsidP="00E95B8E">
      <w:pPr>
        <w:pStyle w:val="Nagwek1"/>
        <w:rPr>
          <w:b w:val="0"/>
          <w:szCs w:val="19"/>
        </w:rPr>
      </w:pPr>
    </w:p>
    <w:p w14:paraId="36EBFB59" w14:textId="77777777" w:rsidR="00E95B8E" w:rsidRDefault="000647A9" w:rsidP="00F42552">
      <w:pPr>
        <w:pStyle w:val="Nagwek1"/>
        <w:rPr>
          <w:b w:val="0"/>
        </w:rPr>
      </w:pPr>
      <w:r w:rsidRPr="00823593">
        <w:rPr>
          <w:b w:val="0"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01114AE7" wp14:editId="0F733D96">
                <wp:simplePos x="0" y="0"/>
                <wp:positionH relativeFrom="column">
                  <wp:posOffset>5273675</wp:posOffset>
                </wp:positionH>
                <wp:positionV relativeFrom="paragraph">
                  <wp:posOffset>337185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" name="Pole tekstowe 2" descr="Mieszkania województwa mazowieckiego stanowiły blisko 16% zasobów mieszkaniowych w kraju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148E5C" w14:textId="77777777" w:rsidR="00F935A9" w:rsidRPr="00E95B8E" w:rsidRDefault="00F935A9" w:rsidP="00CB4EBC">
                            <w:pPr>
                              <w:pStyle w:val="tekstzboku"/>
                            </w:pPr>
                            <w:r>
                              <w:t>Mieszkania województwa mazowieckiego stanowiły blisko 16% zasobów mieszkaniowych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Tytuł: Istotna informacja — opis: Mieszkania województwa mazowieckiego stanowiły blisko 16% zasobów mieszkaniowych w kraju" style="position:absolute;margin-left:415.25pt;margin-top:26.55pt;width:135.85pt;height:65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" filled="f" stroked="f">
                <v:textbox>
                  <w:txbxContent>
                    <w:p w:rsidR="00F935A9" w:rsidRPr="00E95B8E" w:rsidRDefault="00F935A9" w:rsidP="00CB4EBC">
                      <w:pPr>
                        <w:pStyle w:val="tekstzboku"/>
                      </w:pPr>
                      <w:r>
                        <w:t>Mieszkania województwa mazowieckiego stanowiły blisko 16% zasobów mieszkaniowych w kraju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75007">
        <w:t>Wielkość zasobów mieszkaniowych i ich lokalizacja</w:t>
      </w:r>
      <w:r w:rsidR="000A2446">
        <w:rPr>
          <w:rStyle w:val="Odwoanieprzypisudolnego"/>
        </w:rPr>
        <w:footnoteReference w:id="1"/>
      </w:r>
    </w:p>
    <w:p w14:paraId="16165FC6" w14:textId="77777777" w:rsidR="00614715" w:rsidRPr="008B52B6" w:rsidRDefault="00614715" w:rsidP="008B52B6">
      <w:r w:rsidRPr="00D0334F">
        <w:rPr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30272" behindDoc="1" locked="0" layoutInCell="1" allowOverlap="1" wp14:anchorId="530E69C6" wp14:editId="6AFCC4CE">
                <wp:simplePos x="0" y="0"/>
                <wp:positionH relativeFrom="page">
                  <wp:posOffset>5730875</wp:posOffset>
                </wp:positionH>
                <wp:positionV relativeFrom="paragraph">
                  <wp:posOffset>838200</wp:posOffset>
                </wp:positionV>
                <wp:extent cx="1724025" cy="831215"/>
                <wp:effectExtent l="0" t="0" r="0" b="0"/>
                <wp:wrapTight wrapText="bothSides">
                  <wp:wrapPolygon edited="0">
                    <wp:start x="716" y="0"/>
                    <wp:lineTo x="716" y="20791"/>
                    <wp:lineTo x="20765" y="20791"/>
                    <wp:lineTo x="20765" y="0"/>
                    <wp:lineTo x="716" y="0"/>
                  </wp:wrapPolygon>
                </wp:wrapTight>
                <wp:docPr id="3" name="Pole tekstowe 3" descr="Na 1000 ludności województwa przypadało 451 mieszkań (w kraju 412)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31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C41BEE" w14:textId="77777777" w:rsidR="00F935A9" w:rsidRPr="00D616D2" w:rsidRDefault="00F935A9" w:rsidP="007A6C89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B66236">
                              <w:t>Na 1000 ludności województwa przypadało 451 mieszkań (w kraju 412)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A2EF5A" id="Pole tekstowe 3" o:spid="_x0000_s1028" type="#_x0000_t202" alt="Tytuł: Istotna informacja — opis: Na 1000 ludności województwa przypadało 451 mieszkań (w kraju 412)" style="position:absolute;margin-left:451.25pt;margin-top:66pt;width:135.75pt;height:65.45pt;z-index:-2514862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" filled="f" stroked="f">
                <v:textbox>
                  <w:txbxContent>
                    <w:p w:rsidR="00F935A9" w:rsidRPr="00D616D2" w:rsidRDefault="00F935A9" w:rsidP="007A6C89">
                      <w:pPr>
                        <w:pStyle w:val="tekstzboku"/>
                        <w:rPr>
                          <w:bCs w:val="0"/>
                        </w:rPr>
                      </w:pPr>
                      <w:r w:rsidRPr="00B66236">
                        <w:t>Na 1000 ludności województwa przypadało 451 mieszkań (w kraju 412)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D0334F">
        <w:rPr>
          <w:shd w:val="clear" w:color="auto" w:fill="FFFFFF"/>
        </w:rPr>
        <w:t>W</w:t>
      </w:r>
      <w:r w:rsidRPr="008B52B6">
        <w:t>edług stanu w dniu 31 grudnia 2022 r. zasoby mieszkaniowe wo</w:t>
      </w:r>
      <w:r w:rsidR="000B37DC">
        <w:t>jewództwa mazowieckiego wyniosły</w:t>
      </w:r>
      <w:r w:rsidRPr="008B52B6">
        <w:t xml:space="preserve"> 2483,3 tys. mieszkań, co stanowiło 15,9% zasobów w kraju. W przeliczeniu na 1000 ludności wielkość zasobów mieszkaniowych </w:t>
      </w:r>
      <w:r w:rsidR="005C40FF" w:rsidRPr="008B52B6">
        <w:t xml:space="preserve">województwa </w:t>
      </w:r>
      <w:r w:rsidRPr="008B52B6">
        <w:t xml:space="preserve">kształtowała się na poziomie 450,6 </w:t>
      </w:r>
      <w:r w:rsidR="00106801">
        <w:rPr>
          <w:spacing w:val="2"/>
        </w:rPr>
        <w:t>(w kraju 412,4</w:t>
      </w:r>
      <w:r w:rsidRPr="008B52B6">
        <w:rPr>
          <w:spacing w:val="2"/>
        </w:rPr>
        <w:t>). W skali roku odn</w:t>
      </w:r>
      <w:r w:rsidR="00DE1F22" w:rsidRPr="008B52B6">
        <w:rPr>
          <w:spacing w:val="2"/>
        </w:rPr>
        <w:t>otowano wzrost odpowiednio o 7,3 punktu i 7,2</w:t>
      </w:r>
      <w:r w:rsidRPr="008B52B6">
        <w:rPr>
          <w:spacing w:val="2"/>
        </w:rPr>
        <w:t xml:space="preserve">. </w:t>
      </w:r>
      <w:r w:rsidR="00DE1F22" w:rsidRPr="008B52B6">
        <w:rPr>
          <w:spacing w:val="2"/>
        </w:rPr>
        <w:t>W porównaniu z 2021</w:t>
      </w:r>
      <w:r w:rsidRPr="008B52B6">
        <w:rPr>
          <w:spacing w:val="2"/>
        </w:rPr>
        <w:t xml:space="preserve"> r. przybyło </w:t>
      </w:r>
      <w:r w:rsidR="00DE1F22" w:rsidRPr="008B52B6">
        <w:rPr>
          <w:spacing w:val="2"/>
        </w:rPr>
        <w:t>39</w:t>
      </w:r>
      <w:r w:rsidRPr="008B52B6">
        <w:rPr>
          <w:spacing w:val="2"/>
        </w:rPr>
        <w:t>,</w:t>
      </w:r>
      <w:r w:rsidR="00DE1F22" w:rsidRPr="008B52B6">
        <w:rPr>
          <w:spacing w:val="2"/>
        </w:rPr>
        <w:t>8</w:t>
      </w:r>
      <w:r w:rsidRPr="008B52B6">
        <w:rPr>
          <w:spacing w:val="2"/>
        </w:rPr>
        <w:t xml:space="preserve"> tys. mieszkań (wzrost o 1,</w:t>
      </w:r>
      <w:r w:rsidR="00DE1F22" w:rsidRPr="008B52B6">
        <w:rPr>
          <w:spacing w:val="2"/>
        </w:rPr>
        <w:t>6</w:t>
      </w:r>
      <w:r w:rsidRPr="008B52B6">
        <w:rPr>
          <w:spacing w:val="2"/>
        </w:rPr>
        <w:t xml:space="preserve">%). W miastach liczba mieszkań </w:t>
      </w:r>
      <w:r w:rsidRPr="00660A46">
        <w:t xml:space="preserve">zwiększyła się o </w:t>
      </w:r>
      <w:r w:rsidR="00D0334F" w:rsidRPr="00660A46">
        <w:t>31</w:t>
      </w:r>
      <w:r w:rsidRPr="00660A46">
        <w:t>,</w:t>
      </w:r>
      <w:r w:rsidR="00D0334F" w:rsidRPr="00660A46">
        <w:t>2</w:t>
      </w:r>
      <w:r w:rsidRPr="00660A46">
        <w:t xml:space="preserve"> tys. (o </w:t>
      </w:r>
      <w:r w:rsidR="00D0334F" w:rsidRPr="00660A46">
        <w:t>1</w:t>
      </w:r>
      <w:r w:rsidRPr="00660A46">
        <w:t>,</w:t>
      </w:r>
      <w:r w:rsidR="00D0334F" w:rsidRPr="00660A46">
        <w:t>8</w:t>
      </w:r>
      <w:r w:rsidRPr="00660A46">
        <w:t xml:space="preserve">%), stanowiąc </w:t>
      </w:r>
      <w:r w:rsidR="00D0334F" w:rsidRPr="00660A46">
        <w:t>78</w:t>
      </w:r>
      <w:r w:rsidRPr="00660A46">
        <w:t>,</w:t>
      </w:r>
      <w:r w:rsidR="00D0334F" w:rsidRPr="00660A46">
        <w:t xml:space="preserve">6% przyrostu liczby mieszkań w </w:t>
      </w:r>
      <w:r w:rsidRPr="00660A46">
        <w:t>województwie. Najwięcej mieszkań przybyło w stolicy –</w:t>
      </w:r>
      <w:r w:rsidR="00D0334F" w:rsidRPr="00660A46">
        <w:t xml:space="preserve"> 15</w:t>
      </w:r>
      <w:r w:rsidRPr="00660A46">
        <w:t>,</w:t>
      </w:r>
      <w:r w:rsidR="00D0334F" w:rsidRPr="00660A46">
        <w:t>0 tys. (37</w:t>
      </w:r>
      <w:r w:rsidRPr="00660A46">
        <w:t>,</w:t>
      </w:r>
      <w:r w:rsidR="00D0334F" w:rsidRPr="00660A46">
        <w:t>8% przyrostu mieszkań w województwie i 48</w:t>
      </w:r>
      <w:r w:rsidRPr="00660A46">
        <w:t>,</w:t>
      </w:r>
      <w:r w:rsidR="00D0334F" w:rsidRPr="00660A46">
        <w:t>2</w:t>
      </w:r>
      <w:r w:rsidRPr="00660A46">
        <w:t xml:space="preserve">% przyrostu mieszkań w miastach). Natomiast na wsi liczba mieszkań wzrosła o </w:t>
      </w:r>
      <w:r w:rsidR="00D0334F" w:rsidRPr="00660A46">
        <w:t>8</w:t>
      </w:r>
      <w:r w:rsidRPr="00660A46">
        <w:t>,</w:t>
      </w:r>
      <w:r w:rsidR="00D0334F" w:rsidRPr="00660A46">
        <w:t>5</w:t>
      </w:r>
      <w:r w:rsidRPr="00660A46">
        <w:t xml:space="preserve"> tys. (o 1,</w:t>
      </w:r>
      <w:r w:rsidR="00D0334F" w:rsidRPr="00660A46">
        <w:t>3</w:t>
      </w:r>
      <w:r w:rsidRPr="00660A46">
        <w:t>%). Najwyższy przyrost liczby mieszkań, w skali roku, wystąpił</w:t>
      </w:r>
      <w:r w:rsidR="00D0334F" w:rsidRPr="00660A46">
        <w:t xml:space="preserve"> w </w:t>
      </w:r>
      <w:r w:rsidRPr="00660A46">
        <w:t xml:space="preserve">powiatach: </w:t>
      </w:r>
      <w:r w:rsidR="00D0334F" w:rsidRPr="00660A46">
        <w:t xml:space="preserve">warszawskim zachodnim (o 3,4%), piaseczyńskim, pruszkowskim (po 3,0%), grodziskim, </w:t>
      </w:r>
      <w:r w:rsidRPr="00660A46">
        <w:t>wołomińskim (</w:t>
      </w:r>
      <w:r w:rsidR="00785497" w:rsidRPr="00660A46">
        <w:t>p</w:t>
      </w:r>
      <w:r w:rsidRPr="00660A46">
        <w:t xml:space="preserve">o </w:t>
      </w:r>
      <w:r w:rsidR="00D0334F" w:rsidRPr="00660A46">
        <w:t>2,8</w:t>
      </w:r>
      <w:r w:rsidRPr="00660A46">
        <w:t xml:space="preserve">%), legionowskim (o </w:t>
      </w:r>
      <w:r w:rsidR="00D0334F" w:rsidRPr="00660A46">
        <w:t>2,5</w:t>
      </w:r>
      <w:r w:rsidR="00660A46" w:rsidRPr="00660A46">
        <w:t xml:space="preserve">%) i </w:t>
      </w:r>
      <w:r w:rsidR="00785497" w:rsidRPr="00660A46">
        <w:t xml:space="preserve">wyszkowskim (o 2,4%). </w:t>
      </w:r>
      <w:r w:rsidRPr="00660A46">
        <w:t xml:space="preserve">Najniższe tempo wzrostu odnotowano w powiatach: </w:t>
      </w:r>
      <w:r w:rsidR="008774BF" w:rsidRPr="00660A46">
        <w:t>żuromińskim</w:t>
      </w:r>
      <w:r w:rsidRPr="00660A46">
        <w:t xml:space="preserve"> (o </w:t>
      </w:r>
      <w:r w:rsidR="008774BF" w:rsidRPr="00660A46">
        <w:t>0,4</w:t>
      </w:r>
      <w:r w:rsidRPr="00660A46">
        <w:t xml:space="preserve">%), </w:t>
      </w:r>
      <w:r w:rsidR="008774BF" w:rsidRPr="00660A46">
        <w:t>gostynińskim</w:t>
      </w:r>
      <w:r w:rsidR="00660A46" w:rsidRPr="00660A46">
        <w:t xml:space="preserve"> oraz </w:t>
      </w:r>
      <w:r w:rsidRPr="00660A46">
        <w:t>przysuskim (</w:t>
      </w:r>
      <w:r w:rsidR="008774BF" w:rsidRPr="00660A46">
        <w:t>p</w:t>
      </w:r>
      <w:r w:rsidRPr="00660A46">
        <w:t xml:space="preserve">o </w:t>
      </w:r>
      <w:r w:rsidR="008774BF" w:rsidRPr="00660A46">
        <w:t>0,7</w:t>
      </w:r>
      <w:r w:rsidRPr="00660A46">
        <w:t>%).</w:t>
      </w:r>
      <w:r w:rsidR="005117A4" w:rsidRPr="00660A46">
        <w:t xml:space="preserve"> Powierzchnia użytkowa mieszkań wyniosła 183455,8 tys. m</w:t>
      </w:r>
      <w:r w:rsidR="005117A4" w:rsidRPr="00660A46">
        <w:rPr>
          <w:vertAlign w:val="superscript"/>
        </w:rPr>
        <w:t>2</w:t>
      </w:r>
      <w:r w:rsidR="005117A4" w:rsidRPr="00660A46">
        <w:t xml:space="preserve"> i wzrosła o 3393,5 tys. m</w:t>
      </w:r>
      <w:r w:rsidR="005117A4" w:rsidRPr="00660A46">
        <w:rPr>
          <w:vertAlign w:val="superscript"/>
        </w:rPr>
        <w:t>2</w:t>
      </w:r>
      <w:r w:rsidR="005117A4" w:rsidRPr="00660A46">
        <w:t xml:space="preserve"> (o 1,9%) w stosunku do poprzedniego roku</w:t>
      </w:r>
      <w:r w:rsidR="006A4413">
        <w:t>.</w:t>
      </w:r>
    </w:p>
    <w:p w14:paraId="7364EB9E" w14:textId="77777777" w:rsidR="00073DCF" w:rsidRDefault="00CE6E15" w:rsidP="00421338">
      <w:pPr>
        <w:pStyle w:val="Tytuwykresu0"/>
        <w:spacing w:before="120"/>
        <w:rPr>
          <w:shd w:val="clear" w:color="auto" w:fill="FFFFFF"/>
        </w:rPr>
      </w:pPr>
      <w:r>
        <w:rPr>
          <w:shd w:val="clear" w:color="auto" w:fill="FFFFFF"/>
        </w:rPr>
        <w:t>Wykres 1</w:t>
      </w:r>
      <w:r w:rsidR="00073DCF">
        <w:rPr>
          <w:shd w:val="clear" w:color="auto" w:fill="FFFFFF"/>
        </w:rPr>
        <w:t>. Zasoby mieszkaniowe według lokalizacji (stan w dniu 31 grudnia)</w:t>
      </w:r>
      <w:r w:rsidR="00421338" w:rsidRPr="00421338">
        <w:rPr>
          <w:shd w:val="clear" w:color="auto" w:fill="FFFFFF"/>
        </w:rPr>
        <w:t xml:space="preserve"> </w:t>
      </w:r>
    </w:p>
    <w:p w14:paraId="01B0118D" w14:textId="77777777" w:rsidR="00C54A24" w:rsidRPr="00C54A24" w:rsidRDefault="00C54A24" w:rsidP="00C54A24">
      <w:r>
        <w:rPr>
          <w:noProof/>
          <w:lang w:eastAsia="pl-PL"/>
        </w:rPr>
        <w:drawing>
          <wp:inline distT="0" distB="0" distL="0" distR="0" wp14:anchorId="7E16FC55" wp14:editId="52DB3F7D">
            <wp:extent cx="4532385" cy="2258573"/>
            <wp:effectExtent l="0" t="0" r="1905" b="8890"/>
            <wp:docPr id="13" name="Obraz 13" descr="Na wykresie kolumnowym zaprezentowano zasoby mieszkaniowe w latach 2015-2022 w podziale na miasta i wieś. Dane do wykresu dostępne w załączonym pliku excel." title="Wykres 1. Zasoby mieszkaniowe według lokalizacji (stan w dniu 31 grudni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grafika_Zasoby mieszkaniowe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2385" cy="2258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DF928" w14:textId="6DB68DDD" w:rsidR="00CE6E15" w:rsidRPr="00E964D2" w:rsidRDefault="00421338" w:rsidP="00B66236">
      <w:pPr>
        <w:pStyle w:val="Nagwek1"/>
      </w:pPr>
      <w:r>
        <w:lastRenderedPageBreak/>
        <w:t>W</w:t>
      </w:r>
      <w:r w:rsidRPr="00E964D2">
        <w:t>arunki mieszkaniowe</w:t>
      </w:r>
      <w:r w:rsidR="000A2446">
        <w:rPr>
          <w:rStyle w:val="Odwoanieprzypisudolnego"/>
        </w:rPr>
        <w:footnoteReference w:id="2"/>
      </w:r>
    </w:p>
    <w:p w14:paraId="796C5071" w14:textId="0F6D40F0" w:rsidR="000D65A4" w:rsidRPr="007861C2" w:rsidRDefault="00D8043D" w:rsidP="000367EA">
      <w:pPr>
        <w:rPr>
          <w:lang w:eastAsia="pl-PL"/>
        </w:rPr>
      </w:pPr>
      <w:r w:rsidRPr="00027C0E">
        <w:rPr>
          <w:noProof/>
        </w:rPr>
        <mc:AlternateContent>
          <mc:Choice Requires="wps">
            <w:drawing>
              <wp:anchor distT="45720" distB="45720" distL="114300" distR="114300" simplePos="0" relativeHeight="251804672" behindDoc="1" locked="0" layoutInCell="1" allowOverlap="1" wp14:anchorId="401F8CEE" wp14:editId="7A6506CA">
                <wp:simplePos x="0" y="0"/>
                <wp:positionH relativeFrom="column">
                  <wp:posOffset>5323916</wp:posOffset>
                </wp:positionH>
                <wp:positionV relativeFrom="paragraph">
                  <wp:posOffset>698780</wp:posOffset>
                </wp:positionV>
                <wp:extent cx="1638300" cy="831215"/>
                <wp:effectExtent l="0" t="0" r="0" b="0"/>
                <wp:wrapTight wrapText="bothSides">
                  <wp:wrapPolygon edited="0">
                    <wp:start x="753" y="0"/>
                    <wp:lineTo x="753" y="20791"/>
                    <wp:lineTo x="20595" y="20791"/>
                    <wp:lineTo x="20595" y="0"/>
                    <wp:lineTo x="753" y="0"/>
                  </wp:wrapPolygon>
                </wp:wrapTight>
                <wp:docPr id="37" name="Pole tekstowe 37" descr="Mieszkanie na wsi było większe niż w mieście średnio o 35,5 metrów kwadratow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831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F8C2F5" w14:textId="77777777" w:rsidR="00F935A9" w:rsidRPr="000367EA" w:rsidRDefault="00F935A9" w:rsidP="00E964D2">
                            <w:pPr>
                              <w:pStyle w:val="tekstzboku"/>
                            </w:pPr>
                            <w:r>
                              <w:t xml:space="preserve">Mieszkanie na wsi było </w:t>
                            </w:r>
                            <w:r w:rsidRPr="00E964D2">
                              <w:t>większe</w:t>
                            </w:r>
                            <w:r>
                              <w:t xml:space="preserve"> niż w mieście średnio o 35,5 m</w:t>
                            </w:r>
                            <w:r>
                              <w:rPr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1F8CEE" id="_x0000_t202" coordsize="21600,21600" o:spt="202" path="m,l,21600r21600,l21600,xe">
                <v:stroke joinstyle="miter"/>
                <v:path gradientshapeok="t" o:connecttype="rect"/>
              </v:shapetype>
              <v:shape id="Pole tekstowe 37" o:spid="_x0000_s1029" type="#_x0000_t202" alt="Tytuł: Istotna informacja — opis: Mieszkanie na wsi było większe niż w mieście średnio o 35,5 metrów kwadratowych" style="position:absolute;margin-left:419.2pt;margin-top:55pt;width:129pt;height:65.45pt;z-index:-251511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" filled="f" stroked="f">
                <v:textbox>
                  <w:txbxContent>
                    <w:p w14:paraId="5DF8C2F5" w14:textId="77777777" w:rsidR="00F935A9" w:rsidRPr="000367EA" w:rsidRDefault="00F935A9" w:rsidP="00E964D2">
                      <w:pPr>
                        <w:pStyle w:val="tekstzboku"/>
                      </w:pPr>
                      <w:r>
                        <w:t xml:space="preserve">Mieszkanie na wsi było </w:t>
                      </w:r>
                      <w:r w:rsidRPr="00E964D2">
                        <w:t>większe</w:t>
                      </w:r>
                      <w:r>
                        <w:t xml:space="preserve"> niż w mieście średnio o 35,5 m</w:t>
                      </w:r>
                      <w:r>
                        <w:rPr>
                          <w:vertAlign w:val="superscript"/>
                        </w:rPr>
                        <w:t>2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21338" w:rsidRPr="00027C0E">
        <w:t xml:space="preserve">Na terenie </w:t>
      </w:r>
      <w:r w:rsidR="0047506E" w:rsidRPr="00027C0E">
        <w:t>województwa mazowieckiego w 2022</w:t>
      </w:r>
      <w:r w:rsidR="00421338" w:rsidRPr="00027C0E">
        <w:t xml:space="preserve"> r. przeciętna liczba izb w mieszkaniu </w:t>
      </w:r>
      <w:r w:rsidR="00421338" w:rsidRPr="00027C0E">
        <w:rPr>
          <w:spacing w:val="-2"/>
        </w:rPr>
        <w:t>wynosiła 3,6</w:t>
      </w:r>
      <w:r w:rsidR="0047506E" w:rsidRPr="00027C0E">
        <w:rPr>
          <w:spacing w:val="-2"/>
        </w:rPr>
        <w:t>5</w:t>
      </w:r>
      <w:r w:rsidR="00421338" w:rsidRPr="00027C0E">
        <w:rPr>
          <w:spacing w:val="-2"/>
        </w:rPr>
        <w:t xml:space="preserve"> (w miastach 3,</w:t>
      </w:r>
      <w:r w:rsidR="0047506E" w:rsidRPr="00027C0E">
        <w:rPr>
          <w:spacing w:val="-2"/>
        </w:rPr>
        <w:t>34, na wsi 4,46</w:t>
      </w:r>
      <w:r w:rsidR="00421338" w:rsidRPr="00027C0E">
        <w:rPr>
          <w:spacing w:val="-2"/>
        </w:rPr>
        <w:t>). Największą ich liczbą charakteryzował się powiat ostrołęcki (4,</w:t>
      </w:r>
      <w:r w:rsidR="0047506E" w:rsidRPr="00027C0E">
        <w:rPr>
          <w:spacing w:val="-2"/>
        </w:rPr>
        <w:t xml:space="preserve">82), a </w:t>
      </w:r>
      <w:r w:rsidR="00421338" w:rsidRPr="00027C0E">
        <w:rPr>
          <w:spacing w:val="-2"/>
        </w:rPr>
        <w:t>najmniejszą m.st. Warszawa (3,</w:t>
      </w:r>
      <w:r w:rsidR="0047506E" w:rsidRPr="00027C0E">
        <w:rPr>
          <w:spacing w:val="-2"/>
        </w:rPr>
        <w:t>07</w:t>
      </w:r>
      <w:r w:rsidR="00421338" w:rsidRPr="00027C0E">
        <w:rPr>
          <w:spacing w:val="-2"/>
        </w:rPr>
        <w:t>). Przeciętna powierzchnia użytkowa mieszkania w w</w:t>
      </w:r>
      <w:r w:rsidR="009C2836">
        <w:rPr>
          <w:spacing w:val="-2"/>
        </w:rPr>
        <w:t xml:space="preserve">ojewództwie mazowieckim </w:t>
      </w:r>
      <w:r w:rsidR="007548A3">
        <w:rPr>
          <w:spacing w:val="-2"/>
        </w:rPr>
        <w:t>wzrosła o 0,2 m</w:t>
      </w:r>
      <w:r w:rsidR="007548A3" w:rsidRPr="007548A3">
        <w:rPr>
          <w:spacing w:val="-2"/>
          <w:vertAlign w:val="superscript"/>
        </w:rPr>
        <w:t>2</w:t>
      </w:r>
      <w:r w:rsidR="007548A3">
        <w:rPr>
          <w:spacing w:val="-2"/>
        </w:rPr>
        <w:t xml:space="preserve"> w porównaniu z rokiem poprzednim i </w:t>
      </w:r>
      <w:r w:rsidR="009C2836">
        <w:rPr>
          <w:spacing w:val="-2"/>
        </w:rPr>
        <w:t>wyniosła</w:t>
      </w:r>
      <w:r w:rsidR="0047506E" w:rsidRPr="00027C0E">
        <w:rPr>
          <w:spacing w:val="-2"/>
        </w:rPr>
        <w:t xml:space="preserve"> </w:t>
      </w:r>
      <w:r w:rsidR="0047506E" w:rsidRPr="00032050">
        <w:rPr>
          <w:spacing w:val="4"/>
        </w:rPr>
        <w:t>73,9</w:t>
      </w:r>
      <w:r w:rsidR="00421338" w:rsidRPr="00032050">
        <w:rPr>
          <w:spacing w:val="4"/>
        </w:rPr>
        <w:t xml:space="preserve"> m</w:t>
      </w:r>
      <w:r w:rsidR="00421338" w:rsidRPr="00032050">
        <w:rPr>
          <w:spacing w:val="4"/>
          <w:vertAlign w:val="superscript"/>
        </w:rPr>
        <w:t>2</w:t>
      </w:r>
      <w:r w:rsidR="0047506E" w:rsidRPr="00032050">
        <w:rPr>
          <w:spacing w:val="4"/>
        </w:rPr>
        <w:t xml:space="preserve"> (w miastach 64,3</w:t>
      </w:r>
      <w:r w:rsidR="00421338" w:rsidRPr="00032050">
        <w:rPr>
          <w:spacing w:val="4"/>
        </w:rPr>
        <w:t xml:space="preserve"> m</w:t>
      </w:r>
      <w:r w:rsidR="00421338" w:rsidRPr="00032050">
        <w:rPr>
          <w:spacing w:val="4"/>
          <w:vertAlign w:val="superscript"/>
        </w:rPr>
        <w:t>2</w:t>
      </w:r>
      <w:r w:rsidR="0047506E" w:rsidRPr="00032050">
        <w:rPr>
          <w:spacing w:val="4"/>
        </w:rPr>
        <w:t>, na wsi 99,8</w:t>
      </w:r>
      <w:r w:rsidR="00421338" w:rsidRPr="00032050">
        <w:rPr>
          <w:spacing w:val="4"/>
        </w:rPr>
        <w:t xml:space="preserve"> m</w:t>
      </w:r>
      <w:r w:rsidR="00421338" w:rsidRPr="00032050">
        <w:rPr>
          <w:spacing w:val="4"/>
          <w:vertAlign w:val="superscript"/>
        </w:rPr>
        <w:t>2</w:t>
      </w:r>
      <w:r w:rsidR="007548A3" w:rsidRPr="00032050">
        <w:rPr>
          <w:spacing w:val="4"/>
        </w:rPr>
        <w:t>). W</w:t>
      </w:r>
      <w:r w:rsidR="00421338" w:rsidRPr="00032050">
        <w:rPr>
          <w:spacing w:val="4"/>
        </w:rPr>
        <w:t xml:space="preserve"> przeliczeniu na 1 osobę dawało </w:t>
      </w:r>
      <w:r w:rsidR="003504D0" w:rsidRPr="00032050">
        <w:rPr>
          <w:spacing w:val="4"/>
        </w:rPr>
        <w:t xml:space="preserve">to </w:t>
      </w:r>
      <w:r w:rsidR="00421338" w:rsidRPr="00032050">
        <w:rPr>
          <w:spacing w:val="4"/>
        </w:rPr>
        <w:t xml:space="preserve">średnio </w:t>
      </w:r>
      <w:r w:rsidR="0047506E" w:rsidRPr="00032050">
        <w:rPr>
          <w:spacing w:val="4"/>
        </w:rPr>
        <w:t>33,3</w:t>
      </w:r>
      <w:r w:rsidR="00421338" w:rsidRPr="00032050">
        <w:rPr>
          <w:spacing w:val="4"/>
        </w:rPr>
        <w:t xml:space="preserve"> m</w:t>
      </w:r>
      <w:r w:rsidR="00421338" w:rsidRPr="00032050">
        <w:rPr>
          <w:spacing w:val="4"/>
          <w:vertAlign w:val="superscript"/>
        </w:rPr>
        <w:t>2</w:t>
      </w:r>
      <w:r w:rsidR="00421338" w:rsidRPr="00032050">
        <w:rPr>
          <w:spacing w:val="4"/>
        </w:rPr>
        <w:t xml:space="preserve"> </w:t>
      </w:r>
      <w:r w:rsidR="0047506E" w:rsidRPr="00032050">
        <w:rPr>
          <w:spacing w:val="4"/>
        </w:rPr>
        <w:t>(w miastach 32,7</w:t>
      </w:r>
      <w:r w:rsidR="00421338" w:rsidRPr="00032050">
        <w:rPr>
          <w:spacing w:val="4"/>
        </w:rPr>
        <w:t xml:space="preserve"> m</w:t>
      </w:r>
      <w:r w:rsidR="00421338" w:rsidRPr="00032050">
        <w:rPr>
          <w:spacing w:val="4"/>
          <w:vertAlign w:val="superscript"/>
        </w:rPr>
        <w:t>2</w:t>
      </w:r>
      <w:r w:rsidR="0047506E" w:rsidRPr="00032050">
        <w:rPr>
          <w:spacing w:val="4"/>
        </w:rPr>
        <w:t>, na wsi 34,4</w:t>
      </w:r>
      <w:r w:rsidR="00421338" w:rsidRPr="00032050">
        <w:rPr>
          <w:spacing w:val="4"/>
        </w:rPr>
        <w:t xml:space="preserve"> m</w:t>
      </w:r>
      <w:r w:rsidR="00421338" w:rsidRPr="00032050">
        <w:rPr>
          <w:spacing w:val="4"/>
          <w:vertAlign w:val="superscript"/>
        </w:rPr>
        <w:t>2</w:t>
      </w:r>
      <w:r w:rsidR="00421338" w:rsidRPr="00032050">
        <w:rPr>
          <w:spacing w:val="4"/>
        </w:rPr>
        <w:t xml:space="preserve">). </w:t>
      </w:r>
      <w:r w:rsidR="00421338" w:rsidRPr="00032050">
        <w:rPr>
          <w:spacing w:val="4"/>
          <w:lang w:eastAsia="pl-PL"/>
        </w:rPr>
        <w:t xml:space="preserve">Największą przeciętną powierzchnię użytkową mieszkania odnotowano w powiecie warszawskim </w:t>
      </w:r>
      <w:r w:rsidR="00421338" w:rsidRPr="00032050">
        <w:rPr>
          <w:spacing w:val="4"/>
        </w:rPr>
        <w:t>zachodnim –</w:t>
      </w:r>
      <w:r w:rsidR="000367EA" w:rsidRPr="00032050">
        <w:rPr>
          <w:spacing w:val="4"/>
        </w:rPr>
        <w:t xml:space="preserve"> 110,2</w:t>
      </w:r>
      <w:r w:rsidR="00421338" w:rsidRPr="00032050">
        <w:rPr>
          <w:spacing w:val="4"/>
        </w:rPr>
        <w:t xml:space="preserve"> m</w:t>
      </w:r>
      <w:r w:rsidR="00421338" w:rsidRPr="00032050">
        <w:rPr>
          <w:spacing w:val="4"/>
          <w:vertAlign w:val="superscript"/>
        </w:rPr>
        <w:t>2</w:t>
      </w:r>
      <w:r w:rsidR="00421338" w:rsidRPr="00032050">
        <w:rPr>
          <w:spacing w:val="4"/>
        </w:rPr>
        <w:t>, a najmniejszą w</w:t>
      </w:r>
      <w:r w:rsidR="00421338" w:rsidRPr="00032050">
        <w:rPr>
          <w:spacing w:val="2"/>
        </w:rPr>
        <w:t xml:space="preserve"> m.st. Warszawie – </w:t>
      </w:r>
      <w:r w:rsidR="000367EA" w:rsidRPr="00032050">
        <w:rPr>
          <w:spacing w:val="2"/>
        </w:rPr>
        <w:t>58,8</w:t>
      </w:r>
      <w:r w:rsidR="00421338" w:rsidRPr="00032050">
        <w:rPr>
          <w:spacing w:val="2"/>
        </w:rPr>
        <w:t xml:space="preserve"> m</w:t>
      </w:r>
      <w:r w:rsidR="00421338" w:rsidRPr="00032050">
        <w:rPr>
          <w:spacing w:val="2"/>
          <w:vertAlign w:val="superscript"/>
        </w:rPr>
        <w:t>2</w:t>
      </w:r>
      <w:r w:rsidR="00421338" w:rsidRPr="00032050">
        <w:rPr>
          <w:spacing w:val="2"/>
        </w:rPr>
        <w:t>.</w:t>
      </w:r>
      <w:r w:rsidR="00421338" w:rsidRPr="00032050">
        <w:rPr>
          <w:spacing w:val="-2"/>
        </w:rPr>
        <w:t xml:space="preserve"> </w:t>
      </w:r>
      <w:r w:rsidR="00421338" w:rsidRPr="00E64EBE">
        <w:rPr>
          <w:spacing w:val="2"/>
        </w:rPr>
        <w:t xml:space="preserve">Przeciętna liczba osób </w:t>
      </w:r>
      <w:r w:rsidR="000367EA" w:rsidRPr="00E64EBE">
        <w:rPr>
          <w:spacing w:val="2"/>
        </w:rPr>
        <w:t xml:space="preserve">przypadających na 1 </w:t>
      </w:r>
      <w:r w:rsidR="00421338" w:rsidRPr="00E64EBE">
        <w:rPr>
          <w:spacing w:val="2"/>
        </w:rPr>
        <w:t xml:space="preserve">mieszkanie w porównaniu z </w:t>
      </w:r>
      <w:r w:rsidR="00144C81">
        <w:rPr>
          <w:spacing w:val="2"/>
        </w:rPr>
        <w:t>2021 r.</w:t>
      </w:r>
      <w:r w:rsidR="00421338" w:rsidRPr="00E64EBE">
        <w:rPr>
          <w:spacing w:val="2"/>
        </w:rPr>
        <w:t xml:space="preserve"> zmniejszyła się i wynio</w:t>
      </w:r>
      <w:r w:rsidR="000367EA" w:rsidRPr="00E64EBE">
        <w:rPr>
          <w:spacing w:val="2"/>
        </w:rPr>
        <w:t>sła 2,22</w:t>
      </w:r>
      <w:r w:rsidR="00421338" w:rsidRPr="00E64EBE">
        <w:rPr>
          <w:spacing w:val="2"/>
        </w:rPr>
        <w:t>. W</w:t>
      </w:r>
      <w:r w:rsidR="00421338" w:rsidRPr="00506E96">
        <w:rPr>
          <w:spacing w:val="2"/>
        </w:rPr>
        <w:t xml:space="preserve"> miastach ws</w:t>
      </w:r>
      <w:r w:rsidR="000367EA" w:rsidRPr="00506E96">
        <w:rPr>
          <w:spacing w:val="2"/>
        </w:rPr>
        <w:t>kaźnik ten osiągnął wartość 1,97</w:t>
      </w:r>
      <w:r w:rsidR="00421338" w:rsidRPr="00506E96">
        <w:rPr>
          <w:spacing w:val="2"/>
        </w:rPr>
        <w:t xml:space="preserve">, a na wsi – </w:t>
      </w:r>
      <w:r w:rsidR="000367EA" w:rsidRPr="00506E96">
        <w:rPr>
          <w:spacing w:val="2"/>
        </w:rPr>
        <w:t>2,90</w:t>
      </w:r>
      <w:r w:rsidR="00421338" w:rsidRPr="00506E96">
        <w:rPr>
          <w:spacing w:val="2"/>
        </w:rPr>
        <w:t>. Najbardziej zal</w:t>
      </w:r>
      <w:r w:rsidR="000367EA" w:rsidRPr="00506E96">
        <w:rPr>
          <w:spacing w:val="2"/>
        </w:rPr>
        <w:t xml:space="preserve">udnione mieszkania odnotowano w </w:t>
      </w:r>
      <w:r w:rsidR="00421338" w:rsidRPr="00506E96">
        <w:rPr>
          <w:spacing w:val="2"/>
        </w:rPr>
        <w:t>powiecie ostrołęckim, gdzie przeciętna liczba osób przypadających na 1</w:t>
      </w:r>
      <w:r w:rsidR="00421338" w:rsidRPr="00424D6F">
        <w:t xml:space="preserve"> mieszkanie wynosiła 3,</w:t>
      </w:r>
      <w:r w:rsidR="000367EA" w:rsidRPr="00424D6F">
        <w:t>41</w:t>
      </w:r>
      <w:r w:rsidR="00421338" w:rsidRPr="00424D6F">
        <w:t>. Najmniej zaludnione były mieszkania w m.st. Warszawie –</w:t>
      </w:r>
      <w:r w:rsidR="000367EA" w:rsidRPr="00424D6F">
        <w:t xml:space="preserve"> 1,75</w:t>
      </w:r>
      <w:r w:rsidR="00421338" w:rsidRPr="00424D6F">
        <w:t>.</w:t>
      </w:r>
    </w:p>
    <w:p w14:paraId="4B56F8E2" w14:textId="77777777" w:rsidR="00F8397E" w:rsidRDefault="00547F2B" w:rsidP="00F8397E">
      <w:pPr>
        <w:pStyle w:val="tytumapa"/>
      </w:pPr>
      <w:r>
        <w:t>M</w:t>
      </w:r>
      <w:r w:rsidR="00F8397E">
        <w:t>apa 1. Przeciętna powierzchnia użytkowa mieszkania w 2022 r. (stan w dniu 31 grudnia)</w:t>
      </w:r>
    </w:p>
    <w:p w14:paraId="6296DD6D" w14:textId="77777777" w:rsidR="00C54A24" w:rsidRPr="00C54A24" w:rsidRDefault="00C54A24" w:rsidP="00C54A24">
      <w:r>
        <w:rPr>
          <w:noProof/>
          <w:lang w:eastAsia="pl-PL"/>
        </w:rPr>
        <w:drawing>
          <wp:inline distT="0" distB="0" distL="0" distR="0" wp14:anchorId="45FB60F2" wp14:editId="57C30CD0">
            <wp:extent cx="3672847" cy="3553975"/>
            <wp:effectExtent l="0" t="0" r="3810" b="8890"/>
            <wp:docPr id="16" name="Obraz 16" descr="Na mapie przedstawiono przeciętną powierzchnię użytkową mieszkania według powiatów województwa mazowieckiego w 2022 roku. Dane do mapy dostępne w załączonym pliku excel." title="Mapa 1. Przeciętna powierzchnia użytkowa mieszkania w 2022 r. (stan w dniu 31 grudni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rafika_Zasoby mieszkaniowe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2847" cy="355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98AF1" w14:textId="77777777" w:rsidR="00F8397E" w:rsidRPr="000A2446" w:rsidRDefault="007A6C89" w:rsidP="00E964D2">
      <w:pPr>
        <w:pStyle w:val="Nagwek1"/>
        <w:rPr>
          <w:vertAlign w:val="superscript"/>
        </w:rPr>
      </w:pPr>
      <w:r w:rsidRPr="00E964D2">
        <w:rPr>
          <w:noProof/>
        </w:rPr>
        <mc:AlternateContent>
          <mc:Choice Requires="wps">
            <w:drawing>
              <wp:anchor distT="45720" distB="45720" distL="114300" distR="114300" simplePos="0" relativeHeight="251808768" behindDoc="1" locked="0" layoutInCell="1" allowOverlap="1" wp14:anchorId="70CF6CCA" wp14:editId="31294ED0">
                <wp:simplePos x="0" y="0"/>
                <wp:positionH relativeFrom="page">
                  <wp:posOffset>5748502</wp:posOffset>
                </wp:positionH>
                <wp:positionV relativeFrom="paragraph">
                  <wp:posOffset>379984</wp:posOffset>
                </wp:positionV>
                <wp:extent cx="1724400" cy="831600"/>
                <wp:effectExtent l="0" t="0" r="0" b="0"/>
                <wp:wrapTight wrapText="bothSides">
                  <wp:wrapPolygon edited="0">
                    <wp:start x="716" y="0"/>
                    <wp:lineTo x="716" y="20791"/>
                    <wp:lineTo x="20765" y="20791"/>
                    <wp:lineTo x="20765" y="0"/>
                    <wp:lineTo x="716" y="0"/>
                  </wp:wrapPolygon>
                </wp:wrapTight>
                <wp:docPr id="39" name="Pole tekstowe 39" descr="W wodociąg było wyposażonych 97% mieszkań w województwie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3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2C5C9" w14:textId="77777777" w:rsidR="00F935A9" w:rsidRPr="00D616D2" w:rsidRDefault="00F935A9" w:rsidP="007A6C89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W wodociąg było wyposażonych 97% mieszkań w województwie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F6CCA" id="Pole tekstowe 39" o:spid="_x0000_s1030" type="#_x0000_t202" alt="Tytuł: Istotna informacja — opis: W wodociąg było wyposażonych 97% mieszkań w województwie" style="position:absolute;margin-left:452.65pt;margin-top:29.9pt;width:135.8pt;height:65.5pt;z-index:-2515077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" filled="f" stroked="f">
                <v:textbox>
                  <w:txbxContent>
                    <w:p w14:paraId="08F2C5C9" w14:textId="77777777" w:rsidR="00F935A9" w:rsidRPr="00D616D2" w:rsidRDefault="00F935A9" w:rsidP="007A6C89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W wodociąg było wyposażonych 97% mieszkań w województwie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F8397E" w:rsidRPr="00E964D2">
        <w:t>Wyposażenie mieszkań w instalacje techniczno-sanitarne</w:t>
      </w:r>
      <w:r w:rsidR="000A2446" w:rsidRPr="00D04637">
        <w:rPr>
          <w:vertAlign w:val="superscript"/>
        </w:rPr>
        <w:t>2</w:t>
      </w:r>
    </w:p>
    <w:p w14:paraId="7914326A" w14:textId="77777777" w:rsidR="00F8397E" w:rsidRPr="00F8397E" w:rsidRDefault="00F8397E" w:rsidP="00E964D2">
      <w:pPr>
        <w:rPr>
          <w:lang w:eastAsia="pl-PL"/>
        </w:rPr>
      </w:pPr>
      <w:r w:rsidRPr="00E964D2">
        <w:rPr>
          <w:lang w:eastAsia="pl-PL"/>
        </w:rPr>
        <w:t xml:space="preserve">W </w:t>
      </w:r>
      <w:r w:rsidR="00E964D2" w:rsidRPr="00E964D2">
        <w:rPr>
          <w:lang w:eastAsia="pl-PL"/>
        </w:rPr>
        <w:t>2022 r. w wodociąg wyposażonych było 97,2% ogółu mieszkań w województ</w:t>
      </w:r>
      <w:r w:rsidR="00DB0E94">
        <w:rPr>
          <w:lang w:eastAsia="pl-PL"/>
        </w:rPr>
        <w:t>wie, w ustęp spłukiwany – 95,0%,</w:t>
      </w:r>
      <w:r w:rsidR="00DB0E94">
        <w:rPr>
          <w:spacing w:val="4"/>
          <w:lang w:eastAsia="pl-PL"/>
        </w:rPr>
        <w:t xml:space="preserve"> łazienkę – 93,8%, centralne ogrzewanie – 88,3%,</w:t>
      </w:r>
      <w:r w:rsidRPr="00E964D2">
        <w:rPr>
          <w:spacing w:val="4"/>
          <w:lang w:eastAsia="pl-PL"/>
        </w:rPr>
        <w:t xml:space="preserve"> gaz z sieci –</w:t>
      </w:r>
      <w:r w:rsidR="005B2751">
        <w:rPr>
          <w:spacing w:val="4"/>
          <w:lang w:eastAsia="pl-PL"/>
        </w:rPr>
        <w:t xml:space="preserve"> </w:t>
      </w:r>
      <w:r w:rsidRPr="00E964D2">
        <w:rPr>
          <w:spacing w:val="4"/>
          <w:lang w:eastAsia="pl-PL"/>
        </w:rPr>
        <w:t>59,3%.</w:t>
      </w:r>
      <w:r w:rsidRPr="00F8397E">
        <w:rPr>
          <w:lang w:eastAsia="pl-PL"/>
        </w:rPr>
        <w:t xml:space="preserve"> Wśród powiatów najwyższe ws</w:t>
      </w:r>
      <w:r>
        <w:rPr>
          <w:lang w:eastAsia="pl-PL"/>
        </w:rPr>
        <w:t>kaźniki wyposażania mieszkań w i</w:t>
      </w:r>
      <w:r w:rsidRPr="00F8397E">
        <w:rPr>
          <w:lang w:eastAsia="pl-PL"/>
        </w:rPr>
        <w:t>nstalacje techniczno-</w:t>
      </w:r>
      <w:r w:rsidRPr="00120020">
        <w:rPr>
          <w:spacing w:val="2"/>
          <w:lang w:eastAsia="pl-PL"/>
        </w:rPr>
        <w:t>sanitarne odnotowano w Ostrołęce (99,8% ogółu mieszkań posiadało wodociąg</w:t>
      </w:r>
      <w:r w:rsidR="00D41DA8" w:rsidRPr="00120020">
        <w:rPr>
          <w:spacing w:val="2"/>
          <w:lang w:eastAsia="pl-PL"/>
        </w:rPr>
        <w:t>; 99,5</w:t>
      </w:r>
      <w:r w:rsidRPr="00120020">
        <w:rPr>
          <w:spacing w:val="2"/>
          <w:lang w:eastAsia="pl-PL"/>
        </w:rPr>
        <w:t xml:space="preserve">% </w:t>
      </w:r>
      <w:r w:rsidR="00D41DA8" w:rsidRPr="00120020">
        <w:rPr>
          <w:spacing w:val="2"/>
          <w:lang w:eastAsia="pl-PL"/>
        </w:rPr>
        <w:t>ustęp spłukiwany; 99,2% łazienkę</w:t>
      </w:r>
      <w:r w:rsidRPr="00120020">
        <w:rPr>
          <w:spacing w:val="2"/>
          <w:lang w:eastAsia="pl-PL"/>
        </w:rPr>
        <w:t xml:space="preserve">) i </w:t>
      </w:r>
      <w:r w:rsidR="00D41DA8" w:rsidRPr="00120020">
        <w:rPr>
          <w:spacing w:val="2"/>
          <w:lang w:eastAsia="pl-PL"/>
        </w:rPr>
        <w:t>w m.st. Warszawie (96,4</w:t>
      </w:r>
      <w:r w:rsidRPr="00120020">
        <w:rPr>
          <w:spacing w:val="2"/>
          <w:lang w:eastAsia="pl-PL"/>
        </w:rPr>
        <w:t>% ogółu</w:t>
      </w:r>
      <w:r w:rsidR="00D41DA8" w:rsidRPr="00120020">
        <w:rPr>
          <w:spacing w:val="2"/>
          <w:lang w:eastAsia="pl-PL"/>
        </w:rPr>
        <w:t xml:space="preserve"> mieszkań wyposażonych było w centralne ogrzewanie</w:t>
      </w:r>
      <w:r w:rsidRPr="00120020">
        <w:rPr>
          <w:spacing w:val="2"/>
          <w:lang w:eastAsia="pl-PL"/>
        </w:rPr>
        <w:t>).</w:t>
      </w:r>
      <w:r>
        <w:rPr>
          <w:lang w:eastAsia="pl-PL"/>
        </w:rPr>
        <w:t xml:space="preserve"> </w:t>
      </w:r>
      <w:r w:rsidRPr="00F8397E">
        <w:rPr>
          <w:lang w:eastAsia="pl-PL"/>
        </w:rPr>
        <w:t>Najmniejszym od</w:t>
      </w:r>
      <w:r w:rsidR="00D41DA8">
        <w:rPr>
          <w:lang w:eastAsia="pl-PL"/>
        </w:rPr>
        <w:t xml:space="preserve">setkiem mieszkań wyposażonych w </w:t>
      </w:r>
      <w:r w:rsidRPr="00120020">
        <w:rPr>
          <w:spacing w:val="2"/>
          <w:lang w:eastAsia="pl-PL"/>
        </w:rPr>
        <w:t>wodociąg, charakteryzował</w:t>
      </w:r>
      <w:r w:rsidR="006A2303">
        <w:rPr>
          <w:spacing w:val="2"/>
          <w:lang w:eastAsia="pl-PL"/>
        </w:rPr>
        <w:t xml:space="preserve"> się powiat lipski (</w:t>
      </w:r>
      <w:r w:rsidR="00D41DA8" w:rsidRPr="00120020">
        <w:rPr>
          <w:spacing w:val="2"/>
          <w:lang w:eastAsia="pl-PL"/>
        </w:rPr>
        <w:t>90</w:t>
      </w:r>
      <w:r w:rsidRPr="00120020">
        <w:rPr>
          <w:spacing w:val="2"/>
          <w:lang w:eastAsia="pl-PL"/>
        </w:rPr>
        <w:t>,</w:t>
      </w:r>
      <w:r w:rsidR="006A2303">
        <w:rPr>
          <w:spacing w:val="2"/>
          <w:lang w:eastAsia="pl-PL"/>
        </w:rPr>
        <w:t>6% ogółu mieszkań</w:t>
      </w:r>
      <w:r w:rsidRPr="00120020">
        <w:rPr>
          <w:spacing w:val="2"/>
          <w:lang w:eastAsia="pl-PL"/>
        </w:rPr>
        <w:t>).</w:t>
      </w:r>
      <w:r w:rsidR="00D41DA8" w:rsidRPr="00120020">
        <w:rPr>
          <w:spacing w:val="2"/>
          <w:lang w:eastAsia="pl-PL"/>
        </w:rPr>
        <w:t xml:space="preserve"> </w:t>
      </w:r>
      <w:r w:rsidR="0014758E">
        <w:rPr>
          <w:spacing w:val="2"/>
          <w:lang w:eastAsia="pl-PL"/>
        </w:rPr>
        <w:t>N</w:t>
      </w:r>
      <w:r w:rsidR="00A74EBC" w:rsidRPr="00120020">
        <w:rPr>
          <w:spacing w:val="2"/>
          <w:lang w:eastAsia="pl-PL"/>
        </w:rPr>
        <w:t xml:space="preserve">ajmniej mieszkań wyposażonych w ustęp spłukiwany było </w:t>
      </w:r>
      <w:r w:rsidR="00D41DA8" w:rsidRPr="00120020">
        <w:rPr>
          <w:spacing w:val="2"/>
          <w:lang w:eastAsia="pl-PL"/>
        </w:rPr>
        <w:t>w powiecie szydłowieckim</w:t>
      </w:r>
      <w:r w:rsidRPr="00120020">
        <w:rPr>
          <w:spacing w:val="2"/>
          <w:lang w:eastAsia="pl-PL"/>
        </w:rPr>
        <w:t xml:space="preserve"> (</w:t>
      </w:r>
      <w:r w:rsidR="00D41DA8" w:rsidRPr="00120020">
        <w:rPr>
          <w:spacing w:val="2"/>
          <w:lang w:eastAsia="pl-PL"/>
        </w:rPr>
        <w:t>81</w:t>
      </w:r>
      <w:r w:rsidRPr="00120020">
        <w:rPr>
          <w:spacing w:val="2"/>
          <w:lang w:eastAsia="pl-PL"/>
        </w:rPr>
        <w:t>,</w:t>
      </w:r>
      <w:r w:rsidR="00D41DA8" w:rsidRPr="00120020">
        <w:rPr>
          <w:spacing w:val="2"/>
          <w:lang w:eastAsia="pl-PL"/>
        </w:rPr>
        <w:t>3%</w:t>
      </w:r>
      <w:r w:rsidR="00D41DA8">
        <w:rPr>
          <w:lang w:eastAsia="pl-PL"/>
        </w:rPr>
        <w:t xml:space="preserve"> ogółu mieszkań), </w:t>
      </w:r>
      <w:r w:rsidR="00A74EBC">
        <w:rPr>
          <w:lang w:eastAsia="pl-PL"/>
        </w:rPr>
        <w:t xml:space="preserve">w łazienkę </w:t>
      </w:r>
      <w:r w:rsidR="00D41DA8">
        <w:rPr>
          <w:lang w:eastAsia="pl-PL"/>
        </w:rPr>
        <w:t xml:space="preserve">w </w:t>
      </w:r>
      <w:r w:rsidR="00D66988">
        <w:rPr>
          <w:lang w:eastAsia="pl-PL"/>
        </w:rPr>
        <w:t xml:space="preserve">powiecie </w:t>
      </w:r>
      <w:r w:rsidR="00D41DA8">
        <w:rPr>
          <w:lang w:eastAsia="pl-PL"/>
        </w:rPr>
        <w:t xml:space="preserve">przysuskim </w:t>
      </w:r>
      <w:r w:rsidR="003B3D41">
        <w:rPr>
          <w:lang w:eastAsia="pl-PL"/>
        </w:rPr>
        <w:t xml:space="preserve">(77,3%), </w:t>
      </w:r>
      <w:r w:rsidR="00A74EBC">
        <w:rPr>
          <w:lang w:eastAsia="pl-PL"/>
        </w:rPr>
        <w:t xml:space="preserve">w centralne ogrzewanie w </w:t>
      </w:r>
      <w:r w:rsidR="003B3D41">
        <w:rPr>
          <w:lang w:eastAsia="pl-PL"/>
        </w:rPr>
        <w:t>węgrowskim (68,1%).</w:t>
      </w:r>
      <w:r w:rsidRPr="00F8397E">
        <w:rPr>
          <w:lang w:eastAsia="pl-PL"/>
        </w:rPr>
        <w:t xml:space="preserve"> </w:t>
      </w:r>
      <w:r w:rsidRPr="003A73D3">
        <w:rPr>
          <w:lang w:eastAsia="pl-PL"/>
        </w:rPr>
        <w:t>Najwięcej mieszkań podłączonych do ins</w:t>
      </w:r>
      <w:r w:rsidR="00BC5EF4" w:rsidRPr="003A73D3">
        <w:rPr>
          <w:lang w:eastAsia="pl-PL"/>
        </w:rPr>
        <w:t>talacji gazowej było w powiecie warszawskim zachodnim (83,2</w:t>
      </w:r>
      <w:r w:rsidRPr="003A73D3">
        <w:rPr>
          <w:lang w:eastAsia="pl-PL"/>
        </w:rPr>
        <w:t>% ogółu mieszkań), a najmniej w p</w:t>
      </w:r>
      <w:r w:rsidR="00BC5EF4" w:rsidRPr="003A73D3">
        <w:rPr>
          <w:lang w:eastAsia="pl-PL"/>
        </w:rPr>
        <w:t xml:space="preserve">owiatach lipskim, żuromińskim, </w:t>
      </w:r>
      <w:r w:rsidRPr="003A73D3">
        <w:rPr>
          <w:lang w:eastAsia="pl-PL"/>
        </w:rPr>
        <w:t>przysuskim</w:t>
      </w:r>
      <w:r w:rsidR="00BC5EF4" w:rsidRPr="003A73D3">
        <w:rPr>
          <w:lang w:eastAsia="pl-PL"/>
        </w:rPr>
        <w:t xml:space="preserve"> i makowskim (odpowiednio 0,3%; 0,6%; 0,8%; 0,9%</w:t>
      </w:r>
      <w:r w:rsidRPr="003A73D3">
        <w:rPr>
          <w:lang w:eastAsia="pl-PL"/>
        </w:rPr>
        <w:t>).</w:t>
      </w:r>
    </w:p>
    <w:p w14:paraId="16DEF7CF" w14:textId="77777777" w:rsidR="00215C2A" w:rsidRDefault="00485B76" w:rsidP="009273FE">
      <w:pPr>
        <w:pStyle w:val="Tytuwykresu0"/>
        <w:ind w:left="879" w:hanging="879"/>
      </w:pPr>
      <w:r w:rsidRPr="009273FE">
        <w:lastRenderedPageBreak/>
        <w:t xml:space="preserve">Wykres 2. </w:t>
      </w:r>
      <w:r w:rsidR="009273FE" w:rsidRPr="009273FE">
        <w:t>Mieszkania wyposażone</w:t>
      </w:r>
      <w:r w:rsidRPr="009273FE">
        <w:t xml:space="preserve"> w instalacje techniczno-sanitarne w 2022 r. (stan w dniu 31 grudnia)</w:t>
      </w:r>
    </w:p>
    <w:p w14:paraId="02D577E0" w14:textId="77777777" w:rsidR="004C0FDE" w:rsidRPr="004C0FDE" w:rsidRDefault="004C0FDE" w:rsidP="004C0FDE">
      <w:r>
        <w:rPr>
          <w:noProof/>
          <w:lang w:eastAsia="pl-PL"/>
        </w:rPr>
        <w:drawing>
          <wp:inline distT="0" distB="0" distL="0" distR="0" wp14:anchorId="2C38F147" wp14:editId="1F8CF92D">
            <wp:extent cx="4748794" cy="2493269"/>
            <wp:effectExtent l="0" t="0" r="0" b="2540"/>
            <wp:docPr id="18" name="Obraz 18" descr="Na wykresie słupkowym zaprezentowano stopień wyposażenia mieszkań w instalacje techniczno-sanitarne w 2022 roku w podziale na miasto i wieś. Dane do wykresu dostępne są w załączonym pliku excel." title="Wykres 2. Mieszkania wyposażone w instalacje techniczno-sanitarne w 2022 r. (stan w dniu 31 grudni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fika_Zasoby mieszkaniowe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8794" cy="2493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47E47" w14:textId="77777777" w:rsidR="00C21155" w:rsidRDefault="00762C70" w:rsidP="00C21155">
      <w:pPr>
        <w:pStyle w:val="Nagwek1"/>
        <w:rPr>
          <w:b w:val="0"/>
        </w:rPr>
      </w:pPr>
      <w:r w:rsidRPr="00E64B19">
        <w:rPr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36416" behindDoc="1" locked="0" layoutInCell="1" allowOverlap="1" wp14:anchorId="7E3FF8A7" wp14:editId="77331F8B">
                <wp:simplePos x="0" y="0"/>
                <wp:positionH relativeFrom="page">
                  <wp:posOffset>5720080</wp:posOffset>
                </wp:positionH>
                <wp:positionV relativeFrom="page">
                  <wp:posOffset>3807763</wp:posOffset>
                </wp:positionV>
                <wp:extent cx="1792224" cy="939600"/>
                <wp:effectExtent l="0" t="0" r="0" b="0"/>
                <wp:wrapTight wrapText="bothSides">
                  <wp:wrapPolygon edited="0">
                    <wp:start x="689" y="0"/>
                    <wp:lineTo x="689" y="21030"/>
                    <wp:lineTo x="20896" y="21030"/>
                    <wp:lineTo x="20896" y="0"/>
                    <wp:lineTo x="689" y="0"/>
                  </wp:wrapPolygon>
                </wp:wrapTight>
                <wp:docPr id="24" name="Pole tekstowe 24" descr="Prawie 724 tys. mieszkań w budynkach zarządzanych przez wspólnoty mieszkaniowe należało do osób fizycz-nych 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2224" cy="93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B9A75F" w14:textId="77777777" w:rsidR="00F935A9" w:rsidRPr="00D616D2" w:rsidRDefault="00D92725" w:rsidP="007A6C89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Prawie 724</w:t>
                            </w:r>
                            <w:r w:rsidR="00F935A9" w:rsidRPr="001E4217">
                              <w:t xml:space="preserve"> tys. mieszkań </w:t>
                            </w:r>
                            <w:r w:rsidRPr="001E4217">
                              <w:t xml:space="preserve">w budynkach zarządzanych przez wspólnoty mieszkaniowe </w:t>
                            </w:r>
                            <w:r w:rsidR="00F935A9" w:rsidRPr="001E4217">
                              <w:t>należało do osób fizycznych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1C357D" id="Pole tekstowe 24" o:spid="_x0000_s1031" type="#_x0000_t202" alt="Tytuł: Istotna informacja — opis: Prawie 724 tys. mieszkań w budynkach zarządzanych przez wspólnoty mieszkaniowe należało do osób fizycz-nych " style="position:absolute;margin-left:450.4pt;margin-top:299.8pt;width:141.1pt;height:74pt;z-index:-2514800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" filled="f" stroked="f">
                <v:textbox>
                  <w:txbxContent>
                    <w:p w:rsidR="00F935A9" w:rsidRPr="00D616D2" w:rsidRDefault="00D92725" w:rsidP="007A6C89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Prawie 724</w:t>
                      </w:r>
                      <w:r w:rsidR="00F935A9" w:rsidRPr="001E4217">
                        <w:t xml:space="preserve"> tys. mieszkań </w:t>
                      </w:r>
                      <w:r w:rsidRPr="001E4217">
                        <w:t xml:space="preserve">w budynkach zarządzanych przez wspólnoty mieszkaniowe </w:t>
                      </w:r>
                      <w:r w:rsidR="00F935A9" w:rsidRPr="001E4217">
                        <w:t>należało do osób fizycznych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485B76">
        <w:t>Formy własności zasobów mieszkaniowych</w:t>
      </w:r>
      <w:r w:rsidR="00485B76">
        <w:rPr>
          <w:rStyle w:val="Odwoanieprzypisudolnego"/>
        </w:rPr>
        <w:footnoteReference w:id="3"/>
      </w:r>
    </w:p>
    <w:p w14:paraId="744D4295" w14:textId="77777777" w:rsidR="00E64B19" w:rsidRPr="00E64B19" w:rsidRDefault="00E64B19" w:rsidP="00E64B19">
      <w:pPr>
        <w:rPr>
          <w:lang w:eastAsia="pl-PL"/>
        </w:rPr>
      </w:pPr>
      <w:r w:rsidRPr="00120DEA">
        <w:t xml:space="preserve">Nabywanie na własność </w:t>
      </w:r>
      <w:r w:rsidR="0094654D" w:rsidRPr="00120DEA">
        <w:t xml:space="preserve">przez osoby fizyczne </w:t>
      </w:r>
      <w:r w:rsidRPr="00120DEA">
        <w:t xml:space="preserve">mieszkań w budynkach wielomieszkaniowych spowodowało wzrost zasobów mieszkaniowych, którymi zarządzały wspólnoty mieszkaniowe. W końcu 2022 r. </w:t>
      </w:r>
      <w:r w:rsidR="0094654D" w:rsidRPr="00120DEA">
        <w:t xml:space="preserve">w budynkach wspólnot mieszkaniowych </w:t>
      </w:r>
      <w:r w:rsidRPr="00120DEA">
        <w:t>było 723,7 tys. mieszkań należących do osób fizycznych</w:t>
      </w:r>
      <w:r w:rsidRPr="00E64B19">
        <w:rPr>
          <w:lang w:eastAsia="pl-PL"/>
        </w:rPr>
        <w:t xml:space="preserve">. </w:t>
      </w:r>
    </w:p>
    <w:p w14:paraId="53004856" w14:textId="77777777" w:rsidR="00C30B37" w:rsidRDefault="0037381D" w:rsidP="00A76510">
      <w:pPr>
        <w:pStyle w:val="Tytuwykresu0"/>
        <w:ind w:left="879" w:hanging="879"/>
      </w:pPr>
      <w:r w:rsidRPr="00A76510">
        <w:t>Wykres</w:t>
      </w:r>
      <w:r w:rsidR="00C30B37" w:rsidRPr="00A76510">
        <w:t xml:space="preserve"> 3. Struktura zasobów mieszkanio</w:t>
      </w:r>
      <w:r w:rsidR="00AD172D" w:rsidRPr="00A76510">
        <w:t>wych według form własności w 2022 r. (stan w dniu 31 grudnia</w:t>
      </w:r>
      <w:r w:rsidR="00C30B37" w:rsidRPr="00A76510">
        <w:t xml:space="preserve">) </w:t>
      </w:r>
    </w:p>
    <w:p w14:paraId="4CE3EEF9" w14:textId="77777777" w:rsidR="004C0FDE" w:rsidRPr="004C0FDE" w:rsidRDefault="004C0FDE" w:rsidP="004C0FDE">
      <w:r>
        <w:rPr>
          <w:noProof/>
          <w:lang w:eastAsia="pl-PL"/>
        </w:rPr>
        <w:drawing>
          <wp:inline distT="0" distB="0" distL="0" distR="0" wp14:anchorId="7F4E0184" wp14:editId="6E9D260D">
            <wp:extent cx="4959106" cy="2127508"/>
            <wp:effectExtent l="0" t="0" r="0" b="6350"/>
            <wp:docPr id="25" name="Obraz 25" descr="Na wykresie kołowym zaprezentowano strukturę zasobów mieszkaniowych według form własności w 2022 roku. Dane do wykresu dostępne są w załączonym pliku excel." title="Wykres 3. Struktura zasobów mieszkaniowych według form własności w 2022 r. (stan w dniu 31 grudni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grafika_Zasoby mieszkaniowe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9106" cy="2127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3973A" w14:textId="77777777" w:rsidR="00C95DEC" w:rsidRPr="00C95DEC" w:rsidRDefault="00C95DEC" w:rsidP="007134CF">
      <w:pPr>
        <w:pStyle w:val="notka"/>
        <w:spacing w:before="240"/>
      </w:pPr>
      <w:r w:rsidRPr="00C95DEC">
        <w:t xml:space="preserve">a </w:t>
      </w:r>
      <w:r w:rsidRPr="001E4217">
        <w:t>Mieszkania innych podmiotów obejmują zasoby: deweloperów, związków zawodowych, stowarzyszeń, fundacji, partii politycznych, samorządów zawodowych i gospodarczych,</w:t>
      </w:r>
      <w:r w:rsidR="00A040FC">
        <w:t xml:space="preserve"> Kościoła Katolickiego i związków wyznaniowych, uczelni katolickich I instytutów kościelnych, </w:t>
      </w:r>
      <w:r w:rsidRPr="001E4217">
        <w:t>z pominięciem mieszkań stanowiących własność tych jednostek w budynkach wspólnot mieszkaniowych.</w:t>
      </w:r>
    </w:p>
    <w:p w14:paraId="24DD84EE" w14:textId="77777777" w:rsidR="00C95DEC" w:rsidRPr="00C95DEC" w:rsidRDefault="00C95DEC" w:rsidP="00F950FE">
      <w:pPr>
        <w:spacing w:before="240"/>
      </w:pPr>
      <w:r w:rsidRPr="00C95DEC">
        <w:t>Mieszkania należące do spółdzielni mieszkaniowych zajmowały drugą lokatę pod względem udziału w zasobach mieszkaniowych</w:t>
      </w:r>
      <w:r w:rsidR="00192FAE">
        <w:t xml:space="preserve"> województwa (354,8 tys.). Spośród 12</w:t>
      </w:r>
      <w:r w:rsidR="006D1BD7">
        <w:t>1,4 tys. mieszkań komunalnych 14,5</w:t>
      </w:r>
      <w:r w:rsidRPr="00C95DEC">
        <w:t xml:space="preserve"> tys. to mieszkania niezamieszkane, z czego zdecydowana większość </w:t>
      </w:r>
      <w:r w:rsidR="00C5073B">
        <w:t xml:space="preserve">– </w:t>
      </w:r>
      <w:r w:rsidR="00192FAE">
        <w:t>76,2</w:t>
      </w:r>
      <w:r w:rsidR="00D03078">
        <w:t>% znajdowała</w:t>
      </w:r>
      <w:r w:rsidRPr="00C95DEC">
        <w:t xml:space="preserve"> się w Warszawie. Na terenie województwa mazowieckiego znajdowały się również mieszkania należące do zakładów pracy, Skarbu Państwa, towarzystw budownictwa społecznego oraz innych podmiotów.</w:t>
      </w:r>
      <w:r w:rsidR="00462F63">
        <w:t xml:space="preserve"> Zasoby te stanowiły łącznie 2,4</w:t>
      </w:r>
      <w:r w:rsidRPr="00C95DEC">
        <w:t>% ogółu mieszkań w województwie.</w:t>
      </w:r>
    </w:p>
    <w:p w14:paraId="614177C6" w14:textId="77777777" w:rsidR="00192FAE" w:rsidRPr="00192FAE" w:rsidRDefault="00A41559" w:rsidP="00192FAE">
      <w:pPr>
        <w:pStyle w:val="Nagwek1"/>
      </w:pPr>
      <w:r w:rsidRPr="00E0587A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38464" behindDoc="1" locked="0" layoutInCell="1" allowOverlap="1" wp14:anchorId="1DC9BFBB" wp14:editId="5FCD17E9">
                <wp:simplePos x="0" y="0"/>
                <wp:positionH relativeFrom="page">
                  <wp:posOffset>5702960</wp:posOffset>
                </wp:positionH>
                <wp:positionV relativeFrom="page">
                  <wp:posOffset>851179</wp:posOffset>
                </wp:positionV>
                <wp:extent cx="1746000" cy="939600"/>
                <wp:effectExtent l="0" t="0" r="0" b="0"/>
                <wp:wrapTight wrapText="bothSides">
                  <wp:wrapPolygon edited="0">
                    <wp:start x="707" y="0"/>
                    <wp:lineTo x="707" y="21030"/>
                    <wp:lineTo x="20744" y="21030"/>
                    <wp:lineTo x="20744" y="0"/>
                    <wp:lineTo x="707" y="0"/>
                  </wp:wrapPolygon>
                </wp:wrapTight>
                <wp:docPr id="26" name="Pole tekstowe 26" descr="Ponad 61% kwoty zaległości w opłatach za mieszkanie przypadało na lokatorów zasobów gminn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6000" cy="93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5C43E2" w14:textId="77777777" w:rsidR="00F935A9" w:rsidRPr="00D616D2" w:rsidRDefault="00A41559" w:rsidP="007A6C89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Ponad 61</w:t>
                            </w:r>
                            <w:r w:rsidR="00F935A9">
                              <w:t>% kwoty zaległości w</w:t>
                            </w:r>
                            <w:r w:rsidR="007A6C89">
                              <w:t> </w:t>
                            </w:r>
                            <w:r w:rsidR="00F935A9">
                              <w:t>opłatach za mieszkanie przypadało na lokatorów zasobów gminnych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DC490B" id="Pole tekstowe 26" o:spid="_x0000_s1032" type="#_x0000_t202" alt="Tytuł: Istotna informacja — opis: Ponad 61% kwoty zaległości w opłatach za mieszkanie przypadało na lokatorów zasobów gminnych" style="position:absolute;margin-left:449.05pt;margin-top:67pt;width:137.5pt;height:74pt;z-index:-2514780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" filled="f" stroked="f">
                <v:textbox>
                  <w:txbxContent>
                    <w:p w:rsidR="00F935A9" w:rsidRPr="00D616D2" w:rsidRDefault="00A41559" w:rsidP="007A6C89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Ponad 61</w:t>
                      </w:r>
                      <w:r w:rsidR="00F935A9">
                        <w:t>% kwoty zaległości w</w:t>
                      </w:r>
                      <w:r w:rsidR="007A6C89">
                        <w:t> </w:t>
                      </w:r>
                      <w:r w:rsidR="00F935A9">
                        <w:t>opłatach za mieszkanie przypadało na lokatorów zasobów gminnych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192FAE" w:rsidRPr="00E0587A">
        <w:t>Zaległości w opłatach za mieszkanie</w:t>
      </w:r>
      <w:r w:rsidR="00192FAE">
        <w:rPr>
          <w:rStyle w:val="Odwoanieprzypisudolnego"/>
        </w:rPr>
        <w:footnoteReference w:id="4"/>
      </w:r>
      <w:r w:rsidR="00192FAE" w:rsidRPr="00192FAE">
        <w:t xml:space="preserve"> </w:t>
      </w:r>
    </w:p>
    <w:p w14:paraId="279CD48D" w14:textId="0E34D0C7" w:rsidR="00192FAE" w:rsidRPr="00FD5B15" w:rsidRDefault="00192FAE" w:rsidP="00E0587A">
      <w:r w:rsidRPr="00FD5B15">
        <w:rPr>
          <w:spacing w:val="2"/>
        </w:rPr>
        <w:t>W końcu 2022 r. na terenie województwa było 388,4 tys. mieszkań, których lokatorzy zalegali z opłatami. Łączna kwota zaległości (od początku ich pows</w:t>
      </w:r>
      <w:r w:rsidR="00BF1250" w:rsidRPr="00FD5B15">
        <w:rPr>
          <w:spacing w:val="2"/>
        </w:rPr>
        <w:t>tania wraz z odsetkami) wyniosła</w:t>
      </w:r>
      <w:r w:rsidRPr="00FD5B15">
        <w:t xml:space="preserve"> 1426,6 mln zł</w:t>
      </w:r>
      <w:r w:rsidR="00A61386">
        <w:t xml:space="preserve">. </w:t>
      </w:r>
      <w:r w:rsidR="006E565F" w:rsidRPr="00FD5B15">
        <w:t xml:space="preserve">Największy </w:t>
      </w:r>
      <w:r w:rsidR="00E211A8">
        <w:t xml:space="preserve">udział </w:t>
      </w:r>
      <w:r w:rsidR="006E565F" w:rsidRPr="00FD5B15">
        <w:t xml:space="preserve">mieszkań, których lokatorzy zalegali z opłatami </w:t>
      </w:r>
      <w:r w:rsidRPr="00FD5B15">
        <w:t xml:space="preserve">wystąpił w zasobach </w:t>
      </w:r>
      <w:r w:rsidR="008D5EF2" w:rsidRPr="00FD5B15">
        <w:t xml:space="preserve">komunalnych </w:t>
      </w:r>
      <w:r w:rsidR="004A0464" w:rsidRPr="00FD5B15">
        <w:t>–</w:t>
      </w:r>
      <w:r w:rsidR="008D5EF2" w:rsidRPr="00FD5B15">
        <w:t xml:space="preserve"> 45,4%.</w:t>
      </w:r>
      <w:r w:rsidRPr="00FD5B15">
        <w:t xml:space="preserve"> </w:t>
      </w:r>
      <w:r w:rsidR="008D5EF2" w:rsidRPr="00FD5B15">
        <w:t>W zasobach</w:t>
      </w:r>
      <w:r w:rsidRPr="00FD5B15">
        <w:t xml:space="preserve"> </w:t>
      </w:r>
      <w:r w:rsidR="008D5EF2" w:rsidRPr="00FD5B15">
        <w:t xml:space="preserve">spółdzielni mieszkaniowych </w:t>
      </w:r>
      <w:r w:rsidR="00E211A8">
        <w:t>odsetek</w:t>
      </w:r>
      <w:r w:rsidR="008D5EF2" w:rsidRPr="00FD5B15">
        <w:t xml:space="preserve"> ten stanowił 29</w:t>
      </w:r>
      <w:r w:rsidRPr="00FD5B15">
        <w:t xml:space="preserve">,4%, towarzystw budownictwa społecznego </w:t>
      </w:r>
      <w:r w:rsidR="004A0464" w:rsidRPr="00FD5B15">
        <w:t>–</w:t>
      </w:r>
      <w:r w:rsidRPr="00FD5B15">
        <w:t xml:space="preserve"> 28,7%, </w:t>
      </w:r>
      <w:r w:rsidR="00C30B37" w:rsidRPr="00FD5B15">
        <w:t xml:space="preserve">osób fizycznych w budynkach wspólnot mieszkaniowych </w:t>
      </w:r>
      <w:r w:rsidR="004A0464" w:rsidRPr="00FD5B15">
        <w:t>–</w:t>
      </w:r>
      <w:r w:rsidR="00C30B37" w:rsidRPr="00FD5B15">
        <w:t xml:space="preserve"> 20,8%, </w:t>
      </w:r>
      <w:r w:rsidRPr="00FD5B15">
        <w:t>Skarbu Państwa</w:t>
      </w:r>
      <w:r w:rsidR="006E3DD8" w:rsidRPr="00FD5B15">
        <w:t xml:space="preserve"> </w:t>
      </w:r>
      <w:r w:rsidR="004A0464" w:rsidRPr="00FD5B15">
        <w:t>–</w:t>
      </w:r>
      <w:r w:rsidRPr="00FD5B15">
        <w:t xml:space="preserve"> 11,0</w:t>
      </w:r>
      <w:r w:rsidR="00C30B37" w:rsidRPr="00FD5B15">
        <w:t>%,</w:t>
      </w:r>
      <w:r w:rsidRPr="00FD5B15">
        <w:t xml:space="preserve"> zakładów pracy </w:t>
      </w:r>
      <w:r w:rsidR="004A0464" w:rsidRPr="00FD5B15">
        <w:t>–</w:t>
      </w:r>
      <w:r w:rsidRPr="00FD5B15">
        <w:t xml:space="preserve"> 9,8</w:t>
      </w:r>
      <w:r w:rsidR="00C30B37" w:rsidRPr="00FD5B15">
        <w:t xml:space="preserve">%, a </w:t>
      </w:r>
      <w:r w:rsidRPr="00FD5B15">
        <w:t xml:space="preserve">w zasobach innych podmiotów </w:t>
      </w:r>
      <w:r w:rsidR="004A0464" w:rsidRPr="00FD5B15">
        <w:t>–</w:t>
      </w:r>
      <w:r w:rsidRPr="00FD5B15">
        <w:t xml:space="preserve"> 4,5%.</w:t>
      </w:r>
      <w:r w:rsidR="00E211A8">
        <w:t xml:space="preserve"> Najwyższy udział w ogólnej kwocie zaległości mieli lokatorzy </w:t>
      </w:r>
      <w:r w:rsidR="003D1A40">
        <w:t xml:space="preserve">mieszkań </w:t>
      </w:r>
      <w:r w:rsidR="00E211A8">
        <w:t>pozostający</w:t>
      </w:r>
      <w:r w:rsidR="003D1A40">
        <w:t>ch</w:t>
      </w:r>
      <w:r w:rsidR="00E211A8">
        <w:t xml:space="preserve"> w zasobach gmin – 61,2%</w:t>
      </w:r>
      <w:r w:rsidR="000F223F">
        <w:t>.</w:t>
      </w:r>
    </w:p>
    <w:p w14:paraId="4692F519" w14:textId="77777777" w:rsidR="00C30B37" w:rsidRDefault="004C0FDE" w:rsidP="004C0FDE">
      <w:pPr>
        <w:pStyle w:val="Tytuwykresu0"/>
        <w:keepNext w:val="0"/>
        <w:ind w:left="879" w:hanging="879"/>
        <w:rPr>
          <w:szCs w:val="18"/>
        </w:rPr>
      </w:pPr>
      <w:r>
        <w:drawing>
          <wp:anchor distT="0" distB="0" distL="114300" distR="114300" simplePos="0" relativeHeight="251879424" behindDoc="0" locked="0" layoutInCell="1" allowOverlap="1" wp14:anchorId="5A1B4193" wp14:editId="62AF8EE0">
            <wp:simplePos x="0" y="0"/>
            <wp:positionH relativeFrom="column">
              <wp:posOffset>0</wp:posOffset>
            </wp:positionH>
            <wp:positionV relativeFrom="paragraph">
              <wp:posOffset>513080</wp:posOffset>
            </wp:positionV>
            <wp:extent cx="5122545" cy="2874010"/>
            <wp:effectExtent l="0" t="0" r="1905" b="2540"/>
            <wp:wrapSquare wrapText="bothSides"/>
            <wp:docPr id="42" name="Obraz 42" descr="Na wykresie słupkowym zaprezentowano przeciętną wysokość zaległości przypadającą na 1 mieszkanie według form własności w 2022 roku. Dane do wykresu dostępne są w załączonym pliku excel." title="Wykres 4. Przeciętna wysokość zaległości przypadająca na 1 mieszkanie według form własności w 2022 roku (stan w dniu 31 grudnia)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grafika_Zasoby mieszkaniowe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87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30B37" w:rsidRPr="00C30B37">
        <w:t>Wykres 4. Przeciętna wysokość zaległości przypadająca na 1 mieszka</w:t>
      </w:r>
      <w:r w:rsidR="006E3DD8">
        <w:t>nie według form własności w 2022</w:t>
      </w:r>
      <w:r w:rsidR="00C30B37" w:rsidRPr="00C30B37">
        <w:t xml:space="preserve"> r. </w:t>
      </w:r>
      <w:r w:rsidR="00AD172D">
        <w:rPr>
          <w:szCs w:val="18"/>
        </w:rPr>
        <w:t>(stan w dniu 31 grudnia</w:t>
      </w:r>
      <w:r w:rsidR="00C30B37" w:rsidRPr="00C30B37">
        <w:rPr>
          <w:szCs w:val="18"/>
        </w:rPr>
        <w:t>)</w:t>
      </w:r>
    </w:p>
    <w:p w14:paraId="0ED18BB0" w14:textId="77777777" w:rsidR="004C0FDE" w:rsidRDefault="004C0FDE" w:rsidP="004C0FDE">
      <w:pPr>
        <w:pStyle w:val="notka"/>
        <w:spacing w:before="0" w:after="0" w:line="240" w:lineRule="auto"/>
      </w:pPr>
    </w:p>
    <w:p w14:paraId="17E89CFB" w14:textId="77777777" w:rsidR="00C30B37" w:rsidRPr="00C30B37" w:rsidRDefault="00C30B37" w:rsidP="00E0587A">
      <w:pPr>
        <w:pStyle w:val="notka"/>
      </w:pPr>
      <w:r w:rsidRPr="00C30B37">
        <w:t>a Patrz notka pod wykresem na str. 3.</w:t>
      </w:r>
    </w:p>
    <w:p w14:paraId="51DB0BF2" w14:textId="77777777" w:rsidR="00C30B37" w:rsidRPr="00E0587A" w:rsidRDefault="007A6C89" w:rsidP="00E0587A">
      <w:pPr>
        <w:pStyle w:val="Nagwek1"/>
      </w:pPr>
      <w:r w:rsidRPr="00E0587A">
        <w:rPr>
          <w:noProof/>
        </w:rPr>
        <mc:AlternateContent>
          <mc:Choice Requires="wps">
            <w:drawing>
              <wp:anchor distT="45720" distB="45720" distL="114300" distR="114300" simplePos="0" relativeHeight="251842560" behindDoc="1" locked="0" layoutInCell="1" allowOverlap="1" wp14:anchorId="0409057D" wp14:editId="69244547">
                <wp:simplePos x="0" y="0"/>
                <wp:positionH relativeFrom="rightMargin">
                  <wp:posOffset>214327</wp:posOffset>
                </wp:positionH>
                <wp:positionV relativeFrom="page">
                  <wp:posOffset>6457324</wp:posOffset>
                </wp:positionV>
                <wp:extent cx="1660525" cy="831215"/>
                <wp:effectExtent l="0" t="0" r="0" b="0"/>
                <wp:wrapTight wrapText="bothSides">
                  <wp:wrapPolygon edited="0">
                    <wp:start x="743" y="0"/>
                    <wp:lineTo x="743" y="20791"/>
                    <wp:lineTo x="20815" y="20791"/>
                    <wp:lineTo x="20815" y="0"/>
                    <wp:lineTo x="743" y="0"/>
                  </wp:wrapPolygon>
                </wp:wrapTight>
                <wp:docPr id="5" name="Pole tekstowe 5" descr="W sądzie toczyło się ponad 3 tys. postępowań eksmisyjn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0525" cy="831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D9499E" w14:textId="77777777" w:rsidR="00F935A9" w:rsidRPr="00E0587A" w:rsidRDefault="00F935A9" w:rsidP="00E0587A">
                            <w:pPr>
                              <w:pStyle w:val="tekstzboku"/>
                            </w:pPr>
                            <w:r w:rsidRPr="00E0587A">
                              <w:t>W sądzie toczyło się ponad 3 tys. postępowań eksmisyjnych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6F9A4" id="Pole tekstowe 5" o:spid="_x0000_s1033" type="#_x0000_t202" alt="Tytuł: Istotna informacja — opis: W sądzie toczyło się ponad 3 tys. postępowań eksmisyjnych" style="position:absolute;margin-left:16.9pt;margin-top:508.45pt;width:130.75pt;height:65.45pt;z-index:-25147392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" filled="f" stroked="f">
                <v:textbox>
                  <w:txbxContent>
                    <w:p w:rsidR="00F935A9" w:rsidRPr="00E0587A" w:rsidRDefault="00F935A9" w:rsidP="00E0587A">
                      <w:pPr>
                        <w:pStyle w:val="tekstzboku"/>
                      </w:pPr>
                      <w:r w:rsidRPr="00E0587A">
                        <w:t>W sądzie toczyło się ponad 3 tys. postępowań eksmisyjnych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C30B37" w:rsidRPr="00E0587A">
        <w:t>Działania eksmisyjne</w:t>
      </w:r>
    </w:p>
    <w:p w14:paraId="5B6616AF" w14:textId="77777777" w:rsidR="00C30B37" w:rsidRPr="00FE1820" w:rsidRDefault="00C30B37" w:rsidP="00E0587A">
      <w:r w:rsidRPr="00FE1820">
        <w:t xml:space="preserve">Na terenie województwa mazowieckiego </w:t>
      </w:r>
      <w:r w:rsidR="00C93D55" w:rsidRPr="00FE1820">
        <w:t>według stanu w dniu 31 grudnia</w:t>
      </w:r>
      <w:r w:rsidRPr="00FE1820">
        <w:t xml:space="preserve"> 2022 r. w sądzie toczyło się 3120 postępowań eksmisyjnych (spadek o </w:t>
      </w:r>
      <w:r w:rsidR="00FB5075" w:rsidRPr="00FE1820">
        <w:t>16,8% w porównaniu z 2020</w:t>
      </w:r>
      <w:r w:rsidRPr="00FE1820">
        <w:t xml:space="preserve"> r.</w:t>
      </w:r>
      <w:r w:rsidR="00CB3CA3" w:rsidRPr="00FE1820">
        <w:rPr>
          <w:rStyle w:val="Odwoanieprzypisudolnego"/>
        </w:rPr>
        <w:footnoteReference w:id="5"/>
      </w:r>
      <w:r w:rsidRPr="00FE1820">
        <w:t xml:space="preserve">), z czego 2702 z powodu zaległości w opłatach za mieszkanie </w:t>
      </w:r>
      <w:r w:rsidR="00FB5075" w:rsidRPr="00FE1820">
        <w:t>(wzrost o 1,5</w:t>
      </w:r>
      <w:r w:rsidRPr="00FE1820">
        <w:t>%). Z ogólnej liczby toczących się postepowań eksmisyjnych z</w:t>
      </w:r>
      <w:r w:rsidR="00A6424C" w:rsidRPr="00FE1820">
        <w:t xml:space="preserve"> powodu zaległości w opłatach 84,2</w:t>
      </w:r>
      <w:r w:rsidRPr="00FE1820">
        <w:t>% dotyczyło loka</w:t>
      </w:r>
      <w:r w:rsidR="00A6424C" w:rsidRPr="00FE1820">
        <w:t>torów w zasobach komunalnych, 5,4</w:t>
      </w:r>
      <w:r w:rsidRPr="00FE1820">
        <w:t xml:space="preserve">% </w:t>
      </w:r>
      <w:r w:rsidR="0076765A" w:rsidRPr="00FE1820">
        <w:t>–</w:t>
      </w:r>
      <w:r w:rsidRPr="00FE1820">
        <w:t xml:space="preserve"> osób fizycznych w budy</w:t>
      </w:r>
      <w:r w:rsidR="00A6424C" w:rsidRPr="00FE1820">
        <w:t>nkach wspólnot mieszkaniowych, 5,3</w:t>
      </w:r>
      <w:r w:rsidRPr="00FE1820">
        <w:t xml:space="preserve">% </w:t>
      </w:r>
      <w:r w:rsidR="0076765A" w:rsidRPr="00FE1820">
        <w:t xml:space="preserve">– </w:t>
      </w:r>
      <w:r w:rsidRPr="00FE1820">
        <w:t xml:space="preserve">spółdzielni mieszkaniowych, </w:t>
      </w:r>
      <w:r w:rsidR="00A6424C" w:rsidRPr="00FE1820">
        <w:t xml:space="preserve">2,7% </w:t>
      </w:r>
      <w:r w:rsidR="0076765A" w:rsidRPr="00FE1820">
        <w:t xml:space="preserve">– </w:t>
      </w:r>
      <w:r w:rsidR="00A6424C" w:rsidRPr="00FE1820">
        <w:t>Skarbu Państwa, 1,2</w:t>
      </w:r>
      <w:r w:rsidRPr="00FE1820">
        <w:t xml:space="preserve">% </w:t>
      </w:r>
      <w:r w:rsidR="0076765A" w:rsidRPr="00FE1820">
        <w:t xml:space="preserve">– </w:t>
      </w:r>
      <w:r w:rsidRPr="00FE1820">
        <w:t>towar</w:t>
      </w:r>
      <w:r w:rsidR="00A6424C" w:rsidRPr="00FE1820">
        <w:t xml:space="preserve">zystw budownictwa społecznego, 1,0% </w:t>
      </w:r>
      <w:r w:rsidR="0076765A" w:rsidRPr="00FE1820">
        <w:t xml:space="preserve">– </w:t>
      </w:r>
      <w:r w:rsidR="00976DD2" w:rsidRPr="00FE1820">
        <w:t xml:space="preserve">zakładów pracy, 0,1% – innych podmiotów. </w:t>
      </w:r>
      <w:r w:rsidR="00A6424C" w:rsidRPr="00FE1820">
        <w:t>Na 1422</w:t>
      </w:r>
      <w:r w:rsidR="00FE1820" w:rsidRPr="00FE1820">
        <w:t xml:space="preserve"> orzeczone eksmisje</w:t>
      </w:r>
      <w:r w:rsidR="00A6424C" w:rsidRPr="00FE1820">
        <w:t xml:space="preserve"> 915 zostało wykonanych, z czego 90,8</w:t>
      </w:r>
      <w:r w:rsidRPr="00FE1820">
        <w:t>% z powodu zaległości w opłatach za mieszkanie.</w:t>
      </w:r>
    </w:p>
    <w:p w14:paraId="76811442" w14:textId="3106DC07" w:rsidR="00A6424C" w:rsidRPr="00E0587A" w:rsidRDefault="00A6424C" w:rsidP="00E0587A">
      <w:pPr>
        <w:pStyle w:val="Nagwek1"/>
      </w:pPr>
      <w:r w:rsidRPr="00E0587A">
        <w:t>Remonty i modernizacja zasobów mieszkaniowych</w:t>
      </w:r>
    </w:p>
    <w:p w14:paraId="50F31C44" w14:textId="26EF0BAF" w:rsidR="00C95DEC" w:rsidRDefault="00A6424C" w:rsidP="00B217F5">
      <w:r>
        <w:t xml:space="preserve">W 2022 r. w </w:t>
      </w:r>
      <w:r w:rsidR="00E931EC">
        <w:t>województwie mazowieckim liczba mieszkań, w których przeprowadzono roboty remontowe wyniosła 86,0 tys.</w:t>
      </w:r>
      <w:r>
        <w:t xml:space="preserve"> Wś</w:t>
      </w:r>
      <w:r w:rsidRPr="00CE1110">
        <w:t xml:space="preserve">ród mieszkań, w których </w:t>
      </w:r>
      <w:r w:rsidR="00E931EC">
        <w:t>wykonano</w:t>
      </w:r>
      <w:r w:rsidRPr="00CE1110">
        <w:t xml:space="preserve"> </w:t>
      </w:r>
      <w:r w:rsidRPr="00196164">
        <w:rPr>
          <w:spacing w:val="-2"/>
        </w:rPr>
        <w:t xml:space="preserve">prace remontowe </w:t>
      </w:r>
      <w:r w:rsidR="00E931EC">
        <w:rPr>
          <w:spacing w:val="-2"/>
        </w:rPr>
        <w:t>7,7</w:t>
      </w:r>
      <w:r w:rsidRPr="00196164">
        <w:rPr>
          <w:spacing w:val="-2"/>
        </w:rPr>
        <w:t>% stanowiły mieszkania do których doprowadzono nowe instalacje techniczno-sanitarne</w:t>
      </w:r>
      <w:r>
        <w:t xml:space="preserve">. </w:t>
      </w:r>
      <w:r w:rsidRPr="00196164">
        <w:rPr>
          <w:spacing w:val="-2"/>
        </w:rPr>
        <w:t xml:space="preserve">Do sieci </w:t>
      </w:r>
      <w:r w:rsidR="003D1A40" w:rsidRPr="00E0587A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44608" behindDoc="1" locked="0" layoutInCell="1" allowOverlap="1" wp14:anchorId="2F82AFD4" wp14:editId="30742E93">
                <wp:simplePos x="0" y="0"/>
                <wp:positionH relativeFrom="rightMargin">
                  <wp:posOffset>122834</wp:posOffset>
                </wp:positionH>
                <wp:positionV relativeFrom="page">
                  <wp:posOffset>567792</wp:posOffset>
                </wp:positionV>
                <wp:extent cx="1724025" cy="831215"/>
                <wp:effectExtent l="0" t="0" r="0" b="0"/>
                <wp:wrapTight wrapText="bothSides">
                  <wp:wrapPolygon edited="0">
                    <wp:start x="716" y="0"/>
                    <wp:lineTo x="716" y="20791"/>
                    <wp:lineTo x="20765" y="20791"/>
                    <wp:lineTo x="20765" y="0"/>
                    <wp:lineTo x="716" y="0"/>
                  </wp:wrapPolygon>
                </wp:wrapTight>
                <wp:docPr id="30" name="Pole tekstowe 30" descr="Do sieci wodociągowej podłączono 1,0 tys. mieszkań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31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93276A" w14:textId="77777777" w:rsidR="00F935A9" w:rsidRPr="00D616D2" w:rsidRDefault="00F935A9" w:rsidP="007A6C89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B217F5">
                              <w:t>Do sieci wodociągowej podłączono 1,0 tys. mieszkań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2AFD4" id="Pole tekstowe 30" o:spid="_x0000_s1034" type="#_x0000_t202" alt="Tytuł: Istotna informacja — opis: Do sieci wodociągowej podłączono 1,0 tys. mieszkań" style="position:absolute;margin-left:9.65pt;margin-top:44.7pt;width:135.75pt;height:65.45pt;z-index:-25147187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" filled="f" stroked="f">
                <v:textbox>
                  <w:txbxContent>
                    <w:p w14:paraId="4093276A" w14:textId="77777777" w:rsidR="00F935A9" w:rsidRPr="00D616D2" w:rsidRDefault="00F935A9" w:rsidP="007A6C89">
                      <w:pPr>
                        <w:pStyle w:val="tekstzboku"/>
                        <w:rPr>
                          <w:bCs w:val="0"/>
                        </w:rPr>
                      </w:pPr>
                      <w:r w:rsidRPr="00B217F5">
                        <w:t>Do sieci wodociągowej podłączono 1,0 tys. mieszkań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Pr="00196164">
        <w:rPr>
          <w:spacing w:val="-2"/>
        </w:rPr>
        <w:t>wodociągowej</w:t>
      </w:r>
      <w:r>
        <w:rPr>
          <w:spacing w:val="-2"/>
        </w:rPr>
        <w:t xml:space="preserve"> podłączono 1,0</w:t>
      </w:r>
      <w:r w:rsidRPr="00196164">
        <w:rPr>
          <w:spacing w:val="-2"/>
        </w:rPr>
        <w:t xml:space="preserve"> tys.</w:t>
      </w:r>
      <w:r>
        <w:rPr>
          <w:spacing w:val="-2"/>
        </w:rPr>
        <w:t xml:space="preserve"> mieszkań</w:t>
      </w:r>
      <w:r w:rsidRPr="00196164">
        <w:rPr>
          <w:spacing w:val="-2"/>
        </w:rPr>
        <w:t xml:space="preserve">, </w:t>
      </w:r>
      <w:r>
        <w:t xml:space="preserve">a do sieci </w:t>
      </w:r>
      <w:r w:rsidRPr="00196164">
        <w:rPr>
          <w:spacing w:val="-2"/>
        </w:rPr>
        <w:t>gazowej</w:t>
      </w:r>
      <w:r w:rsidR="00EF65F6">
        <w:t xml:space="preserve"> i kanalizacyjnej po 0,8 tys.</w:t>
      </w:r>
      <w:r>
        <w:t xml:space="preserve"> Natomiast ciepłą wodę dop</w:t>
      </w:r>
      <w:r w:rsidR="002554B3">
        <w:t xml:space="preserve">rowadzono do 3,3 tys. mieszkań, </w:t>
      </w:r>
      <w:r>
        <w:t>centralne ogrzewanie za</w:t>
      </w:r>
      <w:r w:rsidR="002202F9">
        <w:t>instalowano w 2,7</w:t>
      </w:r>
      <w:r>
        <w:t xml:space="preserve"> tys. mieszkań</w:t>
      </w:r>
      <w:r w:rsidR="00B955B2">
        <w:t>.</w:t>
      </w:r>
    </w:p>
    <w:p w14:paraId="199032F3" w14:textId="15594448" w:rsidR="00B955B2" w:rsidRPr="00190A6E" w:rsidRDefault="00B955B2" w:rsidP="00190A6E">
      <w:pPr>
        <w:pStyle w:val="Nagwek1"/>
      </w:pPr>
      <w:r w:rsidRPr="00190A6E">
        <w:t>Koszty utrzymania zasobów mieszkaniowych</w:t>
      </w:r>
    </w:p>
    <w:p w14:paraId="4BFF4A60" w14:textId="40E1950C" w:rsidR="00B955B2" w:rsidRPr="00B955B2" w:rsidRDefault="000F223F" w:rsidP="00190A6E">
      <w:pPr>
        <w:rPr>
          <w:lang w:eastAsia="pl-PL"/>
        </w:rPr>
      </w:pPr>
      <w:r w:rsidRPr="00012A5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46656" behindDoc="1" locked="0" layoutInCell="1" allowOverlap="1" wp14:anchorId="6F5B61A1" wp14:editId="2D37F41D">
                <wp:simplePos x="0" y="0"/>
                <wp:positionH relativeFrom="page">
                  <wp:posOffset>5737200</wp:posOffset>
                </wp:positionH>
                <wp:positionV relativeFrom="page">
                  <wp:posOffset>1823466</wp:posOffset>
                </wp:positionV>
                <wp:extent cx="1724025" cy="831215"/>
                <wp:effectExtent l="0" t="0" r="0" b="0"/>
                <wp:wrapTight wrapText="bothSides">
                  <wp:wrapPolygon edited="0">
                    <wp:start x="716" y="0"/>
                    <wp:lineTo x="716" y="20791"/>
                    <wp:lineTo x="20765" y="20791"/>
                    <wp:lineTo x="20765" y="0"/>
                    <wp:lineTo x="716" y="0"/>
                  </wp:wrapPolygon>
                </wp:wrapTight>
                <wp:docPr id="31" name="Pole tekstowe 31" descr="Koszty eksploatacji stanowiły blisko 52% całkowitych kosztów utrzymania zasobów lokalow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31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5CE34D" w14:textId="77777777" w:rsidR="00F935A9" w:rsidRPr="00190A6E" w:rsidRDefault="00F935A9" w:rsidP="00190A6E">
                            <w:pPr>
                              <w:pStyle w:val="tekstzboku"/>
                            </w:pPr>
                            <w:r w:rsidRPr="00190A6E">
                              <w:t>Koszty eksploatacji stanowiły blisko 52% całkowitych kosztów utrzymania zasobów lokalowych</w:t>
                            </w:r>
                          </w:p>
                          <w:p w14:paraId="3188C888" w14:textId="77777777" w:rsidR="00F935A9" w:rsidRPr="00D616D2" w:rsidRDefault="00F935A9" w:rsidP="00B955B2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5B61A1" id="Pole tekstowe 31" o:spid="_x0000_s1035" type="#_x0000_t202" alt="Tytuł: Istotna informacja — opis: Koszty eksploatacji stanowiły blisko 52% całkowitych kosztów utrzymania zasobów lokalowych" style="position:absolute;margin-left:451.75pt;margin-top:143.6pt;width:135.75pt;height:65.45pt;z-index:-2514698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" filled="f" stroked="f">
                <v:textbox>
                  <w:txbxContent>
                    <w:p w14:paraId="275CE34D" w14:textId="77777777" w:rsidR="00F935A9" w:rsidRPr="00190A6E" w:rsidRDefault="00F935A9" w:rsidP="00190A6E">
                      <w:pPr>
                        <w:pStyle w:val="tekstzboku"/>
                      </w:pPr>
                      <w:r w:rsidRPr="00190A6E">
                        <w:t>Koszty eksploatacji stanowiły blisko 52% całkowitych kosztów utrzymania zasobów lokalowych</w:t>
                      </w:r>
                    </w:p>
                    <w:p w14:paraId="3188C888" w14:textId="77777777" w:rsidR="00F935A9" w:rsidRPr="00D616D2" w:rsidRDefault="00F935A9" w:rsidP="00B955B2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B955B2" w:rsidRPr="00012A54">
        <w:rPr>
          <w:spacing w:val="-2"/>
          <w:lang w:eastAsia="pl-PL"/>
        </w:rPr>
        <w:t>W 2022 r. koszty utrzymania zasobów mieszkaniowych</w:t>
      </w:r>
      <w:r w:rsidR="00B955B2" w:rsidRPr="00012A54">
        <w:rPr>
          <w:spacing w:val="-2"/>
          <w:vertAlign w:val="superscript"/>
          <w:lang w:eastAsia="pl-PL"/>
        </w:rPr>
        <w:footnoteReference w:id="6"/>
      </w:r>
      <w:r w:rsidR="00B955B2" w:rsidRPr="00012A54">
        <w:rPr>
          <w:spacing w:val="-2"/>
          <w:lang w:eastAsia="pl-PL"/>
        </w:rPr>
        <w:t xml:space="preserve"> województwa mazowieckiego wyniosły 10447,3 mln zł.</w:t>
      </w:r>
      <w:r w:rsidR="002E7DB3" w:rsidRPr="00012A54">
        <w:rPr>
          <w:spacing w:val="-2"/>
          <w:lang w:eastAsia="pl-PL"/>
        </w:rPr>
        <w:t xml:space="preserve"> K</w:t>
      </w:r>
      <w:r w:rsidR="00B955B2" w:rsidRPr="00012A54">
        <w:rPr>
          <w:spacing w:val="-2"/>
          <w:lang w:eastAsia="pl-PL"/>
        </w:rPr>
        <w:t>oszty eksploatacji</w:t>
      </w:r>
      <w:r w:rsidR="00B955B2" w:rsidRPr="00012A54">
        <w:rPr>
          <w:spacing w:val="-2"/>
          <w:vertAlign w:val="superscript"/>
          <w:lang w:eastAsia="pl-PL"/>
        </w:rPr>
        <w:footnoteReference w:id="7"/>
      </w:r>
      <w:r w:rsidR="00B955B2" w:rsidRPr="00012A54">
        <w:rPr>
          <w:spacing w:val="-2"/>
          <w:lang w:eastAsia="pl-PL"/>
        </w:rPr>
        <w:t xml:space="preserve"> stanowiły 51,7% całkowitych kosztów </w:t>
      </w:r>
      <w:r w:rsidR="005330B7" w:rsidRPr="00012A54">
        <w:rPr>
          <w:spacing w:val="-2"/>
          <w:lang w:eastAsia="pl-PL"/>
        </w:rPr>
        <w:t xml:space="preserve">utrzymania zasobów lokalowych. </w:t>
      </w:r>
      <w:r w:rsidR="002E5CD2" w:rsidRPr="00012A54">
        <w:rPr>
          <w:spacing w:val="-2"/>
          <w:lang w:eastAsia="pl-PL"/>
        </w:rPr>
        <w:t>Wydatki związane z technicznym utrzymaniem budynków i lokali (konserwacja i</w:t>
      </w:r>
      <w:r w:rsidR="002E5CD2" w:rsidRPr="005B7DBA">
        <w:rPr>
          <w:spacing w:val="-2"/>
          <w:lang w:eastAsia="pl-PL"/>
        </w:rPr>
        <w:t xml:space="preserve"> remonty) stanowiły </w:t>
      </w:r>
      <w:r w:rsidR="00B22A6F" w:rsidRPr="005B7DBA">
        <w:rPr>
          <w:spacing w:val="-2"/>
          <w:lang w:eastAsia="pl-PL"/>
        </w:rPr>
        <w:t>36</w:t>
      </w:r>
      <w:r w:rsidR="002E5CD2" w:rsidRPr="005B7DBA">
        <w:rPr>
          <w:spacing w:val="-2"/>
          <w:lang w:eastAsia="pl-PL"/>
        </w:rPr>
        <w:t>,3</w:t>
      </w:r>
      <w:r w:rsidR="00B22A6F" w:rsidRPr="005B7DBA">
        <w:rPr>
          <w:spacing w:val="-2"/>
          <w:lang w:eastAsia="pl-PL"/>
        </w:rPr>
        <w:t>% kosztów eksploatacyjnych</w:t>
      </w:r>
      <w:r w:rsidR="002E5CD2" w:rsidRPr="005B7DBA">
        <w:rPr>
          <w:spacing w:val="-2"/>
          <w:lang w:eastAsia="pl-PL"/>
        </w:rPr>
        <w:t xml:space="preserve">, </w:t>
      </w:r>
      <w:r w:rsidR="00AB2A1D" w:rsidRPr="005B7DBA">
        <w:rPr>
          <w:spacing w:val="-2"/>
          <w:lang w:eastAsia="pl-PL"/>
        </w:rPr>
        <w:t xml:space="preserve">a </w:t>
      </w:r>
      <w:r w:rsidR="00B22A6F" w:rsidRPr="005B7DBA">
        <w:rPr>
          <w:spacing w:val="-2"/>
          <w:lang w:eastAsia="pl-PL"/>
        </w:rPr>
        <w:t>28,4% – wydatki</w:t>
      </w:r>
      <w:r w:rsidR="00B22A6F">
        <w:rPr>
          <w:lang w:eastAsia="pl-PL"/>
        </w:rPr>
        <w:t xml:space="preserve"> związane z funkcjonowaniem administracji.</w:t>
      </w:r>
      <w:r w:rsidR="008D0739">
        <w:rPr>
          <w:lang w:eastAsia="pl-PL"/>
        </w:rPr>
        <w:t xml:space="preserve"> </w:t>
      </w:r>
      <w:r w:rsidR="00B955B2" w:rsidRPr="00B955B2">
        <w:rPr>
          <w:lang w:eastAsia="pl-PL"/>
        </w:rPr>
        <w:t>Roczne koszty świadczonych</w:t>
      </w:r>
      <w:r w:rsidR="00291739">
        <w:rPr>
          <w:lang w:eastAsia="pl-PL"/>
        </w:rPr>
        <w:t xml:space="preserve"> </w:t>
      </w:r>
      <w:r w:rsidR="00B955B2" w:rsidRPr="00B955B2">
        <w:rPr>
          <w:lang w:eastAsia="pl-PL"/>
        </w:rPr>
        <w:t xml:space="preserve">usług </w:t>
      </w:r>
      <w:r w:rsidR="00291739">
        <w:rPr>
          <w:rStyle w:val="Odwoanieprzypisudolnego"/>
          <w:lang w:eastAsia="pl-PL"/>
        </w:rPr>
        <w:footnoteReference w:id="8"/>
      </w:r>
      <w:r w:rsidR="00291739" w:rsidRPr="00B955B2">
        <w:rPr>
          <w:lang w:eastAsia="pl-PL"/>
        </w:rPr>
        <w:t xml:space="preserve"> </w:t>
      </w:r>
      <w:r w:rsidR="00B955B2" w:rsidRPr="00B955B2">
        <w:rPr>
          <w:lang w:eastAsia="pl-PL"/>
        </w:rPr>
        <w:t>w woj</w:t>
      </w:r>
      <w:r w:rsidR="00B955B2">
        <w:rPr>
          <w:lang w:eastAsia="pl-PL"/>
        </w:rPr>
        <w:t>ewództwie mazowieckim wyniosły 5</w:t>
      </w:r>
      <w:r w:rsidR="00F56784">
        <w:rPr>
          <w:lang w:eastAsia="pl-PL"/>
        </w:rPr>
        <w:t>049,6</w:t>
      </w:r>
      <w:r w:rsidR="00AE78FA">
        <w:rPr>
          <w:lang w:eastAsia="pl-PL"/>
        </w:rPr>
        <w:t xml:space="preserve"> mln zł. </w:t>
      </w:r>
      <w:r w:rsidR="00B955B2" w:rsidRPr="00291739">
        <w:rPr>
          <w:spacing w:val="-2"/>
          <w:lang w:eastAsia="pl-PL"/>
        </w:rPr>
        <w:t>Udział kosztów związanych z centralnym ogrzewaniem i ciepłą wodą w całości świadczonych usług był najwyższy i wyniósł 55,7%.</w:t>
      </w:r>
      <w:r w:rsidR="00B955B2" w:rsidRPr="00B955B2">
        <w:rPr>
          <w:spacing w:val="2"/>
          <w:lang w:eastAsia="pl-PL"/>
        </w:rPr>
        <w:t xml:space="preserve"> </w:t>
      </w:r>
    </w:p>
    <w:p w14:paraId="1BD52443" w14:textId="77777777" w:rsidR="00B955B2" w:rsidRPr="00B955B2" w:rsidRDefault="00B955B2" w:rsidP="00190A6E">
      <w:pPr>
        <w:rPr>
          <w:spacing w:val="-2"/>
          <w:lang w:eastAsia="pl-PL"/>
        </w:rPr>
      </w:pPr>
      <w:r>
        <w:rPr>
          <w:lang w:eastAsia="pl-PL"/>
        </w:rPr>
        <w:t>Wś</w:t>
      </w:r>
      <w:r w:rsidRPr="00B955B2">
        <w:rPr>
          <w:lang w:eastAsia="pl-PL"/>
        </w:rPr>
        <w:t xml:space="preserve">ród jednostek administrujących zasobami mieszkaniowymi w województwie mazowieckim </w:t>
      </w:r>
      <w:r w:rsidRPr="00A95849">
        <w:rPr>
          <w:spacing w:val="-2"/>
          <w:lang w:eastAsia="pl-PL"/>
        </w:rPr>
        <w:t>wystąpiły różnice w poziomie kosztów utrzymania zasobów lokalowych. W przeliczeniu na 1 m</w:t>
      </w:r>
      <w:r w:rsidRPr="00A95849">
        <w:rPr>
          <w:spacing w:val="-2"/>
          <w:vertAlign w:val="superscript"/>
          <w:lang w:eastAsia="pl-PL"/>
        </w:rPr>
        <w:t>2</w:t>
      </w:r>
      <w:r w:rsidRPr="00B955B2">
        <w:rPr>
          <w:lang w:eastAsia="pl-PL"/>
        </w:rPr>
        <w:t xml:space="preserve"> powierzchni użytkowej </w:t>
      </w:r>
      <w:r w:rsidR="00A95849">
        <w:rPr>
          <w:lang w:eastAsia="pl-PL"/>
        </w:rPr>
        <w:t xml:space="preserve">koszty te kształtowały się od </w:t>
      </w:r>
      <w:r w:rsidR="00D03015">
        <w:rPr>
          <w:lang w:eastAsia="pl-PL"/>
        </w:rPr>
        <w:t xml:space="preserve">237,60 zł w zasobach komunalnych do </w:t>
      </w:r>
      <w:r w:rsidR="00A95849">
        <w:rPr>
          <w:lang w:eastAsia="pl-PL"/>
        </w:rPr>
        <w:t>68,15</w:t>
      </w:r>
      <w:r w:rsidRPr="00B955B2">
        <w:rPr>
          <w:lang w:eastAsia="pl-PL"/>
        </w:rPr>
        <w:t xml:space="preserve"> zł w zasobach innych po</w:t>
      </w:r>
      <w:r w:rsidR="00A95849">
        <w:rPr>
          <w:lang w:eastAsia="pl-PL"/>
        </w:rPr>
        <w:t>dmiotów</w:t>
      </w:r>
      <w:r w:rsidRPr="00B955B2">
        <w:rPr>
          <w:lang w:eastAsia="pl-PL"/>
        </w:rPr>
        <w:t>. Koszty e</w:t>
      </w:r>
      <w:r w:rsidR="00A95849">
        <w:rPr>
          <w:lang w:eastAsia="pl-PL"/>
        </w:rPr>
        <w:t xml:space="preserve">ksploatacji w przeliczaniu na 1 </w:t>
      </w:r>
      <w:r w:rsidRPr="00B955B2">
        <w:rPr>
          <w:lang w:eastAsia="pl-PL"/>
        </w:rPr>
        <w:t>m</w:t>
      </w:r>
      <w:r w:rsidRPr="00B955B2">
        <w:rPr>
          <w:vertAlign w:val="superscript"/>
          <w:lang w:eastAsia="pl-PL"/>
        </w:rPr>
        <w:t xml:space="preserve">2 </w:t>
      </w:r>
      <w:r w:rsidRPr="00B955B2">
        <w:rPr>
          <w:lang w:eastAsia="pl-PL"/>
        </w:rPr>
        <w:t>powier</w:t>
      </w:r>
      <w:r w:rsidR="00A95849">
        <w:rPr>
          <w:lang w:eastAsia="pl-PL"/>
        </w:rPr>
        <w:t xml:space="preserve">zchni użytkowej wahały się </w:t>
      </w:r>
      <w:r w:rsidR="00D03015">
        <w:rPr>
          <w:lang w:eastAsia="pl-PL"/>
        </w:rPr>
        <w:t xml:space="preserve">od 170,02 zł w zasobach komunalnych do </w:t>
      </w:r>
      <w:r w:rsidR="00A95849">
        <w:rPr>
          <w:lang w:eastAsia="pl-PL"/>
        </w:rPr>
        <w:t>34,08</w:t>
      </w:r>
      <w:r w:rsidRPr="00B955B2">
        <w:rPr>
          <w:lang w:eastAsia="pl-PL"/>
        </w:rPr>
        <w:t xml:space="preserve"> zł w zasobach </w:t>
      </w:r>
      <w:r w:rsidR="00A95849">
        <w:rPr>
          <w:lang w:eastAsia="pl-PL"/>
        </w:rPr>
        <w:t>innych podmiotów</w:t>
      </w:r>
      <w:r w:rsidR="00D03015">
        <w:rPr>
          <w:lang w:eastAsia="pl-PL"/>
        </w:rPr>
        <w:t>. Najwyższe</w:t>
      </w:r>
      <w:r w:rsidRPr="00B955B2">
        <w:rPr>
          <w:lang w:eastAsia="pl-PL"/>
        </w:rPr>
        <w:t xml:space="preserve"> koszty świadczonych usług w przeliczeniu na 1 m</w:t>
      </w:r>
      <w:r w:rsidRPr="00B955B2">
        <w:rPr>
          <w:vertAlign w:val="superscript"/>
          <w:lang w:eastAsia="pl-PL"/>
        </w:rPr>
        <w:t>2</w:t>
      </w:r>
      <w:r w:rsidRPr="00B955B2">
        <w:rPr>
          <w:lang w:eastAsia="pl-PL"/>
        </w:rPr>
        <w:t xml:space="preserve"> </w:t>
      </w:r>
      <w:r w:rsidRPr="00B955B2">
        <w:rPr>
          <w:spacing w:val="-2"/>
          <w:lang w:eastAsia="pl-PL"/>
        </w:rPr>
        <w:t xml:space="preserve">powierzchni użytkowej wystąpiły </w:t>
      </w:r>
      <w:r w:rsidR="00D03015">
        <w:rPr>
          <w:spacing w:val="-2"/>
          <w:lang w:eastAsia="pl-PL"/>
        </w:rPr>
        <w:t>w zasobach spółdzielni mieszkaniowych – 74</w:t>
      </w:r>
      <w:r w:rsidR="00D03015" w:rsidRPr="00B955B2">
        <w:rPr>
          <w:spacing w:val="-2"/>
          <w:lang w:eastAsia="pl-PL"/>
        </w:rPr>
        <w:t>,</w:t>
      </w:r>
      <w:r w:rsidR="00D03015">
        <w:rPr>
          <w:spacing w:val="-2"/>
          <w:lang w:eastAsia="pl-PL"/>
        </w:rPr>
        <w:t>13</w:t>
      </w:r>
      <w:r w:rsidR="00D03015" w:rsidRPr="00B955B2">
        <w:rPr>
          <w:spacing w:val="-2"/>
          <w:lang w:eastAsia="pl-PL"/>
        </w:rPr>
        <w:t xml:space="preserve"> zł</w:t>
      </w:r>
      <w:r w:rsidR="00D03015">
        <w:rPr>
          <w:spacing w:val="-2"/>
          <w:lang w:eastAsia="pl-PL"/>
        </w:rPr>
        <w:t>,</w:t>
      </w:r>
      <w:r w:rsidR="00D03015" w:rsidRPr="00D03015">
        <w:rPr>
          <w:spacing w:val="-2"/>
          <w:lang w:eastAsia="pl-PL"/>
        </w:rPr>
        <w:t xml:space="preserve"> </w:t>
      </w:r>
      <w:r w:rsidR="00D03015">
        <w:rPr>
          <w:spacing w:val="-2"/>
          <w:lang w:eastAsia="pl-PL"/>
        </w:rPr>
        <w:t xml:space="preserve">najniższe – innych </w:t>
      </w:r>
      <w:r w:rsidR="00A95849">
        <w:rPr>
          <w:spacing w:val="-2"/>
          <w:lang w:eastAsia="pl-PL"/>
        </w:rPr>
        <w:t xml:space="preserve">podmiotów </w:t>
      </w:r>
      <w:r w:rsidR="00925150">
        <w:rPr>
          <w:spacing w:val="-2"/>
          <w:lang w:eastAsia="pl-PL"/>
        </w:rPr>
        <w:t>–</w:t>
      </w:r>
      <w:r w:rsidR="002D2D72">
        <w:rPr>
          <w:spacing w:val="-2"/>
          <w:lang w:eastAsia="pl-PL"/>
        </w:rPr>
        <w:t xml:space="preserve"> </w:t>
      </w:r>
      <w:r w:rsidR="00206E26">
        <w:rPr>
          <w:spacing w:val="-2"/>
          <w:lang w:eastAsia="pl-PL"/>
        </w:rPr>
        <w:t>34,07 zł.</w:t>
      </w:r>
      <w:r w:rsidR="00A95849">
        <w:rPr>
          <w:spacing w:val="-2"/>
          <w:lang w:eastAsia="pl-PL"/>
        </w:rPr>
        <w:t xml:space="preserve"> </w:t>
      </w:r>
    </w:p>
    <w:p w14:paraId="5ADCDA95" w14:textId="77777777" w:rsidR="00B955B2" w:rsidRPr="00B955B2" w:rsidRDefault="00B955B2" w:rsidP="00190A6E">
      <w:pPr>
        <w:rPr>
          <w:lang w:eastAsia="pl-PL"/>
        </w:rPr>
      </w:pPr>
      <w:r w:rsidRPr="00B955B2">
        <w:rPr>
          <w:lang w:eastAsia="pl-PL"/>
        </w:rPr>
        <w:t xml:space="preserve">Średnie </w:t>
      </w:r>
      <w:r w:rsidR="00136284">
        <w:rPr>
          <w:lang w:eastAsia="pl-PL"/>
        </w:rPr>
        <w:t>miesięczne opłaty lokatorów</w:t>
      </w:r>
      <w:r w:rsidRPr="00B955B2">
        <w:rPr>
          <w:lang w:eastAsia="pl-PL"/>
        </w:rPr>
        <w:t xml:space="preserve"> za 1 m</w:t>
      </w:r>
      <w:r w:rsidRPr="00B955B2">
        <w:rPr>
          <w:vertAlign w:val="superscript"/>
          <w:lang w:eastAsia="pl-PL"/>
        </w:rPr>
        <w:t>2</w:t>
      </w:r>
      <w:r w:rsidRPr="00B955B2">
        <w:rPr>
          <w:lang w:eastAsia="pl-PL"/>
        </w:rPr>
        <w:t xml:space="preserve"> powierzchni użytkowej </w:t>
      </w:r>
      <w:r w:rsidR="00A95849">
        <w:rPr>
          <w:lang w:eastAsia="pl-PL"/>
        </w:rPr>
        <w:t>mieszkania kształtowały się od 5,09</w:t>
      </w:r>
      <w:r w:rsidRPr="00B955B2">
        <w:rPr>
          <w:lang w:eastAsia="pl-PL"/>
        </w:rPr>
        <w:t xml:space="preserve"> zł w budynkach wspólnot mieszkaniowych</w:t>
      </w:r>
      <w:r w:rsidR="00A95849">
        <w:rPr>
          <w:lang w:eastAsia="pl-PL"/>
        </w:rPr>
        <w:t xml:space="preserve"> do 14,5</w:t>
      </w:r>
      <w:r w:rsidRPr="00B955B2">
        <w:rPr>
          <w:lang w:eastAsia="pl-PL"/>
        </w:rPr>
        <w:t>0 zł w budynkach towarzystw budownictwa społecznego.</w:t>
      </w:r>
    </w:p>
    <w:p w14:paraId="65BA6177" w14:textId="77777777" w:rsidR="00F732B6" w:rsidRPr="00190A6E" w:rsidRDefault="00F732B6" w:rsidP="00190A6E">
      <w:pPr>
        <w:pStyle w:val="Nagwek1"/>
      </w:pPr>
      <w:r w:rsidRPr="00190A6E">
        <w:t>Zapotrzebowanie na najem lokali od gminy</w:t>
      </w:r>
    </w:p>
    <w:p w14:paraId="3A39FC2E" w14:textId="584BBF0B" w:rsidR="00F732B6" w:rsidRPr="00F732B6" w:rsidRDefault="00591CC9" w:rsidP="00190A6E">
      <w:pPr>
        <w:rPr>
          <w:lang w:eastAsia="pl-PL"/>
        </w:rPr>
      </w:pPr>
      <w:r w:rsidRPr="00190A6E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48704" behindDoc="1" locked="0" layoutInCell="1" allowOverlap="1" wp14:anchorId="3EE29F7F" wp14:editId="1C050689">
                <wp:simplePos x="0" y="0"/>
                <wp:positionH relativeFrom="page">
                  <wp:posOffset>5733415</wp:posOffset>
                </wp:positionH>
                <wp:positionV relativeFrom="page">
                  <wp:posOffset>6762800</wp:posOffset>
                </wp:positionV>
                <wp:extent cx="1724025" cy="1009015"/>
                <wp:effectExtent l="0" t="0" r="0" b="635"/>
                <wp:wrapTight wrapText="bothSides">
                  <wp:wrapPolygon edited="0">
                    <wp:start x="716" y="0"/>
                    <wp:lineTo x="716" y="21206"/>
                    <wp:lineTo x="20765" y="21206"/>
                    <wp:lineTo x="20765" y="0"/>
                    <wp:lineTo x="716" y="0"/>
                  </wp:wrapPolygon>
                </wp:wrapTight>
                <wp:docPr id="32" name="Pole tekstowe 32" descr="W porównaniu z 2021 r. spadła liczba gospodarstw domowych oczekujących na najem lokali mieszkalnych od gminy 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0090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E6FCDC" w14:textId="77777777" w:rsidR="00F935A9" w:rsidRPr="00190A6E" w:rsidRDefault="00F935A9" w:rsidP="00190A6E">
                            <w:pPr>
                              <w:pStyle w:val="tekstzboku"/>
                            </w:pPr>
                            <w:r w:rsidRPr="00190A6E">
                              <w:t xml:space="preserve">W porównaniu z 2021 r. spadła liczba gospodarstw domowych oczekujących na najem lokali mieszkalnych od gminy </w:t>
                            </w:r>
                          </w:p>
                          <w:p w14:paraId="2D7F9030" w14:textId="77777777" w:rsidR="00F935A9" w:rsidRPr="00D616D2" w:rsidRDefault="00F935A9" w:rsidP="00F732B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29F7F" id="Pole tekstowe 32" o:spid="_x0000_s1036" type="#_x0000_t202" alt="Tytuł: Istotna informacja — opis: W porównaniu z 2021 r. spadła liczba gospodarstw domowych oczekujących na najem lokali mieszkalnych od gminy " style="position:absolute;margin-left:451.45pt;margin-top:532.5pt;width:135.75pt;height:79.45pt;z-index:-2514677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" filled="f" stroked="f">
                <v:textbox>
                  <w:txbxContent>
                    <w:p w14:paraId="79E6FCDC" w14:textId="77777777" w:rsidR="00F935A9" w:rsidRPr="00190A6E" w:rsidRDefault="00F935A9" w:rsidP="00190A6E">
                      <w:pPr>
                        <w:pStyle w:val="tekstzboku"/>
                      </w:pPr>
                      <w:r w:rsidRPr="00190A6E">
                        <w:t xml:space="preserve">W porównaniu z 2021 r. spadła liczba gospodarstw domowych oczekujących na najem lokali mieszkalnych od gminy </w:t>
                      </w:r>
                    </w:p>
                    <w:p w14:paraId="2D7F9030" w14:textId="77777777" w:rsidR="00F935A9" w:rsidRPr="00D616D2" w:rsidRDefault="00F935A9" w:rsidP="00F732B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F732B6" w:rsidRPr="00F732B6">
        <w:rPr>
          <w:lang w:eastAsia="pl-PL"/>
        </w:rPr>
        <w:t xml:space="preserve">Według stanu w dniu 31 grudnia </w:t>
      </w:r>
      <w:r w:rsidR="00F732B6">
        <w:rPr>
          <w:lang w:eastAsia="pl-PL"/>
        </w:rPr>
        <w:t>2022</w:t>
      </w:r>
      <w:r w:rsidR="00F732B6" w:rsidRPr="00F732B6">
        <w:rPr>
          <w:lang w:eastAsia="pl-PL"/>
        </w:rPr>
        <w:t xml:space="preserve"> r. liczba lokali mieszkalnych, na k</w:t>
      </w:r>
      <w:r w:rsidR="004C213A">
        <w:rPr>
          <w:lang w:eastAsia="pl-PL"/>
        </w:rPr>
        <w:t>tóre obowiązywały umowy na najem z mieszkaniowego zasobu gmin</w:t>
      </w:r>
      <w:r w:rsidR="00F732B6" w:rsidRPr="00F732B6">
        <w:rPr>
          <w:lang w:eastAsia="pl-PL"/>
        </w:rPr>
        <w:t xml:space="preserve"> (z wyłączeniem lokali zamiennych i </w:t>
      </w:r>
      <w:r w:rsidR="00F732B6" w:rsidRPr="004C213A">
        <w:rPr>
          <w:spacing w:val="-2"/>
          <w:lang w:eastAsia="pl-PL"/>
        </w:rPr>
        <w:t>tymczasowych pomieszczeń)</w:t>
      </w:r>
      <w:r w:rsidR="00917573" w:rsidRPr="004C213A">
        <w:rPr>
          <w:spacing w:val="-2"/>
          <w:lang w:eastAsia="pl-PL"/>
        </w:rPr>
        <w:t xml:space="preserve"> wyniosła 93,9 tys.</w:t>
      </w:r>
      <w:r w:rsidR="00F732B6" w:rsidRPr="004C213A">
        <w:rPr>
          <w:spacing w:val="-2"/>
          <w:lang w:eastAsia="pl-PL"/>
        </w:rPr>
        <w:t xml:space="preserve"> o łącznej powierzchni użytkowej 3810,2 tys</w:t>
      </w:r>
      <w:r w:rsidR="0084739D" w:rsidRPr="004C213A">
        <w:rPr>
          <w:spacing w:val="-2"/>
          <w:lang w:eastAsia="pl-PL"/>
        </w:rPr>
        <w:t>.</w:t>
      </w:r>
      <w:r w:rsidR="00F732B6" w:rsidRPr="004C213A">
        <w:rPr>
          <w:spacing w:val="-2"/>
          <w:lang w:eastAsia="pl-PL"/>
        </w:rPr>
        <w:t xml:space="preserve"> m</w:t>
      </w:r>
      <w:r w:rsidR="00F732B6" w:rsidRPr="004C213A">
        <w:rPr>
          <w:spacing w:val="-2"/>
          <w:vertAlign w:val="superscript"/>
          <w:lang w:eastAsia="pl-PL"/>
        </w:rPr>
        <w:t>2</w:t>
      </w:r>
      <w:r w:rsidR="00F732B6" w:rsidRPr="004C213A">
        <w:rPr>
          <w:spacing w:val="-2"/>
          <w:lang w:eastAsia="pl-PL"/>
        </w:rPr>
        <w:t xml:space="preserve">. </w:t>
      </w:r>
      <w:r w:rsidR="00F60BEE" w:rsidRPr="004C213A">
        <w:rPr>
          <w:spacing w:val="-2"/>
          <w:lang w:eastAsia="pl-PL"/>
        </w:rPr>
        <w:t xml:space="preserve">W porównaniu z 2021 r. ich liczba zmniejszyła się </w:t>
      </w:r>
      <w:r w:rsidR="006468F5" w:rsidRPr="004C213A">
        <w:rPr>
          <w:spacing w:val="-2"/>
          <w:lang w:eastAsia="pl-PL"/>
        </w:rPr>
        <w:t>zaledwie</w:t>
      </w:r>
      <w:r w:rsidR="00370265" w:rsidRPr="004C213A">
        <w:rPr>
          <w:spacing w:val="-2"/>
          <w:lang w:eastAsia="pl-PL"/>
        </w:rPr>
        <w:t xml:space="preserve"> </w:t>
      </w:r>
      <w:r w:rsidR="00F60BEE" w:rsidRPr="004C213A">
        <w:rPr>
          <w:spacing w:val="-2"/>
          <w:lang w:eastAsia="pl-PL"/>
        </w:rPr>
        <w:t>o 0,1%, a powierzchnia użytkowa o</w:t>
      </w:r>
      <w:r w:rsidR="00F60BEE">
        <w:rPr>
          <w:lang w:eastAsia="pl-PL"/>
        </w:rPr>
        <w:t xml:space="preserve"> 0,7%. </w:t>
      </w:r>
      <w:r w:rsidR="00F732B6" w:rsidRPr="00F732B6">
        <w:rPr>
          <w:lang w:eastAsia="pl-PL"/>
        </w:rPr>
        <w:t>Przeciętna powi</w:t>
      </w:r>
      <w:r w:rsidR="0037381D">
        <w:rPr>
          <w:lang w:eastAsia="pl-PL"/>
        </w:rPr>
        <w:t xml:space="preserve">erzchnia wynajmowanego lokalu z </w:t>
      </w:r>
      <w:r w:rsidR="00F732B6" w:rsidRPr="00F732B6">
        <w:rPr>
          <w:lang w:eastAsia="pl-PL"/>
        </w:rPr>
        <w:t>mieszkalnego zasobu gminy ukształtowała się na poziomie</w:t>
      </w:r>
      <w:r w:rsidR="00F732B6">
        <w:rPr>
          <w:lang w:eastAsia="pl-PL"/>
        </w:rPr>
        <w:t xml:space="preserve"> 40,6</w:t>
      </w:r>
      <w:r w:rsidR="00F732B6" w:rsidRPr="00F732B6">
        <w:rPr>
          <w:lang w:eastAsia="pl-PL"/>
        </w:rPr>
        <w:t xml:space="preserve"> m</w:t>
      </w:r>
      <w:r w:rsidR="00F732B6" w:rsidRPr="00F732B6">
        <w:rPr>
          <w:vertAlign w:val="superscript"/>
          <w:lang w:eastAsia="pl-PL"/>
        </w:rPr>
        <w:t>2</w:t>
      </w:r>
      <w:r w:rsidR="000E6ACD">
        <w:rPr>
          <w:lang w:eastAsia="pl-PL"/>
        </w:rPr>
        <w:t xml:space="preserve"> (</w:t>
      </w:r>
      <w:r w:rsidR="00B91A6F">
        <w:rPr>
          <w:lang w:eastAsia="pl-PL"/>
        </w:rPr>
        <w:t>spadek</w:t>
      </w:r>
      <w:r w:rsidR="000E6ACD">
        <w:rPr>
          <w:lang w:eastAsia="pl-PL"/>
        </w:rPr>
        <w:t xml:space="preserve"> o 0,2 m</w:t>
      </w:r>
      <w:r w:rsidR="000E6ACD">
        <w:rPr>
          <w:vertAlign w:val="superscript"/>
          <w:lang w:eastAsia="pl-PL"/>
        </w:rPr>
        <w:t>2</w:t>
      </w:r>
      <w:r w:rsidR="000E6ACD">
        <w:rPr>
          <w:lang w:eastAsia="pl-PL"/>
        </w:rPr>
        <w:t xml:space="preserve"> do roku poprzedniego).</w:t>
      </w:r>
      <w:r w:rsidR="00F732B6" w:rsidRPr="00F732B6">
        <w:rPr>
          <w:lang w:eastAsia="pl-PL"/>
        </w:rPr>
        <w:t xml:space="preserve"> Liczba lokali mieszkalnych, na które obowiązywały umowy na najem socjalny</w:t>
      </w:r>
      <w:r w:rsidR="00F732B6">
        <w:rPr>
          <w:lang w:eastAsia="pl-PL"/>
        </w:rPr>
        <w:t xml:space="preserve"> wyniosła 9960</w:t>
      </w:r>
      <w:r w:rsidR="00E16328">
        <w:rPr>
          <w:lang w:eastAsia="pl-PL"/>
        </w:rPr>
        <w:t>, natomiast</w:t>
      </w:r>
      <w:r w:rsidR="0037381D">
        <w:rPr>
          <w:lang w:eastAsia="pl-PL"/>
        </w:rPr>
        <w:t xml:space="preserve"> </w:t>
      </w:r>
      <w:r w:rsidR="00F732B6">
        <w:rPr>
          <w:lang w:eastAsia="pl-PL"/>
        </w:rPr>
        <w:t>ich powierzchnia 310</w:t>
      </w:r>
      <w:r w:rsidR="00F732B6" w:rsidRPr="00F732B6">
        <w:rPr>
          <w:lang w:eastAsia="pl-PL"/>
        </w:rPr>
        <w:t>,8 tys. m</w:t>
      </w:r>
      <w:r w:rsidR="00F732B6" w:rsidRPr="00F732B6">
        <w:rPr>
          <w:vertAlign w:val="superscript"/>
          <w:lang w:eastAsia="pl-PL"/>
        </w:rPr>
        <w:t>2</w:t>
      </w:r>
      <w:r w:rsidR="00F732B6" w:rsidRPr="00F732B6">
        <w:rPr>
          <w:lang w:eastAsia="pl-PL"/>
        </w:rPr>
        <w:t xml:space="preserve">. </w:t>
      </w:r>
    </w:p>
    <w:p w14:paraId="5D8C4468" w14:textId="77777777" w:rsidR="00F732B6" w:rsidRPr="00F732B6" w:rsidRDefault="00F732B6" w:rsidP="00190A6E">
      <w:r>
        <w:t>W 2022</w:t>
      </w:r>
      <w:r w:rsidRPr="00F732B6">
        <w:t xml:space="preserve"> r. na najem lokali mieszkalnych od gminy (z wyłączeniem lokali zamiennych i tymc</w:t>
      </w:r>
      <w:r w:rsidR="00E93B04">
        <w:t>zasowych pomieszczeń) oczekiwało</w:t>
      </w:r>
      <w:r>
        <w:t xml:space="preserve"> 10676</w:t>
      </w:r>
      <w:r w:rsidR="00E93B04">
        <w:t xml:space="preserve"> gospodarstw domowych</w:t>
      </w:r>
      <w:r w:rsidRPr="00F732B6">
        <w:t xml:space="preserve">, w tym </w:t>
      </w:r>
      <w:r>
        <w:t>5576</w:t>
      </w:r>
      <w:r w:rsidRPr="00F732B6">
        <w:t xml:space="preserve"> na najem lokali socjalnych. </w:t>
      </w:r>
      <w:r>
        <w:t>W porównaniu z 2021</w:t>
      </w:r>
      <w:r w:rsidRPr="00F732B6">
        <w:t xml:space="preserve"> r. liczba oczekujących na najem lokali mieszkalnych obniżyła się</w:t>
      </w:r>
      <w:r>
        <w:t xml:space="preserve"> o 4,3</w:t>
      </w:r>
      <w:r w:rsidRPr="00F732B6">
        <w:t>%.</w:t>
      </w:r>
    </w:p>
    <w:p w14:paraId="69291F7F" w14:textId="77777777" w:rsidR="00F732B6" w:rsidRPr="00F732B6" w:rsidRDefault="00F732B6" w:rsidP="00190A6E">
      <w:pPr>
        <w:rPr>
          <w:lang w:eastAsia="pl-PL"/>
        </w:rPr>
      </w:pPr>
      <w:r w:rsidRPr="00F732B6">
        <w:rPr>
          <w:lang w:eastAsia="pl-PL"/>
        </w:rPr>
        <w:t xml:space="preserve">Na miasta przypadało </w:t>
      </w:r>
      <w:r>
        <w:rPr>
          <w:lang w:eastAsia="pl-PL"/>
        </w:rPr>
        <w:t>84,0</w:t>
      </w:r>
      <w:r w:rsidRPr="00F732B6">
        <w:rPr>
          <w:lang w:eastAsia="pl-PL"/>
        </w:rPr>
        <w:t>% ogółu gospodarstw domowych oczekujących na najem lokali mieszkalny</w:t>
      </w:r>
      <w:r w:rsidR="00790B71">
        <w:rPr>
          <w:lang w:eastAsia="pl-PL"/>
        </w:rPr>
        <w:t>ch</w:t>
      </w:r>
      <w:r w:rsidRPr="00F732B6">
        <w:rPr>
          <w:lang w:eastAsia="pl-PL"/>
        </w:rPr>
        <w:t xml:space="preserve"> od gminy, w przypadku najmu socjalnego było to </w:t>
      </w:r>
      <w:r>
        <w:rPr>
          <w:lang w:eastAsia="pl-PL"/>
        </w:rPr>
        <w:t>86,5</w:t>
      </w:r>
      <w:r w:rsidRPr="00F732B6">
        <w:rPr>
          <w:lang w:eastAsia="pl-PL"/>
        </w:rPr>
        <w:t>%.</w:t>
      </w:r>
    </w:p>
    <w:p w14:paraId="69AA438B" w14:textId="77777777" w:rsidR="00F732B6" w:rsidRPr="00190A6E" w:rsidRDefault="00591CC9" w:rsidP="002D2D72">
      <w:pPr>
        <w:pStyle w:val="Nagwek1"/>
      </w:pPr>
      <w:r w:rsidRPr="00190A6E">
        <w:rPr>
          <w:noProof/>
        </w:rPr>
        <mc:AlternateContent>
          <mc:Choice Requires="wps">
            <w:drawing>
              <wp:anchor distT="45720" distB="45720" distL="114300" distR="114300" simplePos="0" relativeHeight="251850752" behindDoc="1" locked="0" layoutInCell="1" allowOverlap="1" wp14:anchorId="00CF8463" wp14:editId="34D9FED9">
                <wp:simplePos x="0" y="0"/>
                <wp:positionH relativeFrom="page">
                  <wp:posOffset>5746115</wp:posOffset>
                </wp:positionH>
                <wp:positionV relativeFrom="page">
                  <wp:posOffset>8308544</wp:posOffset>
                </wp:positionV>
                <wp:extent cx="1724400" cy="831600"/>
                <wp:effectExtent l="0" t="0" r="0" b="0"/>
                <wp:wrapTight wrapText="bothSides">
                  <wp:wrapPolygon edited="0">
                    <wp:start x="716" y="0"/>
                    <wp:lineTo x="716" y="20791"/>
                    <wp:lineTo x="20765" y="20791"/>
                    <wp:lineTo x="20765" y="0"/>
                    <wp:lineTo x="716" y="0"/>
                  </wp:wrapPolygon>
                </wp:wrapTight>
                <wp:docPr id="33" name="Pole tekstowe 33" descr="Najwięcej dodatków mieszkaniowych wypłacono użytkownikom lokali gminn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3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A78265" w14:textId="77777777" w:rsidR="00F935A9" w:rsidRPr="00190A6E" w:rsidRDefault="00F935A9" w:rsidP="00190A6E">
                            <w:pPr>
                              <w:pStyle w:val="tekstzboku"/>
                            </w:pPr>
                            <w:r w:rsidRPr="00190A6E">
                              <w:t>Najwięcej dodatków mieszkaniowych wypłacono użytkownikom lokali gminnych</w:t>
                            </w:r>
                          </w:p>
                          <w:p w14:paraId="524240DF" w14:textId="77777777" w:rsidR="00F935A9" w:rsidRPr="00D616D2" w:rsidRDefault="00F935A9" w:rsidP="00F732B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F8463" id="Pole tekstowe 33" o:spid="_x0000_s1037" type="#_x0000_t202" alt="Tytuł: Istotna informacja — opis: Najwięcej dodatków mieszkaniowych wypłacono użytkownikom lokali gminnych" style="position:absolute;margin-left:452.45pt;margin-top:654.2pt;width:135.8pt;height:65.5pt;z-index:-2514657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" filled="f" stroked="f">
                <v:textbox>
                  <w:txbxContent>
                    <w:p w14:paraId="41A78265" w14:textId="77777777" w:rsidR="00F935A9" w:rsidRPr="00190A6E" w:rsidRDefault="00F935A9" w:rsidP="00190A6E">
                      <w:pPr>
                        <w:pStyle w:val="tekstzboku"/>
                      </w:pPr>
                      <w:r w:rsidRPr="00190A6E">
                        <w:t>Najwięcej dodatków mieszkaniowych wypłacono użytkownikom lokali gminnych</w:t>
                      </w:r>
                    </w:p>
                    <w:p w14:paraId="524240DF" w14:textId="77777777" w:rsidR="00F935A9" w:rsidRPr="00D616D2" w:rsidRDefault="00F935A9" w:rsidP="00F732B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F732B6" w:rsidRPr="00190A6E">
        <w:t>Dodatki mieszkaniowe</w:t>
      </w:r>
    </w:p>
    <w:p w14:paraId="43EE27BA" w14:textId="77777777" w:rsidR="00F732B6" w:rsidRPr="00F732B6" w:rsidRDefault="00F732B6" w:rsidP="00190A6E">
      <w:pPr>
        <w:rPr>
          <w:lang w:eastAsia="pl-PL"/>
        </w:rPr>
      </w:pPr>
      <w:r w:rsidRPr="00A365B6">
        <w:t>Jedną z form pomocy realizowanej przez gminę jest pomoc socjalna związana z wydatkami ponoszonymi przez lokatorów z tytułu zajmowanego mieszkania. W 2022 r. na terenie województwa mazowieckiego wypłacono 277,9 tys. dodatków mieszkaniowych na ł</w:t>
      </w:r>
      <w:r w:rsidR="00A365B6" w:rsidRPr="00A365B6">
        <w:t>ączną kwotę 76086,9 tys. zł.</w:t>
      </w:r>
      <w:r w:rsidRPr="00A365B6">
        <w:t xml:space="preserve"> Najwyższą kwotę dodatków wypłacono użytkownikom lokali gminnych</w:t>
      </w:r>
      <w:r w:rsidRPr="00190A6E">
        <w:rPr>
          <w:spacing w:val="2"/>
        </w:rPr>
        <w:t xml:space="preserve"> </w:t>
      </w:r>
      <w:r w:rsidRPr="00190A6E">
        <w:rPr>
          <w:spacing w:val="2"/>
        </w:rPr>
        <w:lastRenderedPageBreak/>
        <w:t>(34965,4 tys. zł) oraz lokali spółdzielczych (20216,7 tys. zł),</w:t>
      </w:r>
      <w:r w:rsidRPr="0037381D">
        <w:t xml:space="preserve"> a najniższą w zasobach towarzystw budownictwa społecznego (2455,9 tys. zł).</w:t>
      </w:r>
    </w:p>
    <w:p w14:paraId="2276EA8E" w14:textId="77777777" w:rsidR="00F732B6" w:rsidRPr="00F732B6" w:rsidRDefault="00F732B6" w:rsidP="00610898">
      <w:pPr>
        <w:rPr>
          <w:spacing w:val="-2"/>
          <w:lang w:eastAsia="pl-PL"/>
        </w:rPr>
      </w:pPr>
      <w:r>
        <w:rPr>
          <w:lang w:eastAsia="pl-PL"/>
        </w:rPr>
        <w:t>W porównaniu z 2021 r. zwiększyła</w:t>
      </w:r>
      <w:r w:rsidRPr="00F732B6">
        <w:rPr>
          <w:lang w:eastAsia="pl-PL"/>
        </w:rPr>
        <w:t xml:space="preserve"> się zarówno liczba, jak i łączna kwota wypłaconych dodatków użytkownikom loka</w:t>
      </w:r>
      <w:r>
        <w:rPr>
          <w:lang w:eastAsia="pl-PL"/>
        </w:rPr>
        <w:t xml:space="preserve">li mieszkalnych odpowiednio o </w:t>
      </w:r>
      <w:r w:rsidR="005F3C8D">
        <w:rPr>
          <w:lang w:eastAsia="pl-PL"/>
        </w:rPr>
        <w:t>5,9% i 18,4</w:t>
      </w:r>
      <w:r w:rsidRPr="00F732B6">
        <w:rPr>
          <w:lang w:eastAsia="pl-PL"/>
        </w:rPr>
        <w:t>%. Przeciętna wysokość dod</w:t>
      </w:r>
      <w:r w:rsidR="005F3C8D">
        <w:rPr>
          <w:lang w:eastAsia="pl-PL"/>
        </w:rPr>
        <w:t>atków mieszkaniowych wzrosła o 11,8</w:t>
      </w:r>
      <w:r w:rsidRPr="00F732B6">
        <w:rPr>
          <w:lang w:eastAsia="pl-PL"/>
        </w:rPr>
        <w:t>%.</w:t>
      </w:r>
    </w:p>
    <w:p w14:paraId="47111736" w14:textId="77777777" w:rsidR="006524EB" w:rsidRDefault="004C0FDE" w:rsidP="00915CBB">
      <w:pPr>
        <w:pStyle w:val="Tytuwykresu0"/>
        <w:ind w:left="907" w:hanging="907"/>
        <w:rPr>
          <w:spacing w:val="2"/>
        </w:rPr>
      </w:pPr>
      <w:r>
        <w:drawing>
          <wp:anchor distT="0" distB="0" distL="114300" distR="114300" simplePos="0" relativeHeight="251880448" behindDoc="0" locked="0" layoutInCell="1" allowOverlap="1" wp14:anchorId="5B33A81D" wp14:editId="67C54ECA">
            <wp:simplePos x="0" y="0"/>
            <wp:positionH relativeFrom="column">
              <wp:posOffset>0</wp:posOffset>
            </wp:positionH>
            <wp:positionV relativeFrom="paragraph">
              <wp:posOffset>554990</wp:posOffset>
            </wp:positionV>
            <wp:extent cx="5122545" cy="2204085"/>
            <wp:effectExtent l="0" t="0" r="1905" b="5715"/>
            <wp:wrapSquare wrapText="bothSides"/>
            <wp:docPr id="43" name="Obraz 43" descr="Na wykresie kolumnowym zaprezentowano przeciętną wysokość dodatków mieszkaniowych według form własności mieszkań w 2022 roku w odniesieniu do przeciętnej wysokości dodatków mieszkaniowych w województwie. Dane do wykresu dostępne są w załączonym pliku excel." title="Wykres 5. Przeciętna wysokość dodatków mieszkaniowych według form własności mieszkań w 2022 roku (w zł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grafika_Zasoby mieszkaniowe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204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7381D">
        <w:rPr>
          <w:spacing w:val="2"/>
        </w:rPr>
        <w:t>Wykres 5</w:t>
      </w:r>
      <w:r w:rsidR="006524EB" w:rsidRPr="00915CBB">
        <w:rPr>
          <w:spacing w:val="2"/>
        </w:rPr>
        <w:t xml:space="preserve">. Przeciętna wysokość dodatków mieszkaniowych według form własności </w:t>
      </w:r>
      <w:r w:rsidR="00915CBB" w:rsidRPr="00915CBB">
        <w:rPr>
          <w:spacing w:val="2"/>
        </w:rPr>
        <w:t xml:space="preserve">mieszkań w </w:t>
      </w:r>
      <w:r w:rsidR="00915CBB">
        <w:rPr>
          <w:spacing w:val="2"/>
        </w:rPr>
        <w:t>2022</w:t>
      </w:r>
      <w:r w:rsidR="006524EB" w:rsidRPr="00915CBB">
        <w:rPr>
          <w:spacing w:val="2"/>
        </w:rPr>
        <w:t xml:space="preserve"> r.</w:t>
      </w:r>
      <w:r w:rsidR="009007A1">
        <w:rPr>
          <w:spacing w:val="2"/>
        </w:rPr>
        <w:t xml:space="preserve"> </w:t>
      </w:r>
      <w:r w:rsidR="009007A1" w:rsidRPr="00FB2D7E">
        <w:rPr>
          <w:spacing w:val="2"/>
        </w:rPr>
        <w:t>(w zł)</w:t>
      </w:r>
    </w:p>
    <w:p w14:paraId="75B45359" w14:textId="60E545CF" w:rsidR="00915CBB" w:rsidRPr="00915CBB" w:rsidRDefault="00915CBB" w:rsidP="004C0FDE">
      <w:pPr>
        <w:pStyle w:val="notka"/>
        <w:spacing w:before="240"/>
      </w:pPr>
      <w:r w:rsidRPr="00915CBB">
        <w:t>a Mieszkania innych podmiotów obejmują zasoby: deweloperów, związków zawodowych, stowarzyszeń, fundacji, partii politycznych, samorządów zawodowych i gospodarczych, z pominięciem mieszkań stanowiących własność tych jednostek w budynkach wspólnot mieszkaniowych.</w:t>
      </w:r>
    </w:p>
    <w:p w14:paraId="21EE6A48" w14:textId="7DF08DFA" w:rsidR="00915CBB" w:rsidRPr="00E641D9" w:rsidRDefault="00915CBB" w:rsidP="00E641D9">
      <w:pPr>
        <w:pStyle w:val="Nagwek1"/>
      </w:pPr>
      <w:r w:rsidRPr="00E641D9">
        <w:t xml:space="preserve">Gospodarka gruntami pod budownictwo mieszkaniowe </w:t>
      </w:r>
    </w:p>
    <w:p w14:paraId="527003D4" w14:textId="1083B053" w:rsidR="00915CBB" w:rsidRPr="00915CBB" w:rsidRDefault="00A4673F" w:rsidP="00E641D9">
      <w:pPr>
        <w:rPr>
          <w:lang w:eastAsia="pl-PL"/>
        </w:rPr>
      </w:pPr>
      <w:r w:rsidRPr="00E641D9">
        <w:rPr>
          <w:noProof/>
        </w:rPr>
        <mc:AlternateContent>
          <mc:Choice Requires="wps">
            <w:drawing>
              <wp:anchor distT="45720" distB="45720" distL="114300" distR="114300" simplePos="0" relativeHeight="251854848" behindDoc="1" locked="0" layoutInCell="1" allowOverlap="1" wp14:anchorId="176C9345" wp14:editId="05FACC51">
                <wp:simplePos x="0" y="0"/>
                <wp:positionH relativeFrom="page">
                  <wp:posOffset>5800242</wp:posOffset>
                </wp:positionH>
                <wp:positionV relativeFrom="page">
                  <wp:posOffset>5569027</wp:posOffset>
                </wp:positionV>
                <wp:extent cx="1745615" cy="939165"/>
                <wp:effectExtent l="0" t="0" r="0" b="0"/>
                <wp:wrapTight wrapText="bothSides">
                  <wp:wrapPolygon edited="0">
                    <wp:start x="707" y="0"/>
                    <wp:lineTo x="707" y="21030"/>
                    <wp:lineTo x="20744" y="21030"/>
                    <wp:lineTo x="20744" y="0"/>
                    <wp:lineTo x="707" y="0"/>
                  </wp:wrapPolygon>
                </wp:wrapTight>
                <wp:docPr id="17" name="Pole tekstowe 17" descr="W zasobach gmin 64% gruntów przeznaczonych było pod budownictwo jednorodzinne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5615" cy="939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80DA92" w14:textId="77777777" w:rsidR="00F935A9" w:rsidRPr="00E641D9" w:rsidRDefault="004750CB" w:rsidP="00E641D9">
                            <w:pPr>
                              <w:pStyle w:val="tekstzboku"/>
                            </w:pPr>
                            <w:r>
                              <w:t>W zasobach gmin 64</w:t>
                            </w:r>
                            <w:r w:rsidR="00F935A9" w:rsidRPr="00E641D9">
                              <w:t>% gruntów przeznaczonych było pod budownictwo jednorodzinne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C9345" id="Pole tekstowe 17" o:spid="_x0000_s1038" type="#_x0000_t202" alt="Tytuł: Istotna informacja — opis: W zasobach gmin 64% gruntów przeznaczonych było pod budownictwo jednorodzinne" style="position:absolute;margin-left:456.7pt;margin-top:438.5pt;width:137.45pt;height:73.95pt;z-index:-2514616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" filled="f" stroked="f">
                <v:textbox>
                  <w:txbxContent>
                    <w:p w14:paraId="1780DA92" w14:textId="77777777" w:rsidR="00F935A9" w:rsidRPr="00E641D9" w:rsidRDefault="004750CB" w:rsidP="00E641D9">
                      <w:pPr>
                        <w:pStyle w:val="tekstzboku"/>
                      </w:pPr>
                      <w:r>
                        <w:t>W zasobach gmin 64</w:t>
                      </w:r>
                      <w:r w:rsidR="00F935A9" w:rsidRPr="00E641D9">
                        <w:t>% gruntów przeznaczonych było pod budownictwo jednorodzinne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915CBB" w:rsidRPr="00915CBB">
        <w:rPr>
          <w:lang w:eastAsia="pl-PL"/>
        </w:rPr>
        <w:t>Według stanu w dniu 31 grudnia</w:t>
      </w:r>
      <w:r w:rsidR="00915CBB">
        <w:rPr>
          <w:lang w:eastAsia="pl-PL"/>
        </w:rPr>
        <w:t xml:space="preserve"> 2022</w:t>
      </w:r>
      <w:r w:rsidR="00915CBB" w:rsidRPr="00915CBB">
        <w:rPr>
          <w:lang w:eastAsia="pl-PL"/>
        </w:rPr>
        <w:t xml:space="preserve"> r. gminy posiadały</w:t>
      </w:r>
      <w:r w:rsidR="00915CBB">
        <w:rPr>
          <w:lang w:eastAsia="pl-PL"/>
        </w:rPr>
        <w:t xml:space="preserve"> 1420</w:t>
      </w:r>
      <w:r w:rsidR="00915CBB" w:rsidRPr="00915CBB">
        <w:rPr>
          <w:lang w:eastAsia="pl-PL"/>
        </w:rPr>
        <w:t>,</w:t>
      </w:r>
      <w:r w:rsidR="00915CBB">
        <w:rPr>
          <w:lang w:eastAsia="pl-PL"/>
        </w:rPr>
        <w:t>8</w:t>
      </w:r>
      <w:r w:rsidR="00915CBB" w:rsidRPr="00915CBB">
        <w:rPr>
          <w:lang w:eastAsia="pl-PL"/>
        </w:rPr>
        <w:t xml:space="preserve"> ha gruntów niezabudowanych przeznaczonych pod budownictwo mieszkaniowe, z czego </w:t>
      </w:r>
      <w:r w:rsidR="00915CBB">
        <w:rPr>
          <w:lang w:eastAsia="pl-PL"/>
        </w:rPr>
        <w:t>64</w:t>
      </w:r>
      <w:r w:rsidR="00915CBB" w:rsidRPr="00915CBB">
        <w:rPr>
          <w:lang w:eastAsia="pl-PL"/>
        </w:rPr>
        <w:t>,</w:t>
      </w:r>
      <w:r w:rsidR="00915CBB">
        <w:rPr>
          <w:lang w:eastAsia="pl-PL"/>
        </w:rPr>
        <w:t>1</w:t>
      </w:r>
      <w:r w:rsidR="00915CBB" w:rsidRPr="00915CBB">
        <w:rPr>
          <w:lang w:eastAsia="pl-PL"/>
        </w:rPr>
        <w:t>% gruntów pod zabudowę jednorodzinną. Z ogólnej powierzchni gruntów przeznaczonych pod budowę mieszkań</w:t>
      </w:r>
      <w:r w:rsidR="00915CBB">
        <w:rPr>
          <w:lang w:eastAsia="pl-PL"/>
        </w:rPr>
        <w:t xml:space="preserve"> 70</w:t>
      </w:r>
      <w:r w:rsidR="00915CBB" w:rsidRPr="00915CBB">
        <w:rPr>
          <w:lang w:eastAsia="pl-PL"/>
        </w:rPr>
        <w:t>,</w:t>
      </w:r>
      <w:r w:rsidR="00915CBB">
        <w:rPr>
          <w:lang w:eastAsia="pl-PL"/>
        </w:rPr>
        <w:t>1</w:t>
      </w:r>
      <w:r w:rsidR="00915CBB" w:rsidRPr="00915CBB">
        <w:rPr>
          <w:lang w:eastAsia="pl-PL"/>
        </w:rPr>
        <w:t xml:space="preserve">% znajdowało się na terenach miejskich. W porównaniu z rokiem poprzednim odnotowano </w:t>
      </w:r>
      <w:r w:rsidR="00915CBB">
        <w:rPr>
          <w:lang w:eastAsia="pl-PL"/>
        </w:rPr>
        <w:t>wzrost</w:t>
      </w:r>
      <w:r w:rsidR="00915CBB" w:rsidRPr="00915CBB">
        <w:rPr>
          <w:lang w:eastAsia="pl-PL"/>
        </w:rPr>
        <w:t xml:space="preserve"> powierzchni gruntów pod budownictwo mieszkaniowe o 1</w:t>
      </w:r>
      <w:r w:rsidR="00915CBB">
        <w:rPr>
          <w:lang w:eastAsia="pl-PL"/>
        </w:rPr>
        <w:t>1</w:t>
      </w:r>
      <w:r w:rsidR="00915CBB" w:rsidRPr="00915CBB">
        <w:rPr>
          <w:lang w:eastAsia="pl-PL"/>
        </w:rPr>
        <w:t>,</w:t>
      </w:r>
      <w:r w:rsidR="00915CBB">
        <w:rPr>
          <w:lang w:eastAsia="pl-PL"/>
        </w:rPr>
        <w:t>2</w:t>
      </w:r>
      <w:r w:rsidR="00915CBB" w:rsidRPr="00915CBB">
        <w:rPr>
          <w:lang w:eastAsia="pl-PL"/>
        </w:rPr>
        <w:t xml:space="preserve">%. W </w:t>
      </w:r>
      <w:r w:rsidR="00915CBB">
        <w:rPr>
          <w:lang w:eastAsia="pl-PL"/>
        </w:rPr>
        <w:t>2022</w:t>
      </w:r>
      <w:r w:rsidR="00915CBB" w:rsidRPr="00915CBB">
        <w:rPr>
          <w:lang w:eastAsia="pl-PL"/>
        </w:rPr>
        <w:t xml:space="preserve"> r. gminy przekazały inwestorom pod budowę mieszkań </w:t>
      </w:r>
      <w:r w:rsidR="00915CBB">
        <w:rPr>
          <w:lang w:eastAsia="pl-PL"/>
        </w:rPr>
        <w:t>33</w:t>
      </w:r>
      <w:r w:rsidR="00915CBB" w:rsidRPr="00915CBB">
        <w:rPr>
          <w:lang w:eastAsia="pl-PL"/>
        </w:rPr>
        <w:t>,</w:t>
      </w:r>
      <w:r w:rsidR="00915CBB">
        <w:rPr>
          <w:lang w:eastAsia="pl-PL"/>
        </w:rPr>
        <w:t>4</w:t>
      </w:r>
      <w:r w:rsidR="00915CBB" w:rsidRPr="00915CBB">
        <w:rPr>
          <w:lang w:eastAsia="pl-PL"/>
        </w:rPr>
        <w:t xml:space="preserve"> ha gruntów,</w:t>
      </w:r>
      <w:r w:rsidR="00915CBB">
        <w:rPr>
          <w:lang w:eastAsia="pl-PL"/>
        </w:rPr>
        <w:t xml:space="preserve"> w </w:t>
      </w:r>
      <w:r w:rsidR="00915CBB" w:rsidRPr="00915CBB">
        <w:rPr>
          <w:lang w:eastAsia="pl-PL"/>
        </w:rPr>
        <w:t xml:space="preserve">tym </w:t>
      </w:r>
      <w:r w:rsidR="00915CBB">
        <w:rPr>
          <w:lang w:eastAsia="pl-PL"/>
        </w:rPr>
        <w:t>76</w:t>
      </w:r>
      <w:r w:rsidR="00915CBB" w:rsidRPr="00915CBB">
        <w:rPr>
          <w:lang w:eastAsia="pl-PL"/>
        </w:rPr>
        <w:t>,</w:t>
      </w:r>
      <w:r w:rsidR="00915CBB">
        <w:rPr>
          <w:lang w:eastAsia="pl-PL"/>
        </w:rPr>
        <w:t>0</w:t>
      </w:r>
      <w:r w:rsidR="00915CBB" w:rsidRPr="00915CBB">
        <w:rPr>
          <w:lang w:eastAsia="pl-PL"/>
        </w:rPr>
        <w:t xml:space="preserve">% pod zabudowę jednorodzinną. Przekazane grunty w miastach stanowiły </w:t>
      </w:r>
      <w:r w:rsidR="00650938">
        <w:rPr>
          <w:lang w:eastAsia="pl-PL"/>
        </w:rPr>
        <w:t>67</w:t>
      </w:r>
      <w:r w:rsidR="00915CBB" w:rsidRPr="00915CBB">
        <w:rPr>
          <w:lang w:eastAsia="pl-PL"/>
        </w:rPr>
        <w:t>,</w:t>
      </w:r>
      <w:r w:rsidR="00650938">
        <w:rPr>
          <w:lang w:eastAsia="pl-PL"/>
        </w:rPr>
        <w:t>4</w:t>
      </w:r>
      <w:r w:rsidR="00915CBB" w:rsidRPr="00915CBB">
        <w:rPr>
          <w:lang w:eastAsia="pl-PL"/>
        </w:rPr>
        <w:t xml:space="preserve">% ogólnej ich powierzchni. </w:t>
      </w:r>
    </w:p>
    <w:p w14:paraId="2E4FB448" w14:textId="77777777" w:rsidR="00C95DEC" w:rsidRDefault="00C95DEC" w:rsidP="002D2D72">
      <w:pPr>
        <w:spacing w:before="2280"/>
      </w:pPr>
      <w:r w:rsidRPr="0005100B">
        <w:t xml:space="preserve">W przypadku cytowania danych Głównego Urzędu Statystycznego prosimy o zamieszczenie </w:t>
      </w:r>
      <w:bookmarkStart w:id="0" w:name="_GoBack"/>
      <w:bookmarkEnd w:id="0"/>
      <w:r>
        <w:t>informacji: „Źródło danych</w:t>
      </w:r>
      <w:r w:rsidRPr="0005100B">
        <w:t xml:space="preserve"> GUS”, a w przypadku publikowania obliczeń dokonanych</w:t>
      </w:r>
      <w:r w:rsidR="00523E13">
        <w:br/>
      </w:r>
      <w:r w:rsidRPr="0005100B">
        <w:t>na danych opublikowanych prze</w:t>
      </w:r>
      <w:r>
        <w:t>z GUS</w:t>
      </w:r>
      <w:r w:rsidRPr="0005100B">
        <w:t xml:space="preserve"> prosimy o zam</w:t>
      </w:r>
      <w:r>
        <w:t>ieszczenie informacji: „O</w:t>
      </w:r>
      <w:r w:rsidRPr="0005100B">
        <w:t>pracowanie własne na podstawie danych GUS</w:t>
      </w:r>
      <w:r>
        <w:t>”.</w:t>
      </w:r>
    </w:p>
    <w:p w14:paraId="42C406F2" w14:textId="77777777" w:rsidR="00C95DEC" w:rsidRDefault="00C95DEC" w:rsidP="00E60A08">
      <w:pPr>
        <w:rPr>
          <w:sz w:val="18"/>
        </w:rPr>
      </w:pPr>
    </w:p>
    <w:p w14:paraId="754B551E" w14:textId="77777777" w:rsidR="006D5264" w:rsidRDefault="006D5264" w:rsidP="00DA331D">
      <w:pPr>
        <w:spacing w:before="360"/>
        <w:rPr>
          <w:sz w:val="18"/>
        </w:rPr>
      </w:pPr>
    </w:p>
    <w:p w14:paraId="660D4C9E" w14:textId="77777777" w:rsidR="000D65A4" w:rsidRPr="00001C5B" w:rsidRDefault="000D65A4" w:rsidP="00DA331D">
      <w:pPr>
        <w:spacing w:before="360"/>
        <w:rPr>
          <w:sz w:val="18"/>
        </w:rPr>
        <w:sectPr w:rsidR="000D65A4" w:rsidRPr="00001C5B" w:rsidSect="003B18B6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51C43445" w14:textId="77777777" w:rsidTr="00BA2BA7">
        <w:trPr>
          <w:trHeight w:val="1626"/>
        </w:trPr>
        <w:tc>
          <w:tcPr>
            <w:tcW w:w="4926" w:type="dxa"/>
          </w:tcPr>
          <w:p w14:paraId="274138D2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0C2D8797" w14:textId="77777777" w:rsidR="00F84DC1" w:rsidRPr="00F84DC1" w:rsidRDefault="00F84DC1" w:rsidP="00F84DC1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F84DC1">
              <w:rPr>
                <w:rFonts w:cs="Arial"/>
                <w:b/>
                <w:sz w:val="20"/>
              </w:rPr>
              <w:t>Urząd Statystyczny w Warszawie</w:t>
            </w:r>
          </w:p>
          <w:p w14:paraId="49B76147" w14:textId="77777777" w:rsidR="00F84DC1" w:rsidRPr="005E7E20" w:rsidRDefault="00A060DA" w:rsidP="00F84DC1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>
              <w:rPr>
                <w:b/>
                <w:sz w:val="20"/>
                <w:szCs w:val="20"/>
                <w:lang w:val="fi-FI"/>
              </w:rPr>
              <w:t>Dyrektor Agnieszka Ajdyn</w:t>
            </w:r>
          </w:p>
          <w:p w14:paraId="1B1BCE31" w14:textId="77777777" w:rsidR="00F84DC1" w:rsidRPr="00F84DC1" w:rsidRDefault="00A060DA" w:rsidP="005E7E20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 xml:space="preserve">Tel: 22 </w:t>
            </w:r>
            <w:r w:rsidR="00F84DC1" w:rsidRPr="00F84DC1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464 23 15</w:t>
            </w:r>
          </w:p>
          <w:p w14:paraId="14C1E8C6" w14:textId="77777777" w:rsidR="00DE2400" w:rsidRPr="00AB24E4" w:rsidRDefault="00DE2400" w:rsidP="00935D17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</w:p>
        </w:tc>
        <w:tc>
          <w:tcPr>
            <w:tcW w:w="4927" w:type="dxa"/>
          </w:tcPr>
          <w:p w14:paraId="6E0BA588" w14:textId="77777777" w:rsidR="00F84DC1" w:rsidRPr="00F84DC1" w:rsidRDefault="00DE2400" w:rsidP="00F84DC1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="00F84DC1" w:rsidRPr="00F84DC1">
              <w:rPr>
                <w:rFonts w:cs="Arial"/>
                <w:b/>
                <w:sz w:val="20"/>
              </w:rPr>
              <w:t>Centrum Informacji Statystycznej</w:t>
            </w:r>
          </w:p>
          <w:p w14:paraId="4FDA35B0" w14:textId="77777777" w:rsidR="00F84DC1" w:rsidRPr="00F84DC1" w:rsidRDefault="00F84DC1" w:rsidP="005E7E20">
            <w:pPr>
              <w:keepNext/>
              <w:keepLines/>
              <w:spacing w:before="0" w:after="0" w:line="276" w:lineRule="auto"/>
              <w:outlineLvl w:val="2"/>
              <w:rPr>
                <w:rFonts w:eastAsiaTheme="majorEastAsia" w:cs="Arial"/>
                <w:b/>
                <w:sz w:val="20"/>
                <w:szCs w:val="28"/>
              </w:rPr>
            </w:pPr>
            <w:r w:rsidRPr="00F84DC1">
              <w:rPr>
                <w:rFonts w:eastAsiaTheme="majorEastAsia" w:cs="Arial"/>
                <w:b/>
                <w:sz w:val="20"/>
                <w:szCs w:val="28"/>
              </w:rPr>
              <w:t>Marcin Kałuski</w:t>
            </w:r>
          </w:p>
          <w:p w14:paraId="014A6E58" w14:textId="77777777" w:rsidR="00F84DC1" w:rsidRPr="00F84DC1" w:rsidRDefault="00F84DC1" w:rsidP="005E7E20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sz w:val="20"/>
                <w:szCs w:val="24"/>
                <w:lang w:val="fi-FI"/>
              </w:rPr>
            </w:pPr>
            <w:r w:rsidRPr="00F84DC1">
              <w:rPr>
                <w:rFonts w:eastAsiaTheme="majorEastAsia" w:cs="Arial"/>
                <w:sz w:val="20"/>
                <w:szCs w:val="24"/>
                <w:lang w:val="fi-FI"/>
              </w:rPr>
              <w:t>Tel: 22 464 20 91</w:t>
            </w:r>
          </w:p>
          <w:p w14:paraId="1F77CB6F" w14:textId="77777777" w:rsidR="00DE2400" w:rsidRDefault="00DE2400" w:rsidP="00050053">
            <w:pPr>
              <w:rPr>
                <w:sz w:val="18"/>
              </w:rPr>
            </w:pPr>
          </w:p>
        </w:tc>
      </w:tr>
      <w:tr w:rsidR="003E76F6" w:rsidRPr="00B41E59" w14:paraId="3F108289" w14:textId="77777777" w:rsidTr="00BA2BA7">
        <w:trPr>
          <w:trHeight w:val="418"/>
        </w:trPr>
        <w:tc>
          <w:tcPr>
            <w:tcW w:w="4926" w:type="dxa"/>
            <w:vMerge w:val="restart"/>
          </w:tcPr>
          <w:p w14:paraId="6F162354" w14:textId="77777777" w:rsidR="00F84DC1" w:rsidRPr="00F84DC1" w:rsidRDefault="00F84DC1" w:rsidP="00A25056">
            <w:pPr>
              <w:spacing w:line="240" w:lineRule="exact"/>
              <w:rPr>
                <w:b/>
                <w:sz w:val="20"/>
                <w:lang w:val="en-US"/>
              </w:rPr>
            </w:pPr>
            <w:r w:rsidRPr="00F84DC1">
              <w:rPr>
                <w:b/>
                <w:sz w:val="20"/>
                <w:lang w:val="en-US"/>
              </w:rPr>
              <w:t>Obsługa mediów</w:t>
            </w:r>
          </w:p>
          <w:p w14:paraId="3F563105" w14:textId="77777777" w:rsidR="00F84DC1" w:rsidRPr="00F84DC1" w:rsidRDefault="00F84DC1" w:rsidP="00A060DA">
            <w:pPr>
              <w:spacing w:line="240" w:lineRule="exact"/>
              <w:rPr>
                <w:sz w:val="20"/>
                <w:lang w:val="en-US"/>
              </w:rPr>
            </w:pPr>
            <w:r w:rsidRPr="00F84DC1">
              <w:rPr>
                <w:sz w:val="20"/>
                <w:lang w:val="en-US"/>
              </w:rPr>
              <w:t>Tel: 22 464 20 91</w:t>
            </w:r>
          </w:p>
          <w:p w14:paraId="68A36F0C" w14:textId="77777777" w:rsidR="003E76F6" w:rsidRPr="00A25056" w:rsidRDefault="00F84DC1" w:rsidP="00A25056">
            <w:pPr>
              <w:spacing w:line="240" w:lineRule="exact"/>
              <w:rPr>
                <w:sz w:val="20"/>
                <w:szCs w:val="20"/>
                <w:lang w:val="en-US"/>
              </w:rPr>
            </w:pPr>
            <w:r w:rsidRPr="00A25056">
              <w:rPr>
                <w:b/>
                <w:sz w:val="20"/>
                <w:szCs w:val="20"/>
                <w:lang w:val="en-GB"/>
              </w:rPr>
              <w:t>e-mail:</w:t>
            </w:r>
            <w:r w:rsidRPr="00A25056">
              <w:rPr>
                <w:sz w:val="20"/>
                <w:szCs w:val="20"/>
                <w:lang w:val="en-GB"/>
              </w:rPr>
              <w:t xml:space="preserve"> </w:t>
            </w:r>
            <w:hyperlink r:id="rId21" w:history="1">
              <w:r w:rsidR="009F3F94" w:rsidRPr="009F3F94">
                <w:rPr>
                  <w:rStyle w:val="Hipercze"/>
                  <w:rFonts w:cstheme="minorBidi"/>
                  <w:b/>
                  <w:color w:val="auto"/>
                  <w:sz w:val="20"/>
                  <w:szCs w:val="20"/>
                  <w:lang w:val="en-GB"/>
                </w:rPr>
                <w:t>m.kaluski@stat.gov.pl</w:t>
              </w:r>
            </w:hyperlink>
          </w:p>
        </w:tc>
        <w:tc>
          <w:tcPr>
            <w:tcW w:w="4927" w:type="dxa"/>
            <w:vAlign w:val="center"/>
          </w:tcPr>
          <w:p w14:paraId="60E7FE38" w14:textId="77777777" w:rsidR="003E76F6" w:rsidRPr="00393DF9" w:rsidRDefault="007F0A76" w:rsidP="002B45DC">
            <w:pPr>
              <w:spacing w:line="240" w:lineRule="atLeast"/>
              <w:ind w:firstLine="680"/>
              <w:rPr>
                <w:sz w:val="18"/>
                <w:lang w:val="en-US"/>
              </w:rPr>
            </w:pPr>
            <w:hyperlink r:id="rId22" w:tooltip="Link do strony Urzędu Statystycznego w Warszawie" w:history="1">
              <w:r w:rsidR="003E76F6" w:rsidRPr="00F84DC1">
                <w:rPr>
                  <w:noProof/>
                  <w:lang w:eastAsia="pl-PL"/>
                </w:rPr>
                <w:drawing>
                  <wp:anchor distT="0" distB="0" distL="114300" distR="114300" simplePos="0" relativeHeight="251760640" behindDoc="0" locked="0" layoutInCell="1" allowOverlap="1" wp14:anchorId="1B5A89C9" wp14:editId="7B64AF05">
                    <wp:simplePos x="0" y="0"/>
                    <wp:positionH relativeFrom="column">
                      <wp:posOffset>78740</wp:posOffset>
                    </wp:positionH>
                    <wp:positionV relativeFrom="paragraph">
                      <wp:posOffset>21590</wp:posOffset>
                    </wp:positionV>
                    <wp:extent cx="251460" cy="251460"/>
                    <wp:effectExtent l="0" t="0" r="0" b="0"/>
                    <wp:wrapNone/>
                    <wp:docPr id="21" name="Obraz 21" descr="Ikona strony www." title="Ikona strony www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1" name="logo-03.png"/>
                            <pic:cNvPicPr/>
                          </pic:nvPicPr>
                          <pic:blipFill>
                            <a:blip r:embed="rId2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F84DC1" w:rsidRPr="00393DF9">
                <w:rPr>
                  <w:lang w:val="en-US"/>
                </w:rPr>
                <w:t>w</w:t>
              </w:r>
              <w:r w:rsidR="00F84DC1" w:rsidRPr="00393DF9">
                <w:rPr>
                  <w:sz w:val="20"/>
                  <w:lang w:val="en-US"/>
                </w:rPr>
                <w:t>ww.warszawa.stat.gov.pl</w:t>
              </w:r>
            </w:hyperlink>
          </w:p>
        </w:tc>
      </w:tr>
      <w:tr w:rsidR="003E76F6" w14:paraId="56F2A422" w14:textId="77777777" w:rsidTr="00BA2BA7">
        <w:trPr>
          <w:trHeight w:val="418"/>
        </w:trPr>
        <w:tc>
          <w:tcPr>
            <w:tcW w:w="4926" w:type="dxa"/>
            <w:vMerge/>
          </w:tcPr>
          <w:p w14:paraId="776C9397" w14:textId="77777777" w:rsidR="003E76F6" w:rsidRPr="00393DF9" w:rsidRDefault="003E76F6" w:rsidP="003E76F6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1B66EF2F" w14:textId="77777777" w:rsidR="003E76F6" w:rsidRPr="002B45DC" w:rsidRDefault="00AB27B0" w:rsidP="002B45DC">
            <w:pPr>
              <w:spacing w:line="240" w:lineRule="exact"/>
              <w:ind w:firstLine="680"/>
              <w:rPr>
                <w:sz w:val="20"/>
                <w:szCs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63040" behindDoc="0" locked="0" layoutInCell="1" allowOverlap="1" wp14:anchorId="609B4C33" wp14:editId="40C72442">
                  <wp:simplePos x="0" y="0"/>
                  <wp:positionH relativeFrom="column">
                    <wp:posOffset>65405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a serwisu X (dawniej Twitter)" title="Ikona serwis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5" w:tooltip="Link do twittera" w:history="1">
              <w:r w:rsidR="00F84DC1" w:rsidRPr="00497048">
                <w:t>@Warszawa_STAT</w:t>
              </w:r>
            </w:hyperlink>
            <w:r w:rsidR="00F84DC1" w:rsidRPr="002B45DC">
              <w:rPr>
                <w:noProof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3E76F6" w14:paraId="4FC4EDA4" w14:textId="77777777" w:rsidTr="00BA2BA7">
        <w:trPr>
          <w:trHeight w:val="476"/>
        </w:trPr>
        <w:tc>
          <w:tcPr>
            <w:tcW w:w="4926" w:type="dxa"/>
            <w:vMerge/>
          </w:tcPr>
          <w:p w14:paraId="358F7FD3" w14:textId="77777777" w:rsidR="003E76F6" w:rsidRPr="00C91687" w:rsidRDefault="003E76F6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D278277" w14:textId="77777777" w:rsidR="003E76F6" w:rsidRPr="002B45DC" w:rsidRDefault="007F0A76" w:rsidP="002B45DC">
            <w:pPr>
              <w:spacing w:line="240" w:lineRule="exact"/>
              <w:ind w:firstLine="680"/>
              <w:rPr>
                <w:sz w:val="20"/>
                <w:szCs w:val="20"/>
              </w:rPr>
            </w:pPr>
            <w:hyperlink r:id="rId26" w:tooltip="Link do facebooka" w:history="1">
              <w:r w:rsidR="00F84DC1" w:rsidRPr="002B45DC">
                <w:rPr>
                  <w:sz w:val="20"/>
                  <w:szCs w:val="20"/>
                </w:rPr>
                <w:t>@UrzadStatystycznywWarszawie</w:t>
              </w:r>
              <w:r w:rsidR="003E76F6" w:rsidRPr="002B45DC">
                <w:rPr>
                  <w:noProof/>
                  <w:sz w:val="20"/>
                  <w:szCs w:val="20"/>
                  <w:lang w:eastAsia="pl-PL"/>
                </w:rPr>
                <w:drawing>
                  <wp:anchor distT="0" distB="0" distL="114300" distR="114300" simplePos="0" relativeHeight="251762688" behindDoc="0" locked="0" layoutInCell="1" allowOverlap="1" wp14:anchorId="32C6C8C0" wp14:editId="0F104040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23" name="Obraz 23" descr="Ikona facebooka." title="Ikon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</w:hyperlink>
            <w:r w:rsidR="003E76F6" w:rsidRPr="002B45DC">
              <w:rPr>
                <w:noProof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3E76F6" w14:paraId="7620F551" w14:textId="77777777" w:rsidTr="00BA2BA7">
        <w:trPr>
          <w:trHeight w:val="476"/>
        </w:trPr>
        <w:tc>
          <w:tcPr>
            <w:tcW w:w="4926" w:type="dxa"/>
          </w:tcPr>
          <w:p w14:paraId="50DD8152" w14:textId="77777777" w:rsidR="003E76F6" w:rsidRPr="00C91687" w:rsidRDefault="003E76F6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CB71156" w14:textId="77777777" w:rsidR="003E76F6" w:rsidRPr="003D5F42" w:rsidRDefault="007F0A76" w:rsidP="002B45DC">
            <w:pPr>
              <w:spacing w:line="240" w:lineRule="exact"/>
              <w:ind w:firstLine="680"/>
              <w:rPr>
                <w:sz w:val="20"/>
              </w:rPr>
            </w:pPr>
            <w:hyperlink r:id="rId28" w:tooltip="Link do instagrama" w:history="1">
              <w:r w:rsidR="00F84DC1" w:rsidRPr="00C0083F">
                <w:rPr>
                  <w:rStyle w:val="Hipercze"/>
                  <w:rFonts w:cstheme="minorBidi"/>
                  <w:noProof/>
                  <w:color w:val="auto"/>
                  <w:sz w:val="20"/>
                  <w:u w:val="none"/>
                  <w:lang w:eastAsia="pl-PL"/>
                </w:rPr>
                <w:drawing>
                  <wp:anchor distT="0" distB="0" distL="114300" distR="114300" simplePos="0" relativeHeight="251790336" behindDoc="0" locked="0" layoutInCell="1" allowOverlap="1" wp14:anchorId="7D7D8A33" wp14:editId="542BB426">
                    <wp:simplePos x="0" y="0"/>
                    <wp:positionH relativeFrom="column">
                      <wp:posOffset>82550</wp:posOffset>
                    </wp:positionH>
                    <wp:positionV relativeFrom="paragraph">
                      <wp:posOffset>12700</wp:posOffset>
                    </wp:positionV>
                    <wp:extent cx="251460" cy="251460"/>
                    <wp:effectExtent l="0" t="0" r="0" b="0"/>
                    <wp:wrapNone/>
                    <wp:docPr id="19" name="Obraz 19" descr="Ikona instagrama." title="Ikona instagram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F84DC1" w:rsidRPr="00C0083F">
                <w:rPr>
                  <w:rStyle w:val="Hipercze"/>
                  <w:rFonts w:cstheme="minorBidi"/>
                  <w:color w:val="auto"/>
                  <w:sz w:val="20"/>
                  <w:u w:val="none"/>
                  <w:lang w:val="en-US"/>
                </w:rPr>
                <w:t>gus_stat</w:t>
              </w:r>
            </w:hyperlink>
            <w:r w:rsidR="003E76F6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3712" behindDoc="0" locked="0" layoutInCell="1" allowOverlap="1" wp14:anchorId="2BAAE5C1" wp14:editId="563CEFA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15" name="Obraz 1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E76F6" w14:paraId="35B8346D" w14:textId="77777777" w:rsidTr="00BA2BA7">
        <w:trPr>
          <w:trHeight w:val="476"/>
        </w:trPr>
        <w:tc>
          <w:tcPr>
            <w:tcW w:w="4926" w:type="dxa"/>
          </w:tcPr>
          <w:p w14:paraId="697025E6" w14:textId="77777777" w:rsidR="003E76F6" w:rsidRPr="00C91687" w:rsidRDefault="003E76F6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E6AE3F7" w14:textId="77777777" w:rsidR="003E76F6" w:rsidRPr="002B45DC" w:rsidRDefault="007F0A76" w:rsidP="002B45DC">
            <w:pPr>
              <w:spacing w:line="240" w:lineRule="exact"/>
              <w:ind w:firstLine="680"/>
              <w:rPr>
                <w:sz w:val="20"/>
                <w:szCs w:val="20"/>
              </w:rPr>
            </w:pPr>
            <w:hyperlink r:id="rId30" w:tooltip="Link do youtube" w:history="1">
              <w:r w:rsidR="00F84DC1" w:rsidRPr="002B45DC">
                <w:rPr>
                  <w:rStyle w:val="Hipercze"/>
                  <w:rFonts w:cstheme="minorBidi"/>
                  <w:color w:val="auto"/>
                  <w:sz w:val="20"/>
                  <w:szCs w:val="20"/>
                  <w:u w:val="none"/>
                  <w:lang w:val="en-US"/>
                </w:rPr>
                <w:t>glownyurzadstatystycznygus</w:t>
              </w:r>
            </w:hyperlink>
            <w:r w:rsidR="003E76F6" w:rsidRPr="002B45DC"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64736" behindDoc="0" locked="0" layoutInCell="1" allowOverlap="1" wp14:anchorId="7AC3ECDB" wp14:editId="4962770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a Youtuba.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E76F6" w14:paraId="6A4C8B76" w14:textId="77777777" w:rsidTr="00BA2BA7">
        <w:trPr>
          <w:trHeight w:val="953"/>
        </w:trPr>
        <w:tc>
          <w:tcPr>
            <w:tcW w:w="4926" w:type="dxa"/>
          </w:tcPr>
          <w:p w14:paraId="76C00E30" w14:textId="77777777" w:rsidR="003E76F6" w:rsidRPr="00C91687" w:rsidRDefault="003E76F6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0ED4A6A" w14:textId="77777777" w:rsidR="003E76F6" w:rsidRPr="002B45DC" w:rsidRDefault="007F0A76" w:rsidP="002B45DC">
            <w:pPr>
              <w:spacing w:line="240" w:lineRule="exact"/>
              <w:ind w:firstLine="680"/>
              <w:rPr>
                <w:sz w:val="20"/>
                <w:szCs w:val="20"/>
              </w:rPr>
            </w:pPr>
            <w:hyperlink r:id="rId32" w:tooltip="Link do linkedin" w:history="1">
              <w:r w:rsidR="00F84DC1" w:rsidRPr="002B45DC">
                <w:rPr>
                  <w:rStyle w:val="Hipercze"/>
                  <w:rFonts w:cstheme="minorBidi"/>
                  <w:color w:val="auto"/>
                  <w:sz w:val="20"/>
                  <w:szCs w:val="20"/>
                  <w:u w:val="none"/>
                  <w:lang w:val="en-US"/>
                </w:rPr>
                <w:t>glownyurzadstatystyczny</w:t>
              </w:r>
            </w:hyperlink>
            <w:r w:rsidR="003E76F6" w:rsidRPr="002B45DC"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65760" behindDoc="0" locked="0" layoutInCell="1" allowOverlap="1" wp14:anchorId="617E4AB2" wp14:editId="45047D1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a linkedin.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2400" w14:paraId="60E9CEEB" w14:textId="77777777" w:rsidTr="00BA2BA7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158F2E99" w14:textId="77777777" w:rsidR="00DE2400" w:rsidRPr="00876479" w:rsidRDefault="00DE2400" w:rsidP="009D0FA1">
            <w:pPr>
              <w:pStyle w:val="nagwekdohiperaczy"/>
            </w:pPr>
            <w:r w:rsidRPr="00210B1C">
              <w:t>Powiązane opracowania</w:t>
            </w:r>
          </w:p>
          <w:p w14:paraId="30FB594F" w14:textId="77777777" w:rsidR="00116A3A" w:rsidRDefault="007F0A76" w:rsidP="009D0FA1">
            <w:pPr>
              <w:pStyle w:val="hipercze0"/>
            </w:pPr>
            <w:hyperlink r:id="rId34" w:tooltip="Gospodarka mieszkaniowa w 2022 roku" w:history="1">
              <w:r w:rsidR="00116A3A" w:rsidRPr="00116A3A">
                <w:t>Gospodarka mieszkaniowa w 2022 roku</w:t>
              </w:r>
            </w:hyperlink>
          </w:p>
          <w:p w14:paraId="359DE83E" w14:textId="77777777" w:rsidR="00882220" w:rsidRPr="001E5EF0" w:rsidRDefault="007F0A76" w:rsidP="009D0FA1">
            <w:pPr>
              <w:pStyle w:val="hipercze0"/>
            </w:pPr>
            <w:hyperlink r:id="rId35" w:tooltip="Rocznik Statystyczny Województwa Mazowieckiego 2022" w:history="1">
              <w:r w:rsidR="00A060DA">
                <w:t>Rocznik Statystyczny Województwa Mazowieckiego 2022</w:t>
              </w:r>
            </w:hyperlink>
          </w:p>
          <w:p w14:paraId="05E36360" w14:textId="77777777" w:rsidR="00882220" w:rsidRPr="001E5EF0" w:rsidRDefault="008C3B8A" w:rsidP="009D0FA1">
            <w:pPr>
              <w:pStyle w:val="hipercze0"/>
            </w:pPr>
            <w:r w:rsidRPr="002B45DC">
              <w:rPr>
                <w:noProof/>
                <w:lang w:eastAsia="pl-PL"/>
              </w:rPr>
              <w:drawing>
                <wp:anchor distT="0" distB="0" distL="114300" distR="114300" simplePos="0" relativeHeight="251792384" behindDoc="0" locked="0" layoutInCell="1" allowOverlap="1" wp14:anchorId="58406AF8" wp14:editId="3A549718">
                  <wp:simplePos x="0" y="0"/>
                  <wp:positionH relativeFrom="page">
                    <wp:posOffset>4595707</wp:posOffset>
                  </wp:positionH>
                  <wp:positionV relativeFrom="paragraph">
                    <wp:posOffset>217170</wp:posOffset>
                  </wp:positionV>
                  <wp:extent cx="1623600" cy="885600"/>
                  <wp:effectExtent l="0" t="0" r="0" b="0"/>
                  <wp:wrapNone/>
                  <wp:docPr id="29" name="Obraz 29" descr="Link do ankiety oceniającej opracowanie. Ikonka w kształcie kwadratu składająca się z 25 gwiazdek." title="Oceń opracowani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2" descr="C:\Users\KotowodaJ\AppData\Local\Microsoft\Windows\INetCache\Content.Outlook\QX7BCU6T\oceń opracowanie.pn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3600" cy="88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hyperlink r:id="rId37" w:tooltip="Statystyka gmin i powiatów województwa mazowieckiego w latach 2010 i 2021" w:history="1">
              <w:r w:rsidR="00A060DA">
                <w:t>Statystyka gmin i powiatów województwa mazowieckiego w latach 2010 i 2021</w:t>
              </w:r>
            </w:hyperlink>
          </w:p>
          <w:p w14:paraId="7F680CF9" w14:textId="77777777" w:rsidR="00882220" w:rsidRDefault="007F0A76" w:rsidP="009D0FA1">
            <w:pPr>
              <w:pStyle w:val="hipercze0"/>
            </w:pPr>
            <w:hyperlink r:id="rId38" w:tooltip="link do publikacji Raport o sytuacji społeczno-gospodarczej województwa mazowieckiego 2023 " w:history="1">
              <w:r w:rsidR="00A060DA">
                <w:t>Raport o sytuacji społeczno-gospodarczej województwa mazowieckiego 2023</w:t>
              </w:r>
            </w:hyperlink>
          </w:p>
          <w:p w14:paraId="55C6A803" w14:textId="77777777" w:rsidR="00DE2400" w:rsidRPr="00694D63" w:rsidRDefault="00B16871" w:rsidP="00885FFC">
            <w:pPr>
              <w:pStyle w:val="nagwekdohiperaczy"/>
              <w:spacing w:before="360"/>
            </w:pPr>
            <w:r>
              <w:t>Temat dostępny w bazach danych</w:t>
            </w:r>
          </w:p>
          <w:p w14:paraId="41286929" w14:textId="77777777" w:rsidR="00371428" w:rsidRDefault="007F0A76" w:rsidP="009D0FA1">
            <w:pPr>
              <w:pStyle w:val="hipercze0"/>
            </w:pPr>
            <w:hyperlink r:id="rId39" w:tooltip="BDL Gospodarka komunalna i mieszkaniowa" w:history="1">
              <w:r w:rsidR="00D31D05" w:rsidRPr="00D31D05">
                <w:t>Bank Danych Lokalnych (BDL) Gospodarka komunalna i mieszkaniowa</w:t>
              </w:r>
            </w:hyperlink>
            <w:r w:rsidR="00677170">
              <w:t xml:space="preserve"> </w:t>
            </w:r>
          </w:p>
          <w:p w14:paraId="46571D37" w14:textId="77777777" w:rsidR="00371428" w:rsidRPr="001E5EF0" w:rsidRDefault="007F0A76" w:rsidP="00E1304D">
            <w:pPr>
              <w:pStyle w:val="hipercze0"/>
            </w:pPr>
            <w:hyperlink r:id="rId40" w:tooltip="Link do Dziedzinowych Baz Wiedzy (DBW) dział Infrastruktura komunalna i Mieszkaniowa" w:history="1">
              <w:r w:rsidR="00E1304D" w:rsidRPr="00E1304D">
                <w:t>Dziedzinowe Bazy Wiedzy (DBW) Infrastruktura komunalna i Mieszkaniowa</w:t>
              </w:r>
            </w:hyperlink>
            <w:r w:rsidR="00371428" w:rsidRPr="001E5EF0">
              <w:fldChar w:fldCharType="begin"/>
            </w:r>
            <w:r w:rsidR="00677170">
              <w:instrText>HYPERLINK "http://swaid.stat.gov.pl/SitePagesDBW/InfrastrukturaKomMieszk.aspx" \o "Link do Dziedzinowych Baz Wiedzy (DBW) dział Infrastruktura Komunalna i Mieszkaniowa"</w:instrText>
            </w:r>
            <w:r w:rsidR="00371428" w:rsidRPr="001E5EF0">
              <w:fldChar w:fldCharType="separate"/>
            </w:r>
          </w:p>
          <w:p w14:paraId="1708A039" w14:textId="77777777" w:rsidR="00B16871" w:rsidRPr="00694D63" w:rsidRDefault="00371428" w:rsidP="00885FFC">
            <w:pPr>
              <w:pStyle w:val="nagwekdohiperaczy"/>
              <w:spacing w:before="360"/>
            </w:pPr>
            <w:r w:rsidRPr="001E5EF0">
              <w:fldChar w:fldCharType="end"/>
            </w:r>
            <w:r w:rsidR="00B16871" w:rsidRPr="00694D63">
              <w:t>Ważniejsze pojęcia dostępne w słowniku</w:t>
            </w:r>
          </w:p>
          <w:p w14:paraId="40F76AFF" w14:textId="77777777" w:rsidR="00891C86" w:rsidRPr="00891C86" w:rsidRDefault="007F0A76" w:rsidP="00891C86">
            <w:pPr>
              <w:pStyle w:val="hipercze0"/>
              <w:rPr>
                <w:rStyle w:val="Hipercze"/>
                <w:rFonts w:cstheme="minorBidi"/>
                <w:color w:val="001D77"/>
              </w:rPr>
            </w:pPr>
            <w:hyperlink r:id="rId41" w:history="1">
              <w:r w:rsidR="00891C86" w:rsidRPr="00891C86">
                <w:rPr>
                  <w:rStyle w:val="Hipercze"/>
                  <w:rFonts w:cstheme="minorBidi"/>
                  <w:color w:val="001D77"/>
                </w:rPr>
                <w:t>Mieszkanie</w:t>
              </w:r>
            </w:hyperlink>
          </w:p>
          <w:p w14:paraId="6ED08CA1" w14:textId="77777777" w:rsidR="00891C86" w:rsidRPr="00891C86" w:rsidRDefault="007F0A76" w:rsidP="00891C86">
            <w:pPr>
              <w:pStyle w:val="hipercze0"/>
              <w:rPr>
                <w:rStyle w:val="Hipercze"/>
                <w:rFonts w:cstheme="minorBidi"/>
                <w:color w:val="001D77"/>
              </w:rPr>
            </w:pPr>
            <w:hyperlink r:id="rId42" w:history="1">
              <w:r w:rsidR="00891C86" w:rsidRPr="00891C86">
                <w:rPr>
                  <w:rStyle w:val="Hipercze"/>
                  <w:rFonts w:cstheme="minorBidi"/>
                  <w:color w:val="001D77"/>
                </w:rPr>
                <w:t>Powierzchnia użytkowa mieszkania</w:t>
              </w:r>
            </w:hyperlink>
          </w:p>
          <w:p w14:paraId="51AFEE14" w14:textId="77777777" w:rsidR="00891C86" w:rsidRDefault="007F0A76" w:rsidP="00891C86">
            <w:pPr>
              <w:pStyle w:val="hipercze0"/>
              <w:rPr>
                <w:rStyle w:val="Hipercze"/>
                <w:rFonts w:cstheme="minorBidi"/>
                <w:color w:val="001D77"/>
              </w:rPr>
            </w:pPr>
            <w:hyperlink r:id="rId43" w:history="1">
              <w:r w:rsidR="00891C86" w:rsidRPr="00891C86">
                <w:rPr>
                  <w:rStyle w:val="Hipercze"/>
                  <w:rFonts w:cstheme="minorBidi"/>
                  <w:color w:val="001D77"/>
                </w:rPr>
                <w:t>Izba</w:t>
              </w:r>
            </w:hyperlink>
          </w:p>
          <w:p w14:paraId="654D5D30" w14:textId="77777777" w:rsidR="00DC75F7" w:rsidRPr="00DC75F7" w:rsidRDefault="007F0A76" w:rsidP="00DC75F7">
            <w:pPr>
              <w:pStyle w:val="hipercze0"/>
              <w:rPr>
                <w:rStyle w:val="Hipercze"/>
                <w:rFonts w:cstheme="minorBidi"/>
                <w:color w:val="001D77"/>
              </w:rPr>
            </w:pPr>
            <w:hyperlink r:id="rId44" w:history="1">
              <w:r w:rsidR="00DC75F7" w:rsidRPr="00DC75F7">
                <w:rPr>
                  <w:rStyle w:val="Hipercze"/>
                  <w:rFonts w:cstheme="minorBidi"/>
                  <w:color w:val="001D77"/>
                </w:rPr>
                <w:t>Zaległości w opłatach za mieszkanie</w:t>
              </w:r>
            </w:hyperlink>
          </w:p>
          <w:p w14:paraId="63FCF82A" w14:textId="77777777" w:rsidR="00DC75F7" w:rsidRPr="00DC75F7" w:rsidRDefault="007F0A76" w:rsidP="00DC75F7">
            <w:pPr>
              <w:pStyle w:val="hipercze0"/>
              <w:rPr>
                <w:rStyle w:val="Hipercze"/>
                <w:rFonts w:cstheme="minorBidi"/>
                <w:color w:val="001D77"/>
              </w:rPr>
            </w:pPr>
            <w:hyperlink r:id="rId45" w:history="1">
              <w:r w:rsidR="00DC75F7" w:rsidRPr="00DC75F7">
                <w:rPr>
                  <w:rStyle w:val="Hipercze"/>
                  <w:rFonts w:cstheme="minorBidi"/>
                  <w:color w:val="001D77"/>
                </w:rPr>
                <w:t>Eksmisja</w:t>
              </w:r>
            </w:hyperlink>
          </w:p>
          <w:p w14:paraId="7AC95B84" w14:textId="77777777" w:rsidR="00DC75F7" w:rsidRPr="00DC75F7" w:rsidRDefault="007F0A76" w:rsidP="00DC75F7">
            <w:pPr>
              <w:pStyle w:val="hipercze0"/>
              <w:rPr>
                <w:rStyle w:val="Hipercze"/>
                <w:rFonts w:cstheme="minorBidi"/>
                <w:color w:val="001D77"/>
              </w:rPr>
            </w:pPr>
            <w:hyperlink r:id="rId46" w:history="1">
              <w:r w:rsidR="00DC75F7" w:rsidRPr="00DC75F7">
                <w:rPr>
                  <w:rStyle w:val="Hipercze"/>
                  <w:rFonts w:cstheme="minorBidi"/>
                  <w:color w:val="001D77"/>
                </w:rPr>
                <w:t>Koszty utrzymania zasobów lokalowych</w:t>
              </w:r>
            </w:hyperlink>
          </w:p>
          <w:p w14:paraId="19C8C540" w14:textId="77777777" w:rsidR="00891C86" w:rsidRPr="00891C86" w:rsidRDefault="007F0A76" w:rsidP="00891C86">
            <w:pPr>
              <w:pStyle w:val="hipercze0"/>
              <w:rPr>
                <w:rStyle w:val="Hipercze"/>
                <w:rFonts w:cstheme="minorBidi"/>
                <w:color w:val="001D77"/>
              </w:rPr>
            </w:pPr>
            <w:hyperlink r:id="rId47" w:history="1">
              <w:r w:rsidR="00891C86" w:rsidRPr="00891C86">
                <w:rPr>
                  <w:rStyle w:val="Hipercze"/>
                  <w:rFonts w:cstheme="minorBidi"/>
                  <w:color w:val="001D77"/>
                </w:rPr>
                <w:t>Dodatek mieszkaniowy</w:t>
              </w:r>
            </w:hyperlink>
          </w:p>
          <w:p w14:paraId="4643EA1D" w14:textId="77777777" w:rsidR="00787D5A" w:rsidRPr="00891C86" w:rsidRDefault="00787D5A" w:rsidP="00891C86">
            <w:pPr>
              <w:pStyle w:val="hipercze0"/>
              <w:rPr>
                <w:rStyle w:val="Hipercze"/>
                <w:rFonts w:cstheme="minorBidi"/>
                <w:color w:val="001D77"/>
              </w:rPr>
            </w:pPr>
          </w:p>
          <w:p w14:paraId="3679276A" w14:textId="77777777" w:rsidR="00371428" w:rsidRPr="00393DF9" w:rsidRDefault="00371428" w:rsidP="00891C86">
            <w:pPr>
              <w:pStyle w:val="hipercze0"/>
              <w:rPr>
                <w:b/>
                <w:color w:val="000000" w:themeColor="text1"/>
                <w:szCs w:val="24"/>
              </w:rPr>
            </w:pPr>
          </w:p>
        </w:tc>
      </w:tr>
    </w:tbl>
    <w:p w14:paraId="04B3FD2B" w14:textId="77777777" w:rsidR="000470AA" w:rsidRDefault="000470AA" w:rsidP="000470AA">
      <w:pPr>
        <w:rPr>
          <w:sz w:val="18"/>
        </w:rPr>
      </w:pPr>
    </w:p>
    <w:p w14:paraId="08040E66" w14:textId="77777777" w:rsidR="00D261A2" w:rsidRPr="00001C5B" w:rsidRDefault="00D261A2" w:rsidP="00AD0E56">
      <w:pPr>
        <w:rPr>
          <w:sz w:val="18"/>
        </w:rPr>
      </w:pPr>
    </w:p>
    <w:sectPr w:rsidR="00D261A2" w:rsidRPr="00001C5B" w:rsidSect="003B18B6">
      <w:headerReference w:type="default" r:id="rId48"/>
      <w:footerReference w:type="default" r:id="rId4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D02F27" w14:textId="77777777" w:rsidR="007F0A76" w:rsidRDefault="007F0A76" w:rsidP="000662E2">
      <w:pPr>
        <w:spacing w:after="0" w:line="240" w:lineRule="auto"/>
      </w:pPr>
      <w:r>
        <w:separator/>
      </w:r>
    </w:p>
  </w:endnote>
  <w:endnote w:type="continuationSeparator" w:id="0">
    <w:p w14:paraId="70D867F4" w14:textId="77777777" w:rsidR="007F0A76" w:rsidRDefault="007F0A76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D6DDB274-8E4C-4436-912F-BF50C17C4EC8}"/>
    <w:embedBold r:id="rId2" w:fontKey="{F5DB9FA6-AAA5-4205-82A6-F85C35D3A2D1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E377C310-B60F-4ED9-B4C0-7438EB0CD08F}"/>
    <w:embedBold r:id="rId4" w:fontKey="{EE27F738-9FB2-4983-ADA2-B1A5A33C40B3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CE67D61F-EA95-4927-9969-A0D3C9F6E758}"/>
    <w:embedItalic r:id="rId6" w:fontKey="{EF4909A9-DAB5-4E35-8ABE-E29AF3D4AC2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5A405370-6D06-4C97-B98E-B76553FFB57D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8" w:fontKey="{19BAF13D-47BA-4ACA-B83F-4AA0C1E09942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BBC3A2D4-3EB7-45F4-82A1-1A3849485E14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B9CA822F-F557-42CB-A236-40262F120FAC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14:paraId="7059864F" w14:textId="77777777" w:rsidR="00F935A9" w:rsidRDefault="00F935A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673F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14:paraId="4B801BF5" w14:textId="77777777" w:rsidR="00F935A9" w:rsidRDefault="00F935A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173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19170460" w14:textId="77777777" w:rsidR="00F935A9" w:rsidRDefault="00F935A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673F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0ED6E8" w14:textId="77777777" w:rsidR="007F0A76" w:rsidRDefault="007F0A76" w:rsidP="000662E2">
      <w:pPr>
        <w:spacing w:after="0" w:line="240" w:lineRule="auto"/>
      </w:pPr>
      <w:r>
        <w:separator/>
      </w:r>
    </w:p>
  </w:footnote>
  <w:footnote w:type="continuationSeparator" w:id="0">
    <w:p w14:paraId="68A15803" w14:textId="77777777" w:rsidR="007F0A76" w:rsidRDefault="007F0A76" w:rsidP="000662E2">
      <w:pPr>
        <w:spacing w:after="0" w:line="240" w:lineRule="auto"/>
      </w:pPr>
      <w:r>
        <w:continuationSeparator/>
      </w:r>
    </w:p>
  </w:footnote>
  <w:footnote w:id="1">
    <w:p w14:paraId="0D09EBFE" w14:textId="77777777" w:rsidR="000A2446" w:rsidRDefault="000A244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A2446">
        <w:rPr>
          <w:rStyle w:val="PrzypisZnak"/>
        </w:rPr>
        <w:t>Na podstawie bilansu opartego na wynikach NSP 2021.</w:t>
      </w:r>
    </w:p>
  </w:footnote>
  <w:footnote w:id="2">
    <w:p w14:paraId="50AF34F5" w14:textId="77777777" w:rsidR="000A2446" w:rsidRDefault="000A244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A2446">
        <w:rPr>
          <w:rStyle w:val="PrzypisZnak"/>
        </w:rPr>
        <w:t>Na podstawie bilansu opartego na wynikach NSP 2021.</w:t>
      </w:r>
    </w:p>
  </w:footnote>
  <w:footnote w:id="3">
    <w:p w14:paraId="6C8F71FE" w14:textId="77777777" w:rsidR="00F935A9" w:rsidRDefault="00F935A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7134CF">
        <w:rPr>
          <w:rStyle w:val="PrzypisZnak"/>
        </w:rPr>
        <w:t>Bez mieszkań stanowiących własność osób fizycznych niewchodzących w skład wspólnot mieszkaniowych.</w:t>
      </w:r>
    </w:p>
  </w:footnote>
  <w:footnote w:id="4">
    <w:p w14:paraId="5615190E" w14:textId="77777777" w:rsidR="00F935A9" w:rsidRDefault="00F935A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217F5">
        <w:rPr>
          <w:rStyle w:val="PrzypisZnak"/>
        </w:rPr>
        <w:t xml:space="preserve">Łącznie z </w:t>
      </w:r>
      <w:r w:rsidR="00570928">
        <w:rPr>
          <w:rStyle w:val="PrzypisZnak"/>
        </w:rPr>
        <w:t xml:space="preserve">mieszkaniami stanowiącymi odrębną </w:t>
      </w:r>
      <w:r w:rsidR="00627DB6">
        <w:rPr>
          <w:rStyle w:val="PrzypisZnak"/>
        </w:rPr>
        <w:t>własność znajdującymi się w budynkach będących własnością spółdzielni mieszkaniowych, w których nie p</w:t>
      </w:r>
      <w:r w:rsidR="0077274B">
        <w:rPr>
          <w:rStyle w:val="PrzypisZnak"/>
        </w:rPr>
        <w:t>owstały wspólnoty mieszkaniowe i</w:t>
      </w:r>
      <w:r w:rsidR="00627DB6">
        <w:rPr>
          <w:rStyle w:val="PrzypisZnak"/>
        </w:rPr>
        <w:t xml:space="preserve"> zarządzanymi nadal przez spółdzielnie mieszkaniowe.</w:t>
      </w:r>
    </w:p>
  </w:footnote>
  <w:footnote w:id="5">
    <w:p w14:paraId="026F0AA0" w14:textId="77777777" w:rsidR="00CB3CA3" w:rsidRDefault="00CB3CA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85766">
        <w:rPr>
          <w:rStyle w:val="PrzypisZnak"/>
        </w:rPr>
        <w:t>Badanie cykliczne przeprowadzane co 2 lata.</w:t>
      </w:r>
    </w:p>
  </w:footnote>
  <w:footnote w:id="6">
    <w:p w14:paraId="78F75C1C" w14:textId="77777777" w:rsidR="00F935A9" w:rsidRPr="00386403" w:rsidRDefault="00F935A9" w:rsidP="00190A6E">
      <w:pPr>
        <w:pStyle w:val="Przypis"/>
      </w:pPr>
      <w:r w:rsidRPr="00386403">
        <w:rPr>
          <w:rStyle w:val="Odwoanieprzypisudolnego"/>
          <w:sz w:val="16"/>
          <w:szCs w:val="16"/>
        </w:rPr>
        <w:footnoteRef/>
      </w:r>
      <w:r w:rsidRPr="00386403">
        <w:t xml:space="preserve"> K</w:t>
      </w:r>
      <w:r w:rsidRPr="00386403">
        <w:rPr>
          <w:lang w:eastAsia="pl-PL"/>
        </w:rPr>
        <w:t>oszty eksploatacji i świadczonych usług komunalnych.</w:t>
      </w:r>
    </w:p>
  </w:footnote>
  <w:footnote w:id="7">
    <w:p w14:paraId="4495A306" w14:textId="77777777" w:rsidR="00F935A9" w:rsidRPr="00386403" w:rsidRDefault="00F935A9" w:rsidP="00190A6E">
      <w:pPr>
        <w:pStyle w:val="Przypis"/>
      </w:pPr>
      <w:r w:rsidRPr="00386403">
        <w:rPr>
          <w:rStyle w:val="Odwoanieprzypisudolnego"/>
          <w:sz w:val="16"/>
          <w:szCs w:val="16"/>
        </w:rPr>
        <w:footnoteRef/>
      </w:r>
      <w:r>
        <w:rPr>
          <w:lang w:eastAsia="pl-PL"/>
        </w:rPr>
        <w:t xml:space="preserve"> </w:t>
      </w:r>
      <w:r w:rsidRPr="00386403">
        <w:rPr>
          <w:lang w:eastAsia="pl-PL"/>
        </w:rPr>
        <w:t>M.in. koszty zarządu i administracyjno-biurowe, konserwacja i remonty</w:t>
      </w:r>
      <w:r>
        <w:rPr>
          <w:lang w:eastAsia="pl-PL"/>
        </w:rPr>
        <w:t>.</w:t>
      </w:r>
    </w:p>
  </w:footnote>
  <w:footnote w:id="8">
    <w:p w14:paraId="0BD33694" w14:textId="77777777" w:rsidR="00291739" w:rsidRDefault="00291739" w:rsidP="0029173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02FB2">
        <w:rPr>
          <w:rStyle w:val="PrzypisZnak"/>
        </w:rPr>
        <w:t>M.in. dostawa energii cieplnej, zimnej wody, odbieranie odpadów komunalnych, utrzymanie wind.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0A3558" w14:textId="77777777" w:rsidR="00F935A9" w:rsidRDefault="00F935A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0FC39BFA" wp14:editId="5E436D9B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5DEBB43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74AD5B5D" w14:textId="77777777" w:rsidR="00F935A9" w:rsidRDefault="00F935A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680148" w14:textId="77777777" w:rsidR="00F935A9" w:rsidRDefault="00F935A9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BD0BE74" wp14:editId="72275E99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Informacje sygnalne" title="Napi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4446200" w14:textId="77777777" w:rsidR="00F935A9" w:rsidRPr="003C6C8D" w:rsidRDefault="00F935A9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9" alt="Tytuł: Napis — opis: Napis Informacje sygnalne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F935A9" w:rsidRPr="003C6C8D" w:rsidRDefault="00F935A9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B651A73" wp14:editId="20B4AC2F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BA4BF24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t xml:space="preserve"> </w:t>
    </w:r>
    <w:r w:rsidRPr="00540C5C">
      <w:rPr>
        <w:noProof/>
      </w:rPr>
      <w:t xml:space="preserve"> </w:t>
    </w:r>
    <w:r>
      <w:rPr>
        <w:noProof/>
        <w:lang w:eastAsia="pl-PL"/>
      </w:rPr>
      <w:drawing>
        <wp:anchor distT="0" distB="0" distL="114300" distR="114300" simplePos="0" relativeHeight="251675648" behindDoc="0" locked="0" layoutInCell="1" allowOverlap="1" wp14:anchorId="4E3E4B09" wp14:editId="46D16871">
          <wp:simplePos x="0" y="0"/>
          <wp:positionH relativeFrom="margin">
            <wp:align>left</wp:align>
          </wp:positionH>
          <wp:positionV relativeFrom="paragraph">
            <wp:posOffset>220345</wp:posOffset>
          </wp:positionV>
          <wp:extent cx="1393200" cy="432000"/>
          <wp:effectExtent l="0" t="0" r="0" b="6350"/>
          <wp:wrapSquare wrapText="bothSides"/>
          <wp:docPr id="28" name="Obraz 28" descr="Logotyp Urzędu Statystycznego w Warszawie przedstawiający dwa koła, jedno koloru zielonego, drugie niebieskiego, nachodzące na siebie pionowo. Obok napis Urząd Statystyczny w Warszawie." title="Logotyp Urzędu Statystycznego w Warszaw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Obraz 28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2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060CEA" w14:textId="77777777" w:rsidR="00F935A9" w:rsidRDefault="00F935A9">
    <w:pPr>
      <w:pStyle w:val="Nagwek"/>
      <w:rPr>
        <w:noProof/>
        <w:lang w:eastAsia="pl-PL"/>
      </w:rPr>
    </w:pPr>
  </w:p>
  <w:p w14:paraId="532A13E5" w14:textId="77777777" w:rsidR="00F935A9" w:rsidRDefault="00F935A9">
    <w:pPr>
      <w:pStyle w:val="Nagwek"/>
      <w:rPr>
        <w:noProof/>
        <w:lang w:eastAsia="pl-PL"/>
      </w:rPr>
    </w:pPr>
  </w:p>
  <w:p w14:paraId="104A1C73" w14:textId="77777777" w:rsidR="00F935A9" w:rsidRDefault="00F935A9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AA09E86" wp14:editId="2EEE74F7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26 październik 2023 rok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A5D5F4" w14:textId="77777777" w:rsidR="00F935A9" w:rsidRPr="00A01B40" w:rsidRDefault="00F935A9" w:rsidP="008B52B6">
                          <w:pPr>
                            <w:pStyle w:val="Datainformacjisygnalnej"/>
                          </w:pPr>
                          <w:r>
                            <w:t>26.10.2023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alt="Tytuł: Data publikacji informacji sygnalnej — opis: Data publikacji informacji sygnalnej 26 październik 2023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" filled="f" stroked="f">
              <v:textbox>
                <w:txbxContent>
                  <w:p w:rsidR="00F935A9" w:rsidRPr="00A01B40" w:rsidRDefault="00F935A9" w:rsidP="008B52B6">
                    <w:pPr>
                      <w:pStyle w:val="Datainformacjisygnalnej"/>
                    </w:pPr>
                    <w:r>
                      <w:t>26.10.2023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632F85" w14:textId="77777777" w:rsidR="00F935A9" w:rsidRDefault="00F935A9">
    <w:pPr>
      <w:pStyle w:val="Nagwek"/>
    </w:pPr>
  </w:p>
  <w:p w14:paraId="7022DA67" w14:textId="77777777" w:rsidR="00F935A9" w:rsidRDefault="00F935A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122.7pt;height:125pt;visibility:visible;mso-wrap-style:square" o:bullet="t">
        <v:imagedata r:id="rId1" o:title=""/>
      </v:shape>
    </w:pict>
  </w:numPicBullet>
  <w:numPicBullet w:numPicBulletId="1">
    <w:pict>
      <v:shape id="_x0000_i1065" type="#_x0000_t75" style="width:123.25pt;height:12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AA9"/>
    <w:rsid w:val="00001C5B"/>
    <w:rsid w:val="00003437"/>
    <w:rsid w:val="00004C6A"/>
    <w:rsid w:val="0000656A"/>
    <w:rsid w:val="0000709F"/>
    <w:rsid w:val="000108B8"/>
    <w:rsid w:val="00012A54"/>
    <w:rsid w:val="000138A8"/>
    <w:rsid w:val="000152F5"/>
    <w:rsid w:val="000255EE"/>
    <w:rsid w:val="00027C0E"/>
    <w:rsid w:val="00032050"/>
    <w:rsid w:val="00034646"/>
    <w:rsid w:val="000351B4"/>
    <w:rsid w:val="000367EA"/>
    <w:rsid w:val="00044CA9"/>
    <w:rsid w:val="000451A9"/>
    <w:rsid w:val="0004582E"/>
    <w:rsid w:val="000461DB"/>
    <w:rsid w:val="000470AA"/>
    <w:rsid w:val="00050053"/>
    <w:rsid w:val="00050DFA"/>
    <w:rsid w:val="00052A0F"/>
    <w:rsid w:val="00057CA1"/>
    <w:rsid w:val="00061109"/>
    <w:rsid w:val="00062A9C"/>
    <w:rsid w:val="000647A9"/>
    <w:rsid w:val="000662E2"/>
    <w:rsid w:val="00066883"/>
    <w:rsid w:val="00071B39"/>
    <w:rsid w:val="00073DCF"/>
    <w:rsid w:val="00074DD8"/>
    <w:rsid w:val="00075759"/>
    <w:rsid w:val="000806F7"/>
    <w:rsid w:val="0008406F"/>
    <w:rsid w:val="00084102"/>
    <w:rsid w:val="00086AC3"/>
    <w:rsid w:val="00092305"/>
    <w:rsid w:val="00094408"/>
    <w:rsid w:val="000952DD"/>
    <w:rsid w:val="00097840"/>
    <w:rsid w:val="000A2446"/>
    <w:rsid w:val="000A2B1E"/>
    <w:rsid w:val="000A6D35"/>
    <w:rsid w:val="000B0727"/>
    <w:rsid w:val="000B1DCF"/>
    <w:rsid w:val="000B37DC"/>
    <w:rsid w:val="000B5BEC"/>
    <w:rsid w:val="000C0653"/>
    <w:rsid w:val="000C135D"/>
    <w:rsid w:val="000C3000"/>
    <w:rsid w:val="000C362C"/>
    <w:rsid w:val="000D1D43"/>
    <w:rsid w:val="000D225C"/>
    <w:rsid w:val="000D2A5C"/>
    <w:rsid w:val="000D39F0"/>
    <w:rsid w:val="000D65A4"/>
    <w:rsid w:val="000E0918"/>
    <w:rsid w:val="000E0F4D"/>
    <w:rsid w:val="000E2794"/>
    <w:rsid w:val="000E2BC2"/>
    <w:rsid w:val="000E6ACD"/>
    <w:rsid w:val="000E79A9"/>
    <w:rsid w:val="000F223F"/>
    <w:rsid w:val="000F632D"/>
    <w:rsid w:val="001011C3"/>
    <w:rsid w:val="00105C3C"/>
    <w:rsid w:val="00106801"/>
    <w:rsid w:val="00106DA3"/>
    <w:rsid w:val="00110214"/>
    <w:rsid w:val="00110D87"/>
    <w:rsid w:val="00111297"/>
    <w:rsid w:val="00112399"/>
    <w:rsid w:val="00114DB9"/>
    <w:rsid w:val="00116087"/>
    <w:rsid w:val="001162CF"/>
    <w:rsid w:val="00116A3A"/>
    <w:rsid w:val="00117711"/>
    <w:rsid w:val="0011780D"/>
    <w:rsid w:val="00120020"/>
    <w:rsid w:val="00120DEA"/>
    <w:rsid w:val="001223D5"/>
    <w:rsid w:val="001228EB"/>
    <w:rsid w:val="00126C63"/>
    <w:rsid w:val="00130296"/>
    <w:rsid w:val="00132B7D"/>
    <w:rsid w:val="00134145"/>
    <w:rsid w:val="00134ED6"/>
    <w:rsid w:val="00135301"/>
    <w:rsid w:val="00136284"/>
    <w:rsid w:val="00136736"/>
    <w:rsid w:val="00136D67"/>
    <w:rsid w:val="00137807"/>
    <w:rsid w:val="0014191C"/>
    <w:rsid w:val="001423B6"/>
    <w:rsid w:val="001448A7"/>
    <w:rsid w:val="00144C81"/>
    <w:rsid w:val="00146621"/>
    <w:rsid w:val="00147071"/>
    <w:rsid w:val="001473CC"/>
    <w:rsid w:val="0014758E"/>
    <w:rsid w:val="0015694D"/>
    <w:rsid w:val="001617E3"/>
    <w:rsid w:val="00162325"/>
    <w:rsid w:val="00163875"/>
    <w:rsid w:val="00166371"/>
    <w:rsid w:val="001713A2"/>
    <w:rsid w:val="00171D82"/>
    <w:rsid w:val="001745A3"/>
    <w:rsid w:val="001749FC"/>
    <w:rsid w:val="0017698D"/>
    <w:rsid w:val="0017735E"/>
    <w:rsid w:val="00177877"/>
    <w:rsid w:val="00190A6E"/>
    <w:rsid w:val="00190CE3"/>
    <w:rsid w:val="00192FAE"/>
    <w:rsid w:val="001951DA"/>
    <w:rsid w:val="001A342D"/>
    <w:rsid w:val="001A4052"/>
    <w:rsid w:val="001B053D"/>
    <w:rsid w:val="001B0B46"/>
    <w:rsid w:val="001B25F5"/>
    <w:rsid w:val="001B3629"/>
    <w:rsid w:val="001C0842"/>
    <w:rsid w:val="001C3269"/>
    <w:rsid w:val="001C5BCE"/>
    <w:rsid w:val="001C78FF"/>
    <w:rsid w:val="001D19B6"/>
    <w:rsid w:val="001D1DB4"/>
    <w:rsid w:val="001D23F1"/>
    <w:rsid w:val="001D25F9"/>
    <w:rsid w:val="001D60AC"/>
    <w:rsid w:val="001D61ED"/>
    <w:rsid w:val="001E297F"/>
    <w:rsid w:val="001E35E6"/>
    <w:rsid w:val="001E39A2"/>
    <w:rsid w:val="001E4217"/>
    <w:rsid w:val="001E48B2"/>
    <w:rsid w:val="001E4E87"/>
    <w:rsid w:val="001E5B2D"/>
    <w:rsid w:val="001E5EF0"/>
    <w:rsid w:val="001F0C63"/>
    <w:rsid w:val="001F1856"/>
    <w:rsid w:val="001F3920"/>
    <w:rsid w:val="0020156C"/>
    <w:rsid w:val="002017CD"/>
    <w:rsid w:val="00206E26"/>
    <w:rsid w:val="00210D8A"/>
    <w:rsid w:val="00215C2A"/>
    <w:rsid w:val="00216634"/>
    <w:rsid w:val="00216BD2"/>
    <w:rsid w:val="002202F9"/>
    <w:rsid w:val="00220B05"/>
    <w:rsid w:val="00225D1A"/>
    <w:rsid w:val="00226B5A"/>
    <w:rsid w:val="00241960"/>
    <w:rsid w:val="00241C67"/>
    <w:rsid w:val="00242D31"/>
    <w:rsid w:val="00243573"/>
    <w:rsid w:val="002445BD"/>
    <w:rsid w:val="00246EA3"/>
    <w:rsid w:val="00247BD8"/>
    <w:rsid w:val="00247F1F"/>
    <w:rsid w:val="00252EC8"/>
    <w:rsid w:val="0025481E"/>
    <w:rsid w:val="002554B3"/>
    <w:rsid w:val="00256F37"/>
    <w:rsid w:val="002574F9"/>
    <w:rsid w:val="00262B61"/>
    <w:rsid w:val="00262CC6"/>
    <w:rsid w:val="00263E08"/>
    <w:rsid w:val="00264DE5"/>
    <w:rsid w:val="00271161"/>
    <w:rsid w:val="002764C2"/>
    <w:rsid w:val="00276811"/>
    <w:rsid w:val="0027712F"/>
    <w:rsid w:val="00281A06"/>
    <w:rsid w:val="0028209A"/>
    <w:rsid w:val="00282699"/>
    <w:rsid w:val="00285F7B"/>
    <w:rsid w:val="00291739"/>
    <w:rsid w:val="002926DF"/>
    <w:rsid w:val="0029416F"/>
    <w:rsid w:val="00296697"/>
    <w:rsid w:val="002973D9"/>
    <w:rsid w:val="002A2A87"/>
    <w:rsid w:val="002A2E23"/>
    <w:rsid w:val="002A325D"/>
    <w:rsid w:val="002A4CCA"/>
    <w:rsid w:val="002A52DD"/>
    <w:rsid w:val="002A74E0"/>
    <w:rsid w:val="002A76E5"/>
    <w:rsid w:val="002B0472"/>
    <w:rsid w:val="002B09E3"/>
    <w:rsid w:val="002B1D80"/>
    <w:rsid w:val="002B45DC"/>
    <w:rsid w:val="002B63A4"/>
    <w:rsid w:val="002B6B12"/>
    <w:rsid w:val="002C21F0"/>
    <w:rsid w:val="002C4A21"/>
    <w:rsid w:val="002C6BA5"/>
    <w:rsid w:val="002D01DF"/>
    <w:rsid w:val="002D187A"/>
    <w:rsid w:val="002D2D72"/>
    <w:rsid w:val="002D4E1F"/>
    <w:rsid w:val="002E213C"/>
    <w:rsid w:val="002E343E"/>
    <w:rsid w:val="002E3EB3"/>
    <w:rsid w:val="002E5CD2"/>
    <w:rsid w:val="002E6140"/>
    <w:rsid w:val="002E6985"/>
    <w:rsid w:val="002E71B6"/>
    <w:rsid w:val="002E7DB3"/>
    <w:rsid w:val="002F35F6"/>
    <w:rsid w:val="002F3C50"/>
    <w:rsid w:val="002F4743"/>
    <w:rsid w:val="002F64C8"/>
    <w:rsid w:val="002F77C8"/>
    <w:rsid w:val="00302FDE"/>
    <w:rsid w:val="00304F22"/>
    <w:rsid w:val="00306BCC"/>
    <w:rsid w:val="00306C7C"/>
    <w:rsid w:val="00307DD3"/>
    <w:rsid w:val="00310FFC"/>
    <w:rsid w:val="00314F86"/>
    <w:rsid w:val="00317F4D"/>
    <w:rsid w:val="00321A91"/>
    <w:rsid w:val="00321C48"/>
    <w:rsid w:val="00322EDD"/>
    <w:rsid w:val="003307C9"/>
    <w:rsid w:val="003309FA"/>
    <w:rsid w:val="00332320"/>
    <w:rsid w:val="00340A6C"/>
    <w:rsid w:val="00343B5E"/>
    <w:rsid w:val="003465CC"/>
    <w:rsid w:val="00347D72"/>
    <w:rsid w:val="003504D0"/>
    <w:rsid w:val="00350AAB"/>
    <w:rsid w:val="00352228"/>
    <w:rsid w:val="00353B5A"/>
    <w:rsid w:val="00353F45"/>
    <w:rsid w:val="003548AA"/>
    <w:rsid w:val="00356957"/>
    <w:rsid w:val="00357611"/>
    <w:rsid w:val="00362E74"/>
    <w:rsid w:val="0036432A"/>
    <w:rsid w:val="00364AF9"/>
    <w:rsid w:val="00365079"/>
    <w:rsid w:val="0036524A"/>
    <w:rsid w:val="00367237"/>
    <w:rsid w:val="00370265"/>
    <w:rsid w:val="003705BA"/>
    <w:rsid w:val="0037077F"/>
    <w:rsid w:val="00371428"/>
    <w:rsid w:val="00372411"/>
    <w:rsid w:val="00372D27"/>
    <w:rsid w:val="0037381D"/>
    <w:rsid w:val="00373882"/>
    <w:rsid w:val="003746C6"/>
    <w:rsid w:val="00374B45"/>
    <w:rsid w:val="00375AC3"/>
    <w:rsid w:val="00377235"/>
    <w:rsid w:val="0038062A"/>
    <w:rsid w:val="003843DB"/>
    <w:rsid w:val="00387149"/>
    <w:rsid w:val="003872F1"/>
    <w:rsid w:val="00390E91"/>
    <w:rsid w:val="00391F5C"/>
    <w:rsid w:val="00393761"/>
    <w:rsid w:val="00393DF9"/>
    <w:rsid w:val="003949EE"/>
    <w:rsid w:val="00394E26"/>
    <w:rsid w:val="00396691"/>
    <w:rsid w:val="00397D18"/>
    <w:rsid w:val="003A1716"/>
    <w:rsid w:val="003A1B36"/>
    <w:rsid w:val="003A3AD1"/>
    <w:rsid w:val="003A4E2D"/>
    <w:rsid w:val="003A73D3"/>
    <w:rsid w:val="003B0FDF"/>
    <w:rsid w:val="003B1454"/>
    <w:rsid w:val="003B18B6"/>
    <w:rsid w:val="003B2A9F"/>
    <w:rsid w:val="003B3D41"/>
    <w:rsid w:val="003B4633"/>
    <w:rsid w:val="003C161B"/>
    <w:rsid w:val="003C2989"/>
    <w:rsid w:val="003C4426"/>
    <w:rsid w:val="003C59E0"/>
    <w:rsid w:val="003C6C8D"/>
    <w:rsid w:val="003D1A40"/>
    <w:rsid w:val="003D2349"/>
    <w:rsid w:val="003D2656"/>
    <w:rsid w:val="003D4F95"/>
    <w:rsid w:val="003D5F42"/>
    <w:rsid w:val="003D60A9"/>
    <w:rsid w:val="003E60D7"/>
    <w:rsid w:val="003E76F6"/>
    <w:rsid w:val="003F2339"/>
    <w:rsid w:val="003F2CE6"/>
    <w:rsid w:val="003F4C97"/>
    <w:rsid w:val="003F666D"/>
    <w:rsid w:val="003F7FE6"/>
    <w:rsid w:val="00400193"/>
    <w:rsid w:val="0040033B"/>
    <w:rsid w:val="00400391"/>
    <w:rsid w:val="004022A1"/>
    <w:rsid w:val="00403542"/>
    <w:rsid w:val="004061FD"/>
    <w:rsid w:val="004123E9"/>
    <w:rsid w:val="00412B5C"/>
    <w:rsid w:val="00416EAF"/>
    <w:rsid w:val="004212E7"/>
    <w:rsid w:val="00421338"/>
    <w:rsid w:val="00421CF6"/>
    <w:rsid w:val="00423C88"/>
    <w:rsid w:val="00424052"/>
    <w:rsid w:val="0042446D"/>
    <w:rsid w:val="00424D6F"/>
    <w:rsid w:val="00427BF8"/>
    <w:rsid w:val="004306FB"/>
    <w:rsid w:val="00431C02"/>
    <w:rsid w:val="004347F6"/>
    <w:rsid w:val="00436655"/>
    <w:rsid w:val="00437395"/>
    <w:rsid w:val="00445047"/>
    <w:rsid w:val="00446749"/>
    <w:rsid w:val="00453EB7"/>
    <w:rsid w:val="00457427"/>
    <w:rsid w:val="00457C5D"/>
    <w:rsid w:val="00462F63"/>
    <w:rsid w:val="00463E39"/>
    <w:rsid w:val="004657FC"/>
    <w:rsid w:val="004733F6"/>
    <w:rsid w:val="00474E69"/>
    <w:rsid w:val="00475007"/>
    <w:rsid w:val="0047506E"/>
    <w:rsid w:val="004750CB"/>
    <w:rsid w:val="0047592E"/>
    <w:rsid w:val="00483E9F"/>
    <w:rsid w:val="00483EF3"/>
    <w:rsid w:val="00485A2C"/>
    <w:rsid w:val="00485B76"/>
    <w:rsid w:val="0048656F"/>
    <w:rsid w:val="00486BA5"/>
    <w:rsid w:val="00491981"/>
    <w:rsid w:val="0049621B"/>
    <w:rsid w:val="00496485"/>
    <w:rsid w:val="00497048"/>
    <w:rsid w:val="004A0464"/>
    <w:rsid w:val="004A1D19"/>
    <w:rsid w:val="004B7247"/>
    <w:rsid w:val="004C0FDE"/>
    <w:rsid w:val="004C1895"/>
    <w:rsid w:val="004C213A"/>
    <w:rsid w:val="004C2803"/>
    <w:rsid w:val="004C548A"/>
    <w:rsid w:val="004C6D40"/>
    <w:rsid w:val="004D6514"/>
    <w:rsid w:val="004E0962"/>
    <w:rsid w:val="004E5B3B"/>
    <w:rsid w:val="004E6AA8"/>
    <w:rsid w:val="004F0C3C"/>
    <w:rsid w:val="004F2280"/>
    <w:rsid w:val="004F23BB"/>
    <w:rsid w:val="004F34A5"/>
    <w:rsid w:val="004F417B"/>
    <w:rsid w:val="004F41DA"/>
    <w:rsid w:val="004F462D"/>
    <w:rsid w:val="004F5441"/>
    <w:rsid w:val="004F63FC"/>
    <w:rsid w:val="004F721C"/>
    <w:rsid w:val="00505A92"/>
    <w:rsid w:val="00506E96"/>
    <w:rsid w:val="005117A4"/>
    <w:rsid w:val="005203F1"/>
    <w:rsid w:val="00520FFD"/>
    <w:rsid w:val="00521BC3"/>
    <w:rsid w:val="00523E13"/>
    <w:rsid w:val="005306FF"/>
    <w:rsid w:val="00531B9C"/>
    <w:rsid w:val="00532950"/>
    <w:rsid w:val="005330B7"/>
    <w:rsid w:val="00533632"/>
    <w:rsid w:val="00534013"/>
    <w:rsid w:val="0053563A"/>
    <w:rsid w:val="00540C5C"/>
    <w:rsid w:val="00541E6E"/>
    <w:rsid w:val="00541F8B"/>
    <w:rsid w:val="0054251F"/>
    <w:rsid w:val="00542FB9"/>
    <w:rsid w:val="005458FF"/>
    <w:rsid w:val="00547F2B"/>
    <w:rsid w:val="005520D8"/>
    <w:rsid w:val="00555CFB"/>
    <w:rsid w:val="00556536"/>
    <w:rsid w:val="00556CF1"/>
    <w:rsid w:val="00557D84"/>
    <w:rsid w:val="00560D0B"/>
    <w:rsid w:val="0056262E"/>
    <w:rsid w:val="00563517"/>
    <w:rsid w:val="00565E78"/>
    <w:rsid w:val="0057050A"/>
    <w:rsid w:val="00570928"/>
    <w:rsid w:val="005762A7"/>
    <w:rsid w:val="00577384"/>
    <w:rsid w:val="0058131E"/>
    <w:rsid w:val="00585BDD"/>
    <w:rsid w:val="00587032"/>
    <w:rsid w:val="00587CEE"/>
    <w:rsid w:val="00590C38"/>
    <w:rsid w:val="005916D7"/>
    <w:rsid w:val="00591CC9"/>
    <w:rsid w:val="0059427F"/>
    <w:rsid w:val="00597464"/>
    <w:rsid w:val="00597994"/>
    <w:rsid w:val="005A698C"/>
    <w:rsid w:val="005B056A"/>
    <w:rsid w:val="005B05DA"/>
    <w:rsid w:val="005B2751"/>
    <w:rsid w:val="005B4738"/>
    <w:rsid w:val="005B5286"/>
    <w:rsid w:val="005B6141"/>
    <w:rsid w:val="005B7DBA"/>
    <w:rsid w:val="005C0CAC"/>
    <w:rsid w:val="005C1C3C"/>
    <w:rsid w:val="005C3279"/>
    <w:rsid w:val="005C40FF"/>
    <w:rsid w:val="005C5C0A"/>
    <w:rsid w:val="005D062E"/>
    <w:rsid w:val="005D2259"/>
    <w:rsid w:val="005D339C"/>
    <w:rsid w:val="005D3734"/>
    <w:rsid w:val="005D6B43"/>
    <w:rsid w:val="005E0799"/>
    <w:rsid w:val="005E10F9"/>
    <w:rsid w:val="005E1200"/>
    <w:rsid w:val="005E21F1"/>
    <w:rsid w:val="005E4F69"/>
    <w:rsid w:val="005E52E8"/>
    <w:rsid w:val="005E59E1"/>
    <w:rsid w:val="005E60B0"/>
    <w:rsid w:val="005E612D"/>
    <w:rsid w:val="005E7E20"/>
    <w:rsid w:val="005F0252"/>
    <w:rsid w:val="005F3C8D"/>
    <w:rsid w:val="005F45EE"/>
    <w:rsid w:val="005F4966"/>
    <w:rsid w:val="005F5A7B"/>
    <w:rsid w:val="005F5A80"/>
    <w:rsid w:val="00602F21"/>
    <w:rsid w:val="006044FF"/>
    <w:rsid w:val="00607CC5"/>
    <w:rsid w:val="00610898"/>
    <w:rsid w:val="0061179B"/>
    <w:rsid w:val="006125F9"/>
    <w:rsid w:val="00614715"/>
    <w:rsid w:val="00615EE5"/>
    <w:rsid w:val="00621F3F"/>
    <w:rsid w:val="006246F9"/>
    <w:rsid w:val="00626B0B"/>
    <w:rsid w:val="00627079"/>
    <w:rsid w:val="00627A88"/>
    <w:rsid w:val="00627DB6"/>
    <w:rsid w:val="00633014"/>
    <w:rsid w:val="0063437B"/>
    <w:rsid w:val="006343A5"/>
    <w:rsid w:val="0064017E"/>
    <w:rsid w:val="006418D5"/>
    <w:rsid w:val="006445E0"/>
    <w:rsid w:val="00645C49"/>
    <w:rsid w:val="006468F5"/>
    <w:rsid w:val="00650938"/>
    <w:rsid w:val="006524EB"/>
    <w:rsid w:val="00654BB6"/>
    <w:rsid w:val="006602AD"/>
    <w:rsid w:val="00660A46"/>
    <w:rsid w:val="0066183D"/>
    <w:rsid w:val="00662A8C"/>
    <w:rsid w:val="006645B0"/>
    <w:rsid w:val="006652F5"/>
    <w:rsid w:val="00666B88"/>
    <w:rsid w:val="006673CA"/>
    <w:rsid w:val="00667D03"/>
    <w:rsid w:val="006702DC"/>
    <w:rsid w:val="00672A56"/>
    <w:rsid w:val="00673C26"/>
    <w:rsid w:val="006749D7"/>
    <w:rsid w:val="00674DE5"/>
    <w:rsid w:val="00677170"/>
    <w:rsid w:val="00677ACA"/>
    <w:rsid w:val="006810E4"/>
    <w:rsid w:val="006812AF"/>
    <w:rsid w:val="0068146B"/>
    <w:rsid w:val="0068327D"/>
    <w:rsid w:val="00691534"/>
    <w:rsid w:val="00693880"/>
    <w:rsid w:val="00694AF0"/>
    <w:rsid w:val="00695EF7"/>
    <w:rsid w:val="0069780F"/>
    <w:rsid w:val="006A2303"/>
    <w:rsid w:val="006A4413"/>
    <w:rsid w:val="006A4686"/>
    <w:rsid w:val="006B0E9E"/>
    <w:rsid w:val="006B125F"/>
    <w:rsid w:val="006B486D"/>
    <w:rsid w:val="006B495A"/>
    <w:rsid w:val="006B5AE4"/>
    <w:rsid w:val="006B7909"/>
    <w:rsid w:val="006C0095"/>
    <w:rsid w:val="006C111F"/>
    <w:rsid w:val="006C2C5F"/>
    <w:rsid w:val="006C35E2"/>
    <w:rsid w:val="006C70E4"/>
    <w:rsid w:val="006D1507"/>
    <w:rsid w:val="006D17FB"/>
    <w:rsid w:val="006D1BD7"/>
    <w:rsid w:val="006D39E7"/>
    <w:rsid w:val="006D4054"/>
    <w:rsid w:val="006D5264"/>
    <w:rsid w:val="006E02EC"/>
    <w:rsid w:val="006E093F"/>
    <w:rsid w:val="006E1458"/>
    <w:rsid w:val="006E3C4F"/>
    <w:rsid w:val="006E3DD8"/>
    <w:rsid w:val="006E41C3"/>
    <w:rsid w:val="006E565F"/>
    <w:rsid w:val="006E6F41"/>
    <w:rsid w:val="006E73E6"/>
    <w:rsid w:val="006E7EE8"/>
    <w:rsid w:val="007001B9"/>
    <w:rsid w:val="0070036C"/>
    <w:rsid w:val="00701821"/>
    <w:rsid w:val="00703BBC"/>
    <w:rsid w:val="00706EFC"/>
    <w:rsid w:val="007113E8"/>
    <w:rsid w:val="0071157D"/>
    <w:rsid w:val="0071264D"/>
    <w:rsid w:val="007134CF"/>
    <w:rsid w:val="007139BD"/>
    <w:rsid w:val="00715476"/>
    <w:rsid w:val="007211B1"/>
    <w:rsid w:val="0072437C"/>
    <w:rsid w:val="007277DA"/>
    <w:rsid w:val="00727EC0"/>
    <w:rsid w:val="00730C85"/>
    <w:rsid w:val="00731D27"/>
    <w:rsid w:val="00731EEE"/>
    <w:rsid w:val="00734568"/>
    <w:rsid w:val="00737630"/>
    <w:rsid w:val="007424D4"/>
    <w:rsid w:val="0074336E"/>
    <w:rsid w:val="00743BB9"/>
    <w:rsid w:val="00746187"/>
    <w:rsid w:val="007548A3"/>
    <w:rsid w:val="00756E0C"/>
    <w:rsid w:val="00760207"/>
    <w:rsid w:val="00760E16"/>
    <w:rsid w:val="0076254F"/>
    <w:rsid w:val="00762C70"/>
    <w:rsid w:val="00764A6F"/>
    <w:rsid w:val="0076685C"/>
    <w:rsid w:val="007672C8"/>
    <w:rsid w:val="0076765A"/>
    <w:rsid w:val="00770817"/>
    <w:rsid w:val="0077083E"/>
    <w:rsid w:val="0077274B"/>
    <w:rsid w:val="007801F5"/>
    <w:rsid w:val="00781CDD"/>
    <w:rsid w:val="00783CA4"/>
    <w:rsid w:val="007842FB"/>
    <w:rsid w:val="00785497"/>
    <w:rsid w:val="00786124"/>
    <w:rsid w:val="007866E9"/>
    <w:rsid w:val="00787D5A"/>
    <w:rsid w:val="00790246"/>
    <w:rsid w:val="00790B71"/>
    <w:rsid w:val="007914FC"/>
    <w:rsid w:val="00793869"/>
    <w:rsid w:val="0079514B"/>
    <w:rsid w:val="00795252"/>
    <w:rsid w:val="007967F0"/>
    <w:rsid w:val="007A2DC1"/>
    <w:rsid w:val="007A4AC8"/>
    <w:rsid w:val="007A6C89"/>
    <w:rsid w:val="007B37F9"/>
    <w:rsid w:val="007D0869"/>
    <w:rsid w:val="007D14C4"/>
    <w:rsid w:val="007D156C"/>
    <w:rsid w:val="007D29F3"/>
    <w:rsid w:val="007D3319"/>
    <w:rsid w:val="007D335D"/>
    <w:rsid w:val="007D605C"/>
    <w:rsid w:val="007E31A1"/>
    <w:rsid w:val="007E3314"/>
    <w:rsid w:val="007E3514"/>
    <w:rsid w:val="007E4B03"/>
    <w:rsid w:val="007E5A4B"/>
    <w:rsid w:val="007F0A76"/>
    <w:rsid w:val="007F10AB"/>
    <w:rsid w:val="007F2997"/>
    <w:rsid w:val="007F2F60"/>
    <w:rsid w:val="007F324B"/>
    <w:rsid w:val="007F73E6"/>
    <w:rsid w:val="007F7577"/>
    <w:rsid w:val="00801C11"/>
    <w:rsid w:val="0080553C"/>
    <w:rsid w:val="00805B46"/>
    <w:rsid w:val="00805DB4"/>
    <w:rsid w:val="008072E7"/>
    <w:rsid w:val="008103ED"/>
    <w:rsid w:val="00811476"/>
    <w:rsid w:val="008136AA"/>
    <w:rsid w:val="008140A4"/>
    <w:rsid w:val="00817C0F"/>
    <w:rsid w:val="008210E4"/>
    <w:rsid w:val="008230BA"/>
    <w:rsid w:val="00823593"/>
    <w:rsid w:val="008253F0"/>
    <w:rsid w:val="008257A1"/>
    <w:rsid w:val="00825DC2"/>
    <w:rsid w:val="00832ACF"/>
    <w:rsid w:val="0083359C"/>
    <w:rsid w:val="00834AD3"/>
    <w:rsid w:val="008408EC"/>
    <w:rsid w:val="00841C10"/>
    <w:rsid w:val="00843795"/>
    <w:rsid w:val="0084430C"/>
    <w:rsid w:val="0084739D"/>
    <w:rsid w:val="00847F0F"/>
    <w:rsid w:val="00852448"/>
    <w:rsid w:val="0085260C"/>
    <w:rsid w:val="00853D7A"/>
    <w:rsid w:val="00854B9E"/>
    <w:rsid w:val="00865E14"/>
    <w:rsid w:val="00870757"/>
    <w:rsid w:val="008754F5"/>
    <w:rsid w:val="008759BB"/>
    <w:rsid w:val="00876603"/>
    <w:rsid w:val="00877324"/>
    <w:rsid w:val="008774BF"/>
    <w:rsid w:val="00877F6C"/>
    <w:rsid w:val="00882220"/>
    <w:rsid w:val="0088258A"/>
    <w:rsid w:val="00885FFC"/>
    <w:rsid w:val="00886332"/>
    <w:rsid w:val="00887DF8"/>
    <w:rsid w:val="00891C86"/>
    <w:rsid w:val="008925F0"/>
    <w:rsid w:val="00893238"/>
    <w:rsid w:val="0089448A"/>
    <w:rsid w:val="00897877"/>
    <w:rsid w:val="008A26D9"/>
    <w:rsid w:val="008A6580"/>
    <w:rsid w:val="008A7B5B"/>
    <w:rsid w:val="008B09C5"/>
    <w:rsid w:val="008B12D2"/>
    <w:rsid w:val="008B217E"/>
    <w:rsid w:val="008B33B4"/>
    <w:rsid w:val="008B401B"/>
    <w:rsid w:val="008B52B6"/>
    <w:rsid w:val="008B5377"/>
    <w:rsid w:val="008C0C29"/>
    <w:rsid w:val="008C2F8F"/>
    <w:rsid w:val="008C3B8A"/>
    <w:rsid w:val="008C5F32"/>
    <w:rsid w:val="008D02DA"/>
    <w:rsid w:val="008D0739"/>
    <w:rsid w:val="008D0EDC"/>
    <w:rsid w:val="008D10EA"/>
    <w:rsid w:val="008D18CE"/>
    <w:rsid w:val="008D5EF2"/>
    <w:rsid w:val="008D76BC"/>
    <w:rsid w:val="008E17FD"/>
    <w:rsid w:val="008E5BC0"/>
    <w:rsid w:val="008E697E"/>
    <w:rsid w:val="008E7DBA"/>
    <w:rsid w:val="008F0829"/>
    <w:rsid w:val="008F3638"/>
    <w:rsid w:val="008F4441"/>
    <w:rsid w:val="008F6B20"/>
    <w:rsid w:val="008F6F31"/>
    <w:rsid w:val="008F74DF"/>
    <w:rsid w:val="009007A1"/>
    <w:rsid w:val="00902274"/>
    <w:rsid w:val="009127BA"/>
    <w:rsid w:val="00914BE9"/>
    <w:rsid w:val="00915CBB"/>
    <w:rsid w:val="00917573"/>
    <w:rsid w:val="00920AAE"/>
    <w:rsid w:val="00920D73"/>
    <w:rsid w:val="009227A6"/>
    <w:rsid w:val="00922AA0"/>
    <w:rsid w:val="00925150"/>
    <w:rsid w:val="00926EA4"/>
    <w:rsid w:val="0092739A"/>
    <w:rsid w:val="009273FE"/>
    <w:rsid w:val="00933EC1"/>
    <w:rsid w:val="00935D17"/>
    <w:rsid w:val="00935E50"/>
    <w:rsid w:val="00936EAD"/>
    <w:rsid w:val="009420B6"/>
    <w:rsid w:val="009446AD"/>
    <w:rsid w:val="00945063"/>
    <w:rsid w:val="00945819"/>
    <w:rsid w:val="0094654D"/>
    <w:rsid w:val="00946B3A"/>
    <w:rsid w:val="0095000E"/>
    <w:rsid w:val="009530DB"/>
    <w:rsid w:val="00953676"/>
    <w:rsid w:val="00956F30"/>
    <w:rsid w:val="00960F2A"/>
    <w:rsid w:val="009615E3"/>
    <w:rsid w:val="00961B58"/>
    <w:rsid w:val="0096546D"/>
    <w:rsid w:val="00966C9A"/>
    <w:rsid w:val="009705EE"/>
    <w:rsid w:val="00975776"/>
    <w:rsid w:val="00976DD2"/>
    <w:rsid w:val="00977927"/>
    <w:rsid w:val="0098135C"/>
    <w:rsid w:val="0098156A"/>
    <w:rsid w:val="00983FBC"/>
    <w:rsid w:val="00985245"/>
    <w:rsid w:val="00991BAC"/>
    <w:rsid w:val="00993CF5"/>
    <w:rsid w:val="0099751F"/>
    <w:rsid w:val="009A139E"/>
    <w:rsid w:val="009A3C5A"/>
    <w:rsid w:val="009A4D39"/>
    <w:rsid w:val="009A5598"/>
    <w:rsid w:val="009A57ED"/>
    <w:rsid w:val="009A6EA0"/>
    <w:rsid w:val="009B2812"/>
    <w:rsid w:val="009B5C45"/>
    <w:rsid w:val="009C1335"/>
    <w:rsid w:val="009C1AB2"/>
    <w:rsid w:val="009C2836"/>
    <w:rsid w:val="009C30AE"/>
    <w:rsid w:val="009C7251"/>
    <w:rsid w:val="009D025F"/>
    <w:rsid w:val="009D096F"/>
    <w:rsid w:val="009D0FA1"/>
    <w:rsid w:val="009E049E"/>
    <w:rsid w:val="009E1DCC"/>
    <w:rsid w:val="009E2E91"/>
    <w:rsid w:val="009E39CA"/>
    <w:rsid w:val="009F3F94"/>
    <w:rsid w:val="00A01B40"/>
    <w:rsid w:val="00A040FC"/>
    <w:rsid w:val="00A0539A"/>
    <w:rsid w:val="00A060DA"/>
    <w:rsid w:val="00A063FE"/>
    <w:rsid w:val="00A06E63"/>
    <w:rsid w:val="00A12AD8"/>
    <w:rsid w:val="00A130D8"/>
    <w:rsid w:val="00A139F5"/>
    <w:rsid w:val="00A1523A"/>
    <w:rsid w:val="00A1688E"/>
    <w:rsid w:val="00A205F0"/>
    <w:rsid w:val="00A24F8A"/>
    <w:rsid w:val="00A25056"/>
    <w:rsid w:val="00A30824"/>
    <w:rsid w:val="00A32E16"/>
    <w:rsid w:val="00A365B6"/>
    <w:rsid w:val="00A365F4"/>
    <w:rsid w:val="00A41559"/>
    <w:rsid w:val="00A43247"/>
    <w:rsid w:val="00A4673F"/>
    <w:rsid w:val="00A47932"/>
    <w:rsid w:val="00A47D80"/>
    <w:rsid w:val="00A53132"/>
    <w:rsid w:val="00A563F2"/>
    <w:rsid w:val="00A566E8"/>
    <w:rsid w:val="00A573E0"/>
    <w:rsid w:val="00A601B2"/>
    <w:rsid w:val="00A61386"/>
    <w:rsid w:val="00A6424C"/>
    <w:rsid w:val="00A65C2C"/>
    <w:rsid w:val="00A66347"/>
    <w:rsid w:val="00A70AC2"/>
    <w:rsid w:val="00A745B3"/>
    <w:rsid w:val="00A74EBC"/>
    <w:rsid w:val="00A75403"/>
    <w:rsid w:val="00A75F17"/>
    <w:rsid w:val="00A760C9"/>
    <w:rsid w:val="00A76510"/>
    <w:rsid w:val="00A810F9"/>
    <w:rsid w:val="00A82D31"/>
    <w:rsid w:val="00A83110"/>
    <w:rsid w:val="00A84D72"/>
    <w:rsid w:val="00A85E7E"/>
    <w:rsid w:val="00A860CE"/>
    <w:rsid w:val="00A86ECC"/>
    <w:rsid w:val="00A86FCC"/>
    <w:rsid w:val="00A8791E"/>
    <w:rsid w:val="00A904E8"/>
    <w:rsid w:val="00A90A6D"/>
    <w:rsid w:val="00A94412"/>
    <w:rsid w:val="00A951BC"/>
    <w:rsid w:val="00A9541D"/>
    <w:rsid w:val="00A95849"/>
    <w:rsid w:val="00A96FCC"/>
    <w:rsid w:val="00A971E5"/>
    <w:rsid w:val="00AA4C52"/>
    <w:rsid w:val="00AA6511"/>
    <w:rsid w:val="00AA710D"/>
    <w:rsid w:val="00AB0E03"/>
    <w:rsid w:val="00AB27B0"/>
    <w:rsid w:val="00AB2A1D"/>
    <w:rsid w:val="00AB64F3"/>
    <w:rsid w:val="00AB6D25"/>
    <w:rsid w:val="00AC5F91"/>
    <w:rsid w:val="00AD0E56"/>
    <w:rsid w:val="00AD172D"/>
    <w:rsid w:val="00AD7D81"/>
    <w:rsid w:val="00AE229B"/>
    <w:rsid w:val="00AE2D4B"/>
    <w:rsid w:val="00AE4F99"/>
    <w:rsid w:val="00AE78FA"/>
    <w:rsid w:val="00AF0870"/>
    <w:rsid w:val="00AF6259"/>
    <w:rsid w:val="00B03A0D"/>
    <w:rsid w:val="00B11B69"/>
    <w:rsid w:val="00B13E6B"/>
    <w:rsid w:val="00B14952"/>
    <w:rsid w:val="00B1622E"/>
    <w:rsid w:val="00B16871"/>
    <w:rsid w:val="00B217F5"/>
    <w:rsid w:val="00B22A6F"/>
    <w:rsid w:val="00B25B45"/>
    <w:rsid w:val="00B26989"/>
    <w:rsid w:val="00B302A3"/>
    <w:rsid w:val="00B31247"/>
    <w:rsid w:val="00B31E5A"/>
    <w:rsid w:val="00B34F81"/>
    <w:rsid w:val="00B41E59"/>
    <w:rsid w:val="00B42836"/>
    <w:rsid w:val="00B44CD6"/>
    <w:rsid w:val="00B47359"/>
    <w:rsid w:val="00B50F74"/>
    <w:rsid w:val="00B53166"/>
    <w:rsid w:val="00B534B8"/>
    <w:rsid w:val="00B55724"/>
    <w:rsid w:val="00B57F8B"/>
    <w:rsid w:val="00B61A3A"/>
    <w:rsid w:val="00B653AB"/>
    <w:rsid w:val="00B65F9E"/>
    <w:rsid w:val="00B66236"/>
    <w:rsid w:val="00B66B19"/>
    <w:rsid w:val="00B90AE5"/>
    <w:rsid w:val="00B911AA"/>
    <w:rsid w:val="00B914E9"/>
    <w:rsid w:val="00B91A6F"/>
    <w:rsid w:val="00B92EB6"/>
    <w:rsid w:val="00B9425F"/>
    <w:rsid w:val="00B94D40"/>
    <w:rsid w:val="00B955B2"/>
    <w:rsid w:val="00B956EE"/>
    <w:rsid w:val="00BA0EDC"/>
    <w:rsid w:val="00BA2BA1"/>
    <w:rsid w:val="00BA2BA7"/>
    <w:rsid w:val="00BA3447"/>
    <w:rsid w:val="00BA3562"/>
    <w:rsid w:val="00BA61C9"/>
    <w:rsid w:val="00BB290E"/>
    <w:rsid w:val="00BB4F09"/>
    <w:rsid w:val="00BC0EDF"/>
    <w:rsid w:val="00BC2D48"/>
    <w:rsid w:val="00BC5EF4"/>
    <w:rsid w:val="00BD4E33"/>
    <w:rsid w:val="00BD5233"/>
    <w:rsid w:val="00BD774D"/>
    <w:rsid w:val="00BE3E7D"/>
    <w:rsid w:val="00BE4CB1"/>
    <w:rsid w:val="00BE6822"/>
    <w:rsid w:val="00BE70C7"/>
    <w:rsid w:val="00BF1250"/>
    <w:rsid w:val="00BF2609"/>
    <w:rsid w:val="00BF3B78"/>
    <w:rsid w:val="00BF4BCB"/>
    <w:rsid w:val="00BF72C3"/>
    <w:rsid w:val="00BF7A78"/>
    <w:rsid w:val="00C026F3"/>
    <w:rsid w:val="00C02FB2"/>
    <w:rsid w:val="00C030CD"/>
    <w:rsid w:val="00C030DE"/>
    <w:rsid w:val="00C03D5C"/>
    <w:rsid w:val="00C051A8"/>
    <w:rsid w:val="00C1110D"/>
    <w:rsid w:val="00C1271B"/>
    <w:rsid w:val="00C13DA8"/>
    <w:rsid w:val="00C21155"/>
    <w:rsid w:val="00C21AD0"/>
    <w:rsid w:val="00C22105"/>
    <w:rsid w:val="00C244B6"/>
    <w:rsid w:val="00C24A64"/>
    <w:rsid w:val="00C269D0"/>
    <w:rsid w:val="00C27BF1"/>
    <w:rsid w:val="00C30B37"/>
    <w:rsid w:val="00C3702F"/>
    <w:rsid w:val="00C447C7"/>
    <w:rsid w:val="00C4500A"/>
    <w:rsid w:val="00C5073B"/>
    <w:rsid w:val="00C54434"/>
    <w:rsid w:val="00C5486F"/>
    <w:rsid w:val="00C54A24"/>
    <w:rsid w:val="00C54D5F"/>
    <w:rsid w:val="00C5557C"/>
    <w:rsid w:val="00C61408"/>
    <w:rsid w:val="00C61447"/>
    <w:rsid w:val="00C62238"/>
    <w:rsid w:val="00C640D2"/>
    <w:rsid w:val="00C648CA"/>
    <w:rsid w:val="00C64A37"/>
    <w:rsid w:val="00C7158E"/>
    <w:rsid w:val="00C71F0A"/>
    <w:rsid w:val="00C7250B"/>
    <w:rsid w:val="00C72F4D"/>
    <w:rsid w:val="00C7346B"/>
    <w:rsid w:val="00C73626"/>
    <w:rsid w:val="00C77C0E"/>
    <w:rsid w:val="00C80CEB"/>
    <w:rsid w:val="00C80DAC"/>
    <w:rsid w:val="00C832A3"/>
    <w:rsid w:val="00C91687"/>
    <w:rsid w:val="00C924A8"/>
    <w:rsid w:val="00C93A38"/>
    <w:rsid w:val="00C93D55"/>
    <w:rsid w:val="00C94362"/>
    <w:rsid w:val="00C945FE"/>
    <w:rsid w:val="00C948D1"/>
    <w:rsid w:val="00C95DEC"/>
    <w:rsid w:val="00C96FAA"/>
    <w:rsid w:val="00C97A04"/>
    <w:rsid w:val="00CA107B"/>
    <w:rsid w:val="00CA484D"/>
    <w:rsid w:val="00CA4FB6"/>
    <w:rsid w:val="00CA69FF"/>
    <w:rsid w:val="00CA7139"/>
    <w:rsid w:val="00CA7D11"/>
    <w:rsid w:val="00CB165E"/>
    <w:rsid w:val="00CB2F90"/>
    <w:rsid w:val="00CB3CA3"/>
    <w:rsid w:val="00CB4425"/>
    <w:rsid w:val="00CB4EBC"/>
    <w:rsid w:val="00CB6AD4"/>
    <w:rsid w:val="00CC13DE"/>
    <w:rsid w:val="00CC739E"/>
    <w:rsid w:val="00CD1EBB"/>
    <w:rsid w:val="00CD28CF"/>
    <w:rsid w:val="00CD58B7"/>
    <w:rsid w:val="00CD7691"/>
    <w:rsid w:val="00CD7967"/>
    <w:rsid w:val="00CE4951"/>
    <w:rsid w:val="00CE4E72"/>
    <w:rsid w:val="00CE58EC"/>
    <w:rsid w:val="00CE6E15"/>
    <w:rsid w:val="00CF18EE"/>
    <w:rsid w:val="00CF30BD"/>
    <w:rsid w:val="00CF4099"/>
    <w:rsid w:val="00CF4FD3"/>
    <w:rsid w:val="00D00796"/>
    <w:rsid w:val="00D03015"/>
    <w:rsid w:val="00D03078"/>
    <w:rsid w:val="00D0334F"/>
    <w:rsid w:val="00D04637"/>
    <w:rsid w:val="00D07CB3"/>
    <w:rsid w:val="00D20387"/>
    <w:rsid w:val="00D21387"/>
    <w:rsid w:val="00D22860"/>
    <w:rsid w:val="00D2457C"/>
    <w:rsid w:val="00D25D98"/>
    <w:rsid w:val="00D261A2"/>
    <w:rsid w:val="00D3182E"/>
    <w:rsid w:val="00D31D05"/>
    <w:rsid w:val="00D3476C"/>
    <w:rsid w:val="00D36E42"/>
    <w:rsid w:val="00D41DA8"/>
    <w:rsid w:val="00D42806"/>
    <w:rsid w:val="00D46603"/>
    <w:rsid w:val="00D47CD6"/>
    <w:rsid w:val="00D5605D"/>
    <w:rsid w:val="00D57F2D"/>
    <w:rsid w:val="00D616D2"/>
    <w:rsid w:val="00D6173F"/>
    <w:rsid w:val="00D63B5F"/>
    <w:rsid w:val="00D66988"/>
    <w:rsid w:val="00D67B05"/>
    <w:rsid w:val="00D70EF7"/>
    <w:rsid w:val="00D73860"/>
    <w:rsid w:val="00D8043D"/>
    <w:rsid w:val="00D8397C"/>
    <w:rsid w:val="00D85766"/>
    <w:rsid w:val="00D879BA"/>
    <w:rsid w:val="00D92725"/>
    <w:rsid w:val="00D94EED"/>
    <w:rsid w:val="00D96026"/>
    <w:rsid w:val="00D96A16"/>
    <w:rsid w:val="00D972F6"/>
    <w:rsid w:val="00DA331D"/>
    <w:rsid w:val="00DA369D"/>
    <w:rsid w:val="00DA38DE"/>
    <w:rsid w:val="00DA63D2"/>
    <w:rsid w:val="00DA7089"/>
    <w:rsid w:val="00DA7C1C"/>
    <w:rsid w:val="00DB0E94"/>
    <w:rsid w:val="00DB147A"/>
    <w:rsid w:val="00DB1B7A"/>
    <w:rsid w:val="00DB6BD3"/>
    <w:rsid w:val="00DB6D02"/>
    <w:rsid w:val="00DB706E"/>
    <w:rsid w:val="00DB7A59"/>
    <w:rsid w:val="00DC1EC5"/>
    <w:rsid w:val="00DC4EB3"/>
    <w:rsid w:val="00DC6708"/>
    <w:rsid w:val="00DC75F7"/>
    <w:rsid w:val="00DD011A"/>
    <w:rsid w:val="00DD06BA"/>
    <w:rsid w:val="00DD086F"/>
    <w:rsid w:val="00DD0F9D"/>
    <w:rsid w:val="00DE0D4D"/>
    <w:rsid w:val="00DE1F22"/>
    <w:rsid w:val="00DE2400"/>
    <w:rsid w:val="00DE58F1"/>
    <w:rsid w:val="00DE6B22"/>
    <w:rsid w:val="00DE6B58"/>
    <w:rsid w:val="00DE7DC5"/>
    <w:rsid w:val="00DF28C1"/>
    <w:rsid w:val="00DF5B19"/>
    <w:rsid w:val="00DF5CF2"/>
    <w:rsid w:val="00DF5E32"/>
    <w:rsid w:val="00E000A3"/>
    <w:rsid w:val="00E00CC5"/>
    <w:rsid w:val="00E01436"/>
    <w:rsid w:val="00E03E79"/>
    <w:rsid w:val="00E045BD"/>
    <w:rsid w:val="00E04D6C"/>
    <w:rsid w:val="00E0587A"/>
    <w:rsid w:val="00E07C42"/>
    <w:rsid w:val="00E1304D"/>
    <w:rsid w:val="00E16328"/>
    <w:rsid w:val="00E17B77"/>
    <w:rsid w:val="00E210AF"/>
    <w:rsid w:val="00E211A8"/>
    <w:rsid w:val="00E22FA2"/>
    <w:rsid w:val="00E231AB"/>
    <w:rsid w:val="00E23337"/>
    <w:rsid w:val="00E259EA"/>
    <w:rsid w:val="00E25D33"/>
    <w:rsid w:val="00E2669E"/>
    <w:rsid w:val="00E27E2C"/>
    <w:rsid w:val="00E312DC"/>
    <w:rsid w:val="00E32061"/>
    <w:rsid w:val="00E33F48"/>
    <w:rsid w:val="00E370E9"/>
    <w:rsid w:val="00E4074A"/>
    <w:rsid w:val="00E42FF9"/>
    <w:rsid w:val="00E44790"/>
    <w:rsid w:val="00E46234"/>
    <w:rsid w:val="00E4714C"/>
    <w:rsid w:val="00E5178D"/>
    <w:rsid w:val="00E51AEB"/>
    <w:rsid w:val="00E51E17"/>
    <w:rsid w:val="00E522A7"/>
    <w:rsid w:val="00E524C3"/>
    <w:rsid w:val="00E5349E"/>
    <w:rsid w:val="00E54452"/>
    <w:rsid w:val="00E578EB"/>
    <w:rsid w:val="00E60A08"/>
    <w:rsid w:val="00E63B0C"/>
    <w:rsid w:val="00E641D9"/>
    <w:rsid w:val="00E64B19"/>
    <w:rsid w:val="00E64EBE"/>
    <w:rsid w:val="00E664C5"/>
    <w:rsid w:val="00E671A2"/>
    <w:rsid w:val="00E720BE"/>
    <w:rsid w:val="00E76D26"/>
    <w:rsid w:val="00E76EE5"/>
    <w:rsid w:val="00E84C82"/>
    <w:rsid w:val="00E850CE"/>
    <w:rsid w:val="00E91D40"/>
    <w:rsid w:val="00E931EC"/>
    <w:rsid w:val="00E93B04"/>
    <w:rsid w:val="00E93B49"/>
    <w:rsid w:val="00E95B8E"/>
    <w:rsid w:val="00E964D2"/>
    <w:rsid w:val="00EA103F"/>
    <w:rsid w:val="00EA28B6"/>
    <w:rsid w:val="00EA53A9"/>
    <w:rsid w:val="00EA6ED9"/>
    <w:rsid w:val="00EB0152"/>
    <w:rsid w:val="00EB04B7"/>
    <w:rsid w:val="00EB1390"/>
    <w:rsid w:val="00EB2C71"/>
    <w:rsid w:val="00EB3333"/>
    <w:rsid w:val="00EB4340"/>
    <w:rsid w:val="00EB556D"/>
    <w:rsid w:val="00EB5A7D"/>
    <w:rsid w:val="00EB7ED1"/>
    <w:rsid w:val="00ED55C0"/>
    <w:rsid w:val="00ED682B"/>
    <w:rsid w:val="00EE1FD3"/>
    <w:rsid w:val="00EE41D5"/>
    <w:rsid w:val="00EE71EC"/>
    <w:rsid w:val="00EF3D83"/>
    <w:rsid w:val="00EF45AB"/>
    <w:rsid w:val="00EF64A2"/>
    <w:rsid w:val="00EF65F6"/>
    <w:rsid w:val="00F00288"/>
    <w:rsid w:val="00F01287"/>
    <w:rsid w:val="00F0166F"/>
    <w:rsid w:val="00F037A4"/>
    <w:rsid w:val="00F049AB"/>
    <w:rsid w:val="00F10E3E"/>
    <w:rsid w:val="00F11CCD"/>
    <w:rsid w:val="00F13DD1"/>
    <w:rsid w:val="00F140E1"/>
    <w:rsid w:val="00F142DB"/>
    <w:rsid w:val="00F15F2E"/>
    <w:rsid w:val="00F17A03"/>
    <w:rsid w:val="00F27B39"/>
    <w:rsid w:val="00F27C8F"/>
    <w:rsid w:val="00F32749"/>
    <w:rsid w:val="00F33074"/>
    <w:rsid w:val="00F37172"/>
    <w:rsid w:val="00F37BC4"/>
    <w:rsid w:val="00F41758"/>
    <w:rsid w:val="00F4226B"/>
    <w:rsid w:val="00F42552"/>
    <w:rsid w:val="00F4477E"/>
    <w:rsid w:val="00F46269"/>
    <w:rsid w:val="00F46729"/>
    <w:rsid w:val="00F5205E"/>
    <w:rsid w:val="00F56784"/>
    <w:rsid w:val="00F60BA8"/>
    <w:rsid w:val="00F60BEE"/>
    <w:rsid w:val="00F641D7"/>
    <w:rsid w:val="00F655B8"/>
    <w:rsid w:val="00F66ACE"/>
    <w:rsid w:val="00F67D8F"/>
    <w:rsid w:val="00F73160"/>
    <w:rsid w:val="00F732B6"/>
    <w:rsid w:val="00F802BE"/>
    <w:rsid w:val="00F80E93"/>
    <w:rsid w:val="00F8397E"/>
    <w:rsid w:val="00F84B4F"/>
    <w:rsid w:val="00F84DC1"/>
    <w:rsid w:val="00F85FD8"/>
    <w:rsid w:val="00F86024"/>
    <w:rsid w:val="00F8611A"/>
    <w:rsid w:val="00F935A9"/>
    <w:rsid w:val="00F950FE"/>
    <w:rsid w:val="00F97527"/>
    <w:rsid w:val="00FA0117"/>
    <w:rsid w:val="00FA3A30"/>
    <w:rsid w:val="00FA5128"/>
    <w:rsid w:val="00FB2D7E"/>
    <w:rsid w:val="00FB42D4"/>
    <w:rsid w:val="00FB5075"/>
    <w:rsid w:val="00FB5906"/>
    <w:rsid w:val="00FB762F"/>
    <w:rsid w:val="00FB7652"/>
    <w:rsid w:val="00FC2AED"/>
    <w:rsid w:val="00FC4F33"/>
    <w:rsid w:val="00FC5EBF"/>
    <w:rsid w:val="00FD4A1C"/>
    <w:rsid w:val="00FD5B15"/>
    <w:rsid w:val="00FD5C8A"/>
    <w:rsid w:val="00FD5EA7"/>
    <w:rsid w:val="00FD6813"/>
    <w:rsid w:val="00FD6948"/>
    <w:rsid w:val="00FE0EC3"/>
    <w:rsid w:val="00FE1820"/>
    <w:rsid w:val="00FE36CF"/>
    <w:rsid w:val="00FE6045"/>
    <w:rsid w:val="00FE71F1"/>
    <w:rsid w:val="00FE7B95"/>
    <w:rsid w:val="00FF0246"/>
    <w:rsid w:val="00FF2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B0A2CB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190A6E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190A6E"/>
    <w:pPr>
      <w:keepNext/>
      <w:spacing w:before="360" w:line="240" w:lineRule="auto"/>
      <w:outlineLvl w:val="0"/>
    </w:pPr>
    <w:rPr>
      <w:rFonts w:eastAsia="Times New Roman" w:cs="Times New Roman"/>
      <w:b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190A6E"/>
    <w:rPr>
      <w:rFonts w:ascii="Fira Sans" w:eastAsia="Times New Roman" w:hAnsi="Fira Sans" w:cs="Times New Roman"/>
      <w:b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B66236"/>
    <w:pPr>
      <w:spacing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8B52B6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8B52B6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8B52B6"/>
    <w:pPr>
      <w:spacing w:before="360" w:line="240" w:lineRule="exact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8B52B6"/>
    <w:pPr>
      <w:spacing w:line="240" w:lineRule="exact"/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8B52B6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EE1FD3"/>
    <w:rPr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8B52B6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627A88"/>
    <w:pPr>
      <w:spacing w:line="240" w:lineRule="exact"/>
      <w:ind w:left="0"/>
      <w:jc w:val="center"/>
    </w:pPr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EE1FD3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627A88"/>
    <w:pPr>
      <w:spacing w:line="240" w:lineRule="exact"/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627A88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627A88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627A88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730C85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627A88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DE7DC5"/>
    <w:pPr>
      <w:spacing w:line="240" w:lineRule="exact"/>
      <w:ind w:left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730C85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DE7DC5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DE7DC5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627A88"/>
    <w:pPr>
      <w:spacing w:line="240" w:lineRule="exact"/>
    </w:pPr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DE7DC5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7134CF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627A88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7134CF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A43247"/>
    <w:rPr>
      <w:noProof/>
      <w:color w:val="000000" w:themeColor="text1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A43247"/>
    <w:rPr>
      <w:rFonts w:ascii="Fira Sans" w:eastAsia="Times New Roman" w:hAnsi="Fira Sans" w:cs="Times New Roman"/>
      <w:b/>
      <w:bCs/>
      <w:noProof/>
      <w:color w:val="000000" w:themeColor="text1"/>
      <w:sz w:val="19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90246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90246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90246"/>
    <w:rPr>
      <w:vertAlign w:val="superscript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2C4A2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1">
    <w:name w:val="Siatka tabeli — jasna11"/>
    <w:basedOn w:val="Standardowy"/>
    <w:next w:val="Siatkatabelijasna"/>
    <w:uiPriority w:val="40"/>
    <w:rsid w:val="002C4A2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2">
    <w:name w:val="Siatka tabeli — jasna12"/>
    <w:basedOn w:val="Standardowy"/>
    <w:next w:val="Siatkatabelijasna"/>
    <w:uiPriority w:val="40"/>
    <w:rsid w:val="00B13E6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3">
    <w:name w:val="Siatka tabeli — jasna13"/>
    <w:basedOn w:val="Standardowy"/>
    <w:next w:val="Siatkatabelijasna"/>
    <w:uiPriority w:val="40"/>
    <w:rsid w:val="00B13E6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4">
    <w:name w:val="Siatka tabeli — jasna14"/>
    <w:basedOn w:val="Standardowy"/>
    <w:next w:val="Siatkatabelijasna"/>
    <w:uiPriority w:val="40"/>
    <w:rsid w:val="00B13E6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EA10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6D5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mapa">
    <w:name w:val="tytuł mapa"/>
    <w:basedOn w:val="Normalny"/>
    <w:qFormat/>
    <w:rsid w:val="006D5264"/>
    <w:pPr>
      <w:spacing w:before="360" w:line="240" w:lineRule="auto"/>
    </w:pPr>
    <w:rPr>
      <w:b/>
      <w:color w:val="000000" w:themeColor="text1"/>
      <w:spacing w:val="-2"/>
    </w:rPr>
  </w:style>
  <w:style w:type="character" w:styleId="UyteHipercze">
    <w:name w:val="FollowedHyperlink"/>
    <w:basedOn w:val="Domylnaczcionkaakapitu"/>
    <w:uiPriority w:val="99"/>
    <w:semiHidden/>
    <w:unhideWhenUsed/>
    <w:rsid w:val="00177877"/>
    <w:rPr>
      <w:color w:val="954F72" w:themeColor="followedHyperlink"/>
      <w:u w:val="single"/>
    </w:rPr>
  </w:style>
  <w:style w:type="paragraph" w:customStyle="1" w:styleId="Styl1">
    <w:name w:val="Styl1"/>
    <w:basedOn w:val="Tablicaboczek"/>
    <w:qFormat/>
    <w:rsid w:val="009C30AE"/>
    <w:pPr>
      <w:framePr w:hSpace="141" w:wrap="around" w:vAnchor="text" w:hAnchor="margin" w:y="5"/>
    </w:pPr>
  </w:style>
  <w:style w:type="paragraph" w:customStyle="1" w:styleId="hipercze0">
    <w:name w:val="hiperłącze"/>
    <w:basedOn w:val="Normalny"/>
    <w:qFormat/>
    <w:rsid w:val="00A65C2C"/>
    <w:pPr>
      <w:spacing w:line="240" w:lineRule="exact"/>
    </w:pPr>
    <w:rPr>
      <w:color w:val="001D77"/>
      <w:szCs w:val="19"/>
      <w:u w:val="single"/>
    </w:rPr>
  </w:style>
  <w:style w:type="paragraph" w:customStyle="1" w:styleId="nagwekdohiperaczy">
    <w:name w:val="nagłówek do hiperłaczy"/>
    <w:basedOn w:val="Normalny"/>
    <w:qFormat/>
    <w:rsid w:val="00A65C2C"/>
    <w:pPr>
      <w:shd w:val="clear" w:color="auto" w:fill="D9D9D9" w:themeFill="background1" w:themeFillShade="D9"/>
      <w:spacing w:line="240" w:lineRule="exact"/>
    </w:pPr>
    <w:rPr>
      <w:b/>
    </w:rPr>
  </w:style>
  <w:style w:type="paragraph" w:customStyle="1" w:styleId="Ramka-ikonawskanika">
    <w:name w:val="Ramka - ikona wskaźnika"/>
    <w:basedOn w:val="Normalny"/>
    <w:link w:val="Ramka-ikonawskanikaZnak"/>
    <w:qFormat/>
    <w:rsid w:val="008D0EDC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Ramka-ikonawskanikaZnak">
    <w:name w:val="Ramka - ikona wskaźnika Znak"/>
    <w:basedOn w:val="Domylnaczcionkaakapitu"/>
    <w:link w:val="Ramka-ikonawskanika"/>
    <w:rsid w:val="008D0EDC"/>
    <w:rPr>
      <w:rFonts w:ascii="Fira Sans SemiBold" w:hAnsi="Fira Sans SemiBold"/>
      <w:color w:val="66AFDE"/>
      <w:sz w:val="60"/>
      <w:szCs w:val="60"/>
    </w:rPr>
  </w:style>
  <w:style w:type="paragraph" w:customStyle="1" w:styleId="Tablicaboczekwcicie3">
    <w:name w:val="Tablica boczek wcięcie 3"/>
    <w:basedOn w:val="Normalny"/>
    <w:qFormat/>
    <w:rsid w:val="00DE7DC5"/>
    <w:pPr>
      <w:ind w:left="459"/>
    </w:pPr>
  </w:style>
  <w:style w:type="paragraph" w:customStyle="1" w:styleId="Tablicaboczekwcicie4">
    <w:name w:val="Tablica boczek wcięcie 4"/>
    <w:basedOn w:val="Normalny"/>
    <w:qFormat/>
    <w:rsid w:val="00A205F0"/>
    <w:pPr>
      <w:ind w:left="601"/>
    </w:pPr>
  </w:style>
  <w:style w:type="paragraph" w:customStyle="1" w:styleId="notka">
    <w:name w:val="notka"/>
    <w:basedOn w:val="Przypis"/>
    <w:qFormat/>
    <w:rsid w:val="00BF7A78"/>
    <w:pPr>
      <w:spacing w:after="120" w:line="240" w:lineRule="exact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26" Type="http://schemas.openxmlformats.org/officeDocument/2006/relationships/hyperlink" Target="https://www.facebook.com/UrzadStatystycznywWarszawie" TargetMode="External"/><Relationship Id="rId39" Type="http://schemas.openxmlformats.org/officeDocument/2006/relationships/hyperlink" Target="https://bdl.stat.gov.pl/bdl/dane/podgrup/temat" TargetMode="External"/><Relationship Id="rId21" Type="http://schemas.openxmlformats.org/officeDocument/2006/relationships/hyperlink" Target="mailto:m.kaluski@stat.gov.pl" TargetMode="External"/><Relationship Id="rId34" Type="http://schemas.openxmlformats.org/officeDocument/2006/relationships/hyperlink" Target="https://stat.gov.pl/obszary-tematyczne/infrastruktura-komunalna-nieruchomosci/nieruchomosci-budynki-infrastruktura-komunalna/gospodarka-mieszkaniowa-w-2022-roku,14,6.html" TargetMode="External"/><Relationship Id="rId42" Type="http://schemas.openxmlformats.org/officeDocument/2006/relationships/hyperlink" Target="http://stat.gov.pl/metainformacje/slownik-pojec/pojecia-stosowane-w-statystyce-publicznej/324,pojecie.html" TargetMode="External"/><Relationship Id="rId47" Type="http://schemas.openxmlformats.org/officeDocument/2006/relationships/hyperlink" Target="http://stat.gov.pl/metainformacje/slownik-pojec/pojecia-stosowane-w-statystyce-publicznej/1481,pojecie.html" TargetMode="External"/><Relationship Id="rId50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image" Target="media/image13.png"/><Relationship Id="rId11" Type="http://schemas.openxmlformats.org/officeDocument/2006/relationships/image" Target="media/image3.png"/><Relationship Id="rId24" Type="http://schemas.openxmlformats.org/officeDocument/2006/relationships/image" Target="media/image11.png"/><Relationship Id="rId32" Type="http://schemas.openxmlformats.org/officeDocument/2006/relationships/hyperlink" Target="https://www.linkedin.com/company/glownyurzadstatystyczny" TargetMode="External"/><Relationship Id="rId37" Type="http://schemas.openxmlformats.org/officeDocument/2006/relationships/hyperlink" Target="https://warszawa.stat.gov.pl/publikacje-i-foldery/inne-opracowania/statystyka-gmin-i-powiatow-wojewodztwa-mazowieckiego-w-latach-2010-i-2021,10,17.html" TargetMode="External"/><Relationship Id="rId40" Type="http://schemas.openxmlformats.org/officeDocument/2006/relationships/hyperlink" Target="http://swaid.stat.gov.pl/SitePagesDBW/InfrastrukturaKomMieszk.aspx" TargetMode="External"/><Relationship Id="rId45" Type="http://schemas.openxmlformats.org/officeDocument/2006/relationships/hyperlink" Target="https://stat.gov.pl/metainformacje/slownik-pojec/pojecia-stosowane-w-statystyce-publicznej/1730,pojecie.html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image" Target="media/image10.png"/><Relationship Id="rId28" Type="http://schemas.openxmlformats.org/officeDocument/2006/relationships/hyperlink" Target="https://www.instagram.com/gus_stat/" TargetMode="External"/><Relationship Id="rId36" Type="http://schemas.openxmlformats.org/officeDocument/2006/relationships/image" Target="media/image16.png"/><Relationship Id="rId49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31" Type="http://schemas.openxmlformats.org/officeDocument/2006/relationships/image" Target="media/image14.png"/><Relationship Id="rId44" Type="http://schemas.openxmlformats.org/officeDocument/2006/relationships/hyperlink" Target="https://stat.gov.pl/metainformacje/slownik-pojec/pojecia-stosowane-w-statystyce-publicznej/638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hyperlink" Target="https://warszawa.stat.gov.pl/" TargetMode="External"/><Relationship Id="rId27" Type="http://schemas.openxmlformats.org/officeDocument/2006/relationships/image" Target="media/image12.png"/><Relationship Id="rId30" Type="http://schemas.openxmlformats.org/officeDocument/2006/relationships/hyperlink" Target="https://www.youtube.com/channel/UC0wiQMElFgYszpAoYgTnXtg/featured" TargetMode="External"/><Relationship Id="rId35" Type="http://schemas.openxmlformats.org/officeDocument/2006/relationships/hyperlink" Target="https://warszawa.stat.gov.pl/publikacje-i-foldery/roczniki-statystyczne/rocznik-statystyczny-wojewodztwa-mazowieckiego-2022,4,22.html" TargetMode="External"/><Relationship Id="rId43" Type="http://schemas.openxmlformats.org/officeDocument/2006/relationships/hyperlink" Target="http://stat.gov.pl/metainformacje/slownik-pojec/pojecia-stosowane-w-statystyce-publicznej/133,pojecie.html" TargetMode="External"/><Relationship Id="rId48" Type="http://schemas.openxmlformats.org/officeDocument/2006/relationships/header" Target="header3.xml"/><Relationship Id="rId8" Type="http://schemas.openxmlformats.org/officeDocument/2006/relationships/webSettings" Target="webSettings.xml"/><Relationship Id="rId51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5" Type="http://schemas.openxmlformats.org/officeDocument/2006/relationships/hyperlink" Target="https://twitter.com/Warszawa_STAT" TargetMode="External"/><Relationship Id="rId33" Type="http://schemas.openxmlformats.org/officeDocument/2006/relationships/image" Target="media/image15.png"/><Relationship Id="rId38" Type="http://schemas.openxmlformats.org/officeDocument/2006/relationships/hyperlink" Target="https://warszawa.stat.gov.pl/publikacje-i-foldery/inne-opracowania/raport-o-sytuacji-spoleczno-gospodarczej-wojewodztwa-mazowieckiego-2023,13,12.html" TargetMode="External"/><Relationship Id="rId46" Type="http://schemas.openxmlformats.org/officeDocument/2006/relationships/hyperlink" Target="https://stat.gov.pl/metainformacje/slownik-pojec/pojecia-stosowane-w-statystyce-publicznej/157,pojecie.html" TargetMode="External"/><Relationship Id="rId20" Type="http://schemas.openxmlformats.org/officeDocument/2006/relationships/footer" Target="footer2.xml"/><Relationship Id="rId41" Type="http://schemas.openxmlformats.org/officeDocument/2006/relationships/hyperlink" Target="http://stat.gov.pl/metainformacje/slownik-pojec/pojecia-stosowane-w-statystyce-publicznej/202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3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41B3C3-3077-416A-B987-7454B90AC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7</Pages>
  <Words>2255</Words>
  <Characters>13533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Kaźmierczak Edyta</cp:lastModifiedBy>
  <cp:revision>15</cp:revision>
  <cp:lastPrinted>2023-10-20T13:19:00Z</cp:lastPrinted>
  <dcterms:created xsi:type="dcterms:W3CDTF">2023-10-24T05:16:00Z</dcterms:created>
  <dcterms:modified xsi:type="dcterms:W3CDTF">2023-10-24T07:20:00Z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