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/>
  <w:body>
    <w:p w:rsidR="00393761" w:rsidRPr="00AD4C69" w:rsidRDefault="00DD06BA" w:rsidP="00F049AB">
      <w:pPr>
        <w:pStyle w:val="Tytuinfomacjisygnalnej"/>
        <w:rPr>
          <w:highlight w:val="black"/>
        </w:rPr>
      </w:pPr>
      <w:r w:rsidRPr="00AD4C69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31445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3,3 – Dynamika przeciętnych miesięcznych wydatków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314450"/>
                        </a:xfrm>
                        <a:prstGeom prst="roundRect">
                          <a:avLst/>
                        </a:prstGeom>
                        <a:solidFill>
                          <a:srgbClr val="000000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sz w:val="72"/>
                                <w:szCs w:val="72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rStyle w:val="IkonawskanikaZnak"/>
                                <w:sz w:val="76"/>
                                <w:szCs w:val="76"/>
                                <w:shd w:val="clear" w:color="auto" w:fill="000000"/>
                              </w:rPr>
                              <w:sym w:font="Wingdings" w:char="F0F1"/>
                            </w:r>
                            <w:r w:rsidRPr="00AD4C69">
                              <w:rPr>
                                <w:rStyle w:val="WartowskanikaZnak"/>
                                <w:shd w:val="clear" w:color="auto" w:fill="000000"/>
                              </w:rPr>
                              <w:t xml:space="preserve"> </w:t>
                            </w:r>
                            <w:r w:rsidRPr="00AD4C69">
                              <w:rPr>
                                <w:rStyle w:val="WartowskanikaZnak"/>
                                <w:sz w:val="72"/>
                                <w:szCs w:val="72"/>
                                <w:shd w:val="clear" w:color="auto" w:fill="000000"/>
                              </w:rPr>
                              <w:t>113,3</w:t>
                            </w:r>
                          </w:p>
                          <w:p w:rsidR="00A23F4D" w:rsidRPr="00AD4C69" w:rsidRDefault="00A23F4D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Dynamika przeciętnych miesięcznych wydatków na 1 osobę w gospodarstwie domowym r/r</w:t>
                            </w:r>
                          </w:p>
                          <w:p w:rsidR="00A23F4D" w:rsidRPr="00AD4C69" w:rsidRDefault="00A23F4D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  <w:shd w:val="clear" w:color="auto" w:fill="0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3,3 – Dynamika przeciętnych miesięcznych wydatków na 1 osobę w gospodarstwie domowym rok do roku" style="position:absolute;margin-left:0;margin-top:83.4pt;width:173.25pt;height:103.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4nKzgIAAAgFAAAOAAAAZHJzL2Uyb0RvYy54bWysVM1OGzEQvlfqO4x8piwJhJ+IBVEoFRJt&#10;UWnV88TrzVq769naDk5yqvoKPaE+BrdegRfpk3TsQIjorWoOG4/t+Wbmm2+8fzhtG7hS1mkyueit&#10;bwhQRlKhzTgXnz+dvtoV4DyaAhsyKhcz5cThwcsX+6Ebqj5V1BTKAoMYNwxdLirvu2GWOVmpFt06&#10;dcrwYUm2Rc+mHWeFxcDobZP1Nza2s0C26CxJ5RzvniwOxUHCL0sl/YeydMpDkwvOzaevTd9R/GYH&#10;+zgcW+wqLR/SwH/IokVtOOgS6gQ9wsTqv6BaLS05Kv26pDajstRSpRq4mt7Gs2ouK+xUqoXJcd2S&#10;Jvf/YOX7qwsLusjFtgCDLbfoghoFXtXOU1DQF1AoJ5mys5oMcjPtHO+/1xpcrZWlgLw5tuRVCwHG&#10;tzf27noNJAHNDco5wjzou+vazZXRChyvIaD1dP9TagiuxvtfRte4Dr3e5tom/P72A05mnAjvQWfn&#10;SrKHNzNZQatVdJfzZIVZgb6+vQmcNfSAOR1FaBiT66hA63zgeAW1FGYtWKp5Hf8mLALtG67zy2Pw&#10;KILQuSFzcdkxG376mqYs5tRQ152TrB0YOq7QjNWR5ZorhQU3oRc9sxXXBY6LIKPwjgqOghNPCWha&#10;2jYqhHsOjM5inC0FqKYeJG/2WdL9nYEAyWe9zd7W1iBJNMPho3vHlb1V1DI5jtVsaWKKjyzzFAOv&#10;zp2POeHw8V4M6ajRxalummTY8ei4sXCFcSTSL5Xx7FpjIORib9AfJGRD0T9NS6s9j2yj21zsLt1x&#10;GDl5Y4p0xaNuFmvOpDEPJEVeFgz56WjKFyNzIypmTBcLKHHCTwkvKrJzAYHHMhfu6wStEtCcGaZ8&#10;jzmJc5yMrcFOnw27ejJaPUEjGSoXXsBieezT7EceDB1xa0qd+HrK5CFXHrdE48PTEOd51U63nh6w&#10;gz8AAAD//wMAUEsDBBQABgAIAAAAIQBSZTc53wAAAAgBAAAPAAAAZHJzL2Rvd25yZXYueG1sTI9B&#10;T8MwDIXvSPyHyEhcEEthLEyl6YQmwQmY2JAQt6wxbUXilCZbu3+Pd2I32+/p+XvFYvRO7LGPbSAN&#10;N5MMBFIVbEu1ho/N0/UcREyGrHGBUMMBIyzK87PC5DYM9I77daoFh1DMjYYmpS6XMlYNehMnoUNi&#10;7Tv03iRe+1ra3gwc7p28zTIlvWmJPzSmw2WD1c965zWk53G42qjX3+zt5euTVkvZBbfS+vJifHwA&#10;kXBM/2Y44jM6lMy0DTuyUTgNXCTxVSkuwPL0Ts1AbHm4n85BloU8LVD+AQAA//8DAFBLAQItABQA&#10;BgAIAAAAIQC2gziS/gAAAOEBAAATAAAAAAAAAAAAAAAAAAAAAABbQ29udGVudF9UeXBlc10ueG1s&#10;UEsBAi0AFAAGAAgAAAAhADj9If/WAAAAlAEAAAsAAAAAAAAAAAAAAAAALwEAAF9yZWxzLy5yZWxz&#10;UEsBAi0AFAAGAAgAAAAhACBficrOAgAACAUAAA4AAAAAAAAAAAAAAAAALgIAAGRycy9lMm9Eb2Mu&#10;eG1sUEsBAi0AFAAGAAgAAAAhAFJlNznfAAAACAEAAA8AAAAAAAAAAAAAAAAAKAUAAGRycy9kb3du&#10;cmV2LnhtbFBLBQYAAAAABAAEAPMAAAA0BgAAAAA=&#10;" fillcolor="black" stroked="f">
                <v:stroke joinstyle="miter"/>
                <v:textbox>
                  <w:txbxContent>
                    <w:p w:rsidR="00A23F4D" w:rsidRPr="00AD4C69" w:rsidRDefault="00A23F4D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sz w:val="72"/>
                          <w:szCs w:val="72"/>
                          <w:shd w:val="clear" w:color="auto" w:fill="000000"/>
                        </w:rPr>
                      </w:pPr>
                      <w:r w:rsidRPr="00AD4C69">
                        <w:rPr>
                          <w:rStyle w:val="IkonawskanikaZnak"/>
                          <w:sz w:val="76"/>
                          <w:szCs w:val="76"/>
                          <w:shd w:val="clear" w:color="auto" w:fill="000000"/>
                        </w:rPr>
                        <w:sym w:font="Wingdings" w:char="F0F1"/>
                      </w:r>
                      <w:r w:rsidRPr="00AD4C69">
                        <w:rPr>
                          <w:rStyle w:val="WartowskanikaZnak"/>
                          <w:shd w:val="clear" w:color="auto" w:fill="000000"/>
                        </w:rPr>
                        <w:t xml:space="preserve"> </w:t>
                      </w:r>
                      <w:r w:rsidRPr="00AD4C69">
                        <w:rPr>
                          <w:rStyle w:val="WartowskanikaZnak"/>
                          <w:sz w:val="72"/>
                          <w:szCs w:val="72"/>
                          <w:shd w:val="clear" w:color="auto" w:fill="000000"/>
                        </w:rPr>
                        <w:t>113,3</w:t>
                      </w:r>
                    </w:p>
                    <w:p w:rsidR="00A23F4D" w:rsidRPr="00AD4C69" w:rsidRDefault="00A23F4D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Dynamika przeciętnych miesięcznych wydatków na 1 osobę w gospodarstwie domowym r/r</w:t>
                      </w:r>
                    </w:p>
                    <w:p w:rsidR="00A23F4D" w:rsidRPr="00AD4C69" w:rsidRDefault="00A23F4D" w:rsidP="00587032">
                      <w:pPr>
                        <w:pStyle w:val="Opiswskanika"/>
                        <w:rPr>
                          <w:sz w:val="18"/>
                          <w:szCs w:val="20"/>
                          <w:shd w:val="clear" w:color="auto" w:fill="00000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 w:rsidRPr="00AD4C69">
        <w:rPr>
          <w:highlight w:val="black"/>
        </w:rPr>
        <w:t xml:space="preserve">Budżety gospodarstw domowych w </w:t>
      </w:r>
      <w:r w:rsidR="00560B62" w:rsidRPr="00AD4C69">
        <w:rPr>
          <w:highlight w:val="black"/>
        </w:rPr>
        <w:t>województwie mazowieckim w 2022</w:t>
      </w:r>
      <w:r w:rsidR="004B7825" w:rsidRPr="00AD4C69">
        <w:rPr>
          <w:highlight w:val="black"/>
        </w:rPr>
        <w:t xml:space="preserve"> r.</w:t>
      </w:r>
      <w:r w:rsidR="00364AF9" w:rsidRPr="00AD4C69">
        <w:rPr>
          <w:sz w:val="32"/>
          <w:highlight w:val="black"/>
        </w:rPr>
        <w:tab/>
      </w:r>
      <w:r w:rsidR="00560B62" w:rsidRPr="00AD4C69">
        <w:rPr>
          <w:rStyle w:val="Odwoanieprzypisudolnego"/>
          <w:sz w:val="32"/>
          <w:highlight w:val="black"/>
        </w:rPr>
        <w:footnoteReference w:id="1"/>
      </w:r>
    </w:p>
    <w:p w:rsidR="00DE58F1" w:rsidRPr="00AD4C69" w:rsidRDefault="00F63A1F" w:rsidP="00173EAB">
      <w:pPr>
        <w:pStyle w:val="Lead"/>
        <w:tabs>
          <w:tab w:val="left" w:pos="1701"/>
        </w:tabs>
        <w:rPr>
          <w:highlight w:val="black"/>
        </w:rPr>
      </w:pPr>
      <w:r w:rsidRPr="00AD4C69">
        <w:rPr>
          <w:highlight w:val="black"/>
        </w:rPr>
        <w:t>W</w:t>
      </w:r>
      <w:r w:rsidR="00D044C1" w:rsidRPr="00AD4C69">
        <w:rPr>
          <w:highlight w:val="black"/>
        </w:rPr>
        <w:t xml:space="preserve"> gospodarstw</w:t>
      </w:r>
      <w:r w:rsidRPr="00AD4C69">
        <w:rPr>
          <w:highlight w:val="black"/>
        </w:rPr>
        <w:t>ach</w:t>
      </w:r>
      <w:r w:rsidR="00D044C1" w:rsidRPr="00AD4C69">
        <w:rPr>
          <w:highlight w:val="black"/>
        </w:rPr>
        <w:t xml:space="preserve"> domowych</w:t>
      </w:r>
      <w:r w:rsidR="00027A0D" w:rsidRPr="00AD4C69">
        <w:rPr>
          <w:highlight w:val="black"/>
        </w:rPr>
        <w:t xml:space="preserve"> w porównaniu z </w:t>
      </w:r>
      <w:r w:rsidR="00E34F30" w:rsidRPr="00AD4C69">
        <w:rPr>
          <w:highlight w:val="black"/>
        </w:rPr>
        <w:t>ro-</w:t>
      </w:r>
      <w:r w:rsidRPr="00AD4C69">
        <w:rPr>
          <w:highlight w:val="black"/>
        </w:rPr>
        <w:t xml:space="preserve"> </w:t>
      </w:r>
      <w:r w:rsidR="00027A0D" w:rsidRPr="00AD4C69">
        <w:rPr>
          <w:highlight w:val="black"/>
        </w:rPr>
        <w:t>kiem poprzednim odnotowano większy wzrost wydatków niż dochodu rozporządzalnego, spadek spożycia większości podstawowych artykułów żywnościowych</w:t>
      </w:r>
      <w:r w:rsidR="00D044C1" w:rsidRPr="00AD4C69">
        <w:rPr>
          <w:highlight w:val="black"/>
        </w:rPr>
        <w:t xml:space="preserve"> oraz </w:t>
      </w:r>
      <w:r w:rsidR="0081554E" w:rsidRPr="00AD4C69">
        <w:rPr>
          <w:highlight w:val="black"/>
        </w:rPr>
        <w:t>poprawę wyposażenia gospodarstw domowych w sprzęt nowej generacji.</w:t>
      </w:r>
      <w:r w:rsidR="0007095E" w:rsidRPr="00AD4C69">
        <w:rPr>
          <w:highlight w:val="black"/>
        </w:rPr>
        <w:t xml:space="preserve"> Subiekty</w:t>
      </w:r>
      <w:r w:rsidR="00DE5BEC" w:rsidRPr="00AD4C69">
        <w:rPr>
          <w:highlight w:val="black"/>
        </w:rPr>
        <w:t xml:space="preserve">wna ocena sytuacji materialnej </w:t>
      </w:r>
      <w:r w:rsidR="0007095E" w:rsidRPr="00AD4C69">
        <w:rPr>
          <w:highlight w:val="black"/>
        </w:rPr>
        <w:t>gos</w:t>
      </w:r>
      <w:r w:rsidR="0081554E" w:rsidRPr="00AD4C69">
        <w:rPr>
          <w:highlight w:val="black"/>
        </w:rPr>
        <w:t>podarstw uległa pogorszeniu</w:t>
      </w:r>
      <w:r w:rsidR="0007095E" w:rsidRPr="00AD4C69">
        <w:rPr>
          <w:highlight w:val="black"/>
        </w:rPr>
        <w:t xml:space="preserve">. </w:t>
      </w:r>
    </w:p>
    <w:p w:rsidR="005A3C53" w:rsidRPr="00AD4C69" w:rsidRDefault="005A3C53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8A3E51" w:rsidRPr="00AD4C69" w:rsidRDefault="000A3F2B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8255" b="0"/>
                <wp:wrapTight wrapText="bothSides">
                  <wp:wrapPolygon edited="0">
                    <wp:start x="0" y="0"/>
                    <wp:lineTo x="0" y="21073"/>
                    <wp:lineTo x="21465" y="21073"/>
                    <wp:lineTo x="21465" y="0"/>
                    <wp:lineTo x="0" y="0"/>
                  </wp:wrapPolygon>
                </wp:wrapTight>
                <wp:docPr id="2" name="Pole tekstowe 2" descr="Przeciętna liczba osób w gospodarstwie domowym wyniosła 2,40, tj. mniej niż w kraju (2,47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Przeciętna liczba osób w gospodarstwie domowym wyniosła 2,40, tj. mniej niż w kraju (2,47)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40, tj. mniej niż w kraju (2,47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1xKmQIAAOYEAAAOAAAAZHJzL2Uyb0RvYy54bWysVMFuEzEQvSPxDyOfQIJsskpIu+qmKi1F&#10;lQpUKnyA1+vNOrU9i+10kx75C76DKzfofzF20jSCAxJiD9Z4Z/ze+M2Mj45XRsOtdF6hLdloMGQg&#10;rcBa2XnJPn08f3nAwAdua67RypKtpWfHs6dPjvqukDm2qGvpgECsL/quZG0IXZFlXrTScD/ATlpy&#10;NugMD7R186x2vCd0o7N8OHyV9ejqzqGQ3tPfs42TzRJ+00gRPjSNlwF0ySi3kFaX1iqu2eyIF3PH&#10;u1aJbRr8H7IwXFki3UGd8cBh6dQfUEYJhx6bMBBoMmwaJWS6A91mNPztNtct72S6C4nju51M/v/B&#10;ive3Vw5UXbKcgeWGSnSFWkKQNz5gL4F+19ILkuzK3Umhfn4NloNW4q7igP7Htwp6mKPvsObOh15J&#10;qNFgvzbQr61Cf/+FQ/5iPHwBYTEAY5VcgFX33+nYjeOLJTwj7/Q51UYFTfQXxBsplE1VFwsei9R3&#10;vqBcrzvKNqxe44qaLQnuu0sUNx4snrbczuWJc9i3ktck0iiezPaObnB8BKn6d1gTHV8GTECrxplY&#10;QaoJEDo1y3rXIHIVQETKaT7JDycMBPmmB6PhJHVQxouH0x1p8FaigWiUzFEDJnR+e+lDzIYXDyGR&#10;rOMhnCuto93MT7WLhnfziky45bFp05cushdS/T12GxIJ90i0hb5kh5N8ktKyGNnTEBgVaBK1MiU7&#10;2HHyIkr5xtYpJHClNzaharvVNsq5ETasqlXqpSR81L3Cek1iO9wMHj0UZLTo7hj0NHQl85+X3EkG&#10;+sJSwQ5H43Gc0rQZT6Y5bdy+p9r3cCsIqmSBwcY8DWmyo4YWT6iwjUqaP2ayTZmGKZViO/hxWvf3&#10;KerxeZr9AgAA//8DAFBLAwQUAAYACAAAACEATxL1CuEAAAAMAQAADwAAAGRycy9kb3ducmV2Lnht&#10;bEyPwU7DMBBE70j8g7VI3KiTlJIS4lQVUk8IiRY4cHPjbRw1Xqe204Z+fd0THFfzNPO2XIymY0d0&#10;vrUkIJ0kwJBqq1pqBHx9rh7mwHyQpGRnCQX8oodFdXtTykLZE63xuAkNiyXkCylAh9AXnPtao5F+&#10;YnukmO2sMzLE0zVcOXmK5abjWZI8cSNbigta9viqsd5vBiPA7+zqxx3s8BHea9qfKdff6ZsQ93fj&#10;8gVYwDH8wXDVj+pQRaetHUh51gmYT7NZRGPwnOXArkSaPGbAtgKm6SwHXpX8/xPVBQAA//8DAFBL&#10;AQItABQABgAIAAAAIQC2gziS/gAAAOEBAAATAAAAAAAAAAAAAAAAAAAAAABbQ29udGVudF9UeXBl&#10;c10ueG1sUEsBAi0AFAAGAAgAAAAhADj9If/WAAAAlAEAAAsAAAAAAAAAAAAAAAAALwEAAF9yZWxz&#10;Ly5yZWxzUEsBAi0AFAAGAAgAAAAhAJRzXEqZAgAA5gQAAA4AAAAAAAAAAAAAAAAALgIAAGRycy9l&#10;Mm9Eb2MueG1sUEsBAi0AFAAGAAgAAAAhAE8S9QrhAAAADAEAAA8AAAAAAAAAAAAAAAAA8wQAAGRy&#10;cy9kb3ducmV2LnhtbFBLBQYAAAAABAAEAPMAAAABBgAAAAA=&#10;" fillcolor="black" stroked="f">
                <v:fill color2="black" type="pattern"/>
                <v:textbox>
                  <w:txbxContent>
                    <w:p w:rsidR="00A23F4D" w:rsidRPr="00AD4C69" w:rsidRDefault="00A23F4D" w:rsidP="00935D17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Przeciętna liczba osób w gospodarstwie domowym wyniosła 2,40, tj. mniej niż w kraju (2,47)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 xml:space="preserve">Badanie budżetów gospodarstw domowych pełni ważną rolę w ocenie poziomu życia ludności, jest bowiem jedynym źródłem informacji o dochodach, wydatkach, spożyciu ilościowym żywności oraz o wyposażeniu gospodarstw domowych w dobra trwałego użytkowania. </w:t>
      </w:r>
      <w:r w:rsidR="0081554E" w:rsidRPr="00AD4C69">
        <w:rPr>
          <w:rFonts w:eastAsia="Times New Roman" w:cs="Times New Roman"/>
          <w:szCs w:val="19"/>
          <w:highlight w:val="black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 w:rsidRPr="00AD4C69">
        <w:rPr>
          <w:rFonts w:eastAsia="Times New Roman" w:cs="Times New Roman"/>
          <w:szCs w:val="19"/>
          <w:highlight w:val="black"/>
          <w:lang w:eastAsia="pl-PL"/>
        </w:rPr>
        <w:t>zeń osób biorących w nim udział</w:t>
      </w:r>
      <w:r w:rsidR="0081554E" w:rsidRPr="00AD4C69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8A3E51" w:rsidRPr="00AD4C69" w:rsidRDefault="0081554E" w:rsidP="008A3E51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zCs w:val="19"/>
          <w:highlight w:val="black"/>
          <w:lang w:eastAsia="pl-PL"/>
        </w:rPr>
        <w:t>W 2022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 xml:space="preserve"> r. w województwie mazowieckim badaniem t</w:t>
      </w:r>
      <w:r w:rsidR="0023435D" w:rsidRPr="00AD4C69">
        <w:rPr>
          <w:rFonts w:eastAsia="Times New Roman" w:cs="Times New Roman"/>
          <w:szCs w:val="19"/>
          <w:highlight w:val="black"/>
          <w:lang w:eastAsia="pl-PL"/>
        </w:rPr>
        <w:t xml:space="preserve">ym objęto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3846</w:t>
      </w:r>
      <w:r w:rsidR="0023435D" w:rsidRPr="00AD4C69">
        <w:rPr>
          <w:rFonts w:eastAsia="Times New Roman" w:cs="Times New Roman"/>
          <w:szCs w:val="19"/>
          <w:highlight w:val="black"/>
          <w:lang w:eastAsia="pl-PL"/>
        </w:rPr>
        <w:t xml:space="preserve"> gospodarstw domo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>wych (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4506 w 2021 r.), co stanowiło 13,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>6% wszystkich gosp</w:t>
      </w:r>
      <w:r w:rsidR="0023435D" w:rsidRPr="00AD4C69">
        <w:rPr>
          <w:rFonts w:eastAsia="Times New Roman" w:cs="Times New Roman"/>
          <w:szCs w:val="19"/>
          <w:highlight w:val="black"/>
          <w:lang w:eastAsia="pl-PL"/>
        </w:rPr>
        <w:t>odarstw zbadanych w kraju. Prze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 xml:space="preserve">ciętna liczba osób w gospodarstwie domowym wyniosła </w:t>
      </w:r>
      <w:r w:rsidR="00C46EAF" w:rsidRPr="00AD4C69">
        <w:rPr>
          <w:highlight w:val="black"/>
          <w:lang w:eastAsia="pl-PL"/>
        </w:rPr>
        <w:t>2,40 (w 2021 r. – 2,45), z czego 1,12 to osoby pracujące (nieznacznie mniej niż w 2021 r.). W</w:t>
      </w:r>
      <w:r w:rsidR="002D136A" w:rsidRPr="00AD4C69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 xml:space="preserve">skali roku zmniejszyła się przeciętna liczba osób </w:t>
      </w:r>
      <w:r w:rsidR="000372A3" w:rsidRPr="00AD4C69">
        <w:rPr>
          <w:rFonts w:eastAsia="Times New Roman" w:cs="Times New Roman"/>
          <w:szCs w:val="19"/>
          <w:highlight w:val="black"/>
          <w:lang w:eastAsia="pl-PL"/>
        </w:rPr>
        <w:t xml:space="preserve">pozostających na utrzymaniu z 0,62 do 0,59 oraz osób 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>pobierając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ych świadczenia społeczne z 0,67 do 0,66</w:t>
      </w:r>
      <w:r w:rsidR="008A3E51" w:rsidRPr="00AD4C69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E95B8E" w:rsidRPr="00AD4C69" w:rsidRDefault="00705EDD" w:rsidP="00393E0D">
      <w:pPr>
        <w:pStyle w:val="Nagwek1"/>
        <w:numPr>
          <w:ilvl w:val="0"/>
          <w:numId w:val="0"/>
        </w:numPr>
        <w:rPr>
          <w:rFonts w:ascii="Fira Sans" w:hAnsi="Fira Sans"/>
          <w:szCs w:val="19"/>
          <w:highlight w:val="black"/>
        </w:rPr>
      </w:pPr>
      <w:r w:rsidRPr="00AD4C69">
        <w:rPr>
          <w:rFonts w:ascii="Fira Sans" w:hAnsi="Fira Sans"/>
          <w:b/>
          <w:szCs w:val="19"/>
          <w:highlight w:val="black"/>
        </w:rPr>
        <w:t>Dochody gospodarstw domowych</w:t>
      </w:r>
    </w:p>
    <w:p w:rsidR="00DE6B58" w:rsidRPr="00AD4C69" w:rsidRDefault="00115FC0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noProof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1F965C2" wp14:editId="27C17A1A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9525" b="9525"/>
                <wp:wrapTight wrapText="bothSides">
                  <wp:wrapPolygon edited="0">
                    <wp:start x="0" y="0"/>
                    <wp:lineTo x="0" y="21398"/>
                    <wp:lineTo x="21481" y="21398"/>
                    <wp:lineTo x="21481" y="0"/>
                    <wp:lineTo x="0" y="0"/>
                  </wp:wrapPolygon>
                </wp:wrapTight>
                <wp:docPr id="5" name="Pole tekstowe 5" descr="Przeciętny dochód rozporządzalny na 1 osobę w województwie mazowieckim był o 19,4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Przeciętny dochód rozporządzalny na 1 osobę w województwie mazowieckim był o 19,4% wyższy od przeciętnego dochodu rozporządzalnego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9,4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klGsgIAABwFAAAOAAAAZHJzL2Uyb0RvYy54bWysVM1uEzEQviPxDpYlbtDNRgltVt1UpaWo&#10;UoFKhQfw2t6sG69nsZ04yRGJh+hzcOVG+16MvWmIygEJsQfv2DP+vvn18cmq1WQprVNgSpofDCiR&#10;hoNQZlbSz58uXh1R4jwzgmkwsqRr6ejJ9Pmz49AVcggNaCEtQRDjitCVtPG+K7LM8Ua2zB1AJw0q&#10;a7At87i1s0xYFhC91dlwMHidBbCis8Clc3h63ivpNOHXteT+Y1076YkuKfrm02rTWsU1mx6zYmZZ&#10;1yi+dYP9gxctUwZJd1DnzDOysOoPqFZxCw5qf8ChzaCuFZcpBowmHzyJ5qZhnUyxYHJct0uT+3+w&#10;/MPy2hIlSjqmxLAWS3QNWhIv585DkASPhXQcU3ZtN5Kr+ztv1kQAb35+F8TCpgO7uf8mNkzjuWEk&#10;JxhfdX9HAglwKwOabXxQkrRsA/jnc9WSav3wlQDJJy9HL0hYP/xwmzUBQbodh5xBYgGxeMISNYHM&#10;LbtdYEGV1+jzJTrrkVyZ1Cr8lsXKhs4VGOBNhyH61RtYYYemKrnuCvjcEQNnDTMzeWothEYygZnN&#10;481s72qP4yJIFd6DQDq28JCAVrVtY9mxkATRscPWu66SK094pDwcjgZDzCNHXT7IJ/nhOHGw4vF6&#10;Z51/J6HF+B22qMW2TfBseeV8dIcVjyaRrWPeXyito1zPzrSNgrOzCkWyZLHV07dl2ZlUf7fdmkTC&#10;PRJtSCjpZIxRRCoDkT2NTqs8zq9WbUmPdpysiLl8a0Qy8UzpXkZUbbbJjfnsM+tX1Sp14PCxZhWI&#10;NWbbQj+u+Lyg0GCfURJwVEvqviyYlZToS4MVm+SjUZzttBmND4e4sfuaal/DDEeoknpKevHMp/eg&#10;D+wUK1urlPPYAr0nW5dxBFMpts9FnPH9fbL6/ahNfwEAAP//AwBQSwMEFAAGAAgAAAAhAADIoufg&#10;AAAADAEAAA8AAABkcnMvZG93bnJldi54bWxMj8FOwzAQRO9I/IO1SNyonahKaIhTIaSeEBK0cODm&#10;xts4arwOttMGvh73BMfVPM28rdezHdgJfegdScgWAhhS63RPnYT33ebuHliIirQaHKGEbwywbq6v&#10;alVpd6Y3PG1jx1IJhUpJMDGOFeehNWhVWLgRKWUH562K6fQd116dU7kdeC5Ewa3qKS0YNeKTwfa4&#10;nayEcHCbT//lptf40tLxh0rzkT1LeXszPz4AizjHPxgu+kkdmuS0dxPpwAYJK7EsE5oCUayAXYis&#10;LHJgewl5US6BNzX//0TzCwAA//8DAFBLAQItABQABgAIAAAAIQC2gziS/gAAAOEBAAATAAAAAAAA&#10;AAAAAAAAAAAAAABbQ29udGVudF9UeXBlc10ueG1sUEsBAi0AFAAGAAgAAAAhADj9If/WAAAAlAEA&#10;AAsAAAAAAAAAAAAAAAAALwEAAF9yZWxzLy5yZWxzUEsBAi0AFAAGAAgAAAAhAPuaSUayAgAAHAUA&#10;AA4AAAAAAAAAAAAAAAAALgIAAGRycy9lMm9Eb2MueG1sUEsBAi0AFAAGAAgAAAAhAADIoufgAAAA&#10;DAEAAA8AAAAAAAAAAAAAAAAADAUAAGRycy9kb3ducmV2LnhtbFBLBQYAAAAABAAEAPMAAAAZBgAA&#10;AAA=&#10;" fillcolor="black" stroked="f">
                <v:fill color2="black" type="pattern"/>
                <v:textbox>
                  <w:txbxContent>
                    <w:p w:rsidR="00A23F4D" w:rsidRPr="00AD4C69" w:rsidRDefault="00A23F4D" w:rsidP="00115FC0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Przeciętny dochód rozporządzalny na 1 osobę w województwie mazowieckim był o 19,4% wyższy od przeciętnego dochodu rozporządzalnego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 w:rsidRPr="00AD4C69">
        <w:rPr>
          <w:rFonts w:eastAsia="Times New Roman" w:cs="Times New Roman"/>
          <w:szCs w:val="19"/>
          <w:highlight w:val="black"/>
          <w:lang w:eastAsia="pl-PL"/>
        </w:rPr>
        <w:t>Decydujący wpływ na poziom warunków życia członków gospodarstwa</w:t>
      </w:r>
      <w:r w:rsidR="00983237" w:rsidRPr="00AD4C69">
        <w:rPr>
          <w:rFonts w:eastAsia="Times New Roman" w:cs="Times New Roman"/>
          <w:szCs w:val="19"/>
          <w:highlight w:val="black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AD4C69" w:rsidRDefault="00115FC0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zCs w:val="19"/>
          <w:highlight w:val="black"/>
          <w:lang w:eastAsia="pl-PL"/>
        </w:rPr>
        <w:t>W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 xml:space="preserve"> 2022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r. w gospodarstwach domowych w województwie mazowieckim przeciętny </w:t>
      </w:r>
      <w:r w:rsidR="00FD10A5" w:rsidRPr="00AD4C69">
        <w:rPr>
          <w:rFonts w:eastAsia="Times New Roman" w:cs="Times New Roman"/>
          <w:szCs w:val="19"/>
          <w:highlight w:val="black"/>
          <w:lang w:eastAsia="pl-PL"/>
        </w:rPr>
        <w:t xml:space="preserve">miesięczny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dochód rozporządzalny na 1 osobę wynosił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2685,93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zł. Jego wartość zwiększyła się </w:t>
      </w:r>
      <w:r w:rsidR="00FD10A5" w:rsidRPr="00AD4C69">
        <w:rPr>
          <w:rFonts w:eastAsia="Times New Roman" w:cs="Times New Roman"/>
          <w:szCs w:val="19"/>
          <w:highlight w:val="black"/>
          <w:lang w:eastAsia="pl-PL"/>
        </w:rPr>
        <w:t xml:space="preserve">w skali roku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o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10,7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% (o</w:t>
      </w:r>
      <w:r w:rsidR="00FD10A5" w:rsidRPr="00AD4C69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259,05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zł) i była o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19,4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% (o 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436,14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zł) wyższa od </w:t>
      </w:r>
      <w:r w:rsidR="00FD10A5" w:rsidRPr="00AD4C69">
        <w:rPr>
          <w:rFonts w:eastAsia="Times New Roman" w:cs="Times New Roman"/>
          <w:szCs w:val="19"/>
          <w:highlight w:val="black"/>
          <w:lang w:eastAsia="pl-PL"/>
        </w:rPr>
        <w:t xml:space="preserve">analogicznego dochodu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w</w:t>
      </w:r>
      <w:r w:rsidR="00112CF4" w:rsidRPr="00AD4C69">
        <w:rPr>
          <w:rFonts w:eastAsia="Times New Roman" w:cs="Times New Roman"/>
          <w:szCs w:val="19"/>
          <w:highlight w:val="black"/>
          <w:lang w:eastAsia="pl-PL"/>
        </w:rPr>
        <w:t> 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kraju (</w:t>
      </w:r>
      <w:r w:rsidR="00E9203F" w:rsidRPr="00AD4C69">
        <w:rPr>
          <w:rFonts w:eastAsia="Times New Roman" w:cs="Times New Roman"/>
          <w:szCs w:val="19"/>
          <w:highlight w:val="black"/>
          <w:lang w:eastAsia="pl-PL"/>
        </w:rPr>
        <w:t>2249,79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zł).</w:t>
      </w:r>
      <w:r w:rsidR="00FD10A5" w:rsidRPr="00AD4C69">
        <w:rPr>
          <w:rFonts w:eastAsia="Times New Roman" w:cs="Times New Roman"/>
          <w:szCs w:val="19"/>
          <w:highlight w:val="black"/>
          <w:lang w:eastAsia="pl-PL"/>
        </w:rPr>
        <w:t xml:space="preserve"> </w:t>
      </w:r>
    </w:p>
    <w:p w:rsidR="00115FC0" w:rsidRPr="00AD4C69" w:rsidRDefault="00E9203F" w:rsidP="00115FC0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zCs w:val="19"/>
          <w:highlight w:val="black"/>
          <w:lang w:eastAsia="pl-PL"/>
        </w:rPr>
        <w:t>W porównaniu z 2021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r. </w:t>
      </w:r>
      <w:r w:rsidR="00F34FE5" w:rsidRPr="00AD4C69">
        <w:rPr>
          <w:rFonts w:eastAsia="Times New Roman" w:cs="Times New Roman"/>
          <w:szCs w:val="19"/>
          <w:highlight w:val="black"/>
          <w:lang w:eastAsia="pl-PL"/>
        </w:rPr>
        <w:t>nastąpił wzrost dochodów z pracy najemnej o 18,1%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oraz z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e świadczeń społecznych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o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12,6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%. </w:t>
      </w:r>
      <w:r w:rsidR="00060341" w:rsidRPr="00AD4C69">
        <w:rPr>
          <w:rFonts w:eastAsia="Times New Roman" w:cs="Times New Roman"/>
          <w:szCs w:val="19"/>
          <w:highlight w:val="black"/>
          <w:lang w:eastAsia="pl-PL"/>
        </w:rPr>
        <w:t>Z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mniejszyły się</w:t>
      </w:r>
      <w:r w:rsidR="00060341" w:rsidRPr="00AD4C69">
        <w:rPr>
          <w:rFonts w:eastAsia="Times New Roman" w:cs="Times New Roman"/>
          <w:szCs w:val="19"/>
          <w:highlight w:val="black"/>
          <w:lang w:eastAsia="pl-PL"/>
        </w:rPr>
        <w:t xml:space="preserve"> natomiast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dochody z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gospodarstwa indywidualnego w rolnictwie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o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48,0%</w:t>
      </w:r>
      <w:r w:rsidR="00060341" w:rsidRPr="00AD4C69">
        <w:rPr>
          <w:rFonts w:eastAsia="Times New Roman" w:cs="Times New Roman"/>
          <w:szCs w:val="19"/>
          <w:highlight w:val="black"/>
          <w:lang w:eastAsia="pl-PL"/>
        </w:rPr>
        <w:t xml:space="preserve"> i</w:t>
      </w:r>
      <w:r w:rsidR="00173EAB" w:rsidRPr="00AD4C69">
        <w:rPr>
          <w:rFonts w:eastAsia="Times New Roman" w:cs="Times New Roman"/>
          <w:szCs w:val="19"/>
          <w:highlight w:val="black"/>
          <w:lang w:eastAsia="pl-PL"/>
        </w:rPr>
        <w:t xml:space="preserve"> z pracy na własny rachunek o 1,8%.</w:t>
      </w:r>
      <w:r w:rsidR="00115FC0" w:rsidRPr="00AD4C69">
        <w:rPr>
          <w:rFonts w:eastAsia="Times New Roman" w:cs="Times New Roman"/>
          <w:szCs w:val="19"/>
          <w:highlight w:val="black"/>
          <w:lang w:eastAsia="pl-PL"/>
        </w:rPr>
        <w:t xml:space="preserve"> </w:t>
      </w:r>
    </w:p>
    <w:p w:rsidR="00E95B8E" w:rsidRPr="00AD4C69" w:rsidRDefault="00E95B8E" w:rsidP="00B9780A">
      <w:pPr>
        <w:pStyle w:val="Tytutablicy"/>
        <w:numPr>
          <w:ilvl w:val="0"/>
          <w:numId w:val="0"/>
        </w:numPr>
        <w:suppressAutoHyphens/>
        <w:ind w:left="851" w:hanging="851"/>
        <w:rPr>
          <w:highlight w:val="black"/>
        </w:rPr>
      </w:pPr>
      <w:r w:rsidRPr="00AD4C69">
        <w:rPr>
          <w:highlight w:val="black"/>
        </w:rPr>
        <w:lastRenderedPageBreak/>
        <w:t xml:space="preserve">Tablica </w:t>
      </w:r>
      <w:r w:rsidR="00D972F6" w:rsidRPr="00AD4C69">
        <w:rPr>
          <w:highlight w:val="black"/>
        </w:rPr>
        <w:t>1</w:t>
      </w:r>
      <w:r w:rsidRPr="00AD4C69">
        <w:rPr>
          <w:highlight w:val="black"/>
        </w:rPr>
        <w:t>.</w:t>
      </w:r>
      <w:r w:rsidR="009635C5" w:rsidRPr="00AD4C69">
        <w:rPr>
          <w:highlight w:val="black"/>
        </w:rPr>
        <w:t xml:space="preserve"> Przeciętny miesięczny dochód rozporządzalny na 1 osobę w gospodarstwach </w:t>
      </w:r>
      <w:r w:rsidR="00393E0D">
        <w:rPr>
          <w:highlight w:val="black"/>
        </w:rPr>
        <w:t xml:space="preserve">     </w:t>
      </w:r>
      <w:r w:rsidR="009635C5" w:rsidRPr="00AD4C69">
        <w:rPr>
          <w:highlight w:val="black"/>
        </w:rPr>
        <w:t>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1 i 2022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RPr="00AD4C69" w:rsidTr="00AD4C69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E95B8E" w:rsidRPr="00AD4C69" w:rsidRDefault="00EA2274" w:rsidP="00EB7ED1">
            <w:pPr>
              <w:pStyle w:val="Tablicagwka"/>
              <w:ind w:hanging="720"/>
              <w:jc w:val="center"/>
              <w:rPr>
                <w:caps/>
                <w:highlight w:val="black"/>
              </w:rPr>
            </w:pPr>
            <w:r w:rsidRPr="00AD4C69">
              <w:rPr>
                <w:highlight w:val="black"/>
              </w:rPr>
              <w:t>Wyszczególnienie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AD4C69" w:rsidRDefault="009C4B16" w:rsidP="00587032">
            <w:pPr>
              <w:pStyle w:val="Tablicagwkarodek"/>
              <w:rPr>
                <w:highlight w:val="black"/>
              </w:rPr>
            </w:pPr>
            <w:r w:rsidRPr="00AD4C69">
              <w:rPr>
                <w:highlight w:val="black"/>
              </w:rPr>
              <w:t>2021</w:t>
            </w:r>
          </w:p>
        </w:tc>
        <w:tc>
          <w:tcPr>
            <w:tcW w:w="2835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AD4C69" w:rsidRDefault="009C4B16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AD4C69">
              <w:rPr>
                <w:rFonts w:eastAsia="Fira Sans Light" w:cs="Times New Roman"/>
                <w:highlight w:val="black"/>
              </w:rPr>
              <w:t>2022</w:t>
            </w:r>
          </w:p>
        </w:tc>
      </w:tr>
      <w:tr w:rsidR="00E95B8E" w:rsidRPr="00AD4C69" w:rsidTr="00AD4C69">
        <w:trPr>
          <w:trHeight w:val="456"/>
        </w:trPr>
        <w:tc>
          <w:tcPr>
            <w:tcW w:w="0" w:type="auto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AD4C69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E95B8E" w:rsidRPr="00AD4C69" w:rsidRDefault="009635C5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AD4C69">
              <w:rPr>
                <w:rFonts w:eastAsia="Fira Sans Light" w:cs="Times New Roman"/>
                <w:highlight w:val="black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  <w:hideMark/>
          </w:tcPr>
          <w:p w:rsidR="00E95B8E" w:rsidRPr="00AD4C69" w:rsidRDefault="000170F2" w:rsidP="00587032">
            <w:pPr>
              <w:pStyle w:val="Tablicagwkarodek"/>
              <w:rPr>
                <w:rFonts w:eastAsia="Fira Sans Light" w:cs="Times New Roman"/>
                <w:highlight w:val="black"/>
              </w:rPr>
            </w:pPr>
            <w:r w:rsidRPr="00AD4C69">
              <w:rPr>
                <w:rFonts w:eastAsia="Fira Sans Light" w:cs="Times New Roman"/>
                <w:highlight w:val="black"/>
              </w:rPr>
              <w:t>w</w:t>
            </w:r>
            <w:r w:rsidR="009635C5" w:rsidRPr="00AD4C69">
              <w:rPr>
                <w:rFonts w:eastAsia="Fira Sans Light" w:cs="Times New Roman"/>
                <w:highlight w:val="black"/>
              </w:rPr>
              <w:t xml:space="preserve"> odsetkach</w:t>
            </w: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5E1200" w:rsidRPr="00AD4C69" w:rsidRDefault="009635C5" w:rsidP="00966C9A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Dochód rozporządzalny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2426,88</w:t>
            </w:r>
          </w:p>
        </w:tc>
        <w:tc>
          <w:tcPr>
            <w:tcW w:w="1417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2685,93</w:t>
            </w:r>
          </w:p>
        </w:tc>
        <w:tc>
          <w:tcPr>
            <w:tcW w:w="1418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B115EC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100,0</w:t>
            </w: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AD4C69" w:rsidRDefault="00954869" w:rsidP="00B115EC">
            <w:pPr>
              <w:pStyle w:val="Tablicaboczek"/>
              <w:ind w:left="454"/>
              <w:rPr>
                <w:highlight w:val="black"/>
              </w:rPr>
            </w:pPr>
            <w:r w:rsidRPr="00AD4C69">
              <w:rPr>
                <w:highlight w:val="black"/>
              </w:rP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2373,36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2601,99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0219E1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96,9</w:t>
            </w: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AD4C69" w:rsidRDefault="00954869" w:rsidP="00813DA2">
            <w:pPr>
              <w:pStyle w:val="Tablicaboczekwcicie2"/>
              <w:rPr>
                <w:highlight w:val="black"/>
              </w:rPr>
            </w:pPr>
            <w:r w:rsidRPr="00AD4C69">
              <w:rPr>
                <w:highlight w:val="black"/>
              </w:rPr>
              <w:t>w tym: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5E1200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5E1200" w:rsidP="00813DA2">
            <w:pPr>
              <w:pStyle w:val="Tablicadanerodek"/>
              <w:rPr>
                <w:highlight w:val="black"/>
              </w:rPr>
            </w:pP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AD4C69" w:rsidRDefault="00954869" w:rsidP="00813DA2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highlight w:val="black"/>
              </w:rPr>
              <w:t>z pracy najemnej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1320,21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1559,71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58,1</w:t>
            </w: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AD4C69" w:rsidRDefault="00954869" w:rsidP="00813DA2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highlight w:val="black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118,59</w:t>
            </w:r>
            <w:r w:rsidR="00F27713" w:rsidRPr="00AD4C69">
              <w:rPr>
                <w:highlight w:val="black"/>
                <w:vertAlign w:val="superscript"/>
              </w:rPr>
              <w:t xml:space="preserve"> </w:t>
            </w:r>
            <w:r w:rsidR="00B115EC" w:rsidRPr="00AD4C69">
              <w:rPr>
                <w:highlight w:val="black"/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61,67</w:t>
            </w:r>
            <w:r w:rsidR="00F27713" w:rsidRPr="00AD4C69">
              <w:rPr>
                <w:highlight w:val="black"/>
                <w:vertAlign w:val="superscript"/>
              </w:rPr>
              <w:t xml:space="preserve"> </w:t>
            </w:r>
            <w:r w:rsidR="00B115EC" w:rsidRPr="00AD4C69">
              <w:rPr>
                <w:highlight w:val="black"/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2,3</w:t>
            </w:r>
          </w:p>
        </w:tc>
      </w:tr>
      <w:tr w:rsidR="00AD4C69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5E1200" w:rsidRPr="00AD4C69" w:rsidRDefault="00954869" w:rsidP="00813DA2">
            <w:pPr>
              <w:pStyle w:val="Tablicaboczekwcicie1"/>
              <w:rPr>
                <w:highlight w:val="black"/>
              </w:rPr>
            </w:pPr>
            <w:r w:rsidRPr="00AD4C69">
              <w:rPr>
                <w:highlight w:val="black"/>
              </w:rPr>
              <w:t>z pracy na własny rachunek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5E1200" w:rsidRPr="00AD4C69" w:rsidRDefault="009C4B16" w:rsidP="008E2979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356,53</w:t>
            </w:r>
            <w:r w:rsidR="008848E9" w:rsidRPr="00AD4C69">
              <w:rPr>
                <w:highlight w:val="black"/>
              </w:rPr>
              <w:t xml:space="preserve"> </w:t>
            </w:r>
            <w:r w:rsidR="008848E9" w:rsidRPr="00AD4C69">
              <w:rPr>
                <w:highlight w:val="black"/>
                <w:vertAlign w:val="superscript"/>
              </w:rPr>
              <w:t>c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350,14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13,0</w:t>
            </w:r>
          </w:p>
        </w:tc>
      </w:tr>
      <w:tr w:rsidR="005E1200" w:rsidRPr="00AD4C69" w:rsidTr="00AD4C69">
        <w:trPr>
          <w:trHeight w:val="300"/>
        </w:trPr>
        <w:tc>
          <w:tcPr>
            <w:tcW w:w="3686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5E1200" w:rsidRPr="00AD4C69" w:rsidRDefault="00B115EC" w:rsidP="00813DA2">
            <w:pPr>
              <w:pStyle w:val="Tablicaboczekwcicie1"/>
              <w:rPr>
                <w:highlight w:val="black"/>
              </w:rPr>
            </w:pPr>
            <w:r w:rsidRPr="00AD4C69">
              <w:rPr>
                <w:highlight w:val="black"/>
              </w:rPr>
              <w:t>ze świadczeń społecznych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572,02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5E1200" w:rsidRPr="00AD4C69" w:rsidRDefault="009C4B16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643,82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5E1200" w:rsidRPr="00AD4C69" w:rsidRDefault="009C4B16" w:rsidP="00813DA2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24,0</w:t>
            </w:r>
          </w:p>
        </w:tc>
      </w:tr>
    </w:tbl>
    <w:p w:rsidR="00E95B8E" w:rsidRPr="00AD4C69" w:rsidRDefault="008E2979" w:rsidP="00966C9A">
      <w:pPr>
        <w:pStyle w:val="Tablicanotka"/>
        <w:rPr>
          <w:highlight w:val="black"/>
        </w:rPr>
      </w:pPr>
      <w:r w:rsidRPr="00AD4C69">
        <w:rPr>
          <w:highlight w:val="black"/>
        </w:rPr>
        <w:t>a–c</w:t>
      </w:r>
      <w:r w:rsidR="00B115EC" w:rsidRPr="00AD4C69">
        <w:rPr>
          <w:highlight w:val="black"/>
        </w:rPr>
        <w:t xml:space="preserve"> Błąd</w:t>
      </w:r>
      <w:r w:rsidR="00E95B8E" w:rsidRPr="00AD4C69">
        <w:rPr>
          <w:highlight w:val="black"/>
        </w:rPr>
        <w:t xml:space="preserve"> </w:t>
      </w:r>
      <w:r w:rsidR="00B115EC" w:rsidRPr="00AD4C69">
        <w:rPr>
          <w:highlight w:val="black"/>
        </w:rPr>
        <w:t xml:space="preserve">względny szacunków przekracza 10% </w:t>
      </w:r>
      <w:r w:rsidR="00FA1488" w:rsidRPr="00AD4C69">
        <w:rPr>
          <w:highlight w:val="black"/>
        </w:rPr>
        <w:t>i</w:t>
      </w:r>
      <w:r w:rsidR="00B115EC" w:rsidRPr="00AD4C69">
        <w:rPr>
          <w:highlight w:val="black"/>
        </w:rPr>
        <w:t xml:space="preserve"> wynosi: a</w:t>
      </w:r>
      <w:r w:rsidR="007033B2" w:rsidRPr="00AD4C69">
        <w:rPr>
          <w:highlight w:val="black"/>
        </w:rPr>
        <w:t xml:space="preserve"> </w:t>
      </w:r>
      <w:r w:rsidR="00B115EC" w:rsidRPr="00AD4C69">
        <w:rPr>
          <w:highlight w:val="black"/>
        </w:rPr>
        <w:t>–</w:t>
      </w:r>
      <w:r w:rsidR="007033B2" w:rsidRPr="00AD4C69">
        <w:rPr>
          <w:highlight w:val="black"/>
        </w:rPr>
        <w:t xml:space="preserve"> </w:t>
      </w:r>
      <w:r w:rsidRPr="00AD4C69">
        <w:rPr>
          <w:highlight w:val="black"/>
        </w:rPr>
        <w:t>24,62</w:t>
      </w:r>
      <w:r w:rsidR="008153F2" w:rsidRPr="00AD4C69">
        <w:rPr>
          <w:highlight w:val="black"/>
        </w:rPr>
        <w:t>%, b</w:t>
      </w:r>
      <w:r w:rsidR="007033B2" w:rsidRPr="00AD4C69">
        <w:rPr>
          <w:highlight w:val="black"/>
        </w:rPr>
        <w:t xml:space="preserve"> </w:t>
      </w:r>
      <w:r w:rsidR="008153F2" w:rsidRPr="00AD4C69">
        <w:rPr>
          <w:highlight w:val="black"/>
        </w:rPr>
        <w:t>–</w:t>
      </w:r>
      <w:r w:rsidR="007033B2" w:rsidRPr="00AD4C69">
        <w:rPr>
          <w:highlight w:val="black"/>
        </w:rPr>
        <w:t xml:space="preserve"> </w:t>
      </w:r>
      <w:r w:rsidR="009C4B16" w:rsidRPr="00AD4C69">
        <w:rPr>
          <w:highlight w:val="black"/>
        </w:rPr>
        <w:t>55,65</w:t>
      </w:r>
      <w:r w:rsidR="008153F2" w:rsidRPr="00AD4C69">
        <w:rPr>
          <w:highlight w:val="black"/>
        </w:rPr>
        <w:t>%</w:t>
      </w:r>
      <w:r w:rsidRPr="00AD4C69">
        <w:rPr>
          <w:highlight w:val="black"/>
        </w:rPr>
        <w:t>, c – 10,44%.</w:t>
      </w:r>
    </w:p>
    <w:p w:rsidR="0012269E" w:rsidRPr="00AD4C69" w:rsidRDefault="003E531C" w:rsidP="008153F2">
      <w:pPr>
        <w:spacing w:line="288" w:lineRule="auto"/>
        <w:rPr>
          <w:highlight w:val="black"/>
          <w:shd w:val="clear" w:color="auto" w:fill="FFFFFF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8255" b="0"/>
                <wp:wrapTight wrapText="bothSides">
                  <wp:wrapPolygon edited="0">
                    <wp:start x="0" y="0"/>
                    <wp:lineTo x="0" y="21150"/>
                    <wp:lineTo x="21465" y="21150"/>
                    <wp:lineTo x="21465" y="0"/>
                    <wp:lineTo x="0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D756BF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j5oAIAAPUEAAAOAAAAZHJzL2Uyb0RvYy54bWysVMFuEzEQvSPxDyPf6Sahoe0qm6q0FFUq&#10;UKnwAV7bu2vq9Sy2k01yrPiLfkZvXKv8F2MnDREckBB7sMb2+M2bNzM7OV20BubKeY22YMODAQNl&#10;BUpt64J9+Xz56piBD9xKbtCqgi2VZ6fTly8mfZerETZopHJAINbnfVewJoQuzzIvGtVyf4CdsnRZ&#10;oWt5oK2rM+l4T+ityUaDwZusRyc7h0J5T6cXm0s2TfhVpUT4VFVeBTAFI24hrS6tZVyz6YTnteNd&#10;o8WWBv8HFi3XloLuoC544DBz+g+oVguHHqtwILDNsKq0UCkHymY4+C2b24Z3KuVC4vhuJ5P/f7Di&#10;4/zGgZZUuyMGlrdUoxs0CoK68wF7BfFcKi9ItAsUDcolrBSsH3rNpVip9XfwHa7vlVjZpWigXK7v&#10;lyDdrNYtCASJ0Gtl7nD9IDSsf7inR0neLV1EsKfHHmokBMmdDz2dttgTDpVKB0NkrohFsBy0TU0g&#10;vvJYs77zOVG/7Yh8WLzFBfFP+vvuGsWdB4vnDbe1OnMO+0ZxSZoN48ts7+kGx0eQsv+AksLxWcAE&#10;tKhcGwtKJQJCp95Z7vpFLQKIGPJoNB6djBkIujsZHh4OUkNlPH9+3VFS7xW2EI2COerHhM7n1z5E&#10;Njx/donBOh7CpTYm2lV9blw0vKtLMmHOYw+nLyWy51L+3XfrEgPuBTEWeqI+Ho0TLYsxepqJVgca&#10;TKPbgh3vYvI8SvnOyuQSuDYbm1CN3Wob5dwIGxblIrXW6+eSldQ9JLbDzRzSf4OMBt2KQU8zWDD/&#10;bcadYmCuLBUsSUqdkDaH46MRVcHt35T7N9xSQ1GXBgYb8zykQY8aWjyjwlY6aR47YMNkS5lmK5Vi&#10;+x+Iw7u/T16//lbTnwAAAP//AwBQSwMEFAAGAAgAAAAhAMjlvZLgAAAACwEAAA8AAABkcnMvZG93&#10;bnJldi54bWxMj8FOwzAMhu9IvENkJG4sbafRUZpOCGknhDQGHLhljddUa5zSpFvh6eed4PZb/vT7&#10;c7maXCeOOITWk4J0loBAqr1pqVHw8b6+W4IIUZPRnSdU8IMBVtX1VakL40/0hsdtbASXUCi0Ahtj&#10;X0gZaotOh5nvkXi394PTkcehkWbQJy53ncyS5F463RJfsLrHZ4v1YTs6BWHv11/Dtx838bWmwy/l&#10;9jN9Uer2Znp6BBFxin8wXPRZHSp22vmRTBCdguV8sWBUQfaQgbgAaZJz2nHK5xnIqpT/f6jOAAAA&#10;//8DAFBLAQItABQABgAIAAAAIQC2gziS/gAAAOEBAAATAAAAAAAAAAAAAAAAAAAAAABbQ29udGVu&#10;dF9UeXBlc10ueG1sUEsBAi0AFAAGAAgAAAAhADj9If/WAAAAlAEAAAsAAAAAAAAAAAAAAAAALwEA&#10;AF9yZWxzLy5yZWxzUEsBAi0AFAAGAAgAAAAhAI5ayPmgAgAA9QQAAA4AAAAAAAAAAAAAAAAALgIA&#10;AGRycy9lMm9Eb2MueG1sUEsBAi0AFAAGAAgAAAAhAMjlvZLgAAAACwEAAA8AAAAAAAAAAAAAAAAA&#10;+gQAAGRycy9kb3ducmV2LnhtbFBLBQYAAAAABAAEAPMAAAAHBgAAAAA=&#10;" fillcolor="black" stroked="f">
                <v:fill color2="black" type="pattern"/>
                <v:textbox>
                  <w:txbxContent>
                    <w:p w:rsidR="00A23F4D" w:rsidRPr="00AD4C69" w:rsidRDefault="00D756BF" w:rsidP="003E531C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Pr="00AD4C69" w:rsidRDefault="008153F2" w:rsidP="008153F2">
      <w:pPr>
        <w:spacing w:line="288" w:lineRule="auto"/>
        <w:rPr>
          <w:highlight w:val="black"/>
          <w:shd w:val="clear" w:color="auto" w:fill="FFFFFF"/>
        </w:rPr>
      </w:pPr>
      <w:r w:rsidRPr="00AD4C69">
        <w:rPr>
          <w:highlight w:val="black"/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9C4B16" w:rsidRPr="00AD4C69">
        <w:rPr>
          <w:highlight w:val="black"/>
          <w:shd w:val="clear" w:color="auto" w:fill="FFFFFF"/>
        </w:rPr>
        <w:t>. W 2022</w:t>
      </w:r>
      <w:r w:rsidR="0012269E" w:rsidRPr="00AD4C69">
        <w:rPr>
          <w:highlight w:val="black"/>
          <w:shd w:val="clear" w:color="auto" w:fill="FFFFFF"/>
        </w:rPr>
        <w:t xml:space="preserve"> r. ich udział w dochodzie rozporzą</w:t>
      </w:r>
      <w:r w:rsidR="009C4B16" w:rsidRPr="00AD4C69">
        <w:rPr>
          <w:highlight w:val="black"/>
          <w:shd w:val="clear" w:color="auto" w:fill="FFFFFF"/>
        </w:rPr>
        <w:t>dzalnym wynosił odpowiednio 58,1% i 24,0</w:t>
      </w:r>
      <w:r w:rsidR="0012269E" w:rsidRPr="00AD4C69">
        <w:rPr>
          <w:highlight w:val="black"/>
          <w:shd w:val="clear" w:color="auto" w:fill="FFFFFF"/>
        </w:rPr>
        <w:t>%.</w:t>
      </w:r>
    </w:p>
    <w:p w:rsidR="0012269E" w:rsidRPr="00AD4C69" w:rsidRDefault="009C4B16" w:rsidP="008153F2">
      <w:pPr>
        <w:spacing w:line="288" w:lineRule="auto"/>
        <w:rPr>
          <w:spacing w:val="-2"/>
          <w:highlight w:val="black"/>
          <w:shd w:val="clear" w:color="auto" w:fill="FFFFFF"/>
        </w:rPr>
      </w:pPr>
      <w:r w:rsidRPr="00AD4C69">
        <w:rPr>
          <w:spacing w:val="-2"/>
          <w:highlight w:val="black"/>
          <w:shd w:val="clear" w:color="auto" w:fill="FFFFFF"/>
        </w:rPr>
        <w:t>W porównaniu z 2021</w:t>
      </w:r>
      <w:r w:rsidR="0012269E" w:rsidRPr="00AD4C69">
        <w:rPr>
          <w:spacing w:val="-2"/>
          <w:highlight w:val="black"/>
          <w:shd w:val="clear" w:color="auto" w:fill="FFFFFF"/>
        </w:rPr>
        <w:t xml:space="preserve"> r. zwiększył się udział dochodów </w:t>
      </w:r>
      <w:r w:rsidRPr="00AD4C69">
        <w:rPr>
          <w:spacing w:val="-2"/>
          <w:highlight w:val="black"/>
          <w:shd w:val="clear" w:color="auto" w:fill="FFFFFF"/>
        </w:rPr>
        <w:t>z pracy najemnej</w:t>
      </w:r>
      <w:r w:rsidR="0012269E" w:rsidRPr="00AD4C69">
        <w:rPr>
          <w:spacing w:val="-2"/>
          <w:highlight w:val="black"/>
          <w:shd w:val="clear" w:color="auto" w:fill="FFFFFF"/>
        </w:rPr>
        <w:t xml:space="preserve"> (o </w:t>
      </w:r>
      <w:r w:rsidRPr="00AD4C69">
        <w:rPr>
          <w:spacing w:val="-2"/>
          <w:highlight w:val="black"/>
          <w:shd w:val="clear" w:color="auto" w:fill="FFFFFF"/>
        </w:rPr>
        <w:t>3,7</w:t>
      </w:r>
      <w:r w:rsidR="0012269E" w:rsidRPr="00AD4C69">
        <w:rPr>
          <w:spacing w:val="-2"/>
          <w:highlight w:val="black"/>
          <w:shd w:val="clear" w:color="auto" w:fill="FFFFFF"/>
        </w:rPr>
        <w:t xml:space="preserve"> p. proc.) oraz </w:t>
      </w:r>
      <w:r w:rsidRPr="00AD4C69">
        <w:rPr>
          <w:spacing w:val="-2"/>
          <w:highlight w:val="black"/>
          <w:shd w:val="clear" w:color="auto" w:fill="FFFFFF"/>
        </w:rPr>
        <w:t>ze świadczeń społecznych</w:t>
      </w:r>
      <w:r w:rsidR="00BE62D6" w:rsidRPr="00AD4C69">
        <w:rPr>
          <w:spacing w:val="-2"/>
          <w:highlight w:val="black"/>
          <w:shd w:val="clear" w:color="auto" w:fill="FFFFFF"/>
        </w:rPr>
        <w:t xml:space="preserve"> (o 0,4</w:t>
      </w:r>
      <w:r w:rsidR="0012269E" w:rsidRPr="00AD4C69">
        <w:rPr>
          <w:spacing w:val="-2"/>
          <w:highlight w:val="black"/>
          <w:shd w:val="clear" w:color="auto" w:fill="FFFFFF"/>
        </w:rPr>
        <w:t xml:space="preserve"> p. proc.). Zmniejszył się natomiast udział dochodów </w:t>
      </w:r>
      <w:r w:rsidR="00BE62D6" w:rsidRPr="00AD4C69">
        <w:rPr>
          <w:spacing w:val="-2"/>
          <w:highlight w:val="black"/>
          <w:shd w:val="clear" w:color="auto" w:fill="FFFFFF"/>
        </w:rPr>
        <w:t>z gospodarstwa indywidualnego w rolnictwie</w:t>
      </w:r>
      <w:r w:rsidR="0012269E" w:rsidRPr="00AD4C69">
        <w:rPr>
          <w:spacing w:val="-2"/>
          <w:highlight w:val="black"/>
          <w:shd w:val="clear" w:color="auto" w:fill="FFFFFF"/>
        </w:rPr>
        <w:t xml:space="preserve"> (o </w:t>
      </w:r>
      <w:r w:rsidR="00BE62D6" w:rsidRPr="00AD4C69">
        <w:rPr>
          <w:spacing w:val="-2"/>
          <w:highlight w:val="black"/>
          <w:shd w:val="clear" w:color="auto" w:fill="FFFFFF"/>
        </w:rPr>
        <w:t>2,6</w:t>
      </w:r>
      <w:r w:rsidR="0012269E" w:rsidRPr="00AD4C69">
        <w:rPr>
          <w:spacing w:val="-2"/>
          <w:highlight w:val="black"/>
          <w:shd w:val="clear" w:color="auto" w:fill="FFFFFF"/>
        </w:rPr>
        <w:t xml:space="preserve"> p. proc.) i z pracy </w:t>
      </w:r>
      <w:r w:rsidR="00BE62D6" w:rsidRPr="00AD4C69">
        <w:rPr>
          <w:spacing w:val="-2"/>
          <w:highlight w:val="black"/>
          <w:shd w:val="clear" w:color="auto" w:fill="FFFFFF"/>
        </w:rPr>
        <w:t>na własny rachunek</w:t>
      </w:r>
      <w:r w:rsidR="0012269E" w:rsidRPr="00AD4C69">
        <w:rPr>
          <w:spacing w:val="-2"/>
          <w:highlight w:val="black"/>
          <w:shd w:val="clear" w:color="auto" w:fill="FFFFFF"/>
        </w:rPr>
        <w:t xml:space="preserve"> (o </w:t>
      </w:r>
      <w:r w:rsidR="00BE62D6" w:rsidRPr="00AD4C69">
        <w:rPr>
          <w:spacing w:val="-2"/>
          <w:highlight w:val="black"/>
          <w:shd w:val="clear" w:color="auto" w:fill="FFFFFF"/>
        </w:rPr>
        <w:t>1,7</w:t>
      </w:r>
      <w:r w:rsidR="0012269E" w:rsidRPr="00AD4C69">
        <w:rPr>
          <w:spacing w:val="-2"/>
          <w:highlight w:val="black"/>
          <w:shd w:val="clear" w:color="auto" w:fill="FFFFFF"/>
        </w:rPr>
        <w:t xml:space="preserve"> p. proc.).</w:t>
      </w:r>
    </w:p>
    <w:p w:rsidR="003E531C" w:rsidRPr="00AD4C69" w:rsidRDefault="003E531C" w:rsidP="003E531C">
      <w:pPr>
        <w:spacing w:line="288" w:lineRule="auto"/>
        <w:rPr>
          <w:highlight w:val="black"/>
          <w:shd w:val="clear" w:color="auto" w:fill="FFFFFF"/>
        </w:rPr>
      </w:pPr>
      <w:r w:rsidRPr="00AD4C69">
        <w:rPr>
          <w:highlight w:val="black"/>
          <w:shd w:val="clear" w:color="auto" w:fill="FFFFFF"/>
        </w:rPr>
        <w:t>Dochód rozporządzalny pomniejszony o pozostałe wydatki (m.in. kwoty przekazane innym gospodarstwom domowym i instytucjom niekomercyjnym, w tym dary; niektóre podatki, składki na ubezpieczenia społeczne płacone samodzielnie przez podatnika, odszkodowania za wyrządzone szkody) jest dochodem do dyspozycji. W 202</w:t>
      </w:r>
      <w:r w:rsidR="00BE62D6" w:rsidRPr="00AD4C69">
        <w:rPr>
          <w:highlight w:val="black"/>
          <w:shd w:val="clear" w:color="auto" w:fill="FFFFFF"/>
        </w:rPr>
        <w:t>2</w:t>
      </w:r>
      <w:r w:rsidRPr="00AD4C69">
        <w:rPr>
          <w:highlight w:val="black"/>
          <w:shd w:val="clear" w:color="auto" w:fill="FFFFFF"/>
        </w:rPr>
        <w:t xml:space="preserve"> r. w województwie mazowieckim dochód do dyspozycji przypadający na 1 osobę w gospodarstwach domowych wyniósł </w:t>
      </w:r>
      <w:r w:rsidR="008848E9" w:rsidRPr="00AD4C69">
        <w:rPr>
          <w:highlight w:val="black"/>
          <w:shd w:val="clear" w:color="auto" w:fill="FFFFFF"/>
        </w:rPr>
        <w:t xml:space="preserve">2601,99 zł </w:t>
      </w:r>
      <w:r w:rsidR="00BE62D6" w:rsidRPr="00AD4C69">
        <w:rPr>
          <w:highlight w:val="black"/>
          <w:shd w:val="clear" w:color="auto" w:fill="FFFFFF"/>
        </w:rPr>
        <w:t xml:space="preserve"> </w:t>
      </w:r>
      <w:r w:rsidR="008848E9" w:rsidRPr="00AD4C69">
        <w:rPr>
          <w:highlight w:val="black"/>
          <w:shd w:val="clear" w:color="auto" w:fill="FFFFFF"/>
        </w:rPr>
        <w:t>(</w:t>
      </w:r>
      <w:r w:rsidR="00BE62D6" w:rsidRPr="00AD4C69">
        <w:rPr>
          <w:highlight w:val="black"/>
          <w:shd w:val="clear" w:color="auto" w:fill="FFFFFF"/>
        </w:rPr>
        <w:t xml:space="preserve">o 9,6% </w:t>
      </w:r>
      <w:r w:rsidR="00B13C2E" w:rsidRPr="00AD4C69">
        <w:rPr>
          <w:highlight w:val="black"/>
          <w:shd w:val="clear" w:color="auto" w:fill="FFFFFF"/>
        </w:rPr>
        <w:t>wyższy</w:t>
      </w:r>
      <w:r w:rsidR="00BE62D6" w:rsidRPr="00AD4C69">
        <w:rPr>
          <w:highlight w:val="black"/>
          <w:shd w:val="clear" w:color="auto" w:fill="FFFFFF"/>
        </w:rPr>
        <w:t xml:space="preserve"> w stosunku do 2021</w:t>
      </w:r>
      <w:r w:rsidRPr="00AD4C69">
        <w:rPr>
          <w:highlight w:val="black"/>
          <w:shd w:val="clear" w:color="auto" w:fill="FFFFFF"/>
        </w:rPr>
        <w:t xml:space="preserve"> r.</w:t>
      </w:r>
      <w:r w:rsidR="008848E9" w:rsidRPr="00AD4C69">
        <w:rPr>
          <w:highlight w:val="black"/>
          <w:shd w:val="clear" w:color="auto" w:fill="FFFFFF"/>
        </w:rPr>
        <w:t>).</w:t>
      </w:r>
      <w:r w:rsidRPr="00AD4C69">
        <w:rPr>
          <w:highlight w:val="black"/>
          <w:shd w:val="clear" w:color="auto" w:fill="FFFFFF"/>
        </w:rPr>
        <w:t xml:space="preserve"> Jednocześnie był wyższy od przeciętnego </w:t>
      </w:r>
      <w:r w:rsidR="009250F5" w:rsidRPr="00AD4C69">
        <w:rPr>
          <w:highlight w:val="black"/>
          <w:shd w:val="clear" w:color="auto" w:fill="FFFFFF"/>
        </w:rPr>
        <w:t>w </w:t>
      </w:r>
      <w:r w:rsidR="00BE62D6" w:rsidRPr="00AD4C69">
        <w:rPr>
          <w:highlight w:val="black"/>
          <w:shd w:val="clear" w:color="auto" w:fill="FFFFFF"/>
        </w:rPr>
        <w:t>kraju o 18,6</w:t>
      </w:r>
      <w:r w:rsidRPr="00AD4C69">
        <w:rPr>
          <w:highlight w:val="black"/>
          <w:shd w:val="clear" w:color="auto" w:fill="FFFFFF"/>
        </w:rPr>
        <w:t xml:space="preserve">% (o </w:t>
      </w:r>
      <w:r w:rsidR="00BE62D6" w:rsidRPr="00AD4C69">
        <w:rPr>
          <w:highlight w:val="black"/>
          <w:shd w:val="clear" w:color="auto" w:fill="FFFFFF"/>
        </w:rPr>
        <w:t>407,37</w:t>
      </w:r>
      <w:r w:rsidRPr="00AD4C69">
        <w:rPr>
          <w:highlight w:val="black"/>
          <w:shd w:val="clear" w:color="auto" w:fill="FFFFFF"/>
        </w:rPr>
        <w:t xml:space="preserve"> zł).</w:t>
      </w:r>
    </w:p>
    <w:p w:rsidR="00DA331D" w:rsidRPr="00AD4C69" w:rsidRDefault="00981FF7" w:rsidP="00393E0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AD4C69">
        <w:rPr>
          <w:rFonts w:ascii="Fira Sans" w:hAnsi="Fira Sans"/>
          <w:b/>
          <w:szCs w:val="19"/>
          <w:highlight w:val="black"/>
        </w:rPr>
        <w:t>Wydatki gospodarstw domowych</w:t>
      </w:r>
    </w:p>
    <w:p w:rsidR="00D972F6" w:rsidRPr="00AD4C69" w:rsidRDefault="00B36908" w:rsidP="00D972F6">
      <w:pPr>
        <w:spacing w:line="288" w:lineRule="auto"/>
        <w:rPr>
          <w:highlight w:val="black"/>
          <w:shd w:val="clear" w:color="auto" w:fill="FFFFFF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5753100</wp:posOffset>
                </wp:positionH>
                <wp:positionV relativeFrom="page">
                  <wp:posOffset>8058150</wp:posOffset>
                </wp:positionV>
                <wp:extent cx="1725295" cy="831850"/>
                <wp:effectExtent l="0" t="0" r="8255" b="6350"/>
                <wp:wrapNone/>
                <wp:docPr id="3" name="Pole tekstowe 3" descr="Udział wydatków w dochodzie rozporządzalnym wyniósł 62,3% wobec 60,9% w 2021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218" w:rsidRPr="00AD4C69" w:rsidRDefault="007D5218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Udział wydatków w dochodzie rozporządzalnym wyniósł 62,3% wobec 60,9% w 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456E2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30" type="#_x0000_t202" alt="Tytuł: Istotna informacja — opis: Udział wydatków w dochodzie rozporządzalnym wyniósł 62,3% wobec 60,9% w 2021 roku" style="position:absolute;margin-left:453pt;margin-top:634.5pt;width:135.85pt;height:65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eahlQIAAN4EAAAOAAAAZHJzL2Uyb0RvYy54bWysVFFv0zAQfkfiP1iWeBtLm7XbGi2dxsbQ&#10;pAGTxn7AxXEaU8cXbLdp+4jEL9pPGPwvzk5XKnhAQuTBOtvn7+6++y5n56tGs6W0TqHJ+fBwwJk0&#10;AktlZjl/+HT9+pQz58GUoNHInK+l4+fTly/OujaTKdaoS2kZgRiXdW3Oa+/bLEmcqGUD7hBbaeiy&#10;QtuAp62dJaWFjtAbnaSDwXHSoS1bi0I6R6dX/SWfRvyqksJ/rConPdM5p9x8XG1ci7Am0zPIZhba&#10;WoltGvAPWTSgDAXdQV2BB7aw6g+oRgmLDit/KLBJsKqUkLEGqmY4+K2a+xpaGWshcly7o8n9P1jx&#10;YXlnmSpzfsSZgYZadIdaMi/nzmMnGR2X0gmi7KHcKPjxlXXrEvz86bFjHStR1EjnklnctGg337+V&#10;G9Bm3ZCbUU+Pjh4cpwdHr1iHhRTseHAwIZulg3RIb+YL6onymsLeUDxvgCkTuy0+Q2hO17qMcrxv&#10;KUu/eoMrElkk2rW3KOaOGbyswczkhbXY1RJKImcYXiZ7T3scF0CK7j2WFA4WHiPQqrJN6Bz1ghE6&#10;iWS9E4ZceSZCyJN0nE7GnAm6Oz0ano6jchLInl+31vl3EhsWjJxbEl5Eh+Wt8yEbyJ5dQrAWvL9W&#10;Wge7ml1qGwxnZwWZbAlBrPGLhey5FH/33bqEgHtBtGFdzifjdBzTMhiiR/E3ytMEatVQZbuYkAUq&#10;35oyunhQurcJVZstt4HOnli/KlZRQ6PnlhVYrolsi/3A0Q+CjJr0wVlHw5Zz92UBVnKmbww1bDIc&#10;jcJ0xs1ofJLSxu7fFPs3YEh0JEjPWW9e+jjRgUODF9TYSkXOgwL6TLYp0xDFVmwHPkzp/j56/fot&#10;TX8CAAD//wMAUEsDBBQABgAIAAAAIQDVhKq14QAAAA4BAAAPAAAAZHJzL2Rvd25yZXYueG1sTI/B&#10;TsMwEETvSPyDtUjcqJ0KJTTEqRBSTwgJChy4ufE2jhqvQ+y0ga9ne4LbrGY0+6Zaz74XRxxjF0hD&#10;tlAgkJpgO2o1vL9tbu5AxGTImj4QavjGCOv68qIypQ0nesXjNrWCSyiWRoNLaSiljI1Db+IiDEjs&#10;7cPoTeJzbKUdzYnLfS+XSuXSm474gzMDPjpsDtvJa4j7sPkcv8L0kp4bOvxQ4T6yJ62vr+aHexAJ&#10;5/QXhjM+o0PNTLswkY2i17BSOW9JbCzzFatzJCuKAsSO1a1SCmRdyf8z6l8AAAD//wMAUEsBAi0A&#10;FAAGAAgAAAAhALaDOJL+AAAA4QEAABMAAAAAAAAAAAAAAAAAAAAAAFtDb250ZW50X1R5cGVzXS54&#10;bWxQSwECLQAUAAYACAAAACEAOP0h/9YAAACUAQAACwAAAAAAAAAAAAAAAAAvAQAAX3JlbHMvLnJl&#10;bHNQSwECLQAUAAYACAAAACEAulHmoZUCAADeBAAADgAAAAAAAAAAAAAAAAAuAgAAZHJzL2Uyb0Rv&#10;Yy54bWxQSwECLQAUAAYACAAAACEA1YSqteEAAAAOAQAADwAAAAAAAAAAAAAAAADvBAAAZHJzL2Rv&#10;d25yZXYueG1sUEsFBgAAAAAEAAQA8wAAAP0FAAAAAA==&#10;" fillcolor="black" stroked="f">
                <v:fill color2="black" type="pattern"/>
                <v:textbox>
                  <w:txbxContent>
                    <w:p w:rsidR="007D5218" w:rsidRPr="00AD4C69" w:rsidRDefault="007D5218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Udział wydatków w dochodzie rozporządzalnym wyniósł 62,3% wobec 60,9% w 2021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615A" w:rsidRPr="00AD4C69">
        <w:rPr>
          <w:highlight w:val="black"/>
          <w:shd w:val="clear" w:color="auto" w:fill="FFFFFF"/>
        </w:rPr>
        <w:t>W 2022</w:t>
      </w:r>
      <w:r w:rsidR="00981FF7" w:rsidRPr="00AD4C69">
        <w:rPr>
          <w:highlight w:val="black"/>
          <w:shd w:val="clear" w:color="auto" w:fill="FFFFFF"/>
        </w:rPr>
        <w:t xml:space="preserve"> r. przeciętne miesięczne wydatki gospodarstwa domowego na 1 osobę w województwie wynosiły </w:t>
      </w:r>
      <w:r w:rsidR="002F615A" w:rsidRPr="00AD4C69">
        <w:rPr>
          <w:highlight w:val="black"/>
          <w:shd w:val="clear" w:color="auto" w:fill="FFFFFF"/>
        </w:rPr>
        <w:t>1672,67</w:t>
      </w:r>
      <w:r w:rsidR="00981FF7" w:rsidRPr="00AD4C69">
        <w:rPr>
          <w:highlight w:val="black"/>
          <w:shd w:val="clear" w:color="auto" w:fill="FFFFFF"/>
        </w:rPr>
        <w:t xml:space="preserve"> zł i były o </w:t>
      </w:r>
      <w:r w:rsidR="002F615A" w:rsidRPr="00AD4C69">
        <w:rPr>
          <w:highlight w:val="black"/>
          <w:shd w:val="clear" w:color="auto" w:fill="FFFFFF"/>
        </w:rPr>
        <w:t>13,3</w:t>
      </w:r>
      <w:r w:rsidR="00981FF7" w:rsidRPr="00AD4C69">
        <w:rPr>
          <w:highlight w:val="black"/>
          <w:shd w:val="clear" w:color="auto" w:fill="FFFFFF"/>
        </w:rPr>
        <w:t>% (</w:t>
      </w:r>
      <w:r w:rsidR="008848E9" w:rsidRPr="00AD4C69">
        <w:rPr>
          <w:highlight w:val="black"/>
          <w:shd w:val="clear" w:color="auto" w:fill="FFFFFF"/>
        </w:rPr>
        <w:t xml:space="preserve">o </w:t>
      </w:r>
      <w:r w:rsidR="002F615A" w:rsidRPr="00AD4C69">
        <w:rPr>
          <w:highlight w:val="black"/>
          <w:shd w:val="clear" w:color="auto" w:fill="FFFFFF"/>
        </w:rPr>
        <w:t>195,86</w:t>
      </w:r>
      <w:r w:rsidR="00981FF7" w:rsidRPr="00AD4C69">
        <w:rPr>
          <w:highlight w:val="black"/>
          <w:shd w:val="clear" w:color="auto" w:fill="FFFFFF"/>
        </w:rPr>
        <w:t xml:space="preserve"> zł) wyższe niż przed rokiem. Wydatki miesięczne ponoszone przez 1 osobę w województwie mazowieckim były o </w:t>
      </w:r>
      <w:r w:rsidR="002F615A" w:rsidRPr="00AD4C69">
        <w:rPr>
          <w:highlight w:val="black"/>
          <w:shd w:val="clear" w:color="auto" w:fill="FFFFFF"/>
        </w:rPr>
        <w:t>13,4</w:t>
      </w:r>
      <w:r w:rsidR="00981FF7" w:rsidRPr="00AD4C69">
        <w:rPr>
          <w:highlight w:val="black"/>
          <w:shd w:val="clear" w:color="auto" w:fill="FFFFFF"/>
        </w:rPr>
        <w:t xml:space="preserve">% (o </w:t>
      </w:r>
      <w:r w:rsidR="002F615A" w:rsidRPr="00AD4C69">
        <w:rPr>
          <w:highlight w:val="black"/>
          <w:shd w:val="clear" w:color="auto" w:fill="FFFFFF"/>
        </w:rPr>
        <w:t>197,45</w:t>
      </w:r>
      <w:r w:rsidR="00981FF7" w:rsidRPr="00AD4C69">
        <w:rPr>
          <w:highlight w:val="black"/>
          <w:shd w:val="clear" w:color="auto" w:fill="FFFFFF"/>
        </w:rPr>
        <w:t xml:space="preserve"> zł) wyższe niż przeciętnie w kraju (</w:t>
      </w:r>
      <w:r w:rsidR="002F615A" w:rsidRPr="00AD4C69">
        <w:rPr>
          <w:highlight w:val="black"/>
          <w:shd w:val="clear" w:color="auto" w:fill="FFFFFF"/>
        </w:rPr>
        <w:t>1475,22</w:t>
      </w:r>
      <w:r w:rsidR="00981FF7" w:rsidRPr="00AD4C69">
        <w:rPr>
          <w:highlight w:val="black"/>
          <w:shd w:val="clear" w:color="auto" w:fill="FFFFFF"/>
        </w:rPr>
        <w:t xml:space="preserve"> zł).</w:t>
      </w:r>
    </w:p>
    <w:p w:rsidR="00FD301C" w:rsidRPr="00AD4C69" w:rsidRDefault="001A7BD2" w:rsidP="00D972F6">
      <w:pPr>
        <w:spacing w:line="288" w:lineRule="auto"/>
        <w:rPr>
          <w:spacing w:val="-2"/>
          <w:highlight w:val="black"/>
          <w:shd w:val="clear" w:color="auto" w:fill="FFFFFF"/>
        </w:rPr>
      </w:pPr>
      <w:r w:rsidRPr="00AD4C69">
        <w:rPr>
          <w:spacing w:val="-2"/>
          <w:highlight w:val="black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2F615A" w:rsidRPr="00AD4C69">
        <w:rPr>
          <w:spacing w:val="-2"/>
          <w:highlight w:val="black"/>
          <w:shd w:val="clear" w:color="auto" w:fill="FFFFFF"/>
        </w:rPr>
        <w:t>62,3</w:t>
      </w:r>
      <w:r w:rsidRPr="00AD4C69">
        <w:rPr>
          <w:spacing w:val="-2"/>
          <w:highlight w:val="black"/>
          <w:shd w:val="clear" w:color="auto" w:fill="FFFFFF"/>
        </w:rPr>
        <w:t xml:space="preserve">% i był o </w:t>
      </w:r>
      <w:r w:rsidR="002F615A" w:rsidRPr="00AD4C69">
        <w:rPr>
          <w:spacing w:val="-2"/>
          <w:highlight w:val="black"/>
          <w:shd w:val="clear" w:color="auto" w:fill="FFFFFF"/>
        </w:rPr>
        <w:t>1,4</w:t>
      </w:r>
      <w:r w:rsidRPr="00AD4C69">
        <w:rPr>
          <w:spacing w:val="-2"/>
          <w:highlight w:val="black"/>
          <w:shd w:val="clear" w:color="auto" w:fill="FFFFFF"/>
        </w:rPr>
        <w:t xml:space="preserve"> p. proc. </w:t>
      </w:r>
      <w:r w:rsidR="00A34F53" w:rsidRPr="00AD4C69">
        <w:rPr>
          <w:spacing w:val="-2"/>
          <w:highlight w:val="black"/>
          <w:shd w:val="clear" w:color="auto" w:fill="FFFFFF"/>
        </w:rPr>
        <w:t>większy</w:t>
      </w:r>
      <w:r w:rsidR="002F615A" w:rsidRPr="00AD4C69">
        <w:rPr>
          <w:spacing w:val="-2"/>
          <w:highlight w:val="black"/>
          <w:shd w:val="clear" w:color="auto" w:fill="FFFFFF"/>
        </w:rPr>
        <w:t xml:space="preserve"> niż w 2021</w:t>
      </w:r>
      <w:r w:rsidRPr="00AD4C69">
        <w:rPr>
          <w:spacing w:val="-2"/>
          <w:highlight w:val="black"/>
          <w:shd w:val="clear" w:color="auto" w:fill="FFFFFF"/>
        </w:rPr>
        <w:t xml:space="preserve"> r. (w kraju relacja ta wyniosła </w:t>
      </w:r>
      <w:r w:rsidR="002F615A" w:rsidRPr="00AD4C69">
        <w:rPr>
          <w:spacing w:val="-2"/>
          <w:highlight w:val="black"/>
          <w:shd w:val="clear" w:color="auto" w:fill="FFFFFF"/>
        </w:rPr>
        <w:t>65,6</w:t>
      </w:r>
      <w:r w:rsidRPr="00AD4C69">
        <w:rPr>
          <w:spacing w:val="-2"/>
          <w:highlight w:val="black"/>
          <w:shd w:val="clear" w:color="auto" w:fill="FFFFFF"/>
        </w:rPr>
        <w:t xml:space="preserve">%, tj. o </w:t>
      </w:r>
      <w:r w:rsidR="002F615A" w:rsidRPr="00AD4C69">
        <w:rPr>
          <w:spacing w:val="-2"/>
          <w:highlight w:val="black"/>
          <w:shd w:val="clear" w:color="auto" w:fill="FFFFFF"/>
        </w:rPr>
        <w:t>2,2</w:t>
      </w:r>
      <w:r w:rsidRPr="00AD4C69">
        <w:rPr>
          <w:spacing w:val="-2"/>
          <w:highlight w:val="black"/>
          <w:shd w:val="clear" w:color="auto" w:fill="FFFFFF"/>
        </w:rPr>
        <w:t xml:space="preserve"> p. proc. więcej niż rok wcześniej).</w:t>
      </w:r>
    </w:p>
    <w:p w:rsidR="00A23F4D" w:rsidRPr="00AD4C69" w:rsidRDefault="00A23F4D" w:rsidP="00A23F4D">
      <w:pPr>
        <w:spacing w:line="288" w:lineRule="auto"/>
        <w:rPr>
          <w:spacing w:val="2"/>
          <w:highlight w:val="black"/>
        </w:rPr>
      </w:pPr>
      <w:r w:rsidRPr="00AD4C69">
        <w:rPr>
          <w:spacing w:val="2"/>
          <w:highlight w:val="black"/>
        </w:rPr>
        <w:t xml:space="preserve">W stosunku do 2021 r. zwiększyły się np. wydatki na restauracje i hotele (o 32,3%), transport (o 23,3%), użytkowanie mieszkania i nośniki energii (o 13,1%), żywność i napoje bezalkoholowe (o 11,8%), edukację (o 9,5%), odzież i obuwie (o 6,9%). W ujęciu rocznym </w:t>
      </w:r>
      <w:r w:rsidR="00EF1560" w:rsidRPr="00AD4C69">
        <w:rPr>
          <w:spacing w:val="2"/>
          <w:highlight w:val="black"/>
        </w:rPr>
        <w:t xml:space="preserve">odnotowano </w:t>
      </w:r>
      <w:r w:rsidRPr="00AD4C69">
        <w:rPr>
          <w:spacing w:val="2"/>
          <w:highlight w:val="black"/>
        </w:rPr>
        <w:t>spadek wydatków m.in. na wyposażenie mieszkania i prowadzenie gospodarstwa domowego (o 1,4%).</w:t>
      </w:r>
    </w:p>
    <w:p w:rsidR="009E4C73" w:rsidRPr="00AD4C69" w:rsidRDefault="009E4C73" w:rsidP="00D972F6">
      <w:pPr>
        <w:spacing w:line="288" w:lineRule="auto"/>
        <w:rPr>
          <w:spacing w:val="2"/>
          <w:highlight w:val="black"/>
        </w:rPr>
      </w:pPr>
    </w:p>
    <w:p w:rsidR="009E4C73" w:rsidRPr="00AD4C69" w:rsidRDefault="009E4C73" w:rsidP="00D972F6">
      <w:pPr>
        <w:spacing w:line="288" w:lineRule="auto"/>
        <w:rPr>
          <w:spacing w:val="2"/>
          <w:highlight w:val="black"/>
        </w:rPr>
      </w:pPr>
    </w:p>
    <w:p w:rsidR="00A23F4D" w:rsidRPr="00AD4C69" w:rsidRDefault="00A23F4D" w:rsidP="00393E0D">
      <w:pPr>
        <w:pStyle w:val="Tytutablicy"/>
        <w:numPr>
          <w:ilvl w:val="0"/>
          <w:numId w:val="0"/>
        </w:numPr>
        <w:rPr>
          <w:highlight w:val="black"/>
        </w:rPr>
      </w:pPr>
      <w:r w:rsidRPr="00AD4C69">
        <w:rPr>
          <w:highlight w:val="black"/>
        </w:rPr>
        <w:lastRenderedPageBreak/>
        <w:t>Tablica 2. 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1 i 2022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AD4C69" w:rsidTr="00AD4C69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A23F4D" w:rsidRPr="00AD4C69" w:rsidRDefault="00EA2274" w:rsidP="008E7971">
            <w:pPr>
              <w:pStyle w:val="Tablicagwkarodek"/>
              <w:rPr>
                <w:caps/>
                <w:highlight w:val="black"/>
              </w:rPr>
            </w:pPr>
            <w:r w:rsidRPr="00AD4C69">
              <w:rPr>
                <w:highlight w:val="black"/>
              </w:rPr>
              <w:t>Wyszczególnienie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gwkarodek"/>
              <w:rPr>
                <w:highlight w:val="black"/>
              </w:rPr>
            </w:pPr>
            <w:r w:rsidRPr="00AD4C69">
              <w:rPr>
                <w:highlight w:val="black"/>
              </w:rPr>
              <w:t>2021</w:t>
            </w:r>
          </w:p>
        </w:tc>
        <w:tc>
          <w:tcPr>
            <w:tcW w:w="372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A23F4D" w:rsidRPr="00AD4C69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2022</w:t>
            </w:r>
          </w:p>
        </w:tc>
      </w:tr>
      <w:tr w:rsidR="00AD4C69" w:rsidRPr="00AD4C69" w:rsidTr="00AD4C69">
        <w:trPr>
          <w:trHeight w:val="415"/>
        </w:trPr>
        <w:tc>
          <w:tcPr>
            <w:tcW w:w="2977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  <w:hideMark/>
          </w:tcPr>
          <w:p w:rsidR="00A23F4D" w:rsidRPr="00AD4C69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2021=100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w odsetkach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EA2274" w:rsidP="008E7971">
            <w:pPr>
              <w:pStyle w:val="Tablicaboczek"/>
              <w:rPr>
                <w:highlight w:val="black"/>
              </w:rPr>
            </w:pPr>
            <w:r w:rsidRPr="00AD4C69">
              <w:rPr>
                <w:b/>
                <w:highlight w:val="black"/>
              </w:rPr>
              <w:t>Ogółem</w:t>
            </w:r>
            <w:r w:rsidR="00A23F4D" w:rsidRPr="00AD4C69">
              <w:rPr>
                <w:highlight w:val="black"/>
                <w:vertAlign w:val="superscript"/>
              </w:rPr>
              <w:t xml:space="preserve"> a</w:t>
            </w:r>
          </w:p>
        </w:tc>
        <w:tc>
          <w:tcPr>
            <w:tcW w:w="1276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b/>
                <w:highlight w:val="black"/>
              </w:rPr>
            </w:pPr>
            <w:r w:rsidRPr="00AD4C69">
              <w:rPr>
                <w:b/>
                <w:highlight w:val="black"/>
              </w:rPr>
              <w:t>1476,81</w:t>
            </w:r>
          </w:p>
        </w:tc>
        <w:tc>
          <w:tcPr>
            <w:tcW w:w="113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b/>
                <w:highlight w:val="black"/>
              </w:rPr>
            </w:pPr>
            <w:r w:rsidRPr="00AD4C69">
              <w:rPr>
                <w:b/>
                <w:highlight w:val="black"/>
              </w:rPr>
              <w:t>1672,67</w:t>
            </w:r>
          </w:p>
        </w:tc>
        <w:tc>
          <w:tcPr>
            <w:tcW w:w="1184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b/>
                <w:highlight w:val="black"/>
              </w:rPr>
            </w:pPr>
            <w:r w:rsidRPr="00AD4C69">
              <w:rPr>
                <w:b/>
                <w:highlight w:val="black"/>
              </w:rPr>
              <w:t>113,3</w:t>
            </w:r>
          </w:p>
        </w:tc>
        <w:tc>
          <w:tcPr>
            <w:tcW w:w="1402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b/>
                <w:highlight w:val="black"/>
              </w:rPr>
            </w:pPr>
            <w:r w:rsidRPr="00AD4C69">
              <w:rPr>
                <w:b/>
                <w:highlight w:val="black"/>
              </w:rPr>
              <w:t>100,0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AD4C69" w:rsidRDefault="00A23F4D" w:rsidP="008E7971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W tym towary i usługi konsumpcyjne</w:t>
            </w:r>
            <w:r w:rsidRPr="00AD4C69">
              <w:rPr>
                <w:highlight w:val="black"/>
                <w:vertAlign w:val="superscript"/>
              </w:rPr>
              <w:t xml:space="preserve"> ab</w:t>
            </w:r>
            <w:r w:rsidRPr="00AD4C69">
              <w:rPr>
                <w:highlight w:val="black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1423,29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1588,73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111,6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95,0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AD4C69" w:rsidRDefault="00A23F4D" w:rsidP="008E7971">
            <w:pPr>
              <w:pStyle w:val="Tablicaboczekwcicie2"/>
              <w:rPr>
                <w:highlight w:val="black"/>
                <w:lang w:eastAsia="pl-PL"/>
              </w:rPr>
            </w:pPr>
            <w:r w:rsidRPr="00AD4C69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AD4C69" w:rsidRDefault="004405D4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highlight w:val="black"/>
              </w:rPr>
              <w:t>żywność i napoje bezalkoho</w:t>
            </w:r>
            <w:r w:rsidR="00A23F4D" w:rsidRPr="00AD4C69">
              <w:rPr>
                <w:highlight w:val="black"/>
              </w:rPr>
              <w:t>lowe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353,72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395,47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111,8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23,6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highlight w:val="black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36,07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38,25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106,0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2,3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A23F4D" w:rsidRPr="00AD4C69" w:rsidRDefault="00A23F4D" w:rsidP="008E7971">
            <w:pPr>
              <w:pStyle w:val="Tablicaboczekwcicie1"/>
              <w:rPr>
                <w:highlight w:val="black"/>
              </w:rPr>
            </w:pPr>
            <w:r w:rsidRPr="00AD4C69">
              <w:rPr>
                <w:highlight w:val="black"/>
              </w:rPr>
              <w:t>odzież i obuwie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68,80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73,52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106,9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4,4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  <w:hideMark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użytkowanie mieszkania i nośniki energii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269,96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305,32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113,1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18,3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81,15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80,03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98,6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4,8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92,99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97,99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105,4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5,9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134,78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166,12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123,3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9,9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łączność</w:t>
            </w:r>
            <w:r w:rsidRPr="00AD4C69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68,77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71,79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104,4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4,3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103,38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107,91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104,4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6,5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edukacja</w:t>
            </w:r>
            <w:r w:rsidRPr="00AD4C69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d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2979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30,33</w:t>
            </w:r>
            <w:r w:rsidR="008E2979" w:rsidRPr="00AD4C69">
              <w:rPr>
                <w:highlight w:val="black"/>
              </w:rPr>
              <w:t xml:space="preserve"> </w:t>
            </w:r>
            <w:r w:rsidR="008E2979" w:rsidRPr="00AD4C69">
              <w:rPr>
                <w:highlight w:val="black"/>
                <w:vertAlign w:val="superscript"/>
              </w:rPr>
              <w:t>e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33,20</w:t>
            </w:r>
            <w:r w:rsidRPr="00AD4C69">
              <w:rPr>
                <w:highlight w:val="black"/>
                <w:vertAlign w:val="superscript"/>
              </w:rPr>
              <w:t xml:space="preserve"> </w:t>
            </w:r>
            <w:r w:rsidR="008E2979" w:rsidRPr="00AD4C69">
              <w:rPr>
                <w:highlight w:val="black"/>
                <w:vertAlign w:val="superscript"/>
              </w:rPr>
              <w:t>f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109,5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2,0</w:t>
            </w:r>
          </w:p>
        </w:tc>
      </w:tr>
      <w:tr w:rsidR="00AD4C69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80,51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106,54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132,3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6,4</w:t>
            </w:r>
          </w:p>
        </w:tc>
      </w:tr>
      <w:tr w:rsidR="00A23F4D" w:rsidRPr="00AD4C69" w:rsidTr="00AD4C69">
        <w:trPr>
          <w:trHeight w:val="273"/>
        </w:trPr>
        <w:tc>
          <w:tcPr>
            <w:tcW w:w="2977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A23F4D" w:rsidRPr="00AD4C69" w:rsidRDefault="00A23F4D" w:rsidP="008E7971">
            <w:pPr>
              <w:pStyle w:val="Tablicaboczekwcicie1"/>
              <w:rPr>
                <w:rFonts w:eastAsia="Times New Roman" w:cs="Calibri"/>
                <w:highlight w:val="black"/>
                <w:lang w:eastAsia="pl-PL"/>
              </w:rPr>
            </w:pPr>
            <w:r w:rsidRPr="00AD4C69">
              <w:rPr>
                <w:rFonts w:eastAsia="Times New Roman" w:cs="Calibri"/>
                <w:highlight w:val="black"/>
                <w:lang w:eastAsia="pl-PL"/>
              </w:rPr>
              <w:t>pozostałe towary i usługi</w:t>
            </w:r>
            <w:r w:rsidRPr="00AD4C69">
              <w:rPr>
                <w:rFonts w:eastAsia="Times New Roman" w:cs="Calibri"/>
                <w:highlight w:val="black"/>
                <w:vertAlign w:val="superscript"/>
                <w:lang w:eastAsia="pl-PL"/>
              </w:rPr>
              <w:t xml:space="preserve"> 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92,80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A23F4D" w:rsidRPr="00AD4C69" w:rsidRDefault="00A23F4D" w:rsidP="00813DA2">
            <w:pPr>
              <w:pStyle w:val="Tablicadanerodek"/>
              <w:ind w:right="74"/>
              <w:rPr>
                <w:highlight w:val="black"/>
              </w:rPr>
            </w:pPr>
            <w:r w:rsidRPr="00AD4C69">
              <w:rPr>
                <w:highlight w:val="black"/>
              </w:rPr>
              <w:t>100,64</w:t>
            </w:r>
          </w:p>
        </w:tc>
        <w:tc>
          <w:tcPr>
            <w:tcW w:w="118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108,4</w:t>
            </w: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  <w:noWrap/>
            <w:vAlign w:val="center"/>
          </w:tcPr>
          <w:p w:rsidR="00A23F4D" w:rsidRPr="00AD4C69" w:rsidRDefault="00A23F4D" w:rsidP="008E7971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6,0</w:t>
            </w:r>
          </w:p>
        </w:tc>
      </w:tr>
    </w:tbl>
    <w:p w:rsidR="00A23F4D" w:rsidRPr="00AD4C69" w:rsidRDefault="00A23F4D" w:rsidP="00A23F4D">
      <w:pPr>
        <w:pStyle w:val="Tablicanotka"/>
        <w:rPr>
          <w:spacing w:val="0"/>
          <w:highlight w:val="black"/>
        </w:rPr>
      </w:pPr>
      <w:r w:rsidRPr="00AD4C69">
        <w:rPr>
          <w:spacing w:val="0"/>
          <w:highlight w:val="black"/>
        </w:rPr>
        <w:t>a–d Łącznie z: a – wydatkami na ubezpieczeni</w:t>
      </w:r>
      <w:r w:rsidR="00267779" w:rsidRPr="00AD4C69">
        <w:rPr>
          <w:spacing w:val="0"/>
          <w:highlight w:val="black"/>
        </w:rPr>
        <w:t>a</w:t>
      </w:r>
      <w:r w:rsidRPr="00AD4C69">
        <w:rPr>
          <w:spacing w:val="0"/>
          <w:highlight w:val="black"/>
        </w:rPr>
        <w:t xml:space="preserve"> na życie, b – kieszonkowym nieuwzględnionym w podziale według rodzajów wydatków, c – wydatkami na usługi internetowe, d – wychowaniem przedszkolnym. e</w:t>
      </w:r>
      <w:r w:rsidR="008E2979" w:rsidRPr="00AD4C69">
        <w:rPr>
          <w:spacing w:val="0"/>
          <w:highlight w:val="black"/>
        </w:rPr>
        <w:t>, f</w:t>
      </w:r>
      <w:r w:rsidRPr="00AD4C69">
        <w:rPr>
          <w:spacing w:val="0"/>
          <w:highlight w:val="black"/>
        </w:rPr>
        <w:t xml:space="preserve"> Błąd względny szacunków przekracza 10% i wynosi</w:t>
      </w:r>
      <w:r w:rsidR="008E2979" w:rsidRPr="00AD4C69">
        <w:rPr>
          <w:spacing w:val="0"/>
          <w:highlight w:val="black"/>
        </w:rPr>
        <w:t>: e – 10,25%, f – 10,64%.</w:t>
      </w:r>
    </w:p>
    <w:p w:rsidR="009E4C73" w:rsidRPr="00AD4C69" w:rsidRDefault="00B36908" w:rsidP="00D972F6">
      <w:pPr>
        <w:spacing w:line="288" w:lineRule="auto"/>
        <w:rPr>
          <w:spacing w:val="2"/>
          <w:highlight w:val="black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8255" b="9525"/>
                <wp:wrapNone/>
                <wp:docPr id="24" name="Pole tekstowe 24" descr="Wydatki na żywność i napoje bezalkoholowe oraz użytkowanie mieszkania i nośniki energii stanowiły prawie 42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Wydatki na żywność i napoje bezalkoholowe oraz użytkowanie mieszkania i nośniki energii stanowiły prawie 42%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i nośniki energii stanowiły prawie 42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2o3vAIAACQFAAAOAAAAZHJzL2Uyb0RvYy54bWysVMFuEzEQvSPxD5YljnSTVQLtqpuqtBRV&#10;KlCpIM5er3fXjddjbCdOcuyFj+AzeuVW8l+MnTSN4ICE2IM1Xo/fm3kz4+OTRa/IXFgnQZd0eDCg&#10;RGgOtdRtST9/unh5SInzTNdMgRYlXQpHTybPnx0HU4gcOlC1sARBtCuCKWnnvSmyzPFO9MwdgBEa&#10;DxuwPfO4tW1WWxYQvVdZPhi8ygLY2ljgwjn8e745pJOE3zSC+49N44QnqqQYm0+rTWsV12xyzIrW&#10;MtNJvg2D/UMUPZMaSXdQ58wzMrPyD6hecgsOGn/Aoc+gaSQXKQfMZjj4LZubjhmRckFxnNnJ5P4f&#10;LP8wv7ZE1iXNR5Ro1mONrkEJ4sXUeQiCxP+1cBxF+7KsmZ9KdCPrH8ugYf395zcS9wZuBanEiqlp&#10;rGm8B5atyAz9/BQC01KQXgq3mqLJ4h28rCWCCS1sK2XqEghyfbckJlZRkFH+gkD7cL++m5GQqB/u&#10;A2nBGaiZdT6QGnoIS95hYaVXGPolxuwxPKlTy/BbFiscjCsw0RuDqfrFG1hgp6ZqOXMFfOowmLOO&#10;6VacWguhE6xGhYfxZrZ3dYPjIkgV3kONdGzmIQEtGtvH8mNBCaJjpy133SUWnvBI+Tof50djSjie&#10;DQeDwTAfJw5WPF43mNU7AT0q4LBVLbZvgmfzK+djOKx4dIlshnl/IZWKdtOeKRsNZ9sKTTJnseXT&#10;t2XZuVR/9926RMI9EqVJKOnRGAOPVBoiexqhXnqcYyX7kh7uOFkRtXyr6+TimVQbG1GV3oob9dwo&#10;6xfVInViUiUKX0G9RLUtbMYWnxk0OrArSgKObEnd1xmzghJ1qbFiR8PRKM542ozGr3Pc2P2Tav+E&#10;aY5QJfWUbMwzn96FTWKnWNlGJs2fItmGjKOYSrF9NuKs7++T19PjNvkFAAD//wMAUEsDBBQABgAI&#10;AAAAIQA/D4Xm4QAAAAsBAAAPAAAAZHJzL2Rvd25yZXYueG1sTI/NTsMwEITvSLyDtUjcqNMIyA9x&#10;KoTUE0IqLRy4ufE2jhqvg+20gaeve2pvs5rR7DfVYjI9O6DznSUB81kCDKmxqqNWwNdm+ZAD80GS&#10;kr0lFPCHHhb17U0lS2WP9ImHdWhZLCFfSgE6hKHk3DcajfQzOyBFb2edkSGeruXKyWMsNz1Pk+SZ&#10;G9lR/KDlgG8am/16NAL8zi5/3K8dV+Gjof0/Zfp7/i7E/d30+gIs4BQuYTjjR3SoI9PWjqQ86wXk&#10;aR63BAFpVgA7B5KiyIBto8qfHoHXFb/eUJ8AAAD//wMAUEsBAi0AFAAGAAgAAAAhALaDOJL+AAAA&#10;4QEAABMAAAAAAAAAAAAAAAAAAAAAAFtDb250ZW50X1R5cGVzXS54bWxQSwECLQAUAAYACAAAACEA&#10;OP0h/9YAAACUAQAACwAAAAAAAAAAAAAAAAAvAQAAX3JlbHMvLnJlbHNQSwECLQAUAAYACAAAACEA&#10;/3dqN7wCAAAkBQAADgAAAAAAAAAAAAAAAAAuAgAAZHJzL2Uyb0RvYy54bWxQSwECLQAUAAYACAAA&#10;ACEAPw+F5uEAAAALAQAADwAAAAAAAAAAAAAAAAAWBQAAZHJzL2Rvd25yZXYueG1sUEsFBgAAAAAE&#10;AAQA8wAAACQGAAAAAA==&#10;" fillcolor="black" stroked="f">
                <v:fill color2="black" type="pattern"/>
                <v:textbox>
                  <w:txbxContent>
                    <w:p w:rsidR="00A23F4D" w:rsidRPr="00AD4C69" w:rsidRDefault="00A23F4D" w:rsidP="00AD7FBB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Wydatki na żywność i napoje bezalkoholowe oraz użytkowanie mieszkania i nośniki energii stanowiły prawie 42%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Pr="00AD4C69" w:rsidRDefault="00434AAF" w:rsidP="00D972F6">
      <w:pPr>
        <w:spacing w:line="288" w:lineRule="auto"/>
        <w:rPr>
          <w:highlight w:val="black"/>
        </w:rPr>
      </w:pPr>
      <w:r w:rsidRPr="00AD4C69">
        <w:rPr>
          <w:highlight w:val="black"/>
        </w:rPr>
        <w:t xml:space="preserve">W strukturze wydatków dominowały te związane z zakupem towarów i usług konsumpcyjnych kształtując się na poziomie </w:t>
      </w:r>
      <w:r w:rsidR="00272E72" w:rsidRPr="00AD4C69">
        <w:rPr>
          <w:highlight w:val="black"/>
        </w:rPr>
        <w:t>95,0</w:t>
      </w:r>
      <w:r w:rsidRPr="00AD4C69">
        <w:rPr>
          <w:highlight w:val="black"/>
        </w:rPr>
        <w:t xml:space="preserve">% (o </w:t>
      </w:r>
      <w:r w:rsidR="00272E72" w:rsidRPr="00AD4C69">
        <w:rPr>
          <w:highlight w:val="black"/>
        </w:rPr>
        <w:t>1,4</w:t>
      </w:r>
      <w:r w:rsidRPr="00AD4C69">
        <w:rPr>
          <w:highlight w:val="black"/>
        </w:rPr>
        <w:t xml:space="preserve"> p. proc. mniej w stosunku do poprzedniego roku). Najistotniejszą grupę stanowiły wydatki na żywność i napoje bezalkoholowe, na które gospodarstwa domo</w:t>
      </w:r>
      <w:r w:rsidR="00272E72" w:rsidRPr="00AD4C69">
        <w:rPr>
          <w:highlight w:val="black"/>
        </w:rPr>
        <w:t>we przeznaczały przeciętnie 23,6% ogółu wydatków (o 0,4</w:t>
      </w:r>
      <w:r w:rsidRPr="00AD4C69">
        <w:rPr>
          <w:highlight w:val="black"/>
        </w:rPr>
        <w:t xml:space="preserve"> p. proc. mniej niż w</w:t>
      </w:r>
      <w:r w:rsidR="009250F5" w:rsidRPr="00AD4C69">
        <w:rPr>
          <w:highlight w:val="black"/>
        </w:rPr>
        <w:t> </w:t>
      </w:r>
      <w:r w:rsidR="00272E72" w:rsidRPr="00AD4C69">
        <w:rPr>
          <w:highlight w:val="black"/>
        </w:rPr>
        <w:t>2021</w:t>
      </w:r>
      <w:r w:rsidRPr="00AD4C69">
        <w:rPr>
          <w:highlight w:val="black"/>
        </w:rPr>
        <w:t xml:space="preserve"> r.). Znaczącą grupą wydatków były opłaty ponoszone przez gospodarstwa domowe</w:t>
      </w:r>
      <w:r w:rsidR="00011234" w:rsidRPr="00AD4C69">
        <w:rPr>
          <w:highlight w:val="black"/>
        </w:rPr>
        <w:t xml:space="preserve"> z</w:t>
      </w:r>
      <w:r w:rsidR="009250F5" w:rsidRPr="00AD4C69">
        <w:rPr>
          <w:highlight w:val="black"/>
        </w:rPr>
        <w:t> </w:t>
      </w:r>
      <w:r w:rsidR="00011234" w:rsidRPr="00AD4C69">
        <w:rPr>
          <w:highlight w:val="black"/>
        </w:rPr>
        <w:t>tytułu użytkowania mieszkania i za korzys</w:t>
      </w:r>
      <w:r w:rsidR="00272E72" w:rsidRPr="00AD4C69">
        <w:rPr>
          <w:highlight w:val="black"/>
        </w:rPr>
        <w:t>tanie z nośników energii. W 2022</w:t>
      </w:r>
      <w:r w:rsidR="00011234" w:rsidRPr="00AD4C69">
        <w:rPr>
          <w:highlight w:val="black"/>
        </w:rPr>
        <w:t xml:space="preserve"> r. stanowiły one przeciętnie 18,3% ogółu wydatków (</w:t>
      </w:r>
      <w:r w:rsidR="00272E72" w:rsidRPr="00AD4C69">
        <w:rPr>
          <w:highlight w:val="black"/>
        </w:rPr>
        <w:t>tak samo jak w 2021</w:t>
      </w:r>
      <w:r w:rsidR="00011234" w:rsidRPr="00AD4C69">
        <w:rPr>
          <w:highlight w:val="black"/>
        </w:rPr>
        <w:t xml:space="preserve"> r.).</w:t>
      </w:r>
    </w:p>
    <w:p w:rsidR="00011234" w:rsidRPr="00AD4C69" w:rsidRDefault="00011234" w:rsidP="00D972F6">
      <w:pPr>
        <w:spacing w:line="288" w:lineRule="auto"/>
        <w:rPr>
          <w:highlight w:val="black"/>
        </w:rPr>
      </w:pPr>
      <w:r w:rsidRPr="00AD4C69">
        <w:rPr>
          <w:highlight w:val="black"/>
        </w:rPr>
        <w:t xml:space="preserve">Struktura wydatków gospodarstw domowych województwa mazowieckiego nie odbiegała znacząco od struktury tych wydatków w kraju. Największą różnicę odnotowano w wydatkach na żywność i </w:t>
      </w:r>
      <w:r w:rsidR="00C26AE0" w:rsidRPr="00AD4C69">
        <w:rPr>
          <w:highlight w:val="black"/>
        </w:rPr>
        <w:t>napoje bezalkoholowe, których</w:t>
      </w:r>
      <w:r w:rsidR="00B13C2E" w:rsidRPr="00AD4C69">
        <w:rPr>
          <w:highlight w:val="black"/>
        </w:rPr>
        <w:t xml:space="preserve"> udział </w:t>
      </w:r>
      <w:r w:rsidRPr="00AD4C69">
        <w:rPr>
          <w:highlight w:val="black"/>
        </w:rPr>
        <w:t xml:space="preserve">był o </w:t>
      </w:r>
      <w:r w:rsidR="00272E72" w:rsidRPr="00AD4C69">
        <w:rPr>
          <w:highlight w:val="black"/>
        </w:rPr>
        <w:t>3,1</w:t>
      </w:r>
      <w:r w:rsidRPr="00AD4C69">
        <w:rPr>
          <w:highlight w:val="black"/>
        </w:rPr>
        <w:t xml:space="preserve"> p. p</w:t>
      </w:r>
      <w:r w:rsidR="00B13C2E" w:rsidRPr="00AD4C69">
        <w:rPr>
          <w:highlight w:val="black"/>
        </w:rPr>
        <w:t>r</w:t>
      </w:r>
      <w:r w:rsidR="00C26AE0" w:rsidRPr="00AD4C69">
        <w:rPr>
          <w:highlight w:val="black"/>
        </w:rPr>
        <w:t>oc. niższy niż średnio w</w:t>
      </w:r>
      <w:r w:rsidR="00813DA2" w:rsidRPr="00AD4C69">
        <w:rPr>
          <w:highlight w:val="black"/>
        </w:rPr>
        <w:t> </w:t>
      </w:r>
      <w:r w:rsidR="00C26AE0" w:rsidRPr="00AD4C69">
        <w:rPr>
          <w:highlight w:val="black"/>
        </w:rPr>
        <w:t>kraju. Wyższy natomiast od średniej krajowej był m.in. udział wydatków</w:t>
      </w:r>
      <w:r w:rsidR="00B13C2E" w:rsidRPr="00AD4C69">
        <w:rPr>
          <w:highlight w:val="black"/>
        </w:rPr>
        <w:t xml:space="preserve"> na restauracje i</w:t>
      </w:r>
      <w:r w:rsidR="00813DA2" w:rsidRPr="00AD4C69">
        <w:rPr>
          <w:highlight w:val="black"/>
        </w:rPr>
        <w:t> </w:t>
      </w:r>
      <w:r w:rsidR="00B13C2E" w:rsidRPr="00AD4C69">
        <w:rPr>
          <w:highlight w:val="black"/>
        </w:rPr>
        <w:t>hotele</w:t>
      </w:r>
      <w:r w:rsidR="00C26AE0" w:rsidRPr="00AD4C69">
        <w:rPr>
          <w:highlight w:val="black"/>
        </w:rPr>
        <w:t xml:space="preserve"> o 1,8 p. proc.</w:t>
      </w:r>
      <w:r w:rsidR="00B13C2E" w:rsidRPr="00AD4C69">
        <w:rPr>
          <w:highlight w:val="black"/>
        </w:rPr>
        <w:t xml:space="preserve"> oraz na edukację </w:t>
      </w:r>
      <w:r w:rsidR="00C26AE0" w:rsidRPr="00AD4C69">
        <w:rPr>
          <w:highlight w:val="black"/>
        </w:rPr>
        <w:t>o 0,8 p. proc.</w:t>
      </w:r>
    </w:p>
    <w:p w:rsidR="00011234" w:rsidRPr="00AD4C69" w:rsidRDefault="007D5218" w:rsidP="00393E0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AD4C69">
        <w:rPr>
          <w:b/>
          <w:noProof/>
          <w:spacing w:val="-2"/>
          <w:szCs w:val="19"/>
          <w:highlight w:val="black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149225</wp:posOffset>
                </wp:positionV>
                <wp:extent cx="1725295" cy="561975"/>
                <wp:effectExtent l="0" t="0" r="8255" b="9525"/>
                <wp:wrapNone/>
                <wp:docPr id="25" name="Pole tekstowe 25" descr="W 2022 roku zmniej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>W 2022 r. zmniejszyło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2 roku zmniejszyło się spożycie większości produktów żywnościowych" style="position:absolute;margin-left:454.5pt;margin-top:11.75pt;width:135.85pt;height:44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BujwIAANkEAAAOAAAAZHJzL2Uyb0RvYy54bWysVMFuEzEQvSPxD5bvdJNV0zarbqrSUlSp&#10;QKWCOHu93qwbr8fYTrzJsX+B+Ayu3KD/xdibhggOSIg9WLZn/N7Mm5k9Pes7RVbCOgm6pOODESVC&#10;c6ilnpf0w/urFyeUOM90zRRoUdK1cPRs9vzZaTCFyKEFVQtLEES7IpiStt6bIsscb0XH3AEYodHY&#10;gO2Yx6OdZ7VlAdE7leWj0VEWwNbGAhfO4e3lYKSzhN80gvt3TeOEJ6qkGJtPq01rFddsdsqKuWWm&#10;lXwbBvuHKDomNZLuoC6ZZ2Rp5R9QneQWHDT+gEOXQdNILlIOmM149Fs2dy0zIuWC4jizk8n9P1j+&#10;dnVriaxLmk8o0azDGt2CEsSLhfMQBIn3tXAcRftI8lGeEwuLJdl0Wop7t1k/PgBx8sdn4gw8fltz&#10;KUjA48Jt4PELlwSLUy8X/vvXQNAcdLqFsOYtlkN6hYTXyOQ1I1KnQvN7FusSjCswvDuDAfr+JfTY&#10;X0ljZ26ALxzRcNEyPRfn1kJoBatRl3F8me09HXBcBKnCG6iRji09JKC+sV0sGpaBIDr2x3rXE6L3&#10;hEfK43yST1EDjrbJ0Xh6PEkUrHh6bazzrwV0mKnD/rLYcwmdrW6cj9Gw4sklkhnm/ZVUKu6b+YWy&#10;cePsvMItWbHYp+nbsuxcqr/7bl0i4R6J0iSUdDrBQkYqDZE99X0nPQ6fkl1JT3acrIhSvtJ1cvFM&#10;qmGPqEpvtY1yDsL6vupT+xw9layCeo1iWxhmDf8NuGnBbigJOGcldZ+WzApK1LXGgk3Hh4dxMNPh&#10;cHKc48HuW6p9C9McoUrqKRm2Fz4N85DYORa2kUnz2AFDJNuQcX5SKbazHgd0/5y8fv2RZj8BAAD/&#10;/wMAUEsDBBQABgAIAAAAIQAP6xs74AAAAAsBAAAPAAAAZHJzL2Rvd25yZXYueG1sTI/BTsMwEETv&#10;SPyDtUjcqJ0gaJvGqRBSTwgJChx6c+NtHDVeB9tpA1+Pcyq3Wc1o9k25Hm3HTuhD60hCNhPAkGqn&#10;W2okfH5s7hbAQlSkVecIJfxggHV1fVWqQrszveNpGxuWSigUSoKJsS84D7VBq8LM9UjJOzhvVUyn&#10;b7j26pzKbcdzIR65VS2lD0b1+GywPm4HKyEc3Gbnv93wFl9rOv7S3HxlL1Le3oxPK2ARx3gJw4Sf&#10;0KFKTHs3kA6sk7AUy7QlSsjvH4BNgWwh5sD2k8oF8Krk/zdUfwAAAP//AwBQSwECLQAUAAYACAAA&#10;ACEAtoM4kv4AAADhAQAAEwAAAAAAAAAAAAAAAAAAAAAAW0NvbnRlbnRfVHlwZXNdLnhtbFBLAQIt&#10;ABQABgAIAAAAIQA4/SH/1gAAAJQBAAALAAAAAAAAAAAAAAAAAC8BAABfcmVscy8ucmVsc1BLAQIt&#10;ABQABgAIAAAAIQDUM3BujwIAANkEAAAOAAAAAAAAAAAAAAAAAC4CAABkcnMvZTJvRG9jLnhtbFBL&#10;AQItABQABgAIAAAAIQAP6xs74AAAAAsBAAAPAAAAAAAAAAAAAAAAAOkEAABkcnMvZG93bnJldi54&#10;bWxQSwUGAAAAAAQABADzAAAA9gUAAAAA&#10;" fillcolor="black" stroked="f">
                <v:fill color2="black" type="pattern"/>
                <v:textbox>
                  <w:txbxContent>
                    <w:p w:rsidR="00A23F4D" w:rsidRPr="00AD4C69" w:rsidRDefault="00A23F4D" w:rsidP="00861C62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>W 2022 r. zmniejszyło się spożycie większości produktów żywnościowych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1234" w:rsidRPr="00AD4C69">
        <w:rPr>
          <w:rFonts w:ascii="Fira Sans" w:hAnsi="Fira Sans"/>
          <w:b/>
          <w:szCs w:val="19"/>
          <w:highlight w:val="black"/>
        </w:rPr>
        <w:t>Spożycie artykułów żywnościowych</w:t>
      </w:r>
    </w:p>
    <w:p w:rsidR="00164DFB" w:rsidRPr="00AD4C69" w:rsidRDefault="00164DFB" w:rsidP="00164DFB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2022 r. w województwie mazowieckim, w porównaniu z rokiem poprzednim, zmniejszyło się 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spożycie m.in. ryb i owoców morza (o 16,7%), owoców (o 9,4%),</w:t>
      </w:r>
      <w:r w:rsidRPr="00AD4C69">
        <w:rPr>
          <w:spacing w:val="-2"/>
          <w:highlight w:val="black"/>
        </w:rPr>
        <w:t xml:space="preserve"> 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soków owocowych i warzywnych (o 7,4%), serów i twarogów (o 5,3%), jaj (o 5,0%), kawy, herbaty, kakao (o 4,3%). Wzrosło natomiast</w:t>
      </w:r>
      <w:r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spożycie np. mięsa (o 0,7%), w tym wędlin i innych przetworów mięsnych (o 2,9%).</w:t>
      </w:r>
    </w:p>
    <w:p w:rsidR="00C2319F" w:rsidRPr="00AD4C69" w:rsidRDefault="00C2319F" w:rsidP="00B9780A">
      <w:pPr>
        <w:pStyle w:val="Tytutablicy"/>
        <w:numPr>
          <w:ilvl w:val="0"/>
          <w:numId w:val="0"/>
        </w:numPr>
        <w:ind w:left="851" w:hanging="851"/>
        <w:rPr>
          <w:highlight w:val="black"/>
        </w:rPr>
      </w:pPr>
      <w:r w:rsidRPr="00AD4C69">
        <w:rPr>
          <w:highlight w:val="black"/>
        </w:rPr>
        <w:t xml:space="preserve">Tablica 3. Przeciętne miesięczne spożycie niektórych artykułów żywnościowych na 1 osobę </w:t>
      </w:r>
      <w:r w:rsidR="00393E0D">
        <w:rPr>
          <w:highlight w:val="black"/>
        </w:rPr>
        <w:t xml:space="preserve">  </w:t>
      </w:r>
      <w:r w:rsidRPr="00AD4C69">
        <w:rPr>
          <w:highlight w:val="black"/>
        </w:rPr>
        <w:t>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1 i 2022. Dane do tablicy są dostępne w załączonym pliku Excel."/>
      </w:tblPr>
      <w:tblGrid>
        <w:gridCol w:w="4678"/>
        <w:gridCol w:w="1670"/>
        <w:gridCol w:w="1670"/>
      </w:tblGrid>
      <w:tr w:rsidR="00C2319F" w:rsidRPr="00AD4C69" w:rsidTr="00AD4C69">
        <w:trPr>
          <w:trHeight w:val="401"/>
        </w:trPr>
        <w:tc>
          <w:tcPr>
            <w:tcW w:w="4678" w:type="dxa"/>
            <w:tcBorders>
              <w:top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AD4C69" w:rsidRDefault="00EA2274" w:rsidP="00813DA2">
            <w:pPr>
              <w:pStyle w:val="Tablicagwkarodek"/>
              <w:rPr>
                <w:highlight w:val="black"/>
              </w:rPr>
            </w:pPr>
            <w:r w:rsidRPr="00AD4C69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  <w:vAlign w:val="center"/>
          </w:tcPr>
          <w:p w:rsidR="00C2319F" w:rsidRPr="00AD4C69" w:rsidRDefault="00C2319F" w:rsidP="00813DA2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2022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Pieczywo i produkty zbożowe</w:t>
            </w:r>
            <w:r w:rsidRPr="00AD4C69">
              <w:rPr>
                <w:highlight w:val="black"/>
                <w:vertAlign w:val="superscript"/>
              </w:rPr>
              <w:t xml:space="preserve"> a</w:t>
            </w:r>
            <w:r w:rsidRPr="00AD4C69">
              <w:rPr>
                <w:highlight w:val="black"/>
              </w:rPr>
              <w:t xml:space="preserve"> w kg 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4,91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4,85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wcicie1"/>
              <w:rPr>
                <w:highlight w:val="black"/>
                <w:lang w:eastAsia="pl-PL"/>
              </w:rPr>
            </w:pPr>
            <w:r w:rsidRPr="00AD4C69">
              <w:rPr>
                <w:highlight w:val="black"/>
                <w:lang w:eastAsia="pl-PL"/>
              </w:rPr>
              <w:t>w tym pieczywo</w:t>
            </w:r>
            <w:r w:rsidR="000F6C5D" w:rsidRPr="00AD4C69">
              <w:rPr>
                <w:highlight w:val="black"/>
                <w:vertAlign w:val="superscript"/>
                <w:lang w:eastAsia="pl-PL"/>
              </w:rPr>
              <w:t xml:space="preserve"> b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2,47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2,46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Mięso</w:t>
            </w:r>
            <w:r w:rsidRPr="00AD4C69">
              <w:rPr>
                <w:highlight w:val="black"/>
                <w:vertAlign w:val="superscript"/>
              </w:rPr>
              <w:t xml:space="preserve"> c</w:t>
            </w:r>
            <w:r w:rsidRPr="00AD4C69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4,35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4,38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wcicie2"/>
              <w:rPr>
                <w:highlight w:val="black"/>
                <w:lang w:eastAsia="pl-PL"/>
              </w:rPr>
            </w:pPr>
            <w:r w:rsidRPr="00AD4C69">
              <w:rPr>
                <w:highlight w:val="black"/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wcicie1"/>
              <w:rPr>
                <w:highlight w:val="black"/>
                <w:lang w:eastAsia="pl-PL"/>
              </w:rPr>
            </w:pPr>
            <w:r w:rsidRPr="00AD4C69">
              <w:rPr>
                <w:highlight w:val="black"/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2,42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2,40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wcicie1"/>
              <w:rPr>
                <w:highlight w:val="black"/>
              </w:rPr>
            </w:pPr>
            <w:r w:rsidRPr="00AD4C69">
              <w:rPr>
                <w:highlight w:val="black"/>
              </w:rPr>
              <w:t>wędliny i inne przetwory mięsne</w:t>
            </w:r>
            <w:r w:rsidRPr="00AD4C69">
              <w:rPr>
                <w:highlight w:val="black"/>
                <w:vertAlign w:val="superscript"/>
              </w:rPr>
              <w:t xml:space="preserve"> d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1,72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1,77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Ryby i owoce morza</w:t>
            </w:r>
            <w:r w:rsidRPr="00AD4C69">
              <w:rPr>
                <w:highlight w:val="black"/>
                <w:vertAlign w:val="superscript"/>
              </w:rPr>
              <w:t xml:space="preserve"> e</w:t>
            </w:r>
            <w:r w:rsidRPr="00AD4C69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0,30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0,25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Mleko</w:t>
            </w:r>
            <w:r w:rsidRPr="00AD4C69">
              <w:rPr>
                <w:highlight w:val="black"/>
                <w:vertAlign w:val="superscript"/>
              </w:rPr>
              <w:t xml:space="preserve"> f</w:t>
            </w:r>
            <w:r w:rsidRPr="00AD4C69">
              <w:rPr>
                <w:highlight w:val="black"/>
              </w:rPr>
              <w:t xml:space="preserve">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2,64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2,56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Jogurty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0,58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0,58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Sery i twarogi</w:t>
            </w:r>
            <w:r w:rsidRPr="00AD4C69">
              <w:rPr>
                <w:highlight w:val="black"/>
                <w:vertAlign w:val="superscript"/>
              </w:rPr>
              <w:t xml:space="preserve"> g</w:t>
            </w:r>
            <w:r w:rsidRPr="00AD4C69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0,95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0,90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Jaja w szt.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10,26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9,75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Oleje i tłuszcze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0,88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0,87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Owoce</w:t>
            </w:r>
            <w:r w:rsidRPr="00AD4C69">
              <w:rPr>
                <w:highlight w:val="black"/>
                <w:vertAlign w:val="superscript"/>
              </w:rPr>
              <w:t xml:space="preserve"> h</w:t>
            </w:r>
            <w:r w:rsidRPr="00AD4C69">
              <w:rPr>
                <w:highlight w:val="black"/>
              </w:rPr>
              <w:t xml:space="preserve">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4,13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3,74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Warzywa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7,07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6,95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Cukier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0,67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0,66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Kawa, herbata, kakao w kg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0,23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0,22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6,04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5,91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Soki owocowe i warzywne w l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1,21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1,12</w:t>
            </w:r>
          </w:p>
        </w:tc>
      </w:tr>
    </w:tbl>
    <w:p w:rsidR="00C2319F" w:rsidRPr="00AD4C69" w:rsidRDefault="00C2319F" w:rsidP="00C2319F">
      <w:pPr>
        <w:pStyle w:val="Tablicanotka"/>
        <w:rPr>
          <w:spacing w:val="0"/>
          <w:highlight w:val="black"/>
        </w:rPr>
      </w:pPr>
      <w:r w:rsidRPr="00AD4C69">
        <w:rPr>
          <w:spacing w:val="0"/>
          <w:highlight w:val="black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 w:rsidRPr="00AD4C69">
        <w:rPr>
          <w:spacing w:val="0"/>
          <w:highlight w:val="black"/>
        </w:rPr>
        <w:t> </w:t>
      </w:r>
      <w:r w:rsidRPr="00AD4C69">
        <w:rPr>
          <w:spacing w:val="0"/>
          <w:highlight w:val="black"/>
        </w:rPr>
        <w:t>Bez zagęszczonego i w proszku. g Bez serków słodkich. h Łącznie z n</w:t>
      </w:r>
      <w:r w:rsidR="00AC5BE0" w:rsidRPr="00AD4C69">
        <w:rPr>
          <w:spacing w:val="0"/>
          <w:highlight w:val="black"/>
        </w:rPr>
        <w:t xml:space="preserve">asionami i pestkami jadalnymi. </w:t>
      </w:r>
    </w:p>
    <w:p w:rsidR="00164DFB" w:rsidRPr="00AD4C69" w:rsidRDefault="00164DFB" w:rsidP="000112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1D20CC" w:rsidRPr="00AD4C69" w:rsidRDefault="00B13C2E" w:rsidP="00011234">
      <w:pPr>
        <w:spacing w:line="288" w:lineRule="auto"/>
        <w:rPr>
          <w:rFonts w:eastAsia="Times New Roman" w:cs="Times New Roman"/>
          <w:spacing w:val="-2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 województwie mazowieckim odnotowano mniejsze niż 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 kraju </w:t>
      </w:r>
      <w:r w:rsidR="00B444C8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przeciętne spożycie 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na osobę takich artykułów jak:</w:t>
      </w:r>
      <w:r w:rsidR="00456125" w:rsidRPr="00AD4C69">
        <w:rPr>
          <w:spacing w:val="-2"/>
          <w:highlight w:val="black"/>
        </w:rPr>
        <w:t xml:space="preserve">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cukier (o 13,2%), 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oleje i tłuszcze (o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13,0%), kawa, herbata, kakao (o 12,0%), mięso</w:t>
      </w:r>
      <w:r w:rsidR="000219E1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surowe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(o 10,4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%), mleko (o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10,2%</w:t>
      </w:r>
      <w:r w:rsidR="000219E1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)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.</w:t>
      </w:r>
      <w:r w:rsidR="00332221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Większe było natomiast spożycie np.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owoców (o 4,5%),</w:t>
      </w:r>
      <w:r w:rsidR="00456125" w:rsidRPr="00AD4C69">
        <w:rPr>
          <w:spacing w:val="-2"/>
          <w:highlight w:val="black"/>
        </w:rPr>
        <w:t xml:space="preserve">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ryb i owoców morza (o 4,2%), 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soków owocowych i warzywnych (o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3,7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%), wód mineralnych i źródlanych (o </w: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2,2%)</w:t>
      </w:r>
      <w:r w:rsidR="001D20CC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.</w:t>
      </w:r>
    </w:p>
    <w:p w:rsidR="001D20CC" w:rsidRPr="00AD4C69" w:rsidRDefault="001D20CC" w:rsidP="00393E0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AD4C69">
        <w:rPr>
          <w:rFonts w:ascii="Fira Sans" w:hAnsi="Fira Sans"/>
          <w:b/>
          <w:szCs w:val="19"/>
          <w:highlight w:val="black"/>
        </w:rPr>
        <w:lastRenderedPageBreak/>
        <w:t>Wyposażenie w przedmioty trwałego użytkowania</w:t>
      </w:r>
    </w:p>
    <w:p w:rsidR="001D20CC" w:rsidRPr="00AD4C69" w:rsidRDefault="00456125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zCs w:val="19"/>
          <w:highlight w:val="black"/>
          <w:lang w:eastAsia="pl-PL"/>
        </w:rPr>
        <w:t>W 2022</w:t>
      </w:r>
      <w:r w:rsidR="00861C62" w:rsidRPr="00AD4C69">
        <w:rPr>
          <w:rFonts w:eastAsia="Times New Roman" w:cs="Times New Roman"/>
          <w:szCs w:val="19"/>
          <w:highlight w:val="black"/>
          <w:lang w:eastAsia="pl-PL"/>
        </w:rPr>
        <w:t xml:space="preserve"> r., 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prawie 89</w:t>
      </w:r>
      <w:r w:rsidR="00861C62" w:rsidRPr="00AD4C69">
        <w:rPr>
          <w:rFonts w:eastAsia="Times New Roman" w:cs="Times New Roman"/>
          <w:szCs w:val="19"/>
          <w:highlight w:val="black"/>
          <w:lang w:eastAsia="pl-PL"/>
        </w:rPr>
        <w:t>% badanych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gospodarstw domowych, prawie 72</w:t>
      </w:r>
      <w:r w:rsidR="00861C62" w:rsidRPr="00AD4C69">
        <w:rPr>
          <w:rFonts w:eastAsia="Times New Roman" w:cs="Times New Roman"/>
          <w:szCs w:val="19"/>
          <w:highlight w:val="black"/>
          <w:lang w:eastAsia="pl-PL"/>
        </w:rPr>
        <w:t xml:space="preserve">% gospodarstw </w:t>
      </w:r>
      <w:r w:rsidR="000219E1" w:rsidRPr="00AD4C69">
        <w:rPr>
          <w:rFonts w:eastAsia="Times New Roman" w:cs="Times New Roman"/>
          <w:szCs w:val="19"/>
          <w:highlight w:val="black"/>
          <w:lang w:eastAsia="pl-PL"/>
        </w:rPr>
        <w:t>posiadało samochód osobowy, a 67</w:t>
      </w:r>
      <w:r w:rsidR="00861C62" w:rsidRPr="00AD4C69">
        <w:rPr>
          <w:rFonts w:eastAsia="Times New Roman" w:cs="Times New Roman"/>
          <w:szCs w:val="19"/>
          <w:highlight w:val="black"/>
          <w:lang w:eastAsia="pl-PL"/>
        </w:rPr>
        <w:t>% kuchenkę mikrofalową.</w:t>
      </w:r>
    </w:p>
    <w:p w:rsidR="00C2319F" w:rsidRPr="00AD4C69" w:rsidRDefault="00C2319F" w:rsidP="00393E0D">
      <w:pPr>
        <w:pStyle w:val="Tytutablicy"/>
        <w:numPr>
          <w:ilvl w:val="0"/>
          <w:numId w:val="0"/>
        </w:numPr>
        <w:rPr>
          <w:spacing w:val="-2"/>
          <w:highlight w:val="black"/>
        </w:rPr>
      </w:pPr>
      <w:r w:rsidRPr="00AD4C69">
        <w:rPr>
          <w:spacing w:val="-2"/>
          <w:highlight w:val="black"/>
        </w:rPr>
        <w:t>Tablica 4. Gospodarstwa domowe wyposażone w niektóre przedmioty trwałego użytkowania</w:t>
      </w:r>
      <w:r w:rsidRPr="00AD4C69">
        <w:rPr>
          <w:spacing w:val="-2"/>
          <w:highlight w:val="black"/>
          <w:vertAlign w:val="superscript"/>
        </w:rPr>
        <w:t xml:space="preserve"> 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1 i 2022. Dane do tablicy są dostepne w załączonym pliku Excel."/>
      </w:tblPr>
      <w:tblGrid>
        <w:gridCol w:w="4678"/>
        <w:gridCol w:w="1670"/>
        <w:gridCol w:w="1670"/>
      </w:tblGrid>
      <w:tr w:rsidR="00C2319F" w:rsidRPr="00AD4C69" w:rsidTr="00AD4C69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center"/>
            <w:hideMark/>
          </w:tcPr>
          <w:p w:rsidR="00C2319F" w:rsidRPr="00AD4C69" w:rsidRDefault="00EA2274" w:rsidP="00812E03">
            <w:pPr>
              <w:pStyle w:val="Tablicagwkarodek"/>
              <w:rPr>
                <w:caps/>
                <w:highlight w:val="black"/>
              </w:rPr>
            </w:pPr>
            <w:r w:rsidRPr="00AD4C69">
              <w:rPr>
                <w:highlight w:val="black"/>
              </w:rPr>
              <w:t>Wyszczególnienie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gwkarodek"/>
              <w:rPr>
                <w:rFonts w:eastAsia="Fira Sans Light"/>
                <w:highlight w:val="black"/>
              </w:rPr>
            </w:pPr>
            <w:r w:rsidRPr="00AD4C69">
              <w:rPr>
                <w:rFonts w:eastAsia="Fira Sans Light"/>
                <w:highlight w:val="black"/>
              </w:rPr>
              <w:t>2022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vMerge/>
            <w:tcBorders>
              <w:bottom w:val="single" w:sz="8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ED31ED">
            <w:pPr>
              <w:rPr>
                <w:rFonts w:eastAsia="Times New Roman" w:cs="Calibri"/>
                <w:szCs w:val="19"/>
                <w:highlight w:val="black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FFFFFF"/>
              <w:left w:val="single" w:sz="4" w:space="0" w:color="FFFFFF"/>
              <w:bottom w:val="single" w:sz="8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gwkarodek"/>
              <w:rPr>
                <w:highlight w:val="black"/>
              </w:rPr>
            </w:pPr>
            <w:r w:rsidRPr="00AD4C69">
              <w:rPr>
                <w:highlight w:val="black"/>
              </w:rPr>
              <w:t>w % ogółu gospodarstw domowych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Telefon komórkowy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98,6</w:t>
            </w:r>
          </w:p>
        </w:tc>
        <w:tc>
          <w:tcPr>
            <w:tcW w:w="1670" w:type="dxa"/>
            <w:tcBorders>
              <w:top w:val="single" w:sz="8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98,7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Pralka automatyczna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92,8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92,7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Odbiornik telewizyjny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92,2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91,4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Urządzenie z dostępem do Internetu</w:t>
            </w:r>
            <w:r w:rsidRPr="00AD4C69">
              <w:rPr>
                <w:highlight w:val="black"/>
                <w:vertAlign w:val="superscript"/>
              </w:rPr>
              <w:t xml:space="preserve"> b</w:t>
            </w:r>
            <w:r w:rsidRPr="00AD4C69">
              <w:rPr>
                <w:highlight w:val="black"/>
              </w:rPr>
              <w:t xml:space="preserve"> 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86,1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88,7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Smartfon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77,8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83,1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Komputer osobisty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77,9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78,9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Samochód osobowy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center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71,6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71,9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Laptop, tablet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67,2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69,2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Kuchenka mikrofalowa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61,3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66,6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Rower (bez dziecięcego)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60,2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63,6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Urządzenie do odbioru telewizji satelitarnej lub kablowej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55,1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56,6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Zmywarka do naczyń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51,5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52,7</w:t>
            </w:r>
          </w:p>
        </w:tc>
      </w:tr>
      <w:tr w:rsidR="00AD4C69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Sprzęt do odbioru, nagrywania i odtwarzania dźwięku</w:t>
            </w:r>
            <w:r w:rsidRPr="00AD4C69">
              <w:rPr>
                <w:highlight w:val="black"/>
                <w:vertAlign w:val="superscript"/>
              </w:rPr>
              <w:t xml:space="preserve"> c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52,9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51,1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Drukarka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41,0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39,4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Drukarka wielofunkcyjna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26,9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28,5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Kuchenka elektryczna z płytą ceramiczną, indukcyjną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20,3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  <w:shd w:val="clear" w:color="auto" w:fill="000000"/>
            <w:vAlign w:val="bottom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21,2</w:t>
            </w:r>
          </w:p>
        </w:tc>
      </w:tr>
      <w:tr w:rsidR="00C2319F" w:rsidRPr="00AD4C69" w:rsidTr="00AD4C69">
        <w:trPr>
          <w:trHeight w:val="263"/>
        </w:trPr>
        <w:tc>
          <w:tcPr>
            <w:tcW w:w="4678" w:type="dxa"/>
            <w:tcBorders>
              <w:top w:val="single" w:sz="4" w:space="0" w:color="FFFFFF"/>
              <w:right w:val="single" w:sz="4" w:space="0" w:color="FFFFFF"/>
            </w:tcBorders>
            <w:shd w:val="clear" w:color="auto" w:fill="000000"/>
            <w:noWrap/>
            <w:vAlign w:val="bottom"/>
          </w:tcPr>
          <w:p w:rsidR="00C2319F" w:rsidRPr="00AD4C69" w:rsidRDefault="00C2319F" w:rsidP="00812E03">
            <w:pPr>
              <w:pStyle w:val="Tablicaboczek"/>
              <w:rPr>
                <w:highlight w:val="black"/>
              </w:rPr>
            </w:pPr>
            <w:r w:rsidRPr="00AD4C69">
              <w:rPr>
                <w:highlight w:val="black"/>
              </w:rPr>
              <w:t>Telefon stacjonarny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7,8</w:t>
            </w:r>
          </w:p>
        </w:tc>
        <w:tc>
          <w:tcPr>
            <w:tcW w:w="1670" w:type="dxa"/>
            <w:tcBorders>
              <w:top w:val="single" w:sz="4" w:space="0" w:color="FFFFFF"/>
              <w:left w:val="single" w:sz="4" w:space="0" w:color="FFFFFF"/>
            </w:tcBorders>
            <w:shd w:val="clear" w:color="auto" w:fill="000000"/>
          </w:tcPr>
          <w:p w:rsidR="00C2319F" w:rsidRPr="00AD4C69" w:rsidRDefault="00C2319F" w:rsidP="00812E03">
            <w:pPr>
              <w:pStyle w:val="Tablicadanerodek"/>
              <w:rPr>
                <w:highlight w:val="black"/>
              </w:rPr>
            </w:pPr>
            <w:r w:rsidRPr="00AD4C69">
              <w:rPr>
                <w:highlight w:val="black"/>
              </w:rPr>
              <w:t>7,5</w:t>
            </w:r>
          </w:p>
        </w:tc>
      </w:tr>
    </w:tbl>
    <w:p w:rsidR="00C2319F" w:rsidRPr="00AD4C69" w:rsidRDefault="00C2319F" w:rsidP="00C2319F">
      <w:pPr>
        <w:pStyle w:val="Tablicanotka"/>
        <w:rPr>
          <w:spacing w:val="0"/>
          <w:highlight w:val="black"/>
        </w:rPr>
      </w:pPr>
      <w:r w:rsidRPr="00AD4C69">
        <w:rPr>
          <w:spacing w:val="0"/>
          <w:highlight w:val="black"/>
        </w:rPr>
        <w:t>a Opracowano na podstawie stanu w końcu poszczególnych kwartałów. b Obejmuje urządzenia umożliwiające połączenie z Internetem poprzez np. komputer stacjonarny, laptop, telewizor, smartfon. c Obejmuje: radio, radiomagnetofon, radio z odtwarzaczem płyt kompaktowych lub radiomagnetofon z odtwarzaczem płyt kompaktowych, wieżę.</w:t>
      </w:r>
    </w:p>
    <w:p w:rsidR="00C2319F" w:rsidRPr="00AD4C69" w:rsidRDefault="00C2319F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</w:p>
    <w:p w:rsidR="00A46227" w:rsidRPr="00AD4C69" w:rsidRDefault="007D5218" w:rsidP="001D20CC">
      <w:pPr>
        <w:spacing w:line="288" w:lineRule="auto"/>
        <w:rPr>
          <w:rFonts w:eastAsia="Times New Roman" w:cs="Times New Roman"/>
          <w:spacing w:val="-2"/>
          <w:szCs w:val="19"/>
          <w:highlight w:val="black"/>
          <w:lang w:eastAsia="pl-PL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ED4C57C" wp14:editId="43A91BAF">
                <wp:simplePos x="0" y="0"/>
                <wp:positionH relativeFrom="page">
                  <wp:posOffset>5686425</wp:posOffset>
                </wp:positionH>
                <wp:positionV relativeFrom="paragraph">
                  <wp:posOffset>0</wp:posOffset>
                </wp:positionV>
                <wp:extent cx="1725295" cy="885825"/>
                <wp:effectExtent l="0" t="0" r="8255" b="9525"/>
                <wp:wrapTight wrapText="bothSides">
                  <wp:wrapPolygon edited="0">
                    <wp:start x="0" y="0"/>
                    <wp:lineTo x="0" y="21368"/>
                    <wp:lineTo x="21465" y="21368"/>
                    <wp:lineTo x="21465" y="0"/>
                    <wp:lineTo x="0" y="0"/>
                  </wp:wrapPolygon>
                </wp:wrapTight>
                <wp:docPr id="4" name="Pole tekstowe 4" descr="W porównaniu z 2021 r. gospodarstwa domowe były lepiej wyposażone w przedmioty trwałego użytkowania nowej generacji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5218" w:rsidRPr="00AD4C69" w:rsidRDefault="007D5218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bCs w:val="0"/>
                                <w:shd w:val="clear" w:color="auto" w:fill="000000"/>
                              </w:rPr>
                              <w:t>W porównaniu z 2021 r. gospodarstwa domowe były lepiej wyposażone w przedmioty trwał</w:t>
                            </w:r>
                            <w:r w:rsidR="0004539B" w:rsidRPr="00AD4C69">
                              <w:rPr>
                                <w:bCs w:val="0"/>
                                <w:shd w:val="clear" w:color="auto" w:fill="000000"/>
                              </w:rPr>
                              <w:t>ego użytkowania nowej generacji</w:t>
                            </w:r>
                            <w:r w:rsidR="00067FEE" w:rsidRPr="00AD4C69">
                              <w:rPr>
                                <w:bCs w:val="0"/>
                                <w:shd w:val="clear" w:color="auto" w:fill="000000"/>
                                <w:vertAlign w:val="superscript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porównaniu z 2021 r. gospodarstwa domowe były lepiej wyposażone w przedmioty trwałego użytkowania nowej generacji" style="position:absolute;margin-left:447.75pt;margin-top:0;width:135.85pt;height:69.7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N0WpwIAAAAFAAAOAAAAZHJzL2Uyb0RvYy54bWysVE1v2zAMvQ/YfyB0X5wEyZoadYquXYcC&#10;+yjQDTsztuwotUVNUqKkx/6lXXsb8r9GKWkWbIcBw3wQKIt6j3wkdXa+7lpYSesU6UIMen0BUpdU&#10;Kd0U4svn61cTAc6jrrAlLQuxkU6cT1++OAsml0OaU1tJCwyiXR5MIebemzzLXDmXHboeGan5sCbb&#10;oeetbbLKYmD0rs2G/f7rLJCtjKVSOsd/r3aHYprw61qW/lNdO+mhLQTH5tNq0zqLazY9w7yxaOaq&#10;3IeB/xBFh0oz6QHqCj3C0qo/oDpVWnJU+15JXUZ1rUqZcuBsBv3fsrmbo5EpFxbHmYNM7v/Blh9X&#10;txZUVYiRAI0dl+iWWgle3jtPQQL/rqQrWbKvYMj++B40arWEBxj2hwOwPWjIGarQOh8QKurirdlm&#10;+7iBVholFxA2hhxun7gBIICxD7LqFPkNeBtw+ygbguX2aePvKTA0gmaEBTRSS4vlQnHVlG85sBuO&#10;yGsEpVM/lAuM5QvG5ZzFneE8/PoNrbkNUymceU/lvWO4yznqRl5YS2EusWL5BvFmdnR1h+MiyCx8&#10;oIrpcOkpAa1r28XacrWA0bmNNofWkWsPZaQ8GY6Hp2MBJZ9NJuPJcJwoMH++bVigd5I6FsBxG1pu&#10;zYSOq/fOx2gwf3aJZAa9v1ZtG+26uWxtNJxtZmzCCmM7p2/PcnCZ/d137xIJj0haDaEQp2MOPFJp&#10;iuxpPDrleUZb1XFmB07Mo5RvdZVcPKp2ZzNqq/faRjl3wvr1bJ267OS5ZDOqNiy2pd1I8hPCxpzs&#10;g4DA41gI922JVgpobzQX7HQwGsX5TZvR+GTIG3t8Mjs+QV0yVCG8gJ156dPM7xK74MLWKmkeO2AX&#10;yT5kHrNUiv2TEOf4eJ+8fj1c058AAAD//wMAUEsDBBQABgAIAAAAIQBvpRTJ3wAAAAkBAAAPAAAA&#10;ZHJzL2Rvd25yZXYueG1sTI/NTsMwEITvSLyDtUjcqJOi9CeNUyGknhASFDj05sbbOGq8DrHTBp6e&#10;7ancdjSj2W+K9ehaccI+NJ4UpJMEBFLlTUO1gs+PzcMCRIiajG49oYIfDLAub28KnRt/pnc8bWMt&#10;uIRCrhXYGLtcylBZdDpMfIfE3sH3TkeWfS1Nr89c7lo5TZKZdLoh/mB1h88Wq+N2cArCwW92/bcf&#10;3uJrRcdfmtuv9EWp+7vxaQUi4hivYbjgMzqUzLT3A5kgWgWLZZZxVAEvutjpbD4FsefrcZmBLAv5&#10;f0H5BwAA//8DAFBLAQItABQABgAIAAAAIQC2gziS/gAAAOEBAAATAAAAAAAAAAAAAAAAAAAAAABb&#10;Q29udGVudF9UeXBlc10ueG1sUEsBAi0AFAAGAAgAAAAhADj9If/WAAAAlAEAAAsAAAAAAAAAAAAA&#10;AAAALwEAAF9yZWxzLy5yZWxzUEsBAi0AFAAGAAgAAAAhANBI3RanAgAAAAUAAA4AAAAAAAAAAAAA&#10;AAAALgIAAGRycy9lMm9Eb2MueG1sUEsBAi0AFAAGAAgAAAAhAG+lFMnfAAAACQEAAA8AAAAAAAAA&#10;AAAAAAAAAQUAAGRycy9kb3ducmV2LnhtbFBLBQYAAAAABAAEAPMAAAANBgAAAAA=&#10;" fillcolor="black" stroked="f">
                <v:fill color2="black" type="pattern"/>
                <v:textbox>
                  <w:txbxContent>
                    <w:p w:rsidR="007D5218" w:rsidRPr="00AD4C69" w:rsidRDefault="007D5218" w:rsidP="007D5218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bCs w:val="0"/>
                          <w:shd w:val="clear" w:color="auto" w:fill="000000"/>
                        </w:rPr>
                        <w:t>W porównaniu z 2021 r. gospodarstwa domowe były lepiej wyposażone w przedmioty trwał</w:t>
                      </w:r>
                      <w:r w:rsidR="0004539B" w:rsidRPr="00AD4C69">
                        <w:rPr>
                          <w:bCs w:val="0"/>
                          <w:shd w:val="clear" w:color="auto" w:fill="000000"/>
                        </w:rPr>
                        <w:t>ego użytkowania nowej generacji</w:t>
                      </w:r>
                      <w:r w:rsidR="00067FEE" w:rsidRPr="00AD4C69">
                        <w:rPr>
                          <w:bCs w:val="0"/>
                          <w:shd w:val="clear" w:color="auto" w:fill="000000"/>
                          <w:vertAlign w:val="superscript"/>
                        </w:rPr>
                        <w:t>2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45612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W porównaniu z 2021</w:t>
      </w:r>
      <w:r w:rsidR="00A46227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r. 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zwiększył się</w:t>
      </w:r>
      <w:r w:rsidR="00A46227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udział gospodarstw</w:t>
      </w:r>
      <w:r w:rsidR="00617134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domowych wyposażonych np.</w:t>
      </w:r>
      <w:r w:rsidR="00E960EF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9F69E8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w</w:t>
      </w:r>
      <w:r w:rsidR="008C0B80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 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smartfon oraz kuchenkę mikrofalową (po 5,3 p. proc.), rower </w:t>
      </w:r>
      <w:r w:rsidR="00F64DCD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(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bez dziecięcego</w:t>
      </w:r>
      <w:r w:rsidR="00F64DCD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;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o 3,4 p. proc.), urządzenie z dostępem do Internetu (o 2,6 p. proc.), laptop, tablet (o 2,0 p. proc.), drukarkę wielofunkcyjną (o 1,6 p. proc.). </w:t>
      </w:r>
      <w:r w:rsidR="00C3754B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S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padek </w:t>
      </w:r>
      <w:r w:rsidR="00617134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odsetka gospodarstw domowych</w:t>
      </w:r>
      <w:r w:rsidR="00C3754B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wystąpił natomiast w przypadku</w:t>
      </w:r>
      <w:r w:rsidR="00617134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C3754B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wyposażenia</w:t>
      </w:r>
      <w:r w:rsidR="00B444C8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</w:t>
      </w:r>
      <w:r w:rsidR="00617134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np. </w:t>
      </w:r>
      <w:r w:rsidR="00C4107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w sprzęt do odbioru, nagrywania i odtwarzania dźwięku (o 1,8 p. proc.), </w:t>
      </w:r>
      <w:r w:rsidR="00C41079" w:rsidRPr="00AD4C69">
        <w:rPr>
          <w:rFonts w:eastAsia="Times New Roman" w:cs="Times New Roman"/>
          <w:spacing w:val="2"/>
          <w:szCs w:val="19"/>
          <w:highlight w:val="black"/>
          <w:lang w:eastAsia="pl-PL"/>
        </w:rPr>
        <w:t>drukarkę (o 1,6 p. proc.), odbiorni</w:t>
      </w:r>
      <w:r w:rsidR="001C77D2" w:rsidRPr="00AD4C69">
        <w:rPr>
          <w:rFonts w:eastAsia="Times New Roman" w:cs="Times New Roman"/>
          <w:spacing w:val="2"/>
          <w:szCs w:val="19"/>
          <w:highlight w:val="black"/>
          <w:lang w:eastAsia="pl-PL"/>
        </w:rPr>
        <w:t>k telew</w:t>
      </w:r>
      <w:r w:rsidR="00C3754B" w:rsidRPr="00AD4C69">
        <w:rPr>
          <w:rFonts w:eastAsia="Times New Roman" w:cs="Times New Roman"/>
          <w:spacing w:val="2"/>
          <w:szCs w:val="19"/>
          <w:highlight w:val="black"/>
          <w:lang w:eastAsia="pl-PL"/>
        </w:rPr>
        <w:t>izyjny (o 0,8 p. proc.), a także</w:t>
      </w:r>
      <w:r w:rsidR="001C77D2" w:rsidRPr="00AD4C69">
        <w:rPr>
          <w:rFonts w:eastAsia="Times New Roman" w:cs="Times New Roman"/>
          <w:spacing w:val="2"/>
          <w:szCs w:val="19"/>
          <w:highlight w:val="black"/>
          <w:lang w:eastAsia="pl-PL"/>
        </w:rPr>
        <w:t xml:space="preserve"> </w:t>
      </w:r>
      <w:r w:rsidR="00C41079" w:rsidRPr="00AD4C69">
        <w:rPr>
          <w:rFonts w:eastAsia="Times New Roman" w:cs="Times New Roman"/>
          <w:spacing w:val="2"/>
          <w:szCs w:val="19"/>
          <w:highlight w:val="black"/>
          <w:lang w:eastAsia="pl-PL"/>
        </w:rPr>
        <w:t>telefon stacjonarny (o 0,3 p. proc.).</w:t>
      </w:r>
    </w:p>
    <w:p w:rsidR="00D51751" w:rsidRPr="00AD4C69" w:rsidRDefault="00D51751" w:rsidP="001D20CC">
      <w:pPr>
        <w:spacing w:line="288" w:lineRule="auto"/>
        <w:rPr>
          <w:rFonts w:eastAsia="Times New Roman" w:cs="Times New Roman"/>
          <w:spacing w:val="-2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W stosunku do średniej krajo</w:t>
      </w:r>
      <w:r w:rsidR="00443B4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wej, w województwie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odnotowano większy odsetek gospoda</w:t>
      </w:r>
      <w:r w:rsidR="00783C89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rstw domowych wyposażonych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w </w:t>
      </w:r>
      <w:r w:rsidR="007D0913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komputer osobisty (o 2,3 p. proc.), laptop, tablet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(o </w:t>
      </w:r>
      <w:r w:rsidR="007D0913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0,9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p. proc.), </w:t>
      </w:r>
      <w:r w:rsidR="00443B45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rower (bez dziecięcego) oraz</w:t>
      </w:r>
      <w:r w:rsidR="007D0913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urządzenie z dostępem do Internetu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 (</w:t>
      </w:r>
      <w:r w:rsidR="007D0913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p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o </w:t>
      </w:r>
      <w:r w:rsidR="007D0913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0,8 p. proc.)</w:t>
      </w: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.</w:t>
      </w:r>
    </w:p>
    <w:p w:rsidR="00D51751" w:rsidRPr="00AD4C69" w:rsidRDefault="00D05EFA" w:rsidP="001D20CC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 xml:space="preserve">Mniejszy niż średnio w kraju był udział gospodarstw domowych wyposażonych np. w </w:t>
      </w:r>
      <w:r w:rsidR="00B90DEE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sprzęt do odbioru, nagrywania i odtwarzania dźwięku (o 5,7 p. proc.),</w:t>
      </w:r>
      <w:r w:rsidR="00B90DEE" w:rsidRPr="00AD4C69">
        <w:rPr>
          <w:spacing w:val="-2"/>
          <w:highlight w:val="black"/>
        </w:rPr>
        <w:t xml:space="preserve"> </w:t>
      </w:r>
      <w:r w:rsidR="00B90DEE" w:rsidRPr="00AD4C69">
        <w:rPr>
          <w:rFonts w:eastAsia="Times New Roman" w:cs="Times New Roman"/>
          <w:spacing w:val="-2"/>
          <w:szCs w:val="19"/>
          <w:highlight w:val="black"/>
          <w:lang w:eastAsia="pl-PL"/>
        </w:rPr>
        <w:t>odbiornik telewizyjny (o 3,3 p. proc.),</w:t>
      </w:r>
      <w:r w:rsidR="008C0B80" w:rsidRPr="00AD4C69">
        <w:rPr>
          <w:rFonts w:eastAsia="Times New Roman" w:cs="Times New Roman"/>
          <w:szCs w:val="19"/>
          <w:highlight w:val="black"/>
          <w:lang w:eastAsia="pl-PL"/>
        </w:rPr>
        <w:t xml:space="preserve">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urządzenie do odbioru telewizji satelitarnej lub kablowe</w:t>
      </w:r>
      <w:r w:rsidR="000170F2" w:rsidRPr="00AD4C69">
        <w:rPr>
          <w:rFonts w:eastAsia="Times New Roman" w:cs="Times New Roman"/>
          <w:szCs w:val="19"/>
          <w:highlight w:val="black"/>
          <w:lang w:eastAsia="pl-PL"/>
        </w:rPr>
        <w:t xml:space="preserve">j (o </w:t>
      </w:r>
      <w:r w:rsidR="00B90DEE" w:rsidRPr="00AD4C69">
        <w:rPr>
          <w:rFonts w:eastAsia="Times New Roman" w:cs="Times New Roman"/>
          <w:szCs w:val="19"/>
          <w:highlight w:val="black"/>
          <w:lang w:eastAsia="pl-PL"/>
        </w:rPr>
        <w:t>3,2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p. proc.), telefon stacjonarny (o </w:t>
      </w:r>
      <w:r w:rsidR="00B90DEE" w:rsidRPr="00AD4C69">
        <w:rPr>
          <w:rFonts w:eastAsia="Times New Roman" w:cs="Times New Roman"/>
          <w:szCs w:val="19"/>
          <w:highlight w:val="black"/>
          <w:lang w:eastAsia="pl-PL"/>
        </w:rPr>
        <w:t>2,3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p. proc</w:t>
      </w:r>
      <w:r w:rsidR="00B90DEE" w:rsidRPr="00AD4C69">
        <w:rPr>
          <w:rFonts w:eastAsia="Times New Roman" w:cs="Times New Roman"/>
          <w:szCs w:val="19"/>
          <w:highlight w:val="black"/>
          <w:lang w:eastAsia="pl-PL"/>
        </w:rPr>
        <w:t xml:space="preserve">.), kuchenkę mikrofalową 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(o </w:t>
      </w:r>
      <w:r w:rsidR="00B90DEE" w:rsidRPr="00AD4C69">
        <w:rPr>
          <w:rFonts w:eastAsia="Times New Roman" w:cs="Times New Roman"/>
          <w:szCs w:val="19"/>
          <w:highlight w:val="black"/>
          <w:lang w:eastAsia="pl-PL"/>
        </w:rPr>
        <w:t>1,4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p. proc.).</w:t>
      </w:r>
    </w:p>
    <w:p w:rsidR="00DA331D" w:rsidRPr="00AD4C69" w:rsidRDefault="00D05EFA" w:rsidP="00393E0D">
      <w:pPr>
        <w:pStyle w:val="Nagwek1"/>
        <w:numPr>
          <w:ilvl w:val="0"/>
          <w:numId w:val="0"/>
        </w:numPr>
        <w:rPr>
          <w:rFonts w:ascii="Fira Sans" w:hAnsi="Fira Sans"/>
          <w:b/>
          <w:szCs w:val="19"/>
          <w:highlight w:val="black"/>
        </w:rPr>
      </w:pPr>
      <w:r w:rsidRPr="00AD4C69">
        <w:rPr>
          <w:rFonts w:ascii="Fira Sans" w:hAnsi="Fira Sans"/>
          <w:b/>
          <w:szCs w:val="19"/>
          <w:highlight w:val="black"/>
        </w:rPr>
        <w:t>Subiektywna ocena sytuacji materialnej gospodarstw domowych</w:t>
      </w:r>
    </w:p>
    <w:p w:rsidR="00DA331D" w:rsidRPr="00AD4C69" w:rsidRDefault="00D05EFA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Subiektywna ocena sytuacji materialnej gospodarstw domowych w 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porównaniu z 2021 r.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 xml:space="preserve"> u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legła pogorszeniu</w:t>
      </w:r>
      <w:r w:rsidRPr="00AD4C69">
        <w:rPr>
          <w:rFonts w:eastAsia="Times New Roman" w:cs="Times New Roman"/>
          <w:szCs w:val="19"/>
          <w:highlight w:val="black"/>
          <w:lang w:eastAsia="pl-PL"/>
        </w:rPr>
        <w:t>.</w:t>
      </w:r>
    </w:p>
    <w:p w:rsidR="00D05EFA" w:rsidRPr="00AD4C69" w:rsidRDefault="007406A3" w:rsidP="00216634">
      <w:pPr>
        <w:spacing w:line="288" w:lineRule="auto"/>
        <w:rPr>
          <w:rFonts w:eastAsia="Times New Roman" w:cs="Times New Roman"/>
          <w:szCs w:val="19"/>
          <w:highlight w:val="black"/>
          <w:lang w:eastAsia="pl-PL"/>
        </w:rPr>
      </w:pPr>
      <w:r w:rsidRPr="00AD4C69">
        <w:rPr>
          <w:b/>
          <w:noProof/>
          <w:spacing w:val="-2"/>
          <w:szCs w:val="19"/>
          <w:highlight w:val="black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529590</wp:posOffset>
                </wp:positionV>
                <wp:extent cx="1725295" cy="885825"/>
                <wp:effectExtent l="0" t="0" r="8255" b="9525"/>
                <wp:wrapNone/>
                <wp:docPr id="27" name="Pole tekstowe 27" descr="W skali roku odnotowano spadek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pattFill>
                          <a:fgClr>
                            <a:srgbClr val="000000"/>
                          </a:fgClr>
                          <a:bgClr>
                            <a:srgbClr val="000000"/>
                          </a:bgClr>
                        </a:patt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23F4D" w:rsidRPr="00AD4C69" w:rsidRDefault="00A23F4D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  <w:shd w:val="clear" w:color="auto" w:fill="000000"/>
                              </w:rPr>
                            </w:pPr>
                            <w:r w:rsidRPr="00AD4C69">
                              <w:rPr>
                                <w:shd w:val="clear" w:color="auto" w:fill="000000"/>
                              </w:rPr>
                              <w:t xml:space="preserve">W skali roku odnotowano spadek odsetka gospodarstw domowych oceniających swoją sytuację </w:t>
                            </w:r>
                            <w:r w:rsidR="00D756BF" w:rsidRPr="00AD4C69">
                              <w:rPr>
                                <w:shd w:val="clear" w:color="auto" w:fill="000000"/>
                              </w:rPr>
                              <w:t xml:space="preserve">materialną </w:t>
                            </w:r>
                            <w:r w:rsidRPr="00AD4C69">
                              <w:rPr>
                                <w:shd w:val="clear" w:color="auto" w:fill="000000"/>
                              </w:rPr>
                              <w:t>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7E94E" id="Pole tekstowe 27" o:spid="_x0000_s1034" type="#_x0000_t202" alt="Tytuł: Istotna informacja — opis: W skali roku odnotowano spadek odsetka gospodarstw domowych oceniających swoją sytuację materialną jako dobrą albo raczej dobrą" style="position:absolute;margin-left:9.9pt;margin-top:41.7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yVoowIAAA8FAAAOAAAAZHJzL2Uyb0RvYy54bWysVM1u2zAMvg/YOxC6r06CZk2NOkXXrkOB&#10;/RTohp1pWY6VyKInKXHS+x5i79MHGyWnWbAdBgzzwaAk6iP5faQuLretgY1yXpMtxPhkJEBZSZW2&#10;i0J8+Xz7aibAB7QVGrKqEDvlxeX85YuLvsvVhBoylXLAINbnfVeIJoQuzzIvG9WiP6FOWT6sybUY&#10;eOkWWeWwZ/TWZJPR6HXWk6s6R1J5z7s3w6GYJ/y6VjJ8qmuvAphCcG4h/V36l/GfzS8wXzjsGi33&#10;aeA/ZNGithz0AHWDAWHt9B9QrZaOPNXhRFKbUV1rqVINXM149Fs1Dw12KtXC5PjuQJP/f7Dy4+be&#10;ga4KMTkTYLFlje7JKAhq5QP1CuJ+pbxk0r6CX6HR4Gi1BqossQNaAt9hpVa8w0SvEBbkO6rQ+dBD&#10;RS31O9kAK2Q1Lp++y7jyPbEJfhfWKJdPP4DlVU6jsby7xBXxxdKxjaYkcCgf1XK/xSLqYDjNO84v&#10;WARtU3vIJUY1+87nXNRDx2WF7RvaclcmZXz3nuTKg6XrBu1CXTlHfaOwYjbH8WZ2dHXA8RGk7D9Q&#10;xeFwHSgBbWvXRqlZPGB07qrdoZPUNoCMIc8m08n5VIDks9lsOptMUwjMn293TM87RS1EoxCOOzWh&#10;4+a9DzEbzJ9dYrAOQ7jVxkS7XlwbFw3vFiWbsMHY3enbRzm4lH/33bvEgEdBjIW+EOdTTjyGshSj&#10;p2lpNUsFRrdc2SEm5pHKt7ZKLgG1GWxGNXbPbaRzIDZsy21qutmzZCVVOybb0TCh/KKw0ZB7FNDz&#10;dBbCf1ujUwLMnWXBzsenp3Gc0+J0ejbhhTs+KY9P0EqGKkQQMJjXIT0BQ2FXLGytE+exA4ZM9inz&#10;1CUp9i9EHOvjdfL69Y7NfwIAAP//AwBQSwMEFAAGAAgAAAAhAOf1oBveAAAACQEAAA8AAABkcnMv&#10;ZG93bnJldi54bWxMj81OwzAQhO9IvIO1SNyok/DXhDgVQuoJIUGBAzc33sZR43WwnTbw9CwnuM1o&#10;VjPf1qvZDeKAIfaeFOSLDARS601PnYK31/XFEkRMmowePKGCL4ywak5Pal0Zf6QXPGxSJ7iEYqUV&#10;2JTGSsrYWnQ6LvyIxNnOB6cT29BJE/SRy90giyy7kU73xAtWj/hgsd1vJqcg7vz6I3z66Tk9tbT/&#10;plv7nj8qdX4239+BSDinv2P4xWd0aJhp6ycyUQzsSyZPCpaXVyA4L8r8GsSWRVGUIJta/v+g+QEA&#10;AP//AwBQSwECLQAUAAYACAAAACEAtoM4kv4AAADhAQAAEwAAAAAAAAAAAAAAAAAAAAAAW0NvbnRl&#10;bnRfVHlwZXNdLnhtbFBLAQItABQABgAIAAAAIQA4/SH/1gAAAJQBAAALAAAAAAAAAAAAAAAAAC8B&#10;AABfcmVscy8ucmVsc1BLAQItABQABgAIAAAAIQCkhyVoowIAAA8FAAAOAAAAAAAAAAAAAAAAAC4C&#10;AABkcnMvZTJvRG9jLnhtbFBLAQItABQABgAIAAAAIQDn9aAb3gAAAAkBAAAPAAAAAAAAAAAAAAAA&#10;AP0EAABkcnMvZG93bnJldi54bWxQSwUGAAAAAAQABADzAAAACAYAAAAA&#10;" fillcolor="black" stroked="f">
                <v:fill color2="black" type="pattern"/>
                <v:textbox>
                  <w:txbxContent>
                    <w:p w:rsidR="00A23F4D" w:rsidRPr="00AD4C69" w:rsidRDefault="00A23F4D" w:rsidP="00FE3DFF">
                      <w:pPr>
                        <w:pStyle w:val="tekstzboku"/>
                        <w:spacing w:before="0"/>
                        <w:rPr>
                          <w:bCs w:val="0"/>
                          <w:shd w:val="clear" w:color="auto" w:fill="000000"/>
                        </w:rPr>
                      </w:pPr>
                      <w:r w:rsidRPr="00AD4C69">
                        <w:rPr>
                          <w:shd w:val="clear" w:color="auto" w:fill="000000"/>
                        </w:rPr>
                        <w:t xml:space="preserve">W skali roku odnotowano spadek odsetka gospodarstw domowych oceniających swoją sytuację </w:t>
                      </w:r>
                      <w:r w:rsidR="00D756BF" w:rsidRPr="00AD4C69">
                        <w:rPr>
                          <w:shd w:val="clear" w:color="auto" w:fill="000000"/>
                        </w:rPr>
                        <w:t xml:space="preserve">materialną </w:t>
                      </w:r>
                      <w:r w:rsidRPr="00AD4C69">
                        <w:rPr>
                          <w:shd w:val="clear" w:color="auto" w:fill="000000"/>
                        </w:rPr>
                        <w:t>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W 2022</w:t>
      </w:r>
      <w:r w:rsidR="00D05EFA" w:rsidRPr="00AD4C69">
        <w:rPr>
          <w:rFonts w:eastAsia="Times New Roman" w:cs="Times New Roman"/>
          <w:szCs w:val="19"/>
          <w:highlight w:val="black"/>
          <w:lang w:eastAsia="pl-PL"/>
        </w:rPr>
        <w:t xml:space="preserve"> r. sytuację jako dobrą albo raczej dobrą określiło 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56,2</w:t>
      </w:r>
      <w:r w:rsidR="00D05EFA" w:rsidRPr="00AD4C69">
        <w:rPr>
          <w:rFonts w:eastAsia="Times New Roman" w:cs="Times New Roman"/>
          <w:szCs w:val="19"/>
          <w:highlight w:val="black"/>
          <w:lang w:eastAsia="pl-PL"/>
        </w:rPr>
        <w:t xml:space="preserve">% gospodarstw (w Polsce 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49,9%), a 5,0</w:t>
      </w:r>
      <w:r w:rsidR="00D05EFA" w:rsidRPr="00AD4C69">
        <w:rPr>
          <w:rFonts w:eastAsia="Times New Roman" w:cs="Times New Roman"/>
          <w:szCs w:val="19"/>
          <w:highlight w:val="black"/>
          <w:lang w:eastAsia="pl-PL"/>
        </w:rPr>
        <w:t xml:space="preserve">% jako raczej złą albo złą (w kraju 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5,9%</w:t>
      </w:r>
      <w:r w:rsidR="00FE3DFF" w:rsidRPr="00AD4C69">
        <w:rPr>
          <w:rFonts w:eastAsia="Times New Roman" w:cs="Times New Roman"/>
          <w:szCs w:val="19"/>
          <w:highlight w:val="black"/>
          <w:lang w:eastAsia="pl-PL"/>
        </w:rPr>
        <w:t xml:space="preserve">). Jako przeciętną swoją sytuację postrzegało </w:t>
      </w:r>
      <w:r w:rsidR="00C41079" w:rsidRPr="00AD4C69">
        <w:rPr>
          <w:rFonts w:eastAsia="Times New Roman" w:cs="Times New Roman"/>
          <w:szCs w:val="19"/>
          <w:highlight w:val="black"/>
          <w:lang w:eastAsia="pl-PL"/>
        </w:rPr>
        <w:t>38,8</w:t>
      </w:r>
      <w:r w:rsidR="00FE3DFF" w:rsidRPr="00AD4C69">
        <w:rPr>
          <w:rFonts w:eastAsia="Times New Roman" w:cs="Times New Roman"/>
          <w:szCs w:val="19"/>
          <w:highlight w:val="black"/>
          <w:lang w:eastAsia="pl-PL"/>
        </w:rPr>
        <w:t xml:space="preserve">% gospodarstw (dla Polski średnia wynosiła </w:t>
      </w:r>
      <w:r w:rsidR="00A729EF" w:rsidRPr="00AD4C69">
        <w:rPr>
          <w:rFonts w:eastAsia="Times New Roman" w:cs="Times New Roman"/>
          <w:szCs w:val="19"/>
          <w:highlight w:val="black"/>
          <w:lang w:eastAsia="pl-PL"/>
        </w:rPr>
        <w:t>44,2</w:t>
      </w:r>
      <w:r w:rsidR="00FE3DFF" w:rsidRPr="00AD4C69">
        <w:rPr>
          <w:rFonts w:eastAsia="Times New Roman" w:cs="Times New Roman"/>
          <w:szCs w:val="19"/>
          <w:highlight w:val="black"/>
          <w:lang w:eastAsia="pl-PL"/>
        </w:rPr>
        <w:t>%).</w:t>
      </w:r>
    </w:p>
    <w:p w:rsidR="00D977F4" w:rsidRPr="00AD4C69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województwie mazowieckim w skali roku nastąpił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spadek</w:t>
      </w:r>
      <w:r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odsetka gospodarstw domowych oceniających swoją sytuację materialną jako dobrą albo raczej dobrą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1,7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ce</w:t>
      </w:r>
      <w:r w:rsidR="007C0CB0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spadek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3</w:t>
      </w:r>
      <w:r w:rsidR="00C84E5A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,4 p. proc.) oraz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wzrost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odsetka gospodarstw postrzegających ją jako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przeciętną</w:t>
      </w:r>
      <w:r w:rsidR="00C84E5A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wynoszący</w:t>
      </w:r>
      <w:r w:rsidR="00923DC8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1,7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 (w Polsce odnotowano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2,5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proc.). Udział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gospodarstw domowych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określających swoją sytuację jako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raczej złą albo złą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nie zmienił się w stosunku do 2021 r.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(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w kraju wystąpił </w:t>
      </w:r>
      <w:r w:rsidR="000219E1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>wzrost</w:t>
      </w:r>
      <w:r w:rsidR="00A729EF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o 1,0</w:t>
      </w:r>
      <w:r w:rsidR="003B6777" w:rsidRPr="00AD4C69">
        <w:rPr>
          <w:rFonts w:eastAsia="Times New Roman" w:cs="Times New Roman"/>
          <w:spacing w:val="-4"/>
          <w:szCs w:val="19"/>
          <w:highlight w:val="black"/>
          <w:lang w:eastAsia="pl-PL"/>
        </w:rPr>
        <w:t xml:space="preserve"> p. proc.).</w:t>
      </w: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977F4" w:rsidRPr="00AD4C69" w:rsidRDefault="00067FEE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AD4C69">
        <w:rPr>
          <w:rFonts w:eastAsia="Times New Roman" w:cs="Times New Roman"/>
          <w:noProof/>
          <w:spacing w:val="-4"/>
          <w:szCs w:val="19"/>
          <w:highlight w:val="black"/>
          <w:lang w:eastAsia="pl-PL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D8CA8AA" wp14:editId="2C412096">
                <wp:simplePos x="0" y="0"/>
                <wp:positionH relativeFrom="column">
                  <wp:posOffset>-27830</wp:posOffset>
                </wp:positionH>
                <wp:positionV relativeFrom="paragraph">
                  <wp:posOffset>127856</wp:posOffset>
                </wp:positionV>
                <wp:extent cx="1820849" cy="0"/>
                <wp:effectExtent l="0" t="0" r="27305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08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F12C6" id="Łącznik prosty 7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10.05pt" to="141.1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1GvQEAALUDAAAOAAAAZHJzL2Uyb0RvYy54bWysU02P0zAQvSPtf7B83yatEFuipnvYFXtB&#10;UPHxA7zOuLHWXxp7m4QbB/4Z/C/GbptFgBBCXJxM/N6beTOTzfVoDTsARu1dy5eLmjNw0nfa7Vv+&#10;8cOryzVnMQnXCeMdtHyCyK+3F882Q2hg5XtvOkBGIi42Q2h5n1JoqirKHqyICx/A0aXyaEWiEPdV&#10;h2IgdWuqVV2/qAaPXUAvIUb6enu85NuirxTI9FapCImZllNtqZxYzvt8VtuNaPYoQq/lqQzxD1VY&#10;oR0lnaVuRRLsEfUvUlZL9NGrtJDeVl4pLaF4IDfL+ic373sRoHih5sQwtyn+P1n55rBDpruWX3Hm&#10;hKURffv89Yv85PQDo77GNLGr3KUhxIbAN26HpyiGHWbLo0Kbn2SGjaWz09xZGBOT9HG5XtXr5y85&#10;k+e76okYMKY78JbyRRqQ0S6bFo04vI6JkhH0DKEgF3JMXd7SZCCDjXsHiozkZIVdVghuDLKDoOF3&#10;D8tsg7QKMlOUNmYm1X8mnbCZBmWt/pY4o0tG79JMtNp5/F3WNJ5LVUf82fXRa7Z977upDKK0g3aj&#10;ODvtcV6+H+NCf/rbtt8BAAD//wMAUEsDBBQABgAIAAAAIQD7leyU3QAAAAgBAAAPAAAAZHJzL2Rv&#10;d25yZXYueG1sTI/BTsMwEETvSPyDtZW4tU5NVVUhTlVVQogLoinc3XjrhNrrKHbS8PcYcaDH2RnN&#10;vC22k7NsxD60niQsFxkwpNrrloyEj+PzfAMsREVaWU8o4RsDbMv7u0Ll2l/pgGMVDUslFHIloYmx&#10;yzkPdYNOhYXvkJJ39r1TMcnecN2rayp3lossW3OnWkoLjepw32B9qQYnwb7246fZm10YXg7r6uv9&#10;LN6Oo5QPs2n3BCziFP/D8Iuf0KFMTCc/kA7MSpivVikpQWRLYMkXG/EI7PR34GXBbx8ofwAAAP//&#10;AwBQSwECLQAUAAYACAAAACEAtoM4kv4AAADhAQAAEwAAAAAAAAAAAAAAAAAAAAAAW0NvbnRlbnRf&#10;VHlwZXNdLnhtbFBLAQItABQABgAIAAAAIQA4/SH/1gAAAJQBAAALAAAAAAAAAAAAAAAAAC8BAABf&#10;cmVscy8ucmVsc1BLAQItABQABgAIAAAAIQCdKR1GvQEAALUDAAAOAAAAAAAAAAAAAAAAAC4CAABk&#10;cnMvZTJvRG9jLnhtbFBLAQItABQABgAIAAAAIQD7leyU3QAAAAgBAAAPAAAAAAAAAAAAAAAAABc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D977F4" w:rsidRPr="00AD4C69" w:rsidRDefault="00067FEE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  <w:r w:rsidRPr="00AD4C69">
        <w:rPr>
          <w:rStyle w:val="Odwoanieprzypisudolnego"/>
          <w:szCs w:val="19"/>
          <w:highlight w:val="black"/>
        </w:rPr>
        <w:t>2</w:t>
      </w:r>
      <w:r w:rsidRPr="00AD4C69">
        <w:rPr>
          <w:szCs w:val="19"/>
          <w:highlight w:val="black"/>
        </w:rPr>
        <w:t xml:space="preserve"> Kategoria ta obejmuje urządzenia umożliwiające połączenie z Internetem, niezależnie od rodzaju urządzenia i typu połączenia internetowego (np. komputer stacjonarny, laptop, tablet, telewizor, smartfon).</w:t>
      </w:r>
    </w:p>
    <w:p w:rsidR="008C0B80" w:rsidRPr="00AD4C69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8C0B80" w:rsidRPr="00AD4C69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highlight w:val="black"/>
          <w:lang w:eastAsia="pl-PL"/>
        </w:rPr>
      </w:pPr>
    </w:p>
    <w:p w:rsidR="00DA331D" w:rsidRPr="00AD4C69" w:rsidRDefault="00D977F4" w:rsidP="008C0B80">
      <w:pPr>
        <w:pStyle w:val="Tablicanotka"/>
        <w:spacing w:line="288" w:lineRule="auto"/>
        <w:rPr>
          <w:sz w:val="18"/>
          <w:highlight w:val="black"/>
        </w:rPr>
        <w:sectPr w:rsidR="00DA331D" w:rsidRPr="00AD4C69" w:rsidSect="003B18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AD4C69">
        <w:rPr>
          <w:sz w:val="19"/>
          <w:highlight w:val="black"/>
        </w:rPr>
        <w:t>W przypadku cytowania danych Głównego Urzędu Statystycznego prosimy o zamieszczenie informacji: „Źródło danych GUS”, a w przypadku publikowania</w:t>
      </w:r>
      <w:r w:rsidR="008C0B80" w:rsidRPr="00AD4C69">
        <w:rPr>
          <w:sz w:val="19"/>
          <w:highlight w:val="black"/>
        </w:rPr>
        <w:t xml:space="preserve"> obliczeń dokonanych na danych </w:t>
      </w:r>
      <w:r w:rsidRPr="00AD4C69">
        <w:rPr>
          <w:sz w:val="19"/>
          <w:highlight w:val="black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AD4C69" w:rsidTr="00AD4C69">
        <w:trPr>
          <w:trHeight w:val="1626"/>
        </w:trPr>
        <w:tc>
          <w:tcPr>
            <w:tcW w:w="4926" w:type="dxa"/>
            <w:shd w:val="clear" w:color="auto" w:fill="000000"/>
          </w:tcPr>
          <w:p w:rsidR="00DE2400" w:rsidRPr="00AD4C69" w:rsidRDefault="00DE2400" w:rsidP="00DE2400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AD4C69">
              <w:rPr>
                <w:rFonts w:cs="Arial"/>
                <w:sz w:val="20"/>
                <w:highlight w:val="black"/>
              </w:rPr>
              <w:lastRenderedPageBreak/>
              <w:t>Opracowanie merytoryczne:</w:t>
            </w:r>
          </w:p>
          <w:p w:rsidR="00DE2400" w:rsidRPr="00AD4C69" w:rsidRDefault="00D434EE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AD4C69">
              <w:rPr>
                <w:rFonts w:cs="Arial"/>
                <w:b/>
                <w:sz w:val="20"/>
                <w:highlight w:val="black"/>
              </w:rPr>
              <w:t>Urząd Statystyczny w Warszawie</w:t>
            </w:r>
          </w:p>
          <w:p w:rsidR="00DE2400" w:rsidRPr="00AD4C69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highlight w:val="black"/>
                <w:lang w:val="fi-FI"/>
              </w:rPr>
            </w:pPr>
            <w:r w:rsidRPr="00AD4C69">
              <w:rPr>
                <w:b/>
                <w:sz w:val="20"/>
                <w:szCs w:val="20"/>
                <w:highlight w:val="black"/>
                <w:lang w:val="fi-FI"/>
              </w:rPr>
              <w:t>Dyrektor Agnieszka Ajdyn</w:t>
            </w:r>
          </w:p>
          <w:p w:rsidR="00DE2400" w:rsidRPr="00AD4C69" w:rsidRDefault="00D434EE" w:rsidP="00393E0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>Tel.:</w:t>
            </w:r>
            <w:r w:rsidR="00DE2400"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 22</w:t>
            </w:r>
            <w:r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> 464 23 15</w:t>
            </w:r>
          </w:p>
        </w:tc>
        <w:tc>
          <w:tcPr>
            <w:tcW w:w="4927" w:type="dxa"/>
            <w:shd w:val="clear" w:color="auto" w:fill="000000"/>
          </w:tcPr>
          <w:p w:rsidR="003221B9" w:rsidRPr="00AD4C69" w:rsidRDefault="00DE2400" w:rsidP="003221B9">
            <w:pPr>
              <w:spacing w:before="0" w:after="0" w:line="276" w:lineRule="auto"/>
              <w:rPr>
                <w:rFonts w:cs="Arial"/>
                <w:sz w:val="20"/>
                <w:highlight w:val="black"/>
              </w:rPr>
            </w:pPr>
            <w:r w:rsidRPr="00AD4C69">
              <w:rPr>
                <w:rFonts w:cs="Arial"/>
                <w:sz w:val="20"/>
                <w:highlight w:val="black"/>
              </w:rPr>
              <w:t>Rozpowszechnianie:</w:t>
            </w:r>
          </w:p>
          <w:p w:rsidR="00DE2400" w:rsidRPr="00AD4C69" w:rsidRDefault="00426C97" w:rsidP="00DE2400">
            <w:pPr>
              <w:spacing w:before="0" w:line="276" w:lineRule="auto"/>
              <w:rPr>
                <w:rFonts w:cs="Arial"/>
                <w:b/>
                <w:sz w:val="20"/>
                <w:highlight w:val="black"/>
              </w:rPr>
            </w:pPr>
            <w:r w:rsidRPr="00AD4C69">
              <w:rPr>
                <w:rFonts w:cs="Arial"/>
                <w:b/>
                <w:sz w:val="20"/>
                <w:highlight w:val="black"/>
              </w:rPr>
              <w:t>Centrum Informacji Statystycznej</w:t>
            </w:r>
          </w:p>
          <w:p w:rsidR="00DE2400" w:rsidRPr="00AD4C69" w:rsidRDefault="00393E0D" w:rsidP="00393E0D">
            <w:pPr>
              <w:pStyle w:val="Nagwek3"/>
              <w:numPr>
                <w:ilvl w:val="0"/>
                <w:numId w:val="0"/>
              </w:numPr>
              <w:spacing w:before="0" w:line="276" w:lineRule="auto"/>
              <w:outlineLvl w:val="2"/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</w:pPr>
            <w:r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 xml:space="preserve"> </w:t>
            </w:r>
            <w:r w:rsidR="00426C97" w:rsidRPr="00AD4C69">
              <w:rPr>
                <w:rFonts w:ascii="Fira Sans" w:hAnsi="Fira Sans" w:cs="Arial"/>
                <w:b/>
                <w:sz w:val="20"/>
                <w:szCs w:val="28"/>
                <w:highlight w:val="black"/>
              </w:rPr>
              <w:t>Marcin Kałuski</w:t>
            </w:r>
          </w:p>
          <w:p w:rsidR="00DE2400" w:rsidRPr="00AD4C69" w:rsidRDefault="00393E0D" w:rsidP="00393E0D">
            <w:pPr>
              <w:pStyle w:val="Nagwek3"/>
              <w:numPr>
                <w:ilvl w:val="0"/>
                <w:numId w:val="0"/>
              </w:numPr>
              <w:spacing w:before="0" w:after="120" w:line="276" w:lineRule="auto"/>
              <w:outlineLvl w:val="2"/>
              <w:rPr>
                <w:rFonts w:ascii="Fira Sans" w:hAnsi="Fira Sans" w:cs="Arial"/>
                <w:sz w:val="20"/>
                <w:highlight w:val="black"/>
                <w:lang w:val="fi-FI"/>
              </w:rPr>
            </w:pPr>
            <w:r>
              <w:rPr>
                <w:rFonts w:ascii="Fira Sans" w:hAnsi="Fira Sans" w:cs="Arial"/>
                <w:sz w:val="20"/>
                <w:highlight w:val="black"/>
              </w:rPr>
              <w:t xml:space="preserve"> </w:t>
            </w:r>
            <w:r w:rsidR="00DE2400"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>Tel</w:t>
            </w:r>
            <w:r w:rsidR="00426C97"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>.</w:t>
            </w:r>
            <w:r w:rsidR="00DE2400"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 xml:space="preserve">: </w:t>
            </w:r>
            <w:r w:rsidR="00426C97" w:rsidRPr="00AD4C69">
              <w:rPr>
                <w:rFonts w:ascii="Fira Sans" w:hAnsi="Fira Sans" w:cs="Arial"/>
                <w:sz w:val="20"/>
                <w:highlight w:val="black"/>
                <w:lang w:val="fi-FI"/>
              </w:rPr>
              <w:t>22 464 20 91</w:t>
            </w:r>
          </w:p>
          <w:p w:rsidR="00DE2400" w:rsidRPr="00AD4C69" w:rsidRDefault="00DE2400" w:rsidP="008B14EB">
            <w:pPr>
              <w:rPr>
                <w:sz w:val="18"/>
                <w:highlight w:val="black"/>
              </w:rPr>
            </w:pPr>
          </w:p>
        </w:tc>
      </w:tr>
      <w:tr w:rsidR="003E76F6" w:rsidRPr="00AD4C69" w:rsidTr="00AD4C69">
        <w:trPr>
          <w:trHeight w:val="418"/>
        </w:trPr>
        <w:tc>
          <w:tcPr>
            <w:tcW w:w="4926" w:type="dxa"/>
            <w:vMerge w:val="restart"/>
            <w:shd w:val="clear" w:color="auto" w:fill="000000"/>
          </w:tcPr>
          <w:p w:rsidR="003E76F6" w:rsidRPr="00AD4C69" w:rsidRDefault="00E068D4" w:rsidP="003E76F6">
            <w:pPr>
              <w:rPr>
                <w:b/>
                <w:sz w:val="20"/>
                <w:highlight w:val="black"/>
              </w:rPr>
            </w:pPr>
            <w:r w:rsidRPr="00AD4C69">
              <w:rPr>
                <w:b/>
                <w:sz w:val="20"/>
                <w:highlight w:val="black"/>
              </w:rPr>
              <w:t>Obsługa mediów</w:t>
            </w:r>
          </w:p>
          <w:p w:rsidR="003E76F6" w:rsidRPr="00AD4C69" w:rsidRDefault="003E76F6" w:rsidP="00935D17">
            <w:pPr>
              <w:spacing w:before="0" w:after="0"/>
              <w:rPr>
                <w:sz w:val="20"/>
                <w:highlight w:val="black"/>
                <w:lang w:val="en-GB"/>
              </w:rPr>
            </w:pPr>
            <w:r w:rsidRPr="00AD4C69">
              <w:rPr>
                <w:sz w:val="20"/>
                <w:highlight w:val="black"/>
                <w:lang w:val="en-GB"/>
              </w:rPr>
              <w:t>Tel</w:t>
            </w:r>
            <w:r w:rsidR="00E068D4" w:rsidRPr="00AD4C69">
              <w:rPr>
                <w:sz w:val="20"/>
                <w:highlight w:val="black"/>
                <w:lang w:val="en-GB"/>
              </w:rPr>
              <w:t>.</w:t>
            </w:r>
            <w:r w:rsidRPr="00AD4C69">
              <w:rPr>
                <w:sz w:val="20"/>
                <w:highlight w:val="black"/>
                <w:lang w:val="en-GB"/>
              </w:rPr>
              <w:t>: 22</w:t>
            </w:r>
            <w:r w:rsidR="00E068D4" w:rsidRPr="00AD4C69">
              <w:rPr>
                <w:sz w:val="20"/>
                <w:highlight w:val="black"/>
                <w:lang w:val="en-GB"/>
              </w:rPr>
              <w:t> 464 20 91</w:t>
            </w:r>
            <w:r w:rsidRPr="00AD4C69">
              <w:rPr>
                <w:sz w:val="20"/>
                <w:highlight w:val="black"/>
                <w:lang w:val="en-GB"/>
              </w:rPr>
              <w:t xml:space="preserve"> </w:t>
            </w:r>
          </w:p>
          <w:p w:rsidR="003E76F6" w:rsidRPr="00AD4C69" w:rsidRDefault="003E76F6" w:rsidP="00E068D4">
            <w:pPr>
              <w:rPr>
                <w:sz w:val="18"/>
                <w:highlight w:val="black"/>
                <w:lang w:val="en-GB"/>
              </w:rPr>
            </w:pPr>
            <w:r w:rsidRPr="00AD4C69">
              <w:rPr>
                <w:b/>
                <w:sz w:val="20"/>
                <w:highlight w:val="black"/>
                <w:lang w:val="en-GB"/>
              </w:rPr>
              <w:t>e-mail:</w:t>
            </w:r>
            <w:r w:rsidRPr="00AD4C69">
              <w:rPr>
                <w:sz w:val="20"/>
                <w:highlight w:val="black"/>
                <w:lang w:val="en-GB"/>
              </w:rPr>
              <w:t xml:space="preserve"> </w:t>
            </w:r>
            <w:hyperlink r:id="rId15" w:history="1">
              <w:r w:rsidR="00E068D4" w:rsidRPr="00AD4C69">
                <w:rPr>
                  <w:rStyle w:val="Hipercze"/>
                  <w:rFonts w:eastAsiaTheme="majorEastAsia" w:cs="Arial"/>
                  <w:b/>
                  <w:sz w:val="20"/>
                  <w:szCs w:val="20"/>
                  <w:highlight w:val="black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AD4C69" w:rsidRDefault="001D00A6" w:rsidP="003E76F6">
            <w:pPr>
              <w:ind w:firstLine="680"/>
              <w:rPr>
                <w:sz w:val="18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3408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35560</wp:posOffset>
                  </wp:positionV>
                  <wp:extent cx="311150" cy="286385"/>
                  <wp:effectExtent l="0" t="0" r="0" b="0"/>
                  <wp:wrapNone/>
                  <wp:docPr id="19" name="Obraz 19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286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68D4" w:rsidRPr="00AD4C69">
              <w:rPr>
                <w:sz w:val="20"/>
                <w:highlight w:val="black"/>
                <w:lang w:val="en-GB"/>
              </w:rPr>
              <w:t>warszawa.</w:t>
            </w:r>
            <w:r w:rsidR="003E76F6" w:rsidRPr="00AD4C69">
              <w:rPr>
                <w:sz w:val="20"/>
                <w:highlight w:val="black"/>
              </w:rPr>
              <w:t>stat.gov.pl</w:t>
            </w:r>
            <w:r w:rsidR="00DE5BEC" w:rsidRPr="00AD4C69">
              <w:rPr>
                <w:sz w:val="18"/>
                <w:highlight w:val="black"/>
              </w:rPr>
              <w:t xml:space="preserve"> </w:t>
            </w:r>
          </w:p>
        </w:tc>
      </w:tr>
      <w:tr w:rsidR="003E76F6" w:rsidRPr="00AD4C69" w:rsidTr="00AD4C69">
        <w:trPr>
          <w:trHeight w:val="418"/>
        </w:trPr>
        <w:tc>
          <w:tcPr>
            <w:tcW w:w="4926" w:type="dxa"/>
            <w:vMerge/>
            <w:shd w:val="clear" w:color="auto" w:fill="000000"/>
          </w:tcPr>
          <w:p w:rsidR="003E76F6" w:rsidRPr="00AD4C69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  <w:vAlign w:val="center"/>
          </w:tcPr>
          <w:p w:rsidR="003E76F6" w:rsidRPr="00AD4C69" w:rsidRDefault="001D00A6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column">
                    <wp:posOffset>74295</wp:posOffset>
                  </wp:positionH>
                  <wp:positionV relativeFrom="paragraph">
                    <wp:posOffset>31750</wp:posOffset>
                  </wp:positionV>
                  <wp:extent cx="316865" cy="280670"/>
                  <wp:effectExtent l="0" t="0" r="6985" b="5080"/>
                  <wp:wrapNone/>
                  <wp:docPr id="20" name="Obraz 20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6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6F6" w:rsidRPr="00AD4C69">
              <w:rPr>
                <w:sz w:val="20"/>
                <w:highlight w:val="black"/>
              </w:rPr>
              <w:t>@</w:t>
            </w:r>
            <w:r w:rsidR="00E068D4" w:rsidRPr="00AD4C69">
              <w:rPr>
                <w:sz w:val="20"/>
                <w:highlight w:val="black"/>
              </w:rPr>
              <w:t>Warszawa</w:t>
            </w:r>
            <w:r w:rsidR="003E76F6" w:rsidRPr="00AD4C69">
              <w:rPr>
                <w:sz w:val="20"/>
                <w:highlight w:val="black"/>
              </w:rPr>
              <w:t>_STAT</w:t>
            </w:r>
            <w:r w:rsidR="003E76F6" w:rsidRPr="00AD4C69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AD4C69" w:rsidTr="00AD4C69">
        <w:trPr>
          <w:trHeight w:val="476"/>
        </w:trPr>
        <w:tc>
          <w:tcPr>
            <w:tcW w:w="4926" w:type="dxa"/>
            <w:vMerge/>
            <w:shd w:val="clear" w:color="auto" w:fill="000000"/>
          </w:tcPr>
          <w:p w:rsidR="003E76F6" w:rsidRPr="00AD4C69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AD4C69" w:rsidRDefault="001D00A6" w:rsidP="00E068D4">
            <w:pPr>
              <w:ind w:firstLine="680"/>
              <w:rPr>
                <w:sz w:val="18"/>
                <w:highlight w:val="black"/>
              </w:rPr>
            </w:pPr>
            <w:r>
              <w:rPr>
                <w:rStyle w:val="Hipercze"/>
                <w:rFonts w:eastAsiaTheme="majorEastAsia" w:cs="Arial"/>
                <w:b/>
                <w:noProof/>
                <w:sz w:val="20"/>
                <w:szCs w:val="20"/>
                <w:highlight w:val="black"/>
                <w:lang w:eastAsia="pl-PL"/>
              </w:rPr>
              <w:drawing>
                <wp:anchor distT="0" distB="0" distL="114300" distR="114300" simplePos="0" relativeHeight="251795456" behindDoc="0" locked="0" layoutInCell="1" allowOverlap="1">
                  <wp:simplePos x="0" y="0"/>
                  <wp:positionH relativeFrom="column">
                    <wp:posOffset>164465</wp:posOffset>
                  </wp:positionH>
                  <wp:positionV relativeFrom="paragraph">
                    <wp:posOffset>82550</wp:posOffset>
                  </wp:positionV>
                  <wp:extent cx="170815" cy="182880"/>
                  <wp:effectExtent l="0" t="0" r="635" b="7620"/>
                  <wp:wrapNone/>
                  <wp:docPr id="26" name="Obraz 26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76F6" w:rsidRPr="00AD4C69">
              <w:rPr>
                <w:sz w:val="20"/>
                <w:highlight w:val="black"/>
              </w:rPr>
              <w:t>@</w:t>
            </w:r>
            <w:r w:rsidR="00E068D4" w:rsidRPr="00AD4C69">
              <w:rPr>
                <w:sz w:val="20"/>
                <w:highlight w:val="black"/>
              </w:rPr>
              <w:t>UrzadStatystycznywWarszawie</w:t>
            </w:r>
            <w:r w:rsidR="003E76F6" w:rsidRPr="00AD4C69">
              <w:rPr>
                <w:noProof/>
                <w:sz w:val="20"/>
                <w:highlight w:val="black"/>
                <w:lang w:eastAsia="pl-PL"/>
              </w:rPr>
              <w:t xml:space="preserve"> </w:t>
            </w:r>
          </w:p>
        </w:tc>
      </w:tr>
      <w:tr w:rsidR="003E76F6" w:rsidRPr="00AD4C69" w:rsidTr="00AD4C69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AD4C69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AD4C69" w:rsidRDefault="001D00A6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92075</wp:posOffset>
                  </wp:positionV>
                  <wp:extent cx="176530" cy="182880"/>
                  <wp:effectExtent l="0" t="0" r="0" b="7620"/>
                  <wp:wrapNone/>
                  <wp:docPr id="29" name="Obraz 29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82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76F6" w:rsidRPr="00AD4C69">
              <w:rPr>
                <w:sz w:val="20"/>
                <w:highlight w:val="black"/>
              </w:rPr>
              <w:t>gus_stat</w:t>
            </w:r>
          </w:p>
        </w:tc>
      </w:tr>
      <w:tr w:rsidR="003E76F6" w:rsidRPr="00AD4C69" w:rsidTr="00AD4C69">
        <w:trPr>
          <w:trHeight w:val="476"/>
        </w:trPr>
        <w:tc>
          <w:tcPr>
            <w:tcW w:w="4926" w:type="dxa"/>
            <w:shd w:val="clear" w:color="auto" w:fill="000000"/>
          </w:tcPr>
          <w:p w:rsidR="003E76F6" w:rsidRPr="00AD4C69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AD4C69" w:rsidRDefault="001D00A6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7504" behindDoc="0" locked="0" layoutInCell="1" allowOverlap="1">
                  <wp:simplePos x="0" y="0"/>
                  <wp:positionH relativeFrom="column">
                    <wp:posOffset>140970</wp:posOffset>
                  </wp:positionH>
                  <wp:positionV relativeFrom="paragraph">
                    <wp:posOffset>92075</wp:posOffset>
                  </wp:positionV>
                  <wp:extent cx="176530" cy="12192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21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76F6" w:rsidRPr="00AD4C69">
              <w:rPr>
                <w:sz w:val="20"/>
                <w:highlight w:val="black"/>
              </w:rPr>
              <w:t>glownyurzadstatystycznygus</w:t>
            </w:r>
          </w:p>
        </w:tc>
      </w:tr>
      <w:tr w:rsidR="003E76F6" w:rsidRPr="00AD4C69" w:rsidTr="00AD4C69">
        <w:trPr>
          <w:trHeight w:val="953"/>
        </w:trPr>
        <w:tc>
          <w:tcPr>
            <w:tcW w:w="4926" w:type="dxa"/>
            <w:shd w:val="clear" w:color="auto" w:fill="000000"/>
          </w:tcPr>
          <w:p w:rsidR="003E76F6" w:rsidRPr="00AD4C69" w:rsidRDefault="003E76F6" w:rsidP="003E76F6">
            <w:pPr>
              <w:rPr>
                <w:b/>
                <w:sz w:val="20"/>
                <w:highlight w:val="black"/>
              </w:rPr>
            </w:pPr>
          </w:p>
        </w:tc>
        <w:tc>
          <w:tcPr>
            <w:tcW w:w="4927" w:type="dxa"/>
            <w:shd w:val="clear" w:color="auto" w:fill="000000"/>
          </w:tcPr>
          <w:p w:rsidR="003E76F6" w:rsidRPr="00AD4C69" w:rsidRDefault="001D00A6" w:rsidP="003E76F6">
            <w:pPr>
              <w:ind w:firstLine="680"/>
              <w:rPr>
                <w:sz w:val="20"/>
                <w:highlight w:val="black"/>
              </w:rPr>
            </w:pPr>
            <w:r>
              <w:rPr>
                <w:b/>
                <w:noProof/>
                <w:sz w:val="20"/>
                <w:highlight w:val="black"/>
                <w:lang w:eastAsia="pl-PL"/>
              </w:rPr>
              <w:drawing>
                <wp:anchor distT="0" distB="0" distL="114300" distR="114300" simplePos="0" relativeHeight="251798528" behindDoc="0" locked="0" layoutInCell="1" allowOverlap="1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44450</wp:posOffset>
                  </wp:positionV>
                  <wp:extent cx="176530" cy="17653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530" cy="176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3E76F6" w:rsidRPr="00AD4C69">
              <w:rPr>
                <w:noProof/>
                <w:sz w:val="20"/>
                <w:highlight w:val="black"/>
                <w:lang w:eastAsia="pl-PL"/>
              </w:rPr>
              <w:t>glownyurzadstatystyczny</w:t>
            </w:r>
          </w:p>
        </w:tc>
      </w:tr>
      <w:tr w:rsidR="00DE2400" w:rsidRPr="00AD4C69" w:rsidTr="00AD4C69">
        <w:trPr>
          <w:trHeight w:val="4114"/>
        </w:trPr>
        <w:tc>
          <w:tcPr>
            <w:tcW w:w="9853" w:type="dxa"/>
            <w:gridSpan w:val="2"/>
            <w:shd w:val="clear" w:color="auto" w:fill="000000"/>
          </w:tcPr>
          <w:p w:rsidR="00DE2400" w:rsidRPr="00AD4C69" w:rsidRDefault="00704D51" w:rsidP="00E83B4E">
            <w:pPr>
              <w:rPr>
                <w:b/>
                <w:highlight w:val="black"/>
              </w:rPr>
            </w:pPr>
            <w:r w:rsidRPr="00797E76">
              <w:rPr>
                <w:noProof/>
                <w:highlight w:val="black"/>
                <w:lang w:eastAsia="pl-PL"/>
              </w:rPr>
              <w:drawing>
                <wp:anchor distT="0" distB="0" distL="114300" distR="114300" simplePos="0" relativeHeight="251792384" behindDoc="0" locked="0" layoutInCell="1" allowOverlap="1">
                  <wp:simplePos x="0" y="0"/>
                  <wp:positionH relativeFrom="column">
                    <wp:posOffset>4573905</wp:posOffset>
                  </wp:positionH>
                  <wp:positionV relativeFrom="paragraph">
                    <wp:posOffset>67945</wp:posOffset>
                  </wp:positionV>
                  <wp:extent cx="1620000" cy="922379"/>
                  <wp:effectExtent l="0" t="0" r="0" b="0"/>
                  <wp:wrapNone/>
                  <wp:docPr id="18" name="Obraz 18" descr="Link do ankiety oceniającej opracowanie. Ikonka w kształcie kwadratu składającego się z 25 gwiazdek. Jedna gwiazdka – ocena bardzo słaba, pięć gwiazdek – ocena bardzo dobra." title="Oceń opracowa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9223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E2400" w:rsidRPr="00AD4C69">
              <w:rPr>
                <w:b/>
                <w:highlight w:val="black"/>
              </w:rPr>
              <w:t>Powiązane opracowania</w:t>
            </w:r>
          </w:p>
          <w:p w:rsidR="00EB71BF" w:rsidRPr="00AD4C69" w:rsidRDefault="000007B0" w:rsidP="00E83B4E">
            <w:pPr>
              <w:rPr>
                <w:highlight w:val="black"/>
                <w:u w:val="single"/>
              </w:rPr>
            </w:pPr>
            <w:hyperlink r:id="rId23" w:history="1">
              <w:r w:rsidR="005B0B32" w:rsidRPr="00AD4C69">
                <w:rPr>
                  <w:rStyle w:val="Hipercze"/>
                  <w:rFonts w:cstheme="minorBidi"/>
                  <w:highlight w:val="black"/>
                </w:rPr>
                <w:t>Sytuacja gospodarstw domowych w 2022 r. w świetle wyników badania</w:t>
              </w:r>
              <w:r w:rsidR="00385A51" w:rsidRPr="00AD4C69">
                <w:rPr>
                  <w:rStyle w:val="Hipercze"/>
                  <w:rFonts w:cstheme="minorBidi"/>
                  <w:highlight w:val="black"/>
                </w:rPr>
                <w:t xml:space="preserve"> </w:t>
              </w:r>
              <w:r w:rsidR="00F92F0C" w:rsidRPr="00AD4C69">
                <w:rPr>
                  <w:rStyle w:val="Hipercze"/>
                  <w:rFonts w:cstheme="minorBidi"/>
                  <w:highlight w:val="black"/>
                </w:rPr>
                <w:br/>
              </w:r>
              <w:r w:rsidR="005B0B32" w:rsidRPr="00AD4C69">
                <w:rPr>
                  <w:rStyle w:val="Hipercze"/>
                  <w:rFonts w:cstheme="minorBidi"/>
                  <w:highlight w:val="black"/>
                </w:rPr>
                <w:t>budżetów gospodarstw domowych</w:t>
              </w:r>
            </w:hyperlink>
          </w:p>
          <w:p w:rsidR="000556D6" w:rsidRPr="00AD4C69" w:rsidRDefault="00B16871" w:rsidP="00730B01">
            <w:pPr>
              <w:spacing w:before="360"/>
              <w:rPr>
                <w:b/>
                <w:szCs w:val="24"/>
                <w:highlight w:val="black"/>
              </w:rPr>
            </w:pPr>
            <w:r w:rsidRPr="00AD4C69">
              <w:rPr>
                <w:b/>
                <w:szCs w:val="24"/>
                <w:highlight w:val="black"/>
              </w:rPr>
              <w:t>Temat dostępny w bazach danych</w:t>
            </w:r>
          </w:p>
          <w:p w:rsidR="00DE2400" w:rsidRPr="00AD4C69" w:rsidRDefault="000007B0" w:rsidP="008B14EB">
            <w:pPr>
              <w:rPr>
                <w:highlight w:val="black"/>
              </w:rPr>
            </w:pPr>
            <w:hyperlink r:id="rId24" w:tooltip="Link do danych w Banku Danych Lokalnych – Gospodarstwa domowe" w:history="1">
              <w:r w:rsidR="00EA6C20" w:rsidRPr="00AD4C69">
                <w:rPr>
                  <w:rStyle w:val="Hipercze"/>
                  <w:highlight w:val="black"/>
                </w:rPr>
                <w:t xml:space="preserve">Bank Danych Lokalnych – </w:t>
              </w:r>
              <w:r w:rsidR="00892A3D" w:rsidRPr="00AD4C69">
                <w:rPr>
                  <w:rStyle w:val="Hipercze"/>
                  <w:highlight w:val="black"/>
                </w:rPr>
                <w:t xml:space="preserve">Ludność – </w:t>
              </w:r>
              <w:r w:rsidR="00EA6C20" w:rsidRPr="00AD4C69">
                <w:rPr>
                  <w:rStyle w:val="Hipercze"/>
                  <w:highlight w:val="black"/>
                </w:rPr>
                <w:t>Gospodarstwa domowe</w:t>
              </w:r>
            </w:hyperlink>
            <w:r w:rsidR="00EA6C20" w:rsidRPr="00AD4C69">
              <w:rPr>
                <w:rFonts w:cs="Times New Roman"/>
                <w:highlight w:val="black"/>
              </w:rPr>
              <w:t xml:space="preserve"> </w:t>
            </w:r>
            <w:r w:rsidR="00B16871" w:rsidRPr="00AD4C69">
              <w:rPr>
                <w:rFonts w:cs="Times New Roman"/>
                <w:highlight w:val="black"/>
              </w:rPr>
              <w:t xml:space="preserve"> </w:t>
            </w:r>
          </w:p>
          <w:p w:rsidR="00B16871" w:rsidRPr="00AD4C69" w:rsidRDefault="000007B0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5" w:tooltip="Link do danych w Dziedzinowej Bazie Danych – dziedzina Warunki Życia Ludności" w:history="1">
              <w:r w:rsidR="000556D6" w:rsidRPr="00AD4C69">
                <w:rPr>
                  <w:rStyle w:val="Hipercze"/>
                  <w:highlight w:val="black"/>
                </w:rPr>
                <w:t>Badanie BGD – warunki materialne ludności według województw</w:t>
              </w:r>
              <w:r w:rsidR="00B16871" w:rsidRPr="00AD4C69">
                <w:rPr>
                  <w:rStyle w:val="Hipercze"/>
                  <w:highlight w:val="black"/>
                </w:rPr>
                <w:t xml:space="preserve"> </w:t>
              </w:r>
            </w:hyperlink>
            <w:r w:rsidR="00CF18EE" w:rsidRPr="00AD4C69">
              <w:rPr>
                <w:rFonts w:cs="Times New Roman"/>
                <w:highlight w:val="black"/>
              </w:rPr>
              <w:fldChar w:fldCharType="begin"/>
            </w:r>
            <w:r w:rsidR="00CF18EE" w:rsidRPr="00AD4C69">
              <w:rPr>
                <w:rFonts w:cs="Times New Roman"/>
                <w:highlight w:val="black"/>
              </w:rPr>
              <w:instrText xml:space="preserve"> HYPERLINK "https://stat.gov.pl/" \o "Link do danych w bazie..." </w:instrText>
            </w:r>
            <w:r w:rsidR="00CF18EE" w:rsidRPr="00AD4C69">
              <w:rPr>
                <w:rFonts w:cs="Times New Roman"/>
                <w:highlight w:val="black"/>
              </w:rPr>
              <w:fldChar w:fldCharType="separate"/>
            </w:r>
            <w:r w:rsidR="00B16871" w:rsidRPr="00AD4C69">
              <w:rPr>
                <w:rStyle w:val="Hipercze"/>
                <w:highlight w:val="black"/>
              </w:rPr>
              <w:t xml:space="preserve"> </w:t>
            </w:r>
          </w:p>
          <w:p w:rsidR="00B16871" w:rsidRPr="00AD4C69" w:rsidRDefault="00CF18EE" w:rsidP="00E83B4E">
            <w:pPr>
              <w:spacing w:before="360"/>
              <w:rPr>
                <w:b/>
                <w:szCs w:val="24"/>
                <w:highlight w:val="black"/>
              </w:rPr>
            </w:pPr>
            <w:r w:rsidRPr="00AD4C69">
              <w:rPr>
                <w:rFonts w:cs="Times New Roman"/>
                <w:highlight w:val="black"/>
              </w:rPr>
              <w:fldChar w:fldCharType="end"/>
            </w:r>
            <w:r w:rsidR="00B16871" w:rsidRPr="00AD4C69">
              <w:rPr>
                <w:b/>
                <w:szCs w:val="24"/>
                <w:highlight w:val="black"/>
              </w:rPr>
              <w:t>Ważniejsze pojęcia dostępne w słowniku</w:t>
            </w:r>
            <w:bookmarkStart w:id="0" w:name="_GoBack"/>
            <w:bookmarkEnd w:id="0"/>
          </w:p>
          <w:p w:rsidR="00B16871" w:rsidRPr="00AD4C69" w:rsidRDefault="000007B0" w:rsidP="00B16871">
            <w:pPr>
              <w:rPr>
                <w:rStyle w:val="Hipercze"/>
                <w:rFonts w:cstheme="minorBidi"/>
                <w:highlight w:val="black"/>
                <w:u w:val="none"/>
              </w:rPr>
            </w:pPr>
            <w:hyperlink r:id="rId26" w:tooltip="Link do słownika pojęć – Budżet gospodarstwa domowego" w:history="1">
              <w:r w:rsidR="00290974" w:rsidRPr="00AD4C69">
                <w:rPr>
                  <w:rStyle w:val="Hipercze"/>
                  <w:highlight w:val="black"/>
                </w:rPr>
                <w:t>Budżet gospodarstwa domowego</w:t>
              </w:r>
            </w:hyperlink>
            <w:r w:rsidR="00B14A07" w:rsidRPr="00AD4C69">
              <w:rPr>
                <w:rStyle w:val="Hipercze"/>
                <w:highlight w:val="black"/>
              </w:rPr>
              <w:t xml:space="preserve"> </w:t>
            </w:r>
          </w:p>
          <w:p w:rsidR="00B16871" w:rsidRPr="00AD4C69" w:rsidRDefault="000007B0" w:rsidP="00B16871">
            <w:pPr>
              <w:rPr>
                <w:highlight w:val="black"/>
              </w:rPr>
            </w:pPr>
            <w:hyperlink r:id="rId27" w:tooltip="Link do słownika pojęć – Dochód do dyspozycji" w:history="1">
              <w:r w:rsidR="00B14A07" w:rsidRPr="00AD4C69">
                <w:rPr>
                  <w:rStyle w:val="Hipercze"/>
                  <w:highlight w:val="black"/>
                </w:rPr>
                <w:t>Dochód do dyspozycji</w:t>
              </w:r>
            </w:hyperlink>
          </w:p>
          <w:p w:rsidR="00DB1BDB" w:rsidRPr="00AD4C69" w:rsidRDefault="000007B0" w:rsidP="00B16871">
            <w:pPr>
              <w:rPr>
                <w:rFonts w:cs="Times New Roman"/>
                <w:highlight w:val="black"/>
              </w:rPr>
            </w:pPr>
            <w:hyperlink r:id="rId28" w:tooltip="Link do słownika pojęć – Dochód rozporządzalny gospodarstwa domowego" w:history="1">
              <w:r w:rsidR="00B14A07" w:rsidRPr="00AD4C69">
                <w:rPr>
                  <w:rStyle w:val="Hipercze"/>
                  <w:highlight w:val="black"/>
                </w:rPr>
                <w:t>Dochód rozporządzalny gospodarstwa domowego</w:t>
              </w:r>
            </w:hyperlink>
          </w:p>
          <w:p w:rsidR="00DE2400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29" w:tooltip="Link do słownika pojęć – Gospodarstwo domowe" w:history="1">
              <w:r w:rsidR="009B7AAB" w:rsidRPr="00AD4C69">
                <w:rPr>
                  <w:rStyle w:val="Hipercze"/>
                  <w:highlight w:val="black"/>
                </w:rPr>
                <w:t>Gospodarstwo domowe</w:t>
              </w:r>
            </w:hyperlink>
          </w:p>
          <w:p w:rsidR="009B7AAB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30" w:tooltip="Link do słownika pojęć – Spożycie artykułów żywnościowych w gospodarstwie domowym" w:history="1">
              <w:r w:rsidR="009B7AAB" w:rsidRPr="00AD4C69">
                <w:rPr>
                  <w:rStyle w:val="Hipercze"/>
                  <w:highlight w:val="black"/>
                </w:rPr>
                <w:t>Spożycie artykułów żywnościowych w gospodarstwie domowym</w:t>
              </w:r>
            </w:hyperlink>
          </w:p>
          <w:p w:rsidR="003811F4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31" w:tooltip="Link do słownika pojęć – Subiektywna ocena sytuacji materialnej gospodarstw domowych" w:history="1">
              <w:r w:rsidR="003811F4" w:rsidRPr="00AD4C69">
                <w:rPr>
                  <w:rStyle w:val="Hipercze"/>
                  <w:highlight w:val="black"/>
                </w:rPr>
                <w:t>Subiektywna ocena sytuacji materialnej gospodarstw domowych</w:t>
              </w:r>
            </w:hyperlink>
            <w:r w:rsidR="003811F4" w:rsidRPr="00AD4C69">
              <w:rPr>
                <w:rFonts w:cs="Times New Roman"/>
                <w:highlight w:val="black"/>
              </w:rPr>
              <w:t xml:space="preserve"> </w:t>
            </w:r>
          </w:p>
          <w:p w:rsidR="003811F4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32" w:tooltip="Link do słownika pojęć – Wydatki gospodarstwa domowego" w:history="1">
              <w:r w:rsidR="003811F4" w:rsidRPr="00AD4C69">
                <w:rPr>
                  <w:rStyle w:val="Hipercze"/>
                  <w:highlight w:val="black"/>
                </w:rPr>
                <w:t>Wydatki gospodarstwa domowego</w:t>
              </w:r>
            </w:hyperlink>
          </w:p>
          <w:p w:rsidR="00623B24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33" w:tooltip="Link do słownika pojęć –Wydatki na towary i usługi konsumpcyjne" w:history="1">
              <w:r w:rsidR="00623B24" w:rsidRPr="00AD4C69">
                <w:rPr>
                  <w:rStyle w:val="Hipercze"/>
                  <w:highlight w:val="black"/>
                </w:rPr>
                <w:t>Wydatki na towary i usługi konsumpcyjne</w:t>
              </w:r>
            </w:hyperlink>
          </w:p>
          <w:p w:rsidR="00623B24" w:rsidRPr="00AD4C69" w:rsidRDefault="000007B0" w:rsidP="008B14EB">
            <w:pPr>
              <w:rPr>
                <w:rFonts w:cs="Times New Roman"/>
                <w:highlight w:val="black"/>
              </w:rPr>
            </w:pPr>
            <w:hyperlink r:id="rId34" w:tooltip="Link do słownika pojęć –Wyposażenie gospodarstw domowych" w:history="1">
              <w:r w:rsidR="00623B24" w:rsidRPr="00AD4C69">
                <w:rPr>
                  <w:rStyle w:val="Hipercze"/>
                  <w:highlight w:val="black"/>
                </w:rPr>
                <w:t>Wyposażenie gospodarstw domowych</w:t>
              </w:r>
            </w:hyperlink>
          </w:p>
          <w:p w:rsidR="00DE2400" w:rsidRPr="00AD4C69" w:rsidRDefault="00DE2400" w:rsidP="008B14EB">
            <w:pPr>
              <w:rPr>
                <w:rStyle w:val="Hipercze"/>
                <w:highlight w:val="black"/>
              </w:rPr>
            </w:pPr>
          </w:p>
          <w:p w:rsidR="00036F1C" w:rsidRPr="00AD4C69" w:rsidRDefault="00036F1C" w:rsidP="008B14EB">
            <w:pPr>
              <w:rPr>
                <w:b/>
                <w:szCs w:val="24"/>
                <w:highlight w:val="black"/>
              </w:rPr>
            </w:pPr>
          </w:p>
          <w:p w:rsidR="00DE2400" w:rsidRPr="00AD4C69" w:rsidRDefault="00DE2400" w:rsidP="008B14EB">
            <w:pPr>
              <w:rPr>
                <w:b/>
                <w:szCs w:val="24"/>
                <w:highlight w:val="black"/>
              </w:rPr>
            </w:pPr>
          </w:p>
        </w:tc>
      </w:tr>
    </w:tbl>
    <w:p w:rsidR="000470AA" w:rsidRPr="00AD4C69" w:rsidRDefault="000470AA" w:rsidP="000470AA">
      <w:pPr>
        <w:rPr>
          <w:sz w:val="18"/>
          <w:highlight w:val="black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AD4C69" w:rsidTr="00AD4C69">
        <w:trPr>
          <w:trHeight w:val="1912"/>
        </w:trPr>
        <w:tc>
          <w:tcPr>
            <w:tcW w:w="4379" w:type="dxa"/>
            <w:shd w:val="clear" w:color="auto" w:fill="000000"/>
          </w:tcPr>
          <w:p w:rsidR="000470AA" w:rsidRPr="00AD4C69" w:rsidRDefault="000470AA" w:rsidP="00393E0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/>
                <w:highlight w:val="black"/>
                <w:lang w:val="fi-FI"/>
              </w:rPr>
            </w:pPr>
          </w:p>
        </w:tc>
        <w:tc>
          <w:tcPr>
            <w:tcW w:w="3942" w:type="dxa"/>
            <w:shd w:val="clear" w:color="auto" w:fill="000000"/>
          </w:tcPr>
          <w:p w:rsidR="000470AA" w:rsidRPr="00AD4C69" w:rsidRDefault="000470AA" w:rsidP="00393E0D">
            <w:pPr>
              <w:pStyle w:val="Nagwek3"/>
              <w:numPr>
                <w:ilvl w:val="0"/>
                <w:numId w:val="0"/>
              </w:numPr>
              <w:spacing w:before="0" w:line="240" w:lineRule="auto"/>
              <w:ind w:left="720"/>
              <w:rPr>
                <w:rFonts w:ascii="Fira Sans" w:hAnsi="Fira Sans" w:cs="Arial"/>
                <w:sz w:val="20"/>
                <w:szCs w:val="20"/>
                <w:highlight w:val="black"/>
              </w:rPr>
            </w:pPr>
          </w:p>
        </w:tc>
      </w:tr>
    </w:tbl>
    <w:p w:rsidR="00D261A2" w:rsidRPr="00AD4C69" w:rsidRDefault="00D261A2" w:rsidP="00DE5BEC">
      <w:pPr>
        <w:rPr>
          <w:sz w:val="18"/>
          <w:highlight w:val="black"/>
        </w:rPr>
      </w:pPr>
    </w:p>
    <w:sectPr w:rsidR="00D261A2" w:rsidRPr="00AD4C69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7B0" w:rsidRDefault="000007B0" w:rsidP="000662E2">
      <w:pPr>
        <w:spacing w:after="0" w:line="240" w:lineRule="auto"/>
      </w:pPr>
      <w:r>
        <w:separator/>
      </w:r>
    </w:p>
  </w:endnote>
  <w:endnote w:type="continuationSeparator" w:id="0">
    <w:p w:rsidR="000007B0" w:rsidRDefault="000007B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4739C1C9-8F0C-42A0-984D-CFA669D13A5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620C062D-3186-4745-9328-D42822314A5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668BF645-1CBC-405C-A232-39D6C6A9D347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4" w:fontKey="{DC11C8A6-C1F1-4ACD-ADAD-C0193D50D4E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B4E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B4E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23F4D" w:rsidRDefault="00A23F4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3B4E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7B0" w:rsidRDefault="000007B0" w:rsidP="000662E2">
      <w:pPr>
        <w:spacing w:after="0" w:line="240" w:lineRule="auto"/>
      </w:pPr>
      <w:r>
        <w:separator/>
      </w:r>
    </w:p>
  </w:footnote>
  <w:footnote w:type="continuationSeparator" w:id="0">
    <w:p w:rsidR="000007B0" w:rsidRDefault="000007B0" w:rsidP="000662E2">
      <w:pPr>
        <w:spacing w:after="0" w:line="240" w:lineRule="auto"/>
      </w:pPr>
      <w:r>
        <w:continuationSeparator/>
      </w:r>
    </w:p>
  </w:footnote>
  <w:footnote w:id="1">
    <w:p w:rsidR="00A23F4D" w:rsidRPr="00027A0D" w:rsidRDefault="00A23F4D">
      <w:pPr>
        <w:pStyle w:val="Tekstprzypisudolnego"/>
        <w:rPr>
          <w:sz w:val="19"/>
        </w:rPr>
      </w:pPr>
      <w:r>
        <w:rPr>
          <w:rStyle w:val="Odwoanieprzypisudolnego"/>
        </w:rPr>
        <w:footnoteRef/>
      </w:r>
      <w:r>
        <w:t xml:space="preserve"> </w:t>
      </w:r>
      <w:r w:rsidRPr="00027A0D">
        <w:rPr>
          <w:sz w:val="19"/>
        </w:rPr>
        <w:t xml:space="preserve">Prezentowane w opracowaniu dane za lata </w:t>
      </w:r>
      <w:r w:rsidRPr="0006624C">
        <w:rPr>
          <w:sz w:val="19"/>
        </w:rPr>
        <w:t>2021</w:t>
      </w:r>
      <w:r w:rsidR="000202D2" w:rsidRPr="0006624C">
        <w:rPr>
          <w:sz w:val="19"/>
        </w:rPr>
        <w:t xml:space="preserve"> i </w:t>
      </w:r>
      <w:r w:rsidRPr="0006624C">
        <w:rPr>
          <w:sz w:val="19"/>
        </w:rPr>
        <w:t>2022</w:t>
      </w:r>
      <w:r w:rsidRPr="00027A0D">
        <w:rPr>
          <w:sz w:val="19"/>
        </w:rPr>
        <w:t xml:space="preserve"> zostały uogólnione w oparciu </w:t>
      </w:r>
      <w:r w:rsidRPr="0006624C">
        <w:rPr>
          <w:sz w:val="19"/>
        </w:rPr>
        <w:t>o</w:t>
      </w:r>
      <w:r w:rsidR="00C925B9">
        <w:rPr>
          <w:sz w:val="19"/>
        </w:rPr>
        <w:t> </w:t>
      </w:r>
      <w:r w:rsidRPr="00027A0D">
        <w:rPr>
          <w:sz w:val="19"/>
        </w:rPr>
        <w:t>wstępne wyniki Narodowego Spisu Powszechnego Ludności i Mieszkań 2021 i nie są wprost porównywalne z danymi za lata wcześniejsze, które zostały uogólnione w oparciu o wyniki Narodowego Spisu Powszechnego Ludności i Mieszkań 2011. W związku z uaktualnionym uogólnieniem wyniki za 2021 r. różnią się od wcześniej publikowanych.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D4C69" w:rsidRPr="00AD4C69" w:rsidRDefault="00AD4C69" w:rsidP="00AD4C6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A88A26" id="Prostokąt 12" o:spid="_x0000_s1035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+hTpQIAAJwFAAAOAAAAZHJzL2Uyb0RvYy54bWysVM1u2zAMvg/YOwi6r3ayZk2DOkXQosOA&#10;og2WDj0rspwYk0VNUuJk973ZHmykZLtdV+wwLAdHFD9+/BHJi8tDo9leOV+DKfjoJOdMGQllbTYF&#10;//Jw827KmQ/ClEKDUQU/Ks8v52/fXLR2psawBV0qx5DE+FlrC74Nwc6yzMutaoQ/AasMKitwjQgo&#10;uk1WOtEie6OzcZ5/yFpwpXUglfd4e52UfB75q0rJcF9VXgWmC46xhfh18bumbza/ELONE3Zbyy4M&#10;8Q9RNKI26HSguhZBsJ2r/6BqaunAQxVOJDQZVFUtVcwBsxnlL7JZbYVVMRcsjrdDmfz/o5V3+6Vj&#10;dYlvN+bMiAbfaIkRBvj680dgeIkVaq2fIXBll66TPB4p3UPlGvrHRNghVvU4VFUdApN4OZqejc6n&#10;WHyJuvH4PJ/k0wnRZk/21vnwUUHD6FBwh+8Wyyn2tz4kaA8hdx50Xd7UWkfBbdZX2rG9oDeOv479&#10;N5g2BDZAZomRbjLKLWUTT+GoFeG0+awqrAvGP46RxI5Ugx8hpTJhlFRbUarkfkLue+/Uw2QRM42E&#10;xFyh/4G7I+iRiaTnTlF2eDJVsaEH4/xvgSXjwSJ6BhMG46Y24F4j0JhV5znh+yKl0lCVwmF9iD3z&#10;npB0s4byiH3kIA2Yt/Kmxpe8FT4shcOJwufHLRHu8VNpaAsO3YmzLbjvr90THhsdtZy1OKEF9992&#10;winO9CeDI3A+Oj2lkY7C6eRsjIJ7rlk/15hdcwXYICPcR1bGI+GD7o+Vg+YRl8mCvKJKGIm+Cy6D&#10;64WrkDYHriOpFosIwzG2ItyalZVETnWmTn04PApnu3YOOAp30E+zmL3o6oQlSwOLXYCqji3/VNfu&#10;BXAFxFbq1hXtmOdyRD0t1fkvAAAA//8DAFBLAwQUAAYACAAAACEAvVT1M+AAAAAOAQAADwAAAGRy&#10;cy9kb3ducmV2LnhtbEyPQW6DMBAA75X6B2sr9VIlxhYhhGKiKGoeEBL1bPAWULGNbIfQ39c5tcfV&#10;jmZny/2iRzKj84M1Atg6AYKmtWownYDr5bTKgfggjZKjNSjgBz3sq+enUhbK3s0Z5zp0JEqML6SA&#10;PoSpoNS3PWrp13ZCE3df1mkZ4ug6qpy8R7keKU+SjGo5mHihlxMee2y/65uOluvusKEfecPSt+Nn&#10;7mZWn5OTEK8vy+EdSMAl/MHwyI/pUMWmxt6M8mQUkHOeRlTAKks3WyAPhLEtB9II4LuMpUCrkv5/&#10;o/oFAAD//wMAUEsBAi0AFAAGAAgAAAAhALaDOJL+AAAA4QEAABMAAAAAAAAAAAAAAAAAAAAAAFtD&#10;b250ZW50X1R5cGVzXS54bWxQSwECLQAUAAYACAAAACEAOP0h/9YAAACUAQAACwAAAAAAAAAAAAAA&#10;AAAvAQAAX3JlbHMvLnJlbHNQSwECLQAUAAYACAAAACEAaHvoU6UCAACcBQAADgAAAAAAAAAAAAAA&#10;AAAuAgAAZHJzL2Uyb0RvYy54bWxQSwECLQAUAAYACAAAACEAvVT1M+AAAAAOAQAADwAAAAAAAAAA&#10;AAAAAAD/BAAAZHJzL2Rvd25yZXYueG1sUEsFBgAAAAAEAAQA8wAAAAwGAAAAAA==&#10;" fillcolor="black" stroked="f" strokeweight="1pt">
              <v:textbox>
                <w:txbxContent>
                  <w:p w:rsidR="00AD4C69" w:rsidRPr="00AD4C69" w:rsidRDefault="00AD4C69" w:rsidP="00AD4C69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:rsidR="00A23F4D" w:rsidRDefault="00A23F4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23F4D" w:rsidRPr="00AD4C69" w:rsidRDefault="00A23F4D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AD4C69"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6" alt="Tytuł: Seria publikacji — opis: 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U+ecgYAAFgsAAAOAAAAZHJzL2Uyb0RvYy54bWzsWl1v2zYUfR+w/0DoYQ8DVuvDsi2vTpG1&#10;6FagaIulQ7tHWqZitRKpknTs9G/tba/D/tcuScmhkk6Uo2RIMQeFS5m89/Dee3QpyOfxk11ZoAvC&#10;Rc7owgse+R4iNGWrnJ4vvN/ePv9h5iEhMV3hglGy8C6J8J6cfPvN4201JyFbs2JFOAInVMy31cJb&#10;S1nNRyORrkmJxSNWEQqTGeMllnDJz0crjrfgvSxGoe9PRlvGVxVnKRECvn1mJr0T7T/LSCpfZ5kg&#10;EhULD/Ym9SfXn0v1OTp5jOfnHFfrPK23gW+xixLnFED3rp5hidGG5zdclXnKmWCZfJSycsSyLE+J&#10;jgGiCfxr0ZytcUV0LJAcUe3TJO7Obfrq4g1H+WrhJR6iuIQSnencS7Qs2Ee2vZwjVv31x99/0pzA&#10;PzTx0IqIFFL4Cle5QN992jD54wuqS5R+wEhcnlNcUGwmIOW5LJRXwnOMqs2yyD/i9EOuMr+txBw2&#10;cFa94fWVgKFK4y7jJcqKvPoFSKUTC6lCO123y33dyE6iFL4M/YkfT2MPpTAXwciPlfuR8aP8pRsh&#10;fyasVGN88VJIU/cVjHTVVnXsKaNU5JK8B65kZQFU+H6EfLRFkyAMxg1drq/+vb163b36fWD5jmDr&#10;UzeAbeIjF0BoAZiNOyOwTeo9uVAiC6VnGLZJvTEXythCcefJXt0TAGhzQKXbq12bb/Nii4IkSkJ/&#10;VnedO6RRMImiIJpBmR0QtydS7dgNMZBKvUMZSKYgCqf+pEfK7oBTjqIcSeXk7VdCKtWhHMV+yHQK&#10;YPtREESTcdSnRwV+EAXO08huOeHMn8bTyA1jGx124NX7d0MMpFTvUIb2qWA6HkexO56BxOpRe7tP&#10;9av99QPwAHK5q25zpHc1bCM3RIsj5sZwF6JlZJ7vXA8KNkd6h2Ib9XzYsTkS/EfEUj3RUXebWO6i&#10;HEn1cEnVo9g2B3vSts2P+6ZT4odxmPQ5AN1ctdtNFCeTcZyo26EbwjZyQ7TajXHshmgZHU6n3qEM&#10;7FHTGfxN3OHcBae6a9KmoKuf32hR3c7by13ObXr0LoRt9P/mlG5R3fV4yHSKx5Mk0A9r3TEcOQWv&#10;7nrfHgP71P1zqm/Zb9+nQnghEqpWG0HXTe7lXec0nIU6Vd0QA3qVceyOYuj55/cM5S541Z2sgb2q&#10;Z9VvTytT7zieBPfw3jPyx0k8Vi/xoqgTYgiltGM3xGBK9QxlIKWCJJ7q46M7YQNp1aPqR0o5WfuV&#10;UKpHsR88nWL4NeBeOlQY+onpUN0QAzqUcaw6VDfEUDr1DWVoh5rCT62aU93h3AWnuhEGtqhu5wMe&#10;0PsW4sip5jf8MJiZd+jdNTlSytVDjpRqKPXAOxSoX84bfQteN5KXdEdrzQuMEFYqLV/rayomlL7G&#10;FsCAmKa5BIWLEdSAldbTdBsDSWzj4CBjOKVs4/AgYzh6bGP9MyZkot+24e63jccHIcNZYRs3CiSN&#10;bHZQJ56DKE3J0QotR5MeAi0V9xDI0ZYKEM8rLFW9miHaKlGTeTxB64Vn3pnropXsgrxleqG8po4C&#10;yKvZgtqrInN86P02dW1WpJtlnv5EPrfWR7MkmYHwC+KrXwtUGm6/K5gIoqkf6VpBADdmjT6oyWcL&#10;44uITbjgeDyNg0YyUzu29lMnw+TNwFrRXc2qCrRgm4CNSziLAaq1vFnQ/G8vvJG1gglibhBVPC09&#10;21dRQ1/JzwQr8tXzvChU2QQ/Xz4tOLrASp+o/+oktZYV+qajTJkZGPXNSOnnjGJOj+RlQZTTgv5K&#10;MtD0KWWcpolWU5I9Dk5TQqWR1Yk1XhEDHyv4Bl1pAJWFDkU7VJ4zwN/7rh00K42TxrfZZb1emRIt&#10;xtwbm6bzLxszxnsLjcyo3BuXOWX8S5EVEFWNbNY3STKpUVmSu+VO6x31SvXNkq0uQQPJmRGHiip9&#10;nnMhX2Ih32AOEkAgByhc5Wv4yAoGdyPcdXrkoTXjn7/0vVoPIk2Y9dAW1KULT3zaYE48VLygIN9M&#10;gjGoCZHUF+N4GsIFt2eW9gzdlE8ZEATaKuxOD9V6WTTDjLPyHQhhTxUqTGGaAja0bwmNxVw8lXAN&#10;U6DTTMnpqR6DBBVY+pKeVWkjs6wg8re7d5hXSA0XngSR5SvWKFGv1JPA6qu1qkKUnW4ky3IlrdTM&#10;NHmtL0C+qqlUS22VPta+1quuBMEn/wAAAP//AwBQSwMEFAAGAAgAAAAhAJfvIuDiAAAACgEAAA8A&#10;AABkcnMvZG93bnJldi54bWxMj0tLxDAUhfeC/yFcwY046QOmY+3tIIq6GBCsL9ylTWyryU1pMm3n&#10;35tZ6fJyPs75brFdjGaTGl1vCSFeRcAUNVb21CK8vtxfboA5L0gKbUkhHJSDbXl6Uohc2pme1VT5&#10;loUScrlA6Lwfcs5d0ykj3MoOikL2ZUcjfDjHlstRzKHcaJ5E0Zob0VNY6MSgbjvV/FR7g2APy93n&#10;lNS7eff9ph8fkqfq4/0C8fxsubkG5tXi/2A46gd1KINTbfckHdMI2VWaBBQhjVNgRyCOswxYjbDJ&#10;1sDLgv9/ofwFAAD//wMAUEsBAi0AFAAGAAgAAAAhALaDOJL+AAAA4QEAABMAAAAAAAAAAAAAAAAA&#10;AAAAAFtDb250ZW50X1R5cGVzXS54bWxQSwECLQAUAAYACAAAACEAOP0h/9YAAACUAQAACwAAAAAA&#10;AAAAAAAAAAAvAQAAX3JlbHMvLnJlbHNQSwECLQAUAAYACAAAACEAfxFPnnIGAABYLAAADgAAAAAA&#10;AAAAAAAAAAAuAgAAZHJzL2Uyb0RvYy54bWxQSwECLQAUAAYACAAAACEAl+8i4OIAAAAKAQAADwAA&#10;AAAAAAAAAAAAAADMCAAAZHJzL2Rvd25yZXYueG1sUEsFBgAAAAAEAAQA8wAAANsJAAAAAA==&#10;" adj="-11796480,,5400" path="m,l3220948,v169038,,306070,137032,306070,306070c3527018,475108,3389986,612140,3220948,612140l,612140,,xe" fillcolor="black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A23F4D" w:rsidRPr="00AD4C69" w:rsidRDefault="00A23F4D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AD4C69"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AD4C69" w:rsidRPr="00AD4C69" w:rsidRDefault="00AD4C69" w:rsidP="00AD4C69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F6E286" id="Prostokąt 10" o:spid="_x0000_s1037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4h3owIAAJwFAAAOAAAAZHJzL2Uyb0RvYy54bWysVEtv2zAMvg/YfxB0X/1As6ZBnSJo0WFA&#10;0QVrh54VWY6NyaImKXGy+/7ZfthI+dGuK3YYloMjih8/PkTy4vLQarZXzjdgCp6dpJwpI6FszLbg&#10;Xx5u3s0580GYUmgwquBH5fnl8u2bi84uVA416FI5hiTGLzpb8DoEu0gSL2vVCn8CVhlUVuBaEVB0&#10;26R0okP2Vid5mr5POnCldSCV93h73Sv5MvJXlZLhU1V5FZguOMYW4tfF74a+yfJCLLZO2LqRQxji&#10;H6JoRWPQ6UR1LYJgO9f8QdU20oGHKpxIaBOoqkaqmANmk6UvsrmvhVUxFyyOt1OZ/P+jlXf7tWNN&#10;iW+H5TGixTdaY4QBvv78ERheYoU66xcIvLdrN0gej5TuoXIt/WMi7BCrepyqqg6BSbzM5mfZ+RzZ&#10;Jery/DydpfMZ0SZP9tb58EFBy+hQcIfvFssp9rc+9NARQu486Ka8abSOgtturrRje0FvHH8D+28w&#10;bQhsgMx6RrpJKLc+m3gKR60Ip81nVWFdMP48RhI7Uk1+hJTKhKxX1aJUvfsZuR+9Uw+TRcw0EhJz&#10;hf4n7oFgRPYkI3cf5YAnUxUbejJO/xZYbzxZRM9gwmTcNgbcawQasxo89/ixSH1pqErhsDnEnskJ&#10;STcbKI/YRw76AfNW3jT4krfCh7VwOFH4/Lglwif8VBq6gsNw4qwG9/21e8Jjo6OWsw4ntOD+2044&#10;xZn+aHAEzrPTUxrpKJzOznIU3HPN5rnG7NorwAbJcB9ZGY+ED3o8Vg7aR1wmK/KKKmEk+i64DG4U&#10;rkK/OXAdSbVaRRiOsRXh1txbSeRUZ+rUh8OjcHZo54CjcAfjNIvFi67usWRpYLULUDWx5Z/qOrwA&#10;roDYSsO6oh3zXI6op6W6/AUAAP//AwBQSwMEFAAGAAgAAAAhAHEmXBjfAAAADAEAAA8AAABkcnMv&#10;ZG93bnJldi54bWxMj0FOwzAQRfdI3MEaJDaI2i6QuCFOVVX0AE0r1k48JBGxHdluGm6Pu4LdjObr&#10;zfvldjEjmdGHwVkJfMWAoG2dHmwn4Xw6PAsgISqr1egsSvjBANvq/q5UhXZXe8S5jh1JEBsKJaGP&#10;cSooDW2PRoWVm9Cm25fzRsW0+o5qr64Jbka6ZiyjRg02fejVhPse2+/6YhLlvNm90Q/R8Nen/afw&#10;M6+P7CDl48OyewcScYl/YbjpJ3WoklPjLlYHMkoQa75J0TSwDMgtwHmWA2kkvGQiz4FWJf1fovoF&#10;AAD//wMAUEsBAi0AFAAGAAgAAAAhALaDOJL+AAAA4QEAABMAAAAAAAAAAAAAAAAAAAAAAFtDb250&#10;ZW50X1R5cGVzXS54bWxQSwECLQAUAAYACAAAACEAOP0h/9YAAACUAQAACwAAAAAAAAAAAAAAAAAv&#10;AQAAX3JlbHMvLnJlbHNQSwECLQAUAAYACAAAACEAKLuId6MCAACcBQAADgAAAAAAAAAAAAAAAAAu&#10;AgAAZHJzL2Uyb0RvYy54bWxQSwECLQAUAAYACAAAACEAcSZcGN8AAAAMAQAADwAAAAAAAAAAAAAA&#10;AAD9BAAAZHJzL2Rvd25yZXYueG1sUEsFBgAAAAAEAAQA8wAAAAkGAAAAAA==&#10;" fillcolor="black" stroked="f" strokeweight="1pt">
              <v:textbox>
                <w:txbxContent>
                  <w:p w:rsidR="00AD4C69" w:rsidRPr="00AD4C69" w:rsidRDefault="00AD4C69" w:rsidP="00AD4C69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 w:rsidR="00704D51">
      <w:rPr>
        <w:noProof/>
        <w:lang w:eastAsia="pl-PL"/>
      </w:rPr>
      <w:drawing>
        <wp:inline distT="0" distB="0" distL="0" distR="0" wp14:anchorId="6DC6B29A">
          <wp:extent cx="1701000" cy="504000"/>
          <wp:effectExtent l="0" t="0" r="0" b="0"/>
          <wp:docPr id="13" name="Obraz 13" descr="Logotyp Urzędu Statystycznego w Warszawie przedstawiający dwa koła, jedno koloru czarnego, drugie biał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000" cy="504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ab/>
    </w:r>
  </w:p>
  <w:p w:rsidR="00A23F4D" w:rsidRDefault="00A23F4D">
    <w:pPr>
      <w:pStyle w:val="Nagwek"/>
      <w:rPr>
        <w:noProof/>
        <w:lang w:eastAsia="pl-PL"/>
      </w:rPr>
    </w:pPr>
  </w:p>
  <w:p w:rsidR="00A23F4D" w:rsidRDefault="00A23F4D">
    <w:pPr>
      <w:pStyle w:val="Nagwek"/>
      <w:rPr>
        <w:noProof/>
        <w:lang w:eastAsia="pl-PL"/>
      </w:rPr>
    </w:pPr>
  </w:p>
  <w:p w:rsidR="00A23F4D" w:rsidRDefault="00A23F4D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21 września 2023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pattFill>
                        <a:fgClr>
                          <a:srgbClr val="000000"/>
                        </a:fgClr>
                        <a:bgClr>
                          <a:srgbClr val="000000"/>
                        </a:bgClr>
                      </a:patt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23F4D" w:rsidRPr="00AD4C69" w:rsidRDefault="00A23F4D" w:rsidP="00F049AB">
                          <w:pPr>
                            <w:pStyle w:val="Datainformacjisygnalnej"/>
                          </w:pPr>
                          <w:r w:rsidRPr="00AD4C69">
                            <w:t>21.09.2023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alt="Tytuł: Data publikacji informacji sygnalnej — opis: Data publikacji informacji sygnalnej 21 września 2023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WU4bQIAANUEAAAOAAAAZHJzL2Uyb0RvYy54bWysVOFu0zAQ/o/EO1j+z9Km7VijpdPYGEIa&#10;MGnwABfHSbw6vmC7TbpX4Xl4L85OWyr4AUL0h3Xunb+7+767XF4NrWZbaZ1Ck/Pp2YQzaQSWytQ5&#10;//L57tUFZ86DKUGjkTnfScevVi9fXPZdJlNsUJfSMgIxLuu7nDfed1mSONHIFtwZdtKQs0Lbgqer&#10;rZPSQk/orU7SyeQ86dGWnUUhnaN/b0cnX0X8qpLCf6oqJz3TOafafDxtPItwJqtLyGoLXaPEvgz4&#10;hypaUIaSHqFuwQPbWPUbVKuERYeVPxPYJlhVSsjYA3UznfzSzWMDnYy9EDmuO9Lk/h+s+Lh9sEyV&#10;OSehDLQk0QNqybxcO4+9ZClnpXSCKIs9dZtCqzWIJ8WUibIE0+1qA9rIJ5ZOWW+f5fdvRgFLJ+mM&#10;WVxviHjlNWH/DUbQpO9cRqU9dlScH97gQLMV+XXdPYq1YwZvGjC1vLYW+0ZCSZxMw8vk5OmI4wJI&#10;0X/AkgqAjccINFS2DYKRBIzQaTZ2x3mQg2cipJzP0nQ540yQbzY7X1wsYwrIDq876/w7iS0LRs4t&#10;zVtEh+2986EayA4hIVkH3t8prYNd1TfaBsPZuiCTbSHMaPztsxxDij/H7kNCwpMk2rA+58tFuohl&#10;GQzZ48y3ytPiadWS8seckAUq35oyhnhQerQJVZs9t4HOkVg/FEMcndlBsgLLHZFtcdwz+i6Q0aB9&#10;5jQVQOvtvm7ASs70e0OCLafzeVjKeJkvXqd0saee4tQDRhBUzj1no3nj4yIHDg1ek7CVipyHCRgr&#10;2ZdMuxOl2O95GMLTe4z6+TVa/QAAAP//AwBQSwMEFAAGAAgAAAAhAE7N5X3gAAAACgEAAA8AAABk&#10;cnMvZG93bnJldi54bWxMj8FOwzAQRO9I/IO1SNyokxIgCdlUCKknhAQFDtzceBtHjdchdtrA1+Oe&#10;4Dia0cybajXbXhxo9J1jhHSRgCBunO64RXh/W1/lIHxQrFXvmBC+ycOqPj+rVKndkV/psAmtiCXs&#10;S4VgQhhKKX1jyCq/cANx9HZutCpEObZSj+oYy20vl0lyK63qOC4YNdCjoWa/mSyC37n15/jlppfw&#10;3PD+h+/MR/qEeHkxP9yDCDSHvzCc8CM61JFp6ybWXvQI+fUyogeELC1AnALJTZ6B2CIUWQGyruT/&#10;C/UvAAAA//8DAFBLAQItABQABgAIAAAAIQC2gziS/gAAAOEBAAATAAAAAAAAAAAAAAAAAAAAAABb&#10;Q29udGVudF9UeXBlc10ueG1sUEsBAi0AFAAGAAgAAAAhADj9If/WAAAAlAEAAAsAAAAAAAAAAAAA&#10;AAAALwEAAF9yZWxzLy5yZWxzUEsBAi0AFAAGAAgAAAAhAHslZThtAgAA1QQAAA4AAAAAAAAAAAAA&#10;AAAALgIAAGRycy9lMm9Eb2MueG1sUEsBAi0AFAAGAAgAAAAhAE7N5X3gAAAACgEAAA8AAAAAAAAA&#10;AAAAAAAAxwQAAGRycy9kb3ducmV2LnhtbFBLBQYAAAAABAAEAPMAAADUBQAAAAA=&#10;" fillcolor="black" stroked="f">
              <v:fill color2="black" type="pattern"/>
              <v:textbox>
                <w:txbxContent>
                  <w:p w:rsidR="00A23F4D" w:rsidRPr="00AD4C69" w:rsidRDefault="00A23F4D" w:rsidP="00F049AB">
                    <w:pPr>
                      <w:pStyle w:val="Datainformacjisygnalnej"/>
                    </w:pPr>
                    <w:r w:rsidRPr="00AD4C69">
                      <w:t>21.09.2023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3F4D" w:rsidRDefault="00A23F4D">
    <w:pPr>
      <w:pStyle w:val="Nagwek"/>
    </w:pPr>
  </w:p>
  <w:p w:rsidR="00A23F4D" w:rsidRDefault="00A23F4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FFFFFF7C"/>
    <w:multiLevelType w:val="singleLevel"/>
    <w:tmpl w:val="2D904B6C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8A124A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26E1BD6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358B26A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46C65E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C6607E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394AB9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1002886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339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0720E5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6E7560"/>
    <w:multiLevelType w:val="multilevel"/>
    <w:tmpl w:val="04150023"/>
    <w:styleLink w:val="Artykusekcja"/>
    <w:lvl w:ilvl="0">
      <w:start w:val="1"/>
      <w:numFmt w:val="upperRoman"/>
      <w:pStyle w:val="Nagwek1"/>
      <w:lvlText w:val="Artykuł %1."/>
      <w:lvlJc w:val="left"/>
      <w:pPr>
        <w:ind w:left="0" w:firstLine="0"/>
      </w:pPr>
      <w:rPr>
        <w:color w:val="FFFFFF"/>
      </w:rPr>
    </w:lvl>
    <w:lvl w:ilvl="1">
      <w:start w:val="1"/>
      <w:numFmt w:val="decimalZero"/>
      <w:pStyle w:val="Nagwek2"/>
      <w:isLgl/>
      <w:lvlText w:val="Sekcja %1.%2"/>
      <w:lvlJc w:val="left"/>
      <w:pPr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</w:lvl>
  </w:abstractNum>
  <w:abstractNum w:abstractNumId="11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1A21CD9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color w:val="FFFFFF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18" w15:restartNumberingAfterBreak="0">
    <w:nsid w:val="5FFE6435"/>
    <w:multiLevelType w:val="multilevel"/>
    <w:tmpl w:val="0415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color w:val="FFFFFF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2"/>
  </w:num>
  <w:num w:numId="3">
    <w:abstractNumId w:val="14"/>
  </w:num>
  <w:num w:numId="4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18"/>
  </w:num>
  <w:num w:numId="9">
    <w:abstractNumId w:val="10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7B0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539B"/>
    <w:rsid w:val="000456BA"/>
    <w:rsid w:val="0004582E"/>
    <w:rsid w:val="000470AA"/>
    <w:rsid w:val="0005357E"/>
    <w:rsid w:val="00053B5A"/>
    <w:rsid w:val="000556D6"/>
    <w:rsid w:val="00056741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92305"/>
    <w:rsid w:val="00097840"/>
    <w:rsid w:val="000A3F2B"/>
    <w:rsid w:val="000B0727"/>
    <w:rsid w:val="000C135D"/>
    <w:rsid w:val="000D1D43"/>
    <w:rsid w:val="000D225C"/>
    <w:rsid w:val="000D2A5C"/>
    <w:rsid w:val="000D39F0"/>
    <w:rsid w:val="000D4C24"/>
    <w:rsid w:val="000E0918"/>
    <w:rsid w:val="000E5A1E"/>
    <w:rsid w:val="000E79A9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269E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617E3"/>
    <w:rsid w:val="00162325"/>
    <w:rsid w:val="00163F89"/>
    <w:rsid w:val="00164DFB"/>
    <w:rsid w:val="00173EAB"/>
    <w:rsid w:val="00174BA0"/>
    <w:rsid w:val="00193DC6"/>
    <w:rsid w:val="001951DA"/>
    <w:rsid w:val="001A7BD2"/>
    <w:rsid w:val="001B053D"/>
    <w:rsid w:val="001C3269"/>
    <w:rsid w:val="001C6A5C"/>
    <w:rsid w:val="001C77D2"/>
    <w:rsid w:val="001D00A6"/>
    <w:rsid w:val="001D19B6"/>
    <w:rsid w:val="001D1DB4"/>
    <w:rsid w:val="001D20CC"/>
    <w:rsid w:val="001D23F1"/>
    <w:rsid w:val="001D25F9"/>
    <w:rsid w:val="001D61ED"/>
    <w:rsid w:val="001D6F6F"/>
    <w:rsid w:val="001E5B2D"/>
    <w:rsid w:val="0020156C"/>
    <w:rsid w:val="00216634"/>
    <w:rsid w:val="00230725"/>
    <w:rsid w:val="0023435D"/>
    <w:rsid w:val="00234AD7"/>
    <w:rsid w:val="00242D31"/>
    <w:rsid w:val="002460D5"/>
    <w:rsid w:val="0025481E"/>
    <w:rsid w:val="002574F9"/>
    <w:rsid w:val="00262B61"/>
    <w:rsid w:val="00262CC6"/>
    <w:rsid w:val="00263E08"/>
    <w:rsid w:val="00267779"/>
    <w:rsid w:val="002702A3"/>
    <w:rsid w:val="00272E72"/>
    <w:rsid w:val="00276811"/>
    <w:rsid w:val="002768F4"/>
    <w:rsid w:val="00282699"/>
    <w:rsid w:val="00290974"/>
    <w:rsid w:val="002926DF"/>
    <w:rsid w:val="00296697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E3EB3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309FA"/>
    <w:rsid w:val="00332221"/>
    <w:rsid w:val="00332320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43DB"/>
    <w:rsid w:val="00385A51"/>
    <w:rsid w:val="00393761"/>
    <w:rsid w:val="00393A0E"/>
    <w:rsid w:val="00393E0D"/>
    <w:rsid w:val="00394E26"/>
    <w:rsid w:val="00396691"/>
    <w:rsid w:val="00397D18"/>
    <w:rsid w:val="003A1B36"/>
    <w:rsid w:val="003A717F"/>
    <w:rsid w:val="003B1454"/>
    <w:rsid w:val="003B18B6"/>
    <w:rsid w:val="003B5CBA"/>
    <w:rsid w:val="003B6777"/>
    <w:rsid w:val="003C161B"/>
    <w:rsid w:val="003C1936"/>
    <w:rsid w:val="003C47BE"/>
    <w:rsid w:val="003C59E0"/>
    <w:rsid w:val="003C6C8D"/>
    <w:rsid w:val="003D2656"/>
    <w:rsid w:val="003D4F95"/>
    <w:rsid w:val="003D5F42"/>
    <w:rsid w:val="003D60A9"/>
    <w:rsid w:val="003E531C"/>
    <w:rsid w:val="003E76F6"/>
    <w:rsid w:val="003F4B46"/>
    <w:rsid w:val="003F4BF0"/>
    <w:rsid w:val="003F4C97"/>
    <w:rsid w:val="003F647F"/>
    <w:rsid w:val="003F666D"/>
    <w:rsid w:val="003F7FE6"/>
    <w:rsid w:val="00400193"/>
    <w:rsid w:val="00416EAF"/>
    <w:rsid w:val="004212E7"/>
    <w:rsid w:val="00423A14"/>
    <w:rsid w:val="00423C88"/>
    <w:rsid w:val="0042446D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B2D8E"/>
    <w:rsid w:val="004B7825"/>
    <w:rsid w:val="004C10B4"/>
    <w:rsid w:val="004C1895"/>
    <w:rsid w:val="004C65FF"/>
    <w:rsid w:val="004C6D40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31842"/>
    <w:rsid w:val="00533632"/>
    <w:rsid w:val="00534013"/>
    <w:rsid w:val="0053441F"/>
    <w:rsid w:val="00540C5C"/>
    <w:rsid w:val="00541942"/>
    <w:rsid w:val="00541E6E"/>
    <w:rsid w:val="0054251F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1E07"/>
    <w:rsid w:val="005A2A3F"/>
    <w:rsid w:val="005A2F96"/>
    <w:rsid w:val="005A3C53"/>
    <w:rsid w:val="005A698C"/>
    <w:rsid w:val="005B0B32"/>
    <w:rsid w:val="005B1A80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45EE"/>
    <w:rsid w:val="005F5A80"/>
    <w:rsid w:val="006044FF"/>
    <w:rsid w:val="00607CC5"/>
    <w:rsid w:val="006113D5"/>
    <w:rsid w:val="0061179B"/>
    <w:rsid w:val="006125F9"/>
    <w:rsid w:val="00617134"/>
    <w:rsid w:val="00623B24"/>
    <w:rsid w:val="006302D3"/>
    <w:rsid w:val="0063103F"/>
    <w:rsid w:val="00633014"/>
    <w:rsid w:val="00634224"/>
    <w:rsid w:val="0063437B"/>
    <w:rsid w:val="0064017E"/>
    <w:rsid w:val="0064487C"/>
    <w:rsid w:val="00651687"/>
    <w:rsid w:val="00654BB6"/>
    <w:rsid w:val="006673CA"/>
    <w:rsid w:val="0067342D"/>
    <w:rsid w:val="00673C26"/>
    <w:rsid w:val="00674DE5"/>
    <w:rsid w:val="00677ACA"/>
    <w:rsid w:val="006812AF"/>
    <w:rsid w:val="0068327D"/>
    <w:rsid w:val="006868F9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4D51"/>
    <w:rsid w:val="00705EDD"/>
    <w:rsid w:val="007117E6"/>
    <w:rsid w:val="007211B1"/>
    <w:rsid w:val="007277DA"/>
    <w:rsid w:val="00730B01"/>
    <w:rsid w:val="00731D27"/>
    <w:rsid w:val="007406A3"/>
    <w:rsid w:val="00746187"/>
    <w:rsid w:val="00746B56"/>
    <w:rsid w:val="00757F11"/>
    <w:rsid w:val="00757F33"/>
    <w:rsid w:val="0076254F"/>
    <w:rsid w:val="00764C37"/>
    <w:rsid w:val="00777111"/>
    <w:rsid w:val="007801F5"/>
    <w:rsid w:val="007826AF"/>
    <w:rsid w:val="00783C89"/>
    <w:rsid w:val="00783CA4"/>
    <w:rsid w:val="0078424B"/>
    <w:rsid w:val="007842FB"/>
    <w:rsid w:val="00786124"/>
    <w:rsid w:val="0079514B"/>
    <w:rsid w:val="00795252"/>
    <w:rsid w:val="007A2DC1"/>
    <w:rsid w:val="007C0CB0"/>
    <w:rsid w:val="007D0869"/>
    <w:rsid w:val="007D0913"/>
    <w:rsid w:val="007D14C4"/>
    <w:rsid w:val="007D3319"/>
    <w:rsid w:val="007D335D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11A46"/>
    <w:rsid w:val="0081273D"/>
    <w:rsid w:val="00812E03"/>
    <w:rsid w:val="00813DA2"/>
    <w:rsid w:val="008153F2"/>
    <w:rsid w:val="0081554E"/>
    <w:rsid w:val="00823593"/>
    <w:rsid w:val="0082480F"/>
    <w:rsid w:val="00824EAA"/>
    <w:rsid w:val="00825DC2"/>
    <w:rsid w:val="0083446A"/>
    <w:rsid w:val="00834AD3"/>
    <w:rsid w:val="00843795"/>
    <w:rsid w:val="00845BCB"/>
    <w:rsid w:val="00847F0F"/>
    <w:rsid w:val="00852448"/>
    <w:rsid w:val="00861C62"/>
    <w:rsid w:val="00862746"/>
    <w:rsid w:val="00867E2A"/>
    <w:rsid w:val="00877F6C"/>
    <w:rsid w:val="0088258A"/>
    <w:rsid w:val="00882C86"/>
    <w:rsid w:val="008845C2"/>
    <w:rsid w:val="008848E9"/>
    <w:rsid w:val="00884D84"/>
    <w:rsid w:val="00886332"/>
    <w:rsid w:val="00890297"/>
    <w:rsid w:val="008925F0"/>
    <w:rsid w:val="00892A3D"/>
    <w:rsid w:val="0089448A"/>
    <w:rsid w:val="008944DC"/>
    <w:rsid w:val="00897877"/>
    <w:rsid w:val="008A119C"/>
    <w:rsid w:val="008A26D9"/>
    <w:rsid w:val="008A3E51"/>
    <w:rsid w:val="008A7B5B"/>
    <w:rsid w:val="008B0F60"/>
    <w:rsid w:val="008B12D2"/>
    <w:rsid w:val="008B14EB"/>
    <w:rsid w:val="008B4B56"/>
    <w:rsid w:val="008B775B"/>
    <w:rsid w:val="008C0B80"/>
    <w:rsid w:val="008C0C29"/>
    <w:rsid w:val="008C169A"/>
    <w:rsid w:val="008D02DA"/>
    <w:rsid w:val="008D66DD"/>
    <w:rsid w:val="008D76BC"/>
    <w:rsid w:val="008E2979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BEA"/>
    <w:rsid w:val="00920AAE"/>
    <w:rsid w:val="009227A6"/>
    <w:rsid w:val="00923DC8"/>
    <w:rsid w:val="009250F5"/>
    <w:rsid w:val="009278E7"/>
    <w:rsid w:val="00931CA1"/>
    <w:rsid w:val="00933EC1"/>
    <w:rsid w:val="00935D17"/>
    <w:rsid w:val="00936668"/>
    <w:rsid w:val="00941014"/>
    <w:rsid w:val="00943564"/>
    <w:rsid w:val="009446AD"/>
    <w:rsid w:val="009530DB"/>
    <w:rsid w:val="00953676"/>
    <w:rsid w:val="00954869"/>
    <w:rsid w:val="00956F30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3BB3"/>
    <w:rsid w:val="009D61F8"/>
    <w:rsid w:val="009E0961"/>
    <w:rsid w:val="009E2E91"/>
    <w:rsid w:val="009E3705"/>
    <w:rsid w:val="009E4C73"/>
    <w:rsid w:val="009F1BB5"/>
    <w:rsid w:val="009F69E8"/>
    <w:rsid w:val="00A01B40"/>
    <w:rsid w:val="00A139F5"/>
    <w:rsid w:val="00A16A32"/>
    <w:rsid w:val="00A23F4D"/>
    <w:rsid w:val="00A32E16"/>
    <w:rsid w:val="00A34F53"/>
    <w:rsid w:val="00A365F4"/>
    <w:rsid w:val="00A40DCD"/>
    <w:rsid w:val="00A46227"/>
    <w:rsid w:val="00A47D80"/>
    <w:rsid w:val="00A53132"/>
    <w:rsid w:val="00A534BC"/>
    <w:rsid w:val="00A563F2"/>
    <w:rsid w:val="00A566E8"/>
    <w:rsid w:val="00A61D34"/>
    <w:rsid w:val="00A659F7"/>
    <w:rsid w:val="00A660F5"/>
    <w:rsid w:val="00A66347"/>
    <w:rsid w:val="00A729EF"/>
    <w:rsid w:val="00A75482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681"/>
    <w:rsid w:val="00AA710D"/>
    <w:rsid w:val="00AA7368"/>
    <w:rsid w:val="00AB1E2D"/>
    <w:rsid w:val="00AB2D8B"/>
    <w:rsid w:val="00AB64F3"/>
    <w:rsid w:val="00AB6D25"/>
    <w:rsid w:val="00AC0235"/>
    <w:rsid w:val="00AC094C"/>
    <w:rsid w:val="00AC5BE0"/>
    <w:rsid w:val="00AD0E56"/>
    <w:rsid w:val="00AD3EE4"/>
    <w:rsid w:val="00AD4C69"/>
    <w:rsid w:val="00AD7D81"/>
    <w:rsid w:val="00AD7FBB"/>
    <w:rsid w:val="00AE229B"/>
    <w:rsid w:val="00AE2D4B"/>
    <w:rsid w:val="00AE2E67"/>
    <w:rsid w:val="00AE4F99"/>
    <w:rsid w:val="00AE5EAC"/>
    <w:rsid w:val="00AF2F1E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1E5A"/>
    <w:rsid w:val="00B3386C"/>
    <w:rsid w:val="00B35E0C"/>
    <w:rsid w:val="00B36908"/>
    <w:rsid w:val="00B444C8"/>
    <w:rsid w:val="00B456D3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9780A"/>
    <w:rsid w:val="00BA2BA1"/>
    <w:rsid w:val="00BA2BA7"/>
    <w:rsid w:val="00BA3447"/>
    <w:rsid w:val="00BA3562"/>
    <w:rsid w:val="00BA5946"/>
    <w:rsid w:val="00BB4F09"/>
    <w:rsid w:val="00BC0EDF"/>
    <w:rsid w:val="00BC2D48"/>
    <w:rsid w:val="00BD4E33"/>
    <w:rsid w:val="00BE62D6"/>
    <w:rsid w:val="00C030DE"/>
    <w:rsid w:val="00C051A8"/>
    <w:rsid w:val="00C12093"/>
    <w:rsid w:val="00C22105"/>
    <w:rsid w:val="00C2319F"/>
    <w:rsid w:val="00C244B6"/>
    <w:rsid w:val="00C26AE0"/>
    <w:rsid w:val="00C26B13"/>
    <w:rsid w:val="00C27BF1"/>
    <w:rsid w:val="00C32998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A37"/>
    <w:rsid w:val="00C7158E"/>
    <w:rsid w:val="00C7250B"/>
    <w:rsid w:val="00C7346B"/>
    <w:rsid w:val="00C77C0E"/>
    <w:rsid w:val="00C81E1E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2F90"/>
    <w:rsid w:val="00CB35EA"/>
    <w:rsid w:val="00CB40A7"/>
    <w:rsid w:val="00CB6AD4"/>
    <w:rsid w:val="00CC739E"/>
    <w:rsid w:val="00CD0819"/>
    <w:rsid w:val="00CD1EBB"/>
    <w:rsid w:val="00CD28CF"/>
    <w:rsid w:val="00CD58B7"/>
    <w:rsid w:val="00CD7967"/>
    <w:rsid w:val="00CF18EE"/>
    <w:rsid w:val="00CF30BD"/>
    <w:rsid w:val="00CF4099"/>
    <w:rsid w:val="00D00796"/>
    <w:rsid w:val="00D044C1"/>
    <w:rsid w:val="00D05EFA"/>
    <w:rsid w:val="00D22005"/>
    <w:rsid w:val="00D261A2"/>
    <w:rsid w:val="00D306D8"/>
    <w:rsid w:val="00D30A2C"/>
    <w:rsid w:val="00D31737"/>
    <w:rsid w:val="00D31F99"/>
    <w:rsid w:val="00D320B1"/>
    <w:rsid w:val="00D34BA9"/>
    <w:rsid w:val="00D434EE"/>
    <w:rsid w:val="00D51751"/>
    <w:rsid w:val="00D561EB"/>
    <w:rsid w:val="00D616D2"/>
    <w:rsid w:val="00D61CBA"/>
    <w:rsid w:val="00D62067"/>
    <w:rsid w:val="00D63B5F"/>
    <w:rsid w:val="00D66A99"/>
    <w:rsid w:val="00D70EF7"/>
    <w:rsid w:val="00D756BF"/>
    <w:rsid w:val="00D8397C"/>
    <w:rsid w:val="00D93030"/>
    <w:rsid w:val="00D94EED"/>
    <w:rsid w:val="00D96026"/>
    <w:rsid w:val="00D972F6"/>
    <w:rsid w:val="00D977F4"/>
    <w:rsid w:val="00DA331D"/>
    <w:rsid w:val="00DA7C1C"/>
    <w:rsid w:val="00DB147A"/>
    <w:rsid w:val="00DB1B7A"/>
    <w:rsid w:val="00DB1BDB"/>
    <w:rsid w:val="00DB706E"/>
    <w:rsid w:val="00DC6708"/>
    <w:rsid w:val="00DD011A"/>
    <w:rsid w:val="00DD06BA"/>
    <w:rsid w:val="00DD201D"/>
    <w:rsid w:val="00DE2400"/>
    <w:rsid w:val="00DE58F1"/>
    <w:rsid w:val="00DE5BEC"/>
    <w:rsid w:val="00DE6B58"/>
    <w:rsid w:val="00DF113F"/>
    <w:rsid w:val="00DF2053"/>
    <w:rsid w:val="00DF5E32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714C"/>
    <w:rsid w:val="00E47C65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74EFC"/>
    <w:rsid w:val="00E75242"/>
    <w:rsid w:val="00E76D26"/>
    <w:rsid w:val="00E76EE5"/>
    <w:rsid w:val="00E83B4E"/>
    <w:rsid w:val="00E90C72"/>
    <w:rsid w:val="00E91237"/>
    <w:rsid w:val="00E9203F"/>
    <w:rsid w:val="00E95B8E"/>
    <w:rsid w:val="00E960EF"/>
    <w:rsid w:val="00EA2274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ED1"/>
    <w:rsid w:val="00ED55C0"/>
    <w:rsid w:val="00ED682B"/>
    <w:rsid w:val="00EE41D5"/>
    <w:rsid w:val="00EF1560"/>
    <w:rsid w:val="00EF233D"/>
    <w:rsid w:val="00EF2AA3"/>
    <w:rsid w:val="00F0166F"/>
    <w:rsid w:val="00F037A4"/>
    <w:rsid w:val="00F049AB"/>
    <w:rsid w:val="00F05DE1"/>
    <w:rsid w:val="00F06366"/>
    <w:rsid w:val="00F142DB"/>
    <w:rsid w:val="00F14AFC"/>
    <w:rsid w:val="00F15F2E"/>
    <w:rsid w:val="00F27713"/>
    <w:rsid w:val="00F27C8F"/>
    <w:rsid w:val="00F32749"/>
    <w:rsid w:val="00F33074"/>
    <w:rsid w:val="00F33D7E"/>
    <w:rsid w:val="00F34FE5"/>
    <w:rsid w:val="00F37172"/>
    <w:rsid w:val="00F434C2"/>
    <w:rsid w:val="00F4477E"/>
    <w:rsid w:val="00F46269"/>
    <w:rsid w:val="00F5104F"/>
    <w:rsid w:val="00F51116"/>
    <w:rsid w:val="00F57236"/>
    <w:rsid w:val="00F60BA8"/>
    <w:rsid w:val="00F63A1F"/>
    <w:rsid w:val="00F64DCD"/>
    <w:rsid w:val="00F67D8F"/>
    <w:rsid w:val="00F67DE8"/>
    <w:rsid w:val="00F721A8"/>
    <w:rsid w:val="00F72B22"/>
    <w:rsid w:val="00F802BE"/>
    <w:rsid w:val="00F80E93"/>
    <w:rsid w:val="00F86024"/>
    <w:rsid w:val="00F8611A"/>
    <w:rsid w:val="00F87285"/>
    <w:rsid w:val="00F92F0C"/>
    <w:rsid w:val="00FA1488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10A5"/>
    <w:rsid w:val="00FD301C"/>
    <w:rsid w:val="00FD55DD"/>
    <w:rsid w:val="00FD5D3A"/>
    <w:rsid w:val="00FD5EA7"/>
    <w:rsid w:val="00FD6E4D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color w:val="FFFFFF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numPr>
        <w:numId w:val="9"/>
      </w:numPr>
      <w:spacing w:before="360" w:line="240" w:lineRule="auto"/>
      <w:outlineLvl w:val="0"/>
    </w:pPr>
    <w:rPr>
      <w:rFonts w:ascii="Fira Sans SemiBold" w:eastAsia="Times New Roman" w:hAnsi="Fira Sans SemiBold" w:cs="Times New Roman"/>
      <w:bCs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numPr>
        <w:ilvl w:val="1"/>
        <w:numId w:val="9"/>
      </w:numPr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numPr>
        <w:ilvl w:val="2"/>
        <w:numId w:val="9"/>
      </w:numPr>
      <w:spacing w:before="40" w:after="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numPr>
        <w:ilvl w:val="3"/>
        <w:numId w:val="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numPr>
        <w:ilvl w:val="4"/>
        <w:numId w:val="9"/>
      </w:numPr>
      <w:spacing w:before="4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4C69"/>
    <w:pPr>
      <w:keepNext/>
      <w:keepLines/>
      <w:numPr>
        <w:ilvl w:val="5"/>
        <w:numId w:val="9"/>
      </w:numPr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4C69"/>
    <w:pPr>
      <w:keepNext/>
      <w:keepLines/>
      <w:numPr>
        <w:ilvl w:val="6"/>
        <w:numId w:val="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numPr>
        <w:ilvl w:val="7"/>
        <w:numId w:val="9"/>
      </w:numPr>
      <w:spacing w:before="40" w:after="0"/>
      <w:outlineLvl w:val="7"/>
    </w:pPr>
    <w:rPr>
      <w:rFonts w:asciiTheme="majorHAnsi" w:eastAsiaTheme="majorEastAsia" w:hAnsiTheme="majorHAnsi" w:cstheme="majorBidi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numPr>
        <w:ilvl w:val="8"/>
        <w:numId w:val="9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FFFFFF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FFFFF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FFFFF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FFFFFF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FFFFFF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FFFF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color w:val="FFFFFF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FFFFFF"/>
      <w:sz w:val="19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  <w:color w:val="FFFFFF"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  <w:rPr>
      <w:rFonts w:ascii="Fira Sans" w:hAnsi="Fira Sans"/>
      <w:color w:val="FFFFFF"/>
      <w:sz w:val="19"/>
    </w:rPr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  <w:rPr>
      <w:rFonts w:ascii="Fira Sans" w:hAnsi="Fira Sans"/>
      <w:color w:val="FFFFFF"/>
      <w:sz w:val="19"/>
    </w:rPr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rFonts w:ascii="Fira Sans" w:hAnsi="Fira Sans"/>
      <w:color w:val="FFFFFF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color w:val="FFFFFF"/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FFFFFF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color w:val="FFFFFF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color w:val="FFFFFF"/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color w:val="FFFFFF"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FFFFFF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FFFFFF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FFFFFF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color w:val="FFFFFF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color w:val="FFFFFF"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FFFFFF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FFFFFF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color w:val="FFFFFF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color w:val="FFFFFF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color w:val="FFFFFF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color w:val="FFFFFF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color w:val="FFFFFF"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color w:val="FFFFFF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color w:val="FFFFFF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FFFFFF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FFFF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color w:val="FFFFFF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color w:val="FFFFFF"/>
      <w:vertAlign w:val="superscript"/>
    </w:rPr>
  </w:style>
  <w:style w:type="numbering" w:styleId="111111">
    <w:name w:val="Outline List 2"/>
    <w:basedOn w:val="Bezlisty"/>
    <w:uiPriority w:val="99"/>
    <w:semiHidden/>
    <w:unhideWhenUsed/>
    <w:rsid w:val="00AD4C69"/>
    <w:pPr>
      <w:numPr>
        <w:numId w:val="7"/>
      </w:numPr>
    </w:pPr>
  </w:style>
  <w:style w:type="numbering" w:styleId="1ai">
    <w:name w:val="Outline List 1"/>
    <w:basedOn w:val="Bezlisty"/>
    <w:uiPriority w:val="99"/>
    <w:semiHidden/>
    <w:unhideWhenUsed/>
    <w:rsid w:val="00AD4C69"/>
    <w:pPr>
      <w:numPr>
        <w:numId w:val="8"/>
      </w:numPr>
    </w:pPr>
  </w:style>
  <w:style w:type="paragraph" w:styleId="Adresnakopercie">
    <w:name w:val="envelope address"/>
    <w:basedOn w:val="Normalny"/>
    <w:uiPriority w:val="99"/>
    <w:semiHidden/>
    <w:unhideWhenUsed/>
    <w:rsid w:val="00AD4C69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AD4C69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4C69"/>
    <w:rPr>
      <w:rFonts w:asciiTheme="majorHAnsi" w:eastAsiaTheme="majorEastAsia" w:hAnsiTheme="majorHAnsi" w:cstheme="majorBidi"/>
      <w:color w:val="FFFFF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4C69"/>
    <w:rPr>
      <w:rFonts w:asciiTheme="majorHAnsi" w:eastAsiaTheme="majorEastAsia" w:hAnsiTheme="majorHAnsi" w:cstheme="majorBidi"/>
      <w:i/>
      <w:iCs/>
      <w:color w:val="FFFFFF"/>
      <w:sz w:val="19"/>
    </w:rPr>
  </w:style>
  <w:style w:type="numbering" w:styleId="Artykusekcja">
    <w:name w:val="Outline List 3"/>
    <w:basedOn w:val="Bezlisty"/>
    <w:uiPriority w:val="99"/>
    <w:semiHidden/>
    <w:unhideWhenUsed/>
    <w:rsid w:val="00AD4C69"/>
    <w:pPr>
      <w:numPr>
        <w:numId w:val="9"/>
      </w:numPr>
    </w:pPr>
  </w:style>
  <w:style w:type="paragraph" w:styleId="Bezodstpw">
    <w:name w:val="No Spacing"/>
    <w:uiPriority w:val="1"/>
    <w:rsid w:val="00AD4C69"/>
    <w:pPr>
      <w:spacing w:after="0" w:line="240" w:lineRule="auto"/>
    </w:pPr>
    <w:rPr>
      <w:rFonts w:ascii="Fira Sans" w:hAnsi="Fira Sans"/>
      <w:color w:val="FFFFFF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AD4C69"/>
  </w:style>
  <w:style w:type="table" w:styleId="Ciemnalista">
    <w:name w:val="Dark List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akcent2">
    <w:name w:val="Dark List Accent 2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Ciemnalistaakcent3">
    <w:name w:val="Dark List Accent 3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Ciemnalistaakcent4">
    <w:name w:val="Dark List Accent 4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Ciemnalistaakcent5">
    <w:name w:val="Dark List Accent 5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Ciemnalistaakcent6">
    <w:name w:val="Dark List Accent 6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Ciemnalista2akcent1">
    <w:name w:val="Dark List Accent 1"/>
    <w:basedOn w:val="Standardowy"/>
    <w:uiPriority w:val="70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paragraph" w:styleId="Cytat">
    <w:name w:val="Quote"/>
    <w:basedOn w:val="Normalny"/>
    <w:next w:val="Normalny"/>
    <w:link w:val="CytatZnak"/>
    <w:uiPriority w:val="29"/>
    <w:qFormat/>
    <w:rsid w:val="00AD4C69"/>
    <w:pPr>
      <w:spacing w:before="200" w:after="160"/>
      <w:ind w:left="864" w:right="864"/>
      <w:jc w:val="center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AD4C69"/>
    <w:rPr>
      <w:rFonts w:ascii="Fira Sans" w:hAnsi="Fira Sans"/>
      <w:i/>
      <w:iCs/>
      <w:color w:val="FFFFF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4C6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4C69"/>
    <w:rPr>
      <w:rFonts w:ascii="Fira Sans" w:hAnsi="Fira Sans"/>
      <w:i/>
      <w:iCs/>
      <w:color w:val="FFFFFF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AD4C69"/>
  </w:style>
  <w:style w:type="character" w:customStyle="1" w:styleId="DataZnak">
    <w:name w:val="Data Znak"/>
    <w:basedOn w:val="Domylnaczcionkaakapitu"/>
    <w:link w:val="Data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AD4C69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AD4C69"/>
    <w:rPr>
      <w:rFonts w:ascii="Fira Sans" w:hAnsi="Fira Sans"/>
      <w:i/>
      <w:iCs/>
      <w:color w:val="FFFFFF"/>
      <w:sz w:val="19"/>
    </w:rPr>
  </w:style>
  <w:style w:type="character" w:styleId="HTML-akronim">
    <w:name w:val="HTML Acronym"/>
    <w:basedOn w:val="Domylnaczcionkaakapitu"/>
    <w:uiPriority w:val="99"/>
    <w:semiHidden/>
    <w:unhideWhenUsed/>
    <w:rsid w:val="00AD4C69"/>
    <w:rPr>
      <w:color w:val="FFFFFF"/>
    </w:rPr>
  </w:style>
  <w:style w:type="character" w:styleId="HTML-cytat">
    <w:name w:val="HTML Cite"/>
    <w:basedOn w:val="Domylnaczcionkaakapitu"/>
    <w:uiPriority w:val="99"/>
    <w:semiHidden/>
    <w:unhideWhenUsed/>
    <w:rsid w:val="00AD4C69"/>
    <w:rPr>
      <w:i/>
      <w:iCs/>
      <w:color w:val="FFFFFF"/>
    </w:rPr>
  </w:style>
  <w:style w:type="character" w:styleId="HTML-definicja">
    <w:name w:val="HTML Definition"/>
    <w:basedOn w:val="Domylnaczcionkaakapitu"/>
    <w:uiPriority w:val="99"/>
    <w:semiHidden/>
    <w:unhideWhenUsed/>
    <w:rsid w:val="00AD4C69"/>
    <w:rPr>
      <w:i/>
      <w:iCs/>
      <w:color w:val="FFFFFF"/>
    </w:rPr>
  </w:style>
  <w:style w:type="character" w:styleId="HTML-klawiatura">
    <w:name w:val="HTML Keyboard"/>
    <w:basedOn w:val="Domylnaczcionkaakapitu"/>
    <w:uiPriority w:val="99"/>
    <w:semiHidden/>
    <w:unhideWhenUsed/>
    <w:rsid w:val="00AD4C69"/>
    <w:rPr>
      <w:rFonts w:ascii="Consolas" w:hAnsi="Consolas"/>
      <w:color w:val="FFFFFF"/>
      <w:sz w:val="20"/>
      <w:szCs w:val="20"/>
    </w:rPr>
  </w:style>
  <w:style w:type="character" w:styleId="HTML-kod">
    <w:name w:val="HTML Code"/>
    <w:basedOn w:val="Domylnaczcionkaakapitu"/>
    <w:uiPriority w:val="99"/>
    <w:semiHidden/>
    <w:unhideWhenUsed/>
    <w:rsid w:val="00AD4C69"/>
    <w:rPr>
      <w:rFonts w:ascii="Consolas" w:hAnsi="Consolas"/>
      <w:color w:val="FFFFFF"/>
      <w:sz w:val="20"/>
      <w:szCs w:val="20"/>
    </w:rPr>
  </w:style>
  <w:style w:type="character" w:styleId="HTML-przykad">
    <w:name w:val="HTML Sample"/>
    <w:basedOn w:val="Domylnaczcionkaakapitu"/>
    <w:uiPriority w:val="99"/>
    <w:semiHidden/>
    <w:unhideWhenUsed/>
    <w:rsid w:val="00AD4C69"/>
    <w:rPr>
      <w:rFonts w:ascii="Consolas" w:hAnsi="Consolas"/>
      <w:color w:val="FFFFFF"/>
      <w:sz w:val="24"/>
      <w:szCs w:val="24"/>
    </w:rPr>
  </w:style>
  <w:style w:type="character" w:styleId="HTML-staaszeroko">
    <w:name w:val="HTML Typewriter"/>
    <w:basedOn w:val="Domylnaczcionkaakapitu"/>
    <w:uiPriority w:val="99"/>
    <w:semiHidden/>
    <w:unhideWhenUsed/>
    <w:rsid w:val="00AD4C69"/>
    <w:rPr>
      <w:rFonts w:ascii="Consolas" w:hAnsi="Consolas"/>
      <w:color w:val="FFFFFF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D4C69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D4C69"/>
    <w:rPr>
      <w:rFonts w:ascii="Consolas" w:hAnsi="Consolas"/>
      <w:color w:val="FFFFFF"/>
      <w:sz w:val="20"/>
      <w:szCs w:val="20"/>
    </w:rPr>
  </w:style>
  <w:style w:type="character" w:styleId="HTML-zmienna">
    <w:name w:val="HTML Variable"/>
    <w:basedOn w:val="Domylnaczcionkaakapitu"/>
    <w:uiPriority w:val="99"/>
    <w:semiHidden/>
    <w:unhideWhenUsed/>
    <w:rsid w:val="00AD4C69"/>
    <w:rPr>
      <w:i/>
      <w:iCs/>
      <w:color w:val="FFFFFF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AD4C69"/>
    <w:pPr>
      <w:spacing w:before="0" w:after="0" w:line="240" w:lineRule="auto"/>
      <w:ind w:left="1710" w:hanging="190"/>
    </w:pPr>
  </w:style>
  <w:style w:type="table" w:styleId="Jasnalista">
    <w:name w:val="Light List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Jasnalistaakcent2">
    <w:name w:val="Light List Accent 2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Jasnalistaakcent3">
    <w:name w:val="Light List Accent 3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Jasnalistaakcent4">
    <w:name w:val="Light List Accent 4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Jasnalistaakcent5">
    <w:name w:val="Light List Accent 5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Jasnalistaakcent6">
    <w:name w:val="Light List Accent 6"/>
    <w:basedOn w:val="Standardowy"/>
    <w:uiPriority w:val="6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Jasnasiatka">
    <w:name w:val="Light Grid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Jasnasiatkaakcent2">
    <w:name w:val="Light Grid Accent 2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Jasnasiatkaakcent3">
    <w:name w:val="Light Grid Accent 3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Jasnasiatkaakcent4">
    <w:name w:val="Light Grid Accent 4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Jasnasiatkaakcent5">
    <w:name w:val="Light Grid Accent 5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Jasnasiatkaakcent6">
    <w:name w:val="Light Grid Accent 6"/>
    <w:basedOn w:val="Standardowy"/>
    <w:uiPriority w:val="62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Jasnecieniowanie">
    <w:name w:val="Light Shading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Jasnecieniowanieakcent2">
    <w:name w:val="Light Shading Accent 2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Jasnecieniowanieakcent3">
    <w:name w:val="Light Shading Accent 3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Jasnecieniowanieakcent4">
    <w:name w:val="Light Shading Accent 4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Jasnecieniowanieakcent5">
    <w:name w:val="Light Shading Accent 5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Jasnecieniowanieakcent6">
    <w:name w:val="Light Shading Accent 6"/>
    <w:basedOn w:val="Standardowy"/>
    <w:uiPriority w:val="60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Kolorowalista">
    <w:name w:val="Colorful List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olorowalistaakcent2">
    <w:name w:val="Colorful List Accent 2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olorowalistaakcent3">
    <w:name w:val="Colorful List Accent 3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olorowalistaakcent4">
    <w:name w:val="Colorful List Accent 4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olorowalistaakcent5">
    <w:name w:val="Colorful List Accent 5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olorowalistaakcent6">
    <w:name w:val="Colorful List Accent 6"/>
    <w:basedOn w:val="Standardowy"/>
    <w:uiPriority w:val="72"/>
    <w:semiHidden/>
    <w:unhideWhenUsed/>
    <w:rsid w:val="00AD4C69"/>
    <w:pPr>
      <w:spacing w:after="0" w:line="240" w:lineRule="auto"/>
    </w:p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olorowasiatka">
    <w:name w:val="Colorful Grid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olorowasiatkaakcent2">
    <w:name w:val="Colorful Grid Accent 2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olorowasiatkaakcent3">
    <w:name w:val="Colorful Grid Accent 3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asiatkaakcent4">
    <w:name w:val="Colorful Grid Accent 4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olorowasiatkaakcent5">
    <w:name w:val="Colorful Grid Accent 5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olorowasiatkaakcent6">
    <w:name w:val="Colorful Grid Accent 6"/>
    <w:basedOn w:val="Standardowy"/>
    <w:uiPriority w:val="7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olorowecieniowanie">
    <w:name w:val="Colorful Shading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Legenda">
    <w:name w:val="caption"/>
    <w:basedOn w:val="Normalny"/>
    <w:next w:val="Normalny"/>
    <w:uiPriority w:val="35"/>
    <w:semiHidden/>
    <w:unhideWhenUsed/>
    <w:qFormat/>
    <w:rsid w:val="00AD4C69"/>
    <w:pPr>
      <w:spacing w:before="0" w:after="200" w:line="240" w:lineRule="auto"/>
    </w:pPr>
    <w:rPr>
      <w:i/>
      <w:iCs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AD4C69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AD4C69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AD4C69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AD4C69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AD4C69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AD4C69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AD4C69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AD4C69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AD4C69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AD4C69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AD4C69"/>
    <w:pPr>
      <w:numPr>
        <w:numId w:val="10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AD4C69"/>
    <w:pPr>
      <w:numPr>
        <w:numId w:val="11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AD4C69"/>
    <w:pPr>
      <w:numPr>
        <w:numId w:val="12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AD4C69"/>
    <w:pPr>
      <w:numPr>
        <w:numId w:val="13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AD4C69"/>
    <w:pPr>
      <w:numPr>
        <w:numId w:val="14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AD4C69"/>
    <w:pPr>
      <w:numPr>
        <w:numId w:val="15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AD4C69"/>
    <w:pPr>
      <w:numPr>
        <w:numId w:val="16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AD4C69"/>
    <w:pPr>
      <w:numPr>
        <w:numId w:val="17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AD4C69"/>
    <w:pPr>
      <w:numPr>
        <w:numId w:val="18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AD4C69"/>
    <w:pPr>
      <w:numPr>
        <w:numId w:val="19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D4C69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AD4C69"/>
    <w:rPr>
      <w:rFonts w:ascii="Segoe UI" w:hAnsi="Segoe UI" w:cs="Segoe UI"/>
      <w:color w:val="FFFFFF"/>
      <w:sz w:val="16"/>
      <w:szCs w:val="16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AD4C69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AD4C69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D4C69"/>
    <w:pPr>
      <w:keepLines/>
      <w:numPr>
        <w:numId w:val="0"/>
      </w:numPr>
      <w:spacing w:before="240" w:after="0" w:line="240" w:lineRule="exact"/>
      <w:outlineLvl w:val="9"/>
    </w:pPr>
    <w:rPr>
      <w:rFonts w:asciiTheme="majorHAnsi" w:eastAsiaTheme="majorEastAsia" w:hAnsiTheme="majorHAnsi" w:cstheme="majorBidi"/>
      <w:bCs w:val="0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AD4C6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AD4C69"/>
    <w:rPr>
      <w:rFonts w:asciiTheme="majorHAnsi" w:eastAsiaTheme="majorEastAsia" w:hAnsiTheme="majorHAnsi" w:cstheme="majorBidi"/>
      <w:color w:val="FFFFFF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AD4C69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AD4C69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semiHidden/>
    <w:unhideWhenUsed/>
    <w:rsid w:val="00AD4C69"/>
    <w:rPr>
      <w:color w:val="FFFFFF"/>
    </w:rPr>
  </w:style>
  <w:style w:type="character" w:styleId="Numerwiersza">
    <w:name w:val="line number"/>
    <w:basedOn w:val="Domylnaczcionkaakapitu"/>
    <w:uiPriority w:val="99"/>
    <w:semiHidden/>
    <w:unhideWhenUsed/>
    <w:rsid w:val="00AD4C69"/>
    <w:rPr>
      <w:color w:val="FFFFFF"/>
    </w:rPr>
  </w:style>
  <w:style w:type="character" w:styleId="Odwoaniedelikatne">
    <w:name w:val="Subtle Reference"/>
    <w:basedOn w:val="Domylnaczcionkaakapitu"/>
    <w:uiPriority w:val="31"/>
    <w:qFormat/>
    <w:rsid w:val="00AD4C69"/>
    <w:rPr>
      <w:smallCaps/>
      <w:color w:val="FFFFFF"/>
    </w:rPr>
  </w:style>
  <w:style w:type="character" w:styleId="Odwoanieintensywne">
    <w:name w:val="Intense Reference"/>
    <w:basedOn w:val="Domylnaczcionkaakapitu"/>
    <w:uiPriority w:val="32"/>
    <w:qFormat/>
    <w:rsid w:val="00AD4C69"/>
    <w:rPr>
      <w:b/>
      <w:bCs/>
      <w:smallCaps/>
      <w:color w:val="FFFFFF"/>
      <w:spacing w:val="5"/>
    </w:rPr>
  </w:style>
  <w:style w:type="paragraph" w:styleId="Podpis">
    <w:name w:val="Signature"/>
    <w:basedOn w:val="Normalny"/>
    <w:link w:val="PodpisZnak"/>
    <w:uiPriority w:val="99"/>
    <w:semiHidden/>
    <w:unhideWhenUsed/>
    <w:rsid w:val="00AD4C69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AD4C69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4C69"/>
    <w:pPr>
      <w:numPr>
        <w:ilvl w:val="1"/>
      </w:numPr>
      <w:spacing w:after="160"/>
    </w:pPr>
    <w:rPr>
      <w:rFonts w:asciiTheme="minorHAnsi" w:eastAsiaTheme="minorEastAsia" w:hAnsiTheme="minorHAnsi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AD4C69"/>
    <w:rPr>
      <w:rFonts w:eastAsiaTheme="minorEastAsia"/>
      <w:color w:val="FFFFFF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AD4C69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AD4C69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AD4C69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AD4C69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AD4C69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AD4C69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AD4C69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AD4C69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AD4C69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AD4C69"/>
    <w:pPr>
      <w:spacing w:after="100"/>
      <w:ind w:left="1520"/>
    </w:pPr>
  </w:style>
  <w:style w:type="table" w:styleId="rednialista1">
    <w:name w:val="Medium List 1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rednialista1akcent2">
    <w:name w:val="Medium List 1 Accent 2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rednialista1akcent3">
    <w:name w:val="Medium List 1 Accent 3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rednialista1akcent4">
    <w:name w:val="Medium List 1 Accent 4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rednialista1akcent5">
    <w:name w:val="Medium List 1 Accent 5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rednialista1akcent6">
    <w:name w:val="Medium List 1 Accent 6"/>
    <w:basedOn w:val="Standardowy"/>
    <w:uiPriority w:val="65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rednialista2">
    <w:name w:val="Medium List 2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dniasiatka1akcent2">
    <w:name w:val="Medium Grid 1 Accent 2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dniasiatka1akcent3">
    <w:name w:val="Medium Grid 1 Accent 3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dniasiatka1akcent4">
    <w:name w:val="Medium Grid 1 Accent 4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dniasiatka1akcent5">
    <w:name w:val="Medium Grid 1 Accent 5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dniasiatka1akcent6">
    <w:name w:val="Medium Grid 1 Accent 6"/>
    <w:basedOn w:val="Standardowy"/>
    <w:uiPriority w:val="67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dniasiatka2">
    <w:name w:val="Medium Grid 2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semiHidden/>
    <w:unhideWhenUsed/>
    <w:rsid w:val="00AD4C69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redniasiatka3akcent2">
    <w:name w:val="Medium Grid 3 Accent 2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redniasiatka3akcent3">
    <w:name w:val="Medium Grid 3 Accent 3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redniasiatka3akcent4">
    <w:name w:val="Medium Grid 3 Accent 4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redniasiatka3akcent5">
    <w:name w:val="Medium Grid 3 Accent 5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redniasiatka3akcent6">
    <w:name w:val="Medium Grid 3 Accent 6"/>
    <w:basedOn w:val="Standardowy"/>
    <w:uiPriority w:val="69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redniecieniowanie1">
    <w:name w:val="Medium Shading 1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semiHidden/>
    <w:unhideWhenUsed/>
    <w:rsid w:val="00AD4C6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Delikatny1">
    <w:name w:val="Table Subtle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Delikatny2">
    <w:name w:val="Table Subtle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1">
    <w:name w:val="Table 3D effects 1"/>
    <w:basedOn w:val="Standardowy"/>
    <w:uiPriority w:val="99"/>
    <w:semiHidden/>
    <w:unhideWhenUsed/>
    <w:rsid w:val="00AD4C69"/>
    <w:pPr>
      <w:spacing w:before="120" w:after="120" w:line="240" w:lineRule="exac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Efekty3W2">
    <w:name w:val="Table 3D effects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fekty3W3">
    <w:name w:val="Table 3D effects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Elegancki">
    <w:name w:val="Table Elegant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1">
    <w:name w:val="Table Classic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2">
    <w:name w:val="Table Classic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3">
    <w:name w:val="Table Classic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lasyczny4">
    <w:name w:val="Table Classic 4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1">
    <w:name w:val="Table Colorful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2">
    <w:name w:val="Table Colorful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orowy3">
    <w:name w:val="Table Colorful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Kolumnowy1">
    <w:name w:val="Table Columns 1"/>
    <w:basedOn w:val="Standardowy"/>
    <w:uiPriority w:val="99"/>
    <w:semiHidden/>
    <w:unhideWhenUsed/>
    <w:rsid w:val="00AD4C69"/>
    <w:pPr>
      <w:spacing w:before="120" w:after="120" w:line="240" w:lineRule="exac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2">
    <w:name w:val="Table Columns 2"/>
    <w:basedOn w:val="Standardowy"/>
    <w:uiPriority w:val="99"/>
    <w:semiHidden/>
    <w:unhideWhenUsed/>
    <w:rsid w:val="00AD4C69"/>
    <w:pPr>
      <w:spacing w:before="120" w:after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3">
    <w:name w:val="Table Columns 3"/>
    <w:basedOn w:val="Standardowy"/>
    <w:uiPriority w:val="99"/>
    <w:semiHidden/>
    <w:unhideWhenUsed/>
    <w:rsid w:val="00AD4C69"/>
    <w:pPr>
      <w:spacing w:before="120" w:after="120" w:line="240" w:lineRule="exac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Kolumnowy4">
    <w:name w:val="Table Columns 4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-Kolumnowy5">
    <w:name w:val="Table Columns 5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-Lista1">
    <w:name w:val="Table List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2">
    <w:name w:val="Table List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3">
    <w:name w:val="Table List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4">
    <w:name w:val="Table List 4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-Lista5">
    <w:name w:val="Table List 5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Lista6">
    <w:name w:val="Table List 6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-Lista7">
    <w:name w:val="Table List 7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-Lista8">
    <w:name w:val="Table List 8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-Motyw">
    <w:name w:val="Table Theme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Profesjonalny">
    <w:name w:val="Table Professional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Prosty1">
    <w:name w:val="Table Simple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-Prosty2">
    <w:name w:val="Table Simple 2"/>
    <w:basedOn w:val="Standardowy"/>
    <w:uiPriority w:val="99"/>
    <w:semiHidden/>
    <w:unhideWhenUsed/>
    <w:rsid w:val="00AD4C69"/>
    <w:pPr>
      <w:spacing w:before="120" w:after="120" w:line="240" w:lineRule="exact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-Prosty3">
    <w:name w:val="Table Simple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-Siatka1">
    <w:name w:val="Table Grid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2">
    <w:name w:val="Table Grid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4">
    <w:name w:val="Table Grid 4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6">
    <w:name w:val="Table Grid 6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semiHidden/>
    <w:unhideWhenUsed/>
    <w:rsid w:val="00AD4C69"/>
    <w:pPr>
      <w:spacing w:before="120" w:after="120" w:line="240" w:lineRule="exac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8">
    <w:name w:val="Table Grid 8"/>
    <w:basedOn w:val="Standardowy"/>
    <w:uiPriority w:val="99"/>
    <w:semiHidden/>
    <w:unhideWhenUsed/>
    <w:rsid w:val="00AD4C69"/>
    <w:pPr>
      <w:spacing w:before="120" w:after="120" w:line="240" w:lineRule="exac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AD4C69"/>
    <w:pPr>
      <w:spacing w:before="120" w:after="120" w:line="240" w:lineRule="exac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2">
    <w:name w:val="Table Web 2"/>
    <w:basedOn w:val="Standardowy"/>
    <w:uiPriority w:val="99"/>
    <w:semiHidden/>
    <w:unhideWhenUsed/>
    <w:rsid w:val="00AD4C69"/>
    <w:pPr>
      <w:spacing w:before="120" w:after="120" w:line="240" w:lineRule="exac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3">
    <w:name w:val="Table Web 3"/>
    <w:basedOn w:val="Standardowy"/>
    <w:uiPriority w:val="99"/>
    <w:semiHidden/>
    <w:unhideWhenUsed/>
    <w:rsid w:val="00AD4C69"/>
    <w:pPr>
      <w:spacing w:before="120" w:after="120" w:line="240" w:lineRule="exac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Wspczesny">
    <w:name w:val="Table Contemporary"/>
    <w:basedOn w:val="Standardowy"/>
    <w:uiPriority w:val="99"/>
    <w:semiHidden/>
    <w:unhideWhenUsed/>
    <w:rsid w:val="00AD4C69"/>
    <w:pPr>
      <w:spacing w:before="120" w:after="120" w:line="240" w:lineRule="exac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listy1jasna">
    <w:name w:val="List Table 1 Light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1jasnaakcent1">
    <w:name w:val="List Table 1 Light Accent 1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1jasnaakcent2">
    <w:name w:val="List Table 1 Light Accent 2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1jasnaakcent3">
    <w:name w:val="List Table 1 Light Accent 3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1jasnaakcent4">
    <w:name w:val="List Table 1 Light Accent 4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1jasnaakcent5">
    <w:name w:val="List Table 1 Light Accent 5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1jasnaakcent6">
    <w:name w:val="List Table 1 Light Accent 6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2">
    <w:name w:val="List Table 2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2akcent1">
    <w:name w:val="List Table 2 Accent 1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2akcent2">
    <w:name w:val="List Table 2 Accent 2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2akcent3">
    <w:name w:val="List Table 2 Accent 3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2akcent4">
    <w:name w:val="List Table 2 Accent 4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2akcent5">
    <w:name w:val="List Table 2 Accent 5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2akcent6">
    <w:name w:val="List Table 2 Accent 6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3">
    <w:name w:val="List Table 3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listy3akcent1">
    <w:name w:val="List Table 3 Accent 1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listy3akcent2">
    <w:name w:val="List Table 3 Accent 2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listy3akcent3">
    <w:name w:val="List Table 3 Accent 3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listy3akcent4">
    <w:name w:val="List Table 3 Accent 4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listy3akcent5">
    <w:name w:val="List Table 3 Accent 5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listy3akcent6">
    <w:name w:val="List Table 3 Accent 6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listy4">
    <w:name w:val="List Table 4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4akcent1">
    <w:name w:val="List Table 4 Accent 1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4akcent2">
    <w:name w:val="List Table 4 Accent 2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4akcent3">
    <w:name w:val="List Table 4 Accent 3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4akcent4">
    <w:name w:val="List Table 4 Accent 4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4akcent5">
    <w:name w:val="List Table 4 Accent 5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4akcent6">
    <w:name w:val="List Table 4 Accent 6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5ciemna">
    <w:name w:val="List Table 5 Dark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1">
    <w:name w:val="List Table 5 Dark Accent 1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2">
    <w:name w:val="List Table 5 Dark Accent 2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3">
    <w:name w:val="List Table 5 Dark Accent 3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4">
    <w:name w:val="List Table 5 Dark Accent 4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5">
    <w:name w:val="List Table 5 Dark Accent 5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5ciemnaakcent6">
    <w:name w:val="List Table 5 Dark Accent 6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listy6kolorowa">
    <w:name w:val="List Table 6 Colorful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listy6kolorowaakcent1">
    <w:name w:val="List Table 6 Colorful Accent 1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listy6kolorowaakcent2">
    <w:name w:val="List Table 6 Colorful Accent 2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listy6kolorowaakcent3">
    <w:name w:val="List Table 6 Colorful Accent 3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listy6kolorowaakcent4">
    <w:name w:val="List Table 6 Colorful Accent 4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listy6kolorowaakcent5">
    <w:name w:val="List Table 6 Colorful Accent 5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listy6kolorowaakcent6">
    <w:name w:val="List Table 6 Colorful Accent 6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listy7kolorowa">
    <w:name w:val="List Table 7 Colorful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1">
    <w:name w:val="List Table 7 Colorful Accent 1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2">
    <w:name w:val="List Table 7 Colorful Accent 2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3">
    <w:name w:val="List Table 7 Colorful Accent 3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4">
    <w:name w:val="List Table 7 Colorful Accent 4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5">
    <w:name w:val="List Table 7 Colorful Accent 5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listy7kolorowaakcent6">
    <w:name w:val="List Table 7 Colorful Accent 6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atki1jasna">
    <w:name w:val="Grid Table 1 Light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2">
    <w:name w:val="Grid Table 1 Light Accent 2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3">
    <w:name w:val="Grid Table 1 Light Accent 3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4">
    <w:name w:val="Grid Table 1 Light Accent 4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5">
    <w:name w:val="Grid Table 1 Light Accent 5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1jasnaakcent6">
    <w:name w:val="Grid Table 1 Light Accent 6"/>
    <w:basedOn w:val="Standardowy"/>
    <w:uiPriority w:val="46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iatki2">
    <w:name w:val="Grid Table 2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2akcent1">
    <w:name w:val="Grid Table 2 Accent 1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2akcent2">
    <w:name w:val="Grid Table 2 Accent 2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2akcent3">
    <w:name w:val="Grid Table 2 Accent 3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2akcent4">
    <w:name w:val="Grid Table 2 Accent 4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2akcent5">
    <w:name w:val="Grid Table 2 Accent 5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2akcent6">
    <w:name w:val="Grid Table 2 Accent 6"/>
    <w:basedOn w:val="Standardowy"/>
    <w:uiPriority w:val="47"/>
    <w:rsid w:val="00AD4C69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3">
    <w:name w:val="Grid Table 3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3akcent1">
    <w:name w:val="Grid Table 3 Accent 1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3akcent2">
    <w:name w:val="Grid Table 3 Accent 2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3akcent3">
    <w:name w:val="Grid Table 3 Accent 3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3akcent4">
    <w:name w:val="Grid Table 3 Accent 4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3akcent5">
    <w:name w:val="Grid Table 3 Accent 5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3akcent6">
    <w:name w:val="Grid Table 3 Accent 6"/>
    <w:basedOn w:val="Standardowy"/>
    <w:uiPriority w:val="48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iatki4">
    <w:name w:val="Grid Table 4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4akcent1">
    <w:name w:val="Grid Table 4 Accent 1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4akcent2">
    <w:name w:val="Grid Table 4 Accent 2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4akcent3">
    <w:name w:val="Grid Table 4 Accent 3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4akcent4">
    <w:name w:val="Grid Table 4 Accent 4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4akcent5">
    <w:name w:val="Grid Table 4 Accent 5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4akcent6">
    <w:name w:val="Grid Table 4 Accent 6"/>
    <w:basedOn w:val="Standardowy"/>
    <w:uiPriority w:val="49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5ciemna">
    <w:name w:val="Grid Table 5 Dark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siatki5ciemnaakcent1">
    <w:name w:val="Grid Table 5 Dark Accent 1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siatki5ciemnaakcent2">
    <w:name w:val="Grid Table 5 Dark Accent 2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siatki5ciemnaakcent3">
    <w:name w:val="Grid Table 5 Dark Accent 3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siatki5ciemnaakcent4">
    <w:name w:val="Grid Table 5 Dark Accent 4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siatki5ciemnaakcent5">
    <w:name w:val="Grid Table 5 Dark Accent 5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siatki5ciemnaakcent6">
    <w:name w:val="Grid Table 5 Dark Accent 6"/>
    <w:basedOn w:val="Standardowy"/>
    <w:uiPriority w:val="50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siatki6kolorowa">
    <w:name w:val="Grid Table 6 Colorful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iatki6kolorowaakcent1">
    <w:name w:val="Grid Table 6 Colorful Accent 1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iatki6kolorowaakcent2">
    <w:name w:val="Grid Table 6 Colorful Accent 2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iatki6kolorowaakcent3">
    <w:name w:val="Grid Table 6 Colorful Accent 3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iatki6kolorowaakcent4">
    <w:name w:val="Grid Table 6 Colorful Accent 4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iatki6kolorowaakcent5">
    <w:name w:val="Grid Table 6 Colorful Accent 5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iatki6kolorowaakcent6">
    <w:name w:val="Grid Table 6 Colorful Accent 6"/>
    <w:basedOn w:val="Standardowy"/>
    <w:uiPriority w:val="5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siatki7kolorowa">
    <w:name w:val="Grid Table 7 Colorful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siatki7kolorowaakcent1">
    <w:name w:val="Grid Table 7 Colorful Accent 1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siatki7kolorowaakcent2">
    <w:name w:val="Grid Table 7 Colorful Accent 2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siatki7kolorowaakcent3">
    <w:name w:val="Grid Table 7 Colorful Accent 3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siatki7kolorowaakcent4">
    <w:name w:val="Grid Table 7 Colorful Accent 4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siatki7kolorowaakcent5">
    <w:name w:val="Grid Table 7 Colorful Accent 5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siatki7kolorowaakcent6">
    <w:name w:val="Grid Table 7 Colorful Accent 6"/>
    <w:basedOn w:val="Standardowy"/>
    <w:uiPriority w:val="5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paragraph" w:styleId="Tekstblokowy">
    <w:name w:val="Block Text"/>
    <w:basedOn w:val="Normalny"/>
    <w:uiPriority w:val="99"/>
    <w:semiHidden/>
    <w:unhideWhenUsed/>
    <w:rsid w:val="00AD4C69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</w:rPr>
  </w:style>
  <w:style w:type="paragraph" w:styleId="Tekstmakra">
    <w:name w:val="macro"/>
    <w:link w:val="TekstmakraZnak"/>
    <w:uiPriority w:val="99"/>
    <w:semiHidden/>
    <w:unhideWhenUsed/>
    <w:rsid w:val="00AD4C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color w:val="FFFFFF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AD4C69"/>
    <w:rPr>
      <w:rFonts w:ascii="Consolas" w:hAnsi="Consolas"/>
      <w:color w:val="FFFFFF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D4C69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D4C69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AD4C69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4C69"/>
    <w:rPr>
      <w:rFonts w:ascii="Fira Sans" w:hAnsi="Fira Sans"/>
      <w:color w:val="FFFFFF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D4C69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D4C69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AD4C69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D4C69"/>
    <w:rPr>
      <w:rFonts w:ascii="Fira Sans" w:hAnsi="Fira Sans"/>
      <w:color w:val="FFFFFF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AD4C69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AD4C69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AD4C69"/>
    <w:rPr>
      <w:rFonts w:ascii="Fira Sans" w:hAnsi="Fira Sans"/>
      <w:color w:val="FFFFFF"/>
      <w:sz w:val="19"/>
    </w:rPr>
  </w:style>
  <w:style w:type="character" w:styleId="Tekstzastpczy">
    <w:name w:val="Placeholder Text"/>
    <w:basedOn w:val="Domylnaczcionkaakapitu"/>
    <w:uiPriority w:val="99"/>
    <w:semiHidden/>
    <w:rsid w:val="00AD4C69"/>
    <w:rPr>
      <w:color w:val="FFFFFF"/>
    </w:rPr>
  </w:style>
  <w:style w:type="paragraph" w:styleId="Tytu">
    <w:name w:val="Title"/>
    <w:basedOn w:val="Normalny"/>
    <w:next w:val="Normalny"/>
    <w:link w:val="TytuZnak"/>
    <w:uiPriority w:val="10"/>
    <w:qFormat/>
    <w:rsid w:val="00AD4C69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4C69"/>
    <w:rPr>
      <w:rFonts w:asciiTheme="majorHAnsi" w:eastAsiaTheme="majorEastAsia" w:hAnsiTheme="majorHAnsi" w:cstheme="majorBidi"/>
      <w:color w:val="FFFFFF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AD4C69"/>
    <w:rPr>
      <w:b/>
      <w:bCs/>
      <w:i/>
      <w:iCs/>
      <w:color w:val="FFFFFF"/>
      <w:spacing w:val="5"/>
    </w:rPr>
  </w:style>
  <w:style w:type="character" w:styleId="Uwydatnienie">
    <w:name w:val="Emphasis"/>
    <w:basedOn w:val="Domylnaczcionkaakapitu"/>
    <w:uiPriority w:val="20"/>
    <w:qFormat/>
    <w:rsid w:val="00AD4C69"/>
    <w:rPr>
      <w:i/>
      <w:iCs/>
      <w:color w:val="FFFFFF"/>
    </w:rPr>
  </w:style>
  <w:style w:type="paragraph" w:styleId="Wcicienormalne">
    <w:name w:val="Normal Indent"/>
    <w:basedOn w:val="Normalny"/>
    <w:uiPriority w:val="99"/>
    <w:semiHidden/>
    <w:unhideWhenUsed/>
    <w:rsid w:val="00AD4C69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AD4C69"/>
    <w:pPr>
      <w:spacing w:after="0"/>
      <w:ind w:left="190" w:hanging="190"/>
    </w:pPr>
  </w:style>
  <w:style w:type="character" w:styleId="Wyrnieniedelikatne">
    <w:name w:val="Subtle Emphasis"/>
    <w:basedOn w:val="Domylnaczcionkaakapitu"/>
    <w:uiPriority w:val="19"/>
    <w:qFormat/>
    <w:rsid w:val="00AD4C69"/>
    <w:rPr>
      <w:i/>
      <w:iCs/>
      <w:color w:val="FFFFFF"/>
    </w:rPr>
  </w:style>
  <w:style w:type="character" w:styleId="Wyrnienieintensywne">
    <w:name w:val="Intense Emphasis"/>
    <w:basedOn w:val="Domylnaczcionkaakapitu"/>
    <w:uiPriority w:val="21"/>
    <w:qFormat/>
    <w:rsid w:val="00AD4C69"/>
    <w:rPr>
      <w:i/>
      <w:iCs/>
      <w:color w:val="FFFFFF"/>
    </w:r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AD4C69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AD4C69"/>
    <w:rPr>
      <w:rFonts w:ascii="Fira Sans" w:hAnsi="Fira Sans"/>
      <w:color w:val="FFFFFF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AD4C69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AD4C69"/>
    <w:rPr>
      <w:rFonts w:ascii="Fira Sans" w:hAnsi="Fira Sans"/>
      <w:color w:val="FFFFFF"/>
      <w:sz w:val="19"/>
    </w:rPr>
  </w:style>
  <w:style w:type="table" w:styleId="Zwykatabela1">
    <w:name w:val="Plain Table 1"/>
    <w:basedOn w:val="Standardowy"/>
    <w:uiPriority w:val="41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AD4C6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Zwykatabela3">
    <w:name w:val="Plain Table 3"/>
    <w:basedOn w:val="Standardowy"/>
    <w:uiPriority w:val="43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Zwykatabela4">
    <w:name w:val="Plain Table 4"/>
    <w:basedOn w:val="Standardowy"/>
    <w:uiPriority w:val="44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5">
    <w:name w:val="Plain Table 5"/>
    <w:basedOn w:val="Standardowy"/>
    <w:uiPriority w:val="45"/>
    <w:rsid w:val="00AD4C6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Zwykytekst">
    <w:name w:val="Plain Text"/>
    <w:basedOn w:val="Normalny"/>
    <w:link w:val="ZwykytekstZnak"/>
    <w:uiPriority w:val="99"/>
    <w:semiHidden/>
    <w:unhideWhenUsed/>
    <w:rsid w:val="00AD4C69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D4C69"/>
    <w:rPr>
      <w:rFonts w:ascii="Consolas" w:hAnsi="Consolas"/>
      <w:color w:val="FFFFF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stat.gov.pl/metainformacje/slownik-pojec/pojecia-stosowane-w-statystyce-publicznej/28,pojecie.html" TargetMode="Externa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5.png"/><Relationship Id="rId25" Type="http://schemas.openxmlformats.org/officeDocument/2006/relationships/hyperlink" Target="http://swaid.stat.gov.pl/WarunkiZyciaLudnosci_dashboards/Raporty_predefiniowane/RAP_DBD_WZL_3.aspx" TargetMode="External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hyperlink" Target="https://stat.gov.pl/metainformacje/slownik-pojec/pojecia-stosowane-w-statystyce-publicznej/1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mailto:m.kaluski@stat.gov.pl" TargetMode="External"/><Relationship Id="rId23" Type="http://schemas.openxmlformats.org/officeDocument/2006/relationships/hyperlink" Target="https://stat.gov.pl/obszary-tematyczne/warunki-zycia/dochody-wydatki-i-warunki-zycia-ludnosci/sytuacja-gospodarstw-domowych-w-2022-r-w-swietle-badania-budzetow-gospodarstw-domowych,3,22.html" TargetMode="External"/><Relationship Id="rId28" Type="http://schemas.openxmlformats.org/officeDocument/2006/relationships/hyperlink" Target="https://stat.gov.pl/metainformacje/slownik-pojec/pojecia-stosowane-w-statystyce-publicznej/6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hyperlink" Target="https://stat.gov.pl/metainformacje/slownik-pojec/pojecia-stosowane-w-statystyce-publicznej/359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hyperlink" Target="https://stat.gov.pl/metainformacje/slownik-pojec/pojecia-stosowane-w-statystyce-publicznej/62,pojecie.html" TargetMode="External"/><Relationship Id="rId30" Type="http://schemas.openxmlformats.org/officeDocument/2006/relationships/hyperlink" Target="https://stat.gov.pl/metainformacje/slownik-pojec/pojecia-stosowane-w-statystyce-publicznej/468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3B439BFA-FD9F-4AF0-B81A-231297F32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7</Pages>
  <Words>2330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Koźmiński Daniel</cp:lastModifiedBy>
  <cp:revision>7</cp:revision>
  <cp:lastPrinted>2023-09-18T08:28:00Z</cp:lastPrinted>
  <dcterms:created xsi:type="dcterms:W3CDTF">2023-09-20T05:35:00Z</dcterms:created>
  <dcterms:modified xsi:type="dcterms:W3CDTF">2023-09-20T08:47:00Z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