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9B7" w:rsidRDefault="004E43BB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Wyniki finansowe przedsiębiorstw niefinansowych </w:t>
      </w:r>
      <w:r>
        <w:rPr>
          <w:shd w:val="clear" w:color="auto" w:fill="FFFFFF"/>
        </w:rPr>
        <w:br/>
        <w:t xml:space="preserve">w województwie zachodniopomorskim w </w:t>
      </w:r>
      <w:r w:rsidR="00595BC9">
        <w:rPr>
          <w:shd w:val="clear" w:color="auto" w:fill="FFFFFF"/>
        </w:rPr>
        <w:t>202</w:t>
      </w:r>
      <w:r w:rsidR="00B64834">
        <w:rPr>
          <w:shd w:val="clear" w:color="auto" w:fill="FFFFFF"/>
        </w:rPr>
        <w:t>1</w:t>
      </w:r>
      <w:r w:rsidR="00595BC9">
        <w:rPr>
          <w:shd w:val="clear" w:color="auto" w:fill="FFFFFF"/>
        </w:rPr>
        <w:t xml:space="preserve"> </w:t>
      </w:r>
      <w:r>
        <w:rPr>
          <w:shd w:val="clear" w:color="auto" w:fill="FFFFFF"/>
        </w:rPr>
        <w:t>r</w:t>
      </w:r>
      <w:r w:rsidR="007039A4">
        <w:rPr>
          <w:shd w:val="clear" w:color="auto" w:fill="FFFFFF"/>
        </w:rPr>
        <w:t>.</w:t>
      </w:r>
    </w:p>
    <w:p w:rsidR="00E430C9" w:rsidRDefault="00E430C9" w:rsidP="009D34FB">
      <w:pPr>
        <w:pStyle w:val="LID"/>
      </w:pPr>
    </w:p>
    <w:p w:rsidR="008826DE" w:rsidRPr="00997E1F" w:rsidRDefault="008826DE" w:rsidP="00BF4C28">
      <w:pPr>
        <w:pStyle w:val="Lead"/>
        <w:spacing w:line="240" w:lineRule="exact"/>
      </w:pPr>
      <w:r w:rsidRPr="007039A4">
        <w:rPr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9C5B62" wp14:editId="455A74E3">
                <wp:simplePos x="0" y="0"/>
                <wp:positionH relativeFrom="column">
                  <wp:posOffset>147955</wp:posOffset>
                </wp:positionH>
                <wp:positionV relativeFrom="paragraph">
                  <wp:posOffset>242570</wp:posOffset>
                </wp:positionV>
                <wp:extent cx="230588" cy="327494"/>
                <wp:effectExtent l="19050" t="19050" r="17145" b="15875"/>
                <wp:wrapNone/>
                <wp:docPr id="19" name="Strzałka w dó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0588" cy="327494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60C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9" o:spid="_x0000_s1026" type="#_x0000_t67" style="position:absolute;margin-left:11.65pt;margin-top:19.1pt;width:18.15pt;height:25.8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G5pwIAAIUFAAAOAAAAZHJzL2Uyb0RvYy54bWysVM1OGzEQvlfqO1i+l01CUkjEBgUQVSUE&#10;qKHi7HjtZIXX446dbODIK/URKt6rY+9miSjqoeoeVjOemW/+5+R0Wxm2UehLsDnvH/Q4U1ZCUdpl&#10;zr/fXX465swHYQthwKqcPyrPT6cfP5zUbqIGsAJTKGQEYv2kdjlfheAmWeblSlXCH4BTloQasBKB&#10;WFxmBYqa0CuTDXq9z1kNWDgEqbyn14tGyKcJX2slw43WXgVmck6xhfTH9F/EfzY9EZMlCrcqZRuG&#10;+IcoKlFactpBXYgg2BrLP6CqUiJ40OFAQpWB1qVUKQfKpt97k818JZxKuVBxvOvK5P8frLze3CIr&#10;C+rdmDMrKurRPOCTeHl+EKxmxa+fL8+MZFSo2vkJ6c/dLbacJzJmvdVYMQSqbr933ItfKgalx7ap&#10;1o9drdU2MEmPg8Pe6JiGQ5LocHA0HA+ji6zBipgOffiioGKRyHkBtZ0hQp2QxebKh0Z/pxdtLFyW&#10;xtC7mBjLavIyGraxeDBlEaVR6HG5ODfINoLGYnQ2PrsYtd731CgWYymkmHaTaKLCo1GNg29KU+Vi&#10;LimmNLOqgxVSKhv6La6xpB3NNIXQGfbfMzSdUasbzVSa5c6wqe9fPXYWySvY0BlXpQV8z3PxsAtX&#10;N/q77JucY/oLKB5pYFKvaZ+8k5cl9edK+HArkFaHHukchBv6aQPUAmgpzlaAT++9R32aaJJyVtMq&#10;5tz/WAtUnJmvlmZ93B8O4+4mZjg6GhCD+5LFvsSuq3OgtvZTdImM+sHsSI1Q3dPVmEWvJBJWku+c&#10;y4A75jw0J4LujlSzWVKjfXUiXNm5kxE8VjWO3t32XqBrhzTQdF/Dbm3F5M2YNrrR0sJsHUCXaYZf&#10;69rWm3Y9rUJ7l+Ix2eeT1uv1nP4GAAD//wMAUEsDBBQABgAIAAAAIQA7z1/03QAAAAcBAAAPAAAA&#10;ZHJzL2Rvd25yZXYueG1sTI7BTsMwEETvSPyDtUhcKuqQQJSEbCqEVJBQL7T9ADde4tB4HcVuG/4e&#10;c4LjaEZvXr2a7SDONPneMcL9MgFB3Drdc4ew363vChA+KNZqcEwI3+Rh1Vxf1arS7sIfdN6GTkQI&#10;+0ohmBDGSkrfGrLKL91IHLtPN1kVYpw6qSd1iXA7yDRJcmlVz/HBqJFeDLXH7ckibN72mcn1uFsv&#10;Xs3XsQzvD4skR7y9mZ+fQASaw98YfvWjOjTR6eBOrL0YENIsi0uErEhBxP6xzEEcEIqyANnU8r9/&#10;8wMAAP//AwBQSwECLQAUAAYACAAAACEAtoM4kv4AAADhAQAAEwAAAAAAAAAAAAAAAAAAAAAAW0Nv&#10;bnRlbnRfVHlwZXNdLnhtbFBLAQItABQABgAIAAAAIQA4/SH/1gAAAJQBAAALAAAAAAAAAAAAAAAA&#10;AC8BAABfcmVscy8ucmVsc1BLAQItABQABgAIAAAAIQC2E4G5pwIAAIUFAAAOAAAAAAAAAAAAAAAA&#10;AC4CAABkcnMvZTJvRG9jLnhtbFBLAQItABQABgAIAAAAIQA7z1/03QAAAAcBAAAPAAAAAAAAAAAA&#10;AAAAAAEFAABkcnMvZG93bnJldi54bWxQSwUGAAAAAAQABADzAAAACwYAAAAA&#10;" adj="13996" filled="f" strokecolor="#5b9bd5" strokeweight="2pt"/>
            </w:pict>
          </mc:Fallback>
        </mc:AlternateContent>
      </w:r>
      <w:r w:rsidRPr="007039A4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E13F37E" wp14:editId="09014FA6">
                <wp:simplePos x="0" y="0"/>
                <wp:positionH relativeFrom="margin">
                  <wp:posOffset>13335</wp:posOffset>
                </wp:positionH>
                <wp:positionV relativeFrom="paragraph">
                  <wp:posOffset>25400</wp:posOffset>
                </wp:positionV>
                <wp:extent cx="2052000" cy="1154430"/>
                <wp:effectExtent l="0" t="0" r="5715" b="7620"/>
                <wp:wrapSquare wrapText="bothSides"/>
                <wp:docPr id="20" name="Pole tekstowe 2" descr="Wzrost przychodów z całokształtu działalności w stosunku do 2020 r. wynióśł 17,9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0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6DE" w:rsidRPr="009B2A4A" w:rsidRDefault="007039A4" w:rsidP="008826D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17</w:t>
                            </w:r>
                            <w:r w:rsidR="008826DE"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="008826DE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8826DE" w:rsidRPr="007D605C" w:rsidRDefault="008826DE" w:rsidP="008826DE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przychodów </w:t>
                            </w:r>
                            <w:r>
                              <w:br/>
                              <w:t>z całokształtu działalności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3F37E" id="_x0000_s1027" alt="Tytuł: Opis wskaźnika — opis: Wzrost przychodów z całokształtu działalności w stosunku do 2020 r. wynióśł 17,9%" style="position:absolute;margin-left:1.05pt;margin-top:2pt;width:161.55pt;height:90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YkkwIAAKgEAAAOAAAAZHJzL2Uyb0RvYy54bWysVE1vEzEQvSPxHyxL3CD7QULaVTdVaSmq&#10;VGhFQZwd25u14vUstpPd5Ni/0Z/RG9cq/4uxk7ZRuSEuXttjv3l+82aPjvtGk6W0ToEpaTZIKZGG&#10;g1BmVtIf38/fHVDiPDOCaTCypCvp6PHk9aujri1kDjVoIS1BEOOKri1p7X1bJInjtWyYG0ArDQYr&#10;sA3zuLSzRFjWIXqjkzxNPyQdWNFa4NI53D3bBukk4leV5P6qqpz0RJcUufk42jhOw5hMjlgxs6yt&#10;Fd/RYP/AomHKYNInqDPmGVlY9RdUo7gFB5UfcGgSqCrFZXwDviZLX7zmpmatjG9BcVz7JJP7f7D8&#10;6/LaEiVKmqM8hjVYo2vQkng5dx46SXJKhHQcNfu5RuqetHa94jWIh/uOrAlnm1uYu7XHr18QsVY4&#10;YdrA5o4r0mHxwS3MHCNA8jRPiR2QbmXUw/3mbnNLsvHbwzdYF+U1Zr5qlSOdm7PNb6PmLFSna12B&#10;JG9apOn7j9Cjy6LSrr0EPnfEwGnNzEyeWAtdLZlAdbJwM9m7usVxAWTafQGBudjCQwTqK9uE0mEx&#10;CKKjDKsnZ8jeE46beTpCt2GIYyzLRsPh++idhBWP11vr/GcJDerj0GYWFkZ8Q//FHGx56XzgxIrH&#10;cyGlA63EudI6LuxseqotWbLg1TQ7G4/jM14c04Z0JT0c5aOIbCDcjzZulMde0qop6QGSRbpxO2jy&#10;yYg490zp7RyZaLMTKeiyVcj30z66ISoYBJyCWKFqFratg62OkxrsmpIO26ak7teCWUmJvjCo/GE2&#10;HKJMPi6Go3Fwld2PTPcjzKCR0Fmeku301MfeDHIYOMEKVSrK9sxkRxnbIaq5a93Qb/vreOr5BzP5&#10;AwAA//8DAFBLAwQUAAYACAAAACEA3nF+I90AAAAHAQAADwAAAGRycy9kb3ducmV2LnhtbEyPwU7D&#10;MBBE70j8g7VIXCLqNKUoSuNUFCkc6ImU3t3YjSPidWS7Tfh7lhM9ruZp5m25ne3ArtqH3qGA5SIF&#10;prF1qsdOwNehfsqBhShRycGhFvCjA2yr+7tSFspN+KmvTewYlWAopAAT41hwHlqjrQwLN2qk7Oy8&#10;lZFO33Hl5UTlduBZmr5wK3ukBSNH/WZ0+91crICdP++bdDUHszt87JO6To7vUyLE48P8ugEW9Rz/&#10;YfjTJ3WoyOnkLqgCGwRkSwIFPNNDlK6ydQbsRFi+zoFXJb/1r34BAAD//wMAUEsBAi0AFAAGAAgA&#10;AAAhALaDOJL+AAAA4QEAABMAAAAAAAAAAAAAAAAAAAAAAFtDb250ZW50X1R5cGVzXS54bWxQSwEC&#10;LQAUAAYACAAAACEAOP0h/9YAAACUAQAACwAAAAAAAAAAAAAAAAAvAQAAX3JlbHMvLnJlbHNQSwEC&#10;LQAUAAYACAAAACEAvgJWJJMCAACoBAAADgAAAAAAAAAAAAAAAAAuAgAAZHJzL2Uyb0RvYy54bWxQ&#10;SwECLQAUAAYACAAAACEA3nF+I90AAAAHAQAADwAAAAAAAAAAAAAAAADtBAAAZHJzL2Rvd25yZXYu&#10;eG1sUEsFBgAAAAAEAAQA8wAAAPcFAAAAAA==&#10;" fillcolor="#001d77" stroked="f">
                <v:stroke joinstyle="miter"/>
                <v:textbox>
                  <w:txbxContent>
                    <w:p w:rsidR="008826DE" w:rsidRPr="009B2A4A" w:rsidRDefault="007039A4" w:rsidP="008826D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17</w:t>
                      </w:r>
                      <w:r w:rsidR="008826DE"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</w:t>
                      </w:r>
                      <w:r w:rsidR="008826DE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8826DE" w:rsidRPr="007D605C" w:rsidRDefault="008826DE" w:rsidP="008826DE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 xml:space="preserve">Wzrost przychodów </w:t>
                      </w:r>
                      <w:r>
                        <w:br/>
                        <w:t>z całokształtu działalności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4834" w:rsidRPr="00B64834">
        <w:t xml:space="preserve">W 2021 r. wyniki finansowe badanych przedsiębiorstw były znacznie wyższe </w:t>
      </w:r>
      <w:r w:rsidR="00B64834">
        <w:br/>
      </w:r>
      <w:r w:rsidR="00B64834" w:rsidRPr="00B64834">
        <w:t xml:space="preserve">od uzyskanych rok wcześniej. </w:t>
      </w:r>
      <w:r w:rsidR="004C2063" w:rsidRPr="004C2063">
        <w:t xml:space="preserve">Większość </w:t>
      </w:r>
      <w:r w:rsidR="004C2063">
        <w:br/>
      </w:r>
      <w:r w:rsidR="004C2063" w:rsidRPr="004C2063">
        <w:t xml:space="preserve">wskaźników ekonomiczno-finansowych </w:t>
      </w:r>
      <w:r w:rsidR="004C2063">
        <w:br/>
      </w:r>
      <w:r w:rsidR="004C2063" w:rsidRPr="004C2063">
        <w:t>uległa poprawie.</w:t>
      </w:r>
      <w:r w:rsidR="004C2063">
        <w:t xml:space="preserve"> </w:t>
      </w:r>
      <w:r w:rsidR="00B64834" w:rsidRPr="00B64834">
        <w:t xml:space="preserve">Odnotowano spadek </w:t>
      </w:r>
      <w:r w:rsidR="004C2063">
        <w:br/>
      </w:r>
      <w:r w:rsidR="00B64834" w:rsidRPr="00B64834">
        <w:t>nakładów inwestycyjnych</w:t>
      </w:r>
      <w:r>
        <w:rPr>
          <w:shd w:val="clear" w:color="auto" w:fill="FFFFFF"/>
        </w:rPr>
        <w:t>.</w:t>
      </w:r>
    </w:p>
    <w:p w:rsidR="008826DE" w:rsidRDefault="008826DE" w:rsidP="008826DE">
      <w:pPr>
        <w:rPr>
          <w:shd w:val="clear" w:color="auto" w:fill="FFFFFF"/>
        </w:rPr>
      </w:pPr>
    </w:p>
    <w:p w:rsidR="00B64834" w:rsidRDefault="008826DE" w:rsidP="008826DE">
      <w:r w:rsidRPr="00E430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D82F364" wp14:editId="1259529F">
                <wp:simplePos x="0" y="0"/>
                <wp:positionH relativeFrom="column">
                  <wp:posOffset>5189579</wp:posOffset>
                </wp:positionH>
                <wp:positionV relativeFrom="paragraph">
                  <wp:posOffset>91964</wp:posOffset>
                </wp:positionV>
                <wp:extent cx="1907540" cy="709295"/>
                <wp:effectExtent l="0" t="0" r="0" b="0"/>
                <wp:wrapTight wrapText="bothSides">
                  <wp:wrapPolygon edited="0">
                    <wp:start x="647" y="0"/>
                    <wp:lineTo x="647" y="20885"/>
                    <wp:lineTo x="20924" y="20885"/>
                    <wp:lineTo x="20924" y="0"/>
                    <wp:lineTo x="647" y="0"/>
                  </wp:wrapPolygon>
                </wp:wrapTight>
                <wp:docPr id="11" name="Pole tekstowe 2" descr="Wzrost przychodów z całokształtu działalności w porównaniu z 2020 r. &#10;wyniósł 17,9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9E6" w:rsidRPr="00C976DA" w:rsidRDefault="00B64834" w:rsidP="00603087">
                            <w:pPr>
                              <w:pStyle w:val="tekstzboku"/>
                            </w:pPr>
                            <w:r w:rsidRPr="00B64834">
                              <w:t xml:space="preserve">Wzrost przychodów z </w:t>
                            </w:r>
                            <w:r>
                              <w:t>całokształ</w:t>
                            </w:r>
                            <w:r w:rsidRPr="00B64834">
                              <w:t>tu działalności w porównaniu z 2020 r. wyniósł 17,9%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F364" id="_x0000_s1028" type="#_x0000_t202" alt="Wzrost przychodów z całokształtu działalności w porównaniu z 2020 r. &#10;wyniósł 17,9%&#10;" style="position:absolute;margin-left:408.65pt;margin-top:7.25pt;width:150.2pt;height:55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VubAIAAGwEAAAOAAAAZHJzL2Uyb0RvYy54bWysVNFu0zAUfUfiH66M4AmaNFrpWpZOYzCE&#10;NGDSQDy7jtNYc3yN7S5pH/cbfMY+Ydp/ce10o4I3RB4cO9c+955zj3N03LcarqXzCk3JxqOcgTQC&#10;K2VWJfv29ezVIQMfuKm4RiNLtpGeHS+ePjnq7FwW2KCupAMCMX7e2ZI1Idh5lnnRyJb7EVppKFij&#10;a3mgpVtlleMdobc6K/L8ddahq6xDIb2nr++GIFsk/LqWInypay8D6JJRbSGNLo3LOGaLIz5fOW4b&#10;JXZl8H+oouXKUNJHqHc8cFg79RdUq4RDj3UYCWwzrGslZOJAbMb5H2wuG25l4kLiePsok/9/sOLz&#10;9YUDVVHvxgwMb6lHF6glBHnlA3YSCgaV9II0+76l0gNYt92IBqu72w62IPj9DV75baB3WEO1VTTh&#10;2uD9T6GgA4uONhpu1Jp2F3mRgxvBi2f9yZtuY9Tdrb+/gfH05ex5+hYb0lk/p7ouLVUW+rfYU3FJ&#10;XG/PUVx5MHjacLOSJ85h10hekSDjeDLbOzrg+Aiy7D5hRcT4OmAC6mvXxm6R/kDoZIzNoxlkH0DE&#10;lLN8OjmgkKDYNJ8Vs0lKwecPp63z4YPElhTxZCxHZkvo/Prch1gNnz9sickMnimtk+G0ga5ks0kx&#10;SQf2Iq0KdB+0akt2mMdncGgk+d5U6XDgSg9zSqDNjnUkOlAO/bJPHS0exFxitSEZHA72p+tKkwbd&#10;lkFH1i+Z/7HmTjLQHw1JORsfRN4hLQ4m04IWbj+y3I9wQ2YgdwQGw/Q0pPs1UD4hyWuV1Ii9GSrZ&#10;lUyWTiLtrl+8M/vrtOv3T2LxCwAA//8DAFBLAwQUAAYACAAAACEAr1hqqt8AAAALAQAADwAAAGRy&#10;cy9kb3ducmV2LnhtbEyPwU7DMAyG70i8Q2Qkbixp2dZRmk4IxBW0AZN2yxqvrWicqsnW8vZ4J7jZ&#10;+j/9/lysJ9eJMw6h9aQhmSkQSJW3LdUaPj9e71YgQjRkTecJNfxggHV5fVWY3PqRNnjexlpwCYXc&#10;aGhi7HMpQ9WgM2HmeyTOjn5wJvI61NIOZuRy18lUqaV0piW+0Jgenxusvrcnp+Hr7bjfzdV7/eIW&#10;/egnJck9SK1vb6anRxARp/gHw0Wf1aFkp4M/kQ2i07BKsntGOZgvQFyAJMkyEAee0mUKsizk/x/K&#10;XwAAAP//AwBQSwECLQAUAAYACAAAACEAtoM4kv4AAADhAQAAEwAAAAAAAAAAAAAAAAAAAAAAW0Nv&#10;bnRlbnRfVHlwZXNdLnhtbFBLAQItABQABgAIAAAAIQA4/SH/1gAAAJQBAAALAAAAAAAAAAAAAAAA&#10;AC8BAABfcmVscy8ucmVsc1BLAQItABQABgAIAAAAIQAogFVubAIAAGwEAAAOAAAAAAAAAAAAAAAA&#10;AC4CAABkcnMvZTJvRG9jLnhtbFBLAQItABQABgAIAAAAIQCvWGqq3wAAAAsBAAAPAAAAAAAAAAAA&#10;AAAAAMYEAABkcnMvZG93bnJldi54bWxQSwUGAAAAAAQABADzAAAA0gUAAAAA&#10;" filled="f" stroked="f">
                <v:textbox>
                  <w:txbxContent>
                    <w:p w:rsidR="00B019E6" w:rsidRPr="00C976DA" w:rsidRDefault="00B64834" w:rsidP="00603087">
                      <w:pPr>
                        <w:pStyle w:val="tekstzboku"/>
                      </w:pPr>
                      <w:r w:rsidRPr="00B64834">
                        <w:t xml:space="preserve">Wzrost przychodów z </w:t>
                      </w:r>
                      <w:r>
                        <w:t>całokształ</w:t>
                      </w:r>
                      <w:r w:rsidRPr="00B64834">
                        <w:t>tu działalności w porównaniu z 2020 r. wyniósł 17,9%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231AB">
        <w:rPr>
          <w:shd w:val="clear" w:color="auto" w:fill="FFFFFF"/>
        </w:rPr>
        <w:br/>
      </w:r>
      <w:r w:rsidR="00B64834" w:rsidRPr="00B64834">
        <w:t>W 2021 r. badaniem wyników finansowych objęto 1756 przedsiębiorstw niefinansowych</w:t>
      </w:r>
      <w:r w:rsidR="007039A4">
        <w:rPr>
          <w:rStyle w:val="Odwoanieprzypisudolnego"/>
        </w:rPr>
        <w:footnoteReference w:id="1"/>
      </w:r>
      <w:r w:rsidR="00B64834" w:rsidRPr="00B64834">
        <w:t>, tj. o</w:t>
      </w:r>
      <w:r w:rsidR="00B64834">
        <w:t> </w:t>
      </w:r>
      <w:r w:rsidR="00B64834" w:rsidRPr="00B64834">
        <w:t>79 (o 4,3%) mniej niż w 2020 r. Wśród podmiotów przeważały jednostki o liczbie pracujących 10-49 osób i stanowiły one 64,6% badanej grupy. Udz</w:t>
      </w:r>
      <w:r w:rsidR="00B64834">
        <w:t>iał podmiotów o liczbie pracują</w:t>
      </w:r>
      <w:r w:rsidR="00B64834" w:rsidRPr="00B64834">
        <w:t>cych 50 osób i więcej wyniósł 35,4%.</w:t>
      </w:r>
    </w:p>
    <w:p w:rsidR="00897258" w:rsidRDefault="00B64834" w:rsidP="00B637A7">
      <w:r>
        <w:t xml:space="preserve">Przychody z całokształtu działalności badanych podmiotów w 2021 r. wyniosły 99877,9 mln zł (o 17,9% więcej niż przed rokiem), a koszty ich uzyskania – 93802,9 mln zł (o 16,9% więcej). Nieznacznie zmniejszył się wskaźnik poziomu kosztów (z 94,8% w 2020 r. do 93,9%). Wyższe niż przed rokiem były przychody netto ze sprzedaży produktów, towarów i materiałów oraz koszty tej działalności (odpowiednio o 18,6% i 17,7%). Poziom przychodów netto ze sprzedaży produktów, towarów i materiałów na eksport był o 27,5% wyższy niż w 2020 r. Udział tych przychodów w przychodach netto ze sprzedaży produktów, towarów i materiałów ogółu </w:t>
      </w:r>
      <w:r>
        <w:br/>
        <w:t>badanych podmiotów zwiększył się z 30,4% do 31,9%.</w:t>
      </w:r>
    </w:p>
    <w:p w:rsidR="00B64834" w:rsidRDefault="006E1F0E" w:rsidP="00B64834">
      <w:r w:rsidRPr="00E430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9BC085C" wp14:editId="07C363E6">
                <wp:simplePos x="0" y="0"/>
                <wp:positionH relativeFrom="column">
                  <wp:posOffset>5219065</wp:posOffset>
                </wp:positionH>
                <wp:positionV relativeFrom="paragraph">
                  <wp:posOffset>711200</wp:posOffset>
                </wp:positionV>
                <wp:extent cx="1871345" cy="552450"/>
                <wp:effectExtent l="0" t="0" r="0" b="0"/>
                <wp:wrapSquare wrapText="bothSides"/>
                <wp:docPr id="13" name="Pole tekstowe 13" descr="Wynik finansowy netto był wyższy o 40,1%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58" w:rsidRDefault="00897258" w:rsidP="00603087">
                            <w:pPr>
                              <w:pStyle w:val="tekstzboku"/>
                            </w:pPr>
                            <w:r>
                              <w:t xml:space="preserve">Wynik finansowy netto był wyższy o </w:t>
                            </w:r>
                            <w:r w:rsidR="00B64834" w:rsidRPr="00B64834">
                              <w:t>40,1</w:t>
                            </w:r>
                            <w:r>
                              <w:t>%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085C" id="Pole tekstowe 13" o:spid="_x0000_s1029" type="#_x0000_t202" alt="Wynik finansowy netto był wyższy o 40,1% niż przed rokiem" style="position:absolute;margin-left:410.95pt;margin-top:56pt;width:147.35pt;height:43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LqTQIAAEUEAAAOAAAAZHJzL2Uyb0RvYy54bWysU8Fu2zAMvQ/YPxACdtviJI3X1qhTdO06&#10;DOi2At2wsyLLsRBZ1CS1tnvcd/Wa/xolp1mw3Yb5IIii+cj3SJ6d962GB+m8QlOy2WTKQBqBlTLr&#10;kn37ev3mhIEP3FRco5ElG6Rn58uXL846W8g5Nqgr6YBAjC86W7ImBFtkmReNbLmfoJWGnDW6lgcy&#10;3TqrHO8IvdXZfDp9m3XoKutQSO/p9Wp0smXCr2spwpe69jKALhnVFtLp0rmKZ7Y848XacdsosSuD&#10;/0MVLVeGku6hrnjgcO/UX1CtEg491mEisM2wrpWQiQOxmU3/YHPXcCsTFxLH271M/v/Bis8Ptw5U&#10;Rb07YmB4Sz26RS0hyI0P2EmI75X0gkT7Phi1gVoZbjx2AxgZAsJq2P6Ebtg++ccBEBbT17NXYNT2&#10;Cax7lBU43CjZRqU76wtKeGcpZejfYU9Zk2re3qDYeDB42XCzlhfOYddIXhHTWYzMDkJHHB9BVt0n&#10;rKhifh8wAfW1a2MbSFggdOr4sO+y7AOImPLkeHa0yBkI8uX5fJGnMch48RxtnQ8fJLZEwNPEOJqi&#10;hM4fbnyI1fDi+ZeYzOC10jpNkjbQlew0n+cp4MDTqkCDrlVbspNp/MbRiyTfmyoFB670eKcE2uxY&#10;R6Ij5dCv+tSqo2cxV1gNJIPDca5pD+nSoHtk0NFMl8z/uOdOMtAfDUl5Olss4hIkY5Efz8lwh57V&#10;oYcbQVAlCwzG62VIizNSviDJa5XUiL0ZK9mVTLOaRNrtVVyGQzv99Xv7l78AAAD//wMAUEsDBBQA&#10;BgAIAAAAIQBqtMer3gAAAAwBAAAPAAAAZHJzL2Rvd25yZXYueG1sTI/BTsMwEETvSPyDtUjcqO0I&#10;oibEqRCIK4gWkLi58TaJiNdR7Dbh79me4LajeZqdqTaLH8QJp9gHMqBXCgRSE1xPrYH33fPNGkRM&#10;lpwdAqGBH4ywqS8vKlu6MNMbnrapFRxCsbQGupTGUsrYdOhtXIURib1DmLxNLKdWusnOHO4HmSmV&#10;S2974g+dHfGxw+Z7e/QGPl4OX5+36rV98nfjHBYlyRfSmOur5eEeRMIl/cFwrs/VoeZO+3AkF8Vg&#10;YJ3pglE2dMajzoTWeQ5iz1dRKJB1Jf+PqH8BAAD//wMAUEsBAi0AFAAGAAgAAAAhALaDOJL+AAAA&#10;4QEAABMAAAAAAAAAAAAAAAAAAAAAAFtDb250ZW50X1R5cGVzXS54bWxQSwECLQAUAAYACAAAACEA&#10;OP0h/9YAAACUAQAACwAAAAAAAAAAAAAAAAAvAQAAX3JlbHMvLnJlbHNQSwECLQAUAAYACAAAACEA&#10;bIqi6k0CAABFBAAADgAAAAAAAAAAAAAAAAAuAgAAZHJzL2Uyb0RvYy54bWxQSwECLQAUAAYACAAA&#10;ACEAarTHq94AAAAMAQAADwAAAAAAAAAAAAAAAACnBAAAZHJzL2Rvd25yZXYueG1sUEsFBgAAAAAE&#10;AAQA8wAAALIFAAAAAA==&#10;" filled="f" stroked="f">
                <v:textbox>
                  <w:txbxContent>
                    <w:p w:rsidR="00897258" w:rsidRDefault="00897258" w:rsidP="00603087">
                      <w:pPr>
                        <w:pStyle w:val="tekstzboku"/>
                      </w:pPr>
                      <w:r>
                        <w:t xml:space="preserve">Wynik finansowy netto był wyższy o </w:t>
                      </w:r>
                      <w:r w:rsidR="00B64834" w:rsidRPr="00B64834">
                        <w:t>40,1</w:t>
                      </w:r>
                      <w:r>
                        <w:t>% niż przed rokiem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4834">
        <w:t xml:space="preserve">Wynik finansowy ze sprzedaży produktów, towarów i materiałów wyniósł 5208,2 mln zł i był o 1379,2 mln zł wyższy niż w 2020 r. Wynik finansowy z pozostałej działalności operacyjnej w skali roku zwiększył się o 346,8 mln zł do 1192,0 mln zł. Wynik na operacjach finansowych </w:t>
      </w:r>
      <w:r w:rsidR="00FA7968">
        <w:t>spadł</w:t>
      </w:r>
      <w:r w:rsidR="00B64834">
        <w:t xml:space="preserve"> do </w:t>
      </w:r>
      <w:r w:rsidR="00FA7968">
        <w:t>minus 325,2</w:t>
      </w:r>
      <w:r w:rsidR="00B64834">
        <w:t xml:space="preserve"> mln zł (wobec minus 239,8 mln zł w roku poprzednim)</w:t>
      </w:r>
      <w:r w:rsidR="00712103">
        <w:t>.</w:t>
      </w:r>
    </w:p>
    <w:p w:rsidR="00B64834" w:rsidRDefault="00B64834" w:rsidP="00B64834">
      <w:r>
        <w:t>Wynik finansowy brutto wyniósł 6075,0 mln zł (wobec 44</w:t>
      </w:r>
      <w:bookmarkStart w:id="0" w:name="_GoBack"/>
      <w:bookmarkEnd w:id="0"/>
      <w:r>
        <w:t xml:space="preserve">34,4 mln zł przed rokiem), a jego </w:t>
      </w:r>
      <w:r>
        <w:br/>
        <w:t>obciążenia ukształtowały się na poziomie 770,8 mln zł (wobec 648,6 mln zł). Wynik finansowy netto wyniósł 5304,2 mln zł i był o 40,1% wyższy niż w 2020 r. Zysk netto wyniósł 6008,4 mln zł, tj. o 39,9% więcej od uzyskanego w roku poprzednim. Strata netto ukształtowała się na poziomie 704,2 mln zł i zwiększyła się o 38,4%. Zysk netto wykazało 81,3% ogółu przedsiębiorstw (wobec 76,9% przed rokiem). W przetwórstwie przemysłowym zysk netto odnotowało 80,7% jednostek (przed rokiem – 78,8%), a udział uzyskanych przez nie przychodów w przychodach wszystkich podmiotów tej sekcji stanowił również 80,7% (przed rokiem – 90,7%</w:t>
      </w:r>
      <w:r w:rsidR="00712103">
        <w:t>).</w:t>
      </w:r>
    </w:p>
    <w:p w:rsidR="007039A4" w:rsidRDefault="007039A4" w:rsidP="00B64834"/>
    <w:p w:rsidR="001C780E" w:rsidRDefault="001C780E" w:rsidP="00B64834"/>
    <w:p w:rsidR="007039A4" w:rsidRDefault="001C780E" w:rsidP="00B64834">
      <w:r>
        <w:br w:type="page"/>
      </w:r>
    </w:p>
    <w:p w:rsidR="00C16F88" w:rsidRDefault="008C04BC" w:rsidP="006E1881">
      <w:pPr>
        <w:pStyle w:val="tytuwykresu"/>
      </w:pPr>
      <w:r w:rsidRPr="000B59D7">
        <w:lastRenderedPageBreak/>
        <w:t xml:space="preserve">Tablica 1. Podstawowe dane o </w:t>
      </w:r>
      <w:r w:rsidRPr="006E1881">
        <w:t>badanych</w:t>
      </w:r>
      <w:r w:rsidRPr="000B59D7">
        <w:t xml:space="preserve"> podmiotach</w:t>
      </w:r>
      <w:r w:rsidR="009879D6">
        <w:t xml:space="preserve">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Podstawowe dane o badanych podmiotach "/>
      </w:tblPr>
      <w:tblGrid>
        <w:gridCol w:w="3860"/>
        <w:gridCol w:w="1320"/>
        <w:gridCol w:w="1320"/>
        <w:gridCol w:w="1480"/>
      </w:tblGrid>
      <w:tr w:rsidR="0014094E" w:rsidRPr="00957F9B" w:rsidTr="00E108AC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14094E" w:rsidRPr="006E1881" w:rsidRDefault="0014094E" w:rsidP="00EE5BB8">
            <w:pPr>
              <w:pStyle w:val="glowkatablicy"/>
            </w:pPr>
            <w:r w:rsidRPr="006E1881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14094E" w:rsidRPr="006E1881" w:rsidRDefault="001547AF" w:rsidP="00EE5BB8">
            <w:pPr>
              <w:pStyle w:val="glowkatablicy"/>
            </w:pPr>
            <w:r>
              <w:t xml:space="preserve">01-12 </w:t>
            </w:r>
            <w:r w:rsidR="0014094E" w:rsidRPr="006E1881">
              <w:t>20</w:t>
            </w:r>
            <w:r w:rsidR="00923B5C" w:rsidRPr="006E1881">
              <w:t>20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:rsidR="0014094E" w:rsidRPr="006E1881" w:rsidRDefault="001547AF" w:rsidP="00EE5BB8">
            <w:pPr>
              <w:pStyle w:val="glowkatablicy"/>
            </w:pPr>
            <w:r>
              <w:t xml:space="preserve">01-12 </w:t>
            </w:r>
            <w:r w:rsidR="0014094E" w:rsidRPr="006E1881">
              <w:t>20</w:t>
            </w:r>
            <w:r w:rsidR="001D6288" w:rsidRPr="006E1881">
              <w:t>2</w:t>
            </w:r>
            <w:r w:rsidR="006E1881" w:rsidRPr="006E1881">
              <w:t>1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14094E" w:rsidRPr="006E1881" w:rsidRDefault="001547AF" w:rsidP="00EE5BB8">
            <w:pPr>
              <w:pStyle w:val="glowkatablicy"/>
            </w:pPr>
            <w:r>
              <w:t xml:space="preserve">01-12 </w:t>
            </w:r>
            <w:r w:rsidR="0014094E" w:rsidRPr="006E1881">
              <w:t>20</w:t>
            </w:r>
            <w:r w:rsidR="00923B5C" w:rsidRPr="006E1881">
              <w:t>20</w:t>
            </w:r>
            <w:r w:rsidR="0014094E" w:rsidRPr="006E1881">
              <w:t>=100</w:t>
            </w:r>
          </w:p>
        </w:tc>
      </w:tr>
      <w:tr w:rsidR="0014094E" w:rsidRPr="00957F9B" w:rsidTr="00E108AC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14094E" w:rsidRPr="00957F9B" w:rsidRDefault="0014094E" w:rsidP="008E5B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14094E" w:rsidRPr="00E108AC" w:rsidRDefault="0014094E" w:rsidP="00EE5BB8">
            <w:pPr>
              <w:pStyle w:val="glowkatablicy"/>
            </w:pPr>
            <w:r w:rsidRPr="00E108AC">
              <w:t>w milionach złotych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14094E" w:rsidRDefault="0014094E" w:rsidP="00E47508">
            <w:pPr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35166E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35166E" w:rsidRPr="00E108AC" w:rsidRDefault="0035166E" w:rsidP="0035166E">
            <w:pPr>
              <w:pStyle w:val="boczek"/>
            </w:pPr>
            <w:r w:rsidRPr="00E108AC">
              <w:t>Przychody z całokształtu działalności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84707,4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99877,9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117,9</w:t>
            </w:r>
          </w:p>
        </w:tc>
      </w:tr>
      <w:tr w:rsidR="0035166E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35166E" w:rsidRPr="00E108AC" w:rsidRDefault="0035166E" w:rsidP="0035166E">
            <w:pPr>
              <w:pStyle w:val="boczek1wciecie"/>
            </w:pPr>
            <w:r w:rsidRPr="00E108AC">
              <w:t xml:space="preserve">w tym przychody netto ze sprzedaży </w:t>
            </w:r>
            <w:r w:rsidR="00693875">
              <w:br/>
            </w:r>
            <w:r w:rsidRPr="00E108AC">
              <w:t>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82116,7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97375,3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118,6</w:t>
            </w:r>
          </w:p>
        </w:tc>
      </w:tr>
      <w:tr w:rsidR="0035166E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35166E" w:rsidRPr="00E108AC" w:rsidRDefault="0035166E" w:rsidP="0035166E">
            <w:pPr>
              <w:pStyle w:val="boczek"/>
            </w:pPr>
            <w:r w:rsidRPr="00E108AC">
              <w:t xml:space="preserve">Koszty uzyskania przychodów </w:t>
            </w:r>
            <w:r w:rsidR="00693875">
              <w:br/>
            </w:r>
            <w:r w:rsidRPr="00E108AC">
              <w:t>z całokształtu działalności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80273,0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93802,9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116,9</w:t>
            </w:r>
          </w:p>
        </w:tc>
      </w:tr>
      <w:tr w:rsidR="0035166E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35166E" w:rsidRPr="00E108AC" w:rsidRDefault="0035166E" w:rsidP="0035166E">
            <w:pPr>
              <w:pStyle w:val="boczek1wciecie"/>
            </w:pPr>
            <w:r w:rsidRPr="00E108AC">
              <w:t>w tym koszty sprzedanych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78287,7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92167,1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117,7</w:t>
            </w:r>
          </w:p>
        </w:tc>
      </w:tr>
      <w:tr w:rsidR="0035166E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35166E" w:rsidRPr="00E108AC" w:rsidRDefault="0035166E" w:rsidP="0035166E">
            <w:pPr>
              <w:pStyle w:val="boczek"/>
            </w:pPr>
            <w:r w:rsidRPr="00E108AC">
              <w:t>Wynik finansowy ze sprzedaży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3829,0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5208,2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136,0</w:t>
            </w:r>
          </w:p>
        </w:tc>
      </w:tr>
      <w:tr w:rsidR="0035166E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35166E" w:rsidRPr="00E108AC" w:rsidRDefault="0035166E" w:rsidP="0035166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108AC">
              <w:rPr>
                <w:rFonts w:eastAsia="Times New Roman" w:cs="Calibri"/>
                <w:color w:val="000000"/>
                <w:szCs w:val="19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4434,4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6075,0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35166E" w:rsidRPr="00E108AC" w:rsidRDefault="0035166E" w:rsidP="0035166E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137,0</w:t>
            </w:r>
          </w:p>
        </w:tc>
      </w:tr>
      <w:tr w:rsidR="00EE4057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E4057" w:rsidRPr="00E108AC" w:rsidRDefault="00EE4057" w:rsidP="00EE405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Wynik finansowy na pozostałej </w:t>
            </w:r>
            <w:r w:rsidR="00693875">
              <w:rPr>
                <w:rFonts w:eastAsia="Times New Roman" w:cs="Calibri"/>
                <w:color w:val="000000"/>
                <w:szCs w:val="19"/>
                <w:lang w:eastAsia="pl-PL"/>
              </w:rPr>
              <w:br/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działalności operacyjnej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845,2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Default="00EE4057" w:rsidP="00EE4057">
            <w:pPr>
              <w:pStyle w:val="dane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1192,0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Default="00EE4057" w:rsidP="00EE4057">
            <w:pPr>
              <w:pStyle w:val="dane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141,0</w:t>
            </w:r>
          </w:p>
        </w:tc>
      </w:tr>
      <w:tr w:rsidR="00EE4057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E4057" w:rsidRPr="00E108AC" w:rsidRDefault="00EE4057" w:rsidP="00EE405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- 239,8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Default="00EE4057" w:rsidP="00EE4057">
            <w:pPr>
              <w:pStyle w:val="dane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1058,4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Default="00EE4057" w:rsidP="00EE4057">
            <w:pPr>
              <w:pStyle w:val="dane"/>
              <w:rPr>
                <w:rFonts w:cs="Calibri"/>
                <w:color w:val="000000"/>
                <w:szCs w:val="19"/>
              </w:rPr>
            </w:pPr>
            <w:r w:rsidRPr="00E108AC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</w:p>
        </w:tc>
      </w:tr>
      <w:tr w:rsidR="00EE4057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Wynik finansowy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3785,7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5304,2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140,1</w:t>
            </w:r>
          </w:p>
        </w:tc>
      </w:tr>
      <w:tr w:rsidR="00EE4057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Zysk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4294,4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6008,4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139,9</w:t>
            </w:r>
          </w:p>
        </w:tc>
      </w:tr>
      <w:tr w:rsidR="00EE4057" w:rsidRPr="00957F9B" w:rsidTr="008D0BCA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Strata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508,7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704,2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108AC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138,4</w:t>
            </w:r>
          </w:p>
        </w:tc>
      </w:tr>
      <w:tr w:rsidR="00EE4057" w:rsidRPr="00957F9B" w:rsidTr="00E108AC">
        <w:trPr>
          <w:trHeight w:val="204"/>
        </w:trPr>
        <w:tc>
          <w:tcPr>
            <w:tcW w:w="7980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EE4057" w:rsidRPr="00E108AC" w:rsidRDefault="00EE4057" w:rsidP="00EE4057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108AC">
              <w:rPr>
                <w:rFonts w:eastAsia="Times New Roman" w:cs="Calibri"/>
                <w:color w:val="000000"/>
                <w:szCs w:val="19"/>
                <w:lang w:eastAsia="pl-PL"/>
              </w:rPr>
              <w:t>w %</w:t>
            </w:r>
          </w:p>
        </w:tc>
      </w:tr>
      <w:tr w:rsidR="00EE4057" w:rsidRPr="00957F9B" w:rsidTr="00E108AC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Wskaźnik poziomu kosztów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94,8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93,9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</w:p>
        </w:tc>
      </w:tr>
      <w:tr w:rsidR="00EE4057" w:rsidRPr="00957F9B" w:rsidTr="00E108AC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Wskaźnik rentowności sprzedaży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</w:p>
        </w:tc>
      </w:tr>
      <w:tr w:rsidR="00EE4057" w:rsidRPr="00957F9B" w:rsidTr="00E108AC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Wskaźnik rentowności obrotu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5,2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</w:p>
        </w:tc>
      </w:tr>
      <w:tr w:rsidR="00EE4057" w:rsidRPr="00957F9B" w:rsidTr="00E108AC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Wskaźnik rentowności obrotu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4,5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</w:p>
        </w:tc>
      </w:tr>
      <w:tr w:rsidR="00EE4057" w:rsidRPr="00957F9B" w:rsidTr="00E108AC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Wskaźnik płynności finansowej 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50,5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36,3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</w:p>
        </w:tc>
      </w:tr>
      <w:tr w:rsidR="00EE4057" w:rsidRPr="00957F9B" w:rsidTr="00E108AC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E4057" w:rsidRPr="00E108AC" w:rsidRDefault="00EE4057" w:rsidP="00EE4057">
            <w:pPr>
              <w:pStyle w:val="boczek"/>
            </w:pPr>
            <w:r w:rsidRPr="00E108AC">
              <w:t>Wskaźnik płynności finansowej II stopnia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>
              <w:rPr>
                <w:rFonts w:cs="Calibri"/>
                <w:color w:val="000000"/>
                <w:szCs w:val="19"/>
              </w:rPr>
              <w:t>88,1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4057" w:rsidRPr="00EE5BB8" w:rsidRDefault="00EE4057" w:rsidP="00EE4057">
            <w:pPr>
              <w:pStyle w:val="dane"/>
            </w:pPr>
            <w:r w:rsidRPr="00E108AC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</w:p>
        </w:tc>
      </w:tr>
    </w:tbl>
    <w:p w:rsidR="001C780E" w:rsidRDefault="001C780E" w:rsidP="004C1DAA">
      <w:pPr>
        <w:pStyle w:val="styltekstbezrobocie"/>
        <w:spacing w:line="240" w:lineRule="atLeast"/>
        <w:ind w:left="0" w:firstLine="0"/>
        <w:jc w:val="left"/>
        <w:rPr>
          <w:rFonts w:ascii="Fira Sans" w:hAnsi="Fira Sans"/>
          <w:spacing w:val="-2"/>
          <w:sz w:val="19"/>
          <w:szCs w:val="19"/>
        </w:rPr>
      </w:pPr>
    </w:p>
    <w:p w:rsidR="0035166E" w:rsidRDefault="0035166E" w:rsidP="0035166E">
      <w:r>
        <w:t xml:space="preserve">Wskaźnik poziomu kosztów dla ogółu przedsiębiorstw wyniósł 93,9% (wobec 94,8% przed </w:t>
      </w:r>
      <w:r>
        <w:br/>
        <w:t xml:space="preserve">rokiem). Zwiększył się wskaźnik rentowności sprzedaży brutto (z 4,7% do 5,3%), wskaźnik </w:t>
      </w:r>
      <w:r w:rsidR="00693875">
        <w:br/>
      </w:r>
      <w:r>
        <w:t xml:space="preserve">rentowności obrotu brutto (z 5,2% do 6,1%) oraz wskaźnik rentowności obrotu netto </w:t>
      </w:r>
      <w:r>
        <w:br/>
        <w:t>(z 4,5% do 5,3%</w:t>
      </w:r>
      <w:r w:rsidR="00712103">
        <w:t>).</w:t>
      </w:r>
    </w:p>
    <w:p w:rsidR="00EE4057" w:rsidRDefault="00EE4057" w:rsidP="0035166E"/>
    <w:p w:rsidR="00EE4057" w:rsidRDefault="00EE4057" w:rsidP="00EE4057">
      <w:r>
        <w:br w:type="page"/>
      </w:r>
    </w:p>
    <w:p w:rsidR="00EE4057" w:rsidRDefault="00EE4057" w:rsidP="00EE4057">
      <w:pPr>
        <w:pStyle w:val="tytuwykresu"/>
        <w:ind w:left="794" w:hanging="794"/>
        <w:rPr>
          <w:szCs w:val="18"/>
        </w:rPr>
      </w:pPr>
      <w:r w:rsidRPr="00F52524">
        <w:lastRenderedPageBreak/>
        <w:t xml:space="preserve">Wykres </w:t>
      </w:r>
      <w:r>
        <w:t>1</w:t>
      </w:r>
      <w:r w:rsidRPr="00F52524">
        <w:t xml:space="preserve">. </w:t>
      </w:r>
      <w:r>
        <w:rPr>
          <w:szCs w:val="18"/>
        </w:rPr>
        <w:t>Wskaźniki rentowności</w:t>
      </w:r>
      <w:r w:rsidR="00DD5224">
        <w:rPr>
          <w:szCs w:val="18"/>
        </w:rPr>
        <w:t xml:space="preserve"> </w:t>
      </w:r>
      <w:r w:rsidR="00DD5224">
        <w:rPr>
          <w:szCs w:val="18"/>
        </w:rPr>
        <w:br/>
      </w:r>
    </w:p>
    <w:p w:rsidR="00EE4057" w:rsidRPr="000648CD" w:rsidRDefault="008B112C" w:rsidP="0035166E"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E7A2364" wp14:editId="692AE58C">
                <wp:simplePos x="0" y="0"/>
                <wp:positionH relativeFrom="column">
                  <wp:posOffset>5185410</wp:posOffset>
                </wp:positionH>
                <wp:positionV relativeFrom="paragraph">
                  <wp:posOffset>2011045</wp:posOffset>
                </wp:positionV>
                <wp:extent cx="1917700" cy="1023620"/>
                <wp:effectExtent l="0" t="0" r="0" b="5080"/>
                <wp:wrapSquare wrapText="bothSides"/>
                <wp:docPr id="6" name="Pole tekstowe 5" descr="Największą poprawę wskaźnika rentowności obrotu netto odnotowano w działalności związanej z opieką zdrowotną i pomocą społeczną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3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4BC" w:rsidRPr="00960051" w:rsidRDefault="004C2063" w:rsidP="00D838E3">
                            <w:pPr>
                              <w:pStyle w:val="tekstzboku"/>
                            </w:pPr>
                            <w:r w:rsidRPr="004C2063">
                              <w:t>Największą poprawę</w:t>
                            </w:r>
                            <w:r>
                              <w:t xml:space="preserve"> </w:t>
                            </w:r>
                            <w:r w:rsidR="0035166E" w:rsidRPr="0035166E">
                              <w:t xml:space="preserve">wskaźnika rentowności obrotu netto </w:t>
                            </w:r>
                            <w:r w:rsidR="00793960">
                              <w:br/>
                            </w:r>
                            <w:r w:rsidR="0035166E" w:rsidRPr="0035166E">
                              <w:t xml:space="preserve">odnotowano w działalności </w:t>
                            </w:r>
                            <w:r w:rsidR="00793960">
                              <w:br/>
                            </w:r>
                            <w:r w:rsidR="0035166E" w:rsidRPr="0035166E">
                              <w:t xml:space="preserve">związanej z opieką zdrowotną </w:t>
                            </w:r>
                            <w:r w:rsidR="00793960">
                              <w:br/>
                            </w:r>
                            <w:r w:rsidR="0035166E" w:rsidRPr="0035166E">
                              <w:t>i pomocą społeczną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2364" id="Pole tekstowe 5" o:spid="_x0000_s1030" type="#_x0000_t202" alt="Największą poprawę wskaźnika rentowności obrotu netto odnotowano w działalności związanej z opieką zdrowotną i pomocą społeczną " style="position:absolute;margin-left:408.3pt;margin-top:158.35pt;width:151pt;height:80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mIpgQIAAJUEAAAOAAAAZHJzL2Uyb0RvYy54bWysVM1u2zAMvg/YOxC6r06ypD9BnaJr12HA&#10;1hXo9gCMLMdqbFGTlDr1sUAfotib7Ny81yg57YLtNiwHgTLFj/w+kjk+WTc13CrnNZlcDPcGApSR&#10;VGizyMW3rxdvDgX4gKbAmozKxZ3y4mT2+tVxa6dqRBXVhXLAIMZPW5uLKgQ7zTIvK9Wg3yOrDDtL&#10;cg0GvrpFVjhsGb2ps9FgsJ+15ArrSCrv+et57xSzhF+WSoYvZelVgDoXXFtIp0vnPJ7Z7BinC4e2&#10;0nJbBv5DFQ1qw0lfoM4xIKyc/guq0dKRpzLsSWoyKkstVeLAbIaDP9hcV2hV4sLiePsik/9/sPLy&#10;9sqBLnKxL8Bgwy26olpBUEsfqFUwEVAoL1myS7xp9dPj0ndPD2DJstRPj9D6JW5+Gr1EcMpwiKHN&#10;D6mB5o7CCowKgYAKQ+xCQ9BC0Wnc3GO9fdgx6EOHRt1AB2S1WjJ8VzhqKRg2NedqSLLlLW3ulezi&#10;19i41vop139tmUFYv6M1D2BqgrefSC49GDqr0CzUqWO0SmHBwg1jZLYT2uP4CDJvP1PBCuAqUAJa&#10;l66JXeU+AaPzAN29DI1aB5Ax5dHw4GDALsm+4WD0dn+UxirD6XO4dT58UNRANHLheCoTPN5+8iGW&#10;g9PnJzGboQtd12kyawNtLo4mo0kK2PE0OvDi1LrJxeEg/vpRjizfmyIFB9R1b3OC2mxpR6Y957Ce&#10;r1Prx89qzqm4Yx24c4ks7zUbFblOQMs7kgv/fYVOCag/GtbyaDgex6VKl/HkgImD2/XMdz1oJEPl&#10;IgjozbOQFrGnfMqalzqpEZvTV7ItmWc/ibTd07hcu/f06ve/yewXAAAA//8DAFBLAwQUAAYACAAA&#10;ACEA4e5s9d8AAAAMAQAADwAAAGRycy9kb3ducmV2LnhtbEyPwU7DMAyG70i8Q2QkbiwJjLYrdScE&#10;4gpisEncstZrKxqnarK1vD3ZCY62P/3+/mI9216caPSdYwS9UCCIK1d33CB8frzcZCB8MFyb3jEh&#10;/JCHdXl5UZi8dhO/02kTGhFD2OcGoQ1hyKX0VUvW+IUbiOPt4EZrQhzHRtajmWK47eWtUom0puP4&#10;oTUDPbVUfW+OFmH7evjaLdVb82zvh8nNSrJdScTrq/nxAUSgOfzBcNaP6lBGp707cu1Fj5DpJIko&#10;wp1OUhBnQussrvYIyzRdgSwL+b9E+QsAAP//AwBQSwECLQAUAAYACAAAACEAtoM4kv4AAADhAQAA&#10;EwAAAAAAAAAAAAAAAAAAAAAAW0NvbnRlbnRfVHlwZXNdLnhtbFBLAQItABQABgAIAAAAIQA4/SH/&#10;1gAAAJQBAAALAAAAAAAAAAAAAAAAAC8BAABfcmVscy8ucmVsc1BLAQItABQABgAIAAAAIQC9emIp&#10;gQIAAJUEAAAOAAAAAAAAAAAAAAAAAC4CAABkcnMvZTJvRG9jLnhtbFBLAQItABQABgAIAAAAIQDh&#10;7mz13wAAAAwBAAAPAAAAAAAAAAAAAAAAANsEAABkcnMvZG93bnJldi54bWxQSwUGAAAAAAQABADz&#10;AAAA5wUAAAAA&#10;" filled="f" stroked="f">
                <v:textbox>
                  <w:txbxContent>
                    <w:p w:rsidR="008C04BC" w:rsidRPr="00960051" w:rsidRDefault="004C2063" w:rsidP="00D838E3">
                      <w:pPr>
                        <w:pStyle w:val="tekstzboku"/>
                      </w:pPr>
                      <w:r w:rsidRPr="004C2063">
                        <w:t>Największą poprawę</w:t>
                      </w:r>
                      <w:r>
                        <w:t xml:space="preserve"> </w:t>
                      </w:r>
                      <w:r w:rsidR="0035166E" w:rsidRPr="0035166E">
                        <w:t xml:space="preserve">wskaźnika rentowności obrotu netto </w:t>
                      </w:r>
                      <w:r w:rsidR="00793960">
                        <w:br/>
                      </w:r>
                      <w:r w:rsidR="0035166E" w:rsidRPr="0035166E">
                        <w:t xml:space="preserve">odnotowano w działalności </w:t>
                      </w:r>
                      <w:r w:rsidR="00793960">
                        <w:br/>
                      </w:r>
                      <w:r w:rsidR="0035166E" w:rsidRPr="0035166E">
                        <w:t xml:space="preserve">związanej z opieką zdrowotną </w:t>
                      </w:r>
                      <w:r w:rsidR="00793960">
                        <w:br/>
                      </w:r>
                      <w:r w:rsidR="0035166E" w:rsidRPr="0035166E">
                        <w:t>i pomocą społeczną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19D8" w:rsidRPr="009419D8">
        <w:rPr>
          <w:noProof/>
          <w:lang w:eastAsia="pl-PL"/>
        </w:rPr>
        <w:drawing>
          <wp:inline distT="0" distB="0" distL="0" distR="0" wp14:anchorId="3BF6B08F" wp14:editId="31295D8B">
            <wp:extent cx="3742683" cy="1980000"/>
            <wp:effectExtent l="0" t="0" r="0" b="0"/>
            <wp:docPr id="28" name="Obraz 28" descr="Dane opisane w tekśc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8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6E" w:rsidRDefault="004C2063" w:rsidP="006C7F67">
      <w:r w:rsidRPr="004C2063">
        <w:t>Największą poprawę</w:t>
      </w:r>
      <w:r>
        <w:t xml:space="preserve"> </w:t>
      </w:r>
      <w:r w:rsidR="0035166E" w:rsidRPr="0035166E">
        <w:t xml:space="preserve">wskaźnika rentowności obrotu netto odnotowano w działalności związanej z opieką zdrowotną i pomocą społeczną (z minus 4,7% przed rokiem do 6,4%) oraz zakwaterowaniem i gastronomią (z 3,3% do 11,7%). W przetwórstwie przemysłowym wskaźnik rentowności obrotu netto wzrósł z 4,5% w 2020 r. do </w:t>
      </w:r>
      <w:r w:rsidR="0035166E">
        <w:t>5,7%. Pogorszenie wskaźnika ren</w:t>
      </w:r>
      <w:r w:rsidR="0035166E" w:rsidRPr="0035166E">
        <w:t xml:space="preserve">towności obrotu netto odnotowano m.in. w działalności związanej z obsługą rynku nieruchomości (z 10,2% do minus 5,6%), </w:t>
      </w:r>
      <w:r w:rsidR="006C7F67">
        <w:t>działalności profesjonalnej, naukowej i technicznej</w:t>
      </w:r>
      <w:r w:rsidR="006C7F67" w:rsidRPr="0035166E">
        <w:t xml:space="preserve"> </w:t>
      </w:r>
      <w:r w:rsidR="0035166E" w:rsidRPr="0035166E">
        <w:t xml:space="preserve">(z 11,4% do 3,6%) oraz </w:t>
      </w:r>
      <w:r w:rsidR="006C7F67" w:rsidRPr="006C7F67">
        <w:t>w wytwarzaniu i zaopatrywaniu</w:t>
      </w:r>
      <w:r w:rsidR="006C7F67">
        <w:t xml:space="preserve"> </w:t>
      </w:r>
      <w:r w:rsidR="0035166E" w:rsidRPr="0035166E">
        <w:t>w energię elektryczną, gaz, parę wodną i gorącą wodę (z 16,1% do 11,7%).</w:t>
      </w:r>
    </w:p>
    <w:p w:rsidR="00DD5224" w:rsidRPr="005E4242" w:rsidRDefault="008C04BC" w:rsidP="008C04BC">
      <w:pPr>
        <w:pStyle w:val="tytuwykresu"/>
      </w:pPr>
      <w:r>
        <w:t>Wykres 2. Wskaźnik rentowności obrotu netto według sekcji PKD</w:t>
      </w:r>
      <w:r w:rsidR="00DD5224">
        <w:t xml:space="preserve"> </w:t>
      </w:r>
      <w:r w:rsidR="00DD5224">
        <w:br/>
      </w:r>
    </w:p>
    <w:p w:rsidR="00693875" w:rsidRDefault="00693875" w:rsidP="00B32C0A">
      <w:pPr>
        <w:pStyle w:val="Brakstyluakapitowego"/>
      </w:pPr>
      <w:r w:rsidRPr="00693875">
        <w:rPr>
          <w:noProof/>
        </w:rPr>
        <w:drawing>
          <wp:inline distT="0" distB="0" distL="0" distR="0" wp14:anchorId="5484D017" wp14:editId="7D10671E">
            <wp:extent cx="3876043" cy="4860000"/>
            <wp:effectExtent l="0" t="0" r="0" b="0"/>
            <wp:docPr id="3" name="Obraz 3" descr="Dane opisane w tekśc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3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75" w:rsidRDefault="00693875" w:rsidP="003B2B76"/>
    <w:p w:rsidR="0035166E" w:rsidRDefault="0035166E" w:rsidP="003B2B76">
      <w:r w:rsidRPr="0035166E">
        <w:lastRenderedPageBreak/>
        <w:t>Wskaźnik płynności finansowej I stopnia wyniósł 36,3% (wobec 50,5% przed rokiem), a płynności finansowej II stopnia – 88,1% (wobec 104,2%). Wskaźnik płynności finansowej I stopnia powyżej 20% uzyskano we wszystkich rodzajach działalności, przy czym minimum bezpieczeństwa finansowego odnotowano w handlu; naprawie pojazdów samochodowych (25,8%), budownictwie (27,0%) i przetwórstwie przemysłowym (29,3%). Wskaźnik płynności II stopnia w</w:t>
      </w:r>
      <w:r>
        <w:t> </w:t>
      </w:r>
      <w:r w:rsidRPr="0035166E">
        <w:t>przedziale od 100% do 130% wystąpił w transporcie i gospodarce magazynowej (125,3%), pozostałej działalności usługowej (124,9%) oraz opiece zdrowotnej i pomocy społecznej (100,5%).</w:t>
      </w:r>
    </w:p>
    <w:p w:rsidR="0035166E" w:rsidRPr="000648CD" w:rsidRDefault="0035166E" w:rsidP="008C04BC">
      <w:r>
        <w:t xml:space="preserve">W strukturze rodzajowej kosztów ogółem zwiększył się udział zużycia materiałów i energii </w:t>
      </w:r>
      <w:r w:rsidR="00FD4F32">
        <w:br/>
      </w:r>
      <w:r>
        <w:t>(o 4,0 p. proc.). Zmniejszył się udział usług obcych (o 1,7 p</w:t>
      </w:r>
      <w:r w:rsidR="00FD4F32">
        <w:t xml:space="preserve">. proc.), wynagrodzeń </w:t>
      </w:r>
      <w:r w:rsidR="00FD4F32">
        <w:br/>
        <w:t xml:space="preserve">(o 1,0 p. </w:t>
      </w:r>
      <w:r>
        <w:t xml:space="preserve">proc.), amortyzacji (o 0,8 p. proc.), ubezpieczeń społecznych i innych świadczeń </w:t>
      </w:r>
      <w:r w:rsidR="00FD4F32">
        <w:br/>
      </w:r>
      <w:r>
        <w:t>(o 0,3 p. proc.), podatków i opłat oraz pozostałych kosztów rodzajowych (po 0,2 p. proc.).</w:t>
      </w:r>
      <w:r w:rsidR="00FD4F32">
        <w:t xml:space="preserve"> </w:t>
      </w:r>
    </w:p>
    <w:p w:rsidR="008C04BC" w:rsidRDefault="008C04BC" w:rsidP="000648CD">
      <w:pPr>
        <w:pStyle w:val="tytuwykresu"/>
      </w:pPr>
      <w:r w:rsidRPr="000648CD">
        <w:t>Wykres 3. Struktura rodzajowa kosztów</w:t>
      </w:r>
      <w:r w:rsidR="00DD5224">
        <w:t xml:space="preserve"> </w:t>
      </w:r>
      <w:r w:rsidR="00DD5224">
        <w:br/>
      </w:r>
    </w:p>
    <w:p w:rsidR="009419D8" w:rsidRPr="000648CD" w:rsidRDefault="009419D8" w:rsidP="00B32C0A">
      <w:pPr>
        <w:pStyle w:val="Brakstyluakapitowego"/>
      </w:pPr>
      <w:r w:rsidRPr="009419D8">
        <w:rPr>
          <w:noProof/>
        </w:rPr>
        <w:drawing>
          <wp:inline distT="0" distB="0" distL="0" distR="0" wp14:anchorId="0A99AE7E" wp14:editId="2E600E25">
            <wp:extent cx="3791153" cy="2088000"/>
            <wp:effectExtent l="0" t="0" r="0" b="0"/>
            <wp:docPr id="30" name="Obraz 30" descr="Dane opisane w tekśc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5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BC" w:rsidRDefault="008C04BC" w:rsidP="004C1DAA">
      <w:pPr>
        <w:pStyle w:val="styltekstbezrobocie"/>
        <w:spacing w:line="240" w:lineRule="atLeast"/>
        <w:ind w:left="0" w:firstLine="0"/>
        <w:jc w:val="left"/>
        <w:rPr>
          <w:rFonts w:ascii="Fira Sans" w:hAnsi="Fira Sans"/>
          <w:spacing w:val="-2"/>
          <w:sz w:val="19"/>
          <w:szCs w:val="19"/>
        </w:rPr>
      </w:pPr>
    </w:p>
    <w:p w:rsidR="00FD4F32" w:rsidRDefault="000648CD" w:rsidP="008C04BC"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AA6E47F" wp14:editId="0A59EB0B">
                <wp:simplePos x="0" y="0"/>
                <wp:positionH relativeFrom="page">
                  <wp:posOffset>5686144</wp:posOffset>
                </wp:positionH>
                <wp:positionV relativeFrom="paragraph">
                  <wp:posOffset>0</wp:posOffset>
                </wp:positionV>
                <wp:extent cx="1874520" cy="673100"/>
                <wp:effectExtent l="0" t="0" r="0" b="0"/>
                <wp:wrapSquare wrapText="bothSides"/>
                <wp:docPr id="14" name="Pole tekstowe 2" descr="W 2021 r. odnotowano spadek nakładów inwestycyjnych o 10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F32" w:rsidRDefault="00FD4F32" w:rsidP="00F5182F">
                            <w:pPr>
                              <w:pStyle w:val="tekstzboku"/>
                            </w:pPr>
                            <w:r w:rsidRPr="00FD4F32">
                              <w:t>W 2021 r. odnotowano spadek nakładów inwestycyjnych o</w:t>
                            </w:r>
                            <w:r>
                              <w:t> </w:t>
                            </w:r>
                            <w:r w:rsidRPr="00FD4F32">
                              <w:t>10,8%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E47F" id="_x0000_s1031" type="#_x0000_t202" alt="W 2021 r. odnotowano spadek nakładów inwestycyjnych o 10,8%" style="position:absolute;margin-left:447.75pt;margin-top:0;width:147.6pt;height:5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E3TAIAAEUEAAAOAAAAZHJzL2Uyb0RvYy54bWysU81u1DAQviPxDiNL3GDzw267jZqtSgsI&#10;qUClgjh7bWdjNvEY222yHHklHgHxXoydbVnBDZGDNc54vpnvm5nTs7Hv4E45r9HUrJjlDJQRKLXZ&#10;1Ozjh1fPlgx84EbyDo2q2U55drZ6/Oh0sJUqscVOKgcEYnw12Jq1Idgqy7xoVc/9DK0y5GzQ9TzQ&#10;1W0y6fhA6H2XlXl+lA3opHUolPf093JyslXCbxolwvum8SpAVzOqLaTTpXMdz2x1yquN47bVYl8G&#10;/4cqeq4NJX2AuuSBw63Tf0H1Wjj02ISZwD7DptFCJQ7Epsj/YHPTcqsSFxLH2weZ/P+DFe/urh1o&#10;Sb2bMzC8px5dY6cgqK0POCgoGUjlBWn2Ccq8LMDNAKVBcnKD4C2XakuR25/fuPzxfQBtBuXDTuw+&#10;m51oAaHIny6fRKUH6ytKeGMpZRhf4EhZk2reXqHYejB40XKzUefO4dAqLolpESOzg9AJx0eQ9fAW&#10;JVXMbwMmoLFxfWwDCQuETh3fPXRZjQFETLk8ni9KcgnyHR0/L/I0Bhmv7qOt8+G1wh6iUTNHU5TQ&#10;+d2VD7EaXt0/ickMvtJdlyapMzDU7GRRLlLAgafXgQa9033Nlnn8ptGLJF8amYID191kU4LO7FlH&#10;ohPlMK7H1KrFvZhrlDuSweE017SHZLTovjIYaKZr5r/ccqcYdG8MSXlSzOdxCdJlvjiOIrhDz/rQ&#10;w40gqJoFBpN5EdLiTJTPSfJGJzVib6ZK9iXTrCaR9nsVl+Hwnl793v7VLwAAAP//AwBQSwMEFAAG&#10;AAgAAAAhANnlOl3dAAAACQEAAA8AAABkcnMvZG93bnJldi54bWxMj81OwzAQhO9IvIO1SNzouoiU&#10;JsSpEIgriPIjcXPjbRIRr6PYbcLbsz3BbUczmv2m3My+V0caYxfYwHKhQRHXwXXcGHh/e7pag4rJ&#10;srN9YDLwQxE21flZaQsXJn6l4zY1Sko4FtZAm9JQIMa6JW/jIgzE4u3D6G0SOTboRjtJue/xWusV&#10;etuxfGjtQA8t1d/bgzfw8bz/+rzRL82jz4YpzBrZ52jM5cV8fwcq0Zz+wnDCF3SohGkXDuyi6g2s&#10;8yyTqAFZdLKXub4FtZNLrzRgVeL/BdUvAAAA//8DAFBLAQItABQABgAIAAAAIQC2gziS/gAAAOEB&#10;AAATAAAAAAAAAAAAAAAAAAAAAABbQ29udGVudF9UeXBlc10ueG1sUEsBAi0AFAAGAAgAAAAhADj9&#10;If/WAAAAlAEAAAsAAAAAAAAAAAAAAAAALwEAAF9yZWxzLy5yZWxzUEsBAi0AFAAGAAgAAAAhAFr6&#10;YTdMAgAARQQAAA4AAAAAAAAAAAAAAAAALgIAAGRycy9lMm9Eb2MueG1sUEsBAi0AFAAGAAgAAAAh&#10;ANnlOl3dAAAACQEAAA8AAAAAAAAAAAAAAAAApgQAAGRycy9kb3ducmV2LnhtbFBLBQYAAAAABAAE&#10;APMAAACwBQAAAAA=&#10;" filled="f" stroked="f">
                <v:textbox>
                  <w:txbxContent>
                    <w:p w:rsidR="00FD4F32" w:rsidRDefault="00FD4F32" w:rsidP="00F5182F">
                      <w:pPr>
                        <w:pStyle w:val="tekstzboku"/>
                      </w:pPr>
                      <w:r w:rsidRPr="00FD4F32">
                        <w:t>W 2021 r. odnotowano spadek nakładów inwestycyjnych o</w:t>
                      </w:r>
                      <w:r>
                        <w:t> </w:t>
                      </w:r>
                      <w:r w:rsidRPr="00FD4F32">
                        <w:t>10,8%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4F32" w:rsidRPr="00FD4F32">
        <w:t>W 2021 r. nakłady inwestycyjne badanych przedsiębiorstw wyniosły 4101,8 mln zł (w cenach bieżących) i były o 10,8% niższe niż w 2020 r. (wobec wzrostu o 51,8% przed rokiem). Zmniejszyły się nakłady na zakup maszyn i urządzeń technicznych (o 28,2%). Wzrosły nakłady na środki transportu (o 40,2%) oraz na budynki i budowle (o 20,1%).</w:t>
      </w:r>
      <w:r w:rsidR="00FD4F32">
        <w:t xml:space="preserve"> </w:t>
      </w:r>
    </w:p>
    <w:p w:rsidR="00FD4F32" w:rsidRPr="00961357" w:rsidRDefault="00FD4F32" w:rsidP="008C04BC">
      <w:r w:rsidRPr="00FD4F32">
        <w:t>Największy spadek nakładów (w cenach bieżących) wystąp</w:t>
      </w:r>
      <w:r>
        <w:t>ił w zakresie działalności zwią</w:t>
      </w:r>
      <w:r w:rsidRPr="00FD4F32">
        <w:t xml:space="preserve">zanej z obsługą nieruchomości oraz działalności profesjonalnej, naukowej i technicznej. Największy wzrost nakładów inwestycyjnych odnotowano </w:t>
      </w:r>
      <w:r>
        <w:t>w działalności związanej z opie</w:t>
      </w:r>
      <w:r w:rsidRPr="00FD4F32">
        <w:t>ką zdrowotną i</w:t>
      </w:r>
      <w:r>
        <w:t> </w:t>
      </w:r>
      <w:r w:rsidRPr="00FD4F32">
        <w:t>pomocą społeczną, gdzie głównie wzrosły nakłady na budynki i budowle oraz środki transportu.</w:t>
      </w:r>
    </w:p>
    <w:p w:rsidR="00F90EBB" w:rsidRDefault="00F90EBB" w:rsidP="00DD5224">
      <w:pPr>
        <w:pStyle w:val="tytuwykresu"/>
      </w:pPr>
      <w:r w:rsidRPr="000648CD">
        <w:t>Wykres 4. Dynamika nakładów inwestycyjnych (rok poprzedni = 100)</w:t>
      </w:r>
      <w:r w:rsidR="00DD5224">
        <w:t xml:space="preserve">  </w:t>
      </w:r>
      <w:r w:rsidR="00DD5224">
        <w:br/>
      </w:r>
    </w:p>
    <w:p w:rsidR="005F07D2" w:rsidRDefault="005F07D2" w:rsidP="00904933">
      <w:pPr>
        <w:pStyle w:val="Brakstyluakapitowego"/>
      </w:pPr>
      <w:r w:rsidRPr="005F07D2">
        <w:rPr>
          <w:noProof/>
        </w:rPr>
        <w:drawing>
          <wp:inline distT="0" distB="0" distL="0" distR="0">
            <wp:extent cx="3729178" cy="2052000"/>
            <wp:effectExtent l="0" t="0" r="5080" b="0"/>
            <wp:docPr id="2" name="Obraz 2" descr="Dane opisane w tekśc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7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32" w:rsidRDefault="00FD4F32" w:rsidP="00F90EBB">
      <w:r w:rsidRPr="00FD4F32">
        <w:lastRenderedPageBreak/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 </w:t>
      </w:r>
    </w:p>
    <w:p w:rsidR="00146AF5" w:rsidRPr="00001C5B" w:rsidRDefault="00146AF5" w:rsidP="00F90EBB">
      <w:pPr>
        <w:sectPr w:rsidR="00146AF5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AA6AE4" w:rsidRDefault="00AA6AE4" w:rsidP="00DD35C6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DD35C6" w:rsidRPr="00670943" w:rsidTr="00E3131B">
        <w:trPr>
          <w:trHeight w:val="1912"/>
        </w:trPr>
        <w:tc>
          <w:tcPr>
            <w:tcW w:w="4927" w:type="dxa"/>
          </w:tcPr>
          <w:p w:rsidR="00DD35C6" w:rsidRPr="00F97320" w:rsidRDefault="00DD35C6" w:rsidP="00E3131B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DD35C6" w:rsidRPr="00F97320" w:rsidRDefault="00DD35C6" w:rsidP="00E3131B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DD35C6" w:rsidRPr="00F97320" w:rsidRDefault="00DD35C6" w:rsidP="00E3131B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DD35C6" w:rsidRPr="00670943" w:rsidRDefault="00DD35C6" w:rsidP="00E3131B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DD35C6" w:rsidRDefault="00DD35C6" w:rsidP="00E3131B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DD35C6" w:rsidRPr="00670943" w:rsidRDefault="00DD35C6" w:rsidP="00E3131B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DD35C6" w:rsidRPr="003B4052" w:rsidRDefault="00DD35C6" w:rsidP="00E3131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DD35C6" w:rsidRPr="00670943" w:rsidTr="00E3131B">
        <w:trPr>
          <w:trHeight w:val="510"/>
        </w:trPr>
        <w:tc>
          <w:tcPr>
            <w:tcW w:w="4927" w:type="dxa"/>
          </w:tcPr>
          <w:p w:rsidR="00DD35C6" w:rsidRPr="00F278A6" w:rsidRDefault="00DD35C6" w:rsidP="00E3131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D35C6" w:rsidRDefault="00DD35C6" w:rsidP="00E3131B">
            <w:pPr>
              <w:ind w:firstLine="680"/>
              <w:rPr>
                <w:sz w:val="18"/>
              </w:rPr>
            </w:pPr>
            <w:r w:rsidRPr="00B811CF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D330E41" wp14:editId="5AB6B40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1CF">
              <w:rPr>
                <w:sz w:val="20"/>
              </w:rPr>
              <w:t>www.szczecin.stat.gov.pl</w:t>
            </w:r>
          </w:p>
        </w:tc>
      </w:tr>
      <w:tr w:rsidR="00DD35C6" w:rsidRPr="00670943" w:rsidTr="00E3131B">
        <w:trPr>
          <w:trHeight w:val="510"/>
        </w:trPr>
        <w:tc>
          <w:tcPr>
            <w:tcW w:w="4927" w:type="dxa"/>
            <w:vMerge w:val="restart"/>
          </w:tcPr>
          <w:p w:rsidR="00DD35C6" w:rsidRPr="00F278A6" w:rsidRDefault="00DD35C6" w:rsidP="00E3131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D35C6" w:rsidRDefault="00DD35C6" w:rsidP="00E3131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E260182" wp14:editId="0314A73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  <w:szCs w:val="20"/>
              </w:rPr>
              <w:t>Szczecin_STAT</w:t>
            </w:r>
          </w:p>
        </w:tc>
      </w:tr>
      <w:tr w:rsidR="00DD35C6" w:rsidRPr="00670943" w:rsidTr="00E3131B">
        <w:trPr>
          <w:trHeight w:val="510"/>
        </w:trPr>
        <w:tc>
          <w:tcPr>
            <w:tcW w:w="4927" w:type="dxa"/>
            <w:vMerge/>
          </w:tcPr>
          <w:p w:rsidR="00DD35C6" w:rsidRPr="00F278A6" w:rsidRDefault="00DD35C6" w:rsidP="00E3131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DD35C6" w:rsidRDefault="00DD35C6" w:rsidP="00E3131B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4A5F3A99" wp14:editId="4257EF1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2" name="Obraz 22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</w:rPr>
              <w:t>UrzadStatystycznywSzczecinie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27380" w:rsidRPr="00670943" w:rsidTr="00997F22">
        <w:trPr>
          <w:trHeight w:val="510"/>
        </w:trPr>
        <w:tc>
          <w:tcPr>
            <w:tcW w:w="9854" w:type="dxa"/>
            <w:gridSpan w:val="2"/>
            <w:shd w:val="clear" w:color="auto" w:fill="D9D9D9" w:themeFill="background1" w:themeFillShade="D9"/>
          </w:tcPr>
          <w:p w:rsidR="00E27380" w:rsidRDefault="00E27380" w:rsidP="00E27380">
            <w:pPr>
              <w:spacing w:line="240" w:lineRule="exact"/>
              <w:rPr>
                <w:b/>
              </w:rPr>
            </w:pPr>
            <w:r w:rsidRPr="005520D8">
              <w:rPr>
                <w:b/>
              </w:rPr>
              <w:t>Powiązane</w:t>
            </w:r>
            <w:r>
              <w:rPr>
                <w:b/>
              </w:rPr>
              <w:t xml:space="preserve"> opracowania</w:t>
            </w:r>
          </w:p>
          <w:p w:rsidR="00FD4F32" w:rsidRPr="00F30D32" w:rsidRDefault="00F30D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 xml:space="preserve"> HYPERLINK "https://stat.gov.pl/obszary-tematyczne/podmioty-gospodarcze-wyniki-finansowe/przedsiebiorstwa-niefinansowe/wyniki-finansowe-przedsiebiorstw-niefinansowych-w-2021-roku,12,46.html" </w:instrText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="00FD4F32" w:rsidRPr="00F30D3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>Wyniki finansowe przedsiębiorstw niefinansowych w 202</w:t>
            </w:r>
            <w:r w:rsidRPr="00F30D3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>1</w:t>
            </w:r>
            <w:r w:rsidR="00FD4F32" w:rsidRPr="00F30D3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r. </w:t>
            </w:r>
          </w:p>
          <w:p w:rsidR="00FD4F32" w:rsidRPr="004859D9" w:rsidRDefault="00F30D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="00FD4F32">
              <w:rPr>
                <w:rStyle w:val="Hipercze"/>
                <w:rFonts w:cstheme="minorBidi"/>
                <w:sz w:val="18"/>
              </w:rPr>
              <w:fldChar w:fldCharType="begin"/>
            </w:r>
            <w:r w:rsidR="00FD4F32">
              <w:rPr>
                <w:rStyle w:val="Hipercze"/>
                <w:rFonts w:cstheme="minorBidi"/>
                <w:sz w:val="18"/>
              </w:rPr>
              <w:instrText>HYPERLINK "https://szczecin.stat.gov.pl/opracowania-biezace/komunikaty-i-biuletyny/inne-opracowania/biuletyn-statystyczny-wojewodztwa-zachodniopomorskiego-iv-kwartal-2021,3,57.html" \o "Biuletyn statystyczny województwa zachodniopomorskiego - IV kwartał 2021"</w:instrText>
            </w:r>
            <w:r w:rsidR="00FD4F32">
              <w:rPr>
                <w:rStyle w:val="Hipercze"/>
                <w:rFonts w:cstheme="minorBidi"/>
                <w:sz w:val="18"/>
              </w:rPr>
              <w:fldChar w:fldCharType="separate"/>
            </w:r>
            <w:r w:rsidR="00FD4F32" w:rsidRPr="004859D9">
              <w:rPr>
                <w:rStyle w:val="Hipercze"/>
                <w:rFonts w:cstheme="minorBidi"/>
                <w:sz w:val="18"/>
              </w:rPr>
              <w:t>Biuletyn statystyczny województwa zachodniopomorskiego – IV kwartał 202</w:t>
            </w:r>
            <w:r w:rsidR="00FD4F32">
              <w:rPr>
                <w:rStyle w:val="Hipercze"/>
                <w:rFonts w:cstheme="minorBidi"/>
                <w:sz w:val="18"/>
              </w:rPr>
              <w:t>1</w:t>
            </w:r>
          </w:p>
          <w:p w:rsidR="00FD4F32" w:rsidRDefault="00FD4F32" w:rsidP="00FD4F32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pPr>
            <w:r>
              <w:rPr>
                <w:rStyle w:val="Hipercze"/>
                <w:rFonts w:cstheme="minorBidi"/>
                <w:sz w:val="18"/>
              </w:rPr>
              <w:fldChar w:fldCharType="end"/>
            </w:r>
            <w:hyperlink r:id="rId19" w:history="1">
              <w:r w:rsidRPr="00997F2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Zeszyt metodologiczny. Badania przedsiębiorstw niefinansowych</w:t>
              </w:r>
            </w:hyperlink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</w:t>
            </w:r>
          </w:p>
          <w:p w:rsidR="00F30D32" w:rsidRDefault="00D469ED" w:rsidP="00FD4F32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pPr>
            <w:hyperlink r:id="rId20" w:history="1">
              <w:r w:rsidR="00F30D32" w:rsidRPr="00F30D3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Wyniki finansowe przedsiębiorstw niefinansowych w województwie zachodniopomorskim w 2020 r.</w:t>
              </w:r>
            </w:hyperlink>
          </w:p>
          <w:p w:rsidR="00E22912" w:rsidRPr="00505A92" w:rsidRDefault="00E22912" w:rsidP="00E22912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05A92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FD4F32" w:rsidRPr="000C193E" w:rsidRDefault="00D469ED" w:rsidP="00FD4F32">
            <w:pPr>
              <w:rPr>
                <w:rFonts w:eastAsia="Times New Roman" w:cs="Arial"/>
                <w:color w:val="0000FF"/>
                <w:sz w:val="18"/>
                <w:szCs w:val="23"/>
              </w:rPr>
            </w:pPr>
            <w:hyperlink r:id="rId21" w:history="1">
              <w:r w:rsidR="00FD4F32" w:rsidRPr="000C193E">
                <w:rPr>
                  <w:rStyle w:val="Hipercze"/>
                  <w:rFonts w:eastAsia="Times New Roman" w:cs="Arial"/>
                  <w:sz w:val="18"/>
                  <w:szCs w:val="23"/>
                </w:rPr>
                <w:t>Bank Danych Lokalnych (BDL)</w:t>
              </w:r>
            </w:hyperlink>
            <w:r w:rsidR="00FD4F32" w:rsidRPr="000C193E">
              <w:rPr>
                <w:rFonts w:eastAsia="Times New Roman" w:cs="Arial"/>
                <w:color w:val="0000FF"/>
                <w:sz w:val="18"/>
                <w:szCs w:val="23"/>
              </w:rPr>
              <w:t xml:space="preserve"> </w:t>
            </w:r>
          </w:p>
          <w:p w:rsidR="00FD4F32" w:rsidRPr="000C193E" w:rsidRDefault="00D469ED" w:rsidP="00FD4F32">
            <w:pPr>
              <w:rPr>
                <w:rFonts w:eastAsia="Times New Roman" w:cs="Arial"/>
                <w:color w:val="0000FF"/>
                <w:sz w:val="18"/>
                <w:szCs w:val="23"/>
              </w:rPr>
            </w:pPr>
            <w:hyperlink r:id="rId22" w:history="1">
              <w:r w:rsidR="00FD4F32" w:rsidRPr="000C193E">
                <w:rPr>
                  <w:rStyle w:val="Hipercze"/>
                  <w:rFonts w:eastAsia="Times New Roman" w:cs="Arial"/>
                  <w:sz w:val="18"/>
                  <w:szCs w:val="23"/>
                </w:rPr>
                <w:t>Dziedzinowa Baza Wiedzy Przedsiębiorstwa Niefinansowe (DBW)</w:t>
              </w:r>
            </w:hyperlink>
            <w:r w:rsidR="00FD4F32" w:rsidRPr="000C193E">
              <w:rPr>
                <w:rFonts w:eastAsia="Times New Roman" w:cs="Arial"/>
                <w:color w:val="0000FF"/>
                <w:sz w:val="18"/>
                <w:szCs w:val="23"/>
              </w:rPr>
              <w:t xml:space="preserve"> </w:t>
            </w:r>
          </w:p>
          <w:p w:rsidR="00FD4F32" w:rsidRPr="000C193E" w:rsidRDefault="00D469ED" w:rsidP="00FD4F32">
            <w:pPr>
              <w:rPr>
                <w:rFonts w:ascii="Tahoma" w:eastAsia="Times New Roman" w:hAnsi="Tahoma" w:cs="Tahoma"/>
                <w:color w:val="0000FF"/>
                <w:sz w:val="20"/>
                <w:szCs w:val="20"/>
              </w:rPr>
            </w:pPr>
            <w:hyperlink r:id="rId23" w:history="1">
              <w:r w:rsidR="00FD4F32" w:rsidRPr="000C193E">
                <w:rPr>
                  <w:rStyle w:val="Hipercze"/>
                  <w:rFonts w:eastAsia="Times New Roman" w:cs="Arial"/>
                  <w:sz w:val="18"/>
                  <w:szCs w:val="23"/>
                </w:rPr>
                <w:t>Bank Danych Makroekonomicznych</w:t>
              </w:r>
            </w:hyperlink>
          </w:p>
          <w:p w:rsidR="00E22912" w:rsidRDefault="00E22912" w:rsidP="00E22912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4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Przychody ogółem (przychody z całokształtu działalności)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5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Koszty ogółem (koszty uzyskania przychodów z całokształtu działalności)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6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Wskaźnik poziomu kosztów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7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Wskaźnik rentowności obrotu brutto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8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Wskaźnik rentowności obrotu netto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29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Wskaźnik rentowności sprzedaży brutto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30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Wskaźnik rentowności sprzedaży netto</w:t>
              </w:r>
            </w:hyperlink>
          </w:p>
          <w:p w:rsidR="00FD4F32" w:rsidRPr="00D2456A" w:rsidRDefault="00FD4F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D2456A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fldChar w:fldCharType="begin"/>
            </w:r>
            <w:r w:rsidRPr="00D2456A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instrText xml:space="preserve"> HYPERLINK "https://stat.gov.pl/metainformacje/slownik-pojec/pojecia-stosowane-w-statystyce-publicznej/613,pojecie.html" </w:instrText>
            </w:r>
            <w:r w:rsidRPr="00D2456A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fldChar w:fldCharType="separate"/>
            </w:r>
            <w:r w:rsidRPr="00526A0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>Wynik finansowy brutto</w:t>
            </w:r>
          </w:p>
          <w:p w:rsidR="00FD4F32" w:rsidRPr="00D2456A" w:rsidRDefault="00FD4F32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D2456A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fldChar w:fldCharType="end"/>
            </w:r>
            <w:hyperlink r:id="rId31" w:history="1">
              <w:r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Wynik finansowy netto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32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Aktywa obrotowe</w:t>
              </w:r>
            </w:hyperlink>
          </w:p>
          <w:p w:rsidR="00FD4F32" w:rsidRPr="00D2456A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33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Należności długoterminowe</w:t>
              </w:r>
            </w:hyperlink>
          </w:p>
          <w:p w:rsidR="00FD4F32" w:rsidRPr="000C193E" w:rsidRDefault="00D469ED" w:rsidP="00FD4F32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hyperlink r:id="rId34" w:history="1"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Należności</w:t>
              </w:r>
              <w:r w:rsidR="00FD4F32" w:rsidRPr="00013D79">
                <w:rPr>
                  <w:rStyle w:val="Hipercze"/>
                  <w:rFonts w:cs="Arial"/>
                  <w:sz w:val="18"/>
                  <w:szCs w:val="30"/>
                  <w:shd w:val="clear" w:color="auto" w:fill="BFBFBF" w:themeFill="background1" w:themeFillShade="BF"/>
                </w:rPr>
                <w:t xml:space="preserve"> </w:t>
              </w:r>
              <w:r w:rsidR="00FD4F32" w:rsidRPr="00526A02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krótkoterminowe</w:t>
              </w:r>
            </w:hyperlink>
          </w:p>
          <w:p w:rsidR="00FD4F32" w:rsidRPr="0098745F" w:rsidRDefault="00D469ED" w:rsidP="00FD4F32">
            <w:pPr>
              <w:rPr>
                <w:color w:val="000000" w:themeColor="text1"/>
                <w:sz w:val="18"/>
                <w:szCs w:val="18"/>
              </w:rPr>
            </w:pPr>
            <w:hyperlink r:id="rId35" w:history="1">
              <w:r w:rsidR="00FD4F32" w:rsidRPr="00013D79">
                <w:rPr>
                  <w:rStyle w:val="Hipercze"/>
                  <w:rFonts w:cstheme="minorBidi"/>
                  <w:sz w:val="18"/>
                  <w:shd w:val="clear" w:color="auto" w:fill="D9D9D9" w:themeFill="background1" w:themeFillShade="D9"/>
                </w:rPr>
                <w:t>Nakłady inwe</w:t>
              </w:r>
              <w:r w:rsidR="00FD4F32" w:rsidRPr="000C193E">
                <w:rPr>
                  <w:rStyle w:val="Hipercze"/>
                  <w:rFonts w:cstheme="minorBidi"/>
                  <w:sz w:val="18"/>
                </w:rPr>
                <w:t>stycyjne</w:t>
              </w:r>
            </w:hyperlink>
            <w:r w:rsidR="00FD4F32">
              <w:rPr>
                <w:color w:val="000000" w:themeColor="text1"/>
                <w:sz w:val="18"/>
                <w:szCs w:val="18"/>
              </w:rPr>
              <w:t xml:space="preserve">  </w:t>
            </w:r>
          </w:p>
          <w:p w:rsidR="00E27380" w:rsidRDefault="00E27380" w:rsidP="00E3131B">
            <w:pPr>
              <w:spacing w:after="600"/>
              <w:ind w:firstLine="680"/>
              <w:rPr>
                <w:noProof/>
                <w:sz w:val="20"/>
                <w:lang w:eastAsia="pl-PL"/>
              </w:rPr>
            </w:pPr>
          </w:p>
        </w:tc>
      </w:tr>
    </w:tbl>
    <w:p w:rsidR="00D261A2" w:rsidRPr="00001C5B" w:rsidRDefault="00D261A2" w:rsidP="000F736A">
      <w:pPr>
        <w:rPr>
          <w:sz w:val="18"/>
        </w:rPr>
      </w:pP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DE020" w16cex:dateUtc="2020-06-12T09:06:00Z"/>
  <w16cex:commentExtensible w16cex:durableId="228DE3FA" w16cex:dateUtc="2020-06-12T09:22:00Z"/>
  <w16cex:commentExtensible w16cex:durableId="228DE52D" w16cex:dateUtc="2020-06-12T09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4992607" w16cid:durableId="228DE020"/>
  <w16cid:commentId w16cid:paraId="1DA7D3F0" w16cid:durableId="228DDCF9"/>
  <w16cid:commentId w16cid:paraId="3CE3C066" w16cid:durableId="228DE3FA"/>
  <w16cid:commentId w16cid:paraId="6E00C2E3" w16cid:durableId="228DE5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9ED" w:rsidRDefault="00D469ED" w:rsidP="000662E2">
      <w:pPr>
        <w:spacing w:after="0" w:line="240" w:lineRule="auto"/>
      </w:pPr>
      <w:r>
        <w:separator/>
      </w:r>
    </w:p>
  </w:endnote>
  <w:endnote w:type="continuationSeparator" w:id="0">
    <w:p w:rsidR="00D469ED" w:rsidRDefault="00D469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72AC6B9-2579-41F4-8631-4C39C6E13F63}"/>
    <w:embedBold r:id="rId2" w:fontKey="{1C94892E-F21E-4124-8618-A78B984585D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5925F10-239A-4DE2-975D-76559C365E60}"/>
    <w:embedBold r:id="rId4" w:fontKey="{78D1AE7E-3F28-4833-8B3A-109ED9D0767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FA0588C-58C8-4D16-ABA7-0A7FDE91D9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A7EA04A-253E-4EF7-8D77-2DB49C49EC89}"/>
    <w:embedItalic r:id="rId7" w:fontKey="{9236992A-0CB9-4B3E-AE6C-9985876323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99A30CB-18E9-4A9E-835A-5AF38285B9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8DA51FA-2A38-4B68-AB6F-E5AE7DF2428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8618999E-038D-4B47-8DCF-13927684706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56754EE5-2B09-4DDF-9BFF-75BD40A16D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96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9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96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9ED" w:rsidRDefault="00D469ED" w:rsidP="000662E2">
      <w:pPr>
        <w:spacing w:after="0" w:line="240" w:lineRule="auto"/>
      </w:pPr>
      <w:r>
        <w:separator/>
      </w:r>
    </w:p>
  </w:footnote>
  <w:footnote w:type="continuationSeparator" w:id="0">
    <w:p w:rsidR="00D469ED" w:rsidRDefault="00D469ED" w:rsidP="000662E2">
      <w:pPr>
        <w:spacing w:after="0" w:line="240" w:lineRule="auto"/>
      </w:pPr>
      <w:r>
        <w:continuationSeparator/>
      </w:r>
    </w:p>
  </w:footnote>
  <w:footnote w:id="1">
    <w:p w:rsidR="007039A4" w:rsidRDefault="007039A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39A4">
        <w:t xml:space="preserve">Dane dotyczą przedsiębiorstw niefinansowych prowadzących księgi rachunkowe. </w:t>
      </w:r>
      <w:r w:rsidR="00712103">
        <w:br/>
      </w:r>
      <w:r w:rsidRPr="007039A4">
        <w:t xml:space="preserve">Dane nie obejmują rolnictwa, leśnictwa, łowiectwa i rybactwa (sekcja A według PKD 2007), działalności finansowej i ubezpieczeniowej (sekcja K według PKD 2007), szkół </w:t>
      </w:r>
      <w:r w:rsidR="00712103">
        <w:br/>
      </w:r>
      <w:r w:rsidR="00693875">
        <w:t>wyższych, samo</w:t>
      </w:r>
      <w:r w:rsidRPr="007039A4">
        <w:t>dzielnych publicznych zakładów opieki zdrowotnej, insty</w:t>
      </w:r>
      <w:r>
        <w:t xml:space="preserve">tucji kultury </w:t>
      </w:r>
      <w:r w:rsidR="00693875">
        <w:br/>
      </w:r>
      <w:r>
        <w:t>posiadających oso</w:t>
      </w:r>
      <w:r w:rsidRPr="007039A4">
        <w:t>bowość prawną oraz związków zawodowych, organizacji religijnych i</w:t>
      </w:r>
      <w:r w:rsidR="00712103">
        <w:t> </w:t>
      </w:r>
      <w:r w:rsidRPr="007039A4">
        <w:t>politycznych.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2AF30EA" wp14:editId="65F44A7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0E88FE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437F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7D884D3" wp14:editId="786C8032">
              <wp:simplePos x="0" y="0"/>
              <wp:positionH relativeFrom="column">
                <wp:posOffset>5219065</wp:posOffset>
              </wp:positionH>
              <wp:positionV relativeFrom="paragraph">
                <wp:posOffset>560070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78294A" id="Prostokąt 10" o:spid="_x0000_s1026" style="position:absolute;margin-left:410.95pt;margin-top:44.1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EzjfOnkAAAADAEAAA8AAABkcnMvZG93bnJl&#10;di54bWxMj8FOg0AQhu8mvsNmTLzZBRqRIktjVBITL9pK2t627Aik7CyyW4o+vduT3mYyX/75/mw5&#10;6Y6NONjWkIBwFgBDqoxqqRbwsS5uEmDWSVKyM4QCvtHCMr+8yGSqzInecVy5mvkQsqkU0DjXp5zb&#10;qkEt7cz0SP72aQYtnV+HmqtBnny47ngUBDHXsiX/oZE9PjZYHVZHLcDsxvWrKopDWf48bd6S5235&#10;tXsR4vpqergH5nByfzCc9b065N5pb46kLOsEJFG48KgfkgjYGQjD+A7YXsA8XtzOgecZ/18i/wU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BM43zp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57EED6E" wp14:editId="1BEDC7F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EED6E" id="Schemat blokowy: opóźnienie 6" o:spid="_x0000_s1032" alt="Tytuł: Nazwa serii wydawniczej  — opis: Nazwa serii wydawniczej 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ctYQYAAEwsAAAOAAAAZHJzL2Uyb0RvYy54bWzsWl1v2zYUfR+w/0DoccBqfViWZdQpshbd&#10;BhRtsXRo90hLVKxNEjWSiZz8rb3tddj/2iUpOVTSinKUDBnmoHApk/ce3nuPLgX5PH+xKwt0SRjP&#10;abV2vGeug0iV0DSvztfOzx9ef7t0EBe4SnFBK7J2rgh3Xpx8/dXzpl4Rn25pkRKGwEnFV029drZC&#10;1KvZjCdbUmL+jNakgsmMshILuGTns5ThBryXxcx33cWsoSytGU0I5/DtKz3pnCj/WUYS8S7LOBGo&#10;WDuwN6E+mfrcyM/ZyXO8Ome43uZJuw18j12UOK8AdO/qFRYYXbD8jqsyTxjlNBPPElrOaJblCVEx&#10;QDSeeyuasy2uiYoFksPrfZr4w7lN3l6+ZyhP107soAqXUKIzlXuBNgX9jTZXK0Trv/74+88qJ/AP&#10;LRyUEp5ACt/i6wYjTlieo+YqxU2VJ9fkVwRZzkUBjr64AJLe1HwF2Gf1e9ZecRjKDO4yVqKsyOsf&#10;gE8qp5AltFMlu9qXjOwESuBL3124YRQ6KIG5AEZuKGs6036kv+SCi+8JLeUYX77hQpc8hZEqWNqG&#10;ndCq4rkgn4AmWVkAC76ZIRc1aOH53rxjyu3Vv/RXb4dXf/IM3wFsPbIDmCYusgH4BoDeuDUC06Td&#10;kw0lMFBGhmGatBuzocwNFHuezNUjAYA2B1S6v9q2+T4vGuTFQey7y7bhPCCNvEUQeMESymyBuD+R&#10;Wsd2iIlUGh3KRDJ5gR+5ixEpewBOWYpyJJWVt/8RUskOZSn2U6aTB9sPPC9YzIMxPcpzvcCznkZm&#10;y/GXbhRGgR3GNDrswGv3b4eYSKnRoUztU140nwehPZ6JxBpRe7NPjav97QPwAHLZq25yZHQ1TCM7&#10;RI8j+sawF6JnpJ/vbA8KJkdGh2IajXzYMTni/UvEkj3RUneTWPaiHEn1dEk1otgmB0fSts+Px6ZT&#10;7PqhH485AO1cNdtNEMaLeRjL22EYwjSyQ/TajXZsh+gZHU6n0aFM7FHREv4W9nAeglPDNelT0NbP&#10;77SoYef95TbnJj1GF8I0+n9zSrWo4Xo8ZTqF80XsqYe14RiOnIJXd6Nvj4l96vE5Nbbs9+9TPrwQ&#10;8WWrDaDrxo/yrjPyl75K1TDEhF6lHdujmHr+uSNDeQheDSdrYq8aWfX700rXOwwX3iO89wzceRzO&#10;5Uu8IBiEmEIp5dgOMZlSI0OZSCkvDiN1fAwnbCKtRlT9SCkra/8jlBpR7CdPpxB+DXiUDuX7bqw7&#10;1DDEhA6lHcsONQwxlU5jQ5naoSL4qVVxajich+DUMMLEFjXsfMID+thCHDnV/Ybve0v9Dn24JkdK&#10;2XrIkVIdpZ54hwL1y3mnb8HbTvKS7KpW8wIjhKVAy1X6mppyqa8xBTAgpukuQeGiBTVgpfQ0w8ZA&#10;EtPYO8gYTinT2D/IGI4e01j9jAmZGLdtuPtN4/lByHBWmMadAkkh6x20iWegR5NKtEIp0YSDQEbF&#10;HARKtI0ExKsaC1mvbogaKWrSjydou3b0O3NVtJJekg9ULRS31FEAeTNbVOaqQB8far9dXbsVycUm&#10;T74j1731wTKOl6D5gvja1wK1gtvvCia8IHIDVSsI4M6s1gd1+exhfBaxCxccz6PQ6yQzrWNjP20y&#10;dN40rBHdzaysQA+2C1i7hLMYoHrLuwXd/+bCO1krKCf6BpHFU9KzfRUV9I38jNMiT1/nRSHLxtn5&#10;5mXB0CWW0kTXexVFbZJ6ywp101VUmmkY+c1M6ue0Yk6NxFVBpNOi+olkIOeTyjhFEyWkJHscnCSk&#10;ElpWx7c4JRo+dOGvQ5fyP2mhQlEOpecM8Pe+WwfdSu2k86132a6XpkTpMPfGuul8YWPaeG+hkGkl&#10;9sZlXlH2ucgKiKpF1uu7JOnUyCyJ3WYHS+RwQ9Mr0D0yqgWhvE5e54yLN5iL95iB9g9YAapW8Q4+&#10;soLCbQi3mxo5aEvZ9ee+l+tBmAmzDmpAUbp2+O8XmBEHFT9WINmMvTnICJFQF/Mw8uGCmTMbc6a6&#10;KF9SYAb0U9idGsr1ouiGGaPlRxC/nkpUmMJVAtjQtwV0FH3xUsA1TIF8NiGnp2oMslOg55vqrE46&#10;fWUNkX/YfcSsRnK4dgSoK9/STn16I5sEOt+slaWp6OmFoFkuNZWKkjqv7QVIVhWHWnmt1MSa12rV&#10;jQj45B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3k13LWEGAABM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1C510F56" wp14:editId="5BA375E8">
          <wp:extent cx="1638935" cy="522605"/>
          <wp:effectExtent l="0" t="0" r="0" b="0"/>
          <wp:docPr id="4" name="Obraz 4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7AE6425" wp14:editId="6DB3545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7 czerwiec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8826DE" w:rsidRDefault="00E00BD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27</w:t>
                          </w:r>
                          <w:r w:rsidR="00A810F9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EA06C0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4E43BB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A810F9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EA06C0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</w:t>
                          </w:r>
                          <w:r w:rsidR="00E24A89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92BBF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37172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E642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informacji sygnalnej — opis: 27 czerwiec 2022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QLQAIAAEgEAAAOAAAAZHJzL2Uyb0RvYy54bWysVMFu2zAMvQ/YPwi6L06cpG2MOEXXrsOA&#10;bivQ7QMUmY7VyKImKbHTrx8lp2mw3Yb5IFCm+cj3SHp53bea7cF5habkk9GYMzASK2U2Jf/54/7D&#10;FWc+CFMJjQZKfgDPr1fv3y07W0CODeoKHCMQ44vOlrwJwRZZ5mUDrfAjtGDIWaNrRaCr22SVEx2h&#10;tzrLx+OLrENXWYcSvKe3d4OTrxJ+XYMM3+vaQ2C65FRbSKdL5zqe2Wopio0TtlHyWIb4hypaoQwl&#10;PUHdiSDYzqm/oFolHXqsw0him2FdKwmJA7GZjP9g89QIC4kLiePtSSb//2Dlt/2jY6oqOTXKiJZa&#10;9IgaWICtD9gByzmrwEuSLL9k8gVcp0CyfJznzOGWFFVBU1AibHdrrbZCPiumTOpZNP1hY4Q28BzF&#10;7qwvKOeTpayh/4g9DU0SztsHlFvPDN42wmzgxjnsGhAVkZ3EyOwsdMDxEWTdfcWKChC7gAmor10b&#10;O0HaMkKnph9OjYY+MBlTzqZ5vphyJsk3nV7MrxYphSheo63z4TNgy6JRckeDlNDF/sGHWI0oXj+J&#10;yQzeK63TMGnDupIv5vk8BZx5WhVo1rVqSexxfIbpiyQ/mSoFB6H0YFMCbY6sI9GBcujXfepWkiQq&#10;ssbqQDI4HEabVpGMBt0LZx2Ndcn9r51wwJn+YkjKxWQ2i3uQLrP5ZU4Xd+5Zn3uEkQRV8sDZYN6G&#10;tDsD5RuSvFZJjbdKjiXTuCaRjqsVx+P8nr56+wGsfgMAAP//AwBQSwMEFAAGAAgAAAAhAGtncR3e&#10;AAAACgEAAA8AAABkcnMvZG93bnJldi54bWxMj8FOwzAQRO9I/IO1SNyo3Si0Tcimqoq4gmgBiZsb&#10;b5OIeB3FbhP+HvdEj6MZzbwp1pPtxJkG3zpGmM8UCOLKmZZrhI/9y8MKhA+aje4cE8IveViXtzeF&#10;zo0b+Z3Ou1CLWMI+1whNCH0upa8astrPXE8cvaMbrA5RDrU0gx5jue1kotRCWt1yXGh0T9uGqp/d&#10;ySJ8vh6/v1L1Vj/bx350k5JsM4l4fzdtnkAEmsJ/GC74ER3KyHRwJzZedAirJIlfAkI6z0BcAipd&#10;LkAcELI0A1kW8vpC+QcAAP//AwBQSwECLQAUAAYACAAAACEAtoM4kv4AAADhAQAAEwAAAAAAAAAA&#10;AAAAAAAAAAAAW0NvbnRlbnRfVHlwZXNdLnhtbFBLAQItABQABgAIAAAAIQA4/SH/1gAAAJQBAAAL&#10;AAAAAAAAAAAAAAAAAC8BAABfcmVscy8ucmVsc1BLAQItABQABgAIAAAAIQC+0gQLQAIAAEgEAAAO&#10;AAAAAAAAAAAAAAAAAC4CAABkcnMvZTJvRG9jLnhtbFBLAQItABQABgAIAAAAIQBrZ3Ed3gAAAAoB&#10;AAAPAAAAAAAAAAAAAAAAAJoEAABkcnMvZG93bnJldi54bWxQSwUGAAAAAAQABADzAAAApQUAAAAA&#10;" filled="f" stroked="f">
              <v:textbox>
                <w:txbxContent>
                  <w:p w:rsidR="00F37172" w:rsidRPr="008826DE" w:rsidRDefault="00E00BD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27</w:t>
                    </w:r>
                    <w:r w:rsidR="00A810F9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EA06C0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4E43BB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A810F9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EA06C0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20</w:t>
                    </w:r>
                    <w:r w:rsidR="00E24A89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92BBF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37172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6.4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6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D79"/>
    <w:rsid w:val="000152F5"/>
    <w:rsid w:val="00017C23"/>
    <w:rsid w:val="0003403F"/>
    <w:rsid w:val="0004182B"/>
    <w:rsid w:val="0004582E"/>
    <w:rsid w:val="00045FB1"/>
    <w:rsid w:val="000470AA"/>
    <w:rsid w:val="000510A3"/>
    <w:rsid w:val="00057CA1"/>
    <w:rsid w:val="00060556"/>
    <w:rsid w:val="000648CD"/>
    <w:rsid w:val="000662E2"/>
    <w:rsid w:val="00066883"/>
    <w:rsid w:val="00074DD8"/>
    <w:rsid w:val="000806F7"/>
    <w:rsid w:val="00084F3F"/>
    <w:rsid w:val="0008676E"/>
    <w:rsid w:val="00094B5B"/>
    <w:rsid w:val="00097840"/>
    <w:rsid w:val="000A221B"/>
    <w:rsid w:val="000A2A4D"/>
    <w:rsid w:val="000A2DFD"/>
    <w:rsid w:val="000A418D"/>
    <w:rsid w:val="000A7543"/>
    <w:rsid w:val="000A76C4"/>
    <w:rsid w:val="000B0727"/>
    <w:rsid w:val="000B4DC6"/>
    <w:rsid w:val="000B59D7"/>
    <w:rsid w:val="000C135D"/>
    <w:rsid w:val="000C18BE"/>
    <w:rsid w:val="000C193E"/>
    <w:rsid w:val="000C77A8"/>
    <w:rsid w:val="000D0A88"/>
    <w:rsid w:val="000D0C95"/>
    <w:rsid w:val="000D1D43"/>
    <w:rsid w:val="000D225C"/>
    <w:rsid w:val="000D2A5C"/>
    <w:rsid w:val="000D730D"/>
    <w:rsid w:val="000E0918"/>
    <w:rsid w:val="000E4F6A"/>
    <w:rsid w:val="000F1F9E"/>
    <w:rsid w:val="000F2C85"/>
    <w:rsid w:val="000F544E"/>
    <w:rsid w:val="000F736A"/>
    <w:rsid w:val="001011C3"/>
    <w:rsid w:val="001018D1"/>
    <w:rsid w:val="00110D87"/>
    <w:rsid w:val="00112678"/>
    <w:rsid w:val="00114DB9"/>
    <w:rsid w:val="00116087"/>
    <w:rsid w:val="00121F4E"/>
    <w:rsid w:val="00125570"/>
    <w:rsid w:val="00130296"/>
    <w:rsid w:val="00137992"/>
    <w:rsid w:val="0014094E"/>
    <w:rsid w:val="001423B6"/>
    <w:rsid w:val="001436AC"/>
    <w:rsid w:val="001448A7"/>
    <w:rsid w:val="00146621"/>
    <w:rsid w:val="00146A4B"/>
    <w:rsid w:val="00146AF5"/>
    <w:rsid w:val="001515DA"/>
    <w:rsid w:val="001547AF"/>
    <w:rsid w:val="00162325"/>
    <w:rsid w:val="001639B5"/>
    <w:rsid w:val="00165B94"/>
    <w:rsid w:val="00166E33"/>
    <w:rsid w:val="001752F5"/>
    <w:rsid w:val="00183442"/>
    <w:rsid w:val="00187CFB"/>
    <w:rsid w:val="00190D24"/>
    <w:rsid w:val="001916DC"/>
    <w:rsid w:val="0019417C"/>
    <w:rsid w:val="001951DA"/>
    <w:rsid w:val="001958FA"/>
    <w:rsid w:val="001A2B5B"/>
    <w:rsid w:val="001A766A"/>
    <w:rsid w:val="001B4B73"/>
    <w:rsid w:val="001C3269"/>
    <w:rsid w:val="001C780E"/>
    <w:rsid w:val="001D1DB4"/>
    <w:rsid w:val="001D40DB"/>
    <w:rsid w:val="001D6288"/>
    <w:rsid w:val="001D6FAA"/>
    <w:rsid w:val="001E2038"/>
    <w:rsid w:val="001F3DB4"/>
    <w:rsid w:val="001F4C7F"/>
    <w:rsid w:val="00203D9A"/>
    <w:rsid w:val="002109A6"/>
    <w:rsid w:val="00210F79"/>
    <w:rsid w:val="002400EC"/>
    <w:rsid w:val="002574F9"/>
    <w:rsid w:val="00257E7D"/>
    <w:rsid w:val="00262B61"/>
    <w:rsid w:val="00270C40"/>
    <w:rsid w:val="00270D9F"/>
    <w:rsid w:val="00274B22"/>
    <w:rsid w:val="00276748"/>
    <w:rsid w:val="00276811"/>
    <w:rsid w:val="00282699"/>
    <w:rsid w:val="00283885"/>
    <w:rsid w:val="002863FB"/>
    <w:rsid w:val="002876EE"/>
    <w:rsid w:val="0029146A"/>
    <w:rsid w:val="002926DF"/>
    <w:rsid w:val="00296697"/>
    <w:rsid w:val="00296B81"/>
    <w:rsid w:val="002A6E2E"/>
    <w:rsid w:val="002B0472"/>
    <w:rsid w:val="002B087E"/>
    <w:rsid w:val="002B123E"/>
    <w:rsid w:val="002B180F"/>
    <w:rsid w:val="002B6B12"/>
    <w:rsid w:val="002C15C7"/>
    <w:rsid w:val="002C3338"/>
    <w:rsid w:val="002C3A22"/>
    <w:rsid w:val="002D1E4B"/>
    <w:rsid w:val="002D7DDF"/>
    <w:rsid w:val="002E1F6B"/>
    <w:rsid w:val="002E2A38"/>
    <w:rsid w:val="002E6140"/>
    <w:rsid w:val="002E6985"/>
    <w:rsid w:val="002E71B6"/>
    <w:rsid w:val="002E7D73"/>
    <w:rsid w:val="002F2ED8"/>
    <w:rsid w:val="002F39C0"/>
    <w:rsid w:val="002F77C8"/>
    <w:rsid w:val="00304F22"/>
    <w:rsid w:val="00306C7C"/>
    <w:rsid w:val="00316559"/>
    <w:rsid w:val="0031694E"/>
    <w:rsid w:val="00317966"/>
    <w:rsid w:val="003202E4"/>
    <w:rsid w:val="00322EDD"/>
    <w:rsid w:val="00332320"/>
    <w:rsid w:val="00332F73"/>
    <w:rsid w:val="003364A0"/>
    <w:rsid w:val="003449FF"/>
    <w:rsid w:val="00347C4D"/>
    <w:rsid w:val="00347D72"/>
    <w:rsid w:val="0035166E"/>
    <w:rsid w:val="003542F8"/>
    <w:rsid w:val="00357611"/>
    <w:rsid w:val="00362696"/>
    <w:rsid w:val="00367237"/>
    <w:rsid w:val="0037077F"/>
    <w:rsid w:val="00371E12"/>
    <w:rsid w:val="00372411"/>
    <w:rsid w:val="00373882"/>
    <w:rsid w:val="0037503D"/>
    <w:rsid w:val="00382D04"/>
    <w:rsid w:val="003843DB"/>
    <w:rsid w:val="00384823"/>
    <w:rsid w:val="00393761"/>
    <w:rsid w:val="003959F8"/>
    <w:rsid w:val="0039790D"/>
    <w:rsid w:val="00397D18"/>
    <w:rsid w:val="003A1B36"/>
    <w:rsid w:val="003A4499"/>
    <w:rsid w:val="003B1454"/>
    <w:rsid w:val="003B18B6"/>
    <w:rsid w:val="003B1B96"/>
    <w:rsid w:val="003B2B76"/>
    <w:rsid w:val="003B4416"/>
    <w:rsid w:val="003C1FFD"/>
    <w:rsid w:val="003C4E95"/>
    <w:rsid w:val="003C59E0"/>
    <w:rsid w:val="003C5D62"/>
    <w:rsid w:val="003C5EF8"/>
    <w:rsid w:val="003C6C8D"/>
    <w:rsid w:val="003D4F95"/>
    <w:rsid w:val="003D5F42"/>
    <w:rsid w:val="003D60A9"/>
    <w:rsid w:val="003E0903"/>
    <w:rsid w:val="003E2DF3"/>
    <w:rsid w:val="003E6335"/>
    <w:rsid w:val="003E7913"/>
    <w:rsid w:val="003F116C"/>
    <w:rsid w:val="003F1255"/>
    <w:rsid w:val="003F4C97"/>
    <w:rsid w:val="003F5CEC"/>
    <w:rsid w:val="003F7FE6"/>
    <w:rsid w:val="00400193"/>
    <w:rsid w:val="004200BC"/>
    <w:rsid w:val="004212E7"/>
    <w:rsid w:val="0042446D"/>
    <w:rsid w:val="004256B4"/>
    <w:rsid w:val="00427BF8"/>
    <w:rsid w:val="00430439"/>
    <w:rsid w:val="00431C02"/>
    <w:rsid w:val="00437395"/>
    <w:rsid w:val="00442E75"/>
    <w:rsid w:val="00445047"/>
    <w:rsid w:val="00446B96"/>
    <w:rsid w:val="004509E7"/>
    <w:rsid w:val="0045448D"/>
    <w:rsid w:val="004572FA"/>
    <w:rsid w:val="00463E39"/>
    <w:rsid w:val="00464BAB"/>
    <w:rsid w:val="004657FC"/>
    <w:rsid w:val="00466124"/>
    <w:rsid w:val="004733F6"/>
    <w:rsid w:val="00474E69"/>
    <w:rsid w:val="00476C37"/>
    <w:rsid w:val="00487CA1"/>
    <w:rsid w:val="00495136"/>
    <w:rsid w:val="0049621B"/>
    <w:rsid w:val="004977BE"/>
    <w:rsid w:val="004A0FD1"/>
    <w:rsid w:val="004A485E"/>
    <w:rsid w:val="004A7BB9"/>
    <w:rsid w:val="004A7E15"/>
    <w:rsid w:val="004B338E"/>
    <w:rsid w:val="004C1895"/>
    <w:rsid w:val="004C1DAA"/>
    <w:rsid w:val="004C2063"/>
    <w:rsid w:val="004C6D40"/>
    <w:rsid w:val="004E43BB"/>
    <w:rsid w:val="004E5A30"/>
    <w:rsid w:val="004F0C3C"/>
    <w:rsid w:val="004F63FC"/>
    <w:rsid w:val="004F6EB8"/>
    <w:rsid w:val="00505A92"/>
    <w:rsid w:val="00513D6B"/>
    <w:rsid w:val="005203F1"/>
    <w:rsid w:val="00520B38"/>
    <w:rsid w:val="00521BC3"/>
    <w:rsid w:val="00523F4C"/>
    <w:rsid w:val="005246EF"/>
    <w:rsid w:val="00526A02"/>
    <w:rsid w:val="00526D39"/>
    <w:rsid w:val="00533632"/>
    <w:rsid w:val="005366AA"/>
    <w:rsid w:val="00536889"/>
    <w:rsid w:val="0053716A"/>
    <w:rsid w:val="00541E6E"/>
    <w:rsid w:val="0054251F"/>
    <w:rsid w:val="005520D8"/>
    <w:rsid w:val="00556CF1"/>
    <w:rsid w:val="00565619"/>
    <w:rsid w:val="005670A0"/>
    <w:rsid w:val="00570150"/>
    <w:rsid w:val="0057380C"/>
    <w:rsid w:val="0057577F"/>
    <w:rsid w:val="005762A7"/>
    <w:rsid w:val="005916D7"/>
    <w:rsid w:val="00595BC9"/>
    <w:rsid w:val="005A5473"/>
    <w:rsid w:val="005A694E"/>
    <w:rsid w:val="005A698C"/>
    <w:rsid w:val="005A6A47"/>
    <w:rsid w:val="005A7455"/>
    <w:rsid w:val="005B573E"/>
    <w:rsid w:val="005D1D11"/>
    <w:rsid w:val="005E0799"/>
    <w:rsid w:val="005E092A"/>
    <w:rsid w:val="005E0AD2"/>
    <w:rsid w:val="005E1B8A"/>
    <w:rsid w:val="005E4D11"/>
    <w:rsid w:val="005E55D4"/>
    <w:rsid w:val="005E5A5A"/>
    <w:rsid w:val="005F07D2"/>
    <w:rsid w:val="005F5A80"/>
    <w:rsid w:val="00603087"/>
    <w:rsid w:val="006044FF"/>
    <w:rsid w:val="00605FA4"/>
    <w:rsid w:val="0060604C"/>
    <w:rsid w:val="00607743"/>
    <w:rsid w:val="00607CC5"/>
    <w:rsid w:val="0061624F"/>
    <w:rsid w:val="006163AB"/>
    <w:rsid w:val="00632D38"/>
    <w:rsid w:val="00633014"/>
    <w:rsid w:val="0063437B"/>
    <w:rsid w:val="006407A1"/>
    <w:rsid w:val="00643478"/>
    <w:rsid w:val="00645B5F"/>
    <w:rsid w:val="00651432"/>
    <w:rsid w:val="00651532"/>
    <w:rsid w:val="006613B0"/>
    <w:rsid w:val="006673CA"/>
    <w:rsid w:val="0067014B"/>
    <w:rsid w:val="00670D4E"/>
    <w:rsid w:val="00673336"/>
    <w:rsid w:val="00673C26"/>
    <w:rsid w:val="0067669A"/>
    <w:rsid w:val="006812AF"/>
    <w:rsid w:val="0068327D"/>
    <w:rsid w:val="006913A5"/>
    <w:rsid w:val="00693875"/>
    <w:rsid w:val="00694AF0"/>
    <w:rsid w:val="006A4686"/>
    <w:rsid w:val="006A536F"/>
    <w:rsid w:val="006A5930"/>
    <w:rsid w:val="006A7B98"/>
    <w:rsid w:val="006B0E9E"/>
    <w:rsid w:val="006B143D"/>
    <w:rsid w:val="006B223A"/>
    <w:rsid w:val="006B5AE4"/>
    <w:rsid w:val="006C7F67"/>
    <w:rsid w:val="006D1507"/>
    <w:rsid w:val="006D2B90"/>
    <w:rsid w:val="006D4054"/>
    <w:rsid w:val="006E02EC"/>
    <w:rsid w:val="006E1881"/>
    <w:rsid w:val="006E1F0E"/>
    <w:rsid w:val="006E27D2"/>
    <w:rsid w:val="006E6AA5"/>
    <w:rsid w:val="006F1AE2"/>
    <w:rsid w:val="006F59EF"/>
    <w:rsid w:val="007039A4"/>
    <w:rsid w:val="00705AD8"/>
    <w:rsid w:val="00712103"/>
    <w:rsid w:val="00716FC9"/>
    <w:rsid w:val="007211B1"/>
    <w:rsid w:val="00721281"/>
    <w:rsid w:val="00727C17"/>
    <w:rsid w:val="007436CF"/>
    <w:rsid w:val="00746187"/>
    <w:rsid w:val="00746C6E"/>
    <w:rsid w:val="007470DB"/>
    <w:rsid w:val="00753B65"/>
    <w:rsid w:val="007552F1"/>
    <w:rsid w:val="00756BCA"/>
    <w:rsid w:val="00760EDB"/>
    <w:rsid w:val="0076254F"/>
    <w:rsid w:val="00767B50"/>
    <w:rsid w:val="0077035E"/>
    <w:rsid w:val="007801F5"/>
    <w:rsid w:val="00783CA4"/>
    <w:rsid w:val="007842FB"/>
    <w:rsid w:val="00786124"/>
    <w:rsid w:val="00791254"/>
    <w:rsid w:val="0079351A"/>
    <w:rsid w:val="00793960"/>
    <w:rsid w:val="0079514B"/>
    <w:rsid w:val="007A2DC1"/>
    <w:rsid w:val="007A425C"/>
    <w:rsid w:val="007D3319"/>
    <w:rsid w:val="007D335D"/>
    <w:rsid w:val="007D5310"/>
    <w:rsid w:val="007E3314"/>
    <w:rsid w:val="007E4B03"/>
    <w:rsid w:val="007E5D26"/>
    <w:rsid w:val="007E7C75"/>
    <w:rsid w:val="007F324B"/>
    <w:rsid w:val="00801FC3"/>
    <w:rsid w:val="0080553C"/>
    <w:rsid w:val="00805B46"/>
    <w:rsid w:val="00805CF3"/>
    <w:rsid w:val="00812FCA"/>
    <w:rsid w:val="00814BD1"/>
    <w:rsid w:val="00823A60"/>
    <w:rsid w:val="00825DC2"/>
    <w:rsid w:val="00834AD3"/>
    <w:rsid w:val="00836E5A"/>
    <w:rsid w:val="00840E72"/>
    <w:rsid w:val="00843795"/>
    <w:rsid w:val="00846BB2"/>
    <w:rsid w:val="008470B1"/>
    <w:rsid w:val="00847F0F"/>
    <w:rsid w:val="00852448"/>
    <w:rsid w:val="00853A04"/>
    <w:rsid w:val="0086752C"/>
    <w:rsid w:val="00871B22"/>
    <w:rsid w:val="00881230"/>
    <w:rsid w:val="0088258A"/>
    <w:rsid w:val="008826DE"/>
    <w:rsid w:val="00886332"/>
    <w:rsid w:val="00897258"/>
    <w:rsid w:val="008A26D9"/>
    <w:rsid w:val="008A2719"/>
    <w:rsid w:val="008A2920"/>
    <w:rsid w:val="008A376C"/>
    <w:rsid w:val="008B0189"/>
    <w:rsid w:val="008B0813"/>
    <w:rsid w:val="008B0C53"/>
    <w:rsid w:val="008B112C"/>
    <w:rsid w:val="008C04BC"/>
    <w:rsid w:val="008C0C29"/>
    <w:rsid w:val="008C29C9"/>
    <w:rsid w:val="008D0BCA"/>
    <w:rsid w:val="008D482E"/>
    <w:rsid w:val="008E5BA8"/>
    <w:rsid w:val="008E73DE"/>
    <w:rsid w:val="008F3638"/>
    <w:rsid w:val="008F39DA"/>
    <w:rsid w:val="008F4441"/>
    <w:rsid w:val="008F6F31"/>
    <w:rsid w:val="008F74DF"/>
    <w:rsid w:val="00901D5C"/>
    <w:rsid w:val="00904933"/>
    <w:rsid w:val="009127BA"/>
    <w:rsid w:val="00912830"/>
    <w:rsid w:val="009160AF"/>
    <w:rsid w:val="00917C08"/>
    <w:rsid w:val="009227A6"/>
    <w:rsid w:val="00923B5C"/>
    <w:rsid w:val="00933EC1"/>
    <w:rsid w:val="0093416A"/>
    <w:rsid w:val="009419D8"/>
    <w:rsid w:val="00944D87"/>
    <w:rsid w:val="009530DB"/>
    <w:rsid w:val="00953676"/>
    <w:rsid w:val="00954401"/>
    <w:rsid w:val="00960051"/>
    <w:rsid w:val="00961357"/>
    <w:rsid w:val="009705EE"/>
    <w:rsid w:val="00976A9F"/>
    <w:rsid w:val="00977226"/>
    <w:rsid w:val="00977927"/>
    <w:rsid w:val="0098135C"/>
    <w:rsid w:val="0098156A"/>
    <w:rsid w:val="00984D49"/>
    <w:rsid w:val="0098560B"/>
    <w:rsid w:val="0098745F"/>
    <w:rsid w:val="009879D6"/>
    <w:rsid w:val="00990549"/>
    <w:rsid w:val="009912CA"/>
    <w:rsid w:val="00991580"/>
    <w:rsid w:val="00991BAC"/>
    <w:rsid w:val="00993860"/>
    <w:rsid w:val="00997F22"/>
    <w:rsid w:val="009A37A8"/>
    <w:rsid w:val="009A5563"/>
    <w:rsid w:val="009A6EA0"/>
    <w:rsid w:val="009B112A"/>
    <w:rsid w:val="009B5182"/>
    <w:rsid w:val="009C1335"/>
    <w:rsid w:val="009C1AB2"/>
    <w:rsid w:val="009C7251"/>
    <w:rsid w:val="009C73F4"/>
    <w:rsid w:val="009C77AC"/>
    <w:rsid w:val="009D2055"/>
    <w:rsid w:val="009D28C2"/>
    <w:rsid w:val="009D34FB"/>
    <w:rsid w:val="009E2E91"/>
    <w:rsid w:val="009E46C6"/>
    <w:rsid w:val="009E696D"/>
    <w:rsid w:val="009F4320"/>
    <w:rsid w:val="009F70CD"/>
    <w:rsid w:val="00A04CC8"/>
    <w:rsid w:val="00A05463"/>
    <w:rsid w:val="00A112A7"/>
    <w:rsid w:val="00A139F5"/>
    <w:rsid w:val="00A16E3B"/>
    <w:rsid w:val="00A2519B"/>
    <w:rsid w:val="00A31174"/>
    <w:rsid w:val="00A33160"/>
    <w:rsid w:val="00A365F4"/>
    <w:rsid w:val="00A42793"/>
    <w:rsid w:val="00A42F63"/>
    <w:rsid w:val="00A437FC"/>
    <w:rsid w:val="00A43C9B"/>
    <w:rsid w:val="00A4549B"/>
    <w:rsid w:val="00A47D80"/>
    <w:rsid w:val="00A5037C"/>
    <w:rsid w:val="00A5136F"/>
    <w:rsid w:val="00A53132"/>
    <w:rsid w:val="00A563F2"/>
    <w:rsid w:val="00A566E8"/>
    <w:rsid w:val="00A619B7"/>
    <w:rsid w:val="00A66BF7"/>
    <w:rsid w:val="00A72978"/>
    <w:rsid w:val="00A810F9"/>
    <w:rsid w:val="00A86ECC"/>
    <w:rsid w:val="00A86FCC"/>
    <w:rsid w:val="00A9416E"/>
    <w:rsid w:val="00AA0319"/>
    <w:rsid w:val="00AA15FC"/>
    <w:rsid w:val="00AA320F"/>
    <w:rsid w:val="00AA6A7F"/>
    <w:rsid w:val="00AA6AE4"/>
    <w:rsid w:val="00AA710D"/>
    <w:rsid w:val="00AB0055"/>
    <w:rsid w:val="00AB3464"/>
    <w:rsid w:val="00AB5ED5"/>
    <w:rsid w:val="00AB6D25"/>
    <w:rsid w:val="00AC5BF3"/>
    <w:rsid w:val="00AC68EA"/>
    <w:rsid w:val="00AD242D"/>
    <w:rsid w:val="00AD29E7"/>
    <w:rsid w:val="00AD3847"/>
    <w:rsid w:val="00AD5702"/>
    <w:rsid w:val="00AD62DD"/>
    <w:rsid w:val="00AE2D4B"/>
    <w:rsid w:val="00AE35E9"/>
    <w:rsid w:val="00AE4F99"/>
    <w:rsid w:val="00AF33B6"/>
    <w:rsid w:val="00AF691B"/>
    <w:rsid w:val="00B0114E"/>
    <w:rsid w:val="00B01703"/>
    <w:rsid w:val="00B019E6"/>
    <w:rsid w:val="00B02335"/>
    <w:rsid w:val="00B040AC"/>
    <w:rsid w:val="00B05893"/>
    <w:rsid w:val="00B11B69"/>
    <w:rsid w:val="00B14952"/>
    <w:rsid w:val="00B168A8"/>
    <w:rsid w:val="00B226C8"/>
    <w:rsid w:val="00B31E5A"/>
    <w:rsid w:val="00B32C0A"/>
    <w:rsid w:val="00B35DAC"/>
    <w:rsid w:val="00B44345"/>
    <w:rsid w:val="00B47F2F"/>
    <w:rsid w:val="00B55BDD"/>
    <w:rsid w:val="00B56A8E"/>
    <w:rsid w:val="00B6146A"/>
    <w:rsid w:val="00B628A5"/>
    <w:rsid w:val="00B637A7"/>
    <w:rsid w:val="00B64834"/>
    <w:rsid w:val="00B653AB"/>
    <w:rsid w:val="00B65F9E"/>
    <w:rsid w:val="00B66B19"/>
    <w:rsid w:val="00B671E2"/>
    <w:rsid w:val="00B82E58"/>
    <w:rsid w:val="00B845E6"/>
    <w:rsid w:val="00B914E9"/>
    <w:rsid w:val="00B9169F"/>
    <w:rsid w:val="00B956EE"/>
    <w:rsid w:val="00BA2BA1"/>
    <w:rsid w:val="00BA3562"/>
    <w:rsid w:val="00BB2032"/>
    <w:rsid w:val="00BB4F09"/>
    <w:rsid w:val="00BC32FB"/>
    <w:rsid w:val="00BC33B3"/>
    <w:rsid w:val="00BC469F"/>
    <w:rsid w:val="00BD0A0B"/>
    <w:rsid w:val="00BD3080"/>
    <w:rsid w:val="00BD4E33"/>
    <w:rsid w:val="00BE07B5"/>
    <w:rsid w:val="00BE3B8F"/>
    <w:rsid w:val="00BF2214"/>
    <w:rsid w:val="00BF41D4"/>
    <w:rsid w:val="00BF482F"/>
    <w:rsid w:val="00BF4C28"/>
    <w:rsid w:val="00BF5A4D"/>
    <w:rsid w:val="00C030DE"/>
    <w:rsid w:val="00C03DD8"/>
    <w:rsid w:val="00C16F88"/>
    <w:rsid w:val="00C20171"/>
    <w:rsid w:val="00C22105"/>
    <w:rsid w:val="00C229B7"/>
    <w:rsid w:val="00C2412B"/>
    <w:rsid w:val="00C244B6"/>
    <w:rsid w:val="00C3702F"/>
    <w:rsid w:val="00C4500A"/>
    <w:rsid w:val="00C47DAF"/>
    <w:rsid w:val="00C62B3A"/>
    <w:rsid w:val="00C63802"/>
    <w:rsid w:val="00C64A37"/>
    <w:rsid w:val="00C7158E"/>
    <w:rsid w:val="00C7250B"/>
    <w:rsid w:val="00C7346B"/>
    <w:rsid w:val="00C77C0E"/>
    <w:rsid w:val="00C80B60"/>
    <w:rsid w:val="00C91687"/>
    <w:rsid w:val="00C924A8"/>
    <w:rsid w:val="00C945FE"/>
    <w:rsid w:val="00C96FAA"/>
    <w:rsid w:val="00C97A04"/>
    <w:rsid w:val="00CA107B"/>
    <w:rsid w:val="00CA484D"/>
    <w:rsid w:val="00CA4FB6"/>
    <w:rsid w:val="00CB24CF"/>
    <w:rsid w:val="00CB7D93"/>
    <w:rsid w:val="00CC739E"/>
    <w:rsid w:val="00CD58B7"/>
    <w:rsid w:val="00CD6A48"/>
    <w:rsid w:val="00CE6B20"/>
    <w:rsid w:val="00CF4099"/>
    <w:rsid w:val="00D00796"/>
    <w:rsid w:val="00D00DAC"/>
    <w:rsid w:val="00D1463D"/>
    <w:rsid w:val="00D177D0"/>
    <w:rsid w:val="00D17BF5"/>
    <w:rsid w:val="00D2456A"/>
    <w:rsid w:val="00D261A2"/>
    <w:rsid w:val="00D469ED"/>
    <w:rsid w:val="00D52384"/>
    <w:rsid w:val="00D52C3D"/>
    <w:rsid w:val="00D57D87"/>
    <w:rsid w:val="00D616D2"/>
    <w:rsid w:val="00D63B5F"/>
    <w:rsid w:val="00D70EF7"/>
    <w:rsid w:val="00D77716"/>
    <w:rsid w:val="00D81CEC"/>
    <w:rsid w:val="00D81FAF"/>
    <w:rsid w:val="00D838E3"/>
    <w:rsid w:val="00D8397C"/>
    <w:rsid w:val="00D84FE5"/>
    <w:rsid w:val="00D8502E"/>
    <w:rsid w:val="00D91F27"/>
    <w:rsid w:val="00D94EED"/>
    <w:rsid w:val="00D96026"/>
    <w:rsid w:val="00DA2565"/>
    <w:rsid w:val="00DA6320"/>
    <w:rsid w:val="00DA7C1C"/>
    <w:rsid w:val="00DB147A"/>
    <w:rsid w:val="00DB1747"/>
    <w:rsid w:val="00DB1B7A"/>
    <w:rsid w:val="00DB37B5"/>
    <w:rsid w:val="00DB7EBD"/>
    <w:rsid w:val="00DC6708"/>
    <w:rsid w:val="00DD346F"/>
    <w:rsid w:val="00DD35C6"/>
    <w:rsid w:val="00DD5224"/>
    <w:rsid w:val="00DE0585"/>
    <w:rsid w:val="00DE0890"/>
    <w:rsid w:val="00DE7D35"/>
    <w:rsid w:val="00E00BD4"/>
    <w:rsid w:val="00E01436"/>
    <w:rsid w:val="00E045BD"/>
    <w:rsid w:val="00E04E1E"/>
    <w:rsid w:val="00E108AC"/>
    <w:rsid w:val="00E10DFC"/>
    <w:rsid w:val="00E12EDF"/>
    <w:rsid w:val="00E17B77"/>
    <w:rsid w:val="00E21E3C"/>
    <w:rsid w:val="00E22912"/>
    <w:rsid w:val="00E23337"/>
    <w:rsid w:val="00E24A89"/>
    <w:rsid w:val="00E258E4"/>
    <w:rsid w:val="00E259EA"/>
    <w:rsid w:val="00E27380"/>
    <w:rsid w:val="00E32061"/>
    <w:rsid w:val="00E349DA"/>
    <w:rsid w:val="00E40EA5"/>
    <w:rsid w:val="00E42FF9"/>
    <w:rsid w:val="00E430C9"/>
    <w:rsid w:val="00E4714C"/>
    <w:rsid w:val="00E47508"/>
    <w:rsid w:val="00E51AEB"/>
    <w:rsid w:val="00E522A7"/>
    <w:rsid w:val="00E54452"/>
    <w:rsid w:val="00E63AB5"/>
    <w:rsid w:val="00E6634F"/>
    <w:rsid w:val="00E664C5"/>
    <w:rsid w:val="00E671A2"/>
    <w:rsid w:val="00E71702"/>
    <w:rsid w:val="00E76D26"/>
    <w:rsid w:val="00E845BC"/>
    <w:rsid w:val="00E96A1D"/>
    <w:rsid w:val="00E97E62"/>
    <w:rsid w:val="00EA06C0"/>
    <w:rsid w:val="00EA1AC5"/>
    <w:rsid w:val="00EA4E8A"/>
    <w:rsid w:val="00EA7E89"/>
    <w:rsid w:val="00EA7F0C"/>
    <w:rsid w:val="00EB1390"/>
    <w:rsid w:val="00EB2C71"/>
    <w:rsid w:val="00EB377A"/>
    <w:rsid w:val="00EB4340"/>
    <w:rsid w:val="00EB556D"/>
    <w:rsid w:val="00EB5A7D"/>
    <w:rsid w:val="00EC5A67"/>
    <w:rsid w:val="00ED55C0"/>
    <w:rsid w:val="00ED634A"/>
    <w:rsid w:val="00ED682B"/>
    <w:rsid w:val="00ED6E9F"/>
    <w:rsid w:val="00EE4057"/>
    <w:rsid w:val="00EE41D5"/>
    <w:rsid w:val="00EE5BB8"/>
    <w:rsid w:val="00EF0B86"/>
    <w:rsid w:val="00F037A4"/>
    <w:rsid w:val="00F12A16"/>
    <w:rsid w:val="00F20933"/>
    <w:rsid w:val="00F2318D"/>
    <w:rsid w:val="00F23FD8"/>
    <w:rsid w:val="00F2571E"/>
    <w:rsid w:val="00F27C8F"/>
    <w:rsid w:val="00F30D32"/>
    <w:rsid w:val="00F32749"/>
    <w:rsid w:val="00F37172"/>
    <w:rsid w:val="00F4477E"/>
    <w:rsid w:val="00F46F53"/>
    <w:rsid w:val="00F47A85"/>
    <w:rsid w:val="00F50E5D"/>
    <w:rsid w:val="00F5179F"/>
    <w:rsid w:val="00F5182F"/>
    <w:rsid w:val="00F52524"/>
    <w:rsid w:val="00F52ABC"/>
    <w:rsid w:val="00F53294"/>
    <w:rsid w:val="00F53EC1"/>
    <w:rsid w:val="00F56057"/>
    <w:rsid w:val="00F67D8F"/>
    <w:rsid w:val="00F714F5"/>
    <w:rsid w:val="00F72B4B"/>
    <w:rsid w:val="00F74454"/>
    <w:rsid w:val="00F76C0B"/>
    <w:rsid w:val="00F802BE"/>
    <w:rsid w:val="00F80E93"/>
    <w:rsid w:val="00F86024"/>
    <w:rsid w:val="00F8611A"/>
    <w:rsid w:val="00F90EBB"/>
    <w:rsid w:val="00F92BBF"/>
    <w:rsid w:val="00F96F12"/>
    <w:rsid w:val="00FA42EB"/>
    <w:rsid w:val="00FA5128"/>
    <w:rsid w:val="00FA7968"/>
    <w:rsid w:val="00FB0A2D"/>
    <w:rsid w:val="00FB1D3B"/>
    <w:rsid w:val="00FB42D4"/>
    <w:rsid w:val="00FB5906"/>
    <w:rsid w:val="00FB762F"/>
    <w:rsid w:val="00FC142D"/>
    <w:rsid w:val="00FC2AED"/>
    <w:rsid w:val="00FD26EA"/>
    <w:rsid w:val="00FD4F32"/>
    <w:rsid w:val="00FD5EA7"/>
    <w:rsid w:val="00FE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A1AC5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838E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8D0BC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rakstyluakapitowego">
    <w:name w:val="[Brak stylu akapitowego]"/>
    <w:rsid w:val="007A425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gwkatabeli">
    <w:name w:val="główka_tabeli"/>
    <w:basedOn w:val="Brakstyluakapitowego"/>
    <w:uiPriority w:val="99"/>
    <w:rsid w:val="00526D39"/>
    <w:pPr>
      <w:spacing w:before="57" w:after="57" w:line="200" w:lineRule="atLeast"/>
      <w:jc w:val="center"/>
    </w:pPr>
    <w:rPr>
      <w:rFonts w:ascii="Fira Sans" w:hAnsi="Fira Sans" w:cs="Calibri"/>
      <w:sz w:val="16"/>
      <w:szCs w:val="20"/>
    </w:rPr>
  </w:style>
  <w:style w:type="paragraph" w:customStyle="1" w:styleId="danebezrobocie">
    <w:name w:val="dane_ (bezrobocie)"/>
    <w:basedOn w:val="Brakstyluakapitowego"/>
    <w:uiPriority w:val="99"/>
    <w:rsid w:val="007A425C"/>
    <w:pPr>
      <w:spacing w:line="120" w:lineRule="atLeast"/>
      <w:ind w:right="57"/>
      <w:jc w:val="right"/>
    </w:pPr>
    <w:rPr>
      <w:rFonts w:ascii="Calibri" w:hAnsi="Calibri" w:cs="Calibri"/>
      <w:sz w:val="21"/>
      <w:szCs w:val="21"/>
    </w:rPr>
  </w:style>
  <w:style w:type="paragraph" w:styleId="Bezodstpw">
    <w:name w:val="No Spacing"/>
    <w:uiPriority w:val="1"/>
    <w:rsid w:val="00A31174"/>
    <w:pPr>
      <w:spacing w:after="0" w:line="240" w:lineRule="auto"/>
    </w:pPr>
    <w:rPr>
      <w:rFonts w:ascii="Fira Sans" w:hAnsi="Fira Sans"/>
      <w:sz w:val="19"/>
    </w:rPr>
  </w:style>
  <w:style w:type="paragraph" w:customStyle="1" w:styleId="dane">
    <w:name w:val="dane"/>
    <w:basedOn w:val="Normalny"/>
    <w:qFormat/>
    <w:rsid w:val="00EA7E89"/>
    <w:pPr>
      <w:spacing w:line="240" w:lineRule="exact"/>
      <w:jc w:val="right"/>
    </w:pPr>
  </w:style>
  <w:style w:type="paragraph" w:customStyle="1" w:styleId="Styl1">
    <w:name w:val="Styl1"/>
    <w:basedOn w:val="gwkatabeli"/>
    <w:qFormat/>
    <w:rsid w:val="004572FA"/>
    <w:pPr>
      <w:jc w:val="left"/>
    </w:pPr>
    <w:rPr>
      <w:szCs w:val="16"/>
    </w:rPr>
  </w:style>
  <w:style w:type="paragraph" w:customStyle="1" w:styleId="akapit">
    <w:name w:val="akapit"/>
    <w:basedOn w:val="Podstawowyakapitowy"/>
    <w:uiPriority w:val="99"/>
    <w:rsid w:val="00B019E6"/>
    <w:pPr>
      <w:spacing w:before="113" w:line="288" w:lineRule="auto"/>
      <w:ind w:firstLine="283"/>
      <w:jc w:val="both"/>
    </w:pPr>
    <w:rPr>
      <w:sz w:val="22"/>
      <w:szCs w:val="22"/>
    </w:rPr>
  </w:style>
  <w:style w:type="character" w:customStyle="1" w:styleId="A8">
    <w:name w:val="A8"/>
    <w:uiPriority w:val="99"/>
    <w:rsid w:val="00C16F88"/>
    <w:rPr>
      <w:rFonts w:cs="Myriad Pro"/>
      <w:color w:val="000000"/>
      <w:sz w:val="18"/>
      <w:szCs w:val="18"/>
    </w:rPr>
  </w:style>
  <w:style w:type="character" w:customStyle="1" w:styleId="nap12">
    <w:name w:val="nap12"/>
    <w:basedOn w:val="Domylnaczcionkaakapitu"/>
    <w:rsid w:val="006A536F"/>
  </w:style>
  <w:style w:type="character" w:styleId="Odwoaniedokomentarza">
    <w:name w:val="annotation reference"/>
    <w:basedOn w:val="Domylnaczcionkaakapitu"/>
    <w:uiPriority w:val="99"/>
    <w:semiHidden/>
    <w:unhideWhenUsed/>
    <w:rsid w:val="00E96A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6A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6A1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6A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6A1D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6A1D"/>
    <w:pPr>
      <w:spacing w:after="0" w:line="240" w:lineRule="auto"/>
    </w:pPr>
    <w:rPr>
      <w:rFonts w:ascii="Fira Sans" w:hAnsi="Fira Sans"/>
      <w:sz w:val="19"/>
    </w:rPr>
  </w:style>
  <w:style w:type="paragraph" w:customStyle="1" w:styleId="Wartowskanika">
    <w:name w:val="Wartość wskaźnika"/>
    <w:basedOn w:val="Normalny"/>
    <w:link w:val="WartowskanikaZnak"/>
    <w:qFormat/>
    <w:rsid w:val="008826DE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8826DE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8826DE"/>
    <w:pPr>
      <w:spacing w:before="360"/>
    </w:pPr>
  </w:style>
  <w:style w:type="character" w:customStyle="1" w:styleId="LeadZnak">
    <w:name w:val="Lead Znak"/>
    <w:basedOn w:val="Domylnaczcionkaakapitu"/>
    <w:link w:val="Lead"/>
    <w:rsid w:val="008826DE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netablica">
    <w:name w:val="dane_tablica"/>
    <w:basedOn w:val="Brakstyluakapitowego"/>
    <w:qFormat/>
    <w:rsid w:val="00EA7E89"/>
    <w:pPr>
      <w:spacing w:before="120" w:after="120" w:line="240" w:lineRule="exact"/>
      <w:jc w:val="right"/>
    </w:pPr>
    <w:rPr>
      <w:rFonts w:ascii="Fira Sans" w:hAnsi="Fira Sans"/>
      <w:sz w:val="19"/>
    </w:rPr>
  </w:style>
  <w:style w:type="paragraph" w:customStyle="1" w:styleId="boczek">
    <w:name w:val="boczek"/>
    <w:basedOn w:val="Normalny"/>
    <w:qFormat/>
    <w:rsid w:val="008D0BCA"/>
    <w:pPr>
      <w:spacing w:line="240" w:lineRule="exact"/>
    </w:pPr>
    <w:rPr>
      <w:rFonts w:eastAsia="Times New Roman" w:cs="Calibri"/>
      <w:color w:val="000000"/>
      <w:szCs w:val="19"/>
      <w:lang w:eastAsia="pl-PL"/>
    </w:rPr>
  </w:style>
  <w:style w:type="paragraph" w:customStyle="1" w:styleId="boczek1wciecie">
    <w:name w:val="boczek_1_wciecie"/>
    <w:basedOn w:val="Normalny"/>
    <w:qFormat/>
    <w:rsid w:val="008D0BCA"/>
    <w:pPr>
      <w:spacing w:before="0" w:after="0" w:line="240" w:lineRule="auto"/>
      <w:ind w:left="176"/>
    </w:pPr>
    <w:rPr>
      <w:rFonts w:eastAsia="Times New Roman" w:cs="Calibri"/>
      <w:color w:val="000000"/>
      <w:szCs w:val="19"/>
      <w:lang w:eastAsia="pl-PL"/>
    </w:rPr>
  </w:style>
  <w:style w:type="paragraph" w:customStyle="1" w:styleId="glowkatablicy">
    <w:name w:val="glowka_tablicy"/>
    <w:basedOn w:val="Normalny"/>
    <w:qFormat/>
    <w:rsid w:val="00EE5BB8"/>
    <w:pPr>
      <w:spacing w:line="240" w:lineRule="exact"/>
      <w:jc w:val="center"/>
    </w:pPr>
    <w:rPr>
      <w:rFonts w:eastAsia="Times New Roman" w:cs="Calibri"/>
      <w:color w:val="000000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583,pojecie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bdl.stat.gov.pl/BDL/dane/podgrup/temat" TargetMode="External"/><Relationship Id="rId34" Type="http://schemas.openxmlformats.org/officeDocument/2006/relationships/hyperlink" Target="https://stat.gov.pl/metainformacje/slownik-pojec/pojecia-stosowane-w-statystyce-publicznej/1198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zczecin.stat.gov.pl/opracowania-biezace/opracowania-sygnalne/finanse/wyniki-finansowe-przedsiebiorstw-niefinansowych-w-wojewodztwie-zachodniopomorskim-w-2020-r-informacja-sygnalna,9,6.html" TargetMode="External"/><Relationship Id="rId29" Type="http://schemas.openxmlformats.org/officeDocument/2006/relationships/hyperlink" Target="https://stat.gov.pl/metainformacje/slownik-pojec/pojecia-stosowane-w-statystyce-publicznej/3980,pojecie.html" TargetMode="External"/><Relationship Id="rId7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24" Type="http://schemas.openxmlformats.org/officeDocument/2006/relationships/hyperlink" Target="https://stat.gov.pl/metainformacje/slownik-pojec/pojecia-stosowane-w-statystyce-publicznej/395,pojecie.html" TargetMode="External"/><Relationship Id="rId32" Type="http://schemas.openxmlformats.org/officeDocument/2006/relationships/hyperlink" Target="https://stat.gov.pl/metainformacje/slownik-pojec/pojecia-stosowane-w-statystyce-publicznej/1201,pojecie.html" TargetMode="Externa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bdm.stat.gov.pl/" TargetMode="External"/><Relationship Id="rId28" Type="http://schemas.openxmlformats.org/officeDocument/2006/relationships/hyperlink" Target="https://stat.gov.pl/metainformacje/slownik-pojec/pojecia-stosowane-w-statystyce-publicznej/588,pojecie.html" TargetMode="External"/><Relationship Id="rId36" Type="http://schemas.openxmlformats.org/officeDocument/2006/relationships/header" Target="header3.xml"/><Relationship Id="rId10" Type="http://schemas.openxmlformats.org/officeDocument/2006/relationships/image" Target="media/image5.emf"/><Relationship Id="rId19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31" Type="http://schemas.openxmlformats.org/officeDocument/2006/relationships/hyperlink" Target="https://stat.gov.pl/metainformacje/slownik-pojec/pojecia-stosowane-w-statystyce-publicznej/615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eader" Target="header2.xml"/><Relationship Id="rId22" Type="http://schemas.openxmlformats.org/officeDocument/2006/relationships/hyperlink" Target="http://swaid.stat.gov.pl/SitePagesDBW/PrzedsiebiorstwaNiefinansowe.aspx" TargetMode="External"/><Relationship Id="rId27" Type="http://schemas.openxmlformats.org/officeDocument/2006/relationships/hyperlink" Target="https://stat.gov.pl/metainformacje/slownik-pojec/pojecia-stosowane-w-statystyce-publicznej/587,pojecie.html" TargetMode="External"/><Relationship Id="rId30" Type="http://schemas.openxmlformats.org/officeDocument/2006/relationships/hyperlink" Target="https://stat.gov.pl/metainformacje/slownik-pojec/pojecia-stosowane-w-statystyce-publicznej/3979,pojecie.html" TargetMode="External"/><Relationship Id="rId35" Type="http://schemas.openxmlformats.org/officeDocument/2006/relationships/hyperlink" Target="https://stat.gov.pl/metainformacje/slownik-pojec/pojecia-stosowane-w-statystyce-publicznej/223,pojecie.html" TargetMode="External"/><Relationship Id="rId69" Type="http://schemas.microsoft.com/office/2018/08/relationships/commentsExtensible" Target="commentsExtensible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158,pojecie.html" TargetMode="External"/><Relationship Id="rId33" Type="http://schemas.openxmlformats.org/officeDocument/2006/relationships/hyperlink" Target="https://stat.gov.pl/metainformacje/slownik-pojec/pojecia-stosowane-w-statystyce-publicznej/232,pojecie.html" TargetMode="External"/><Relationship Id="rId3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89F3E-0C1E-431B-918E-CE48EF61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1487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2023-05-19T09:26:00Z</dcterms:created>
  <dcterms:modified xsi:type="dcterms:W3CDTF">2023-05-19T09:26:00Z</dcterms:modified>
</cp:coreProperties>
</file>