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409803" w14:textId="31AC42E5" w:rsidR="00B86BFE" w:rsidRDefault="00CE2A85" w:rsidP="00B86BFE">
      <w:pPr>
        <w:pStyle w:val="tytuinformacji"/>
        <w:rPr>
          <w:shd w:val="clear" w:color="auto" w:fill="FFFFFF"/>
        </w:rPr>
      </w:pPr>
      <w:r w:rsidRPr="00841A3A">
        <w:rPr>
          <w:color w:val="auto"/>
          <w:shd w:val="clear" w:color="auto" w:fill="FFFFFF"/>
        </w:rPr>
        <w:t>Zatrudnienie i wynagrodzenia</w:t>
      </w:r>
      <w:r>
        <w:rPr>
          <w:shd w:val="clear" w:color="auto" w:fill="FFFFFF"/>
        </w:rPr>
        <w:t xml:space="preserve"> </w:t>
      </w:r>
      <w:r w:rsidR="00FB0988">
        <w:rPr>
          <w:shd w:val="clear" w:color="auto" w:fill="FFFFFF"/>
        </w:rPr>
        <w:t xml:space="preserve">w województwie </w:t>
      </w:r>
      <w:r w:rsidR="00FB0988">
        <w:rPr>
          <w:shd w:val="clear" w:color="auto" w:fill="FFFFFF"/>
        </w:rPr>
        <w:br/>
        <w:t>zachodniopomorskim w 20</w:t>
      </w:r>
      <w:r w:rsidR="00373E2C">
        <w:rPr>
          <w:shd w:val="clear" w:color="auto" w:fill="FFFFFF"/>
        </w:rPr>
        <w:t>2</w:t>
      </w:r>
      <w:r w:rsidR="00C745BE">
        <w:rPr>
          <w:shd w:val="clear" w:color="auto" w:fill="FFFFFF"/>
        </w:rPr>
        <w:t>1</w:t>
      </w:r>
      <w:r w:rsidR="00FB0988">
        <w:rPr>
          <w:shd w:val="clear" w:color="auto" w:fill="FFFFFF"/>
        </w:rPr>
        <w:t xml:space="preserve"> r</w:t>
      </w:r>
      <w:r w:rsidR="00B86BFE">
        <w:rPr>
          <w:shd w:val="clear" w:color="auto" w:fill="FFFFFF"/>
        </w:rPr>
        <w:t>.</w:t>
      </w:r>
    </w:p>
    <w:p w14:paraId="02D042D9" w14:textId="7FC3B9EF" w:rsidR="00B1372E" w:rsidRDefault="00B1372E" w:rsidP="00B86BFE">
      <w:pPr>
        <w:pStyle w:val="tytuinformacji"/>
        <w:rPr>
          <w:shd w:val="clear" w:color="auto" w:fill="FFFFFF"/>
        </w:rPr>
      </w:pPr>
    </w:p>
    <w:p w14:paraId="27EFDA5C" w14:textId="12C0F792" w:rsidR="00947F74" w:rsidRDefault="008C62EB" w:rsidP="000A274D">
      <w:pPr>
        <w:pStyle w:val="LID"/>
        <w:rPr>
          <w:spacing w:val="-2"/>
        </w:rPr>
      </w:pPr>
      <w:r w:rsidRPr="007039A4">
        <mc:AlternateContent>
          <mc:Choice Requires="wps">
            <w:drawing>
              <wp:anchor distT="45720" distB="45720" distL="114300" distR="114300" simplePos="0" relativeHeight="251829248" behindDoc="0" locked="0" layoutInCell="1" allowOverlap="1" wp14:anchorId="29DC8225" wp14:editId="02375A8E">
                <wp:simplePos x="0" y="0"/>
                <wp:positionH relativeFrom="margin">
                  <wp:posOffset>-20899</wp:posOffset>
                </wp:positionH>
                <wp:positionV relativeFrom="paragraph">
                  <wp:posOffset>223272</wp:posOffset>
                </wp:positionV>
                <wp:extent cx="2448000" cy="1116000"/>
                <wp:effectExtent l="0" t="0" r="9525" b="8255"/>
                <wp:wrapSquare wrapText="bothSides"/>
                <wp:docPr id="21" name="Pole tekstowe 2" descr="Wzrost przeciętnego zatrudnienia &#10;w porównaniu z 2020 r. o 0,9%&#10;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8000" cy="1116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1843CE" w14:textId="2F3B9D75" w:rsidR="002F4BBA" w:rsidRPr="002F4BBA" w:rsidRDefault="00C745BE" w:rsidP="002F4BBA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0</w:t>
                            </w:r>
                            <w:r w:rsidR="002F4BBA"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9</w:t>
                            </w:r>
                            <w:r w:rsidR="002F4BBA"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5DEE03E9" w14:textId="61C1CDD1" w:rsidR="002F4BBA" w:rsidRPr="007D605C" w:rsidRDefault="00C745BE" w:rsidP="002F4BBA">
                            <w:pPr>
                              <w:pStyle w:val="tekstnaniebieskimtle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 xml:space="preserve">Wzrost przeciętnego zatrudnienia </w:t>
                            </w:r>
                            <w:r w:rsidR="0039140B">
                              <w:br/>
                            </w:r>
                            <w:r>
                              <w:t xml:space="preserve">w porównaniu z 2020 </w:t>
                            </w:r>
                            <w:r w:rsidR="002F4BBA">
                              <w:t>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9DC8225" id="Pole tekstowe 2" o:spid="_x0000_s1026" alt="Tytuł: Opis wskaźnika — opis: Wzrost przeciętnego zatrudnienia &#10;w porównaniu z 2020 r. o 0,9%&#10;" style="position:absolute;margin-left:-1.65pt;margin-top:17.6pt;width:192.75pt;height:87.85pt;z-index:2518292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" fillcolor="#001d77" stroked="f">
                <v:stroke joinstyle="miter"/>
                <v:textbox>
                  <w:txbxContent>
                    <w:p w14:paraId="201843CE" w14:textId="2F3B9D75" w:rsidR="002F4BBA" w:rsidRPr="002F4BBA" w:rsidRDefault="00C745BE" w:rsidP="002F4BBA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0</w:t>
                      </w:r>
                      <w:r w:rsidR="002F4BBA"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9</w:t>
                      </w:r>
                      <w:r w:rsidR="002F4BBA"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5DEE03E9" w14:textId="61C1CDD1" w:rsidR="002F4BBA" w:rsidRPr="007D605C" w:rsidRDefault="00C745BE" w:rsidP="002F4BBA">
                      <w:pPr>
                        <w:pStyle w:val="tekstnaniebieskimtle"/>
                        <w:rPr>
                          <w:sz w:val="18"/>
                          <w:szCs w:val="20"/>
                        </w:rPr>
                      </w:pPr>
                      <w:r>
                        <w:t xml:space="preserve">Wzrost przeciętnego zatrudnienia </w:t>
                      </w:r>
                      <w:r w:rsidR="0039140B">
                        <w:br/>
                      </w:r>
                      <w:r>
                        <w:t xml:space="preserve">w porównaniu z 2020 </w:t>
                      </w:r>
                      <w:r w:rsidR="002F4BBA">
                        <w:t>r.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947F74" w:rsidRPr="006C4EF9"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6544A8DF" wp14:editId="5D5701C2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2" name="Strzałka w dół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79A5A7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2" o:spid="_x0000_s1026" type="#_x0000_t67" style="position:absolute;margin-left:-138pt;margin-top:13.6pt;width:15pt;height:24.6pt;z-index:251819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F5y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R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IzwXnJ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="00C745BE" w:rsidRPr="006C4EF9">
        <w:t xml:space="preserve">W 2021 r. przeciętne zatrudnienie </w:t>
      </w:r>
      <w:r w:rsidR="006C4EF9">
        <w:br/>
      </w:r>
      <w:r w:rsidR="00C745BE" w:rsidRPr="006C4EF9">
        <w:t>w województwie</w:t>
      </w:r>
      <w:r w:rsidR="00C745BE" w:rsidRPr="00A7499C">
        <w:rPr>
          <w:spacing w:val="-2"/>
        </w:rPr>
        <w:t xml:space="preserve"> </w:t>
      </w:r>
      <w:r w:rsidR="00C745BE" w:rsidRPr="006C4EF9">
        <w:t>zachodniopomorskim wyniosło 297,0 tys. osób i wzrosło w skali</w:t>
      </w:r>
      <w:r w:rsidR="00C745BE" w:rsidRPr="00A7499C">
        <w:rPr>
          <w:spacing w:val="-2"/>
        </w:rPr>
        <w:t xml:space="preserve"> roku o 0,9%.</w:t>
      </w:r>
    </w:p>
    <w:p w14:paraId="18F8ED4C" w14:textId="77777777" w:rsidR="008C62EB" w:rsidRPr="00E0376F" w:rsidRDefault="008C62EB" w:rsidP="000A274D">
      <w:pPr>
        <w:pStyle w:val="LID"/>
        <w:rPr>
          <w:spacing w:val="-2"/>
        </w:rPr>
      </w:pPr>
      <w:bookmarkStart w:id="0" w:name="_GoBack"/>
      <w:bookmarkEnd w:id="0"/>
    </w:p>
    <w:p w14:paraId="33569186" w14:textId="79D0D67E" w:rsidR="00947F74" w:rsidRPr="001734A5" w:rsidRDefault="00732214" w:rsidP="008C62EB">
      <w:pPr>
        <w:pStyle w:val="LID"/>
      </w:pPr>
      <w:r w:rsidRPr="00921884">
        <mc:AlternateContent>
          <mc:Choice Requires="wps">
            <w:drawing>
              <wp:anchor distT="45720" distB="45720" distL="114300" distR="114300" simplePos="0" relativeHeight="251831296" behindDoc="0" locked="0" layoutInCell="1" allowOverlap="1" wp14:anchorId="70ECAA47" wp14:editId="690A9513">
                <wp:simplePos x="0" y="0"/>
                <wp:positionH relativeFrom="margin">
                  <wp:posOffset>-16096</wp:posOffset>
                </wp:positionH>
                <wp:positionV relativeFrom="paragraph">
                  <wp:posOffset>164217</wp:posOffset>
                </wp:positionV>
                <wp:extent cx="2447925" cy="1260000"/>
                <wp:effectExtent l="0" t="0" r="9525" b="0"/>
                <wp:wrapSquare wrapText="bothSides"/>
                <wp:docPr id="25" name="Pole tekstowe 2" descr="Wzrost przeciętnego miesięcznego wynagrodzenia brutto w porównaniu z 2020 r. o 8,8%" title="Opis wskaźnik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47925" cy="12600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131B1B" w14:textId="195D56EB" w:rsidR="000A274D" w:rsidRPr="002F4BBA" w:rsidRDefault="000A274D" w:rsidP="000A274D">
                            <w:pPr>
                              <w:pStyle w:val="Akapitzlist"/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ind w:left="0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GB"/>
                              </w:rPr>
                            </w:pPr>
                            <w:r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="006F16E5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8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,</w:t>
                            </w:r>
                            <w:r w:rsidR="006F16E5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8</w:t>
                            </w:r>
                            <w:r w:rsidRPr="002F4BBA">
                              <w:rPr>
                                <w:rStyle w:val="WartowskanikaZnak"/>
                                <w:sz w:val="72"/>
                                <w:szCs w:val="72"/>
                                <w:lang w:val="en-GB"/>
                              </w:rPr>
                              <w:t>%</w:t>
                            </w:r>
                          </w:p>
                          <w:p w14:paraId="6A03A4D6" w14:textId="451F40FE" w:rsidR="000A274D" w:rsidRPr="007D605C" w:rsidRDefault="00C745BE" w:rsidP="000A274D">
                            <w:pPr>
                              <w:spacing w:before="0" w:after="0" w:line="240" w:lineRule="auto"/>
                              <w:rPr>
                                <w:sz w:val="18"/>
                                <w:szCs w:val="20"/>
                              </w:rPr>
                            </w:pPr>
                            <w:r w:rsidRPr="006D51B0">
                              <w:rPr>
                                <w:sz w:val="20"/>
                              </w:rPr>
                              <w:t>Wzrost przeciętnego miesięcznego wynagrodzenia brutto w porównaniu z 20</w:t>
                            </w:r>
                            <w:r>
                              <w:rPr>
                                <w:sz w:val="20"/>
                              </w:rPr>
                              <w:t xml:space="preserve">20 </w:t>
                            </w:r>
                            <w:r w:rsidR="000A274D">
                              <w:rPr>
                                <w:sz w:val="20"/>
                              </w:rPr>
                              <w:t>r</w:t>
                            </w:r>
                            <w:r w:rsidR="000A274D" w:rsidRPr="006D51B0">
                              <w:rPr>
                                <w:sz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ECAA47" id="_x0000_s1027" alt="Tytuł: Opis wskaźnika — opis: Wzrost przeciętnego miesięcznego wynagrodzenia brutto w porównaniu z 2020 r. o 8,8%" style="position:absolute;margin-left:-1.25pt;margin-top:12.95pt;width:192.75pt;height:99.2pt;z-index:2518312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" fillcolor="#001d77" stroked="f">
                <v:stroke joinstyle="miter"/>
                <v:textbox>
                  <w:txbxContent>
                    <w:p w14:paraId="1A131B1B" w14:textId="195D56EB" w:rsidR="000A274D" w:rsidRPr="002F4BBA" w:rsidRDefault="000A274D" w:rsidP="000A274D">
                      <w:pPr>
                        <w:pStyle w:val="Akapitzlist"/>
                        <w:autoSpaceDE w:val="0"/>
                        <w:autoSpaceDN w:val="0"/>
                        <w:adjustRightInd w:val="0"/>
                        <w:spacing w:before="0" w:after="0" w:line="240" w:lineRule="auto"/>
                        <w:ind w:left="0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GB"/>
                        </w:rPr>
                      </w:pPr>
                      <w:r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="006F16E5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8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,</w:t>
                      </w:r>
                      <w:r w:rsidR="006F16E5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8</w:t>
                      </w:r>
                      <w:r w:rsidRPr="002F4BBA">
                        <w:rPr>
                          <w:rStyle w:val="WartowskanikaZnak"/>
                          <w:sz w:val="72"/>
                          <w:szCs w:val="72"/>
                          <w:lang w:val="en-GB"/>
                        </w:rPr>
                        <w:t>%</w:t>
                      </w:r>
                    </w:p>
                    <w:p w14:paraId="6A03A4D6" w14:textId="451F40FE" w:rsidR="000A274D" w:rsidRPr="007D605C" w:rsidRDefault="00C745BE" w:rsidP="000A274D">
                      <w:pPr>
                        <w:spacing w:before="0" w:after="0" w:line="240" w:lineRule="auto"/>
                        <w:rPr>
                          <w:sz w:val="18"/>
                          <w:szCs w:val="20"/>
                        </w:rPr>
                      </w:pPr>
                      <w:r w:rsidRPr="006D51B0">
                        <w:rPr>
                          <w:sz w:val="20"/>
                        </w:rPr>
                        <w:t>Wzrost przeciętnego miesięcznego wynagrodzenia brutto w porównaniu z 20</w:t>
                      </w:r>
                      <w:r>
                        <w:rPr>
                          <w:sz w:val="20"/>
                        </w:rPr>
                        <w:t xml:space="preserve">20 </w:t>
                      </w:r>
                      <w:r w:rsidR="000A274D">
                        <w:rPr>
                          <w:sz w:val="20"/>
                        </w:rPr>
                        <w:t>r</w:t>
                      </w:r>
                      <w:r w:rsidR="000A274D" w:rsidRPr="006D51B0">
                        <w:rPr>
                          <w:sz w:val="20"/>
                        </w:rPr>
                        <w:t>.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C745BE" w:rsidRPr="00334296">
        <w:t xml:space="preserve">Przeciętne miesięczne wynagrodzenie brutto wyniosło 5549,85 zł i ukształtowało się </w:t>
      </w:r>
      <w:r w:rsidR="00C745BE" w:rsidRPr="00334296">
        <w:br/>
        <w:t xml:space="preserve">na poziomie o 7,5% niższym niż w kraju. </w:t>
      </w:r>
      <w:r w:rsidR="00C745BE" w:rsidRPr="00334296">
        <w:br/>
      </w:r>
      <w:r w:rsidR="00C745BE" w:rsidRPr="001604F8">
        <w:t xml:space="preserve">W porównaniu z 2020 r. zwiększyło się ono </w:t>
      </w:r>
      <w:r w:rsidR="00C745BE" w:rsidRPr="001604F8">
        <w:br/>
        <w:t xml:space="preserve">o 8,8% (w kraju – o 8,6%). Wzrost odnotowano zarówno w sektorze publicznym, jak </w:t>
      </w:r>
      <w:r w:rsidR="00141557">
        <w:br/>
      </w:r>
      <w:r w:rsidR="00C745BE" w:rsidRPr="001604F8">
        <w:t>i prywatnym (odpowiednio o 9,5% i 8,6%).</w:t>
      </w:r>
    </w:p>
    <w:p w14:paraId="1B199D78" w14:textId="6C9FA8D5" w:rsidR="00947F74" w:rsidRDefault="00947F74" w:rsidP="008C62EB">
      <w:pPr>
        <w:pStyle w:val="LID"/>
      </w:pPr>
    </w:p>
    <w:p w14:paraId="3358C56A" w14:textId="14A7E0CB" w:rsidR="00FB0988" w:rsidRDefault="00CE2A85" w:rsidP="00FB0988">
      <w:pPr>
        <w:pStyle w:val="Nagwek1"/>
      </w:pPr>
      <w:r>
        <w:t>Zatrudnienie</w:t>
      </w:r>
    </w:p>
    <w:p w14:paraId="324C3860" w14:textId="5D4E270B" w:rsidR="00345BED" w:rsidRDefault="00345BED" w:rsidP="00141557">
      <w:r w:rsidRPr="003D70A6">
        <w:t>W sektorze prywatnym przeciętne zatrudnienie wyniosło 184,8 tys. osób (o 2,1% więcej</w:t>
      </w:r>
      <w:r w:rsidRPr="003D70A6">
        <w:br/>
        <w:t xml:space="preserve">niż w 2020 r.), a w sektorze publicznym – 112,2 tys. osób (o 0,9% mniej). Najwyższy wzrost </w:t>
      </w:r>
      <w:r w:rsidRPr="003D70A6">
        <w:br/>
        <w:t>zatrudnienia w skali roku odnotowano w podmiotach należących do sekcji Działalność profesjonalna, naukowa i techniczna (o 5,0%), Zakwaterowanie i gastronomia (o 4,1%) oraz Budownictwo (o 3,4%). Spośród sekcji o znaczącym udziale w zatrudnieniu największy spadek odnotowano w sekcjach: Wytwarzanie i zaopatrywanie w energię elektryczną, gaz, parę wodną</w:t>
      </w:r>
      <w:r w:rsidRPr="00CF6A7D">
        <w:t xml:space="preserve"> </w:t>
      </w:r>
      <w:r w:rsidR="003D70A6">
        <w:br/>
      </w:r>
      <w:r w:rsidRPr="00CF6A7D">
        <w:t>i gorącą wodę</w:t>
      </w:r>
      <w:r>
        <w:t xml:space="preserve"> </w:t>
      </w:r>
      <w:r w:rsidRPr="002360E3">
        <w:t xml:space="preserve">(o 10,4%), </w:t>
      </w:r>
      <w:r w:rsidRPr="00DF7957">
        <w:t xml:space="preserve">Administrowanie i działalność wspierająca </w:t>
      </w:r>
      <w:r>
        <w:t>(o 9,0%).</w:t>
      </w:r>
    </w:p>
    <w:p w14:paraId="55B0219D" w14:textId="1D0879EF" w:rsidR="00FE0AFC" w:rsidRDefault="00345BED" w:rsidP="0031264A">
      <w:r w:rsidRPr="003D70A6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7744" behindDoc="1" locked="0" layoutInCell="1" allowOverlap="1" wp14:anchorId="71CA8B9C" wp14:editId="4AA51FB0">
                <wp:simplePos x="0" y="0"/>
                <wp:positionH relativeFrom="column">
                  <wp:posOffset>5227955</wp:posOffset>
                </wp:positionH>
                <wp:positionV relativeFrom="paragraph">
                  <wp:posOffset>577215</wp:posOffset>
                </wp:positionV>
                <wp:extent cx="1871345" cy="1343660"/>
                <wp:effectExtent l="0" t="0" r="0" b="0"/>
                <wp:wrapTight wrapText="bothSides">
                  <wp:wrapPolygon edited="0">
                    <wp:start x="660" y="0"/>
                    <wp:lineTo x="660" y="21130"/>
                    <wp:lineTo x="20889" y="21130"/>
                    <wp:lineTo x="20889" y="0"/>
                    <wp:lineTo x="660" y="0"/>
                  </wp:wrapPolygon>
                </wp:wrapTight>
                <wp:docPr id="4" name="Pole tekstowe 2" descr="W 2021 r. w sektorze prywatnym w głównym miejscu pracy na podstawie stosunku pracy zatrudnionych było 195,9 tys. osób, co stanowiło 62,6% &#10;zatrudnionych w województwie zachodniopomorskim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1345" cy="13436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A42386" w14:textId="399114BE" w:rsidR="00062F7A" w:rsidRDefault="00062F7A" w:rsidP="00062F7A">
                            <w:pPr>
                              <w:pStyle w:val="tekstzboku"/>
                            </w:pPr>
                            <w:r w:rsidRPr="00062F7A">
                              <w:t>W 2021 r. w sektorze prywatnym</w:t>
                            </w:r>
                            <w:r>
                              <w:t xml:space="preserve"> w głównym miejscu pracy </w:t>
                            </w:r>
                            <w:r>
                              <w:br/>
                              <w:t xml:space="preserve">na podstawie stosunku pracy zatrudnionych było 195,9 tys. osób, co stanowiło 62,6% </w:t>
                            </w:r>
                            <w:r>
                              <w:br/>
                              <w:t>zatrudnionych w województwie zachodniopomorskim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CA8B9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W 2021 r. w sektorze prywatnym w głównym miejscu pracy na podstawie stosunku pracy zatrudnionych było 195,9 tys. osób, co stanowiło 62,6% &#10;zatrudnionych w województwie zachodniopomorskim&#10;" style="position:absolute;margin-left:411.65pt;margin-top:45.45pt;width:147.35pt;height:105.8pt;z-index:-2515087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" filled="f" stroked="f">
                <v:textbox>
                  <w:txbxContent>
                    <w:p w14:paraId="26A42386" w14:textId="399114BE" w:rsidR="00062F7A" w:rsidRDefault="00062F7A" w:rsidP="00062F7A">
                      <w:pPr>
                        <w:pStyle w:val="tekstzboku"/>
                      </w:pPr>
                      <w:r w:rsidRPr="00062F7A">
                        <w:t>W 2021 r. w sektorze prywatnym</w:t>
                      </w:r>
                      <w:r>
                        <w:t xml:space="preserve"> w głównym miejscu pracy </w:t>
                      </w:r>
                      <w:r>
                        <w:br/>
                        <w:t xml:space="preserve">na podstawie stosunku pracy zatrudnionych było 195,9 tys. osób, co stanowiło 62,6% </w:t>
                      </w:r>
                      <w:r>
                        <w:br/>
                        <w:t>zatrudnionych w województwie zachodniopomorskim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Pr="003D70A6">
        <w:t>Uwzględniając podział terytorialny województwa największy wzrost przeciętnego zatrudnienia odnotowano w powiatach polickim (</w:t>
      </w:r>
      <w:r w:rsidR="00D86107">
        <w:t xml:space="preserve">o </w:t>
      </w:r>
      <w:r w:rsidRPr="003D70A6">
        <w:t xml:space="preserve">4,7%) oraz białogardzkim (o 4,4%), a największy </w:t>
      </w:r>
      <w:r w:rsidRPr="005A7E54">
        <w:rPr>
          <w:spacing w:val="-4"/>
        </w:rPr>
        <w:t>spadek – w m. Świnoujście (o 3,2%) oraz powiatach myśliborskim (o 2,0%) i świdwińskim o 1,8%).</w:t>
      </w:r>
    </w:p>
    <w:p w14:paraId="7EA61648" w14:textId="53FEB8F7" w:rsidR="00947F74" w:rsidRPr="006872E2" w:rsidRDefault="00345BED" w:rsidP="003D70A6">
      <w:r w:rsidRPr="006B71F7">
        <w:t>W</w:t>
      </w:r>
      <w:r w:rsidRPr="006B71F7">
        <w:rPr>
          <w:spacing w:val="-2"/>
        </w:rPr>
        <w:t xml:space="preserve"> województwie zachodniopomorskim według stanu na koniec grudnia 2021 r. zatrudnionych</w:t>
      </w:r>
      <w:r w:rsidRPr="006B71F7">
        <w:t xml:space="preserve"> </w:t>
      </w:r>
      <w:r w:rsidR="003D70A6">
        <w:br/>
      </w:r>
      <w:r w:rsidRPr="006B71F7">
        <w:t xml:space="preserve">w głównym miejscu pracy na podstawie stosunku pracy było 312,7 tys. osób (o 1,1% więcej </w:t>
      </w:r>
      <w:r w:rsidR="003D70A6">
        <w:br/>
      </w:r>
      <w:r w:rsidRPr="003D70A6">
        <w:rPr>
          <w:spacing w:val="-2"/>
        </w:rPr>
        <w:t>niż w 2020 r.). W ogólnej liczbie zatrudnionych udział pracowników pełnozatrudnionych wyniósł</w:t>
      </w:r>
      <w:r w:rsidRPr="006B71F7">
        <w:t xml:space="preserve"> 94,5 </w:t>
      </w:r>
      <w:r>
        <w:rPr>
          <w:spacing w:val="-2"/>
        </w:rPr>
        <w:t xml:space="preserve">%, natomiast kobiet </w:t>
      </w:r>
      <w:r w:rsidRPr="008131F5">
        <w:t xml:space="preserve">– </w:t>
      </w:r>
      <w:r w:rsidRPr="006B71F7">
        <w:rPr>
          <w:spacing w:val="-2"/>
        </w:rPr>
        <w:t xml:space="preserve">52,6%. </w:t>
      </w:r>
      <w:r w:rsidRPr="00FC43D8">
        <w:rPr>
          <w:spacing w:val="-2"/>
        </w:rPr>
        <w:t>W stosunku do 2020 r. liczba osób pełnozatrudnionych</w:t>
      </w:r>
      <w:r w:rsidRPr="00FC43D8">
        <w:t xml:space="preserve"> </w:t>
      </w:r>
      <w:r w:rsidR="003D70A6">
        <w:br/>
      </w:r>
      <w:r w:rsidRPr="00FC43D8">
        <w:t>w sektorze publicznym</w:t>
      </w:r>
      <w:r>
        <w:t>,</w:t>
      </w:r>
      <w:r w:rsidRPr="00FC43D8">
        <w:t xml:space="preserve"> podobnie jak w roku ubiegłym</w:t>
      </w:r>
      <w:r>
        <w:t>,</w:t>
      </w:r>
      <w:r w:rsidRPr="00FC43D8">
        <w:t xml:space="preserve"> zmniejszyła się o 0,2%, natomiast </w:t>
      </w:r>
      <w:r w:rsidR="003D70A6">
        <w:br/>
      </w:r>
      <w:r w:rsidRPr="00FC43D8">
        <w:t>w sektorze prywatnym wzros</w:t>
      </w:r>
      <w:r>
        <w:t>ła</w:t>
      </w:r>
      <w:r w:rsidRPr="00FC43D8">
        <w:t xml:space="preserve"> o 3,3%.</w:t>
      </w:r>
    </w:p>
    <w:p w14:paraId="4D8B3DB1" w14:textId="6688286D" w:rsidR="00FE0AFC" w:rsidRPr="00D6179B" w:rsidRDefault="00345BED" w:rsidP="003D70A6">
      <w:r w:rsidRPr="008F7912">
        <w:rPr>
          <w:color w:val="000000" w:themeColor="text1"/>
        </w:rPr>
        <w:t>W 20</w:t>
      </w:r>
      <w:r w:rsidRPr="00DF039E">
        <w:rPr>
          <w:color w:val="000000" w:themeColor="text1"/>
        </w:rPr>
        <w:t>21</w:t>
      </w:r>
      <w:r w:rsidRPr="008F7912">
        <w:rPr>
          <w:color w:val="000000" w:themeColor="text1"/>
        </w:rPr>
        <w:t xml:space="preserve"> r. w podmiotach o liczbie pracujących powyżej 9 osób w stosunku do 20</w:t>
      </w:r>
      <w:r w:rsidRPr="00DF039E">
        <w:rPr>
          <w:color w:val="000000" w:themeColor="text1"/>
        </w:rPr>
        <w:t xml:space="preserve">20 </w:t>
      </w:r>
      <w:r w:rsidRPr="008F7912">
        <w:rPr>
          <w:color w:val="000000" w:themeColor="text1"/>
        </w:rPr>
        <w:t xml:space="preserve">r. wzrosła liczba pracujących cudzoziemców (o </w:t>
      </w:r>
      <w:r w:rsidRPr="00DF039E">
        <w:rPr>
          <w:color w:val="000000" w:themeColor="text1"/>
        </w:rPr>
        <w:t>32,0</w:t>
      </w:r>
      <w:r w:rsidRPr="008F7912">
        <w:rPr>
          <w:color w:val="000000" w:themeColor="text1"/>
        </w:rPr>
        <w:t xml:space="preserve">%), emerytów i rencistów (o </w:t>
      </w:r>
      <w:r w:rsidRPr="00DF039E">
        <w:rPr>
          <w:color w:val="000000" w:themeColor="text1"/>
        </w:rPr>
        <w:t>6,5</w:t>
      </w:r>
      <w:r w:rsidRPr="008F7912">
        <w:rPr>
          <w:color w:val="000000" w:themeColor="text1"/>
        </w:rPr>
        <w:t>%) oraz osób niepełnosprawnych</w:t>
      </w:r>
      <w:r w:rsidRPr="00DF039E">
        <w:rPr>
          <w:color w:val="000000" w:themeColor="text1"/>
        </w:rPr>
        <w:t xml:space="preserve"> </w:t>
      </w:r>
      <w:r w:rsidRPr="008F7912">
        <w:rPr>
          <w:color w:val="000000" w:themeColor="text1"/>
        </w:rPr>
        <w:t xml:space="preserve">(o </w:t>
      </w:r>
      <w:r w:rsidRPr="00DF039E">
        <w:rPr>
          <w:color w:val="000000" w:themeColor="text1"/>
        </w:rPr>
        <w:t>0</w:t>
      </w:r>
      <w:r w:rsidRPr="008F7912">
        <w:rPr>
          <w:color w:val="000000" w:themeColor="text1"/>
        </w:rPr>
        <w:t>,2%).</w:t>
      </w:r>
      <w:r w:rsidRPr="008F7912">
        <w:t xml:space="preserve"> Mniejsza niż przed rokiem była liczba pracujących w porze nocnej</w:t>
      </w:r>
      <w:r w:rsidRPr="00DF039E">
        <w:t xml:space="preserve"> </w:t>
      </w:r>
      <w:r w:rsidRPr="008F7912">
        <w:br/>
        <w:t xml:space="preserve">(o </w:t>
      </w:r>
      <w:r w:rsidRPr="00DF039E">
        <w:t>1,8</w:t>
      </w:r>
      <w:r w:rsidRPr="008F7912">
        <w:t xml:space="preserve">%) i wyniosła </w:t>
      </w:r>
      <w:r w:rsidRPr="00DF039E">
        <w:t>32,7</w:t>
      </w:r>
      <w:r w:rsidRPr="008F7912">
        <w:t xml:space="preserve"> tys. osób, z czego </w:t>
      </w:r>
      <w:r w:rsidRPr="00DF039E">
        <w:t>57,9</w:t>
      </w:r>
      <w:r w:rsidRPr="008F7912">
        <w:t>% stanowili pracujący w przetwórstwie przemysłowym.</w:t>
      </w:r>
      <w:r w:rsidRPr="00DF039E">
        <w:t xml:space="preserve"> </w:t>
      </w:r>
      <w:r>
        <w:t>W</w:t>
      </w:r>
      <w:r w:rsidRPr="008F7912">
        <w:t xml:space="preserve">śród </w:t>
      </w:r>
      <w:r>
        <w:t xml:space="preserve">cudzoziemców </w:t>
      </w:r>
      <w:r w:rsidRPr="008F7912">
        <w:t>największy udział stanowili pracujący w jednostkach prowadzących działalność w zakresie przetwórstwa przemysłowego (31,2%)</w:t>
      </w:r>
      <w:r>
        <w:t>,</w:t>
      </w:r>
      <w:r w:rsidRPr="008F7912">
        <w:t xml:space="preserve"> administracji i działalności wspierającej (23,6</w:t>
      </w:r>
      <w:r w:rsidRPr="00DF7957">
        <w:t>%)</w:t>
      </w:r>
      <w:r>
        <w:t xml:space="preserve"> oraz transportu i gospodarki magazynowej (22,6%)</w:t>
      </w:r>
      <w:r w:rsidRPr="00DF7957">
        <w:t xml:space="preserve">. </w:t>
      </w:r>
      <w:r>
        <w:t xml:space="preserve">Najwięcej </w:t>
      </w:r>
      <w:r w:rsidRPr="00DF7957">
        <w:rPr>
          <w:spacing w:val="-2"/>
        </w:rPr>
        <w:t>e</w:t>
      </w:r>
      <w:r>
        <w:rPr>
          <w:spacing w:val="-2"/>
        </w:rPr>
        <w:t>me</w:t>
      </w:r>
      <w:r w:rsidRPr="00DF7957">
        <w:rPr>
          <w:spacing w:val="-2"/>
        </w:rPr>
        <w:t xml:space="preserve">rytów i rencistów pracowało </w:t>
      </w:r>
      <w:r w:rsidRPr="00DF7957">
        <w:t xml:space="preserve">w sekcjach Edukacja </w:t>
      </w:r>
      <w:r>
        <w:t>(23,5%),</w:t>
      </w:r>
      <w:r w:rsidRPr="00DF7957">
        <w:t xml:space="preserve"> Przetwórstwo Przemysłowe </w:t>
      </w:r>
      <w:r>
        <w:t xml:space="preserve">(16,6%) oraz Opieka zdrowotna i pomoc społeczna </w:t>
      </w:r>
      <w:r w:rsidRPr="00DF7957">
        <w:t>(</w:t>
      </w:r>
      <w:r>
        <w:t>10,4</w:t>
      </w:r>
      <w:r w:rsidRPr="00DF7957">
        <w:t>%). Pracujący niepełnosprawni najczęściej pracowali w Przetwórstwie przemysłowym oraz w podmiotach należących do sekcji Administrowanie i działalność wspierająca (</w:t>
      </w:r>
      <w:r w:rsidR="000859FD" w:rsidRPr="000859FD">
        <w:t>odpowiednio</w:t>
      </w:r>
      <w:r w:rsidR="000859FD">
        <w:t xml:space="preserve"> </w:t>
      </w:r>
      <w:r w:rsidRPr="00DF7957">
        <w:t>24,5% i 18,6%).</w:t>
      </w:r>
    </w:p>
    <w:p w14:paraId="2053FC27" w14:textId="2FBF9A40" w:rsidR="00FE0AFC" w:rsidRPr="000E0980" w:rsidRDefault="00E65F96" w:rsidP="00465400">
      <w:r w:rsidRPr="00465400">
        <w:rPr>
          <w:b/>
          <w:noProof/>
          <w:color w:val="000000" w:themeColor="text1"/>
          <w:spacing w:val="-2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837440" behindDoc="1" locked="0" layoutInCell="1" allowOverlap="1" wp14:anchorId="3D6B0F9D" wp14:editId="6E2F5E0F">
                <wp:simplePos x="0" y="0"/>
                <wp:positionH relativeFrom="page">
                  <wp:posOffset>5668848</wp:posOffset>
                </wp:positionH>
                <wp:positionV relativeFrom="paragraph">
                  <wp:posOffset>279</wp:posOffset>
                </wp:positionV>
                <wp:extent cx="1762760" cy="914400"/>
                <wp:effectExtent l="0" t="0" r="0" b="0"/>
                <wp:wrapTight wrapText="bothSides">
                  <wp:wrapPolygon edited="0">
                    <wp:start x="700" y="0"/>
                    <wp:lineTo x="700" y="21150"/>
                    <wp:lineTo x="20775" y="21150"/>
                    <wp:lineTo x="20775" y="0"/>
                    <wp:lineTo x="700" y="0"/>
                  </wp:wrapPolygon>
                </wp:wrapTight>
                <wp:docPr id="7" name="Pole tekstowe 7" descr="W 2021 r. w porównaniu &#10;z rokiem poprzednim wzrosła liczba pracowników pełnozatrudnionych przyjętych do pracy oraz zwolnionych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2760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84320" w14:textId="77777777" w:rsidR="00E65F96" w:rsidRPr="002D41FA" w:rsidRDefault="00E65F96" w:rsidP="00E65F96">
                            <w:pPr>
                              <w:pStyle w:val="tekstzboku"/>
                            </w:pPr>
                            <w:r>
                              <w:t>W 2021</w:t>
                            </w:r>
                            <w:r w:rsidRPr="00227A92">
                              <w:t xml:space="preserve"> r. w porównaniu </w:t>
                            </w:r>
                            <w:r>
                              <w:br/>
                              <w:t>z</w:t>
                            </w:r>
                            <w:r w:rsidRPr="00227A92">
                              <w:t xml:space="preserve"> </w:t>
                            </w:r>
                            <w:r>
                              <w:t>rokiem poprzednim wzrosła</w:t>
                            </w:r>
                            <w:r w:rsidRPr="00227A92">
                              <w:t xml:space="preserve"> liczba pra</w:t>
                            </w:r>
                            <w:r>
                              <w:t>co</w:t>
                            </w:r>
                            <w:r w:rsidRPr="00227A92">
                              <w:t xml:space="preserve">wników pełnozatrudnionych przyjętych </w:t>
                            </w:r>
                            <w:r>
                              <w:br/>
                              <w:t xml:space="preserve">do pracy oraz </w:t>
                            </w:r>
                            <w:r w:rsidRPr="00227A92">
                              <w:t>zwolnionych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6B0F9D" id="Pole tekstowe 7" o:spid="_x0000_s1029" type="#_x0000_t202" alt="W 2021 r. w porównaniu &#10;z rokiem poprzednim wzrosła liczba pracowników pełnozatrudnionych przyjętych do pracy oraz zwolnionych&#10;" style="position:absolute;margin-left:446.35pt;margin-top:0;width:138.8pt;height:1in;z-index:-2514790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" filled="f" stroked="f">
                <v:textbox>
                  <w:txbxContent>
                    <w:p w14:paraId="2C784320" w14:textId="77777777" w:rsidR="00E65F96" w:rsidRPr="002D41FA" w:rsidRDefault="00E65F96" w:rsidP="00E65F96">
                      <w:pPr>
                        <w:pStyle w:val="tekstzboku"/>
                      </w:pPr>
                      <w:r>
                        <w:t>W 2021</w:t>
                      </w:r>
                      <w:r w:rsidRPr="00227A92">
                        <w:t xml:space="preserve"> r. w porównaniu </w:t>
                      </w:r>
                      <w:r>
                        <w:br/>
                        <w:t>z</w:t>
                      </w:r>
                      <w:r w:rsidRPr="00227A92">
                        <w:t xml:space="preserve"> </w:t>
                      </w:r>
                      <w:r>
                        <w:t>rokiem poprzednim wzrosła</w:t>
                      </w:r>
                      <w:r w:rsidRPr="00227A92">
                        <w:t xml:space="preserve"> liczba pra</w:t>
                      </w:r>
                      <w:r>
                        <w:t>co</w:t>
                      </w:r>
                      <w:r w:rsidRPr="00227A92">
                        <w:t xml:space="preserve">wników pełnozatrudnionych przyjętych </w:t>
                      </w:r>
                      <w:r>
                        <w:br/>
                        <w:t xml:space="preserve">do pracy oraz </w:t>
                      </w:r>
                      <w:r w:rsidRPr="00227A92">
                        <w:t>zwolnionych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Pr="00465400">
        <w:rPr>
          <w:spacing w:val="-2"/>
        </w:rPr>
        <w:t>W 2021 r. w województwie zachodniopomorskim do pracy przyjęto 66,8 tys. osób (w tym 80,2%</w:t>
      </w:r>
      <w:r w:rsidRPr="00465400">
        <w:t xml:space="preserve"> w sektorze prywatnym), tj. o 14,2% więcej niż przed rokiem. Wzrost przyjęć odnotowano </w:t>
      </w:r>
      <w:r w:rsidR="00465400">
        <w:br/>
      </w:r>
      <w:r w:rsidRPr="00465400">
        <w:t xml:space="preserve">zarówno w sektorze prywatnym jak i publicznym (odpowiednio o 16,3% i 6,5%). Ponad połowę przyjętych do pracy stanowili mężczyźni (54,3%). W porównaniu z 2020 r. liczba mężczyzn </w:t>
      </w:r>
      <w:r w:rsidR="00465400">
        <w:br/>
      </w:r>
      <w:r w:rsidRPr="00465400">
        <w:t xml:space="preserve">i kobiet przyjętych do pracy zwiększyła się (odpowiednio </w:t>
      </w:r>
      <w:r w:rsidR="00F37BC9">
        <w:t xml:space="preserve">o </w:t>
      </w:r>
      <w:r w:rsidRPr="00465400">
        <w:t>15,8% i 12,4%). Najwięcej osób przyjęto do pracy w Przetwórstwie przemysłowym – 20,4 tys. (30,5%), następnie w sekcjach Administrowanie i działalność wspierająca</w:t>
      </w:r>
      <w:r w:rsidRPr="00D8722E">
        <w:t xml:space="preserve"> – </w:t>
      </w:r>
      <w:r>
        <w:t xml:space="preserve">7,8 </w:t>
      </w:r>
      <w:r w:rsidRPr="00D8722E">
        <w:t>tys. (</w:t>
      </w:r>
      <w:r>
        <w:t>11,6</w:t>
      </w:r>
      <w:r w:rsidRPr="00D8722E">
        <w:t>%)</w:t>
      </w:r>
      <w:r>
        <w:t xml:space="preserve"> </w:t>
      </w:r>
      <w:r w:rsidRPr="002700BA">
        <w:t xml:space="preserve">oraz </w:t>
      </w:r>
      <w:r w:rsidRPr="002700BA">
        <w:rPr>
          <w:spacing w:val="-2"/>
        </w:rPr>
        <w:t>Handel; naprawa pojazdów samochodowych</w:t>
      </w:r>
      <w:r w:rsidRPr="002700BA">
        <w:t xml:space="preserve"> – 7,1 tys. (10,6%).</w:t>
      </w:r>
    </w:p>
    <w:p w14:paraId="1ACB4C3C" w14:textId="07F9AFA8" w:rsidR="00FE0AFC" w:rsidRPr="00CE7BC7" w:rsidRDefault="003849F8" w:rsidP="00FE0AFC">
      <w:pPr>
        <w:rPr>
          <w:szCs w:val="19"/>
        </w:rPr>
      </w:pPr>
      <w:r w:rsidRPr="0031264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809792" behindDoc="1" locked="0" layoutInCell="1" allowOverlap="1" wp14:anchorId="7F66832F" wp14:editId="2E68A960">
                <wp:simplePos x="0" y="0"/>
                <wp:positionH relativeFrom="column">
                  <wp:posOffset>5207304</wp:posOffset>
                </wp:positionH>
                <wp:positionV relativeFrom="paragraph">
                  <wp:posOffset>1048606</wp:posOffset>
                </wp:positionV>
                <wp:extent cx="1874520" cy="712470"/>
                <wp:effectExtent l="0" t="0" r="0" b="0"/>
                <wp:wrapTight wrapText="bothSides">
                  <wp:wrapPolygon edited="0">
                    <wp:start x="659" y="0"/>
                    <wp:lineTo x="659" y="20791"/>
                    <wp:lineTo x="20854" y="20791"/>
                    <wp:lineTo x="20854" y="0"/>
                    <wp:lineTo x="659" y="0"/>
                  </wp:wrapPolygon>
                </wp:wrapTight>
                <wp:docPr id="32" name="Pole tekstowe 32" descr="Współczynnik przyjęć zwiększył się w skali roku o 3,2 p. proc., a współczynnik zwolnień – o 0,4 p. proc. &#10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4520" cy="71247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BDD983" w14:textId="1E968BCA" w:rsidR="00E65F96" w:rsidRPr="002D41FA" w:rsidRDefault="00E65F96" w:rsidP="00E65F96">
                            <w:pPr>
                              <w:pStyle w:val="tekstzboku"/>
                            </w:pPr>
                            <w:r w:rsidRPr="00D6179B">
                              <w:t>Współczynnik przyjęć z</w:t>
                            </w:r>
                            <w:r>
                              <w:t>większył</w:t>
                            </w:r>
                            <w:r w:rsidRPr="00D6179B">
                              <w:t xml:space="preserve"> się w skali roku </w:t>
                            </w:r>
                            <w:r>
                              <w:t>o 3,2</w:t>
                            </w:r>
                            <w:r w:rsidRPr="00D6179B">
                              <w:t xml:space="preserve"> p. proc.,</w:t>
                            </w:r>
                            <w:r>
                              <w:t xml:space="preserve"> </w:t>
                            </w:r>
                            <w:r>
                              <w:br/>
                              <w:t>a współczynnik zwolnień</w:t>
                            </w:r>
                            <w:r>
                              <w:rPr>
                                <w:szCs w:val="19"/>
                              </w:rPr>
                              <w:t xml:space="preserve"> </w:t>
                            </w:r>
                            <w:r w:rsidR="009F1707">
                              <w:rPr>
                                <w:szCs w:val="19"/>
                              </w:rPr>
                              <w:br/>
                            </w:r>
                            <w:r w:rsidRPr="00B521A0">
                              <w:rPr>
                                <w:szCs w:val="19"/>
                              </w:rPr>
                              <w:t>–</w:t>
                            </w:r>
                            <w:r>
                              <w:rPr>
                                <w:szCs w:val="19"/>
                              </w:rPr>
                              <w:t xml:space="preserve"> </w:t>
                            </w:r>
                            <w:r>
                              <w:t xml:space="preserve">o 0,4 </w:t>
                            </w:r>
                            <w:r w:rsidRPr="00D6179B">
                              <w:t>p.</w:t>
                            </w:r>
                            <w:r w:rsidRPr="002D41FA">
                              <w:t xml:space="preserve"> proc. </w:t>
                            </w:r>
                          </w:p>
                          <w:p w14:paraId="7214BAED" w14:textId="3488374A" w:rsidR="00FE0AFC" w:rsidRPr="002D41FA" w:rsidRDefault="00FE0AFC" w:rsidP="00D6179B">
                            <w:pPr>
                              <w:pStyle w:val="tekstzboku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66832F" id="Pole tekstowe 32" o:spid="_x0000_s1030" type="#_x0000_t202" alt="Współczynnik przyjęć zwiększył się w skali roku o 3,2 p. proc., a współczynnik zwolnień – o 0,4 p. proc. &#10;" style="position:absolute;margin-left:410pt;margin-top:82.55pt;width:147.6pt;height:56.1pt;z-index:-2515066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" filled="f" stroked="f">
                <v:textbox>
                  <w:txbxContent>
                    <w:p w14:paraId="68BDD983" w14:textId="1E968BCA" w:rsidR="00E65F96" w:rsidRPr="002D41FA" w:rsidRDefault="00E65F96" w:rsidP="00E65F96">
                      <w:pPr>
                        <w:pStyle w:val="tekstzboku"/>
                      </w:pPr>
                      <w:r w:rsidRPr="00D6179B">
                        <w:t>Współczynnik przyjęć z</w:t>
                      </w:r>
                      <w:r>
                        <w:t>większył</w:t>
                      </w:r>
                      <w:r w:rsidRPr="00D6179B">
                        <w:t xml:space="preserve"> się w skali roku </w:t>
                      </w:r>
                      <w:r>
                        <w:t>o 3,2</w:t>
                      </w:r>
                      <w:r w:rsidRPr="00D6179B">
                        <w:t xml:space="preserve"> p. proc.,</w:t>
                      </w:r>
                      <w:r>
                        <w:t xml:space="preserve"> </w:t>
                      </w:r>
                      <w:r>
                        <w:br/>
                        <w:t>a współczynnik zwolnień</w:t>
                      </w:r>
                      <w:r>
                        <w:rPr>
                          <w:szCs w:val="19"/>
                        </w:rPr>
                        <w:t xml:space="preserve"> </w:t>
                      </w:r>
                      <w:r w:rsidR="009F1707">
                        <w:rPr>
                          <w:szCs w:val="19"/>
                        </w:rPr>
                        <w:br/>
                      </w:r>
                      <w:r w:rsidRPr="00B521A0">
                        <w:rPr>
                          <w:szCs w:val="19"/>
                        </w:rPr>
                        <w:t>–</w:t>
                      </w:r>
                      <w:r>
                        <w:rPr>
                          <w:szCs w:val="19"/>
                        </w:rPr>
                        <w:t xml:space="preserve"> </w:t>
                      </w:r>
                      <w:r>
                        <w:t xml:space="preserve">o 0,4 </w:t>
                      </w:r>
                      <w:r w:rsidRPr="00D6179B">
                        <w:t>p.</w:t>
                      </w:r>
                      <w:r w:rsidRPr="002D41FA">
                        <w:t xml:space="preserve"> proc. </w:t>
                      </w:r>
                    </w:p>
                    <w:p w14:paraId="7214BAED" w14:textId="3488374A" w:rsidR="00FE0AFC" w:rsidRPr="002D41FA" w:rsidRDefault="00FE0AFC" w:rsidP="00D6179B">
                      <w:pPr>
                        <w:pStyle w:val="tekstzboku"/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E65F96" w:rsidRPr="00335F5E">
        <w:t xml:space="preserve">W 2021 r. zwolnieniami objęto 60,9 tys. osób (o 0,3% więcej niż przed rokiem), </w:t>
      </w:r>
      <w:r w:rsidR="00E65F96" w:rsidRPr="00AA0A9E">
        <w:t xml:space="preserve">z czego mężczyźni stanowili 56,0%. </w:t>
      </w:r>
      <w:r w:rsidR="00E65F96" w:rsidRPr="00193302">
        <w:t>W sektorze prywatny</w:t>
      </w:r>
      <w:r w:rsidR="00E65F96">
        <w:t>m w skali roku odnotowano wzrost</w:t>
      </w:r>
      <w:r w:rsidR="00E65F96" w:rsidRPr="00193302">
        <w:t xml:space="preserve"> zwolnień </w:t>
      </w:r>
      <w:r w:rsidR="00465400">
        <w:br/>
      </w:r>
      <w:r w:rsidR="00E65F96" w:rsidRPr="00193302">
        <w:t>o 0,4%</w:t>
      </w:r>
      <w:r w:rsidR="00E65F96">
        <w:t xml:space="preserve">. W </w:t>
      </w:r>
      <w:r w:rsidR="00E65F96" w:rsidRPr="00193302">
        <w:t xml:space="preserve">sektorze </w:t>
      </w:r>
      <w:r w:rsidR="00E65F96" w:rsidRPr="002A4C08">
        <w:t xml:space="preserve">publicznym poziom </w:t>
      </w:r>
      <w:r w:rsidR="00E65F96">
        <w:t xml:space="preserve">zwolnień </w:t>
      </w:r>
      <w:r w:rsidR="00E65F96" w:rsidRPr="002A4C08">
        <w:t xml:space="preserve">utrzymał się na poziomie roku ubiegłego. Najwięcej </w:t>
      </w:r>
      <w:r w:rsidR="00E65F96" w:rsidRPr="00C102F6">
        <w:t xml:space="preserve">zwolnień z pracy miało miejsce w jednostkach należących do sekcji: Przetwórstwo </w:t>
      </w:r>
      <w:r w:rsidR="00E65F96" w:rsidRPr="00465400">
        <w:rPr>
          <w:spacing w:val="-2"/>
        </w:rPr>
        <w:t>przemysłowe – 18,9 tys. osób (31,0%), Administrowanie i działalność wspierająca – 6,9 tys. osób</w:t>
      </w:r>
      <w:r w:rsidR="00E65F96" w:rsidRPr="00C102F6">
        <w:t xml:space="preserve"> (11,4%), Handel; naprawa pojazdów samochodowych – 6,7 tys. osób (11,0%).</w:t>
      </w:r>
    </w:p>
    <w:p w14:paraId="04385020" w14:textId="10D47575" w:rsidR="00FE0AFC" w:rsidRDefault="00E65F96" w:rsidP="0031264A">
      <w:r w:rsidRPr="00465400">
        <w:rPr>
          <w:spacing w:val="-4"/>
        </w:rPr>
        <w:t xml:space="preserve">W 2021 r. liczba przyjęć do pracy była o 6,0 tys. wyższa od liczby zwolnień (przed rokiem </w:t>
      </w:r>
      <w:r w:rsidRPr="00465400">
        <w:rPr>
          <w:spacing w:val="-4"/>
          <w:szCs w:val="19"/>
        </w:rPr>
        <w:t>– niższa</w:t>
      </w:r>
      <w:r w:rsidRPr="00C942F8">
        <w:rPr>
          <w:spacing w:val="-2"/>
        </w:rPr>
        <w:t xml:space="preserve"> </w:t>
      </w:r>
      <w:r w:rsidR="00465400">
        <w:rPr>
          <w:spacing w:val="-2"/>
        </w:rPr>
        <w:br/>
      </w:r>
      <w:r w:rsidRPr="00C942F8">
        <w:rPr>
          <w:spacing w:val="-2"/>
        </w:rPr>
        <w:t xml:space="preserve">o 2,2 tys.). </w:t>
      </w:r>
      <w:r w:rsidRPr="002028EB">
        <w:rPr>
          <w:spacing w:val="-2"/>
        </w:rPr>
        <w:t>Współczynnik przyjęć wyniósł 23,0%, w tym dla kobiet – 20,1</w:t>
      </w:r>
      <w:r w:rsidRPr="0072117D">
        <w:rPr>
          <w:spacing w:val="-2"/>
        </w:rPr>
        <w:t xml:space="preserve">% </w:t>
      </w:r>
      <w:r w:rsidRPr="0072117D">
        <w:rPr>
          <w:i/>
          <w:iCs/>
          <w:spacing w:val="-2"/>
        </w:rPr>
        <w:t>(w kraju odpowiednio</w:t>
      </w:r>
      <w:r w:rsidRPr="0072117D">
        <w:rPr>
          <w:i/>
          <w:iCs/>
        </w:rPr>
        <w:t xml:space="preserve"> 22,1% i 20,4</w:t>
      </w:r>
      <w:r w:rsidRPr="0072117D">
        <w:t>%</w:t>
      </w:r>
      <w:r w:rsidRPr="00465400">
        <w:rPr>
          <w:i/>
          <w:spacing w:val="-4"/>
        </w:rPr>
        <w:t>)</w:t>
      </w:r>
      <w:r w:rsidRPr="00465400">
        <w:rPr>
          <w:spacing w:val="-4"/>
        </w:rPr>
        <w:t xml:space="preserve">, a współczynnik zwolnień – 20,9%, w tym dla kobiet – </w:t>
      </w:r>
      <w:r w:rsidRPr="00465400">
        <w:rPr>
          <w:spacing w:val="-4"/>
          <w:szCs w:val="19"/>
        </w:rPr>
        <w:t xml:space="preserve"> </w:t>
      </w:r>
      <w:r w:rsidRPr="00465400">
        <w:rPr>
          <w:spacing w:val="-4"/>
        </w:rPr>
        <w:t xml:space="preserve">17,6% </w:t>
      </w:r>
      <w:r w:rsidRPr="00465400">
        <w:rPr>
          <w:i/>
          <w:iCs/>
          <w:spacing w:val="-4"/>
        </w:rPr>
        <w:t xml:space="preserve">(w kraju odpowiednio </w:t>
      </w:r>
      <w:r w:rsidRPr="00EC0AE8">
        <w:rPr>
          <w:i/>
          <w:iCs/>
        </w:rPr>
        <w:t>20,3% i 18,1%)</w:t>
      </w:r>
      <w:r w:rsidRPr="00EC0AE8">
        <w:t>.</w:t>
      </w:r>
    </w:p>
    <w:p w14:paraId="47B3356B" w14:textId="72FBFF68" w:rsidR="00CE2A85" w:rsidRDefault="00CE2A85" w:rsidP="00CE2A85">
      <w:pPr>
        <w:pStyle w:val="tytuwykresu"/>
        <w:ind w:left="794" w:hanging="794"/>
        <w:rPr>
          <w:b w:val="0"/>
          <w:shd w:val="clear" w:color="auto" w:fill="FFFFFF"/>
        </w:rPr>
      </w:pPr>
      <w:r w:rsidRPr="00CF2D9B">
        <w:rPr>
          <w:szCs w:val="18"/>
        </w:rPr>
        <w:t xml:space="preserve">Wykres </w:t>
      </w:r>
      <w:r>
        <w:t>1</w:t>
      </w:r>
      <w:r w:rsidRPr="00CE2A85">
        <w:t xml:space="preserve">. Współczynniki przyjęć i zwolnień </w:t>
      </w:r>
      <w:r w:rsidRPr="00CE2A85">
        <w:br/>
      </w:r>
      <w:r w:rsidRPr="006208C6">
        <w:rPr>
          <w:b w:val="0"/>
          <w:shd w:val="clear" w:color="auto" w:fill="FFFFFF"/>
        </w:rPr>
        <w:t xml:space="preserve">Stan w dniu 31 </w:t>
      </w:r>
      <w:r w:rsidR="0005000D">
        <w:rPr>
          <w:b w:val="0"/>
          <w:shd w:val="clear" w:color="auto" w:fill="FFFFFF"/>
        </w:rPr>
        <w:t>grudnia</w:t>
      </w:r>
    </w:p>
    <w:p w14:paraId="192AB2B3" w14:textId="38773054" w:rsidR="00E65F96" w:rsidRDefault="002A0968" w:rsidP="002A0968">
      <w:pPr>
        <w:pStyle w:val="Brakstyluakapitowego"/>
        <w:jc w:val="center"/>
        <w:rPr>
          <w:shd w:val="clear" w:color="auto" w:fill="FFFFFF"/>
        </w:rPr>
      </w:pPr>
      <w:r>
        <w:rPr>
          <w:noProof/>
          <w:lang w:val="pl-PL"/>
        </w:rPr>
        <w:drawing>
          <wp:inline distT="0" distB="0" distL="0" distR="0" wp14:anchorId="4F85E0BB" wp14:editId="3B8EC736">
            <wp:extent cx="4137668" cy="1880620"/>
            <wp:effectExtent l="0" t="0" r="0" b="5715"/>
            <wp:docPr id="11" name="Obraz 11" descr="Współczynnik przyjęć wyniósł w 2020 r. dla mężczyzn 22,0%, dla kobiet – 17,7%; w 2021 r. odpowiednio 26,1% i 20,1%. Współczynnik zwolnień wyniósł w 2020 r. dla mężczyzn 23,4%, a dla kobiet – 17,7%; w 2021 r. odpowiednio 24,5% i 17,6%." title="Wykres 1 Wykres słupkowy . Współczynniki przyjęć i zwolnień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137668" cy="1880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696D6" w14:textId="11AC9760" w:rsidR="002D41FA" w:rsidRDefault="002D41FA" w:rsidP="00956958">
      <w:pPr>
        <w:rPr>
          <w:noProof/>
        </w:rPr>
      </w:pPr>
    </w:p>
    <w:p w14:paraId="6E156CF8" w14:textId="2537FE8A" w:rsidR="00956958" w:rsidRPr="00956958" w:rsidRDefault="00956958" w:rsidP="00956958">
      <w:pPr>
        <w:pStyle w:val="Nagwek1"/>
      </w:pPr>
      <w:r w:rsidRPr="00E05A3F">
        <w:rPr>
          <w:noProof/>
        </w:rPr>
        <mc:AlternateContent>
          <mc:Choice Requires="wps">
            <w:drawing>
              <wp:anchor distT="45720" distB="45720" distL="114300" distR="114300" simplePos="0" relativeHeight="251815936" behindDoc="1" locked="0" layoutInCell="1" allowOverlap="1" wp14:anchorId="3F04524B" wp14:editId="19856D6B">
                <wp:simplePos x="0" y="0"/>
                <wp:positionH relativeFrom="page">
                  <wp:posOffset>5698464</wp:posOffset>
                </wp:positionH>
                <wp:positionV relativeFrom="paragraph">
                  <wp:posOffset>247472</wp:posOffset>
                </wp:positionV>
                <wp:extent cx="1697355" cy="1228725"/>
                <wp:effectExtent l="0" t="0" r="0" b="0"/>
                <wp:wrapTight wrapText="bothSides">
                  <wp:wrapPolygon edited="0">
                    <wp:start x="727" y="0"/>
                    <wp:lineTo x="727" y="21098"/>
                    <wp:lineTo x="20848" y="21098"/>
                    <wp:lineTo x="20848" y="0"/>
                    <wp:lineTo x="727" y="0"/>
                  </wp:wrapPolygon>
                </wp:wrapTight>
                <wp:docPr id="6" name="Pole tekstowe 6" descr="Przeciętne miesięczne wynagrodzenie brutto w sektorze prywatnym stanowiło 83,4% wynagrodzenia w sektorze publicznym (przed rokiem 84,0%)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97355" cy="12287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7F4BA4" w14:textId="7AB3A5E5" w:rsidR="000F3608" w:rsidRPr="00D6179B" w:rsidRDefault="002A0968" w:rsidP="00D6179B">
                            <w:pPr>
                              <w:pStyle w:val="tekstzboku"/>
                            </w:pPr>
                            <w:r w:rsidRPr="00D6179B">
                              <w:t>Przeciętne miesięczne wynagrodzenie brutto w s</w:t>
                            </w:r>
                            <w:r>
                              <w:t>ektorze prywatnym stanowiło 83,4</w:t>
                            </w:r>
                            <w:r w:rsidRPr="00D6179B">
                              <w:t xml:space="preserve">% wynagrodzenia w sektorze publicznym (przed rokiem </w:t>
                            </w:r>
                            <w:r>
                              <w:t>84,0</w:t>
                            </w:r>
                            <w:r w:rsidRPr="00D6179B">
                              <w:t>%)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04524B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31" type="#_x0000_t202" alt="Przeciętne miesięczne wynagrodzenie brutto w sektorze prywatnym stanowiło 83,4% wynagrodzenia w sektorze publicznym (przed rokiem 84,0%)" style="position:absolute;margin-left:448.7pt;margin-top:19.5pt;width:133.65pt;height:96.75pt;z-index:-2515005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" filled="f" stroked="f">
                <v:textbox>
                  <w:txbxContent>
                    <w:p w14:paraId="137F4BA4" w14:textId="7AB3A5E5" w:rsidR="000F3608" w:rsidRPr="00D6179B" w:rsidRDefault="002A0968" w:rsidP="00D6179B">
                      <w:pPr>
                        <w:pStyle w:val="tekstzboku"/>
                      </w:pPr>
                      <w:r w:rsidRPr="00D6179B">
                        <w:t>Przeciętne miesięczne wynagrodzenie brutto w s</w:t>
                      </w:r>
                      <w:r>
                        <w:t>ektorze prywatnym stanowiło 83,4</w:t>
                      </w:r>
                      <w:r w:rsidRPr="00D6179B">
                        <w:t xml:space="preserve">% wynagrodzenia w sektorze publicznym (przed rokiem </w:t>
                      </w:r>
                      <w:r>
                        <w:t>84,0</w:t>
                      </w:r>
                      <w:r w:rsidRPr="00D6179B">
                        <w:t>%)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>
        <w:t>Wynagrodzenia</w:t>
      </w:r>
    </w:p>
    <w:p w14:paraId="67716F5D" w14:textId="77777777" w:rsidR="002A0968" w:rsidRPr="003E2C82" w:rsidRDefault="002A0968" w:rsidP="002A0968">
      <w:r w:rsidRPr="00CD1FA7">
        <w:rPr>
          <w:spacing w:val="-2"/>
        </w:rPr>
        <w:t xml:space="preserve">W 2021 r. </w:t>
      </w:r>
      <w:r w:rsidRPr="00CD1FA7">
        <w:rPr>
          <w:noProof/>
          <w:spacing w:val="-2"/>
          <w:lang w:eastAsia="pl-PL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05CA3009" wp14:editId="38A1764D">
                <wp:simplePos x="0" y="0"/>
                <wp:positionH relativeFrom="column">
                  <wp:posOffset>-1752917</wp:posOffset>
                </wp:positionH>
                <wp:positionV relativeFrom="paragraph">
                  <wp:posOffset>173037</wp:posOffset>
                </wp:positionV>
                <wp:extent cx="190500" cy="312420"/>
                <wp:effectExtent l="19050" t="0" r="19050" b="30480"/>
                <wp:wrapNone/>
                <wp:docPr id="14" name="Strzałka w dół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31242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B8A4089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Strzałka w dół 14" o:spid="_x0000_s1026" type="#_x0000_t67" style="position:absolute;margin-left:-138pt;margin-top:13.6pt;width:15pt;height:24.6pt;z-index:251839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" adj="15015" fillcolor="white [3201]" strokecolor="#70ad47 [3209]" strokeweight="1pt"/>
            </w:pict>
          </mc:Fallback>
        </mc:AlternateContent>
      </w:r>
      <w:r w:rsidRPr="00CD1FA7">
        <w:rPr>
          <w:spacing w:val="-2"/>
        </w:rPr>
        <w:t>przeciętne miesięczne wynagrodzenie brutto ukształtowało się na poziomie 5549,85 zł i</w:t>
      </w:r>
      <w:r w:rsidRPr="00CD1FA7">
        <w:t xml:space="preserve"> było o 8,8% wyższe niż w 2020 r. Przeciętne wynagrodzenie w województwie stanowiło 92,5% prz</w:t>
      </w:r>
      <w:r w:rsidRPr="00CD1FA7">
        <w:rPr>
          <w:spacing w:val="-2"/>
        </w:rPr>
        <w:t>eciętnego wynagrodzenia w kraju (wobec 92,3% w poprzednim roku</w:t>
      </w:r>
      <w:r w:rsidRPr="003E2C82">
        <w:rPr>
          <w:spacing w:val="-2"/>
        </w:rPr>
        <w:t>). W sektorze publicznym</w:t>
      </w:r>
      <w:r w:rsidRPr="003E2C82">
        <w:t xml:space="preserve"> wyniosło ono 6189,58 zł, a w sektorze prywatnym – 5161,30 zł.</w:t>
      </w:r>
    </w:p>
    <w:p w14:paraId="58F03BE0" w14:textId="5FF08EDF" w:rsidR="002A0968" w:rsidRDefault="00467C67" w:rsidP="000F3608">
      <w:r w:rsidRPr="00E92A19">
        <w:t>Najwyższe przeciętne wynagrodzenie odnotowano w sekcjach: Informacja i komunikacja (8704,</w:t>
      </w:r>
      <w:r w:rsidRPr="00EA056B">
        <w:rPr>
          <w:spacing w:val="-2"/>
        </w:rPr>
        <w:t>49 zł), Działalność finansowa i ubezpieczeniowa (7012,21 zł) oraz Administracja publiczna</w:t>
      </w:r>
      <w:r w:rsidRPr="00E92A19">
        <w:t xml:space="preserve"> </w:t>
      </w:r>
      <w:r>
        <w:br/>
      </w:r>
      <w:r w:rsidRPr="00E92A19">
        <w:t>i obrona narodowa; obowiązkowe zabezpieczenia społeczne (6784,70 zł). Najniżej wynagradzani byli pracownicy z sekcji: Zakwaterowanie i gastronomia (3847,15 zł), Pozostała działalność usługowa (3925,89 zł) oraz Administrowanie i działalność wspierająca (4559,60 zł).</w:t>
      </w:r>
    </w:p>
    <w:p w14:paraId="1335D99E" w14:textId="7F0825BA" w:rsidR="002A0968" w:rsidRDefault="00C5273E" w:rsidP="000F3608">
      <w:r w:rsidRPr="00CF6A7D">
        <w:t>W porównaniu z rokiem poprzednim przeciętne miesięczne wynagrodzenie brutto zwiększyło się niemal we wszystkich s</w:t>
      </w:r>
      <w:r>
        <w:t>ekcjach (z</w:t>
      </w:r>
      <w:r w:rsidRPr="00CF6A7D">
        <w:t xml:space="preserve"> wyjątkiem sekcji Wytwarzanie i zaopatrywanie w energię elektryczną, gaz, parę wodną i gorącą wodę </w:t>
      </w:r>
      <w:r w:rsidRPr="00CF6A7D">
        <w:rPr>
          <w:szCs w:val="19"/>
        </w:rPr>
        <w:t xml:space="preserve">– </w:t>
      </w:r>
      <w:r w:rsidRPr="00CF6A7D">
        <w:t>spadek o 5,6</w:t>
      </w:r>
      <w:r w:rsidRPr="00266560">
        <w:t>%). Najwyższy wzrost odnotowano w podmiotach zajmujących się opieką zdrowotną i pomocą społeczną (o 19,9</w:t>
      </w:r>
      <w:r>
        <w:t xml:space="preserve">%), a najniższy </w:t>
      </w:r>
      <w:r>
        <w:br/>
        <w:t xml:space="preserve">– w sekcjach </w:t>
      </w:r>
      <w:r w:rsidRPr="00266560">
        <w:t>Budownictwo oraz Górnictwo i wydobywanie (po 6,0%).</w:t>
      </w:r>
    </w:p>
    <w:p w14:paraId="29A3E458" w14:textId="77777777" w:rsidR="005306F8" w:rsidRDefault="005306F8" w:rsidP="000F3608"/>
    <w:p w14:paraId="179720B1" w14:textId="68612D5B" w:rsidR="000A1870" w:rsidRDefault="000A1870" w:rsidP="00956958">
      <w:pPr>
        <w:pStyle w:val="tytuwykresu"/>
        <w:ind w:left="822" w:hanging="822"/>
      </w:pPr>
      <w:r w:rsidRPr="00E05A3F">
        <w:lastRenderedPageBreak/>
        <w:t xml:space="preserve">Wykres </w:t>
      </w:r>
      <w:r w:rsidR="002D41FA" w:rsidRPr="00E05A3F">
        <w:t>2</w:t>
      </w:r>
      <w:r w:rsidRPr="00E05A3F">
        <w:t xml:space="preserve">. </w:t>
      </w:r>
      <w:r w:rsidR="002D41FA" w:rsidRPr="00E05A3F">
        <w:t xml:space="preserve">Odchylenia względne przeciętnych miesięcznych wynagrodzeń brutto w sekcjach </w:t>
      </w:r>
      <w:r w:rsidR="002725D3" w:rsidRPr="00E05A3F">
        <w:br/>
      </w:r>
      <w:r w:rsidR="002D41FA" w:rsidRPr="00E05A3F">
        <w:t>od przeciętnego wynagrodzenia w województwie w 20</w:t>
      </w:r>
      <w:r w:rsidR="00073BFC" w:rsidRPr="00E05A3F">
        <w:t>2</w:t>
      </w:r>
      <w:r w:rsidR="002A0968">
        <w:t>1</w:t>
      </w:r>
      <w:r w:rsidR="002D41FA" w:rsidRPr="00E05A3F">
        <w:t xml:space="preserve"> r.</w:t>
      </w:r>
    </w:p>
    <w:p w14:paraId="1DA7F50E" w14:textId="252377C4" w:rsidR="002A0968" w:rsidRDefault="002A0968" w:rsidP="002A096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5CB64DFA" wp14:editId="44A5EDC8">
            <wp:extent cx="4893574" cy="4055372"/>
            <wp:effectExtent l="0" t="0" r="2540" b="2540"/>
            <wp:docPr id="13" name="Obraz 13" descr="Największe odchylenie in plus odnotowano w sekcji Informacja i komunikacja – 56,8%, a in minus – w sekcjach Zakwaterowanie i gastronomia – 30,7% oraz Pozostała działalność usługowa – 29,3%." title="Wykres 2 Wykres słupkowy Odchylenia względne przeciętnych miesięcznych wynagrodzeń brutto w sekcjach od przeciętnego wynagrodzenia w województwie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893574" cy="40553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CC570B" w14:textId="77777777" w:rsidR="00C5273E" w:rsidRPr="00E155EF" w:rsidRDefault="00C5273E" w:rsidP="00C5273E">
      <w:pPr>
        <w:rPr>
          <w:spacing w:val="-2"/>
        </w:rPr>
      </w:pPr>
      <w:r w:rsidRPr="007518C4">
        <w:t xml:space="preserve">W 2021 r. w większości powiatów przeciętne wynagrodzenie brutto było niższe niż średnio </w:t>
      </w:r>
      <w:r w:rsidRPr="007518C4">
        <w:br/>
        <w:t xml:space="preserve">w województwie, z wyjątkiem: m. Szczecin, powiatu polickiego, m. Świnoujście, w których przeciętna płaca przewyższała średnią dla województwa odpowiednio o 12,5%, 5,3% i 0,3%. </w:t>
      </w:r>
      <w:r w:rsidRPr="00EA056B">
        <w:rPr>
          <w:spacing w:val="-2"/>
        </w:rPr>
        <w:t>Najwyższe przeciętne miesięczne wynagrodzenie brutto odnotowano w m. Szczecin (6244,67 zł),</w:t>
      </w:r>
      <w:r w:rsidRPr="00E155EF">
        <w:rPr>
          <w:spacing w:val="-2"/>
        </w:rPr>
        <w:t xml:space="preserve"> a najniższe – w powiatach kamieńskim (4623,87 zł) i świdwińskim (4704,50 zł).</w:t>
      </w:r>
    </w:p>
    <w:p w14:paraId="5B3401A9" w14:textId="77777777" w:rsidR="00C5273E" w:rsidRPr="001E031D" w:rsidRDefault="00C5273E" w:rsidP="00C5273E">
      <w:r w:rsidRPr="001E031D">
        <w:t xml:space="preserve">W porównaniu z 2020 r. przeciętne wynagrodzenie zwiększyło się we </w:t>
      </w:r>
      <w:r w:rsidRPr="001E031D">
        <w:rPr>
          <w:spacing w:val="-3"/>
        </w:rPr>
        <w:t xml:space="preserve">wszystkich powiatach. </w:t>
      </w:r>
      <w:r w:rsidRPr="00EA056B">
        <w:rPr>
          <w:spacing w:val="-4"/>
        </w:rPr>
        <w:t>Największy wzrost odnotowano w powiatach pyrzyckim i wałeckim (odpowiednio o 18,9% i 11,7%),</w:t>
      </w:r>
      <w:r w:rsidRPr="001E031D">
        <w:rPr>
          <w:spacing w:val="-3"/>
        </w:rPr>
        <w:t xml:space="preserve"> a najmniejszy – w m. Świnoujście </w:t>
      </w:r>
      <w:r w:rsidRPr="001E031D">
        <w:t>(o 0,8%).</w:t>
      </w:r>
    </w:p>
    <w:p w14:paraId="76CCB8C3" w14:textId="181BF260" w:rsidR="00D44544" w:rsidRDefault="00B86BFE" w:rsidP="00E05A3F">
      <w:pPr>
        <w:pStyle w:val="tytuwykresu"/>
      </w:pPr>
      <w:r w:rsidRPr="00E05A3F">
        <w:t xml:space="preserve">Wykres </w:t>
      </w:r>
      <w:r w:rsidR="00082ED7" w:rsidRPr="00E05A3F">
        <w:t>3</w:t>
      </w:r>
      <w:r w:rsidRPr="00E05A3F">
        <w:t xml:space="preserve">. </w:t>
      </w:r>
      <w:r w:rsidR="00082ED7" w:rsidRPr="00E05A3F">
        <w:t>Przeciętne miesięczne wynagrodzenia brutto według powiatów w 20</w:t>
      </w:r>
      <w:r w:rsidR="001D59E4" w:rsidRPr="00E05A3F">
        <w:t>2</w:t>
      </w:r>
      <w:r w:rsidR="002A0968">
        <w:t>1</w:t>
      </w:r>
      <w:r w:rsidR="00082ED7" w:rsidRPr="00E05A3F">
        <w:t xml:space="preserve"> r.</w:t>
      </w:r>
    </w:p>
    <w:p w14:paraId="17AAC48B" w14:textId="1C4B142C" w:rsidR="002A0968" w:rsidRDefault="002A0968" w:rsidP="002A0968">
      <w:pPr>
        <w:pStyle w:val="Brakstyluakapitowego"/>
        <w:jc w:val="center"/>
      </w:pPr>
      <w:r>
        <w:rPr>
          <w:noProof/>
          <w:lang w:val="pl-PL"/>
        </w:rPr>
        <w:drawing>
          <wp:inline distT="0" distB="0" distL="0" distR="0" wp14:anchorId="0751A99D" wp14:editId="7ADC0733">
            <wp:extent cx="4596393" cy="2470409"/>
            <wp:effectExtent l="0" t="0" r="0" b="6350"/>
            <wp:docPr id="15" name="Obraz 15" descr="Wykres opisany w tekście." title="Wykres 3 Wykres słupkowy według powiatów Przeciętne miesięczne wynagrodzenia brutto według powiatów w 2021 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96393" cy="24704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9A777" w14:textId="77777777" w:rsidR="00D810AD" w:rsidRDefault="00D810AD" w:rsidP="00E05A3F">
      <w:pPr>
        <w:rPr>
          <w:shd w:val="clear" w:color="auto" w:fill="FFFFFF"/>
        </w:rPr>
      </w:pPr>
    </w:p>
    <w:p w14:paraId="720A642F" w14:textId="77777777" w:rsidR="00D810AD" w:rsidRDefault="00D810AD" w:rsidP="00E05A3F">
      <w:pPr>
        <w:rPr>
          <w:shd w:val="clear" w:color="auto" w:fill="FFFFFF"/>
        </w:rPr>
      </w:pPr>
    </w:p>
    <w:p w14:paraId="412A4FC5" w14:textId="0D526C68" w:rsidR="000F3608" w:rsidRDefault="00A34385" w:rsidP="00E05A3F">
      <w:r w:rsidRPr="00FB1838">
        <w:rPr>
          <w:shd w:val="clear" w:color="auto" w:fill="FFFFFF"/>
        </w:rPr>
        <w:lastRenderedPageBreak/>
        <w:t>W przypadku cytowania danych Głównego Urzędu Statystycznego prosimy o zamieszczenie inform</w:t>
      </w:r>
      <w:r w:rsidRPr="0057577F">
        <w:rPr>
          <w:spacing w:val="-2"/>
          <w:shd w:val="clear" w:color="auto" w:fill="FFFFFF"/>
        </w:rPr>
        <w:t>acji: „Źródło danych GUS”, a w przypadku publikowania obliczeń dokonanych na danych opublikowanych przez GUS prosimy o zamieszczenie informacji: „Opracowanie własne na podstawie</w:t>
      </w:r>
      <w:r w:rsidRPr="00FB1838">
        <w:rPr>
          <w:shd w:val="clear" w:color="auto" w:fill="FFFFFF"/>
        </w:rPr>
        <w:t xml:space="preserve"> danych GUS”.</w:t>
      </w:r>
    </w:p>
    <w:p w14:paraId="7E678938" w14:textId="77777777" w:rsidR="005C178E" w:rsidRDefault="005C178E" w:rsidP="00190F3D">
      <w:pPr>
        <w:rPr>
          <w:spacing w:val="-7"/>
        </w:rPr>
      </w:pPr>
    </w:p>
    <w:p w14:paraId="574E7451" w14:textId="1A72E9F3" w:rsidR="00694AF0" w:rsidRPr="00057C45" w:rsidRDefault="00694AF0" w:rsidP="00C976DA">
      <w:pPr>
        <w:jc w:val="both"/>
        <w:sectPr w:rsidR="00694AF0" w:rsidRPr="00057C45" w:rsidSect="003B18B6">
          <w:headerReference w:type="default" r:id="rId14"/>
          <w:footerReference w:type="default" r:id="rId15"/>
          <w:headerReference w:type="first" r:id="rId16"/>
          <w:footerReference w:type="first" r:id="rId17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pPr w:leftFromText="141" w:rightFromText="141" w:vertAnchor="text" w:horzAnchor="margin" w:tblpX="284" w:tblpY="-47"/>
        <w:tblW w:w="9854" w:type="dxa"/>
        <w:tblLook w:val="04A0" w:firstRow="1" w:lastRow="0" w:firstColumn="1" w:lastColumn="0" w:noHBand="0" w:noVBand="1"/>
      </w:tblPr>
      <w:tblGrid>
        <w:gridCol w:w="4927"/>
        <w:gridCol w:w="4927"/>
      </w:tblGrid>
      <w:tr w:rsidR="007B3AAF" w:rsidRPr="00670943" w14:paraId="2E85F7BE" w14:textId="77777777" w:rsidTr="00B06790">
        <w:trPr>
          <w:trHeight w:val="1912"/>
        </w:trPr>
        <w:tc>
          <w:tcPr>
            <w:tcW w:w="4927" w:type="dxa"/>
          </w:tcPr>
          <w:p w14:paraId="190CE8E0" w14:textId="77777777" w:rsidR="007B3AAF" w:rsidRPr="00F97320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  <w:r w:rsidRPr="00F97320">
              <w:rPr>
                <w:rFonts w:cs="Arial"/>
                <w:sz w:val="20"/>
              </w:rPr>
              <w:lastRenderedPageBreak/>
              <w:t xml:space="preserve">Opracowanie merytoryczne: </w:t>
            </w:r>
          </w:p>
          <w:p w14:paraId="1F4EA355" w14:textId="77777777" w:rsidR="007B3AAF" w:rsidRPr="00F97320" w:rsidRDefault="007B3AAF" w:rsidP="00B06790">
            <w:pPr>
              <w:spacing w:before="0" w:after="0" w:line="276" w:lineRule="auto"/>
              <w:rPr>
                <w:rFonts w:cs="Arial"/>
                <w:b/>
                <w:sz w:val="20"/>
              </w:rPr>
            </w:pPr>
            <w:r w:rsidRPr="00F97320">
              <w:rPr>
                <w:rFonts w:cs="Arial"/>
                <w:b/>
                <w:sz w:val="20"/>
              </w:rPr>
              <w:t>Urząd Statystyczny w Szczecinie</w:t>
            </w:r>
          </w:p>
          <w:p w14:paraId="26DCB212" w14:textId="77777777" w:rsidR="007B3AAF" w:rsidRPr="00F97320" w:rsidRDefault="007B3AAF" w:rsidP="00B06790">
            <w:pPr>
              <w:keepNext/>
              <w:keepLines/>
              <w:spacing w:after="0" w:line="276" w:lineRule="auto"/>
              <w:outlineLvl w:val="2"/>
              <w:rPr>
                <w:rFonts w:eastAsiaTheme="majorEastAsia" w:cs="Arial"/>
                <w:b/>
                <w:sz w:val="22"/>
                <w:szCs w:val="28"/>
              </w:rPr>
            </w:pPr>
            <w:r w:rsidRPr="00F97320">
              <w:rPr>
                <w:b/>
                <w:sz w:val="20"/>
                <w:lang w:val="fi-FI"/>
              </w:rPr>
              <w:t xml:space="preserve">Dyrektor </w:t>
            </w:r>
            <w:r w:rsidRPr="00F97320">
              <w:rPr>
                <w:rFonts w:eastAsiaTheme="majorEastAsia" w:cstheme="majorBidi"/>
                <w:b/>
                <w:bCs/>
                <w:sz w:val="20"/>
                <w:szCs w:val="18"/>
                <w:lang w:eastAsia="pl-PL"/>
              </w:rPr>
              <w:t>Magdalena Wegner</w:t>
            </w:r>
          </w:p>
          <w:p w14:paraId="7BA82D3C" w14:textId="77777777" w:rsidR="007B3AAF" w:rsidRPr="00670943" w:rsidRDefault="007B3AAF" w:rsidP="00B06790">
            <w:pPr>
              <w:keepNext/>
              <w:keepLines/>
              <w:spacing w:before="0" w:after="0" w:line="240" w:lineRule="auto"/>
              <w:outlineLvl w:val="2"/>
            </w:pPr>
            <w:r w:rsidRPr="00F97320">
              <w:rPr>
                <w:rFonts w:eastAsiaTheme="majorEastAsia" w:cs="Arial"/>
                <w:sz w:val="20"/>
                <w:szCs w:val="24"/>
                <w:lang w:val="fi-FI"/>
              </w:rPr>
              <w:t>Tel: 91 459 77 00</w:t>
            </w:r>
          </w:p>
        </w:tc>
        <w:tc>
          <w:tcPr>
            <w:tcW w:w="4927" w:type="dxa"/>
          </w:tcPr>
          <w:p w14:paraId="7DDC48AF" w14:textId="77777777" w:rsidR="007B3AAF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  <w:r w:rsidRPr="00670943">
              <w:rPr>
                <w:rFonts w:cs="Arial"/>
                <w:sz w:val="20"/>
              </w:rPr>
              <w:t>Rozpowszechnianie:</w:t>
            </w:r>
            <w:r>
              <w:rPr>
                <w:rFonts w:cs="Arial"/>
                <w:sz w:val="20"/>
              </w:rPr>
              <w:t xml:space="preserve"> </w:t>
            </w:r>
          </w:p>
          <w:p w14:paraId="06DD6560" w14:textId="77777777" w:rsidR="007B3AAF" w:rsidRPr="00670943" w:rsidRDefault="007B3AAF" w:rsidP="00B06790">
            <w:pPr>
              <w:spacing w:before="0" w:after="0" w:line="276" w:lineRule="auto"/>
              <w:rPr>
                <w:rFonts w:cs="Arial"/>
                <w:b/>
                <w:sz w:val="20"/>
                <w:szCs w:val="28"/>
              </w:rPr>
            </w:pPr>
            <w:proofErr w:type="spellStart"/>
            <w:r>
              <w:rPr>
                <w:rFonts w:cs="Arial"/>
                <w:b/>
                <w:sz w:val="20"/>
              </w:rPr>
              <w:t>Informatorium</w:t>
            </w:r>
            <w:proofErr w:type="spellEnd"/>
            <w:r>
              <w:rPr>
                <w:rFonts w:cs="Arial"/>
                <w:b/>
                <w:sz w:val="20"/>
              </w:rPr>
              <w:t xml:space="preserve"> </w:t>
            </w:r>
            <w:r w:rsidRPr="004A1D19">
              <w:rPr>
                <w:rFonts w:cs="Arial"/>
                <w:b/>
                <w:sz w:val="20"/>
              </w:rPr>
              <w:t>S</w:t>
            </w:r>
            <w:r>
              <w:rPr>
                <w:rFonts w:cs="Arial"/>
                <w:b/>
                <w:sz w:val="20"/>
              </w:rPr>
              <w:t>tatystyczne</w:t>
            </w:r>
          </w:p>
          <w:p w14:paraId="7686DAD4" w14:textId="77777777" w:rsidR="007B3AAF" w:rsidRPr="003B4052" w:rsidRDefault="007B3AAF" w:rsidP="00B06790">
            <w:pPr>
              <w:pStyle w:val="Nagwek3"/>
              <w:spacing w:before="0" w:line="240" w:lineRule="auto"/>
              <w:rPr>
                <w:rFonts w:ascii="Fira Sans" w:hAnsi="Fira Sans" w:cs="Arial"/>
                <w:color w:val="auto"/>
                <w:sz w:val="20"/>
                <w:szCs w:val="20"/>
              </w:rPr>
            </w:pP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Tel: 91 459 75 00, 91 459 75</w:t>
            </w: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 xml:space="preserve"> </w:t>
            </w:r>
            <w:r w:rsidRPr="00670943">
              <w:rPr>
                <w:rFonts w:ascii="Fira Sans" w:hAnsi="Fira Sans" w:cs="Arial"/>
                <w:color w:val="auto"/>
                <w:sz w:val="20"/>
                <w:lang w:val="fi-FI"/>
              </w:rPr>
              <w:t>73</w:t>
            </w:r>
          </w:p>
        </w:tc>
      </w:tr>
      <w:tr w:rsidR="007B3AAF" w:rsidRPr="00670943" w14:paraId="3EB9D4E5" w14:textId="77777777" w:rsidTr="00B06790">
        <w:trPr>
          <w:trHeight w:val="510"/>
        </w:trPr>
        <w:tc>
          <w:tcPr>
            <w:tcW w:w="4927" w:type="dxa"/>
          </w:tcPr>
          <w:p w14:paraId="647E1042" w14:textId="77777777" w:rsidR="007B3AAF" w:rsidRPr="00F278A6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5342A4D1" w14:textId="77777777" w:rsidR="007B3AAF" w:rsidRDefault="007B3AAF" w:rsidP="00B06790">
            <w:pPr>
              <w:ind w:firstLine="680"/>
              <w:rPr>
                <w:sz w:val="18"/>
              </w:rPr>
            </w:pPr>
            <w:r w:rsidRPr="00B811CF">
              <w:rPr>
                <w:noProof/>
                <w:sz w:val="22"/>
                <w:lang w:eastAsia="pl-PL"/>
              </w:rPr>
              <w:drawing>
                <wp:anchor distT="0" distB="0" distL="114300" distR="114300" simplePos="0" relativeHeight="251833344" behindDoc="0" locked="0" layoutInCell="1" allowOverlap="1" wp14:anchorId="7E70414A" wp14:editId="3385A3D4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3" name="Obraz 23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811CF">
              <w:rPr>
                <w:sz w:val="20"/>
              </w:rPr>
              <w:t>www.szczecin.stat.gov.pl</w:t>
            </w:r>
          </w:p>
        </w:tc>
      </w:tr>
      <w:tr w:rsidR="007B3AAF" w:rsidRPr="00670943" w14:paraId="0E3B73B0" w14:textId="77777777" w:rsidTr="00B06790">
        <w:trPr>
          <w:trHeight w:val="510"/>
        </w:trPr>
        <w:tc>
          <w:tcPr>
            <w:tcW w:w="4927" w:type="dxa"/>
            <w:vMerge w:val="restart"/>
          </w:tcPr>
          <w:p w14:paraId="7A292F67" w14:textId="77777777" w:rsidR="007B3AAF" w:rsidRPr="00F278A6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190C76EF" w14:textId="77777777" w:rsidR="007B3AAF" w:rsidRDefault="007B3AAF" w:rsidP="00B06790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4368" behindDoc="0" locked="0" layoutInCell="1" allowOverlap="1" wp14:anchorId="28EABDE1" wp14:editId="50832D9D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6" name="Obraz 26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5F7DCC">
              <w:rPr>
                <w:sz w:val="20"/>
                <w:szCs w:val="20"/>
              </w:rPr>
              <w:t>Szczecin_STAT</w:t>
            </w:r>
            <w:proofErr w:type="spellEnd"/>
          </w:p>
        </w:tc>
      </w:tr>
      <w:tr w:rsidR="007B3AAF" w:rsidRPr="00670943" w14:paraId="20C1FE26" w14:textId="77777777" w:rsidTr="00B06790">
        <w:trPr>
          <w:trHeight w:val="510"/>
        </w:trPr>
        <w:tc>
          <w:tcPr>
            <w:tcW w:w="4927" w:type="dxa"/>
            <w:vMerge/>
          </w:tcPr>
          <w:p w14:paraId="19D1D7A5" w14:textId="77777777" w:rsidR="007B3AAF" w:rsidRPr="00F278A6" w:rsidRDefault="007B3AAF" w:rsidP="00B06790">
            <w:pPr>
              <w:spacing w:before="0" w:after="0" w:line="276" w:lineRule="auto"/>
              <w:rPr>
                <w:rFonts w:cs="Arial"/>
                <w:sz w:val="20"/>
              </w:rPr>
            </w:pPr>
          </w:p>
        </w:tc>
        <w:tc>
          <w:tcPr>
            <w:tcW w:w="4927" w:type="dxa"/>
          </w:tcPr>
          <w:p w14:paraId="224A8AF8" w14:textId="77777777" w:rsidR="007B3AAF" w:rsidRDefault="007B3AAF" w:rsidP="00B06790">
            <w:pPr>
              <w:spacing w:after="600"/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835392" behindDoc="0" locked="0" layoutInCell="1" allowOverlap="1" wp14:anchorId="5379C7CF" wp14:editId="01F33FFF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2" name="Obraz 22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Pr="005F7DCC">
              <w:rPr>
                <w:sz w:val="20"/>
              </w:rPr>
              <w:t>UrzadStatystycznywSzczecinie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7B3AAF" w:rsidRPr="00670943" w14:paraId="21B38133" w14:textId="77777777" w:rsidTr="00B06790">
        <w:trPr>
          <w:trHeight w:val="510"/>
        </w:trPr>
        <w:tc>
          <w:tcPr>
            <w:tcW w:w="9854" w:type="dxa"/>
            <w:gridSpan w:val="2"/>
            <w:shd w:val="clear" w:color="auto" w:fill="D9D9D9" w:themeFill="background1" w:themeFillShade="D9"/>
          </w:tcPr>
          <w:p w14:paraId="4D3FB82B" w14:textId="77777777" w:rsidR="007B3AAF" w:rsidRDefault="007B3AAF" w:rsidP="00B06790">
            <w:pPr>
              <w:spacing w:line="240" w:lineRule="exact"/>
              <w:rPr>
                <w:b/>
              </w:rPr>
            </w:pPr>
            <w:r w:rsidRPr="005520D8">
              <w:rPr>
                <w:b/>
              </w:rPr>
              <w:t>Powiązane</w:t>
            </w:r>
            <w:r>
              <w:rPr>
                <w:b/>
              </w:rPr>
              <w:t xml:space="preserve"> opracowania</w:t>
            </w:r>
          </w:p>
          <w:p w14:paraId="2166C429" w14:textId="45EE09BE" w:rsidR="00413BEE" w:rsidRPr="007B3AAF" w:rsidRDefault="008A3F38" w:rsidP="00413BEE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1" w:history="1">
              <w:r w:rsidR="00413BEE" w:rsidRPr="00F652C3">
                <w:rPr>
                  <w:rStyle w:val="Hipercze"/>
                  <w:rFonts w:cstheme="minorBidi"/>
                  <w:sz w:val="18"/>
                  <w:szCs w:val="18"/>
                </w:rPr>
                <w:t>Rocznik Statystyczny Pracy 2021</w:t>
              </w:r>
            </w:hyperlink>
          </w:p>
          <w:p w14:paraId="7E801941" w14:textId="77777777" w:rsidR="00413BEE" w:rsidRPr="007B3AAF" w:rsidRDefault="008A3F38" w:rsidP="00413BEE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2" w:history="1">
              <w:r w:rsidR="00413BEE" w:rsidRPr="007B3AAF">
                <w:rPr>
                  <w:rStyle w:val="Hipercze"/>
                  <w:rFonts w:cstheme="minorBidi"/>
                  <w:sz w:val="18"/>
                  <w:szCs w:val="18"/>
                </w:rPr>
                <w:t>Zatrudnienie i wynagrodzenia w wojewó</w:t>
              </w:r>
              <w:r w:rsidR="00413BEE">
                <w:rPr>
                  <w:rStyle w:val="Hipercze"/>
                  <w:rFonts w:cstheme="minorBidi"/>
                  <w:sz w:val="18"/>
                  <w:szCs w:val="18"/>
                </w:rPr>
                <w:t>dztwie zachodniopomorskim w 2020</w:t>
              </w:r>
              <w:r w:rsidR="00413BEE" w:rsidRPr="007B3AAF">
                <w:rPr>
                  <w:rStyle w:val="Hipercze"/>
                  <w:rFonts w:cstheme="minorBidi"/>
                  <w:sz w:val="18"/>
                  <w:szCs w:val="18"/>
                </w:rPr>
                <w:t xml:space="preserve"> r.</w:t>
              </w:r>
            </w:hyperlink>
            <w:r w:rsidR="00413BEE" w:rsidRPr="007B3AAF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1355DF72" w14:textId="77777777" w:rsidR="00413BEE" w:rsidRPr="007B3AAF" w:rsidRDefault="008A3F38" w:rsidP="00413BEE">
            <w:pPr>
              <w:rPr>
                <w:color w:val="0000FF"/>
                <w:sz w:val="18"/>
                <w:szCs w:val="18"/>
              </w:rPr>
            </w:pPr>
            <w:hyperlink r:id="rId23" w:history="1">
              <w:r w:rsidR="00413BEE" w:rsidRPr="007B3AAF">
                <w:rPr>
                  <w:rStyle w:val="Hipercze"/>
                  <w:rFonts w:cstheme="minorBidi"/>
                  <w:sz w:val="18"/>
                  <w:szCs w:val="18"/>
                </w:rPr>
                <w:t>Bezrobocie rejestrowane w wojewó</w:t>
              </w:r>
              <w:r w:rsidR="00413BEE">
                <w:rPr>
                  <w:rStyle w:val="Hipercze"/>
                  <w:rFonts w:cstheme="minorBidi"/>
                  <w:sz w:val="18"/>
                  <w:szCs w:val="18"/>
                </w:rPr>
                <w:t>dztwie zachodniopomorskim w 2021</w:t>
              </w:r>
              <w:r w:rsidR="00413BEE" w:rsidRPr="007B3AAF">
                <w:rPr>
                  <w:rStyle w:val="Hipercze"/>
                  <w:rFonts w:cstheme="minorBidi"/>
                  <w:sz w:val="18"/>
                  <w:szCs w:val="18"/>
                </w:rPr>
                <w:t xml:space="preserve"> r.</w:t>
              </w:r>
            </w:hyperlink>
          </w:p>
          <w:p w14:paraId="287C8FA3" w14:textId="6069C7D8" w:rsidR="00413BEE" w:rsidRDefault="008A3F38" w:rsidP="00413BEE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4" w:history="1">
              <w:r w:rsidR="00413BEE" w:rsidRPr="007B3AAF">
                <w:rPr>
                  <w:rStyle w:val="Hipercze"/>
                  <w:rFonts w:cstheme="minorBidi"/>
                  <w:sz w:val="18"/>
                  <w:szCs w:val="18"/>
                </w:rPr>
                <w:t>Zeszyt metodologiczny. Statystyka rynku pracy i wynagrodzeń</w:t>
              </w:r>
            </w:hyperlink>
          </w:p>
          <w:p w14:paraId="13F38E09" w14:textId="77777777" w:rsidR="007B3AAF" w:rsidRDefault="007B3AAF" w:rsidP="00B06790">
            <w:pPr>
              <w:spacing w:before="360" w:line="240" w:lineRule="exact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Ważniejsze</w:t>
            </w:r>
            <w:r w:rsidRPr="00505A92">
              <w:rPr>
                <w:b/>
                <w:color w:val="000000" w:themeColor="text1"/>
                <w:szCs w:val="24"/>
              </w:rPr>
              <w:t xml:space="preserve"> pojęcia dostępne w słowniku</w:t>
            </w:r>
          </w:p>
          <w:p w14:paraId="59649A23" w14:textId="77777777" w:rsidR="007B3AAF" w:rsidRPr="007B3AAF" w:rsidRDefault="008A3F38" w:rsidP="007B3AAF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5" w:history="1">
              <w:r w:rsidR="007B3AAF" w:rsidRPr="007B3AAF">
                <w:rPr>
                  <w:rStyle w:val="Hipercze"/>
                  <w:rFonts w:cstheme="minorBidi"/>
                  <w:sz w:val="18"/>
                  <w:szCs w:val="18"/>
                </w:rPr>
                <w:t>Przeciętne zatrudnienie</w:t>
              </w:r>
            </w:hyperlink>
          </w:p>
          <w:p w14:paraId="037A25FB" w14:textId="77777777" w:rsidR="007B3AAF" w:rsidRPr="007B3AAF" w:rsidRDefault="008A3F38" w:rsidP="007B3AAF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6" w:history="1">
              <w:r w:rsidR="007B3AAF" w:rsidRPr="007B3AAF">
                <w:rPr>
                  <w:rStyle w:val="Hipercze"/>
                  <w:rFonts w:cstheme="minorBidi"/>
                  <w:sz w:val="18"/>
                  <w:szCs w:val="18"/>
                </w:rPr>
                <w:t>Liczba osób pracujących</w:t>
              </w:r>
            </w:hyperlink>
          </w:p>
          <w:p w14:paraId="000FCBEE" w14:textId="77777777" w:rsidR="007B3AAF" w:rsidRPr="007B3AAF" w:rsidRDefault="008A3F38" w:rsidP="007B3AAF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7" w:history="1">
              <w:r w:rsidR="007B3AAF" w:rsidRPr="007B3AAF">
                <w:rPr>
                  <w:rStyle w:val="Hipercze"/>
                  <w:rFonts w:cstheme="minorBidi"/>
                  <w:sz w:val="18"/>
                  <w:szCs w:val="18"/>
                </w:rPr>
                <w:t>Wynagrodzenia ogółem</w:t>
              </w:r>
            </w:hyperlink>
            <w:r w:rsidR="007B3AAF" w:rsidRPr="007B3AAF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790F1058" w14:textId="77777777" w:rsidR="007B3AAF" w:rsidRPr="007B3AAF" w:rsidRDefault="008A3F38" w:rsidP="007B3AAF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8" w:history="1">
              <w:r w:rsidR="007B3AAF" w:rsidRPr="007B3AAF">
                <w:rPr>
                  <w:rStyle w:val="Hipercze"/>
                  <w:rFonts w:cstheme="minorBidi"/>
                  <w:sz w:val="18"/>
                  <w:szCs w:val="18"/>
                </w:rPr>
                <w:t>Wynagrodzenia brutto</w:t>
              </w:r>
            </w:hyperlink>
          </w:p>
          <w:p w14:paraId="51F30A96" w14:textId="77777777" w:rsidR="007B3AAF" w:rsidRPr="007B3AAF" w:rsidRDefault="008A3F38" w:rsidP="007B3AAF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29" w:history="1">
              <w:r w:rsidR="007B3AAF" w:rsidRPr="007B3AAF">
                <w:rPr>
                  <w:rStyle w:val="Hipercze"/>
                  <w:rFonts w:cstheme="minorBidi"/>
                  <w:sz w:val="18"/>
                  <w:szCs w:val="18"/>
                </w:rPr>
                <w:t>Wynagrodzenia osobowe</w:t>
              </w:r>
            </w:hyperlink>
            <w:r w:rsidR="007B3AAF" w:rsidRPr="007B3AAF">
              <w:rPr>
                <w:rStyle w:val="Hipercze"/>
                <w:rFonts w:cstheme="minorBidi"/>
                <w:sz w:val="18"/>
                <w:szCs w:val="18"/>
              </w:rPr>
              <w:t xml:space="preserve"> </w:t>
            </w:r>
          </w:p>
          <w:p w14:paraId="73EA0577" w14:textId="77777777" w:rsidR="007B3AAF" w:rsidRDefault="008A3F38" w:rsidP="007B3AAF">
            <w:pPr>
              <w:rPr>
                <w:rStyle w:val="Hipercze"/>
                <w:rFonts w:cstheme="minorBidi"/>
                <w:sz w:val="18"/>
                <w:szCs w:val="18"/>
              </w:rPr>
            </w:pPr>
            <w:hyperlink r:id="rId30" w:history="1">
              <w:r w:rsidR="007B3AAF" w:rsidRPr="007B3AAF">
                <w:rPr>
                  <w:rStyle w:val="Hipercze"/>
                  <w:rFonts w:cstheme="minorBidi"/>
                  <w:sz w:val="18"/>
                  <w:szCs w:val="18"/>
                </w:rPr>
                <w:t>Przeciętne wynagrodzenie godzinowe</w:t>
              </w:r>
            </w:hyperlink>
          </w:p>
          <w:p w14:paraId="53ACA7F0" w14:textId="77777777" w:rsidR="007B3AAF" w:rsidRDefault="007B3AAF" w:rsidP="00B06790">
            <w:pPr>
              <w:spacing w:after="600"/>
              <w:ind w:firstLine="680"/>
              <w:rPr>
                <w:noProof/>
                <w:sz w:val="20"/>
                <w:lang w:eastAsia="pl-PL"/>
              </w:rPr>
            </w:pPr>
          </w:p>
        </w:tc>
      </w:tr>
    </w:tbl>
    <w:p w14:paraId="574E7452" w14:textId="77777777" w:rsidR="000470AA" w:rsidRDefault="000470AA" w:rsidP="000470AA">
      <w:pPr>
        <w:rPr>
          <w:sz w:val="18"/>
        </w:rPr>
      </w:pPr>
    </w:p>
    <w:sectPr w:rsidR="000470AA" w:rsidSect="003B18B6">
      <w:headerReference w:type="default" r:id="rId31"/>
      <w:footerReference w:type="default" r:id="rId32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71AFCFA" w14:textId="77777777" w:rsidR="008A3F38" w:rsidRDefault="008A3F38" w:rsidP="000662E2">
      <w:pPr>
        <w:spacing w:after="0" w:line="240" w:lineRule="auto"/>
      </w:pPr>
      <w:r>
        <w:separator/>
      </w:r>
    </w:p>
  </w:endnote>
  <w:endnote w:type="continuationSeparator" w:id="0">
    <w:p w14:paraId="71BB1F6F" w14:textId="77777777" w:rsidR="008A3F38" w:rsidRDefault="008A3F38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23C20574-6FEC-418A-9052-D2858B6060EC}"/>
    <w:embedBold r:id="rId2" w:fontKey="{8BC48458-ED1D-4F8F-BBBB-AAB62C882B6E}"/>
    <w:embedItalic r:id="rId3" w:fontKey="{46A67CDF-2ABA-43D9-B028-2AD665CD0BEC}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4" w:fontKey="{994309D3-D222-453B-AC82-9DCACAC45CA0}"/>
    <w:embedBold r:id="rId5" w:fontKey="{E5371EBB-C7F2-4A0D-8543-23F68717E5CD}"/>
    <w:embedItalic r:id="rId6" w:fontKey="{0CCD38E1-7DC4-44E9-80C7-8D615E6C54D4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B37E9DF7-29F2-4F75-A25A-A197A61A3FA2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8" w:fontKey="{213EB4E1-2A17-40E3-ABFC-FF9B73401953}"/>
    <w:embedItalic r:id="rId9" w:fontKey="{0D539F01-BB0D-41D0-A7A4-072D3BD4EF33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0" w:fontKey="{AD62DC6E-091A-4D18-961C-30593E48C7B3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1" w:fontKey="{D52F04DE-A247-4FCE-B262-2E2EF9EB366C}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  <w:embedRegular r:id="rId12" w:fontKey="{B912859C-109F-437F-A044-88F16458CBF9}"/>
    <w:embedBold r:id="rId13" w:fontKey="{7C0CF758-96E0-4961-B33E-0E4E10E0E0B3}"/>
    <w:embedBoldItalic r:id="rId14" w:fontKey="{FA550588-D865-44C0-B133-21BDB0F9777E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Italic r:id="rId15" w:fontKey="{587E2255-4177-4204-884B-D7FAA7CBE5AD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46410854"/>
      <w:docPartObj>
        <w:docPartGallery w:val="Page Numbers (Bottom of Page)"/>
        <w:docPartUnique/>
      </w:docPartObj>
    </w:sdtPr>
    <w:sdtEndPr/>
    <w:sdtContent>
      <w:p w14:paraId="574E7487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8EF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14:paraId="574E748A" w14:textId="77777777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8E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74E748D" w14:textId="77777777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08EF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2B16AA" w14:textId="77777777" w:rsidR="008A3F38" w:rsidRDefault="008A3F38" w:rsidP="000662E2">
      <w:pPr>
        <w:spacing w:after="0" w:line="240" w:lineRule="auto"/>
      </w:pPr>
      <w:r>
        <w:separator/>
      </w:r>
    </w:p>
  </w:footnote>
  <w:footnote w:type="continuationSeparator" w:id="0">
    <w:p w14:paraId="42812F87" w14:textId="77777777" w:rsidR="008A3F38" w:rsidRDefault="008A3F38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5" w14:textId="77777777" w:rsidR="000662E2" w:rsidRDefault="003C6C8D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574E748E" wp14:editId="574E748F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F67C9AE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14:paraId="574E7486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E0D914" w14:textId="40E11808" w:rsidR="00BA628D" w:rsidRDefault="00F01082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12895964" wp14:editId="62A47184">
              <wp:simplePos x="0" y="0"/>
              <wp:positionH relativeFrom="column">
                <wp:posOffset>5029199</wp:posOffset>
              </wp:positionH>
              <wp:positionV relativeFrom="paragraph">
                <wp:posOffset>240646</wp:posOffset>
              </wp:positionV>
              <wp:extent cx="2113984" cy="357505"/>
              <wp:effectExtent l="0" t="0" r="635" b="4445"/>
              <wp:wrapNone/>
              <wp:docPr id="9" name="Schemat blokowy: opóźnienie 6" descr="Napis &quot;Informacja sygnalna&quot;" title="Nazwa serii wydawniczej 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113984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63CF252" w14:textId="77777777" w:rsidR="00F01082" w:rsidRPr="003C6C8D" w:rsidRDefault="00F01082" w:rsidP="00F01082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2895964" id="Schemat blokowy: opóźnienie 6" o:spid="_x0000_s1032" alt="Tytuł: Nazwa serii wydawniczej  — opis: Napis &quot;Informacja sygnalna&quot;" style="position:absolute;margin-left:396pt;margin-top:18.95pt;width:166.45pt;height:28.15pt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930535,0;2113984,178753;1930535,357505;0,357505;0,0" o:connectangles="0,0,0,0,0,0" textboxrect="0,0,3527018,612140"/>
              <v:textbox>
                <w:txbxContent>
                  <w:p w14:paraId="763CF252" w14:textId="77777777" w:rsidR="00F01082" w:rsidRPr="003C6C8D" w:rsidRDefault="00F01082" w:rsidP="00F01082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74E7492" wp14:editId="401F8BD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3FA912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 w:rsidR="007A5B24">
      <w:rPr>
        <w:noProof/>
        <w:lang w:eastAsia="pl-PL"/>
      </w:rPr>
      <w:drawing>
        <wp:inline distT="0" distB="0" distL="0" distR="0" wp14:anchorId="12AB795B" wp14:editId="544D94A3">
          <wp:extent cx="1636779" cy="521209"/>
          <wp:effectExtent l="0" t="0" r="1905" b="0"/>
          <wp:docPr id="1" name="Obraz 1" descr="Logo Urzędu Statystycznego w Szczecinie" title="Logo w nagłów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36779" cy="52120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74E7489" w14:textId="0BF4B334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574E7496" wp14:editId="5DF1A17E">
              <wp:simplePos x="0" y="0"/>
              <wp:positionH relativeFrom="column">
                <wp:posOffset>5286375</wp:posOffset>
              </wp:positionH>
              <wp:positionV relativeFrom="paragraph">
                <wp:posOffset>280893</wp:posOffset>
              </wp:positionV>
              <wp:extent cx="1432293" cy="336589"/>
              <wp:effectExtent l="0" t="0" r="0" b="6350"/>
              <wp:wrapNone/>
              <wp:docPr id="8" name="Pole tekstowe 2" descr="15 wrzesień 2022 rok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74E74B0" w14:textId="362223BC" w:rsidR="00F37172" w:rsidRPr="000A274D" w:rsidRDefault="006A51DC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</w:pPr>
                          <w:r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15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0</w:t>
                          </w:r>
                          <w:r w:rsidR="00CE2A85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9</w:t>
                          </w:r>
                          <w:r w:rsidR="00A810F9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.</w:t>
                          </w:r>
                          <w:r w:rsidR="00E85933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20</w:t>
                          </w:r>
                          <w:r w:rsidR="00947F74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496ACC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>2</w:t>
                          </w:r>
                          <w:r w:rsidR="00F37172" w:rsidRPr="000A274D">
                            <w:rPr>
                              <w:rFonts w:ascii="Fira Sans SemiBold" w:hAnsi="Fira Sans SemiBold"/>
                              <w:color w:val="001D77"/>
                              <w:sz w:val="20"/>
                            </w:rPr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74E7496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Tytuł: Data publikacji informacji sygnalnej — opis: 15 wrzesień 2022 rok" style="position:absolute;margin-left:416.25pt;margin-top:22.1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" filled="f" stroked="f">
              <v:textbox>
                <w:txbxContent>
                  <w:p w14:paraId="574E74B0" w14:textId="362223BC" w:rsidR="00F37172" w:rsidRPr="000A274D" w:rsidRDefault="006A51DC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  <w:sz w:val="20"/>
                      </w:rPr>
                    </w:pPr>
                    <w:r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15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0</w:t>
                    </w:r>
                    <w:r w:rsidR="00CE2A85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9</w:t>
                    </w:r>
                    <w:r w:rsidR="00A810F9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.</w:t>
                    </w:r>
                    <w:r w:rsidR="00E85933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20</w:t>
                    </w:r>
                    <w:r w:rsidR="00947F74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496ACC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>2</w:t>
                    </w:r>
                    <w:r w:rsidR="00F37172" w:rsidRPr="000A274D">
                      <w:rPr>
                        <w:rFonts w:ascii="Fira Sans SemiBold" w:hAnsi="Fira Sans SemiBold"/>
                        <w:color w:val="001D77"/>
                        <w:sz w:val="20"/>
                      </w:rPr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4E748B" w14:textId="77777777" w:rsidR="00607CC5" w:rsidRDefault="00607CC5">
    <w:pPr>
      <w:pStyle w:val="Nagwek"/>
    </w:pPr>
  </w:p>
  <w:p w14:paraId="574E748C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24.5pt;height:125.25pt;visibility:visible;mso-wrap-style:square" o:bullet="t">
        <v:imagedata r:id="rId1" o:title=""/>
      </v:shape>
    </w:pict>
  </w:numPicBullet>
  <w:numPicBullet w:numPicBulletId="1">
    <w:pict>
      <v:shape id="_x0000_i1034" type="#_x0000_t75" style="width:123.75pt;height:125.25pt;visibility:visible;mso-wrap-style:square" o:bullet="t">
        <v:imagedata r:id="rId2" o:title=""/>
      </v:shape>
    </w:pict>
  </w:numPicBullet>
  <w:numPicBullet w:numPicBulletId="2">
    <w:pict>
      <v:shape id="_x0000_i1035" type="#_x0000_t75" style="width:17.25pt;height:25.5pt;visibility:visible;mso-wrap-style:square" o:bullet="t">
        <v:imagedata r:id="rId3" o:title=""/>
      </v:shape>
    </w:pict>
  </w:numPicBullet>
  <w:numPicBullet w:numPicBulletId="3">
    <w:pict>
      <v:shape id="_x0000_i1036" type="#_x0000_t75" style="width:30pt;height:30pt;visibility:visible;mso-wrap-style:square" o:bullet="t">
        <v:imagedata r:id="rId4" o:title=""/>
      </v:shape>
    </w:pict>
  </w:numPicBullet>
  <w:numPicBullet w:numPicBulletId="4">
    <w:pict>
      <v:shape id="_x0000_i1037" type="#_x0000_t75" style="width:30pt;height:30pt;visibility:visible;mso-wrap-style:square" o:bullet="t">
        <v:imagedata r:id="rId5" o:title=""/>
      </v:shape>
    </w:pict>
  </w:numPicBullet>
  <w:numPicBullet w:numPicBulletId="5">
    <w:pict>
      <v:shape id="_x0000_i1038" type="#_x0000_t75" style="width:24.75pt;height:27.75pt;visibility:visible;mso-wrap-style:square" o:bullet="t">
        <v:imagedata r:id="rId6" o:title=""/>
      </v:shape>
    </w:pict>
  </w:numPicBullet>
  <w:numPicBullet w:numPicBulletId="6">
    <w:pict>
      <v:shape id="_x0000_i1039" type="#_x0000_t75" style="width:5.25pt;height:2.25pt;visibility:visible;mso-wrap-style:square" o:bullet="t">
        <v:imagedata r:id="rId7" o:title=""/>
      </v:shape>
    </w:pict>
  </w:numPicBullet>
  <w:abstractNum w:abstractNumId="0" w15:restartNumberingAfterBreak="0">
    <w:nsid w:val="0DBB007A"/>
    <w:multiLevelType w:val="hybridMultilevel"/>
    <w:tmpl w:val="CDB88A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26AC4166"/>
    <w:multiLevelType w:val="hybridMultilevel"/>
    <w:tmpl w:val="5490775A"/>
    <w:lvl w:ilvl="0" w:tplc="5562F234">
      <w:start w:val="1"/>
      <w:numFmt w:val="bullet"/>
      <w:lvlText w:val=""/>
      <w:lvlPicBulletId w:val="5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41AADC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188DFF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4F6D59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350123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BA318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958AFA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B2E0A5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83E6B2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6026568E"/>
    <w:multiLevelType w:val="hybridMultilevel"/>
    <w:tmpl w:val="85C2EBD4"/>
    <w:lvl w:ilvl="0" w:tplc="BED0A67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6D0A1A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900D6A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12866D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7C2F3C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324F2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BF5E033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4C0B4E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67C131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41E3"/>
    <w:rsid w:val="00004A89"/>
    <w:rsid w:val="0000659D"/>
    <w:rsid w:val="0000709F"/>
    <w:rsid w:val="000108B8"/>
    <w:rsid w:val="000127B1"/>
    <w:rsid w:val="000143A7"/>
    <w:rsid w:val="000152F5"/>
    <w:rsid w:val="00024A67"/>
    <w:rsid w:val="00025C19"/>
    <w:rsid w:val="0004582E"/>
    <w:rsid w:val="00045FB1"/>
    <w:rsid w:val="000470AA"/>
    <w:rsid w:val="0005000D"/>
    <w:rsid w:val="00057C45"/>
    <w:rsid w:val="00057CA1"/>
    <w:rsid w:val="00060556"/>
    <w:rsid w:val="000627DD"/>
    <w:rsid w:val="00062F7A"/>
    <w:rsid w:val="00064850"/>
    <w:rsid w:val="000662E2"/>
    <w:rsid w:val="00066883"/>
    <w:rsid w:val="00073BFC"/>
    <w:rsid w:val="00074DD8"/>
    <w:rsid w:val="0007622B"/>
    <w:rsid w:val="000806F7"/>
    <w:rsid w:val="0008265A"/>
    <w:rsid w:val="00082ED7"/>
    <w:rsid w:val="00083594"/>
    <w:rsid w:val="000859FD"/>
    <w:rsid w:val="0009298A"/>
    <w:rsid w:val="000955E8"/>
    <w:rsid w:val="000971E9"/>
    <w:rsid w:val="00097840"/>
    <w:rsid w:val="00097CD9"/>
    <w:rsid w:val="000A1870"/>
    <w:rsid w:val="000A1E7D"/>
    <w:rsid w:val="000A274D"/>
    <w:rsid w:val="000A4A9F"/>
    <w:rsid w:val="000A7055"/>
    <w:rsid w:val="000B0727"/>
    <w:rsid w:val="000B304B"/>
    <w:rsid w:val="000C135D"/>
    <w:rsid w:val="000C33E7"/>
    <w:rsid w:val="000C435B"/>
    <w:rsid w:val="000C5DAB"/>
    <w:rsid w:val="000C75E5"/>
    <w:rsid w:val="000D1D43"/>
    <w:rsid w:val="000D225C"/>
    <w:rsid w:val="000D2A5C"/>
    <w:rsid w:val="000D30A2"/>
    <w:rsid w:val="000D57AD"/>
    <w:rsid w:val="000D5A88"/>
    <w:rsid w:val="000E0918"/>
    <w:rsid w:val="000E0980"/>
    <w:rsid w:val="000E661C"/>
    <w:rsid w:val="000E74FD"/>
    <w:rsid w:val="000F1669"/>
    <w:rsid w:val="000F3608"/>
    <w:rsid w:val="000F4FC8"/>
    <w:rsid w:val="001011C3"/>
    <w:rsid w:val="001020C3"/>
    <w:rsid w:val="00103429"/>
    <w:rsid w:val="00110D87"/>
    <w:rsid w:val="00114DB9"/>
    <w:rsid w:val="00116087"/>
    <w:rsid w:val="00116C88"/>
    <w:rsid w:val="00117D30"/>
    <w:rsid w:val="00130296"/>
    <w:rsid w:val="001325A2"/>
    <w:rsid w:val="0013317A"/>
    <w:rsid w:val="0014005B"/>
    <w:rsid w:val="00141557"/>
    <w:rsid w:val="00141F48"/>
    <w:rsid w:val="001423B6"/>
    <w:rsid w:val="00142B09"/>
    <w:rsid w:val="001448A7"/>
    <w:rsid w:val="00144C03"/>
    <w:rsid w:val="00146621"/>
    <w:rsid w:val="00146854"/>
    <w:rsid w:val="00161230"/>
    <w:rsid w:val="00162325"/>
    <w:rsid w:val="001649BC"/>
    <w:rsid w:val="00165468"/>
    <w:rsid w:val="0016554C"/>
    <w:rsid w:val="00172D13"/>
    <w:rsid w:val="001734A5"/>
    <w:rsid w:val="001737FE"/>
    <w:rsid w:val="00177BDA"/>
    <w:rsid w:val="00180362"/>
    <w:rsid w:val="00180436"/>
    <w:rsid w:val="00183FE1"/>
    <w:rsid w:val="00186333"/>
    <w:rsid w:val="00190F3D"/>
    <w:rsid w:val="00193DF5"/>
    <w:rsid w:val="001951DA"/>
    <w:rsid w:val="001A00E0"/>
    <w:rsid w:val="001A6FFF"/>
    <w:rsid w:val="001B180B"/>
    <w:rsid w:val="001B4096"/>
    <w:rsid w:val="001C0800"/>
    <w:rsid w:val="001C3269"/>
    <w:rsid w:val="001C3AA5"/>
    <w:rsid w:val="001C5310"/>
    <w:rsid w:val="001C76C7"/>
    <w:rsid w:val="001D1DB4"/>
    <w:rsid w:val="001D25BF"/>
    <w:rsid w:val="001D2A2E"/>
    <w:rsid w:val="001D4FCA"/>
    <w:rsid w:val="001D59E4"/>
    <w:rsid w:val="001D59E8"/>
    <w:rsid w:val="001E2B93"/>
    <w:rsid w:val="001F1286"/>
    <w:rsid w:val="001F2BEA"/>
    <w:rsid w:val="001F7CD2"/>
    <w:rsid w:val="002016A6"/>
    <w:rsid w:val="002112F9"/>
    <w:rsid w:val="00211987"/>
    <w:rsid w:val="00212D35"/>
    <w:rsid w:val="0021484F"/>
    <w:rsid w:val="00214C4A"/>
    <w:rsid w:val="0021546C"/>
    <w:rsid w:val="00217608"/>
    <w:rsid w:val="00222F1C"/>
    <w:rsid w:val="002257F2"/>
    <w:rsid w:val="00225EBE"/>
    <w:rsid w:val="00227CE2"/>
    <w:rsid w:val="0024651A"/>
    <w:rsid w:val="00247428"/>
    <w:rsid w:val="002536A6"/>
    <w:rsid w:val="002574F9"/>
    <w:rsid w:val="00257872"/>
    <w:rsid w:val="00257FDE"/>
    <w:rsid w:val="00261C2D"/>
    <w:rsid w:val="00262B61"/>
    <w:rsid w:val="00271CC4"/>
    <w:rsid w:val="00271F36"/>
    <w:rsid w:val="002725D3"/>
    <w:rsid w:val="00276748"/>
    <w:rsid w:val="00276811"/>
    <w:rsid w:val="00282699"/>
    <w:rsid w:val="002864C3"/>
    <w:rsid w:val="00286DE4"/>
    <w:rsid w:val="0029000E"/>
    <w:rsid w:val="00291A20"/>
    <w:rsid w:val="002926DF"/>
    <w:rsid w:val="002930C6"/>
    <w:rsid w:val="0029515E"/>
    <w:rsid w:val="00296697"/>
    <w:rsid w:val="002A0968"/>
    <w:rsid w:val="002B0472"/>
    <w:rsid w:val="002B180F"/>
    <w:rsid w:val="002B4158"/>
    <w:rsid w:val="002B5700"/>
    <w:rsid w:val="002B578E"/>
    <w:rsid w:val="002B6B12"/>
    <w:rsid w:val="002C2DF6"/>
    <w:rsid w:val="002C3A22"/>
    <w:rsid w:val="002C6484"/>
    <w:rsid w:val="002D070F"/>
    <w:rsid w:val="002D20B6"/>
    <w:rsid w:val="002D41FA"/>
    <w:rsid w:val="002E1B9B"/>
    <w:rsid w:val="002E6140"/>
    <w:rsid w:val="002E6985"/>
    <w:rsid w:val="002E6ECE"/>
    <w:rsid w:val="002E71B6"/>
    <w:rsid w:val="002F153D"/>
    <w:rsid w:val="002F2C32"/>
    <w:rsid w:val="002F4BBA"/>
    <w:rsid w:val="002F5611"/>
    <w:rsid w:val="002F5D19"/>
    <w:rsid w:val="002F77C8"/>
    <w:rsid w:val="00304F22"/>
    <w:rsid w:val="00306C4C"/>
    <w:rsid w:val="00306C7C"/>
    <w:rsid w:val="00307A6F"/>
    <w:rsid w:val="0031264A"/>
    <w:rsid w:val="0031512D"/>
    <w:rsid w:val="00316161"/>
    <w:rsid w:val="00317101"/>
    <w:rsid w:val="00322EDD"/>
    <w:rsid w:val="00324C31"/>
    <w:rsid w:val="00326468"/>
    <w:rsid w:val="00332320"/>
    <w:rsid w:val="0033737A"/>
    <w:rsid w:val="00345BED"/>
    <w:rsid w:val="0034602E"/>
    <w:rsid w:val="00347D72"/>
    <w:rsid w:val="00357611"/>
    <w:rsid w:val="00367237"/>
    <w:rsid w:val="0037077F"/>
    <w:rsid w:val="00372411"/>
    <w:rsid w:val="00372702"/>
    <w:rsid w:val="00373882"/>
    <w:rsid w:val="00373E2C"/>
    <w:rsid w:val="00381717"/>
    <w:rsid w:val="0038293B"/>
    <w:rsid w:val="00382FCE"/>
    <w:rsid w:val="0038372C"/>
    <w:rsid w:val="003843DB"/>
    <w:rsid w:val="003849F8"/>
    <w:rsid w:val="00384B4E"/>
    <w:rsid w:val="00385E50"/>
    <w:rsid w:val="0039140B"/>
    <w:rsid w:val="00393761"/>
    <w:rsid w:val="0039528A"/>
    <w:rsid w:val="00397D18"/>
    <w:rsid w:val="003A1B36"/>
    <w:rsid w:val="003B1454"/>
    <w:rsid w:val="003B18B6"/>
    <w:rsid w:val="003B4CF3"/>
    <w:rsid w:val="003B6988"/>
    <w:rsid w:val="003B71C4"/>
    <w:rsid w:val="003C416E"/>
    <w:rsid w:val="003C59E0"/>
    <w:rsid w:val="003C5D62"/>
    <w:rsid w:val="003C6C8D"/>
    <w:rsid w:val="003D1CBA"/>
    <w:rsid w:val="003D403F"/>
    <w:rsid w:val="003D4F95"/>
    <w:rsid w:val="003D5D6B"/>
    <w:rsid w:val="003D5F42"/>
    <w:rsid w:val="003D60A9"/>
    <w:rsid w:val="003D705F"/>
    <w:rsid w:val="003D70A6"/>
    <w:rsid w:val="003F20AC"/>
    <w:rsid w:val="003F4C97"/>
    <w:rsid w:val="003F5E46"/>
    <w:rsid w:val="003F7FE6"/>
    <w:rsid w:val="00400193"/>
    <w:rsid w:val="00401BC9"/>
    <w:rsid w:val="0040257B"/>
    <w:rsid w:val="004054AB"/>
    <w:rsid w:val="00413216"/>
    <w:rsid w:val="004138D7"/>
    <w:rsid w:val="00413BEE"/>
    <w:rsid w:val="00414A2E"/>
    <w:rsid w:val="004212E7"/>
    <w:rsid w:val="0042446D"/>
    <w:rsid w:val="00424C6E"/>
    <w:rsid w:val="00427BF8"/>
    <w:rsid w:val="00431C02"/>
    <w:rsid w:val="00431DD6"/>
    <w:rsid w:val="00437395"/>
    <w:rsid w:val="00445047"/>
    <w:rsid w:val="004500D9"/>
    <w:rsid w:val="00451379"/>
    <w:rsid w:val="00452837"/>
    <w:rsid w:val="00463E39"/>
    <w:rsid w:val="00465400"/>
    <w:rsid w:val="004657FC"/>
    <w:rsid w:val="00467C67"/>
    <w:rsid w:val="00470BD5"/>
    <w:rsid w:val="004733F6"/>
    <w:rsid w:val="00474E69"/>
    <w:rsid w:val="00481659"/>
    <w:rsid w:val="00484F28"/>
    <w:rsid w:val="00486CE2"/>
    <w:rsid w:val="0049621B"/>
    <w:rsid w:val="00496ACC"/>
    <w:rsid w:val="004A2F57"/>
    <w:rsid w:val="004A7E15"/>
    <w:rsid w:val="004B338E"/>
    <w:rsid w:val="004C1895"/>
    <w:rsid w:val="004C1DAA"/>
    <w:rsid w:val="004C6D40"/>
    <w:rsid w:val="004C702B"/>
    <w:rsid w:val="004D48B4"/>
    <w:rsid w:val="004E00A3"/>
    <w:rsid w:val="004E4435"/>
    <w:rsid w:val="004E50C1"/>
    <w:rsid w:val="004E5A30"/>
    <w:rsid w:val="004F0C3C"/>
    <w:rsid w:val="004F63FC"/>
    <w:rsid w:val="004F7932"/>
    <w:rsid w:val="00505A92"/>
    <w:rsid w:val="0051658F"/>
    <w:rsid w:val="005203F1"/>
    <w:rsid w:val="00520CEC"/>
    <w:rsid w:val="00521BC3"/>
    <w:rsid w:val="00526BAC"/>
    <w:rsid w:val="0052757E"/>
    <w:rsid w:val="005306F8"/>
    <w:rsid w:val="00531F6F"/>
    <w:rsid w:val="0053298C"/>
    <w:rsid w:val="00533632"/>
    <w:rsid w:val="00537584"/>
    <w:rsid w:val="00541E6E"/>
    <w:rsid w:val="0054251F"/>
    <w:rsid w:val="0054297B"/>
    <w:rsid w:val="00544DF8"/>
    <w:rsid w:val="005454D2"/>
    <w:rsid w:val="0054647E"/>
    <w:rsid w:val="005520D8"/>
    <w:rsid w:val="0055247D"/>
    <w:rsid w:val="0055286E"/>
    <w:rsid w:val="00556CF1"/>
    <w:rsid w:val="00563731"/>
    <w:rsid w:val="00564C2C"/>
    <w:rsid w:val="005664D6"/>
    <w:rsid w:val="00570150"/>
    <w:rsid w:val="005756A8"/>
    <w:rsid w:val="005762A7"/>
    <w:rsid w:val="00580D86"/>
    <w:rsid w:val="005916D7"/>
    <w:rsid w:val="005938C7"/>
    <w:rsid w:val="0059537A"/>
    <w:rsid w:val="005A2ADD"/>
    <w:rsid w:val="005A563F"/>
    <w:rsid w:val="005A698C"/>
    <w:rsid w:val="005A7E54"/>
    <w:rsid w:val="005B732A"/>
    <w:rsid w:val="005B7CD6"/>
    <w:rsid w:val="005C178E"/>
    <w:rsid w:val="005D1C9D"/>
    <w:rsid w:val="005E0799"/>
    <w:rsid w:val="005E092A"/>
    <w:rsid w:val="005E2D95"/>
    <w:rsid w:val="005E32D2"/>
    <w:rsid w:val="005E6AF3"/>
    <w:rsid w:val="005F4FFD"/>
    <w:rsid w:val="005F5A80"/>
    <w:rsid w:val="006044FF"/>
    <w:rsid w:val="00607CC5"/>
    <w:rsid w:val="00611044"/>
    <w:rsid w:val="006208C6"/>
    <w:rsid w:val="00620BFE"/>
    <w:rsid w:val="00632C8B"/>
    <w:rsid w:val="00633014"/>
    <w:rsid w:val="0063437B"/>
    <w:rsid w:val="00635E24"/>
    <w:rsid w:val="00635E5C"/>
    <w:rsid w:val="00640A09"/>
    <w:rsid w:val="00644967"/>
    <w:rsid w:val="00650AA0"/>
    <w:rsid w:val="0066092E"/>
    <w:rsid w:val="006663ED"/>
    <w:rsid w:val="00666678"/>
    <w:rsid w:val="006673CA"/>
    <w:rsid w:val="00673C26"/>
    <w:rsid w:val="006759E3"/>
    <w:rsid w:val="006812AF"/>
    <w:rsid w:val="00681807"/>
    <w:rsid w:val="0068327D"/>
    <w:rsid w:val="0068357D"/>
    <w:rsid w:val="006845DA"/>
    <w:rsid w:val="00684AFF"/>
    <w:rsid w:val="00694AF0"/>
    <w:rsid w:val="00696989"/>
    <w:rsid w:val="006A4686"/>
    <w:rsid w:val="006A51DC"/>
    <w:rsid w:val="006A6BCB"/>
    <w:rsid w:val="006B0E9E"/>
    <w:rsid w:val="006B3F7A"/>
    <w:rsid w:val="006B5AE4"/>
    <w:rsid w:val="006B66C8"/>
    <w:rsid w:val="006C0012"/>
    <w:rsid w:val="006C39D8"/>
    <w:rsid w:val="006C3F39"/>
    <w:rsid w:val="006C4EF9"/>
    <w:rsid w:val="006D1507"/>
    <w:rsid w:val="006D22FF"/>
    <w:rsid w:val="006D3F00"/>
    <w:rsid w:val="006D4054"/>
    <w:rsid w:val="006D51B0"/>
    <w:rsid w:val="006E02EC"/>
    <w:rsid w:val="006E360B"/>
    <w:rsid w:val="006E5753"/>
    <w:rsid w:val="006E5ABC"/>
    <w:rsid w:val="006F1547"/>
    <w:rsid w:val="006F16E5"/>
    <w:rsid w:val="006F1AE2"/>
    <w:rsid w:val="00705650"/>
    <w:rsid w:val="007111BC"/>
    <w:rsid w:val="00711939"/>
    <w:rsid w:val="00714D83"/>
    <w:rsid w:val="00715642"/>
    <w:rsid w:val="007211B1"/>
    <w:rsid w:val="00721B96"/>
    <w:rsid w:val="00722F6F"/>
    <w:rsid w:val="00732214"/>
    <w:rsid w:val="00734D8D"/>
    <w:rsid w:val="00735357"/>
    <w:rsid w:val="00736D3C"/>
    <w:rsid w:val="0074083A"/>
    <w:rsid w:val="007436CF"/>
    <w:rsid w:val="00746187"/>
    <w:rsid w:val="0075331C"/>
    <w:rsid w:val="007550F4"/>
    <w:rsid w:val="00761689"/>
    <w:rsid w:val="0076254F"/>
    <w:rsid w:val="00765B57"/>
    <w:rsid w:val="00770756"/>
    <w:rsid w:val="0077176F"/>
    <w:rsid w:val="0077194B"/>
    <w:rsid w:val="007723B6"/>
    <w:rsid w:val="00776EEB"/>
    <w:rsid w:val="007801F5"/>
    <w:rsid w:val="00783A11"/>
    <w:rsid w:val="00783CA4"/>
    <w:rsid w:val="007842FB"/>
    <w:rsid w:val="00786124"/>
    <w:rsid w:val="00787188"/>
    <w:rsid w:val="0079514B"/>
    <w:rsid w:val="007A2DC1"/>
    <w:rsid w:val="007A2E92"/>
    <w:rsid w:val="007A36EB"/>
    <w:rsid w:val="007A4417"/>
    <w:rsid w:val="007A5B24"/>
    <w:rsid w:val="007B00FB"/>
    <w:rsid w:val="007B3AAF"/>
    <w:rsid w:val="007B631C"/>
    <w:rsid w:val="007C02FF"/>
    <w:rsid w:val="007D3319"/>
    <w:rsid w:val="007D335D"/>
    <w:rsid w:val="007D5DAC"/>
    <w:rsid w:val="007E17CD"/>
    <w:rsid w:val="007E3314"/>
    <w:rsid w:val="007E45A4"/>
    <w:rsid w:val="007E4683"/>
    <w:rsid w:val="007E4B03"/>
    <w:rsid w:val="007E5F43"/>
    <w:rsid w:val="007E6FFB"/>
    <w:rsid w:val="007F324B"/>
    <w:rsid w:val="007F7765"/>
    <w:rsid w:val="00802129"/>
    <w:rsid w:val="0080553C"/>
    <w:rsid w:val="00805AB3"/>
    <w:rsid w:val="00805B46"/>
    <w:rsid w:val="008069E1"/>
    <w:rsid w:val="00806F14"/>
    <w:rsid w:val="00815DC2"/>
    <w:rsid w:val="00815F0B"/>
    <w:rsid w:val="00816CF7"/>
    <w:rsid w:val="00820F70"/>
    <w:rsid w:val="00825DC2"/>
    <w:rsid w:val="00834AD3"/>
    <w:rsid w:val="00834F97"/>
    <w:rsid w:val="00841062"/>
    <w:rsid w:val="00843795"/>
    <w:rsid w:val="0084479D"/>
    <w:rsid w:val="00847F0F"/>
    <w:rsid w:val="00852433"/>
    <w:rsid w:val="00852448"/>
    <w:rsid w:val="0085768B"/>
    <w:rsid w:val="00857D68"/>
    <w:rsid w:val="008601F2"/>
    <w:rsid w:val="008608CC"/>
    <w:rsid w:val="00864504"/>
    <w:rsid w:val="00866503"/>
    <w:rsid w:val="00876ED7"/>
    <w:rsid w:val="0088258A"/>
    <w:rsid w:val="00886332"/>
    <w:rsid w:val="00890732"/>
    <w:rsid w:val="00895304"/>
    <w:rsid w:val="008960F3"/>
    <w:rsid w:val="008A26D9"/>
    <w:rsid w:val="008A376C"/>
    <w:rsid w:val="008A3F38"/>
    <w:rsid w:val="008B0957"/>
    <w:rsid w:val="008B3FB0"/>
    <w:rsid w:val="008C0505"/>
    <w:rsid w:val="008C0C29"/>
    <w:rsid w:val="008C46B8"/>
    <w:rsid w:val="008C62EB"/>
    <w:rsid w:val="008D1396"/>
    <w:rsid w:val="008D271E"/>
    <w:rsid w:val="008D3580"/>
    <w:rsid w:val="008D6574"/>
    <w:rsid w:val="008D7573"/>
    <w:rsid w:val="008E3AF4"/>
    <w:rsid w:val="008F3638"/>
    <w:rsid w:val="008F4441"/>
    <w:rsid w:val="008F6F31"/>
    <w:rsid w:val="008F74DF"/>
    <w:rsid w:val="00902ED6"/>
    <w:rsid w:val="0090486B"/>
    <w:rsid w:val="00907B07"/>
    <w:rsid w:val="009127BA"/>
    <w:rsid w:val="00912983"/>
    <w:rsid w:val="009148EE"/>
    <w:rsid w:val="00921884"/>
    <w:rsid w:val="009227A6"/>
    <w:rsid w:val="009233EE"/>
    <w:rsid w:val="009308EF"/>
    <w:rsid w:val="00933D1B"/>
    <w:rsid w:val="00933EC1"/>
    <w:rsid w:val="00934974"/>
    <w:rsid w:val="00947F74"/>
    <w:rsid w:val="009525B4"/>
    <w:rsid w:val="009530DB"/>
    <w:rsid w:val="00953676"/>
    <w:rsid w:val="00956958"/>
    <w:rsid w:val="00956F89"/>
    <w:rsid w:val="009705EE"/>
    <w:rsid w:val="009709E6"/>
    <w:rsid w:val="00977404"/>
    <w:rsid w:val="00977927"/>
    <w:rsid w:val="0098135C"/>
    <w:rsid w:val="0098156A"/>
    <w:rsid w:val="009823D6"/>
    <w:rsid w:val="009836C3"/>
    <w:rsid w:val="0098694C"/>
    <w:rsid w:val="00991BAC"/>
    <w:rsid w:val="00992D28"/>
    <w:rsid w:val="009A0CEB"/>
    <w:rsid w:val="009A6AFC"/>
    <w:rsid w:val="009A6EA0"/>
    <w:rsid w:val="009B0166"/>
    <w:rsid w:val="009C1335"/>
    <w:rsid w:val="009C1505"/>
    <w:rsid w:val="009C1AB2"/>
    <w:rsid w:val="009C1B64"/>
    <w:rsid w:val="009C7251"/>
    <w:rsid w:val="009C7762"/>
    <w:rsid w:val="009D695F"/>
    <w:rsid w:val="009E2E91"/>
    <w:rsid w:val="009E3C06"/>
    <w:rsid w:val="009E7E6B"/>
    <w:rsid w:val="009F1707"/>
    <w:rsid w:val="00A01CE7"/>
    <w:rsid w:val="00A05463"/>
    <w:rsid w:val="00A12FEB"/>
    <w:rsid w:val="00A139F5"/>
    <w:rsid w:val="00A25FBA"/>
    <w:rsid w:val="00A34385"/>
    <w:rsid w:val="00A365F4"/>
    <w:rsid w:val="00A428F7"/>
    <w:rsid w:val="00A42B00"/>
    <w:rsid w:val="00A47D80"/>
    <w:rsid w:val="00A47FF5"/>
    <w:rsid w:val="00A51052"/>
    <w:rsid w:val="00A53132"/>
    <w:rsid w:val="00A563F2"/>
    <w:rsid w:val="00A566E8"/>
    <w:rsid w:val="00A619B7"/>
    <w:rsid w:val="00A62BFB"/>
    <w:rsid w:val="00A65E2A"/>
    <w:rsid w:val="00A70261"/>
    <w:rsid w:val="00A71C73"/>
    <w:rsid w:val="00A723D0"/>
    <w:rsid w:val="00A743F1"/>
    <w:rsid w:val="00A810F9"/>
    <w:rsid w:val="00A861E7"/>
    <w:rsid w:val="00A86ECC"/>
    <w:rsid w:val="00A86FCC"/>
    <w:rsid w:val="00A90986"/>
    <w:rsid w:val="00AA710D"/>
    <w:rsid w:val="00AB0E4C"/>
    <w:rsid w:val="00AB6419"/>
    <w:rsid w:val="00AB6D25"/>
    <w:rsid w:val="00AB7424"/>
    <w:rsid w:val="00AD35EC"/>
    <w:rsid w:val="00AD56FF"/>
    <w:rsid w:val="00AE2D4B"/>
    <w:rsid w:val="00AE4F99"/>
    <w:rsid w:val="00AF44D3"/>
    <w:rsid w:val="00B006C7"/>
    <w:rsid w:val="00B00BF1"/>
    <w:rsid w:val="00B00F9A"/>
    <w:rsid w:val="00B02BA9"/>
    <w:rsid w:val="00B11B69"/>
    <w:rsid w:val="00B1372E"/>
    <w:rsid w:val="00B14952"/>
    <w:rsid w:val="00B179EF"/>
    <w:rsid w:val="00B23E97"/>
    <w:rsid w:val="00B31E5A"/>
    <w:rsid w:val="00B3684B"/>
    <w:rsid w:val="00B400F6"/>
    <w:rsid w:val="00B41910"/>
    <w:rsid w:val="00B42A71"/>
    <w:rsid w:val="00B47E0C"/>
    <w:rsid w:val="00B542BD"/>
    <w:rsid w:val="00B653AB"/>
    <w:rsid w:val="00B65F9E"/>
    <w:rsid w:val="00B66B19"/>
    <w:rsid w:val="00B67C6B"/>
    <w:rsid w:val="00B70524"/>
    <w:rsid w:val="00B724C1"/>
    <w:rsid w:val="00B73D96"/>
    <w:rsid w:val="00B8217B"/>
    <w:rsid w:val="00B84766"/>
    <w:rsid w:val="00B851D7"/>
    <w:rsid w:val="00B860B5"/>
    <w:rsid w:val="00B86BFE"/>
    <w:rsid w:val="00B914E9"/>
    <w:rsid w:val="00B956EE"/>
    <w:rsid w:val="00BA0320"/>
    <w:rsid w:val="00BA2BA1"/>
    <w:rsid w:val="00BA3562"/>
    <w:rsid w:val="00BA53FC"/>
    <w:rsid w:val="00BA628D"/>
    <w:rsid w:val="00BB0724"/>
    <w:rsid w:val="00BB3C2E"/>
    <w:rsid w:val="00BB3DAB"/>
    <w:rsid w:val="00BB4F09"/>
    <w:rsid w:val="00BB6289"/>
    <w:rsid w:val="00BC294E"/>
    <w:rsid w:val="00BD0300"/>
    <w:rsid w:val="00BD3E9B"/>
    <w:rsid w:val="00BD4E33"/>
    <w:rsid w:val="00BE07B5"/>
    <w:rsid w:val="00BE7C41"/>
    <w:rsid w:val="00BF327D"/>
    <w:rsid w:val="00C030DE"/>
    <w:rsid w:val="00C041FF"/>
    <w:rsid w:val="00C14997"/>
    <w:rsid w:val="00C216DD"/>
    <w:rsid w:val="00C22105"/>
    <w:rsid w:val="00C244B6"/>
    <w:rsid w:val="00C245C5"/>
    <w:rsid w:val="00C267C1"/>
    <w:rsid w:val="00C27FA0"/>
    <w:rsid w:val="00C30CC1"/>
    <w:rsid w:val="00C3702F"/>
    <w:rsid w:val="00C438DF"/>
    <w:rsid w:val="00C4500A"/>
    <w:rsid w:val="00C471CA"/>
    <w:rsid w:val="00C5273E"/>
    <w:rsid w:val="00C57FD7"/>
    <w:rsid w:val="00C6200C"/>
    <w:rsid w:val="00C62B3A"/>
    <w:rsid w:val="00C64A37"/>
    <w:rsid w:val="00C7158E"/>
    <w:rsid w:val="00C7250B"/>
    <w:rsid w:val="00C7346B"/>
    <w:rsid w:val="00C745BE"/>
    <w:rsid w:val="00C76EB6"/>
    <w:rsid w:val="00C77C0E"/>
    <w:rsid w:val="00C81C35"/>
    <w:rsid w:val="00C831BB"/>
    <w:rsid w:val="00C83B5C"/>
    <w:rsid w:val="00C87FA4"/>
    <w:rsid w:val="00C90932"/>
    <w:rsid w:val="00C91687"/>
    <w:rsid w:val="00C9218F"/>
    <w:rsid w:val="00C924A8"/>
    <w:rsid w:val="00C92622"/>
    <w:rsid w:val="00C945FE"/>
    <w:rsid w:val="00C96FAA"/>
    <w:rsid w:val="00C976DA"/>
    <w:rsid w:val="00C97A04"/>
    <w:rsid w:val="00CA107B"/>
    <w:rsid w:val="00CA484D"/>
    <w:rsid w:val="00CA4FB6"/>
    <w:rsid w:val="00CB28A5"/>
    <w:rsid w:val="00CB43BA"/>
    <w:rsid w:val="00CB6693"/>
    <w:rsid w:val="00CC739E"/>
    <w:rsid w:val="00CD58B7"/>
    <w:rsid w:val="00CE07EB"/>
    <w:rsid w:val="00CE2A85"/>
    <w:rsid w:val="00CE47B3"/>
    <w:rsid w:val="00CF204B"/>
    <w:rsid w:val="00CF4099"/>
    <w:rsid w:val="00CF451E"/>
    <w:rsid w:val="00CF5076"/>
    <w:rsid w:val="00CF5786"/>
    <w:rsid w:val="00D00768"/>
    <w:rsid w:val="00D00796"/>
    <w:rsid w:val="00D07422"/>
    <w:rsid w:val="00D12D6F"/>
    <w:rsid w:val="00D20A74"/>
    <w:rsid w:val="00D261A2"/>
    <w:rsid w:val="00D371DD"/>
    <w:rsid w:val="00D41A0F"/>
    <w:rsid w:val="00D44544"/>
    <w:rsid w:val="00D456B3"/>
    <w:rsid w:val="00D45A46"/>
    <w:rsid w:val="00D52610"/>
    <w:rsid w:val="00D616D2"/>
    <w:rsid w:val="00D6179B"/>
    <w:rsid w:val="00D623DA"/>
    <w:rsid w:val="00D63B5F"/>
    <w:rsid w:val="00D65331"/>
    <w:rsid w:val="00D7094A"/>
    <w:rsid w:val="00D70EF7"/>
    <w:rsid w:val="00D722D6"/>
    <w:rsid w:val="00D73772"/>
    <w:rsid w:val="00D76007"/>
    <w:rsid w:val="00D810AD"/>
    <w:rsid w:val="00D81CEC"/>
    <w:rsid w:val="00D8397C"/>
    <w:rsid w:val="00D8438B"/>
    <w:rsid w:val="00D86107"/>
    <w:rsid w:val="00D86662"/>
    <w:rsid w:val="00D94EED"/>
    <w:rsid w:val="00D96026"/>
    <w:rsid w:val="00D96461"/>
    <w:rsid w:val="00D97D85"/>
    <w:rsid w:val="00DA7C1C"/>
    <w:rsid w:val="00DB147A"/>
    <w:rsid w:val="00DB1B7A"/>
    <w:rsid w:val="00DB3C5D"/>
    <w:rsid w:val="00DC43A7"/>
    <w:rsid w:val="00DC6708"/>
    <w:rsid w:val="00DD3B3E"/>
    <w:rsid w:val="00DF458D"/>
    <w:rsid w:val="00DF4827"/>
    <w:rsid w:val="00DF4BF9"/>
    <w:rsid w:val="00DF6377"/>
    <w:rsid w:val="00E01436"/>
    <w:rsid w:val="00E0214A"/>
    <w:rsid w:val="00E045BD"/>
    <w:rsid w:val="00E05A3F"/>
    <w:rsid w:val="00E17B77"/>
    <w:rsid w:val="00E214C6"/>
    <w:rsid w:val="00E23337"/>
    <w:rsid w:val="00E259EA"/>
    <w:rsid w:val="00E32061"/>
    <w:rsid w:val="00E42E15"/>
    <w:rsid w:val="00E42FF9"/>
    <w:rsid w:val="00E4714C"/>
    <w:rsid w:val="00E51AEB"/>
    <w:rsid w:val="00E522A7"/>
    <w:rsid w:val="00E54452"/>
    <w:rsid w:val="00E57449"/>
    <w:rsid w:val="00E60EB7"/>
    <w:rsid w:val="00E63540"/>
    <w:rsid w:val="00E65F96"/>
    <w:rsid w:val="00E664C5"/>
    <w:rsid w:val="00E671A2"/>
    <w:rsid w:val="00E700DA"/>
    <w:rsid w:val="00E76D26"/>
    <w:rsid w:val="00E845BC"/>
    <w:rsid w:val="00E85933"/>
    <w:rsid w:val="00E85FAB"/>
    <w:rsid w:val="00E92085"/>
    <w:rsid w:val="00EA056B"/>
    <w:rsid w:val="00EA225E"/>
    <w:rsid w:val="00EA386A"/>
    <w:rsid w:val="00EB1390"/>
    <w:rsid w:val="00EB2C71"/>
    <w:rsid w:val="00EB4340"/>
    <w:rsid w:val="00EB556D"/>
    <w:rsid w:val="00EB5A7D"/>
    <w:rsid w:val="00EB67D4"/>
    <w:rsid w:val="00EB7C38"/>
    <w:rsid w:val="00EB7C3D"/>
    <w:rsid w:val="00EB7EBB"/>
    <w:rsid w:val="00EC1B38"/>
    <w:rsid w:val="00EC77FA"/>
    <w:rsid w:val="00EC7FEB"/>
    <w:rsid w:val="00ED2811"/>
    <w:rsid w:val="00ED55C0"/>
    <w:rsid w:val="00ED682B"/>
    <w:rsid w:val="00EE3E66"/>
    <w:rsid w:val="00EE41D5"/>
    <w:rsid w:val="00EE4EE1"/>
    <w:rsid w:val="00EE5666"/>
    <w:rsid w:val="00EE7CD9"/>
    <w:rsid w:val="00EE7E2D"/>
    <w:rsid w:val="00EF3710"/>
    <w:rsid w:val="00EF3D5E"/>
    <w:rsid w:val="00EF6C0E"/>
    <w:rsid w:val="00F01082"/>
    <w:rsid w:val="00F037A4"/>
    <w:rsid w:val="00F23A88"/>
    <w:rsid w:val="00F27C8F"/>
    <w:rsid w:val="00F31D56"/>
    <w:rsid w:val="00F32749"/>
    <w:rsid w:val="00F335E1"/>
    <w:rsid w:val="00F35B54"/>
    <w:rsid w:val="00F37172"/>
    <w:rsid w:val="00F37BC9"/>
    <w:rsid w:val="00F42207"/>
    <w:rsid w:val="00F43390"/>
    <w:rsid w:val="00F4477E"/>
    <w:rsid w:val="00F5179F"/>
    <w:rsid w:val="00F542E7"/>
    <w:rsid w:val="00F54C6C"/>
    <w:rsid w:val="00F64E70"/>
    <w:rsid w:val="00F652C3"/>
    <w:rsid w:val="00F67A05"/>
    <w:rsid w:val="00F67D8F"/>
    <w:rsid w:val="00F72B4B"/>
    <w:rsid w:val="00F73BD9"/>
    <w:rsid w:val="00F802BE"/>
    <w:rsid w:val="00F80E93"/>
    <w:rsid w:val="00F83C8D"/>
    <w:rsid w:val="00F86024"/>
    <w:rsid w:val="00F8611A"/>
    <w:rsid w:val="00F8656C"/>
    <w:rsid w:val="00F90020"/>
    <w:rsid w:val="00F901A5"/>
    <w:rsid w:val="00F95695"/>
    <w:rsid w:val="00FA44EF"/>
    <w:rsid w:val="00FA5128"/>
    <w:rsid w:val="00FA69B2"/>
    <w:rsid w:val="00FB08D3"/>
    <w:rsid w:val="00FB0988"/>
    <w:rsid w:val="00FB42D4"/>
    <w:rsid w:val="00FB5906"/>
    <w:rsid w:val="00FB6DF3"/>
    <w:rsid w:val="00FB762F"/>
    <w:rsid w:val="00FC2AED"/>
    <w:rsid w:val="00FC4766"/>
    <w:rsid w:val="00FC73F6"/>
    <w:rsid w:val="00FD16DB"/>
    <w:rsid w:val="00FD5EA7"/>
    <w:rsid w:val="00FD7924"/>
    <w:rsid w:val="00FE0AFC"/>
    <w:rsid w:val="00FE136C"/>
    <w:rsid w:val="00FE1485"/>
    <w:rsid w:val="00FF1317"/>
    <w:rsid w:val="00FF6479"/>
    <w:rsid w:val="00FF7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4E73CE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1264A"/>
    <w:pPr>
      <w:spacing w:before="120" w:after="120" w:line="288" w:lineRule="auto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31264A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31264A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AD35EC"/>
    <w:pPr>
      <w:spacing w:before="360" w:line="240" w:lineRule="exact"/>
    </w:pPr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D6179B"/>
    <w:pPr>
      <w:spacing w:before="0"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05A3F"/>
    <w:pPr>
      <w:spacing w:before="360" w:line="240" w:lineRule="auto"/>
    </w:pPr>
    <w:rPr>
      <w:b/>
      <w:color w:val="000000" w:themeColor="text1"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paragraph" w:customStyle="1" w:styleId="Podstawowyakapitowy">
    <w:name w:val="[Podstawowy akapitowy]"/>
    <w:basedOn w:val="Normalny"/>
    <w:uiPriority w:val="99"/>
    <w:rsid w:val="008A376C"/>
    <w:pPr>
      <w:widowControl w:val="0"/>
      <w:autoSpaceDE w:val="0"/>
      <w:autoSpaceDN w:val="0"/>
      <w:adjustRightInd w:val="0"/>
      <w:spacing w:before="0" w:after="0" w:line="200" w:lineRule="atLeast"/>
      <w:textAlignment w:val="center"/>
    </w:pPr>
    <w:rPr>
      <w:rFonts w:ascii="Calibri" w:eastAsiaTheme="minorEastAsia" w:hAnsi="Calibri" w:cs="Calibri"/>
      <w:color w:val="000000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72B4B"/>
    <w:rPr>
      <w:color w:val="954F72" w:themeColor="followedHyperlink"/>
      <w:u w:val="single"/>
    </w:rPr>
  </w:style>
  <w:style w:type="paragraph" w:customStyle="1" w:styleId="podtytultablicy">
    <w:name w:val="podtytul_tablicy"/>
    <w:basedOn w:val="Normalny"/>
    <w:uiPriority w:val="99"/>
    <w:rsid w:val="00EC1B38"/>
    <w:pPr>
      <w:widowControl w:val="0"/>
      <w:autoSpaceDE w:val="0"/>
      <w:autoSpaceDN w:val="0"/>
      <w:adjustRightInd w:val="0"/>
      <w:spacing w:before="0" w:after="0" w:line="200" w:lineRule="atLeast"/>
      <w:ind w:left="1587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paragraph" w:customStyle="1" w:styleId="podtytwykresubezrobocie">
    <w:name w:val="podtyt_wykresu (bezrobocie)"/>
    <w:basedOn w:val="Normalny"/>
    <w:uiPriority w:val="99"/>
    <w:rsid w:val="00EC1B38"/>
    <w:pPr>
      <w:widowControl w:val="0"/>
      <w:suppressAutoHyphens/>
      <w:autoSpaceDE w:val="0"/>
      <w:autoSpaceDN w:val="0"/>
      <w:adjustRightInd w:val="0"/>
      <w:spacing w:before="113" w:after="0" w:line="120" w:lineRule="atLeast"/>
      <w:ind w:left="1587"/>
      <w:jc w:val="both"/>
      <w:textAlignment w:val="center"/>
    </w:pPr>
    <w:rPr>
      <w:rFonts w:ascii="Calibri" w:eastAsiaTheme="minorEastAsia" w:hAnsi="Calibri" w:cs="Calibri"/>
      <w:color w:val="509FFF"/>
      <w:sz w:val="20"/>
      <w:szCs w:val="20"/>
      <w:lang w:eastAsia="pl-PL"/>
    </w:rPr>
  </w:style>
  <w:style w:type="table" w:customStyle="1" w:styleId="Siatkatabelijasna1">
    <w:name w:val="Siatka tabeli — jasna1"/>
    <w:basedOn w:val="Standardowy"/>
    <w:uiPriority w:val="40"/>
    <w:rsid w:val="001B409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czekkwartalbezrobocie">
    <w:name w:val="boczek_kwartal (bezrobocie)"/>
    <w:basedOn w:val="Normalny"/>
    <w:uiPriority w:val="99"/>
    <w:rsid w:val="001B4096"/>
    <w:pPr>
      <w:widowControl w:val="0"/>
      <w:tabs>
        <w:tab w:val="left" w:leader="dot" w:pos="3686"/>
      </w:tabs>
      <w:autoSpaceDE w:val="0"/>
      <w:autoSpaceDN w:val="0"/>
      <w:adjustRightInd w:val="0"/>
      <w:spacing w:before="60" w:after="0" w:line="200" w:lineRule="atLeast"/>
      <w:ind w:left="57"/>
      <w:textAlignment w:val="center"/>
    </w:pPr>
    <w:rPr>
      <w:rFonts w:ascii="Calibri" w:eastAsiaTheme="minorEastAsia" w:hAnsi="Calibri" w:cs="Calibri"/>
      <w:color w:val="000000"/>
      <w:sz w:val="22"/>
      <w:lang w:val="en-GB" w:eastAsia="pl-PL"/>
    </w:rPr>
  </w:style>
  <w:style w:type="paragraph" w:customStyle="1" w:styleId="Brakstyluakapitowego">
    <w:name w:val="[Brak stylu akapitowego]"/>
    <w:rsid w:val="001B4096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Times New Roman" w:eastAsiaTheme="minorEastAsia" w:hAnsi="Times New Roman" w:cs="Times New Roman"/>
      <w:color w:val="000000"/>
      <w:sz w:val="24"/>
      <w:szCs w:val="24"/>
      <w:lang w:val="en-GB" w:eastAsia="pl-PL"/>
    </w:rPr>
  </w:style>
  <w:style w:type="paragraph" w:customStyle="1" w:styleId="akapitdzialybold">
    <w:name w:val="akapit (dzialy_bold)"/>
    <w:basedOn w:val="Normalny"/>
    <w:uiPriority w:val="99"/>
    <w:rsid w:val="00B86BFE"/>
    <w:pPr>
      <w:widowControl w:val="0"/>
      <w:autoSpaceDE w:val="0"/>
      <w:autoSpaceDN w:val="0"/>
      <w:adjustRightInd w:val="0"/>
      <w:spacing w:before="170" w:after="0" w:line="290" w:lineRule="atLeast"/>
      <w:ind w:firstLine="510"/>
      <w:jc w:val="both"/>
      <w:textAlignment w:val="center"/>
    </w:pPr>
    <w:rPr>
      <w:rFonts w:ascii="Calibri" w:eastAsiaTheme="minorEastAsia" w:hAnsi="Calibri" w:cs="Calibri"/>
      <w:color w:val="000000"/>
      <w:sz w:val="22"/>
      <w:lang w:eastAsia="pl-PL"/>
    </w:rPr>
  </w:style>
  <w:style w:type="paragraph" w:customStyle="1" w:styleId="tytultablicy">
    <w:name w:val="tytul_tablicy"/>
    <w:basedOn w:val="Normalny"/>
    <w:uiPriority w:val="99"/>
    <w:rsid w:val="00B86BFE"/>
    <w:pPr>
      <w:widowControl w:val="0"/>
      <w:suppressAutoHyphens/>
      <w:autoSpaceDE w:val="0"/>
      <w:autoSpaceDN w:val="0"/>
      <w:adjustRightInd w:val="0"/>
      <w:spacing w:before="113" w:after="0" w:line="260" w:lineRule="atLeast"/>
      <w:ind w:left="170" w:hanging="170"/>
      <w:jc w:val="both"/>
      <w:textAlignment w:val="center"/>
    </w:pPr>
    <w:rPr>
      <w:rFonts w:ascii="Calibri" w:eastAsiaTheme="minorEastAsia" w:hAnsi="Calibri" w:cs="Calibri"/>
      <w:b/>
      <w:bCs/>
      <w:color w:val="000000"/>
      <w:sz w:val="20"/>
      <w:szCs w:val="20"/>
      <w:lang w:eastAsia="pl-PL"/>
    </w:rPr>
  </w:style>
  <w:style w:type="character" w:customStyle="1" w:styleId="tekstowoZnak">
    <w:name w:val="tekstowo Znak"/>
    <w:uiPriority w:val="99"/>
    <w:rsid w:val="00B86BFE"/>
    <w:rPr>
      <w:rFonts w:ascii="Arial" w:hAnsi="Arial"/>
      <w:w w:val="100"/>
      <w:lang w:val="pl-PL" w:eastAsia="x-none"/>
    </w:rPr>
  </w:style>
  <w:style w:type="paragraph" w:customStyle="1" w:styleId="akapit1stronadzialybold">
    <w:name w:val="akapit_1_strona (dzialy_bold)"/>
    <w:basedOn w:val="akapitdzialybold"/>
    <w:uiPriority w:val="99"/>
    <w:rsid w:val="00B86BFE"/>
    <w:pPr>
      <w:spacing w:before="397"/>
    </w:pPr>
    <w:rPr>
      <w:b/>
      <w:bCs/>
      <w:i/>
      <w:iCs/>
    </w:rPr>
  </w:style>
  <w:style w:type="paragraph" w:customStyle="1" w:styleId="akapit">
    <w:name w:val="akapit"/>
    <w:basedOn w:val="Podstawowyakapitowy"/>
    <w:uiPriority w:val="99"/>
    <w:rsid w:val="00FB0988"/>
    <w:pPr>
      <w:spacing w:before="113" w:line="288" w:lineRule="auto"/>
      <w:ind w:firstLine="283"/>
      <w:jc w:val="both"/>
    </w:pPr>
    <w:rPr>
      <w:sz w:val="22"/>
      <w:szCs w:val="22"/>
    </w:rPr>
  </w:style>
  <w:style w:type="paragraph" w:customStyle="1" w:styleId="tekstciagly">
    <w:name w:val="tekst ciagly"/>
    <w:qFormat/>
    <w:rsid w:val="00992D28"/>
    <w:pPr>
      <w:spacing w:before="120" w:after="120" w:line="240" w:lineRule="atLeast"/>
    </w:pPr>
    <w:rPr>
      <w:rFonts w:ascii="Fira Sans" w:hAnsi="Fira Sans"/>
      <w:noProof/>
      <w:sz w:val="19"/>
      <w:szCs w:val="32"/>
      <w:lang w:eastAsia="pl-PL"/>
    </w:rPr>
  </w:style>
  <w:style w:type="character" w:customStyle="1" w:styleId="nap12">
    <w:name w:val="nap12"/>
    <w:basedOn w:val="Domylnaczcionkaakapitu"/>
    <w:rsid w:val="00CF5076"/>
  </w:style>
  <w:style w:type="paragraph" w:customStyle="1" w:styleId="UwagiOpisowka">
    <w:name w:val="Uwagi (Opisowka)"/>
    <w:basedOn w:val="Brakstyluakapitowego"/>
    <w:next w:val="Brakstyluakapitowego"/>
    <w:uiPriority w:val="99"/>
    <w:rsid w:val="00CE2A85"/>
    <w:pPr>
      <w:suppressAutoHyphens/>
      <w:spacing w:before="227"/>
      <w:ind w:firstLine="283"/>
      <w:jc w:val="both"/>
    </w:pPr>
    <w:rPr>
      <w:rFonts w:ascii="Calibri" w:hAnsi="Calibri" w:cs="Calibri"/>
      <w:sz w:val="22"/>
      <w:szCs w:val="22"/>
      <w:lang w:val="pl-PL"/>
    </w:rPr>
  </w:style>
  <w:style w:type="character" w:customStyle="1" w:styleId="indeksnotka">
    <w:name w:val="indeks__notka"/>
    <w:uiPriority w:val="99"/>
    <w:rsid w:val="00CE2A85"/>
    <w:rPr>
      <w:rFonts w:ascii="Cambria" w:hAnsi="Cambria" w:cs="Cambria"/>
      <w:i/>
      <w:iCs/>
      <w:vertAlign w:val="superscript"/>
    </w:rPr>
  </w:style>
  <w:style w:type="paragraph" w:customStyle="1" w:styleId="NotkaOpisowka">
    <w:name w:val="Notka (Opisowka)"/>
    <w:basedOn w:val="Brakstyluakapitowego"/>
    <w:next w:val="Brakstyluakapitowego"/>
    <w:uiPriority w:val="99"/>
    <w:rsid w:val="002D41FA"/>
    <w:pPr>
      <w:suppressAutoHyphens/>
      <w:spacing w:after="200"/>
      <w:jc w:val="both"/>
    </w:pPr>
    <w:rPr>
      <w:rFonts w:ascii="Calibri" w:hAnsi="Calibri" w:cs="Calibri"/>
      <w:sz w:val="18"/>
      <w:szCs w:val="18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761689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0F3608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customStyle="1" w:styleId="Wartowskanika">
    <w:name w:val="Wartość wskaźnika"/>
    <w:basedOn w:val="Normalny"/>
    <w:link w:val="WartowskanikaZnak"/>
    <w:qFormat/>
    <w:rsid w:val="002F4BBA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WartowskanikaZnak">
    <w:name w:val="Wartość wskaźnika Znak"/>
    <w:basedOn w:val="Domylnaczcionkaakapitu"/>
    <w:link w:val="Wartowskanika"/>
    <w:rsid w:val="002F4BBA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Ikonawskanika">
    <w:name w:val="Ikona wskaźnika"/>
    <w:basedOn w:val="Normalny"/>
    <w:link w:val="IkonawskanikaZnak"/>
    <w:qFormat/>
    <w:rsid w:val="000A274D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IkonawskanikaZnak">
    <w:name w:val="Ikona wskaźnika Znak"/>
    <w:basedOn w:val="Domylnaczcionkaakapitu"/>
    <w:link w:val="Ikonawskanika"/>
    <w:rsid w:val="000A274D"/>
    <w:rPr>
      <w:rFonts w:ascii="Fira Sans SemiBold" w:hAnsi="Fira Sans SemiBold"/>
      <w:color w:val="66AFDE"/>
      <w:sz w:val="60"/>
      <w:szCs w:val="6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36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01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9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57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7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83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png"/><Relationship Id="rId18" Type="http://schemas.openxmlformats.org/officeDocument/2006/relationships/image" Target="media/image12.png"/><Relationship Id="rId26" Type="http://schemas.openxmlformats.org/officeDocument/2006/relationships/hyperlink" Target="https://stat.gov.pl/metainformacje/slownik-pojec/pojecia-stosowane-w-statystyce-publicznej/3472,pojecie.htm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stat.gov.pl/obszary-tematyczne/roczniki-statystyczne/roczniki-statystyczne/rocznik-statystyczny-pracy-2021,7,7.html" TargetMode="External"/><Relationship Id="rId34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image" Target="media/image9.png"/><Relationship Id="rId17" Type="http://schemas.openxmlformats.org/officeDocument/2006/relationships/footer" Target="footer2.xml"/><Relationship Id="rId25" Type="http://schemas.openxmlformats.org/officeDocument/2006/relationships/hyperlink" Target="https://stat.gov.pl/metainformacje/slownik-pojec/pojecia-stosowane-w-statystyce-publicznej/376,pojecie.html" TargetMode="External"/><Relationship Id="rId33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image" Target="media/image14.png"/><Relationship Id="rId29" Type="http://schemas.openxmlformats.org/officeDocument/2006/relationships/hyperlink" Target="https://stat.gov.pl/metainformacje/slownik-pojec/pojecia-stosowane-w-statystyce-publicznej/608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8.png"/><Relationship Id="rId24" Type="http://schemas.openxmlformats.org/officeDocument/2006/relationships/hyperlink" Target="http://stat.gov.pl/obszary-tematyczne/rynek-pracy/zasady-metodyczne-rocznik-pracy/zasady-metodyczne-statystyki-rynku-pracy-i-wynagrodzen,1,1.html" TargetMode="External"/><Relationship Id="rId32" Type="http://schemas.openxmlformats.org/officeDocument/2006/relationships/footer" Target="footer3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hyperlink" Target="https://szczecin.stat.gov.pl/opracowania-biezace/opracowania-sygnalne/praca-wynagrodzenie/bezrobocie-rejestrowane-w-wojewodztwie-zachodniopomorskim-w-2020-r-informacja-sygnalna,3,13.html" TargetMode="External"/><Relationship Id="rId28" Type="http://schemas.openxmlformats.org/officeDocument/2006/relationships/hyperlink" Target="https://stat.gov.pl/metainformacje/slownik-pojec/pojecia-stosowane-w-statystyce-publicznej/3390,pojecie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13.png"/><Relationship Id="rId31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Relationship Id="rId22" Type="http://schemas.openxmlformats.org/officeDocument/2006/relationships/hyperlink" Target="https://szczecin.stat.gov.pl/opracowania-biezace/opracowania-sygnalne/praca-wynagrodzenie/zatrudnienie-i-wynagrodzenia-w-wojewodztwie-zachodniopomorskim-w-2019-r-informacja-sygnalna,4,2.html" TargetMode="External"/><Relationship Id="rId27" Type="http://schemas.openxmlformats.org/officeDocument/2006/relationships/hyperlink" Target="https://stat.gov.pl/metainformacje/slownik-pojec/pojecia-stosowane-w-statystyce-publicznej/607,pojecie.html" TargetMode="External"/><Relationship Id="rId30" Type="http://schemas.openxmlformats.org/officeDocument/2006/relationships/hyperlink" Target="https://stat.gov.pl/metainformacje/slownik-pojec/pojecia-stosowane-w-statystyce-publicznej/1210,pojecie.html" TargetMode="External"/><Relationship Id="rId8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7" Type="http://schemas.openxmlformats.org/officeDocument/2006/relationships/image" Target="media/image7.png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6" Type="http://schemas.openxmlformats.org/officeDocument/2006/relationships/image" Target="media/image6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txDef>
      <a:spPr>
        <a:solidFill>
          <a:schemeClr val="lt1"/>
        </a:solidFill>
        <a:ln w="9525" cmpd="sng">
          <a:noFill/>
        </a:ln>
      </a:spPr>
      <a:bodyPr wrap="square" rtlCol="0" anchor="t"/>
      <a:lstStyle/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0" ma:contentTypeDescription="Utwórz nowy dokument." ma:contentTypeScope="" ma:versionID="862468e506de763a75f0c99d3ddc06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2fdb080088ddf1bdd98b8e55b33ddcf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CFCB642-C1E9-4590-A884-732586E7632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9E4560F-FFFB-4E37-BCAF-D51C900601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F3AD0252-CC86-471F-A81B-640780367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1276</Words>
  <Characters>7662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Karolak Katarzyna</dc:creator>
  <cp:keywords/>
  <dc:description/>
  <cp:lastModifiedBy>Karolak Katarzyna</cp:lastModifiedBy>
  <cp:revision>2</cp:revision>
  <cp:lastPrinted>2022-09-09T07:11:00Z</cp:lastPrinted>
  <dcterms:created xsi:type="dcterms:W3CDTF">2023-09-07T05:18:00Z</dcterms:created>
  <dcterms:modified xsi:type="dcterms:W3CDTF">2023-09-07T05:18:00Z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