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2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3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1.xml" ContentType="application/vnd.openxmlformats-officedocument.drawingml.chartshapes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1E25E16B" w:rsidR="00627E8E" w:rsidRPr="001B5954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1B595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1B595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1B5954">
        <w:rPr>
          <w:noProof/>
          <w:spacing w:val="-6"/>
          <w:highlight w:val="black"/>
          <w:shd w:val="clear" w:color="auto" w:fill="FFFFFF"/>
        </w:rPr>
        <w:t>a</w:t>
      </w:r>
      <w:r w:rsidRPr="001B5954">
        <w:rPr>
          <w:noProof/>
          <w:spacing w:val="-6"/>
          <w:highlight w:val="black"/>
          <w:shd w:val="clear" w:color="auto" w:fill="FFFFFF"/>
        </w:rPr>
        <w:t>ckiego</w:t>
      </w:r>
      <w:r w:rsidR="004251FF" w:rsidRPr="001B5954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1B5954">
        <w:rPr>
          <w:noProof/>
          <w:spacing w:val="-6"/>
          <w:highlight w:val="black"/>
          <w:shd w:val="clear" w:color="auto" w:fill="FFFFFF"/>
        </w:rPr>
        <w:t xml:space="preserve">w </w:t>
      </w:r>
      <w:r w:rsidR="00B0679F" w:rsidRPr="001B5954">
        <w:rPr>
          <w:noProof/>
          <w:spacing w:val="-6"/>
          <w:highlight w:val="black"/>
          <w:shd w:val="clear" w:color="auto" w:fill="FFFFFF"/>
        </w:rPr>
        <w:t>czerwcu</w:t>
      </w:r>
      <w:r w:rsidR="00831592" w:rsidRPr="001B595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1B5954">
        <w:rPr>
          <w:noProof/>
          <w:spacing w:val="-6"/>
          <w:highlight w:val="black"/>
          <w:shd w:val="clear" w:color="auto" w:fill="FFFFFF"/>
        </w:rPr>
        <w:t>202</w:t>
      </w:r>
      <w:r w:rsidR="001F2065" w:rsidRPr="001B5954">
        <w:rPr>
          <w:noProof/>
          <w:spacing w:val="-6"/>
          <w:highlight w:val="black"/>
          <w:shd w:val="clear" w:color="auto" w:fill="FFFFFF"/>
        </w:rPr>
        <w:t>1</w:t>
      </w:r>
      <w:r w:rsidR="00FE0C01" w:rsidRPr="001B595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1B5954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1B5954" w14:paraId="012B0DB3" w14:textId="77777777" w:rsidTr="001B5954">
        <w:trPr>
          <w:trHeight w:val="1553"/>
        </w:trPr>
        <w:tc>
          <w:tcPr>
            <w:tcW w:w="10467" w:type="dxa"/>
            <w:shd w:val="clear" w:color="auto" w:fill="000000"/>
          </w:tcPr>
          <w:p w14:paraId="599A812D" w14:textId="77777777" w:rsidR="000C2E39" w:rsidRPr="001B5954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4,5% niż przed rokiem i wyższe o 0,7% niż przed miesiącem.</w:t>
            </w:r>
          </w:p>
          <w:p w14:paraId="4EB39A73" w14:textId="4D3653C2" w:rsidR="0070252F" w:rsidRPr="001B5954" w:rsidRDefault="0070252F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9E6B88" w:rsidRPr="001B5954">
              <w:rPr>
                <w:rFonts w:cs="Arial"/>
                <w:b w:val="0"/>
                <w:noProof/>
                <w:highlight w:val="black"/>
              </w:rPr>
              <w:t>czerwca</w:t>
            </w:r>
            <w:r w:rsidRPr="001B5954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1B5954">
              <w:rPr>
                <w:rFonts w:cs="Arial"/>
                <w:b w:val="0"/>
                <w:noProof/>
                <w:highlight w:val="black"/>
              </w:rPr>
              <w:t>8,</w:t>
            </w:r>
            <w:r w:rsidR="009E6B88" w:rsidRPr="001B5954">
              <w:rPr>
                <w:rFonts w:cs="Arial"/>
                <w:b w:val="0"/>
                <w:noProof/>
                <w:highlight w:val="black"/>
              </w:rPr>
              <w:t>5</w:t>
            </w:r>
            <w:r w:rsidRPr="001B5954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B1D88" w:rsidRPr="001B5954">
              <w:rPr>
                <w:rFonts w:cs="Arial"/>
                <w:b w:val="0"/>
                <w:noProof/>
                <w:highlight w:val="black"/>
              </w:rPr>
              <w:t xml:space="preserve">zmniejszyła się </w:t>
            </w:r>
            <w:r w:rsidRPr="001B5954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1B5954">
              <w:rPr>
                <w:highlight w:val="black"/>
              </w:rPr>
              <w:t> </w:t>
            </w:r>
            <w:r w:rsidRPr="001B5954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533BC0" w:rsidRPr="001B5954">
              <w:rPr>
                <w:rFonts w:cs="Arial"/>
                <w:b w:val="0"/>
                <w:noProof/>
                <w:highlight w:val="black"/>
              </w:rPr>
              <w:t xml:space="preserve"> oraz </w:t>
            </w:r>
            <w:r w:rsidRPr="001B5954">
              <w:rPr>
                <w:rFonts w:cs="Arial"/>
                <w:b w:val="0"/>
                <w:noProof/>
                <w:highlight w:val="black"/>
              </w:rPr>
              <w:t xml:space="preserve">w odniesieniu do </w:t>
            </w:r>
            <w:r w:rsidR="009E6B88" w:rsidRPr="001B5954">
              <w:rPr>
                <w:rFonts w:cs="Arial"/>
                <w:b w:val="0"/>
                <w:noProof/>
                <w:highlight w:val="black"/>
              </w:rPr>
              <w:t>czerwca</w:t>
            </w:r>
            <w:r w:rsidRPr="001B5954">
              <w:rPr>
                <w:rFonts w:cs="Arial"/>
                <w:b w:val="0"/>
                <w:noProof/>
                <w:highlight w:val="black"/>
              </w:rPr>
              <w:t xml:space="preserve"> 2020 r. </w:t>
            </w:r>
            <w:r w:rsidR="008459A2" w:rsidRPr="001B5954">
              <w:rPr>
                <w:rFonts w:cs="Arial"/>
                <w:b w:val="0"/>
                <w:noProof/>
                <w:highlight w:val="black"/>
              </w:rPr>
              <w:t>Liczba bezrobotnych zarejestrowanych była o 2,8% niższa niż przed miesiącem i o 6,1% niższa niż przed rokiem.</w:t>
            </w:r>
          </w:p>
          <w:p w14:paraId="0831175E" w14:textId="77777777" w:rsidR="000C2E39" w:rsidRPr="001B5954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o 13,0% wyższe niż w czerwcu 2020 r., a także o 0,4% wyższe niż w maju 2021 r.</w:t>
            </w:r>
          </w:p>
          <w:p w14:paraId="2C874A9D" w14:textId="4E6D7EA2" w:rsidR="00CE35DA" w:rsidRPr="001B5954" w:rsidRDefault="00CE35DA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highlight w:val="black"/>
              </w:rPr>
              <w:t xml:space="preserve">Ceny skupu podstawowych produktów rolnych, oprócz żywca wieprzowego, były wyższe niż przed rokiem. W porównaniu z majem br. mniej płacono za żyto. </w:t>
            </w:r>
          </w:p>
          <w:p w14:paraId="42336BB2" w14:textId="21655F45" w:rsidR="000C2E39" w:rsidRPr="001B5954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 xml:space="preserve">Produkcja sprzedana przemysłu osiągnęła wartość (w cenach bieżących) 5519,7 mln zł i była (w cenach </w:t>
            </w:r>
            <w:r w:rsidRPr="001B5954">
              <w:rPr>
                <w:rFonts w:cs="Arial"/>
                <w:b w:val="0"/>
                <w:noProof/>
                <w:spacing w:val="-2"/>
                <w:szCs w:val="19"/>
                <w:highlight w:val="black"/>
              </w:rPr>
              <w:t xml:space="preserve">stałych) </w:t>
            </w: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o 26,5% wyższa niż w czerwcu ubiegłego roku, kiedy notowano spadek produkcji o 8,0%. W porównaniu</w:t>
            </w:r>
            <w:r w:rsidR="00D71A7F" w:rsidRPr="001B595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z poprzednim miesiącem produkcja sprzedana wzrosła o 4,5%.</w:t>
            </w:r>
          </w:p>
          <w:p w14:paraId="1B002013" w14:textId="77777777" w:rsidR="000C2E39" w:rsidRPr="001B5954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o 23,4% wyższa niż przed rokiem, a także o 34,0% wyższa niż przed miesiącem.</w:t>
            </w:r>
          </w:p>
          <w:p w14:paraId="114B45AE" w14:textId="77777777" w:rsidR="005464A3" w:rsidRPr="001B5954" w:rsidRDefault="005464A3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pacing w:val="8"/>
                <w:szCs w:val="19"/>
                <w:highlight w:val="black"/>
              </w:rPr>
            </w:pPr>
            <w:r w:rsidRPr="001B5954">
              <w:rPr>
                <w:b w:val="0"/>
                <w:szCs w:val="19"/>
                <w:highlight w:val="black"/>
              </w:rPr>
              <w:t xml:space="preserve">W czerwcu 2021 r., w porównaniu z analogicznym miesiącem 2020 r., wzrosła liczba mieszkań oddanych do użytkowania (o 27,6%) oraz liczba mieszkań, na realizację których wydano pozwolenia lub dokonano </w:t>
            </w:r>
            <w:r w:rsidRPr="001B5954">
              <w:rPr>
                <w:b w:val="0"/>
                <w:spacing w:val="6"/>
                <w:szCs w:val="19"/>
                <w:highlight w:val="black"/>
              </w:rPr>
              <w:t>zgłoszenia z projektem budowlanym (o 6,2%). Spadła natomiast liczba mieszkań, których budowę rozpoczęto (o 3,2%).</w:t>
            </w:r>
          </w:p>
          <w:p w14:paraId="7B988E02" w14:textId="0FBCCD0D" w:rsidR="003E3FDB" w:rsidRPr="001B5954" w:rsidRDefault="003E3FDB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1,4% podmiotów gospodarczych (wobec 0,9% w kraju), które złożyły meldunek DG-1 w czerwcu br., wskazało pandemię COVID-19 jako czynnik wywołujący istotne zmiany w prowadzeniu działalności gospodarczej.</w:t>
            </w:r>
          </w:p>
          <w:p w14:paraId="69B551BC" w14:textId="6C0D8DCF" w:rsidR="000C2E39" w:rsidRPr="001B5954" w:rsidRDefault="000C2E39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czerwcu br. była o 18,3% wyższa niż przed rokiem i o 6,3% wyższa niż w poprzednim miesiącu.</w:t>
            </w:r>
          </w:p>
          <w:p w14:paraId="6878D438" w14:textId="268CCE07" w:rsidR="00455CDB" w:rsidRPr="001B5954" w:rsidRDefault="00F67FB1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</w:t>
            </w:r>
            <w:r w:rsidR="003C06A6" w:rsidRPr="001B5954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 xml:space="preserve"> podmiotów gospodarki narodowej niż przed rokiem i </w:t>
            </w:r>
            <w:r w:rsidR="003C06A6" w:rsidRPr="001B5954">
              <w:rPr>
                <w:rFonts w:cs="Arial"/>
                <w:b w:val="0"/>
                <w:noProof/>
                <w:szCs w:val="19"/>
                <w:highlight w:val="black"/>
              </w:rPr>
              <w:t>więcej</w:t>
            </w:r>
            <w:r w:rsidRPr="001B5954">
              <w:rPr>
                <w:rFonts w:cs="Arial"/>
                <w:b w:val="0"/>
                <w:noProof/>
                <w:szCs w:val="19"/>
                <w:highlight w:val="black"/>
              </w:rPr>
              <w:t xml:space="preserve"> niż przed miesiącem.</w:t>
            </w:r>
          </w:p>
          <w:p w14:paraId="7E72476D" w14:textId="3350EC5A" w:rsidR="001959BB" w:rsidRPr="001B5954" w:rsidRDefault="00A65CF0" w:rsidP="000C2E39">
            <w:pPr>
              <w:pStyle w:val="tekstnapierwszejstronie"/>
              <w:numPr>
                <w:ilvl w:val="0"/>
                <w:numId w:val="15"/>
              </w:numPr>
              <w:rPr>
                <w:b w:val="0"/>
                <w:noProof/>
                <w:highlight w:val="black"/>
              </w:rPr>
            </w:pPr>
            <w:r w:rsidRPr="001B5954">
              <w:rPr>
                <w:b w:val="0"/>
                <w:noProof/>
                <w:highlight w:val="black"/>
              </w:rPr>
              <w:t>W większości badanych obszarów przedsiębiorcy w lipcu br. oceniają koniunkturę pozytywnie. Wyjątkiem jest sekcja budownictwo, gdzie oceny są negatywne.</w:t>
            </w:r>
          </w:p>
        </w:tc>
      </w:tr>
    </w:tbl>
    <w:p w14:paraId="6BB92B1F" w14:textId="77777777" w:rsidR="00904606" w:rsidRPr="001B595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1B5954">
        <w:rPr>
          <w:rFonts w:ascii="Arial" w:hAnsi="Arial" w:cs="Arial"/>
          <w:b/>
          <w:noProof/>
          <w:highlight w:val="black"/>
        </w:rPr>
        <w:br w:type="page"/>
      </w:r>
    </w:p>
    <w:p w14:paraId="5B244C49" w14:textId="77777777" w:rsidR="00EC18C8" w:rsidRPr="001B5954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1B5954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1B5954">
        <w:rPr>
          <w:highlight w:val="black"/>
        </w:rPr>
        <w:fldChar w:fldCharType="begin"/>
      </w:r>
      <w:r w:rsidR="00650939" w:rsidRPr="001B5954">
        <w:rPr>
          <w:highlight w:val="black"/>
        </w:rPr>
        <w:instrText xml:space="preserve"> TOC \h \z \t "Nagłówek 1;1" </w:instrText>
      </w:r>
      <w:r w:rsidR="00650939" w:rsidRPr="001B5954">
        <w:rPr>
          <w:highlight w:val="black"/>
        </w:rPr>
        <w:fldChar w:fldCharType="end"/>
      </w:r>
      <w:r w:rsidR="00560533" w:rsidRPr="001B5954">
        <w:rPr>
          <w:highlight w:val="black"/>
        </w:rPr>
        <w:fldChar w:fldCharType="begin"/>
      </w:r>
      <w:r w:rsidR="00560533" w:rsidRPr="001B5954">
        <w:rPr>
          <w:highlight w:val="black"/>
        </w:rPr>
        <w:instrText xml:space="preserve"> TOC \f \h \z \t "Nagłówek 1;1" </w:instrText>
      </w:r>
      <w:r w:rsidR="00560533" w:rsidRPr="001B5954">
        <w:rPr>
          <w:highlight w:val="black"/>
        </w:rPr>
        <w:fldChar w:fldCharType="separate"/>
      </w:r>
    </w:p>
    <w:p w14:paraId="1A8F6D08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07" w:history="1">
        <w:r w:rsidR="00EC18C8" w:rsidRPr="001B5954">
          <w:rPr>
            <w:rStyle w:val="Hipercze"/>
            <w:highlight w:val="black"/>
          </w:rPr>
          <w:t>Rynek pracy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_Toc78365307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4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0B567D96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08" w:history="1">
        <w:r w:rsidR="00EC18C8" w:rsidRPr="001B5954">
          <w:rPr>
            <w:rStyle w:val="Hipercze"/>
            <w:highlight w:val="black"/>
          </w:rPr>
          <w:t>Wynagrodzenia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_Toc78365308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8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101CA761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09" w:history="1">
        <w:r w:rsidR="00EC18C8" w:rsidRPr="001B5954">
          <w:rPr>
            <w:rStyle w:val="Hipercze"/>
            <w:highlight w:val="black"/>
          </w:rPr>
          <w:t>Rolnictwo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_Toc78365309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9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364DFD72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10" w:history="1">
        <w:r w:rsidR="00EC18C8" w:rsidRPr="001B5954">
          <w:rPr>
            <w:rStyle w:val="Hipercze"/>
            <w:highlight w:val="black"/>
          </w:rPr>
          <w:t>Przemysł i budownictwo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_Toc78365310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12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6900C3A5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11" w:history="1">
        <w:r w:rsidR="00EC18C8" w:rsidRPr="001B5954">
          <w:rPr>
            <w:rStyle w:val="Hipercze"/>
            <w:highlight w:val="black"/>
          </w:rPr>
          <w:t>Budownictwo mieszkaniowe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_Toc78365311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14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5D5E8AD9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12" w:history="1">
        <w:r w:rsidR="00EC18C8" w:rsidRPr="001B5954">
          <w:rPr>
            <w:rStyle w:val="Hipercze"/>
            <w:highlight w:val="black"/>
          </w:rPr>
          <w:t>Rynek wewnętrzny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_Toc78365312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17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0F0194FB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13" w:history="1">
        <w:r w:rsidR="00EC18C8" w:rsidRPr="001B5954">
          <w:rPr>
            <w:rStyle w:val="Hipercze"/>
            <w:highlight w:val="black"/>
          </w:rPr>
          <w:t>Wpływ pandemii COVID-19 na działalność sektora przedsiębiorstw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_Toc78365313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18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4ABD151C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14" w:history="1">
        <w:r w:rsidR="00EC18C8" w:rsidRPr="001B5954">
          <w:rPr>
            <w:rStyle w:val="Hipercze"/>
            <w:highlight w:val="black"/>
          </w:rPr>
          <w:t>Podmioty gospodarki narodowej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_Toc78365314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20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52DFA84A" w14:textId="77777777" w:rsidR="00EC18C8" w:rsidRPr="001B5954" w:rsidRDefault="0016047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78365315" w:history="1">
        <w:r w:rsidR="00EC18C8" w:rsidRPr="001B5954">
          <w:rPr>
            <w:rStyle w:val="Hipercze"/>
            <w:highlight w:val="black"/>
          </w:rPr>
          <w:t>Koniunktura gospodarcza</w:t>
        </w:r>
        <w:r w:rsidR="00EC18C8" w:rsidRPr="001B5954">
          <w:rPr>
            <w:webHidden/>
            <w:highlight w:val="black"/>
          </w:rPr>
          <w:tab/>
        </w:r>
        <w:r w:rsidR="00EC18C8" w:rsidRPr="001B5954">
          <w:rPr>
            <w:webHidden/>
            <w:highlight w:val="black"/>
          </w:rPr>
          <w:fldChar w:fldCharType="begin"/>
        </w:r>
        <w:r w:rsidR="00EC18C8" w:rsidRPr="001B5954">
          <w:rPr>
            <w:webHidden/>
            <w:highlight w:val="black"/>
          </w:rPr>
          <w:instrText xml:space="preserve"> PAGEREF _Toc78365315 \h </w:instrText>
        </w:r>
        <w:r w:rsidR="00EC18C8" w:rsidRPr="001B5954">
          <w:rPr>
            <w:webHidden/>
            <w:highlight w:val="black"/>
          </w:rPr>
        </w:r>
        <w:r w:rsidR="00EC18C8" w:rsidRPr="001B5954">
          <w:rPr>
            <w:webHidden/>
            <w:highlight w:val="black"/>
          </w:rPr>
          <w:fldChar w:fldCharType="separate"/>
        </w:r>
        <w:r w:rsidR="00EC18C8" w:rsidRPr="001B5954">
          <w:rPr>
            <w:webHidden/>
            <w:highlight w:val="black"/>
          </w:rPr>
          <w:t>21</w:t>
        </w:r>
        <w:r w:rsidR="00EC18C8" w:rsidRPr="001B5954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1B5954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1B5954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1B5954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1B5954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1B5954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1B5954" w:rsidRDefault="00292906" w:rsidP="003D2E14">
      <w:pPr>
        <w:pStyle w:val="Tekstwypunktowany"/>
        <w:spacing w:line="240" w:lineRule="auto"/>
        <w:rPr>
          <w:highlight w:val="black"/>
        </w:rPr>
      </w:pPr>
      <w:r w:rsidRPr="001B595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1B5954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1B5954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1B5954">
        <w:rPr>
          <w:noProof/>
          <w:spacing w:val="-4"/>
          <w:szCs w:val="19"/>
          <w:highlight w:val="black"/>
        </w:rPr>
        <w:t>odarczą w zakresie: leśnictwa i </w:t>
      </w:r>
      <w:r w:rsidRPr="001B595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1B5954">
        <w:rPr>
          <w:noProof/>
          <w:spacing w:val="-4"/>
          <w:szCs w:val="19"/>
          <w:highlight w:val="black"/>
        </w:rPr>
        <w:t xml:space="preserve">; wytwarzania i zaopatrywania w </w:t>
      </w:r>
      <w:r w:rsidRPr="001B595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1B5954">
        <w:rPr>
          <w:noProof/>
          <w:spacing w:val="-4"/>
          <w:szCs w:val="19"/>
          <w:highlight w:val="black"/>
        </w:rPr>
        <w:t>-</w:t>
      </w:r>
      <w:r w:rsidRPr="001B5954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1B5954">
        <w:rPr>
          <w:noProof/>
          <w:spacing w:val="-4"/>
          <w:szCs w:val="19"/>
          <w:highlight w:val="black"/>
        </w:rPr>
        <w:t>i oraz działalności związanej z </w:t>
      </w:r>
      <w:r w:rsidRPr="001B5954">
        <w:rPr>
          <w:noProof/>
          <w:spacing w:val="-4"/>
          <w:szCs w:val="19"/>
          <w:highlight w:val="black"/>
        </w:rPr>
        <w:t>rekultywacją; budowni</w:t>
      </w:r>
      <w:r w:rsidR="00454E28" w:rsidRPr="001B5954">
        <w:rPr>
          <w:noProof/>
          <w:spacing w:val="-4"/>
          <w:szCs w:val="19"/>
          <w:highlight w:val="black"/>
        </w:rPr>
        <w:t>-</w:t>
      </w:r>
      <w:r w:rsidRPr="001B595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1B5954">
        <w:rPr>
          <w:noProof/>
          <w:spacing w:val="-4"/>
          <w:szCs w:val="19"/>
          <w:highlight w:val="black"/>
        </w:rPr>
        <w:t> </w:t>
      </w:r>
      <w:r w:rsidRPr="001B5954">
        <w:rPr>
          <w:noProof/>
          <w:spacing w:val="-4"/>
          <w:szCs w:val="19"/>
          <w:highlight w:val="black"/>
        </w:rPr>
        <w:t>gospodarki magazynowej; działalnośc</w:t>
      </w:r>
      <w:r w:rsidR="00170047" w:rsidRPr="001B5954">
        <w:rPr>
          <w:noProof/>
          <w:spacing w:val="-4"/>
          <w:szCs w:val="19"/>
          <w:highlight w:val="black"/>
        </w:rPr>
        <w:t xml:space="preserve">i związanej z zakwaterowaniem i </w:t>
      </w:r>
      <w:r w:rsidRPr="001B5954">
        <w:rPr>
          <w:noProof/>
          <w:spacing w:val="-4"/>
          <w:szCs w:val="19"/>
          <w:highlight w:val="black"/>
        </w:rPr>
        <w:t>usługami</w:t>
      </w:r>
      <w:r w:rsidR="0071034B" w:rsidRPr="001B595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1B5954">
        <w:rPr>
          <w:noProof/>
          <w:spacing w:val="-4"/>
          <w:szCs w:val="19"/>
          <w:highlight w:val="black"/>
        </w:rPr>
        <w:t> </w:t>
      </w:r>
      <w:r w:rsidRPr="001B595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1B5954">
        <w:rPr>
          <w:noProof/>
          <w:spacing w:val="-4"/>
          <w:szCs w:val="19"/>
          <w:highlight w:val="black"/>
        </w:rPr>
        <w:t> </w:t>
      </w:r>
      <w:r w:rsidRPr="001B5954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1B5954">
        <w:rPr>
          <w:noProof/>
          <w:spacing w:val="-4"/>
          <w:szCs w:val="19"/>
          <w:highlight w:val="black"/>
        </w:rPr>
        <w:t>j i </w:t>
      </w:r>
      <w:r w:rsidR="00170047" w:rsidRPr="001B5954">
        <w:rPr>
          <w:noProof/>
          <w:spacing w:val="-4"/>
          <w:szCs w:val="19"/>
          <w:highlight w:val="black"/>
        </w:rPr>
        <w:t xml:space="preserve">technicznej; działalności w </w:t>
      </w:r>
      <w:r w:rsidRPr="001B5954">
        <w:rPr>
          <w:noProof/>
          <w:spacing w:val="-4"/>
          <w:szCs w:val="19"/>
          <w:highlight w:val="black"/>
        </w:rPr>
        <w:t>z</w:t>
      </w:r>
      <w:r w:rsidR="00170047" w:rsidRPr="001B5954">
        <w:rPr>
          <w:noProof/>
          <w:spacing w:val="-4"/>
          <w:szCs w:val="19"/>
          <w:highlight w:val="black"/>
        </w:rPr>
        <w:t>akresie usług administro</w:t>
      </w:r>
      <w:r w:rsidR="00454E28" w:rsidRPr="001B5954">
        <w:rPr>
          <w:noProof/>
          <w:spacing w:val="-4"/>
          <w:szCs w:val="19"/>
          <w:highlight w:val="black"/>
        </w:rPr>
        <w:t>-</w:t>
      </w:r>
      <w:r w:rsidR="00170047" w:rsidRPr="001B5954">
        <w:rPr>
          <w:noProof/>
          <w:spacing w:val="-4"/>
          <w:szCs w:val="19"/>
          <w:highlight w:val="black"/>
        </w:rPr>
        <w:t xml:space="preserve">wania i </w:t>
      </w:r>
      <w:r w:rsidRPr="001B5954">
        <w:rPr>
          <w:noProof/>
          <w:spacing w:val="-4"/>
          <w:szCs w:val="19"/>
          <w:highlight w:val="black"/>
        </w:rPr>
        <w:t>działalności wspiera</w:t>
      </w:r>
      <w:r w:rsidR="00B2001C" w:rsidRPr="001B5954">
        <w:rPr>
          <w:noProof/>
          <w:spacing w:val="-4"/>
          <w:szCs w:val="19"/>
          <w:highlight w:val="black"/>
        </w:rPr>
        <w:t>jącej; działalności związanej z </w:t>
      </w:r>
      <w:r w:rsidRPr="001B5954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1B5954">
        <w:rPr>
          <w:noProof/>
          <w:spacing w:val="-4"/>
          <w:szCs w:val="19"/>
          <w:highlight w:val="black"/>
        </w:rPr>
        <w:t> </w:t>
      </w:r>
      <w:r w:rsidRPr="001B595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1B5954">
        <w:rPr>
          <w:noProof/>
          <w:spacing w:val="-4"/>
          <w:szCs w:val="19"/>
          <w:highlight w:val="black"/>
        </w:rPr>
        <w:t xml:space="preserve">i artykułów użytku osobistego i </w:t>
      </w:r>
      <w:r w:rsidRPr="001B5954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1B5954">
        <w:rPr>
          <w:spacing w:val="-4"/>
          <w:highlight w:val="black"/>
        </w:rPr>
        <w:t>,</w:t>
      </w:r>
    </w:p>
    <w:p w14:paraId="1B5A3C46" w14:textId="77777777" w:rsidR="00B3482C" w:rsidRPr="001B5954" w:rsidRDefault="001B0E1A" w:rsidP="003D2E14">
      <w:pPr>
        <w:pStyle w:val="Tekstwypunktowany"/>
        <w:spacing w:line="240" w:lineRule="auto"/>
        <w:rPr>
          <w:highlight w:val="black"/>
        </w:rPr>
      </w:pPr>
      <w:r w:rsidRPr="001B595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1B5954">
        <w:rPr>
          <w:noProof/>
          <w:szCs w:val="19"/>
          <w:highlight w:val="black"/>
        </w:rPr>
        <w:t>ch oraz usług, które pochodzą z </w:t>
      </w:r>
      <w:r w:rsidRPr="001B595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1B5954" w:rsidRDefault="00D07EBC" w:rsidP="003D2E14">
      <w:pPr>
        <w:pStyle w:val="Tekstwypunktowany"/>
        <w:spacing w:line="240" w:lineRule="auto"/>
        <w:rPr>
          <w:highlight w:val="black"/>
        </w:rPr>
      </w:pPr>
      <w:r w:rsidRPr="001B5954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1B5954" w:rsidRDefault="00D07EBC" w:rsidP="003D2E14">
      <w:pPr>
        <w:pStyle w:val="Tekstwypunktowany"/>
        <w:spacing w:line="240" w:lineRule="auto"/>
        <w:rPr>
          <w:highlight w:val="black"/>
        </w:rPr>
      </w:pPr>
      <w:r w:rsidRPr="001B595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1B5954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1B595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1B5954">
        <w:rPr>
          <w:noProof/>
          <w:spacing w:val="-2"/>
          <w:szCs w:val="19"/>
          <w:highlight w:val="black"/>
        </w:rPr>
        <w:t>iczba pracujących przekracza 49 </w:t>
      </w:r>
      <w:r w:rsidRPr="001B5954">
        <w:rPr>
          <w:noProof/>
          <w:spacing w:val="-2"/>
          <w:szCs w:val="19"/>
          <w:highlight w:val="black"/>
        </w:rPr>
        <w:t>osób</w:t>
      </w:r>
      <w:r w:rsidR="00104786" w:rsidRPr="001B5954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1B5954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1B595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1B5954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1B595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1B5954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1B5954">
        <w:rPr>
          <w:highlight w:val="black"/>
        </w:rPr>
        <w:t>Dane prezentuje się w układzie Polskiej Klasyfikacji Działalności — PKD 2007</w:t>
      </w:r>
      <w:r w:rsidR="00DF28F3" w:rsidRPr="001B5954">
        <w:rPr>
          <w:highlight w:val="black"/>
        </w:rPr>
        <w:t>.</w:t>
      </w:r>
      <w:r w:rsidR="00946BC7" w:rsidRPr="001B5954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1B5954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1B5954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1B5954" w14:paraId="05004863" w14:textId="77777777" w:rsidTr="001B5954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1B595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1B595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1B5954" w14:paraId="643F9472" w14:textId="77777777" w:rsidTr="001B595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1B595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1B5954" w14:paraId="1EBFB7B3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1B5954" w14:paraId="14860AC9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1B5954" w14:paraId="433ACFC0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1B5954" w14:paraId="6D17539B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1B5954" w14:paraId="47368E68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1B5954" w14:paraId="4F1A3C62" w14:textId="77777777" w:rsidTr="001B595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1B595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B595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1B5954" w14:paraId="2FB72B89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1B5954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B5954" w14:paraId="5285A1FC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B5954" w14:paraId="07FB87C6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1B595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B5954" w14:paraId="41081043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B5954" w14:paraId="7F0994C2" w14:textId="77777777" w:rsidTr="001B595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1B595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B5954" w14:paraId="60A3EBF8" w14:textId="77777777" w:rsidTr="001B595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1B595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1B5954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1B5954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1B5954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1B5954" w14:paraId="5BB5D55D" w14:textId="77777777" w:rsidTr="001B5954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1B5954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1B5954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1B5954" w14:paraId="21770883" w14:textId="77777777" w:rsidTr="001B5954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1B595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1B595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B5954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1B5954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1B5954" w14:paraId="0D0ED342" w14:textId="77777777" w:rsidTr="001B595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1B595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1B595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B5954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1B5954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1B5954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1B5954" w14:paraId="1215AF80" w14:textId="77777777" w:rsidTr="001B595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1B595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1B595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B5954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1B5954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1B5954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1B5954" w14:paraId="5AA9EDD9" w14:textId="77777777" w:rsidTr="001B595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1B595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1B595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B5954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1B5954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1B5954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1B5954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1B595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B5DF380" w:rsidR="00502C57" w:rsidRPr="001B5954" w:rsidRDefault="00502C57" w:rsidP="00170047">
      <w:pPr>
        <w:pStyle w:val="podstawowyFira95"/>
        <w:jc w:val="left"/>
        <w:rPr>
          <w:noProof/>
          <w:highlight w:val="black"/>
        </w:rPr>
      </w:pPr>
      <w:r w:rsidRPr="001B5954">
        <w:rPr>
          <w:noProof/>
          <w:highlight w:val="black"/>
        </w:rPr>
        <w:t>Raport „Koniunktura gospodarcza w w</w:t>
      </w:r>
      <w:r w:rsidR="00100B33" w:rsidRPr="001B5954">
        <w:rPr>
          <w:noProof/>
          <w:highlight w:val="black"/>
        </w:rPr>
        <w:t>oj</w:t>
      </w:r>
      <w:r w:rsidR="00B02551" w:rsidRPr="001B5954">
        <w:rPr>
          <w:noProof/>
          <w:highlight w:val="black"/>
        </w:rPr>
        <w:t xml:space="preserve">ewództwie </w:t>
      </w:r>
      <w:r w:rsidR="00BB37D0" w:rsidRPr="001B5954">
        <w:rPr>
          <w:noProof/>
          <w:highlight w:val="black"/>
        </w:rPr>
        <w:t xml:space="preserve">podkarpackim </w:t>
      </w:r>
      <w:r w:rsidR="00E322C8" w:rsidRPr="001B5954">
        <w:rPr>
          <w:noProof/>
          <w:highlight w:val="black"/>
        </w:rPr>
        <w:t xml:space="preserve">w </w:t>
      </w:r>
      <w:r w:rsidR="00422240" w:rsidRPr="001B5954">
        <w:rPr>
          <w:noProof/>
          <w:highlight w:val="black"/>
        </w:rPr>
        <w:t>lipcu</w:t>
      </w:r>
      <w:r w:rsidR="00AB66BA" w:rsidRPr="001B5954">
        <w:rPr>
          <w:noProof/>
          <w:highlight w:val="black"/>
        </w:rPr>
        <w:t xml:space="preserve"> 2021</w:t>
      </w:r>
      <w:r w:rsidRPr="001B5954">
        <w:rPr>
          <w:noProof/>
          <w:highlight w:val="black"/>
        </w:rPr>
        <w:t xml:space="preserve"> r.” </w:t>
      </w:r>
      <w:r w:rsidR="007524D7" w:rsidRPr="001B5954">
        <w:rPr>
          <w:noProof/>
          <w:highlight w:val="black"/>
        </w:rPr>
        <w:t>uka</w:t>
      </w:r>
      <w:r w:rsidR="00DF3DCF" w:rsidRPr="001B5954">
        <w:rPr>
          <w:noProof/>
          <w:highlight w:val="black"/>
        </w:rPr>
        <w:t>że</w:t>
      </w:r>
      <w:r w:rsidR="007524D7" w:rsidRPr="001B5954">
        <w:rPr>
          <w:noProof/>
          <w:highlight w:val="black"/>
        </w:rPr>
        <w:t xml:space="preserve"> się</w:t>
      </w:r>
      <w:r w:rsidRPr="001B5954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1B5954">
        <w:rPr>
          <w:noProof/>
          <w:highlight w:val="black"/>
        </w:rPr>
        <w:t xml:space="preserve"> w dniu </w:t>
      </w:r>
      <w:r w:rsidR="00DF3DCF" w:rsidRPr="001B5954">
        <w:rPr>
          <w:noProof/>
          <w:highlight w:val="black"/>
        </w:rPr>
        <w:t>30</w:t>
      </w:r>
      <w:r w:rsidR="00167524" w:rsidRPr="001B5954">
        <w:rPr>
          <w:noProof/>
          <w:highlight w:val="black"/>
        </w:rPr>
        <w:t xml:space="preserve"> </w:t>
      </w:r>
      <w:r w:rsidR="00422240" w:rsidRPr="001B5954">
        <w:rPr>
          <w:noProof/>
          <w:highlight w:val="black"/>
        </w:rPr>
        <w:t>lipc</w:t>
      </w:r>
      <w:r w:rsidR="00DF3DCF" w:rsidRPr="001B5954">
        <w:rPr>
          <w:noProof/>
          <w:highlight w:val="black"/>
        </w:rPr>
        <w:t>a</w:t>
      </w:r>
      <w:r w:rsidR="006E35D2" w:rsidRPr="001B5954">
        <w:rPr>
          <w:noProof/>
          <w:highlight w:val="black"/>
        </w:rPr>
        <w:t xml:space="preserve"> </w:t>
      </w:r>
      <w:r w:rsidR="006A7608" w:rsidRPr="001B5954">
        <w:rPr>
          <w:noProof/>
          <w:highlight w:val="black"/>
        </w:rPr>
        <w:t>202</w:t>
      </w:r>
      <w:r w:rsidR="00AB66BA" w:rsidRPr="001B5954">
        <w:rPr>
          <w:noProof/>
          <w:highlight w:val="black"/>
        </w:rPr>
        <w:t>1</w:t>
      </w:r>
      <w:r w:rsidR="00C54FAC" w:rsidRPr="001B5954">
        <w:rPr>
          <w:noProof/>
          <w:highlight w:val="black"/>
        </w:rPr>
        <w:t xml:space="preserve"> </w:t>
      </w:r>
      <w:r w:rsidRPr="001B5954">
        <w:rPr>
          <w:noProof/>
          <w:highlight w:val="black"/>
        </w:rPr>
        <w:t>r.</w:t>
      </w:r>
    </w:p>
    <w:p w14:paraId="4D7AE6B7" w14:textId="77777777" w:rsidR="00EE6AAF" w:rsidRPr="001B5954" w:rsidRDefault="00EE6AAF" w:rsidP="00EE6AAF">
      <w:pPr>
        <w:rPr>
          <w:highlight w:val="black"/>
        </w:rPr>
      </w:pPr>
      <w:r w:rsidRPr="001B5954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1B5954" w:rsidRDefault="00502C57" w:rsidP="00502C57">
      <w:pPr>
        <w:rPr>
          <w:noProof/>
          <w:highlight w:val="black"/>
        </w:rPr>
      </w:pPr>
      <w:r w:rsidRPr="001B5954">
        <w:rPr>
          <w:noProof/>
          <w:highlight w:val="black"/>
        </w:rPr>
        <w:br w:type="page"/>
      </w:r>
    </w:p>
    <w:p w14:paraId="1FEC4E22" w14:textId="77777777" w:rsidR="00502C57" w:rsidRPr="001B5954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78365307"/>
      <w:r w:rsidRPr="001B5954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1810F378" w14:textId="15074947" w:rsidR="007E14AA" w:rsidRPr="001B5954" w:rsidRDefault="007E14AA" w:rsidP="007E14AA">
      <w:pPr>
        <w:suppressAutoHyphens/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1B5954">
        <w:rPr>
          <w:highlight w:val="black"/>
        </w:rPr>
        <w:t xml:space="preserve">W czerwcu 2021 r. w sektorze przedsiębiorstw przeciętne zatrudnienie wzrosło w odniesieniu do analogicznego miesiąca ubiegłego roku, a tempo tego wzrostu było wyższe niż przed miesiącem. W skali roku zmniejszyła się liczba </w:t>
      </w:r>
      <w:proofErr w:type="spellStart"/>
      <w:r w:rsidR="00D71A7F" w:rsidRPr="001B5954">
        <w:rPr>
          <w:highlight w:val="black"/>
        </w:rPr>
        <w:t>z</w:t>
      </w:r>
      <w:r w:rsidRPr="001B5954">
        <w:rPr>
          <w:highlight w:val="black"/>
        </w:rPr>
        <w:t>arejestrowa</w:t>
      </w:r>
      <w:r w:rsidR="00D71A7F" w:rsidRPr="001B5954">
        <w:rPr>
          <w:highlight w:val="black"/>
        </w:rPr>
        <w:t>-</w:t>
      </w:r>
      <w:r w:rsidRPr="001B5954">
        <w:rPr>
          <w:highlight w:val="black"/>
        </w:rPr>
        <w:t>nych</w:t>
      </w:r>
      <w:proofErr w:type="spellEnd"/>
      <w:r w:rsidRPr="001B5954">
        <w:rPr>
          <w:highlight w:val="black"/>
        </w:rPr>
        <w:t xml:space="preserve"> bezrobotnych, a także stopa bezrobocia rejestrowanego.</w:t>
      </w:r>
    </w:p>
    <w:p w14:paraId="5D58F206" w14:textId="77777777" w:rsidR="007E14AA" w:rsidRPr="001B5954" w:rsidRDefault="007E14AA" w:rsidP="007E14AA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b/>
          <w:highlight w:val="black"/>
        </w:rPr>
        <w:t>Przeciętne zatrudnienie</w:t>
      </w:r>
      <w:r w:rsidRPr="001B5954">
        <w:rPr>
          <w:highlight w:val="black"/>
        </w:rPr>
        <w:t xml:space="preserve"> w sektorze przedsiębiorstw w czerwcu br. wyniosło 248,1 tys. osób i było o 4,5% wyższe niż przed rokiem (wobec spadku o 4,9% w czerwcu ubiegłego roku) i wyższe o 0,7% niż w poprzednim miesiącu. W kraju przeciętne zatrudnienie wzrosło zarówno w porównaniu z czerwcem 2020 r. (o 2,8%), jak i w odniesieniu do maja 2021 r. (o 0,3%).</w:t>
      </w:r>
    </w:p>
    <w:p w14:paraId="7CECB4E8" w14:textId="5392DB72" w:rsidR="007E14AA" w:rsidRPr="001B5954" w:rsidRDefault="007E14AA" w:rsidP="007E14AA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highlight w:val="black"/>
        </w:rPr>
        <w:t xml:space="preserve">W odniesieniu do czerwca 2020 r. wzrost zatrudnienia odnotowano w ośmiu sekcjach, w tym najwyższy w przetwórstwie przemysłowym (o 6,5%). Natomiast spadek zatrudnienia odnotowano w działalności profesjonalnej, naukowej i </w:t>
      </w:r>
      <w:proofErr w:type="spellStart"/>
      <w:r w:rsidRPr="001B5954">
        <w:rPr>
          <w:highlight w:val="black"/>
        </w:rPr>
        <w:t>tech</w:t>
      </w:r>
      <w:r w:rsidR="00D71A7F" w:rsidRPr="001B5954">
        <w:rPr>
          <w:highlight w:val="black"/>
        </w:rPr>
        <w:t>-</w:t>
      </w:r>
      <w:r w:rsidRPr="001B5954">
        <w:rPr>
          <w:highlight w:val="black"/>
        </w:rPr>
        <w:t>nicznej</w:t>
      </w:r>
      <w:proofErr w:type="spellEnd"/>
      <w:r w:rsidRPr="001B5954">
        <w:rPr>
          <w:highlight w:val="black"/>
        </w:rPr>
        <w:t xml:space="preserve"> (o 2,4%) oraz w obsłudze rynku nieruchomości (o 1,8%).</w:t>
      </w:r>
    </w:p>
    <w:p w14:paraId="1FE52F01" w14:textId="77777777" w:rsidR="007E14AA" w:rsidRPr="001B5954" w:rsidRDefault="007E14AA" w:rsidP="007E14AA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B595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7E14AA" w:rsidRPr="001B5954" w14:paraId="12761172" w14:textId="77777777" w:rsidTr="001B5954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649039E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1C9E77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F7FB72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2021</w:t>
            </w:r>
          </w:p>
        </w:tc>
      </w:tr>
      <w:tr w:rsidR="001B5954" w:rsidRPr="001B5954" w14:paraId="3ED9722E" w14:textId="77777777" w:rsidTr="001B5954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7EB66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E8F9B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80832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F4CAA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7CD022D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2020=100</w:t>
            </w:r>
          </w:p>
        </w:tc>
      </w:tr>
      <w:tr w:rsidR="001B5954" w:rsidRPr="001B5954" w14:paraId="205F90E3" w14:textId="77777777" w:rsidTr="001B5954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E35E3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623E0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248,1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B1D1E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18F27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245,8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19E47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bCs/>
                <w:sz w:val="16"/>
                <w:szCs w:val="16"/>
                <w:highlight w:val="black"/>
              </w:rPr>
              <w:t>99,3</w:t>
            </w:r>
          </w:p>
        </w:tc>
      </w:tr>
      <w:tr w:rsidR="001B5954" w:rsidRPr="001B5954" w14:paraId="5EC96147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62983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3404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6051E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EF0625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CBA6C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1B5954" w:rsidRPr="001B5954" w14:paraId="4A632AC0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C3D8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573A9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090B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106,1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BD99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130,8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86BF3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</w:tr>
      <w:tr w:rsidR="001B5954" w:rsidRPr="001B5954" w14:paraId="7CA8116A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BEC4D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53D0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134DC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C688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389B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14795F8C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B11614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8DFC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9E697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415B6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120,5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5BDEA6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</w:tr>
      <w:tr w:rsidR="001B5954" w:rsidRPr="001B5954" w14:paraId="60615A7E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533E27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840BCE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582B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33F4F5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490C1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</w:tr>
      <w:tr w:rsidR="001B5954" w:rsidRPr="001B5954" w14:paraId="25BD3AC5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97E1A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C7554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E8616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AF447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19,5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4A0C0E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</w:tr>
      <w:tr w:rsidR="001B5954" w:rsidRPr="001B5954" w14:paraId="33C363D8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46E8E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2395E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FA7B0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C0CAE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48,9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35C496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</w:tr>
      <w:tr w:rsidR="001B5954" w:rsidRPr="001B5954" w14:paraId="72A64737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A1588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8E7D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3BA8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71A78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BF302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</w:tr>
      <w:tr w:rsidR="001B5954" w:rsidRPr="001B5954" w14:paraId="18AF365F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6F207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FE9D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B656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D068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DFCC5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78,3</w:t>
            </w:r>
          </w:p>
        </w:tc>
      </w:tr>
      <w:tr w:rsidR="001B5954" w:rsidRPr="001B5954" w14:paraId="2B61357D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58B4B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7D793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0ED7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2625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429BD7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98,6</w:t>
            </w:r>
          </w:p>
        </w:tc>
      </w:tr>
      <w:tr w:rsidR="001B5954" w:rsidRPr="001B5954" w14:paraId="347302A6" w14:textId="77777777" w:rsidTr="001B5954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DD799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1B5954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1B5954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1B5954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4E49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D27728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97,6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320E7F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631D97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96,9</w:t>
            </w:r>
          </w:p>
        </w:tc>
      </w:tr>
      <w:tr w:rsidR="007E14AA" w:rsidRPr="001B5954" w14:paraId="46696256" w14:textId="77777777" w:rsidTr="001B5954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395726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D1132A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D8FB3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2B29DA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1F1702E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96,5</w:t>
            </w:r>
          </w:p>
        </w:tc>
      </w:tr>
    </w:tbl>
    <w:p w14:paraId="53EE5DF9" w14:textId="77777777" w:rsidR="007E14AA" w:rsidRPr="001B5954" w:rsidRDefault="007E14AA" w:rsidP="007E14AA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1B5954">
        <w:rPr>
          <w:sz w:val="16"/>
          <w:szCs w:val="16"/>
          <w:highlight w:val="black"/>
        </w:rPr>
        <w:t xml:space="preserve">a </w:t>
      </w:r>
      <w:r w:rsidRPr="001B595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A980666" w14:textId="58B8FEB7" w:rsidR="007E14AA" w:rsidRPr="001B5954" w:rsidRDefault="007E14AA" w:rsidP="007E14AA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1B5954">
        <w:rPr>
          <w:rFonts w:cs="Arial"/>
          <w:szCs w:val="19"/>
          <w:highlight w:val="black"/>
        </w:rPr>
        <w:t xml:space="preserve">W stosunku do maja br., zatrudnienie zwiększyło się w zakwaterowaniu i gastronomii (o 1,4%), handlu; </w:t>
      </w:r>
      <w:r w:rsidRPr="001B5954">
        <w:rPr>
          <w:rFonts w:cs="Arial"/>
          <w:spacing w:val="-2"/>
          <w:szCs w:val="19"/>
          <w:highlight w:val="black"/>
        </w:rPr>
        <w:t>naprawie pojazdów</w:t>
      </w:r>
      <w:r w:rsidRPr="001B5954">
        <w:rPr>
          <w:rFonts w:cs="Arial"/>
          <w:szCs w:val="19"/>
          <w:highlight w:val="black"/>
        </w:rPr>
        <w:t xml:space="preserve"> samochodowych (o 1,2%), </w:t>
      </w:r>
      <w:r w:rsidRPr="001B5954">
        <w:rPr>
          <w:highlight w:val="black"/>
        </w:rPr>
        <w:t>transporcie i gospodarce magazynowej (o 1,0%),</w:t>
      </w:r>
      <w:r w:rsidRPr="001B5954">
        <w:rPr>
          <w:rFonts w:cs="Arial"/>
          <w:szCs w:val="19"/>
          <w:highlight w:val="black"/>
        </w:rPr>
        <w:t xml:space="preserve"> dostawie wody; gospodarowaniu ściekami</w:t>
      </w:r>
      <w:r w:rsidR="00D71A7F" w:rsidRPr="001B5954">
        <w:rPr>
          <w:rFonts w:cs="Arial"/>
          <w:szCs w:val="19"/>
          <w:highlight w:val="black"/>
        </w:rPr>
        <w:br/>
      </w:r>
      <w:r w:rsidRPr="001B5954">
        <w:rPr>
          <w:rFonts w:cs="Arial"/>
          <w:szCs w:val="19"/>
          <w:highlight w:val="black"/>
        </w:rPr>
        <w:t xml:space="preserve">i odpadami; </w:t>
      </w:r>
      <w:r w:rsidRPr="001B5954">
        <w:rPr>
          <w:rFonts w:cs="Arial"/>
          <w:spacing w:val="-2"/>
          <w:szCs w:val="19"/>
          <w:highlight w:val="black"/>
        </w:rPr>
        <w:t>rekultywacji (o 0,7%), przetwórstwie przemysłowym oraz w budownictwie</w:t>
      </w:r>
      <w:r w:rsidRPr="001B5954">
        <w:rPr>
          <w:spacing w:val="-2"/>
          <w:highlight w:val="black"/>
        </w:rPr>
        <w:t xml:space="preserve"> (po 0,6%), a także w </w:t>
      </w:r>
      <w:r w:rsidRPr="001B5954">
        <w:rPr>
          <w:rFonts w:cs="Arial"/>
          <w:spacing w:val="-2"/>
          <w:szCs w:val="19"/>
          <w:highlight w:val="black"/>
        </w:rPr>
        <w:t>administrowaniu</w:t>
      </w:r>
      <w:r w:rsidRPr="001B5954">
        <w:rPr>
          <w:rFonts w:cs="Arial"/>
          <w:szCs w:val="19"/>
          <w:highlight w:val="black"/>
        </w:rPr>
        <w:t xml:space="preserve"> i działalności wspierającej (o 0,5%). Natomiast jego spadek odnotowano w działalności profesjonalnej, naukowej i </w:t>
      </w:r>
      <w:proofErr w:type="spellStart"/>
      <w:r w:rsidRPr="001B5954">
        <w:rPr>
          <w:rFonts w:cs="Arial"/>
          <w:szCs w:val="19"/>
          <w:highlight w:val="black"/>
        </w:rPr>
        <w:t>tech</w:t>
      </w:r>
      <w:r w:rsidR="00D71A7F" w:rsidRPr="001B5954">
        <w:rPr>
          <w:rFonts w:cs="Arial"/>
          <w:szCs w:val="19"/>
          <w:highlight w:val="black"/>
        </w:rPr>
        <w:t>-</w:t>
      </w:r>
      <w:r w:rsidRPr="001B5954">
        <w:rPr>
          <w:rFonts w:cs="Arial"/>
          <w:szCs w:val="19"/>
          <w:highlight w:val="black"/>
        </w:rPr>
        <w:t>nicznej</w:t>
      </w:r>
      <w:proofErr w:type="spellEnd"/>
      <w:r w:rsidRPr="001B5954">
        <w:rPr>
          <w:rFonts w:cs="Arial"/>
          <w:szCs w:val="19"/>
          <w:highlight w:val="black"/>
        </w:rPr>
        <w:t xml:space="preserve"> (o 0,4%) o</w:t>
      </w:r>
      <w:r w:rsidRPr="001B5954">
        <w:rPr>
          <w:highlight w:val="black"/>
        </w:rPr>
        <w:t xml:space="preserve">raz </w:t>
      </w:r>
      <w:r w:rsidRPr="001B5954">
        <w:rPr>
          <w:rFonts w:cs="Arial"/>
          <w:szCs w:val="19"/>
          <w:highlight w:val="black"/>
        </w:rPr>
        <w:t>w obsłudze rynku nieruchomości (o 0,3%).</w:t>
      </w:r>
    </w:p>
    <w:p w14:paraId="353A7B4E" w14:textId="77777777" w:rsidR="007E14AA" w:rsidRPr="001B5954" w:rsidRDefault="007E14AA" w:rsidP="007E14AA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1F9929BE" w14:textId="77777777" w:rsidR="007E14AA" w:rsidRPr="001B5954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1B5954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51E31FA9" w14:textId="234B66B6" w:rsidR="007E14AA" w:rsidRPr="001B5954" w:rsidRDefault="006726CB" w:rsidP="007E14A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EB016A8" wp14:editId="258124EB">
            <wp:extent cx="6645910" cy="2488565"/>
            <wp:effectExtent l="0" t="0" r="2540" b="6985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4274BC" w14:textId="7CC91BE9" w:rsidR="007E14AA" w:rsidRPr="001B5954" w:rsidRDefault="007E14AA" w:rsidP="007E14AA">
      <w:pPr>
        <w:suppressAutoHyphens/>
        <w:spacing w:before="120" w:after="120"/>
        <w:rPr>
          <w:highlight w:val="black"/>
        </w:rPr>
      </w:pPr>
      <w:r w:rsidRPr="001B5954">
        <w:rPr>
          <w:highlight w:val="black"/>
        </w:rPr>
        <w:t>W I półroczu br., przeciętne zatrudnienie w sektorze przedsiębiorstw ukształtowało się na poziomie 245,8 tys. osób</w:t>
      </w:r>
      <w:r w:rsidR="00D71A7F" w:rsidRPr="001B5954">
        <w:rPr>
          <w:highlight w:val="black"/>
        </w:rPr>
        <w:br/>
      </w:r>
      <w:r w:rsidRPr="001B5954">
        <w:rPr>
          <w:highlight w:val="black"/>
        </w:rPr>
        <w:t>i było o 0,7% niższe (w kraju o 0,3%) niż w analogicznym okresie ubiegłego roku. Najbardziej zatrudnienie obniżyło się</w:t>
      </w:r>
      <w:r w:rsidR="00D71A7F" w:rsidRPr="001B5954">
        <w:rPr>
          <w:highlight w:val="black"/>
        </w:rPr>
        <w:br/>
      </w:r>
      <w:r w:rsidRPr="001B5954">
        <w:rPr>
          <w:highlight w:val="black"/>
        </w:rPr>
        <w:t>w zakwaterowaniu i gastronomii (o 21,7%), natomiast wzrost odnotowano w budownictwie (o 2,7%).</w:t>
      </w:r>
    </w:p>
    <w:p w14:paraId="4FEDBA80" w14:textId="77777777" w:rsidR="00900C6C" w:rsidRPr="001B5954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1B5954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B5954" w14:paraId="5154DE86" w14:textId="77777777" w:rsidTr="001B5954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1B5954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1B5954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1B5954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1B5954" w:rsidRPr="001B5954" w14:paraId="7206471D" w14:textId="77777777" w:rsidTr="001B5954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8459A2" w:rsidRPr="001B5954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3A416700" w:rsidR="008459A2" w:rsidRPr="001B5954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6646FA21" w:rsidR="008459A2" w:rsidRPr="001B5954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692FE2BA" w:rsidR="008459A2" w:rsidRPr="001B5954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</w:t>
            </w:r>
          </w:p>
        </w:tc>
      </w:tr>
      <w:tr w:rsidR="001B5954" w:rsidRPr="001B5954" w14:paraId="01ECB1C7" w14:textId="77777777" w:rsidTr="001B5954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8459A2" w:rsidRPr="001B5954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558195A9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86,2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53B7AA25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83,3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746E303B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80,9</w:t>
            </w:r>
          </w:p>
        </w:tc>
      </w:tr>
      <w:tr w:rsidR="001B5954" w:rsidRPr="001B5954" w14:paraId="7093E9FF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8459A2" w:rsidRPr="001B5954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67576263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5871A4AF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423D4C95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6,2</w:t>
            </w:r>
          </w:p>
        </w:tc>
      </w:tr>
      <w:tr w:rsidR="001B5954" w:rsidRPr="001B5954" w14:paraId="601A0FDE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8459A2" w:rsidRPr="001B5954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1E6662AF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7C0BF589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44AFC16D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</w:tr>
      <w:tr w:rsidR="008459A2" w:rsidRPr="001B5954" w14:paraId="2A2EE01D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8459A2" w:rsidRPr="001B5954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58E48A92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71393209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259C4F83" w:rsidR="008459A2" w:rsidRPr="001B5954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</w:tr>
    </w:tbl>
    <w:p w14:paraId="214C8B80" w14:textId="404314DB" w:rsidR="00287EB3" w:rsidRPr="001B5954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650B4D" w:rsidRPr="001B5954">
        <w:rPr>
          <w:rFonts w:eastAsia="Times New Roman"/>
          <w:szCs w:val="19"/>
          <w:highlight w:val="black"/>
          <w:lang w:eastAsia="pl-PL"/>
        </w:rPr>
        <w:t>czerwca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1B5954">
        <w:rPr>
          <w:rFonts w:eastAsia="Times New Roman"/>
          <w:szCs w:val="19"/>
          <w:highlight w:val="black"/>
          <w:lang w:eastAsia="pl-PL"/>
        </w:rPr>
        <w:t>br.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1B5954">
        <w:rPr>
          <w:rFonts w:eastAsia="Times New Roman"/>
          <w:szCs w:val="19"/>
          <w:highlight w:val="black"/>
          <w:lang w:eastAsia="pl-PL"/>
        </w:rPr>
        <w:t>8,</w:t>
      </w:r>
      <w:r w:rsidR="008459A2" w:rsidRPr="001B5954">
        <w:rPr>
          <w:rFonts w:eastAsia="Times New Roman"/>
          <w:szCs w:val="19"/>
          <w:highlight w:val="black"/>
          <w:lang w:eastAsia="pl-PL"/>
        </w:rPr>
        <w:t>5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% i </w:t>
      </w:r>
      <w:r w:rsidR="00B22FA4" w:rsidRPr="001B5954">
        <w:rPr>
          <w:rFonts w:eastAsia="Times New Roman"/>
          <w:szCs w:val="19"/>
          <w:highlight w:val="black"/>
          <w:lang w:eastAsia="pl-PL"/>
        </w:rPr>
        <w:t xml:space="preserve">była niższa 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w </w:t>
      </w:r>
      <w:r w:rsidR="00287EB3" w:rsidRPr="001B5954">
        <w:rPr>
          <w:szCs w:val="19"/>
          <w:highlight w:val="black"/>
        </w:rPr>
        <w:t>odniesieniu do poprzedniego mi</w:t>
      </w:r>
      <w:r w:rsidR="00B22FA4" w:rsidRPr="001B5954">
        <w:rPr>
          <w:szCs w:val="19"/>
          <w:highlight w:val="black"/>
        </w:rPr>
        <w:t>es</w:t>
      </w:r>
      <w:r w:rsidR="00287EB3" w:rsidRPr="001B5954">
        <w:rPr>
          <w:szCs w:val="19"/>
          <w:highlight w:val="black"/>
        </w:rPr>
        <w:t>iąca</w:t>
      </w:r>
      <w:r w:rsidR="00B22FA4" w:rsidRPr="001B5954">
        <w:rPr>
          <w:szCs w:val="19"/>
          <w:highlight w:val="black"/>
        </w:rPr>
        <w:t xml:space="preserve"> o 0,</w:t>
      </w:r>
      <w:r w:rsidR="008459A2" w:rsidRPr="001B5954">
        <w:rPr>
          <w:szCs w:val="19"/>
          <w:highlight w:val="black"/>
        </w:rPr>
        <w:t>2</w:t>
      </w:r>
      <w:r w:rsidR="00B22FA4" w:rsidRPr="001B5954">
        <w:rPr>
          <w:szCs w:val="19"/>
          <w:highlight w:val="black"/>
        </w:rPr>
        <w:t xml:space="preserve"> </w:t>
      </w:r>
      <w:proofErr w:type="spellStart"/>
      <w:r w:rsidR="00B22FA4" w:rsidRPr="001B5954">
        <w:rPr>
          <w:szCs w:val="19"/>
          <w:highlight w:val="black"/>
        </w:rPr>
        <w:t>p.proc</w:t>
      </w:r>
      <w:proofErr w:type="spellEnd"/>
      <w:r w:rsidR="00B22FA4" w:rsidRPr="001B5954">
        <w:rPr>
          <w:szCs w:val="19"/>
          <w:highlight w:val="black"/>
        </w:rPr>
        <w:t>.</w:t>
      </w:r>
      <w:r w:rsidR="004C69FC" w:rsidRPr="001B5954">
        <w:rPr>
          <w:szCs w:val="19"/>
          <w:highlight w:val="black"/>
        </w:rPr>
        <w:t xml:space="preserve"> oraz 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o </w:t>
      </w:r>
      <w:r w:rsidR="00B22FA4" w:rsidRPr="001B5954">
        <w:rPr>
          <w:rFonts w:eastAsia="Times New Roman"/>
          <w:szCs w:val="19"/>
          <w:highlight w:val="black"/>
          <w:lang w:eastAsia="pl-PL"/>
        </w:rPr>
        <w:t>0,</w:t>
      </w:r>
      <w:r w:rsidR="008459A2" w:rsidRPr="001B5954">
        <w:rPr>
          <w:rFonts w:eastAsia="Times New Roman"/>
          <w:szCs w:val="19"/>
          <w:highlight w:val="black"/>
          <w:lang w:eastAsia="pl-PL"/>
        </w:rPr>
        <w:t>5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87EB3"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. </w:t>
      </w:r>
      <w:r w:rsidR="00687664" w:rsidRPr="001B5954">
        <w:rPr>
          <w:rFonts w:eastAsia="Times New Roman"/>
          <w:szCs w:val="19"/>
          <w:highlight w:val="black"/>
          <w:lang w:eastAsia="pl-PL"/>
        </w:rPr>
        <w:t>niż</w:t>
      </w:r>
      <w:r w:rsidR="004C69FC" w:rsidRPr="001B5954">
        <w:rPr>
          <w:rFonts w:eastAsia="Times New Roman"/>
          <w:szCs w:val="19"/>
          <w:highlight w:val="black"/>
          <w:lang w:eastAsia="pl-PL"/>
        </w:rPr>
        <w:t>sza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200A5B" w:rsidRPr="001B5954">
        <w:rPr>
          <w:rFonts w:eastAsia="Times New Roman"/>
          <w:szCs w:val="19"/>
          <w:highlight w:val="black"/>
          <w:lang w:eastAsia="pl-PL"/>
        </w:rPr>
        <w:t xml:space="preserve">niż w </w:t>
      </w:r>
      <w:r w:rsidR="008459A2" w:rsidRPr="001B5954">
        <w:rPr>
          <w:rFonts w:eastAsia="Times New Roman"/>
          <w:szCs w:val="19"/>
          <w:highlight w:val="black"/>
          <w:lang w:eastAsia="pl-PL"/>
        </w:rPr>
        <w:t>czerwcu</w:t>
      </w:r>
      <w:r w:rsidR="00200A5B" w:rsidRPr="001B5954">
        <w:rPr>
          <w:rFonts w:eastAsia="Times New Roman"/>
          <w:szCs w:val="19"/>
          <w:highlight w:val="black"/>
          <w:lang w:eastAsia="pl-PL"/>
        </w:rPr>
        <w:t xml:space="preserve"> 2020 roku. </w:t>
      </w:r>
      <w:r w:rsidR="00287EB3" w:rsidRPr="001B5954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1B5954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650B4D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1B5954">
        <w:rPr>
          <w:rFonts w:eastAsia="Times New Roman"/>
          <w:szCs w:val="19"/>
          <w:highlight w:val="black"/>
          <w:lang w:eastAsia="pl-PL"/>
        </w:rPr>
        <w:t>3,</w:t>
      </w:r>
      <w:r w:rsidR="008459A2" w:rsidRPr="001B5954">
        <w:rPr>
          <w:rFonts w:eastAsia="Times New Roman"/>
          <w:szCs w:val="19"/>
          <w:highlight w:val="black"/>
          <w:lang w:eastAsia="pl-PL"/>
        </w:rPr>
        <w:t>5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A10A2C" w:rsidRPr="001B5954">
        <w:rPr>
          <w:rFonts w:eastAsia="Times New Roman"/>
          <w:szCs w:val="19"/>
          <w:highlight w:val="black"/>
          <w:lang w:eastAsia="pl-PL"/>
        </w:rPr>
        <w:t>9,2</w:t>
      </w:r>
      <w:r w:rsidR="00287EB3" w:rsidRPr="001B5954">
        <w:rPr>
          <w:rFonts w:eastAsia="Times New Roman"/>
          <w:szCs w:val="19"/>
          <w:highlight w:val="black"/>
          <w:lang w:eastAsia="pl-PL"/>
        </w:rPr>
        <w:t>%). W kraju stopa bezrobocia wyniosła</w:t>
      </w:r>
      <w:r w:rsidR="00A10A2C" w:rsidRPr="001B5954">
        <w:rPr>
          <w:rFonts w:eastAsia="Times New Roman"/>
          <w:szCs w:val="19"/>
          <w:highlight w:val="black"/>
          <w:lang w:eastAsia="pl-PL"/>
        </w:rPr>
        <w:t xml:space="preserve"> 5,9</w:t>
      </w:r>
      <w:r w:rsidR="00B22FA4" w:rsidRPr="001B5954">
        <w:rPr>
          <w:rFonts w:eastAsia="Times New Roman"/>
          <w:szCs w:val="19"/>
          <w:highlight w:val="black"/>
          <w:lang w:eastAsia="pl-PL"/>
        </w:rPr>
        <w:t>%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1B5954">
        <w:rPr>
          <w:rFonts w:eastAsia="Times New Roman"/>
          <w:szCs w:val="19"/>
          <w:highlight w:val="black"/>
          <w:lang w:eastAsia="pl-PL"/>
        </w:rPr>
        <w:t>6,</w:t>
      </w:r>
      <w:r w:rsidR="00A10A2C" w:rsidRPr="001B5954">
        <w:rPr>
          <w:rFonts w:eastAsia="Times New Roman"/>
          <w:szCs w:val="19"/>
          <w:highlight w:val="black"/>
          <w:lang w:eastAsia="pl-PL"/>
        </w:rPr>
        <w:t>1</w:t>
      </w:r>
      <w:r w:rsidR="00287EB3" w:rsidRPr="001B5954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1B5954" w:rsidRDefault="002168BA" w:rsidP="0065797B">
      <w:pPr>
        <w:pStyle w:val="Nagwek5"/>
        <w:rPr>
          <w:highlight w:val="black"/>
        </w:rPr>
      </w:pPr>
      <w:r w:rsidRPr="001B5954">
        <w:rPr>
          <w:highlight w:val="black"/>
        </w:rPr>
        <w:t>Stopa bezrobocia rejestrowanego (stan w końcu miesiąca)</w:t>
      </w:r>
    </w:p>
    <w:p w14:paraId="23C3294D" w14:textId="3A038DB6" w:rsidR="00900C6C" w:rsidRPr="001B5954" w:rsidRDefault="0005649F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35605DFA" wp14:editId="645FFCE9">
            <wp:extent cx="6635750" cy="3047438"/>
            <wp:effectExtent l="0" t="0" r="12700" b="635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A6983E" w14:textId="4CB81BE6" w:rsidR="00BC721C" w:rsidRPr="001B5954" w:rsidRDefault="002146B3" w:rsidP="00104277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A10A2C" w:rsidRPr="001B5954">
        <w:rPr>
          <w:rFonts w:eastAsia="Times New Roman"/>
          <w:szCs w:val="19"/>
          <w:highlight w:val="black"/>
          <w:lang w:eastAsia="pl-PL"/>
        </w:rPr>
        <w:t>czerwca</w:t>
      </w:r>
      <w:r w:rsidR="00287EB3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202</w:t>
      </w:r>
      <w:r w:rsidR="00287EB3" w:rsidRPr="001B5954">
        <w:rPr>
          <w:rFonts w:eastAsia="Times New Roman"/>
          <w:szCs w:val="19"/>
          <w:highlight w:val="black"/>
          <w:lang w:eastAsia="pl-PL"/>
        </w:rPr>
        <w:t>1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1B5954">
        <w:rPr>
          <w:rFonts w:eastAsia="Times New Roman"/>
          <w:szCs w:val="19"/>
          <w:highlight w:val="black"/>
          <w:lang w:eastAsia="pl-PL"/>
        </w:rPr>
        <w:t>iecie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1B5954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1B5954">
        <w:rPr>
          <w:rFonts w:eastAsia="Times New Roman"/>
          <w:szCs w:val="19"/>
          <w:highlight w:val="black"/>
          <w:lang w:eastAsia="pl-PL"/>
        </w:rPr>
        <w:t>(</w:t>
      </w:r>
      <w:r w:rsidR="00B22FA4" w:rsidRPr="001B5954">
        <w:rPr>
          <w:rFonts w:eastAsia="Times New Roman"/>
          <w:szCs w:val="19"/>
          <w:highlight w:val="black"/>
          <w:lang w:eastAsia="pl-PL"/>
        </w:rPr>
        <w:t>1</w:t>
      </w:r>
      <w:r w:rsidR="00EB65EB" w:rsidRPr="001B5954">
        <w:rPr>
          <w:rFonts w:eastAsia="Times New Roman"/>
          <w:szCs w:val="19"/>
          <w:highlight w:val="black"/>
          <w:lang w:eastAsia="pl-PL"/>
        </w:rPr>
        <w:t>5,</w:t>
      </w:r>
      <w:r w:rsidR="00A10A2C" w:rsidRPr="001B5954">
        <w:rPr>
          <w:rFonts w:eastAsia="Times New Roman"/>
          <w:szCs w:val="19"/>
          <w:highlight w:val="black"/>
          <w:lang w:eastAsia="pl-PL"/>
        </w:rPr>
        <w:t>4</w:t>
      </w:r>
      <w:r w:rsidR="00B4102D" w:rsidRPr="001B5954">
        <w:rPr>
          <w:rFonts w:eastAsia="Times New Roman"/>
          <w:szCs w:val="19"/>
          <w:highlight w:val="black"/>
          <w:lang w:eastAsia="pl-PL"/>
        </w:rPr>
        <w:t xml:space="preserve">%), 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1B5954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1B5954">
        <w:rPr>
          <w:rFonts w:eastAsia="Times New Roman"/>
          <w:szCs w:val="19"/>
          <w:highlight w:val="black"/>
          <w:lang w:eastAsia="pl-PL"/>
        </w:rPr>
        <w:t>2,</w:t>
      </w:r>
      <w:r w:rsidR="00A10A2C" w:rsidRPr="001B5954">
        <w:rPr>
          <w:rFonts w:eastAsia="Times New Roman"/>
          <w:szCs w:val="19"/>
          <w:highlight w:val="black"/>
          <w:lang w:eastAsia="pl-PL"/>
        </w:rPr>
        <w:t>8</w:t>
      </w:r>
      <w:r w:rsidRPr="001B5954">
        <w:rPr>
          <w:rFonts w:eastAsia="Times New Roman"/>
          <w:szCs w:val="19"/>
          <w:highlight w:val="black"/>
          <w:lang w:eastAsia="pl-PL"/>
        </w:rPr>
        <w:t>%).</w:t>
      </w:r>
      <w:r w:rsidR="00104277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 w:cs="Arial"/>
          <w:szCs w:val="19"/>
          <w:highlight w:val="black"/>
          <w:lang w:eastAsia="pl-PL"/>
        </w:rPr>
        <w:t>W po</w:t>
      </w:r>
      <w:r w:rsidR="00551EB2" w:rsidRPr="001B5954">
        <w:rPr>
          <w:rFonts w:eastAsia="Times New Roman" w:cs="Arial"/>
          <w:szCs w:val="19"/>
          <w:highlight w:val="black"/>
          <w:lang w:eastAsia="pl-PL"/>
        </w:rPr>
        <w:t>równaniu z poprzednim miesiącem</w:t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A1795" w:rsidRPr="001B5954">
        <w:rPr>
          <w:rFonts w:eastAsia="Times New Roman" w:cs="Arial"/>
          <w:szCs w:val="19"/>
          <w:highlight w:val="black"/>
          <w:lang w:eastAsia="pl-PL"/>
        </w:rPr>
        <w:t>spadek stopy bezrobocia zanotowano w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 xml:space="preserve"> dwudziestu czterech </w:t>
      </w:r>
      <w:r w:rsidR="001A1795" w:rsidRPr="001B5954">
        <w:rPr>
          <w:rFonts w:eastAsia="Times New Roman" w:cs="Arial"/>
          <w:szCs w:val="19"/>
          <w:highlight w:val="black"/>
          <w:lang w:eastAsia="pl-PL"/>
        </w:rPr>
        <w:t>powiatach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>. W powiecie mieleckim pozostała na tym samym poziomie, co w maju 2021</w:t>
      </w:r>
      <w:r w:rsidR="00817FF4" w:rsidRPr="001B5954">
        <w:rPr>
          <w:rFonts w:eastAsia="Times New Roman" w:cs="Arial"/>
          <w:szCs w:val="19"/>
          <w:highlight w:val="black"/>
          <w:lang w:eastAsia="pl-PL"/>
        </w:rPr>
        <w:t xml:space="preserve"> r.</w:t>
      </w:r>
    </w:p>
    <w:p w14:paraId="29C15698" w14:textId="27E36D99" w:rsidR="002146B3" w:rsidRPr="001B5954" w:rsidRDefault="002146B3" w:rsidP="00ED6174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B5954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>czerwcem</w:t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1B5954">
        <w:rPr>
          <w:rFonts w:eastAsia="Times New Roman" w:cs="Arial"/>
          <w:szCs w:val="19"/>
          <w:highlight w:val="black"/>
          <w:lang w:eastAsia="pl-PL"/>
        </w:rPr>
        <w:t>020</w:t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1B5954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 xml:space="preserve">spadek </w:t>
      </w:r>
      <w:r w:rsidRPr="001B5954">
        <w:rPr>
          <w:rFonts w:eastAsia="Times New Roman" w:cs="Arial"/>
          <w:szCs w:val="19"/>
          <w:highlight w:val="black"/>
          <w:lang w:eastAsia="pl-PL"/>
        </w:rPr>
        <w:t>stopy bezrobocia rejestrowanego zanotowano w</w:t>
      </w:r>
      <w:r w:rsidR="00443495" w:rsidRPr="001B595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>dwudziestu trzech</w:t>
      </w:r>
      <w:r w:rsidR="00443495" w:rsidRPr="001B595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>leskim</w:t>
      </w:r>
      <w:r w:rsidR="00AA6CCE" w:rsidRPr="001B595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(o </w:t>
      </w:r>
      <w:r w:rsidR="00A10A2C" w:rsidRPr="001B5954">
        <w:rPr>
          <w:rFonts w:eastAsia="Times New Roman" w:cs="Arial"/>
          <w:szCs w:val="19"/>
          <w:highlight w:val="black"/>
          <w:lang w:eastAsia="pl-PL"/>
        </w:rPr>
        <w:t>1,5</w:t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1B5954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1B5954">
        <w:rPr>
          <w:rFonts w:eastAsia="Times New Roman" w:cs="Arial"/>
          <w:szCs w:val="19"/>
          <w:highlight w:val="black"/>
          <w:lang w:eastAsia="pl-PL"/>
        </w:rPr>
        <w:t>.).</w:t>
      </w:r>
      <w:r w:rsidR="00ED6174" w:rsidRPr="001B5954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F54C4DD" w14:textId="1A14FA1B" w:rsidR="005C4EFA" w:rsidRPr="001B5954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1B5954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1B5954">
        <w:rPr>
          <w:rFonts w:eastAsia="Times New Roman"/>
          <w:b/>
          <w:highlight w:val="black"/>
          <w:lang w:eastAsia="pl-PL"/>
        </w:rPr>
        <w:t>1</w:t>
      </w:r>
      <w:r w:rsidRPr="001B5954">
        <w:rPr>
          <w:rFonts w:eastAsia="Times New Roman"/>
          <w:b/>
          <w:highlight w:val="black"/>
          <w:lang w:eastAsia="pl-PL"/>
        </w:rPr>
        <w:t xml:space="preserve"> r. (stan w końcu </w:t>
      </w:r>
      <w:r w:rsidR="00771DF2" w:rsidRPr="001B5954">
        <w:rPr>
          <w:rFonts w:eastAsia="Times New Roman"/>
          <w:b/>
          <w:highlight w:val="black"/>
          <w:lang w:eastAsia="pl-PL"/>
        </w:rPr>
        <w:t>czerwca</w:t>
      </w:r>
      <w:r w:rsidRPr="001B5954">
        <w:rPr>
          <w:rFonts w:eastAsia="Times New Roman"/>
          <w:b/>
          <w:highlight w:val="black"/>
          <w:lang w:eastAsia="pl-PL"/>
        </w:rPr>
        <w:t>)</w:t>
      </w:r>
    </w:p>
    <w:p w14:paraId="1B1DF39C" w14:textId="3FDD0481" w:rsidR="005C4EFA" w:rsidRPr="001B5954" w:rsidRDefault="00B83FB4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1D02A301" wp14:editId="0DE449EE">
            <wp:extent cx="4425705" cy="494386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opa_06_2021_kolo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705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3F3EC036" w:rsidR="0013565C" w:rsidRPr="001B5954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>czerwcu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1B5954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AA6CCE" w:rsidRPr="001B5954">
        <w:rPr>
          <w:rFonts w:eastAsia="Times New Roman"/>
          <w:spacing w:val="-4"/>
          <w:szCs w:val="19"/>
          <w:highlight w:val="black"/>
          <w:lang w:eastAsia="pl-PL"/>
        </w:rPr>
        <w:t>6,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>2,9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, a 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>22,1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1B5954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B5954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1B5954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234972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B5954">
        <w:rPr>
          <w:rFonts w:eastAsia="Times New Roman"/>
          <w:szCs w:val="19"/>
          <w:highlight w:val="black"/>
          <w:lang w:eastAsia="pl-PL"/>
        </w:rPr>
        <w:t>obniżył się</w:t>
      </w:r>
      <w:r w:rsidR="005B567D" w:rsidRPr="001B5954">
        <w:rPr>
          <w:rFonts w:eastAsia="Times New Roman"/>
          <w:szCs w:val="19"/>
          <w:highlight w:val="black"/>
          <w:lang w:eastAsia="pl-PL"/>
        </w:rPr>
        <w:br/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w stosunku do </w:t>
      </w:r>
      <w:r w:rsidR="00F101C8" w:rsidRPr="001B5954">
        <w:rPr>
          <w:rFonts w:eastAsia="Times New Roman"/>
          <w:szCs w:val="19"/>
          <w:highlight w:val="black"/>
          <w:lang w:eastAsia="pl-PL"/>
        </w:rPr>
        <w:t>czerwca</w:t>
      </w:r>
      <w:r w:rsidR="00995421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1B5954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F101C8" w:rsidRPr="001B5954">
        <w:rPr>
          <w:rFonts w:eastAsia="Times New Roman"/>
          <w:szCs w:val="19"/>
          <w:highlight w:val="black"/>
          <w:lang w:eastAsia="pl-PL"/>
        </w:rPr>
        <w:t>1,7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. do </w:t>
      </w:r>
      <w:r w:rsidR="00F101C8" w:rsidRPr="001B5954">
        <w:rPr>
          <w:rFonts w:eastAsia="Times New Roman"/>
          <w:szCs w:val="19"/>
          <w:highlight w:val="black"/>
          <w:lang w:eastAsia="pl-PL"/>
        </w:rPr>
        <w:t>80,8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%). </w:t>
      </w:r>
      <w:r w:rsidR="00A6389A" w:rsidRPr="001B5954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1B5954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F101C8" w:rsidRPr="001B5954">
        <w:rPr>
          <w:rFonts w:eastAsia="Times New Roman"/>
          <w:szCs w:val="19"/>
          <w:highlight w:val="black"/>
          <w:lang w:eastAsia="pl-PL"/>
        </w:rPr>
        <w:t>1,0</w:t>
      </w:r>
      <w:r w:rsidR="005B567D" w:rsidRPr="001B595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5B567D"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B567D" w:rsidRPr="001B5954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do </w:t>
      </w:r>
      <w:r w:rsidR="006A5709" w:rsidRPr="001B5954">
        <w:rPr>
          <w:rFonts w:eastAsia="Times New Roman"/>
          <w:szCs w:val="19"/>
          <w:highlight w:val="black"/>
          <w:lang w:eastAsia="pl-PL"/>
        </w:rPr>
        <w:t>1</w:t>
      </w:r>
      <w:r w:rsidR="00F101C8" w:rsidRPr="001B5954">
        <w:rPr>
          <w:rFonts w:eastAsia="Times New Roman"/>
          <w:szCs w:val="19"/>
          <w:highlight w:val="black"/>
          <w:lang w:eastAsia="pl-PL"/>
        </w:rPr>
        <w:t>2,9</w:t>
      </w:r>
      <w:r w:rsidR="002219EE" w:rsidRPr="001B5954">
        <w:rPr>
          <w:rFonts w:eastAsia="Times New Roman"/>
          <w:szCs w:val="19"/>
          <w:highlight w:val="black"/>
          <w:lang w:eastAsia="pl-PL"/>
        </w:rPr>
        <w:t>%), jak również u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dział absolwentów (o </w:t>
      </w:r>
      <w:r w:rsidR="00F101C8" w:rsidRPr="001B5954">
        <w:rPr>
          <w:rFonts w:eastAsia="Times New Roman"/>
          <w:szCs w:val="19"/>
          <w:highlight w:val="black"/>
          <w:lang w:eastAsia="pl-PL"/>
        </w:rPr>
        <w:t>1,0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. do </w:t>
      </w:r>
      <w:r w:rsidR="00F101C8" w:rsidRPr="001B5954">
        <w:rPr>
          <w:rFonts w:eastAsia="Times New Roman"/>
          <w:szCs w:val="19"/>
          <w:highlight w:val="black"/>
          <w:lang w:eastAsia="pl-PL"/>
        </w:rPr>
        <w:t>9,3</w:t>
      </w:r>
      <w:r w:rsidR="0013565C" w:rsidRPr="001B5954">
        <w:rPr>
          <w:rFonts w:eastAsia="Times New Roman"/>
          <w:szCs w:val="19"/>
          <w:highlight w:val="black"/>
          <w:lang w:eastAsia="pl-PL"/>
        </w:rPr>
        <w:t>%)</w:t>
      </w:r>
      <w:r w:rsidR="009F28FB" w:rsidRPr="001B5954">
        <w:rPr>
          <w:rFonts w:eastAsia="Times New Roman"/>
          <w:szCs w:val="19"/>
          <w:highlight w:val="black"/>
          <w:lang w:eastAsia="pl-PL"/>
        </w:rPr>
        <w:t xml:space="preserve">. Zmniejszył się natomiast </w:t>
      </w:r>
      <w:r w:rsidR="00067589" w:rsidRPr="001B5954">
        <w:rPr>
          <w:rFonts w:eastAsia="Times New Roman"/>
          <w:szCs w:val="19"/>
          <w:highlight w:val="black"/>
          <w:lang w:eastAsia="pl-PL"/>
        </w:rPr>
        <w:t>udział osób zwolnionych</w:t>
      </w:r>
      <w:r w:rsidR="009F28FB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B5954">
        <w:rPr>
          <w:rFonts w:eastAsia="Times New Roman"/>
          <w:szCs w:val="19"/>
          <w:highlight w:val="black"/>
          <w:lang w:eastAsia="pl-PL"/>
        </w:rPr>
        <w:t>z przyczyn dotyczących zakładu pracy</w:t>
      </w:r>
      <w:r w:rsidR="00067589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(o </w:t>
      </w:r>
      <w:r w:rsidR="001E58C9" w:rsidRPr="001B5954">
        <w:rPr>
          <w:rFonts w:eastAsia="Times New Roman"/>
          <w:szCs w:val="19"/>
          <w:highlight w:val="black"/>
          <w:lang w:eastAsia="pl-PL"/>
        </w:rPr>
        <w:t>3,</w:t>
      </w:r>
      <w:r w:rsidR="00650FE5" w:rsidRPr="001B5954">
        <w:rPr>
          <w:rFonts w:eastAsia="Times New Roman"/>
          <w:szCs w:val="19"/>
          <w:highlight w:val="black"/>
          <w:lang w:eastAsia="pl-PL"/>
        </w:rPr>
        <w:t>1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. do </w:t>
      </w:r>
      <w:r w:rsidR="00650FE5" w:rsidRPr="001B5954">
        <w:rPr>
          <w:rFonts w:eastAsia="Times New Roman"/>
          <w:szCs w:val="19"/>
          <w:highlight w:val="black"/>
          <w:lang w:eastAsia="pl-PL"/>
        </w:rPr>
        <w:t>4,3</w:t>
      </w:r>
      <w:r w:rsidR="0013565C" w:rsidRPr="001B5954">
        <w:rPr>
          <w:rFonts w:eastAsia="Times New Roman"/>
          <w:szCs w:val="19"/>
          <w:highlight w:val="black"/>
          <w:lang w:eastAsia="pl-PL"/>
        </w:rPr>
        <w:t xml:space="preserve">%). </w:t>
      </w:r>
      <w:r w:rsidR="0013565C" w:rsidRPr="001B5954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1B5954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9F28FB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B5954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1B5954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B5954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7A55D1" w:rsidRPr="001B5954">
        <w:rPr>
          <w:rFonts w:eastAsia="Times New Roman"/>
          <w:szCs w:val="19"/>
          <w:highlight w:val="black"/>
          <w:lang w:eastAsia="pl-PL"/>
        </w:rPr>
        <w:t>6</w:t>
      </w:r>
      <w:r w:rsidR="0013565C" w:rsidRPr="001B5954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6419CE19" w:rsidR="0013565C" w:rsidRPr="001B5954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t xml:space="preserve">W </w:t>
      </w:r>
      <w:r w:rsidR="00A10A2C" w:rsidRPr="001B5954">
        <w:rPr>
          <w:rFonts w:eastAsia="Times New Roman"/>
          <w:szCs w:val="19"/>
          <w:highlight w:val="black"/>
          <w:lang w:eastAsia="pl-PL"/>
        </w:rPr>
        <w:t>czerwcu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1B5954">
        <w:rPr>
          <w:rFonts w:eastAsia="Times New Roman"/>
          <w:szCs w:val="19"/>
          <w:highlight w:val="black"/>
          <w:lang w:eastAsia="pl-PL"/>
        </w:rPr>
        <w:t xml:space="preserve">br. 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1B5954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1B5954">
        <w:rPr>
          <w:rFonts w:eastAsia="Times New Roman"/>
          <w:szCs w:val="19"/>
          <w:highlight w:val="black"/>
          <w:lang w:eastAsia="pl-PL"/>
        </w:rPr>
        <w:t>8,</w:t>
      </w:r>
      <w:r w:rsidR="00BE5B0E" w:rsidRPr="001B5954">
        <w:rPr>
          <w:rFonts w:eastAsia="Times New Roman"/>
          <w:szCs w:val="19"/>
          <w:highlight w:val="black"/>
          <w:lang w:eastAsia="pl-PL"/>
        </w:rPr>
        <w:t>5</w:t>
      </w:r>
      <w:r w:rsidR="007A55D1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A10A2C" w:rsidRPr="001B5954">
        <w:rPr>
          <w:rFonts w:eastAsia="Times New Roman"/>
          <w:szCs w:val="19"/>
          <w:highlight w:val="black"/>
          <w:lang w:eastAsia="pl-PL"/>
        </w:rPr>
        <w:t>0</w:t>
      </w:r>
      <w:r w:rsidR="002B557B" w:rsidRPr="001B5954">
        <w:rPr>
          <w:rFonts w:eastAsia="Times New Roman"/>
          <w:szCs w:val="19"/>
          <w:highlight w:val="black"/>
          <w:lang w:eastAsia="pl-PL"/>
        </w:rPr>
        <w:t>,5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% </w:t>
      </w:r>
      <w:r w:rsidR="007A55D1" w:rsidRPr="001B5954">
        <w:rPr>
          <w:rFonts w:eastAsia="Times New Roman"/>
          <w:szCs w:val="19"/>
          <w:highlight w:val="black"/>
          <w:lang w:eastAsia="pl-PL"/>
        </w:rPr>
        <w:t>mniej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2B557B" w:rsidRPr="001B5954">
        <w:rPr>
          <w:rFonts w:eastAsia="Times New Roman"/>
          <w:szCs w:val="19"/>
          <w:highlight w:val="black"/>
          <w:lang w:eastAsia="pl-PL"/>
        </w:rPr>
        <w:t xml:space="preserve">, </w:t>
      </w:r>
      <w:r w:rsidR="00971967" w:rsidRPr="001B5954">
        <w:rPr>
          <w:rFonts w:eastAsia="Times New Roman"/>
          <w:szCs w:val="19"/>
          <w:highlight w:val="black"/>
          <w:lang w:eastAsia="pl-PL"/>
        </w:rPr>
        <w:br/>
      </w:r>
      <w:r w:rsidR="002B557B" w:rsidRPr="001B5954">
        <w:rPr>
          <w:rFonts w:eastAsia="Times New Roman"/>
          <w:szCs w:val="19"/>
          <w:highlight w:val="black"/>
          <w:lang w:eastAsia="pl-PL"/>
        </w:rPr>
        <w:t xml:space="preserve">a o </w:t>
      </w:r>
      <w:r w:rsidR="00A10A2C" w:rsidRPr="001B5954">
        <w:rPr>
          <w:rFonts w:eastAsia="Times New Roman"/>
          <w:szCs w:val="19"/>
          <w:highlight w:val="black"/>
          <w:lang w:eastAsia="pl-PL"/>
        </w:rPr>
        <w:t>14,6</w:t>
      </w:r>
      <w:r w:rsidR="004411D3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B66ABF" w:rsidRPr="001B5954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="004411D3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niż w </w:t>
      </w:r>
      <w:r w:rsidR="00A10A2C" w:rsidRPr="001B5954">
        <w:rPr>
          <w:rFonts w:eastAsia="Times New Roman"/>
          <w:spacing w:val="-4"/>
          <w:szCs w:val="19"/>
          <w:highlight w:val="black"/>
          <w:lang w:eastAsia="pl-PL"/>
        </w:rPr>
        <w:t>czerwcu</w:t>
      </w:r>
      <w:r w:rsidR="000D7C1D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7A55D1" w:rsidRPr="001B5954">
        <w:rPr>
          <w:rFonts w:eastAsia="Times New Roman"/>
          <w:szCs w:val="19"/>
          <w:highlight w:val="black"/>
          <w:lang w:eastAsia="pl-PL"/>
        </w:rPr>
        <w:t>5,</w:t>
      </w:r>
      <w:r w:rsidR="00A10A2C" w:rsidRPr="001B5954">
        <w:rPr>
          <w:rFonts w:eastAsia="Times New Roman"/>
          <w:szCs w:val="19"/>
          <w:highlight w:val="black"/>
          <w:lang w:eastAsia="pl-PL"/>
        </w:rPr>
        <w:t>2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040C50" w:rsidRPr="001B5954">
        <w:rPr>
          <w:rFonts w:eastAsia="Times New Roman"/>
          <w:szCs w:val="19"/>
          <w:highlight w:val="black"/>
          <w:lang w:eastAsia="pl-PL"/>
        </w:rPr>
        <w:t>4,9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1B5954">
        <w:rPr>
          <w:rFonts w:eastAsia="Times New Roman"/>
          <w:szCs w:val="19"/>
          <w:highlight w:val="black"/>
          <w:lang w:eastAsia="pl-PL"/>
        </w:rPr>
        <w:t>zmniejszył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ujęciu rocznym (o </w:t>
      </w:r>
      <w:r w:rsidR="00F101C8" w:rsidRPr="001B5954">
        <w:rPr>
          <w:rFonts w:eastAsia="Times New Roman"/>
          <w:szCs w:val="19"/>
          <w:highlight w:val="black"/>
          <w:lang w:eastAsia="pl-PL"/>
        </w:rPr>
        <w:t>4,3</w:t>
      </w:r>
      <w:r w:rsidRPr="001B595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1B5954">
        <w:rPr>
          <w:rFonts w:eastAsia="Times New Roman"/>
          <w:szCs w:val="19"/>
          <w:highlight w:val="black"/>
          <w:lang w:eastAsia="pl-PL"/>
        </w:rPr>
        <w:t xml:space="preserve">. do </w:t>
      </w:r>
      <w:r w:rsidR="00F101C8" w:rsidRPr="001B5954">
        <w:rPr>
          <w:rFonts w:eastAsia="Times New Roman"/>
          <w:szCs w:val="19"/>
          <w:highlight w:val="black"/>
          <w:lang w:eastAsia="pl-PL"/>
        </w:rPr>
        <w:t>61,3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64523741" w:rsidR="0060411E" w:rsidRPr="001B5954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1B5954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693863" w:rsidRPr="001B5954">
        <w:rPr>
          <w:rFonts w:eastAsia="Times New Roman"/>
          <w:spacing w:val="-2"/>
          <w:szCs w:val="19"/>
          <w:highlight w:val="black"/>
          <w:lang w:eastAsia="pl-PL"/>
        </w:rPr>
        <w:t>większył</w:t>
      </w:r>
      <w:r w:rsidR="007A55D1" w:rsidRPr="001B5954">
        <w:rPr>
          <w:rFonts w:eastAsia="Times New Roman"/>
          <w:spacing w:val="-2"/>
          <w:szCs w:val="19"/>
          <w:highlight w:val="black"/>
          <w:lang w:eastAsia="pl-PL"/>
        </w:rPr>
        <w:t xml:space="preserve">  się odsetek osób</w:t>
      </w:r>
      <w:r w:rsidR="007A55D1" w:rsidRPr="001B5954">
        <w:rPr>
          <w:rFonts w:eastAsia="Times New Roman"/>
          <w:szCs w:val="19"/>
          <w:highlight w:val="black"/>
          <w:lang w:eastAsia="pl-PL"/>
        </w:rPr>
        <w:t xml:space="preserve">, </w:t>
      </w:r>
      <w:r w:rsidRPr="001B5954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1B5954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1B5954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1B5954">
        <w:rPr>
          <w:szCs w:val="19"/>
          <w:highlight w:val="black"/>
        </w:rPr>
        <w:t xml:space="preserve">(o </w:t>
      </w:r>
      <w:r w:rsidR="005D5CAD" w:rsidRPr="001B5954">
        <w:rPr>
          <w:szCs w:val="19"/>
          <w:highlight w:val="black"/>
        </w:rPr>
        <w:t>2,1</w:t>
      </w:r>
      <w:r w:rsidR="007A55D1" w:rsidRPr="001B5954">
        <w:rPr>
          <w:szCs w:val="19"/>
          <w:highlight w:val="black"/>
        </w:rPr>
        <w:t xml:space="preserve"> </w:t>
      </w:r>
      <w:proofErr w:type="spellStart"/>
      <w:r w:rsidR="007A55D1" w:rsidRPr="001B5954">
        <w:rPr>
          <w:szCs w:val="19"/>
          <w:highlight w:val="black"/>
        </w:rPr>
        <w:t>p.proc</w:t>
      </w:r>
      <w:proofErr w:type="spellEnd"/>
      <w:r w:rsidR="007A55D1" w:rsidRPr="001B5954">
        <w:rPr>
          <w:szCs w:val="19"/>
          <w:highlight w:val="black"/>
        </w:rPr>
        <w:t xml:space="preserve">. do </w:t>
      </w:r>
      <w:r w:rsidR="005D5CAD" w:rsidRPr="001B5954">
        <w:rPr>
          <w:szCs w:val="19"/>
          <w:highlight w:val="black"/>
        </w:rPr>
        <w:t>9,6</w:t>
      </w:r>
      <w:r w:rsidR="007A55D1" w:rsidRPr="001B5954">
        <w:rPr>
          <w:szCs w:val="19"/>
          <w:highlight w:val="black"/>
        </w:rPr>
        <w:t xml:space="preserve">%), </w:t>
      </w:r>
      <w:r w:rsidR="00B13F42" w:rsidRPr="001B5954">
        <w:rPr>
          <w:szCs w:val="19"/>
          <w:highlight w:val="black"/>
        </w:rPr>
        <w:t>osób,</w:t>
      </w:r>
      <w:r w:rsidR="00693863" w:rsidRPr="001B5954">
        <w:rPr>
          <w:szCs w:val="19"/>
          <w:highlight w:val="black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które nie potwierdziły gotowości do podjęcia pracy (o </w:t>
      </w:r>
      <w:r w:rsidR="005D5CAD" w:rsidRPr="001B5954">
        <w:rPr>
          <w:rFonts w:eastAsia="Times New Roman"/>
          <w:szCs w:val="19"/>
          <w:highlight w:val="black"/>
          <w:lang w:eastAsia="pl-PL"/>
        </w:rPr>
        <w:t>4,1</w:t>
      </w:r>
      <w:r w:rsidR="003703BB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1B5954">
        <w:rPr>
          <w:rFonts w:eastAsia="Times New Roman"/>
          <w:szCs w:val="19"/>
          <w:highlight w:val="black"/>
          <w:lang w:eastAsia="pl-PL"/>
        </w:rPr>
        <w:t xml:space="preserve">. do </w:t>
      </w:r>
      <w:r w:rsidR="005D5CAD" w:rsidRPr="001B5954">
        <w:rPr>
          <w:rFonts w:eastAsia="Times New Roman"/>
          <w:szCs w:val="19"/>
          <w:highlight w:val="black"/>
          <w:lang w:eastAsia="pl-PL"/>
        </w:rPr>
        <w:t>10,</w:t>
      </w:r>
      <w:r w:rsidR="001E58C9" w:rsidRPr="001B5954">
        <w:rPr>
          <w:rFonts w:eastAsia="Times New Roman"/>
          <w:szCs w:val="19"/>
          <w:highlight w:val="black"/>
          <w:lang w:eastAsia="pl-PL"/>
        </w:rPr>
        <w:t>7</w:t>
      </w:r>
      <w:r w:rsidR="000D7C1D" w:rsidRPr="001B5954">
        <w:rPr>
          <w:rFonts w:eastAsia="Times New Roman"/>
          <w:szCs w:val="19"/>
          <w:highlight w:val="black"/>
          <w:lang w:eastAsia="pl-PL"/>
        </w:rPr>
        <w:t>%)</w:t>
      </w:r>
      <w:r w:rsidR="001E58C9" w:rsidRPr="001B5954">
        <w:rPr>
          <w:rFonts w:eastAsia="Times New Roman"/>
          <w:szCs w:val="19"/>
          <w:highlight w:val="black"/>
          <w:lang w:eastAsia="pl-PL"/>
        </w:rPr>
        <w:t xml:space="preserve">. </w:t>
      </w:r>
      <w:r w:rsidR="005D5CAD" w:rsidRPr="001B5954">
        <w:rPr>
          <w:rFonts w:eastAsia="Times New Roman"/>
          <w:szCs w:val="19"/>
          <w:highlight w:val="black"/>
          <w:lang w:eastAsia="pl-PL"/>
        </w:rPr>
        <w:t>Zwięk</w:t>
      </w:r>
      <w:r w:rsidR="001E58C9" w:rsidRPr="001B5954">
        <w:rPr>
          <w:rFonts w:eastAsia="Times New Roman"/>
          <w:szCs w:val="19"/>
          <w:highlight w:val="black"/>
          <w:lang w:eastAsia="pl-PL"/>
        </w:rPr>
        <w:t xml:space="preserve">szył się </w:t>
      </w:r>
      <w:r w:rsidR="005D5CAD" w:rsidRPr="001B5954">
        <w:rPr>
          <w:rFonts w:eastAsia="Times New Roman"/>
          <w:szCs w:val="19"/>
          <w:highlight w:val="black"/>
          <w:lang w:eastAsia="pl-PL"/>
        </w:rPr>
        <w:t xml:space="preserve"> również </w:t>
      </w:r>
      <w:r w:rsidR="001E58C9" w:rsidRPr="001B5954">
        <w:rPr>
          <w:rFonts w:eastAsia="Times New Roman"/>
          <w:szCs w:val="19"/>
          <w:highlight w:val="black"/>
          <w:lang w:eastAsia="pl-PL"/>
        </w:rPr>
        <w:t>udział</w:t>
      </w:r>
      <w:r w:rsidR="003703BB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2168BA" w:rsidRPr="001B5954">
        <w:rPr>
          <w:rFonts w:eastAsia="Times New Roman"/>
          <w:szCs w:val="19"/>
          <w:highlight w:val="black"/>
          <w:lang w:eastAsia="pl-PL"/>
        </w:rPr>
        <w:t>osób</w:t>
      </w:r>
      <w:r w:rsidR="00F374FE" w:rsidRPr="001B5954">
        <w:rPr>
          <w:rFonts w:eastAsia="Times New Roman"/>
          <w:szCs w:val="19"/>
          <w:highlight w:val="black"/>
          <w:lang w:eastAsia="pl-PL"/>
        </w:rPr>
        <w:t>,</w:t>
      </w:r>
      <w:r w:rsidR="002168BA" w:rsidRPr="001B5954">
        <w:rPr>
          <w:rFonts w:eastAsia="Times New Roman"/>
          <w:szCs w:val="19"/>
          <w:highlight w:val="black"/>
          <w:lang w:eastAsia="pl-PL"/>
        </w:rPr>
        <w:t xml:space="preserve"> które dobrowolnie zrezygnowały</w:t>
      </w:r>
      <w:r w:rsidR="005B567D" w:rsidRPr="001B5954">
        <w:rPr>
          <w:rFonts w:eastAsia="Times New Roman"/>
          <w:szCs w:val="19"/>
          <w:highlight w:val="black"/>
          <w:lang w:eastAsia="pl-PL"/>
        </w:rPr>
        <w:br/>
      </w:r>
      <w:r w:rsidR="00B13F42" w:rsidRPr="001B5954">
        <w:rPr>
          <w:rFonts w:eastAsia="Times New Roman"/>
          <w:szCs w:val="19"/>
          <w:highlight w:val="black"/>
          <w:lang w:eastAsia="pl-PL"/>
        </w:rPr>
        <w:t>ze</w:t>
      </w:r>
      <w:r w:rsidR="00693863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statusu bezro</w:t>
      </w:r>
      <w:r w:rsidR="00D7709B" w:rsidRPr="001B5954">
        <w:rPr>
          <w:rFonts w:eastAsia="Times New Roman"/>
          <w:szCs w:val="19"/>
          <w:highlight w:val="black"/>
          <w:lang w:eastAsia="pl-PL"/>
        </w:rPr>
        <w:t>botnego</w:t>
      </w:r>
      <w:r w:rsidR="00B13F42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650E58" w:rsidRPr="001B5954">
        <w:rPr>
          <w:rFonts w:eastAsia="Times New Roman"/>
          <w:szCs w:val="19"/>
          <w:highlight w:val="black"/>
          <w:lang w:eastAsia="pl-PL"/>
        </w:rPr>
        <w:t xml:space="preserve">(o </w:t>
      </w:r>
      <w:r w:rsidR="001E58C9" w:rsidRPr="001B5954">
        <w:rPr>
          <w:rFonts w:eastAsia="Times New Roman"/>
          <w:szCs w:val="19"/>
          <w:highlight w:val="black"/>
          <w:lang w:eastAsia="pl-PL"/>
        </w:rPr>
        <w:t>0,</w:t>
      </w:r>
      <w:r w:rsidR="005D5CAD" w:rsidRPr="001B5954">
        <w:rPr>
          <w:rFonts w:eastAsia="Times New Roman"/>
          <w:szCs w:val="19"/>
          <w:highlight w:val="black"/>
          <w:lang w:eastAsia="pl-PL"/>
        </w:rPr>
        <w:t>1</w:t>
      </w:r>
      <w:r w:rsidR="00650E58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650E58" w:rsidRPr="001B595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650E58" w:rsidRPr="001B5954">
        <w:rPr>
          <w:rFonts w:eastAsia="Times New Roman"/>
          <w:szCs w:val="19"/>
          <w:highlight w:val="black"/>
          <w:lang w:eastAsia="pl-PL"/>
        </w:rPr>
        <w:t>. do</w:t>
      </w:r>
      <w:r w:rsidR="0081741D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="005D5CAD" w:rsidRPr="001B5954">
        <w:rPr>
          <w:rFonts w:eastAsia="Times New Roman"/>
          <w:szCs w:val="19"/>
          <w:highlight w:val="black"/>
          <w:lang w:eastAsia="pl-PL"/>
        </w:rPr>
        <w:t>6</w:t>
      </w:r>
      <w:r w:rsidR="001E58C9" w:rsidRPr="001B5954">
        <w:rPr>
          <w:rFonts w:eastAsia="Times New Roman"/>
          <w:szCs w:val="19"/>
          <w:highlight w:val="black"/>
          <w:lang w:eastAsia="pl-PL"/>
        </w:rPr>
        <w:t>,7</w:t>
      </w:r>
      <w:r w:rsidR="00650E58" w:rsidRPr="001B5954">
        <w:rPr>
          <w:rFonts w:eastAsia="Times New Roman"/>
          <w:szCs w:val="19"/>
          <w:highlight w:val="black"/>
          <w:lang w:eastAsia="pl-PL"/>
        </w:rPr>
        <w:t>%)</w:t>
      </w:r>
      <w:r w:rsidR="001E58C9" w:rsidRPr="001B5954">
        <w:rPr>
          <w:rFonts w:eastAsia="Times New Roman"/>
          <w:szCs w:val="19"/>
          <w:highlight w:val="black"/>
          <w:lang w:eastAsia="pl-PL"/>
        </w:rPr>
        <w:t xml:space="preserve"> oraz </w:t>
      </w:r>
      <w:r w:rsidR="006C1B9E" w:rsidRPr="001B5954">
        <w:rPr>
          <w:szCs w:val="19"/>
          <w:highlight w:val="black"/>
        </w:rPr>
        <w:t xml:space="preserve">osób, które </w:t>
      </w:r>
      <w:r w:rsidR="006C1B9E" w:rsidRPr="001B5954">
        <w:rPr>
          <w:rFonts w:eastAsia="Times New Roman"/>
          <w:spacing w:val="-2"/>
          <w:szCs w:val="19"/>
          <w:highlight w:val="black"/>
          <w:lang w:eastAsia="pl-PL"/>
        </w:rPr>
        <w:t>osiągnęły wiek emerytalny (o </w:t>
      </w:r>
      <w:r w:rsidR="005D5CAD" w:rsidRPr="001B5954">
        <w:rPr>
          <w:rFonts w:eastAsia="Times New Roman"/>
          <w:spacing w:val="-2"/>
          <w:szCs w:val="19"/>
          <w:highlight w:val="black"/>
          <w:lang w:eastAsia="pl-PL"/>
        </w:rPr>
        <w:t>0,3</w:t>
      </w:r>
      <w:r w:rsidR="006C1B9E" w:rsidRPr="001B5954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="006C1B9E" w:rsidRPr="001B5954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C1B9E" w:rsidRPr="001B5954">
        <w:rPr>
          <w:rFonts w:eastAsia="Times New Roman"/>
          <w:spacing w:val="-2"/>
          <w:szCs w:val="19"/>
          <w:highlight w:val="black"/>
          <w:lang w:eastAsia="pl-PL"/>
        </w:rPr>
        <w:t>. do 1,</w:t>
      </w:r>
      <w:r w:rsidR="005D5CAD" w:rsidRPr="001B5954">
        <w:rPr>
          <w:rFonts w:eastAsia="Times New Roman"/>
          <w:spacing w:val="-2"/>
          <w:szCs w:val="19"/>
          <w:highlight w:val="black"/>
          <w:lang w:eastAsia="pl-PL"/>
        </w:rPr>
        <w:t>9</w:t>
      </w:r>
      <w:r w:rsidR="006C1B9E" w:rsidRPr="001B5954">
        <w:rPr>
          <w:rFonts w:eastAsia="Times New Roman"/>
          <w:spacing w:val="-2"/>
          <w:szCs w:val="19"/>
          <w:highlight w:val="black"/>
          <w:lang w:eastAsia="pl-PL"/>
        </w:rPr>
        <w:t>%).</w:t>
      </w:r>
      <w:r w:rsidR="00B13F42" w:rsidRPr="001B5954">
        <w:rPr>
          <w:rFonts w:eastAsia="Times New Roman"/>
          <w:szCs w:val="19"/>
          <w:highlight w:val="black"/>
          <w:lang w:eastAsia="pl-PL"/>
        </w:rPr>
        <w:br/>
      </w:r>
      <w:r w:rsidRPr="001B5954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1B5954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z</w:t>
      </w:r>
      <w:r w:rsidR="00285FDA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1B5954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>w</w:t>
      </w:r>
      <w:r w:rsidR="00937253" w:rsidRPr="001B5954">
        <w:rPr>
          <w:rFonts w:eastAsia="Times New Roman"/>
          <w:szCs w:val="19"/>
          <w:highlight w:val="black"/>
          <w:lang w:eastAsia="pl-PL"/>
        </w:rPr>
        <w:t> </w:t>
      </w:r>
      <w:r w:rsidRPr="001B5954">
        <w:rPr>
          <w:rFonts w:eastAsia="Times New Roman"/>
          <w:szCs w:val="19"/>
          <w:highlight w:val="black"/>
          <w:lang w:eastAsia="pl-PL"/>
        </w:rPr>
        <w:t>danym miesiącu</w:t>
      </w:r>
      <w:r w:rsidR="005B567D" w:rsidRPr="001B5954">
        <w:rPr>
          <w:rFonts w:eastAsia="Times New Roman"/>
          <w:szCs w:val="19"/>
          <w:highlight w:val="black"/>
          <w:lang w:eastAsia="pl-PL"/>
        </w:rPr>
        <w:br/>
      </w:r>
      <w:r w:rsidRPr="001B5954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5D5CAD" w:rsidRPr="001B5954">
        <w:rPr>
          <w:rFonts w:eastAsia="Times New Roman"/>
          <w:szCs w:val="19"/>
          <w:highlight w:val="black"/>
          <w:lang w:eastAsia="pl-PL"/>
        </w:rPr>
        <w:t>10,2</w:t>
      </w:r>
      <w:r w:rsidR="003703BB" w:rsidRPr="001B5954">
        <w:rPr>
          <w:rFonts w:eastAsia="Times New Roman"/>
          <w:szCs w:val="19"/>
          <w:highlight w:val="black"/>
          <w:lang w:eastAsia="pl-PL"/>
        </w:rPr>
        <w:t>%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61C25C77" w:rsidR="00523BA8" w:rsidRPr="001B5954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6E5F8A" w:rsidRPr="001B5954">
        <w:rPr>
          <w:rFonts w:eastAsia="Times New Roman"/>
          <w:szCs w:val="19"/>
          <w:highlight w:val="black"/>
          <w:lang w:eastAsia="pl-PL"/>
        </w:rPr>
        <w:t>czerwca</w:t>
      </w:r>
      <w:r w:rsidR="00050389"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5D5CAD" w:rsidRPr="001B5954">
        <w:rPr>
          <w:rFonts w:eastAsia="Times New Roman"/>
          <w:szCs w:val="19"/>
          <w:highlight w:val="black"/>
          <w:lang w:eastAsia="pl-PL"/>
        </w:rPr>
        <w:t>69,8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1B5954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5D5CAD" w:rsidRPr="001B5954">
        <w:rPr>
          <w:rFonts w:eastAsia="Times New Roman"/>
          <w:szCs w:val="19"/>
          <w:highlight w:val="black"/>
          <w:lang w:eastAsia="pl-PL"/>
        </w:rPr>
        <w:t>82,8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1B5954">
        <w:rPr>
          <w:rFonts w:eastAsia="Times New Roman"/>
          <w:szCs w:val="19"/>
          <w:highlight w:val="black"/>
          <w:lang w:eastAsia="pl-PL"/>
        </w:rPr>
        <w:t>8</w:t>
      </w:r>
      <w:r w:rsidR="001E58C9" w:rsidRPr="001B5954">
        <w:rPr>
          <w:rFonts w:eastAsia="Times New Roman"/>
          <w:szCs w:val="19"/>
          <w:highlight w:val="black"/>
          <w:lang w:eastAsia="pl-PL"/>
        </w:rPr>
        <w:t>6,2</w:t>
      </w:r>
      <w:r w:rsidRPr="001B5954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35837EF4" w:rsidR="00523BA8" w:rsidRPr="001B5954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1B5954">
        <w:rPr>
          <w:rFonts w:eastAsia="Times New Roman"/>
          <w:spacing w:val="-6"/>
          <w:szCs w:val="19"/>
          <w:highlight w:val="black"/>
          <w:lang w:eastAsia="pl-PL"/>
        </w:rPr>
        <w:lastRenderedPageBreak/>
        <w:t xml:space="preserve">Bezrobotni będący </w:t>
      </w:r>
      <w:r w:rsidRPr="001B5954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6E5F8A" w:rsidRPr="001B5954">
        <w:rPr>
          <w:rFonts w:eastAsia="Times New Roman"/>
          <w:spacing w:val="-6"/>
          <w:szCs w:val="19"/>
          <w:highlight w:val="black"/>
          <w:lang w:eastAsia="pl-PL"/>
        </w:rPr>
        <w:t>czerwca</w:t>
      </w:r>
      <w:r w:rsidR="00050389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1B5954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5D5CAD" w:rsidRPr="001B5954">
        <w:rPr>
          <w:rFonts w:eastAsia="Times New Roman"/>
          <w:spacing w:val="-6"/>
          <w:szCs w:val="19"/>
          <w:highlight w:val="black"/>
          <w:lang w:eastAsia="pl-PL"/>
        </w:rPr>
        <w:t>7,0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1B5954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1E58C9" w:rsidRPr="001B5954">
        <w:rPr>
          <w:rFonts w:eastAsia="Times New Roman"/>
          <w:spacing w:val="-6"/>
          <w:szCs w:val="19"/>
          <w:highlight w:val="black"/>
          <w:lang w:eastAsia="pl-PL"/>
        </w:rPr>
        <w:t>4,</w:t>
      </w:r>
      <w:r w:rsidR="005D5CAD" w:rsidRPr="001B5954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1B5954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1B5954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1B5954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1B5954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szył się w skali roku (o 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7,5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1B595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59,8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1,0</w:t>
      </w:r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%).</w:t>
      </w:r>
      <w:r w:rsidR="001876CC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1B5B87" w:rsidRPr="001B5954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1B5954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1B5954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1B5954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5</w:t>
      </w:r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1B595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946C2F" w:rsidRPr="001B5954">
        <w:rPr>
          <w:rFonts w:eastAsia="Times New Roman"/>
          <w:spacing w:val="-6"/>
          <w:szCs w:val="19"/>
          <w:highlight w:val="black"/>
          <w:lang w:eastAsia="pl-PL"/>
        </w:rPr>
        <w:t>12,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4</w:t>
      </w:r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1B5B87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oraz </w:t>
      </w:r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osób niepełnosprawnych (o 0,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3</w:t>
      </w:r>
      <w:r w:rsidR="0081741D" w:rsidRPr="001B5954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. do 4,</w:t>
      </w:r>
      <w:r w:rsidR="0037171F" w:rsidRPr="001B5954">
        <w:rPr>
          <w:rFonts w:eastAsia="Times New Roman"/>
          <w:spacing w:val="-6"/>
          <w:szCs w:val="19"/>
          <w:highlight w:val="black"/>
          <w:lang w:eastAsia="pl-PL"/>
        </w:rPr>
        <w:t>2</w:t>
      </w:r>
      <w:r w:rsidR="003703BB" w:rsidRPr="001B5954">
        <w:rPr>
          <w:rFonts w:eastAsia="Times New Roman"/>
          <w:spacing w:val="-6"/>
          <w:szCs w:val="19"/>
          <w:highlight w:val="black"/>
          <w:lang w:eastAsia="pl-PL"/>
        </w:rPr>
        <w:t>%).</w:t>
      </w:r>
    </w:p>
    <w:p w14:paraId="1352ECA4" w14:textId="77777777" w:rsidR="005C4EFA" w:rsidRPr="001B5954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1B5954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1B5954">
        <w:rPr>
          <w:rFonts w:cs="Arial"/>
          <w:b/>
          <w:szCs w:val="19"/>
          <w:highlight w:val="black"/>
          <w:lang w:eastAsia="pl-PL"/>
        </w:rPr>
        <w:t>bezrobotnych</w:t>
      </w:r>
      <w:r w:rsidRPr="001B5954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1B5954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1B5954" w14:paraId="55837A2C" w14:textId="77777777" w:rsidTr="001B5954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1B595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1B595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1B5954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1B5954" w14:paraId="20D4D75F" w14:textId="77777777" w:rsidTr="001B595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1B595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40FEC8E0" w:rsidR="005C4EFA" w:rsidRPr="001B5954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37171F"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096D201B" w:rsidR="005C4EFA" w:rsidRPr="001B5954" w:rsidRDefault="004A174E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5FEA1921" w:rsidR="005C4EFA" w:rsidRPr="001B5954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</w:t>
            </w:r>
            <w:r w:rsidR="0037171F"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5C4EFA" w:rsidRPr="001B5954" w14:paraId="71176BF4" w14:textId="77777777" w:rsidTr="001B5954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1B595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1B595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1B5954" w:rsidRPr="001B5954" w14:paraId="72B3817E" w14:textId="77777777" w:rsidTr="001B5954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1B5954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1B5954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1B5954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1B5954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1B5954" w:rsidRPr="001B5954" w14:paraId="10644C32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37171F" w:rsidRPr="001B5954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431877A3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163AFDA9" w:rsidR="0037171F" w:rsidRPr="001B5954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47EAAA5E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12,4</w:t>
            </w:r>
          </w:p>
        </w:tc>
      </w:tr>
      <w:tr w:rsidR="001B5954" w:rsidRPr="001B5954" w14:paraId="15041F06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37171F" w:rsidRPr="001B5954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00190C4E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62E1D9D3" w:rsidR="0037171F" w:rsidRPr="001B5954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0D537A9F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23,7</w:t>
            </w:r>
          </w:p>
        </w:tc>
      </w:tr>
      <w:tr w:rsidR="001B5954" w:rsidRPr="001B5954" w14:paraId="13F95166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37171F" w:rsidRPr="001B5954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76BC68CD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52,3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606DF518" w:rsidR="0037171F" w:rsidRPr="001B5954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1790DC9E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59,8</w:t>
            </w:r>
          </w:p>
        </w:tc>
      </w:tr>
      <w:tr w:rsidR="0037171F" w:rsidRPr="001B5954" w14:paraId="1AAF5BFB" w14:textId="77777777" w:rsidTr="001B595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37171F" w:rsidRPr="001B5954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4C4EFE2D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104F45D9" w:rsidR="0037171F" w:rsidRPr="001B5954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5F3F9EED" w:rsidR="0037171F" w:rsidRPr="001B5954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4,2</w:t>
            </w:r>
          </w:p>
        </w:tc>
      </w:tr>
    </w:tbl>
    <w:p w14:paraId="5EB4737F" w14:textId="77777777" w:rsidR="005C4EFA" w:rsidRPr="001B5954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1B5954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1B595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1FF1D74" w14:textId="60A96887" w:rsidR="00650B4D" w:rsidRPr="001B5954" w:rsidRDefault="00650B4D" w:rsidP="00650B4D">
      <w:pPr>
        <w:tabs>
          <w:tab w:val="left" w:pos="567"/>
        </w:tabs>
        <w:spacing w:before="240" w:line="240" w:lineRule="exact"/>
        <w:rPr>
          <w:rFonts w:eastAsia="Times New Roman" w:cs="Arial"/>
          <w:sz w:val="12"/>
          <w:szCs w:val="12"/>
          <w:highlight w:val="black"/>
          <w:lang w:eastAsia="pl-PL"/>
        </w:rPr>
      </w:pPr>
      <w:bookmarkStart w:id="15" w:name="_Toc54793540"/>
      <w:r w:rsidRPr="001B5954">
        <w:rPr>
          <w:rFonts w:eastAsia="Times New Roman" w:cs="Arial"/>
          <w:szCs w:val="19"/>
          <w:highlight w:val="black"/>
          <w:lang w:eastAsia="pl-PL"/>
        </w:rPr>
        <w:t xml:space="preserve">W końcu II kwartału 2021 r. bezrobotni poszukujący pracy ponad rok stanowili 53,2% ogółu bezrobotnych, a ich udział w ogólnej liczbie bezrobotnych, w odniesieniu do analogicznego okresu 2020 r. zwiększył się o 11,5 </w:t>
      </w:r>
      <w:proofErr w:type="spellStart"/>
      <w:r w:rsidRPr="001B5954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1B5954">
        <w:rPr>
          <w:rFonts w:eastAsia="Times New Roman" w:cs="Arial"/>
          <w:szCs w:val="19"/>
          <w:highlight w:val="black"/>
          <w:lang w:eastAsia="pl-PL"/>
        </w:rPr>
        <w:t>. Osoby pozostające bez pracy do 1 miesiąca stanowiły 6,8% bezrobotnych (rok wcześniej – 8,6%), od 1 do 3 miesięcy – 9,7% (13,0%),</w:t>
      </w:r>
      <w:r w:rsidRPr="001B5954">
        <w:rPr>
          <w:rFonts w:eastAsia="Times New Roman" w:cs="Arial"/>
          <w:szCs w:val="19"/>
          <w:highlight w:val="black"/>
          <w:lang w:eastAsia="pl-PL"/>
        </w:rPr>
        <w:br/>
        <w:t xml:space="preserve">od 3 do 6 miesięcy – 12,4% (17,5%), natomiast od 6 do 12 miesięcy – 17,8% (w końcu II kw. 2020 r. – </w:t>
      </w:r>
      <w:r w:rsidR="00871A2B" w:rsidRPr="001B5954">
        <w:rPr>
          <w:rFonts w:eastAsia="Times New Roman" w:cs="Arial"/>
          <w:szCs w:val="19"/>
          <w:highlight w:val="black"/>
          <w:lang w:eastAsia="pl-PL"/>
        </w:rPr>
        <w:t>19,1</w:t>
      </w:r>
      <w:r w:rsidRPr="001B5954">
        <w:rPr>
          <w:rFonts w:eastAsia="Times New Roman" w:cs="Arial"/>
          <w:szCs w:val="19"/>
          <w:highlight w:val="black"/>
          <w:lang w:eastAsia="pl-PL"/>
        </w:rPr>
        <w:t>%).</w:t>
      </w:r>
    </w:p>
    <w:p w14:paraId="3319AE47" w14:textId="449E28DE" w:rsidR="00650B4D" w:rsidRPr="001B5954" w:rsidRDefault="00650B4D" w:rsidP="00650B4D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B5954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25 do 34 lat oraz od 35 do 44 lat. Ich odsetek w ogólnej liczbie bezrobotnych w końcu II kwartału 2021 r. wyniósł odpowiednio 29,3% i 24,9%. Osoby w wieku od 18 do 24 lat stanowiły 12,4% bezrobotnych, od 45 do 54 lat – 18,4%, a powyżej 54 lat – 14,9%.</w:t>
      </w:r>
    </w:p>
    <w:p w14:paraId="7B3FAA0A" w14:textId="7F090FA1" w:rsidR="00650B4D" w:rsidRPr="001B5954" w:rsidRDefault="00650B4D" w:rsidP="00650B4D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B5954">
        <w:rPr>
          <w:rFonts w:eastAsia="Times New Roman" w:cs="Arial"/>
          <w:szCs w:val="19"/>
          <w:highlight w:val="black"/>
          <w:lang w:eastAsia="pl-PL"/>
        </w:rPr>
        <w:t>Wykształcenie zasadnicze zawodowe posiadało 26,7% bezrobotnych, policealne i średnie zawodowe – 26,5%, a gimnazjalne i niższe – 18,8%. Szkoły wyższe ukończyło 16,0% bezrobotnych, a licea ogólnokształcące – 11,9%.</w:t>
      </w:r>
    </w:p>
    <w:p w14:paraId="546B4714" w14:textId="10627AC1" w:rsidR="00650B4D" w:rsidRPr="001B5954" w:rsidRDefault="00650B4D" w:rsidP="00650B4D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 w:cs="Arial"/>
          <w:szCs w:val="19"/>
          <w:highlight w:val="black"/>
          <w:lang w:eastAsia="pl-PL"/>
        </w:rPr>
        <w:t>W ogólnej liczbie bezrobotnych 14,4% stanowiły osoby dotychczas niepracujące. Wśród bezrobotnych posiadających staż pracy największy odsetek stanowiły osoby ze stażem pracy 1-5 lat (26,5%) oraz ze stażem pracy do 1 roku (20,4%).</w:t>
      </w:r>
    </w:p>
    <w:p w14:paraId="7A45393C" w14:textId="411E93BA" w:rsidR="00EB7E27" w:rsidRPr="001B5954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czerwcu</w:t>
      </w:r>
      <w:r w:rsidR="006237BA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4578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1B5954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66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862561" w:rsidRPr="001B5954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="000D07F4" w:rsidRPr="001B5954">
        <w:rPr>
          <w:rFonts w:eastAsia="Times New Roman"/>
          <w:spacing w:val="-4"/>
          <w:szCs w:val="19"/>
          <w:highlight w:val="black"/>
          <w:lang w:eastAsia="pl-PL"/>
        </w:rPr>
        <w:t>ej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0D07F4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862561" w:rsidRPr="001B5954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0D07F4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1548</w:t>
      </w:r>
      <w:r w:rsidR="001B5B87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1B5954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1B5954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9D6FA4" w:rsidRPr="001B5954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6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29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E82334" w:rsidRPr="001B5954">
        <w:rPr>
          <w:rFonts w:eastAsia="Times New Roman"/>
          <w:spacing w:val="-4"/>
          <w:szCs w:val="19"/>
          <w:highlight w:val="black"/>
          <w:lang w:eastAsia="pl-PL"/>
        </w:rPr>
        <w:t>43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1B595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1B5954">
        <w:rPr>
          <w:b/>
          <w:highlight w:val="black"/>
          <w:lang w:eastAsia="pl-PL"/>
        </w:rPr>
        <w:t>Bezrobotni na 1 ofertę pracy (stan w końcu miesiąca)</w:t>
      </w:r>
    </w:p>
    <w:p w14:paraId="28F882A8" w14:textId="124D76AD" w:rsidR="003C4544" w:rsidRPr="001B5954" w:rsidRDefault="0005649F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0CE8046" wp14:editId="4B18A769">
            <wp:extent cx="6524950" cy="2502000"/>
            <wp:effectExtent l="0" t="0" r="0" b="0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47200E6E" w:rsidR="00D953C5" w:rsidRPr="001B5954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1B5954">
        <w:rPr>
          <w:rFonts w:eastAsia="Times New Roman"/>
          <w:spacing w:val="-4"/>
          <w:highlight w:val="black"/>
          <w:lang w:eastAsia="pl-PL"/>
        </w:rPr>
        <w:lastRenderedPageBreak/>
        <w:t xml:space="preserve">Wydatki Funduszu Pracy w </w:t>
      </w:r>
      <w:r w:rsidR="00EB58AF" w:rsidRPr="001B5954">
        <w:rPr>
          <w:rFonts w:eastAsia="Times New Roman"/>
          <w:spacing w:val="-4"/>
          <w:highlight w:val="black"/>
          <w:lang w:eastAsia="pl-PL"/>
        </w:rPr>
        <w:t>czerwcu</w:t>
      </w:r>
      <w:r w:rsidRPr="001B5954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EB58AF" w:rsidRPr="001B5954">
        <w:rPr>
          <w:rFonts w:eastAsia="Times New Roman"/>
          <w:spacing w:val="-4"/>
          <w:highlight w:val="black"/>
          <w:lang w:eastAsia="pl-PL"/>
        </w:rPr>
        <w:t>69,4</w:t>
      </w:r>
      <w:r w:rsidRPr="001B5954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9D6FA4" w:rsidRPr="001B5954">
        <w:rPr>
          <w:rFonts w:eastAsia="Times New Roman"/>
          <w:spacing w:val="-4"/>
          <w:highlight w:val="black"/>
          <w:lang w:eastAsia="pl-PL"/>
        </w:rPr>
        <w:t>2</w:t>
      </w:r>
      <w:r w:rsidR="00EB58AF" w:rsidRPr="001B5954">
        <w:rPr>
          <w:rFonts w:eastAsia="Times New Roman"/>
          <w:spacing w:val="-4"/>
          <w:highlight w:val="black"/>
          <w:lang w:eastAsia="pl-PL"/>
        </w:rPr>
        <w:t>2</w:t>
      </w:r>
      <w:r w:rsidR="009D6FA4" w:rsidRPr="001B5954">
        <w:rPr>
          <w:rFonts w:eastAsia="Times New Roman"/>
          <w:spacing w:val="-4"/>
          <w:highlight w:val="black"/>
          <w:lang w:eastAsia="pl-PL"/>
        </w:rPr>
        <w:t>,3</w:t>
      </w:r>
      <w:r w:rsidRPr="001B5954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5CDA99E5" w:rsidR="00502C57" w:rsidRPr="001B5954" w:rsidRDefault="00502C57" w:rsidP="00CE3E17">
      <w:pPr>
        <w:pStyle w:val="Nagwek1"/>
        <w:spacing w:after="120"/>
        <w:rPr>
          <w:highlight w:val="black"/>
        </w:rPr>
      </w:pPr>
      <w:bookmarkStart w:id="16" w:name="_Toc78365308"/>
      <w:bookmarkEnd w:id="15"/>
      <w:r w:rsidRPr="001B5954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6"/>
    </w:p>
    <w:p w14:paraId="4E89C75F" w14:textId="77777777" w:rsidR="007E14AA" w:rsidRPr="001B5954" w:rsidRDefault="007E14AA" w:rsidP="007E14AA">
      <w:pPr>
        <w:pStyle w:val="podstawowyFira95"/>
        <w:suppressAutoHyphens/>
        <w:jc w:val="left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1B5954">
        <w:rPr>
          <w:spacing w:val="-2"/>
          <w:highlight w:val="black"/>
        </w:rPr>
        <w:t>W czerwcu br.,</w:t>
      </w:r>
      <w:r w:rsidRPr="001B5954">
        <w:rPr>
          <w:b/>
          <w:spacing w:val="-2"/>
          <w:highlight w:val="black"/>
        </w:rPr>
        <w:t xml:space="preserve"> </w:t>
      </w:r>
      <w:r w:rsidRPr="001B5954">
        <w:rPr>
          <w:spacing w:val="-2"/>
          <w:highlight w:val="black"/>
        </w:rPr>
        <w:t>przeciętne miesięczne wynagrodzenie brutto</w:t>
      </w:r>
      <w:r w:rsidRPr="001B5954">
        <w:rPr>
          <w:b/>
          <w:spacing w:val="-2"/>
          <w:highlight w:val="black"/>
        </w:rPr>
        <w:t xml:space="preserve"> </w:t>
      </w:r>
      <w:r w:rsidRPr="001B5954">
        <w:rPr>
          <w:spacing w:val="-2"/>
          <w:highlight w:val="black"/>
        </w:rPr>
        <w:t>zwiększyło się w skali roku (czerwiec 2021 r. do czerwca 2020 r.),</w:t>
      </w:r>
      <w:r w:rsidRPr="001B5954">
        <w:rPr>
          <w:highlight w:val="black"/>
        </w:rPr>
        <w:t xml:space="preserve"> a tempo tego wzrostu było znacznie wyższe od notowanego w ubiegłym roku.</w:t>
      </w:r>
    </w:p>
    <w:p w14:paraId="16B26DB7" w14:textId="4C442BE5" w:rsidR="007E14AA" w:rsidRPr="001B5954" w:rsidRDefault="007E14AA" w:rsidP="007E14AA">
      <w:pPr>
        <w:pStyle w:val="podstawowyFira95"/>
        <w:suppressAutoHyphens/>
        <w:jc w:val="left"/>
        <w:rPr>
          <w:highlight w:val="black"/>
        </w:rPr>
      </w:pPr>
      <w:r w:rsidRPr="001B5954">
        <w:rPr>
          <w:b/>
          <w:highlight w:val="black"/>
        </w:rPr>
        <w:t>Przeciętne miesięczne wynagrodzenie brutto</w:t>
      </w:r>
      <w:r w:rsidRPr="001B5954">
        <w:rPr>
          <w:highlight w:val="black"/>
        </w:rPr>
        <w:t xml:space="preserve"> w sektorze przedsiębiorstw w czerwcu br., ukształtowało się na poziomie 4750,24 zł i było o 13,0% wyższe niż w czerwcu ubiegłego roku, kiedy notowano wzrost o 0,9%. W porównaniu z </w:t>
      </w:r>
      <w:proofErr w:type="spellStart"/>
      <w:r w:rsidRPr="001B5954">
        <w:rPr>
          <w:highlight w:val="black"/>
        </w:rPr>
        <w:t>poprzed</w:t>
      </w:r>
      <w:proofErr w:type="spellEnd"/>
      <w:r w:rsidR="00FD1B51" w:rsidRPr="001B5954">
        <w:rPr>
          <w:highlight w:val="black"/>
        </w:rPr>
        <w:t>-</w:t>
      </w:r>
      <w:r w:rsidRPr="001B5954">
        <w:rPr>
          <w:highlight w:val="black"/>
        </w:rPr>
        <w:t>nim miesiącem płace wzrosły o 0,4%. W Polsce przeciętne miesięczne wynagrodzenie brutto wyniosło 5802,42 zł i wzrosło zarówno w porównaniu z czerwcem 2020 r. (o 9,8%), jak i w stosunku do maja br. (o 2,9%).</w:t>
      </w:r>
    </w:p>
    <w:p w14:paraId="5627D607" w14:textId="45C9073A" w:rsidR="007E14AA" w:rsidRPr="001B5954" w:rsidRDefault="007E14AA" w:rsidP="007E14AA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 xml:space="preserve">W porównaniu z czerwcem ubiegłego roku, najwyższy wzrost płac odnotowano w zakwaterowaniu i gastronomii (o 29,2%). Wzrosty wynagrodzeń wystąpiły również m.in. w przetwórstwie przemysłowym (o 15,9%), handlu; naprawie pojazdów samochodowych oraz w działalności profesjonalnej, naukowej i technicznej (po 12,3%), a także w transporcie i </w:t>
      </w:r>
      <w:proofErr w:type="spellStart"/>
      <w:r w:rsidRPr="001B5954">
        <w:rPr>
          <w:highlight w:val="black"/>
        </w:rPr>
        <w:t>gospo</w:t>
      </w:r>
      <w:r w:rsidR="00FD1B51" w:rsidRPr="001B5954">
        <w:rPr>
          <w:highlight w:val="black"/>
        </w:rPr>
        <w:t>-</w:t>
      </w:r>
      <w:r w:rsidRPr="001B5954">
        <w:rPr>
          <w:highlight w:val="black"/>
        </w:rPr>
        <w:t>darce</w:t>
      </w:r>
      <w:proofErr w:type="spellEnd"/>
      <w:r w:rsidRPr="001B5954">
        <w:rPr>
          <w:highlight w:val="black"/>
        </w:rPr>
        <w:t xml:space="preserve"> magazynowej (o 12,1%), administrowaniu i działalności wspierającej (o 11,4%) oraz w dostawie wody; </w:t>
      </w:r>
      <w:proofErr w:type="spellStart"/>
      <w:r w:rsidRPr="001B5954">
        <w:rPr>
          <w:highlight w:val="black"/>
        </w:rPr>
        <w:t>gospodaro</w:t>
      </w:r>
      <w:r w:rsidR="00FD1B51" w:rsidRPr="001B5954">
        <w:rPr>
          <w:highlight w:val="black"/>
        </w:rPr>
        <w:t>-</w:t>
      </w:r>
      <w:r w:rsidRPr="001B5954">
        <w:rPr>
          <w:highlight w:val="black"/>
        </w:rPr>
        <w:t>waniu</w:t>
      </w:r>
      <w:proofErr w:type="spellEnd"/>
      <w:r w:rsidRPr="001B5954">
        <w:rPr>
          <w:highlight w:val="black"/>
        </w:rPr>
        <w:t xml:space="preserve"> ściekami i odpadami; rekultywacji (o 10,8%).</w:t>
      </w:r>
    </w:p>
    <w:p w14:paraId="284D5B06" w14:textId="53069C92" w:rsidR="007E14AA" w:rsidRPr="001B5954" w:rsidRDefault="000F6531" w:rsidP="00EC18C8">
      <w:pPr>
        <w:pStyle w:val="Tablicespis"/>
        <w:suppressAutoHyphens/>
        <w:ind w:left="851" w:hanging="851"/>
        <w:rPr>
          <w:sz w:val="16"/>
          <w:szCs w:val="16"/>
          <w:highlight w:val="black"/>
        </w:rPr>
      </w:pPr>
      <w:r w:rsidRPr="001B5954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7E14AA" w:rsidRPr="001B5954" w14:paraId="0FB55F15" w14:textId="77777777" w:rsidTr="001B5954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EA8C0EE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E128B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1A6585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I–VI 2021</w:t>
            </w:r>
          </w:p>
        </w:tc>
      </w:tr>
      <w:tr w:rsidR="001B5954" w:rsidRPr="001B5954" w14:paraId="6EA1F658" w14:textId="77777777" w:rsidTr="001B5954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D7236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351B2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2020A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51486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78118D2" w14:textId="77777777" w:rsidR="007E14AA" w:rsidRPr="001B5954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pacing w:val="-2"/>
                <w:sz w:val="16"/>
                <w:szCs w:val="16"/>
                <w:highlight w:val="black"/>
              </w:rPr>
              <w:t>I–VI 2020=100</w:t>
            </w:r>
          </w:p>
        </w:tc>
      </w:tr>
      <w:tr w:rsidR="001B5954" w:rsidRPr="001B5954" w14:paraId="50E15B6E" w14:textId="77777777" w:rsidTr="001B595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487CD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AAAC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4750,24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74075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00950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4758,73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6132A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bCs/>
                <w:sz w:val="16"/>
                <w:szCs w:val="16"/>
                <w:highlight w:val="black"/>
              </w:rPr>
              <w:t>109,9</w:t>
            </w:r>
          </w:p>
        </w:tc>
      </w:tr>
      <w:tr w:rsidR="001B5954" w:rsidRPr="001B5954" w14:paraId="3AB7A608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6339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5480D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05B3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17A737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76D435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1B5954" w:rsidRPr="001B5954" w14:paraId="7F166CF1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696443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3832A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4980,58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FB57F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0316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5022,46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05157F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1B5954" w:rsidRPr="001B5954" w14:paraId="497E4540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E6884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DC594F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AFEDF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07C5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DDF7F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2EE0C29E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337A86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02B17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4951,24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B1E4F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A199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5004,65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A3CC4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</w:tr>
      <w:tr w:rsidR="001B5954" w:rsidRPr="001B5954" w14:paraId="231BFD4C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706C7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C094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4871,31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C2AA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6E18C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4677,18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BA1DF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108,3</w:t>
            </w:r>
          </w:p>
        </w:tc>
      </w:tr>
      <w:tr w:rsidR="001B5954" w:rsidRPr="001B5954" w14:paraId="5EB3994D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D11691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B76DF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4515,15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BF358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108,4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368D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4388,02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3A9D5C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106,7</w:t>
            </w:r>
          </w:p>
        </w:tc>
      </w:tr>
      <w:tr w:rsidR="001B5954" w:rsidRPr="001B5954" w14:paraId="26A82374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D18BC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7A9E25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4414,41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11AD9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3E0E0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4325,13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AD83D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109,3</w:t>
            </w:r>
          </w:p>
        </w:tc>
      </w:tr>
      <w:tr w:rsidR="001B5954" w:rsidRPr="001B5954" w14:paraId="5EB8646A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4EA24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77281F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4148,30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4AD3DA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AE1A9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4131,71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3E651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1B5954" w:rsidRPr="001B5954" w14:paraId="4A4FE731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12088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79DC1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3929,88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C702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66C124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3740,87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0C2E1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117,5</w:t>
            </w:r>
          </w:p>
        </w:tc>
      </w:tr>
      <w:tr w:rsidR="001B5954" w:rsidRPr="001B5954" w14:paraId="4E57D7BE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5124C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BE31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4748,78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408B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8FAED3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4782,78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3293AB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107,9</w:t>
            </w:r>
          </w:p>
        </w:tc>
      </w:tr>
      <w:tr w:rsidR="001B5954" w:rsidRPr="001B5954" w14:paraId="7E058D58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FC7EF3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1B5954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1B5954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1B5954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9EEB78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4915,88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BC4776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0E7725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5119,89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FDBB42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110,7</w:t>
            </w:r>
          </w:p>
        </w:tc>
      </w:tr>
      <w:tr w:rsidR="007E14AA" w:rsidRPr="001B5954" w14:paraId="76D7956E" w14:textId="77777777" w:rsidTr="001B595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0C55EB" w14:textId="77777777" w:rsidR="007E14AA" w:rsidRPr="001B5954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48E6F9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3402,87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D1A6B1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F48BA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3386,03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A9F283D" w14:textId="77777777" w:rsidR="007E14AA" w:rsidRPr="001B5954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109,3</w:t>
            </w:r>
          </w:p>
        </w:tc>
      </w:tr>
    </w:tbl>
    <w:p w14:paraId="66BD9B76" w14:textId="77777777" w:rsidR="007E14AA" w:rsidRPr="001B5954" w:rsidRDefault="007E14AA" w:rsidP="000F6531">
      <w:pPr>
        <w:suppressAutoHyphens/>
        <w:spacing w:line="240" w:lineRule="exact"/>
        <w:rPr>
          <w:sz w:val="16"/>
          <w:szCs w:val="16"/>
          <w:highlight w:val="black"/>
        </w:rPr>
      </w:pPr>
    </w:p>
    <w:p w14:paraId="0C4D4ADA" w14:textId="77777777" w:rsidR="000F6531" w:rsidRPr="001B5954" w:rsidRDefault="000F6531" w:rsidP="000F6531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1B5954">
        <w:rPr>
          <w:sz w:val="16"/>
          <w:szCs w:val="16"/>
          <w:highlight w:val="black"/>
        </w:rPr>
        <w:t xml:space="preserve">a </w:t>
      </w:r>
      <w:r w:rsidRPr="001B595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C3D53B5" w14:textId="77777777" w:rsidR="000F6531" w:rsidRPr="001B5954" w:rsidRDefault="000F6531" w:rsidP="000F6531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74AFAF14" w14:textId="11E0D6A0" w:rsidR="007E14AA" w:rsidRPr="001B5954" w:rsidRDefault="007E14AA" w:rsidP="007E14AA">
      <w:pPr>
        <w:pStyle w:val="Nagwek5"/>
        <w:rPr>
          <w:highlight w:val="black"/>
        </w:rPr>
      </w:pPr>
      <w:r w:rsidRPr="001B5954">
        <w:rPr>
          <w:highlight w:val="black"/>
        </w:rPr>
        <w:lastRenderedPageBreak/>
        <w:t>Odchylenia względne przeciętnych miesięcznych wynagrodzeń brutto</w:t>
      </w:r>
      <w:r w:rsidR="00FD1B51" w:rsidRPr="001B5954">
        <w:rPr>
          <w:highlight w:val="black"/>
        </w:rPr>
        <w:t xml:space="preserve"> od średniego wynagrodzenia</w:t>
      </w:r>
      <w:r w:rsidR="00FD1B51" w:rsidRPr="001B5954">
        <w:rPr>
          <w:highlight w:val="black"/>
        </w:rPr>
        <w:br/>
      </w:r>
      <w:r w:rsidRPr="001B5954">
        <w:rPr>
          <w:highlight w:val="black"/>
        </w:rPr>
        <w:t>w województwie według wybranych sekcji w czerwcu 2021 r.</w:t>
      </w:r>
    </w:p>
    <w:p w14:paraId="30DC6027" w14:textId="429041B3" w:rsidR="000F6531" w:rsidRPr="001B5954" w:rsidRDefault="009C0CDF" w:rsidP="000F6531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3353B8E" wp14:editId="0DEE97E7">
            <wp:extent cx="6645275" cy="2715491"/>
            <wp:effectExtent l="0" t="0" r="3175" b="889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617277" w14:textId="77777777" w:rsidR="000F6531" w:rsidRPr="001B5954" w:rsidRDefault="000F6531" w:rsidP="000F6531">
      <w:pPr>
        <w:pStyle w:val="Tekstpodstawowy"/>
        <w:jc w:val="left"/>
        <w:rPr>
          <w:sz w:val="16"/>
          <w:szCs w:val="16"/>
          <w:highlight w:val="black"/>
        </w:rPr>
      </w:pPr>
      <w:r w:rsidRPr="001B595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7AF8D33" w14:textId="77777777" w:rsidR="007E14AA" w:rsidRPr="001B5954" w:rsidRDefault="007E14AA" w:rsidP="007E14AA">
      <w:pPr>
        <w:tabs>
          <w:tab w:val="left" w:pos="567"/>
        </w:tabs>
        <w:suppressAutoHyphens/>
        <w:spacing w:before="120" w:after="120" w:line="240" w:lineRule="exact"/>
        <w:rPr>
          <w:highlight w:val="black"/>
        </w:rPr>
      </w:pPr>
      <w:r w:rsidRPr="001B5954">
        <w:rPr>
          <w:bCs/>
          <w:highlight w:val="black"/>
        </w:rPr>
        <w:t>W porównaniu z majem br., najwyższy wzrost przeciętnego miesięcznego wynagrodzenia brutto zanotowano w</w:t>
      </w:r>
      <w:r w:rsidRPr="001B5954">
        <w:rPr>
          <w:highlight w:val="black"/>
        </w:rPr>
        <w:t xml:space="preserve"> </w:t>
      </w:r>
      <w:r w:rsidRPr="001B5954">
        <w:rPr>
          <w:bCs/>
          <w:highlight w:val="black"/>
        </w:rPr>
        <w:t>dostawie wody; gospodarowaniu ściekami i odpadami; rekultywacji (o 5,5%). Płace wzrosły także m.in. w</w:t>
      </w:r>
      <w:r w:rsidRPr="001B5954">
        <w:rPr>
          <w:highlight w:val="black"/>
        </w:rPr>
        <w:t xml:space="preserve"> obsłudze rynku nieruchomości (o 4,3%), </w:t>
      </w:r>
      <w:r w:rsidRPr="001B5954">
        <w:rPr>
          <w:bCs/>
          <w:highlight w:val="black"/>
        </w:rPr>
        <w:t>zakwaterowaniu i gastronomii (o 3,3%), handlu; naprawie pojazdów samochodowych (o 2,3%), budownictwie (o 2,0%) oraz w działalności profesjonalnej, naukowej i technicznej (o 1,1%). Natomiast spadek wynagrodzeń wystąpił w przetwórstwie przemysłowym (o 0,6%).</w:t>
      </w:r>
    </w:p>
    <w:p w14:paraId="44C89B58" w14:textId="77777777" w:rsidR="007E14AA" w:rsidRPr="001B5954" w:rsidRDefault="007E14AA" w:rsidP="007E14AA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1B5954">
        <w:rPr>
          <w:bCs/>
          <w:highlight w:val="black"/>
        </w:rPr>
        <w:t>Narastająco, w okresie sześciu miesięcy br., przeciętne miesięczne wynagrodzenie brutto w sektorze przedsiębiorstw wyniosło 4758,73 zł i było o 9,9% wyższe (w Polsce o 7,8%) niż w analogicznym okresie ubiegłego roku. We wszystkich badanych sekcjach zanotowano wzrost płac, w tym znaczący o 17,5% w zakwaterowaniu i gastronomii.</w:t>
      </w:r>
    </w:p>
    <w:p w14:paraId="5EFC5330" w14:textId="77777777" w:rsidR="007E14AA" w:rsidRPr="001B5954" w:rsidRDefault="007E14AA" w:rsidP="007E14AA">
      <w:pPr>
        <w:tabs>
          <w:tab w:val="left" w:pos="567"/>
        </w:tabs>
        <w:suppressAutoHyphens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1D7921FC" w14:textId="77777777" w:rsidR="000F6531" w:rsidRPr="001B5954" w:rsidRDefault="000F6531" w:rsidP="000F6531">
      <w:pPr>
        <w:pStyle w:val="Nagwek5"/>
        <w:rPr>
          <w:highlight w:val="black"/>
        </w:rPr>
      </w:pPr>
      <w:r w:rsidRPr="001B5954">
        <w:rPr>
          <w:highlight w:val="black"/>
        </w:rPr>
        <w:t>Dynamika przeciętnego miesięcznego wynagrodzenia brutto w sektorze przedsiębiorstw</w:t>
      </w:r>
      <w:r w:rsidRPr="001B5954">
        <w:rPr>
          <w:highlight w:val="black"/>
        </w:rPr>
        <w:br/>
        <w:t>(przeciętna miesięczna 2015=100)</w:t>
      </w:r>
    </w:p>
    <w:p w14:paraId="4B19913F" w14:textId="0B5BA3FB" w:rsidR="000F6531" w:rsidRPr="001B5954" w:rsidRDefault="009C0CDF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55AE81E4" wp14:editId="32AB88AB">
            <wp:extent cx="6645910" cy="2451100"/>
            <wp:effectExtent l="0" t="0" r="2540" b="635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0F3FCA32" w:rsidR="00502C57" w:rsidRPr="001B5954" w:rsidRDefault="00502C57" w:rsidP="00B934B6">
      <w:pPr>
        <w:pStyle w:val="Nagwek1"/>
        <w:spacing w:after="120"/>
        <w:rPr>
          <w:highlight w:val="black"/>
        </w:rPr>
      </w:pPr>
      <w:bookmarkStart w:id="21" w:name="_Toc78365309"/>
      <w:r w:rsidRPr="001B5954">
        <w:rPr>
          <w:highlight w:val="black"/>
        </w:rPr>
        <w:t>Rolnictwo</w:t>
      </w:r>
      <w:bookmarkEnd w:id="17"/>
      <w:bookmarkEnd w:id="18"/>
      <w:bookmarkEnd w:id="19"/>
      <w:bookmarkEnd w:id="20"/>
      <w:bookmarkEnd w:id="21"/>
    </w:p>
    <w:p w14:paraId="0616F746" w14:textId="77777777" w:rsidR="00CE35DA" w:rsidRPr="001B5954" w:rsidRDefault="00CE35DA" w:rsidP="00CE35D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1B5954">
        <w:rPr>
          <w:rFonts w:eastAsia="Times New Roman" w:cs="Arial"/>
          <w:szCs w:val="19"/>
          <w:highlight w:val="black"/>
          <w:lang w:eastAsia="pl-PL"/>
        </w:rPr>
        <w:t xml:space="preserve">Na rynku rolnym w czerwcu 2021 r. przeciętne ceny skupu zbóż, ziemniaków, żywca wołowego, drobiowego i mleka były wyższe niż przed rokiem, natomiast niższe były ceny skupu żywca wieprzowego. W porównaniu z majem 2021 r. mniej płacono za żyto. </w:t>
      </w:r>
    </w:p>
    <w:p w14:paraId="3A18F3B3" w14:textId="77777777" w:rsidR="00CE35DA" w:rsidRPr="001B5954" w:rsidRDefault="00CE35DA" w:rsidP="00CE35DA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B5954">
        <w:rPr>
          <w:rFonts w:eastAsia="Times New Roman" w:cs="Arial"/>
          <w:szCs w:val="19"/>
          <w:highlight w:val="black"/>
          <w:lang w:eastAsia="pl-PL"/>
        </w:rPr>
        <w:lastRenderedPageBreak/>
        <w:t xml:space="preserve">W czerwcu br. średnia temperatura powietrza wyniosła 19,3°C i była wyższa o 1,7°C od średniej z lat 1991-2020, przy czym maksymalna temperatura wyniosła 34,5°C, a minimalna 5,5°C. Średnia suma opadów atmosferycznych (53,1 mm) stanowiła 65% normy z </w:t>
      </w:r>
      <w:proofErr w:type="spellStart"/>
      <w:r w:rsidRPr="001B595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1B595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1B5954">
        <w:rPr>
          <w:rFonts w:eastAsia="Times New Roman" w:cs="Arial"/>
          <w:szCs w:val="19"/>
          <w:highlight w:val="black"/>
          <w:lang w:eastAsia="pl-PL"/>
        </w:rPr>
        <w:t xml:space="preserve">. Odnotowano 11 dni z opadami. </w:t>
      </w:r>
    </w:p>
    <w:p w14:paraId="6A49E780" w14:textId="77777777" w:rsidR="00CE35DA" w:rsidRPr="001B5954" w:rsidRDefault="00CE35DA" w:rsidP="00CE35DA">
      <w:pPr>
        <w:autoSpaceDE w:val="0"/>
        <w:autoSpaceDN w:val="0"/>
        <w:adjustRightInd w:val="0"/>
        <w:spacing w:before="120" w:after="120" w:line="240" w:lineRule="exact"/>
        <w:rPr>
          <w:rFonts w:cs="Arial"/>
          <w:highlight w:val="black"/>
        </w:rPr>
      </w:pPr>
      <w:r w:rsidRPr="001B5954">
        <w:rPr>
          <w:rFonts w:eastAsia="Times New Roman" w:cs="Arial"/>
          <w:szCs w:val="19"/>
          <w:highlight w:val="black"/>
          <w:lang w:eastAsia="pl-PL"/>
        </w:rPr>
        <w:t xml:space="preserve">Pierwsza dekada czerwca br. była ciepła, słoneczna z niewielkimi opadami deszczu. Druga i trzecia dekada z temperaturami do 30°C w dzień i 20°C w nocy. </w:t>
      </w:r>
      <w:r w:rsidRPr="001B5954">
        <w:rPr>
          <w:rFonts w:cs="Arial"/>
          <w:highlight w:val="black"/>
        </w:rPr>
        <w:t>Warunki agrometeorologiczne były na ogół korzystne dla wegetacji roślin i przeprowadzenia prac polowych.</w:t>
      </w:r>
    </w:p>
    <w:p w14:paraId="182FAC39" w14:textId="372AE08F" w:rsidR="00CE35DA" w:rsidRPr="001B5954" w:rsidRDefault="00CE35DA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B5954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1B5954">
        <w:rPr>
          <w:rFonts w:cs="Arial"/>
          <w:b/>
          <w:szCs w:val="19"/>
          <w:highlight w:val="black"/>
        </w:rPr>
        <w:t>zbóż</w:t>
      </w:r>
      <w:r w:rsidRPr="001B5954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CE35DA" w:rsidRPr="001B5954" w14:paraId="692C1F2E" w14:textId="77777777" w:rsidTr="001B5954">
        <w:tc>
          <w:tcPr>
            <w:tcW w:w="1396" w:type="pct"/>
            <w:vMerge w:val="restart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14:paraId="77EEBD7A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7E90F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2020-VI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E4A21E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 2021</w:t>
            </w:r>
          </w:p>
        </w:tc>
      </w:tr>
      <w:tr w:rsidR="001B5954" w:rsidRPr="001B5954" w14:paraId="3AC03CDA" w14:textId="77777777" w:rsidTr="001B5954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51016" w14:textId="77777777" w:rsidR="00CE35DA" w:rsidRPr="001B5954" w:rsidRDefault="00CE35DA" w:rsidP="00525CF3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6F6CF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71C5F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832B0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D8365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666A477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 2021 = 100</w:t>
            </w:r>
          </w:p>
        </w:tc>
      </w:tr>
      <w:tr w:rsidR="001B5954" w:rsidRPr="001B5954" w14:paraId="2294DA01" w14:textId="77777777" w:rsidTr="001B5954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45F1" w14:textId="77777777" w:rsidR="00CE35DA" w:rsidRPr="001B5954" w:rsidRDefault="00CE35DA" w:rsidP="00525CF3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1B595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E72B1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148098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6C9A4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91,0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673A81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4697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C673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84,4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50889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95,6</w:t>
            </w:r>
          </w:p>
        </w:tc>
      </w:tr>
      <w:tr w:rsidR="001B5954" w:rsidRPr="001B5954" w14:paraId="75161914" w14:textId="77777777" w:rsidTr="001B595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C276A" w14:textId="77777777" w:rsidR="00CE35DA" w:rsidRPr="001B5954" w:rsidRDefault="00CE35DA" w:rsidP="00525CF3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00D930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98CB72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C1B96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F31204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06FC9F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1B5954" w:rsidRPr="001B5954" w14:paraId="0D971BC9" w14:textId="77777777" w:rsidTr="001B595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CD12BE" w14:textId="77777777" w:rsidR="00CE35DA" w:rsidRPr="001B5954" w:rsidRDefault="00CE35DA" w:rsidP="00525CF3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54F43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118668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2AB3AF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86,2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3C0D2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3940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D15D1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82,0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EC5574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97,8</w:t>
            </w:r>
          </w:p>
        </w:tc>
      </w:tr>
      <w:tr w:rsidR="00CE35DA" w:rsidRPr="001B5954" w14:paraId="1F6D0B99" w14:textId="77777777" w:rsidTr="001B5954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119CEC" w14:textId="77777777" w:rsidR="00CE35DA" w:rsidRPr="001B5954" w:rsidRDefault="00CE35DA" w:rsidP="00525CF3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3BDFEB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4532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AE0E15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93,0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0315E95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10658C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162,4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B881A7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122,6</w:t>
            </w:r>
          </w:p>
        </w:tc>
      </w:tr>
    </w:tbl>
    <w:p w14:paraId="3562AC6C" w14:textId="77777777" w:rsidR="00CE35DA" w:rsidRPr="001B5954" w:rsidRDefault="00CE35DA" w:rsidP="00CE35DA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1B5954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1B5954">
        <w:rPr>
          <w:rFonts w:eastAsia="Times New Roman"/>
          <w:sz w:val="16"/>
          <w:szCs w:val="16"/>
          <w:highlight w:val="black"/>
          <w:lang w:eastAsia="pl-PL"/>
        </w:rPr>
        <w:t>W okresie styczeń-czerwiec b</w:t>
      </w:r>
      <w:r w:rsidRPr="001B5954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1B595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1B5954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1B5954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1B595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1B5954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257D7BC9" w14:textId="77777777" w:rsidR="00CE35DA" w:rsidRPr="001B5954" w:rsidRDefault="00CE35DA" w:rsidP="00CE35DA">
      <w:pPr>
        <w:spacing w:before="120" w:line="240" w:lineRule="exact"/>
        <w:rPr>
          <w:highlight w:val="black"/>
        </w:rPr>
      </w:pPr>
      <w:r w:rsidRPr="001B5954">
        <w:rPr>
          <w:b/>
          <w:highlight w:val="black"/>
        </w:rPr>
        <w:t>Skup zbóż</w:t>
      </w:r>
      <w:r w:rsidRPr="001B5954">
        <w:rPr>
          <w:highlight w:val="black"/>
        </w:rPr>
        <w:t xml:space="preserve"> podstawowych (z mieszankami zbożowymi bez ziarna siewnego) w okresie lipiec 2020 r.-czerwiec 2021 r. wyniósł 148,1 tys. ton i był o 9,0% mniejszy niż w analogicznym okresie poprzedniego roku. Mniejszy był w tym okresie skup pszenicy (o 13,8%), jak i żyta (o 7,0%).</w:t>
      </w:r>
    </w:p>
    <w:p w14:paraId="5A028B9C" w14:textId="77777777" w:rsidR="00CE35DA" w:rsidRPr="001B5954" w:rsidRDefault="00CE35DA" w:rsidP="00CE35DA">
      <w:pPr>
        <w:spacing w:before="120" w:after="120" w:line="240" w:lineRule="exact"/>
        <w:rPr>
          <w:highlight w:val="black"/>
        </w:rPr>
      </w:pPr>
      <w:r w:rsidRPr="001B5954">
        <w:rPr>
          <w:rFonts w:eastAsia="Times New Roman"/>
          <w:szCs w:val="19"/>
          <w:highlight w:val="black"/>
          <w:lang w:eastAsia="pl-PL"/>
        </w:rPr>
        <w:t xml:space="preserve">W czerwcu br. </w:t>
      </w:r>
      <w:r w:rsidRPr="001B5954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15,6%). Mniejsze niż przed rokiem były dostawy do skupu pszenicy (</w:t>
      </w:r>
      <w:r w:rsidRPr="001B5954">
        <w:rPr>
          <w:highlight w:val="black"/>
        </w:rPr>
        <w:t xml:space="preserve">o 18,0%), skup 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żyta był większy o 62,4%. </w:t>
      </w:r>
      <w:r w:rsidRPr="001B5954">
        <w:rPr>
          <w:highlight w:val="black"/>
        </w:rPr>
        <w:t>W skali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miesiąca odnotowano zmniejszenie (</w:t>
      </w:r>
      <w:r w:rsidRPr="001B5954">
        <w:rPr>
          <w:highlight w:val="black"/>
        </w:rPr>
        <w:t>o 4,4%)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zbożowymi bez ziarna siewnego), w tym pszenicy </w:t>
      </w:r>
      <w:r w:rsidRPr="001B5954">
        <w:rPr>
          <w:highlight w:val="black"/>
        </w:rPr>
        <w:t>(o 2,2%), natomiast skup żyta był o 22,6% większy.</w:t>
      </w:r>
    </w:p>
    <w:p w14:paraId="03990B9B" w14:textId="39B0E9BB" w:rsidR="009800D1" w:rsidRPr="001B5954" w:rsidRDefault="009800D1" w:rsidP="009800D1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B5954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1B5954">
        <w:rPr>
          <w:rFonts w:cs="Arial"/>
          <w:b/>
          <w:szCs w:val="19"/>
          <w:highlight w:val="black"/>
        </w:rPr>
        <w:t>zwierzęcych</w:t>
      </w:r>
      <w:r w:rsidRPr="001B5954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CE35DA" w:rsidRPr="001B5954" w14:paraId="28507B68" w14:textId="77777777" w:rsidTr="001B5954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11C99919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0313C5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1A558A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 2021</w:t>
            </w:r>
          </w:p>
        </w:tc>
      </w:tr>
      <w:tr w:rsidR="001B5954" w:rsidRPr="001B5954" w14:paraId="5F93152F" w14:textId="77777777" w:rsidTr="001B5954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B0A51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78E7C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1E258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525C2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655F9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DFD0AC6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 2021 = 100</w:t>
            </w:r>
          </w:p>
        </w:tc>
      </w:tr>
      <w:tr w:rsidR="001B5954" w:rsidRPr="001B5954" w14:paraId="40DF2087" w14:textId="77777777" w:rsidTr="001B5954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0A250" w14:textId="77777777" w:rsidR="00CE35DA" w:rsidRPr="001B5954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1B595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1B595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7FA2A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19194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0382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101,3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76605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3500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1A1A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108,4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C3B40C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111,3</w:t>
            </w:r>
          </w:p>
        </w:tc>
      </w:tr>
      <w:tr w:rsidR="001B5954" w:rsidRPr="001B5954" w14:paraId="7CC29F9B" w14:textId="77777777" w:rsidTr="001B595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FB1BC" w14:textId="77777777" w:rsidR="00CE35DA" w:rsidRPr="001B5954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25934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50CE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D2B80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A93D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F727E7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1B5954" w:rsidRPr="001B5954" w14:paraId="488F068D" w14:textId="77777777" w:rsidTr="001B595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20394" w14:textId="77777777" w:rsidR="00CE35DA" w:rsidRPr="001B5954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0031CA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800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2D0E0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3E79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8208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83,7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7506B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88,1</w:t>
            </w:r>
          </w:p>
        </w:tc>
      </w:tr>
      <w:tr w:rsidR="001B5954" w:rsidRPr="001B5954" w14:paraId="470EF219" w14:textId="77777777" w:rsidTr="001B595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B1D13" w14:textId="77777777" w:rsidR="00CE35DA" w:rsidRPr="001B5954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7312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12585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66BEF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7687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2154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FA9BA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FEE7C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103,0</w:t>
            </w:r>
          </w:p>
        </w:tc>
      </w:tr>
      <w:tr w:rsidR="001B5954" w:rsidRPr="001B5954" w14:paraId="3582F17A" w14:textId="77777777" w:rsidTr="001B595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A737D" w14:textId="77777777" w:rsidR="00CE35DA" w:rsidRPr="001B5954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D440C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5792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85EB1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83,5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5A071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1219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8D75C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3AA2C4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133,9</w:t>
            </w:r>
          </w:p>
        </w:tc>
      </w:tr>
      <w:tr w:rsidR="00CE35DA" w:rsidRPr="001B5954" w14:paraId="6CFC0311" w14:textId="77777777" w:rsidTr="001B595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76AF99" w14:textId="77777777" w:rsidR="00CE35DA" w:rsidRPr="001B5954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1B595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1B595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3B6CC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49089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C8F33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279EE2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10946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07216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098B24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122,0</w:t>
            </w:r>
          </w:p>
        </w:tc>
      </w:tr>
    </w:tbl>
    <w:p w14:paraId="7A504673" w14:textId="77777777" w:rsidR="00CE35DA" w:rsidRPr="001B5954" w:rsidRDefault="00CE35DA" w:rsidP="009800D1">
      <w:pPr>
        <w:spacing w:before="60"/>
        <w:jc w:val="both"/>
        <w:rPr>
          <w:rFonts w:eastAsia="Times New Roman"/>
          <w:i/>
          <w:sz w:val="15"/>
          <w:szCs w:val="15"/>
          <w:highlight w:val="black"/>
          <w:lang w:eastAsia="pl-PL"/>
        </w:rPr>
      </w:pPr>
    </w:p>
    <w:p w14:paraId="4B880C54" w14:textId="77777777" w:rsidR="009800D1" w:rsidRPr="001B5954" w:rsidRDefault="009800D1" w:rsidP="009800D1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1B5954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1B5954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1B5954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1B5954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1B5954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1B5954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32FFFD40" w14:textId="77777777" w:rsidR="00CE35DA" w:rsidRPr="001B5954" w:rsidRDefault="00CE35DA" w:rsidP="00CE35DA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1B5954">
        <w:rPr>
          <w:rFonts w:eastAsia="Times New Roman"/>
          <w:szCs w:val="19"/>
          <w:highlight w:val="black"/>
          <w:lang w:eastAsia="pl-PL"/>
        </w:rPr>
        <w:t>w wadze żywej w czerwcu br. wyniósł 3,5 tys. ton, tj. o 8,4% więcej niż przed rokiem. Większe były dostawy do skupu drobiu (o 11,1%) i trzody chlewnej (o 8,6%). Skup bydła był mniejszy (o 16,3%).</w:t>
      </w:r>
    </w:p>
    <w:p w14:paraId="21A35E37" w14:textId="77777777" w:rsidR="00CE35DA" w:rsidRPr="001B5954" w:rsidRDefault="00CE35DA" w:rsidP="00CE35DA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t>W skali miesiąca odnotowano zwiększenie skupu żywca rzeźnego w wadze żywej (o 11,3%), o czym zadecydował większy skup drobiu (o 33,9%) i trzody chlewnej (o 3,0%), natomiast mniejszy był skup bydła (o 11,9%).</w:t>
      </w:r>
    </w:p>
    <w:p w14:paraId="208AA85E" w14:textId="136225EC" w:rsidR="00CE35DA" w:rsidRPr="001B5954" w:rsidRDefault="00CE35DA" w:rsidP="00CE35DA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b/>
          <w:szCs w:val="19"/>
          <w:highlight w:val="black"/>
          <w:lang w:eastAsia="pl-PL"/>
        </w:rPr>
        <w:lastRenderedPageBreak/>
        <w:t>Skup mleka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w czerwcu br. był większy w porównaniu z analogicznym miesiącem poprzedniego roku (o 11,8%) i większy w odniesieniu do maja 2021 r. (o 22,0%).</w:t>
      </w:r>
    </w:p>
    <w:p w14:paraId="64019ED7" w14:textId="11CD5110" w:rsidR="009800D1" w:rsidRPr="001B5954" w:rsidRDefault="009800D1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B5954">
        <w:rPr>
          <w:rFonts w:cs="Arial"/>
          <w:b/>
          <w:szCs w:val="19"/>
          <w:highlight w:val="black"/>
        </w:rPr>
        <w:t xml:space="preserve">Przeciętne ceny podstawowych produktów </w:t>
      </w:r>
      <w:proofErr w:type="spellStart"/>
      <w:r w:rsidRPr="001B5954">
        <w:rPr>
          <w:rFonts w:cs="Arial"/>
          <w:b/>
          <w:szCs w:val="19"/>
          <w:highlight w:val="black"/>
        </w:rPr>
        <w:t>rolnych</w:t>
      </w:r>
      <w:r w:rsidRPr="001B5954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CE35DA" w:rsidRPr="001B5954" w14:paraId="6A076C58" w14:textId="77777777" w:rsidTr="001B5954">
        <w:trPr>
          <w:trHeight w:val="20"/>
        </w:trPr>
        <w:tc>
          <w:tcPr>
            <w:tcW w:w="1926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1208B8C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965352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</w:tr>
      <w:tr w:rsidR="00CE35DA" w:rsidRPr="001B5954" w14:paraId="02A99731" w14:textId="77777777" w:rsidTr="001B5954">
        <w:trPr>
          <w:trHeight w:val="20"/>
        </w:trPr>
        <w:tc>
          <w:tcPr>
            <w:tcW w:w="1926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39D459F7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8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C2516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 2021</w:t>
            </w:r>
          </w:p>
        </w:tc>
        <w:tc>
          <w:tcPr>
            <w:tcW w:w="123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7773FD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 2021</w:t>
            </w:r>
          </w:p>
        </w:tc>
      </w:tr>
      <w:tr w:rsidR="001B5954" w:rsidRPr="001B5954" w14:paraId="1DCAF6D4" w14:textId="77777777" w:rsidTr="001B5954">
        <w:trPr>
          <w:trHeight w:val="20"/>
        </w:trPr>
        <w:tc>
          <w:tcPr>
            <w:tcW w:w="1926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9E407" w14:textId="77777777" w:rsidR="00CE35DA" w:rsidRPr="001B5954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C758" w14:textId="77777777" w:rsidR="00CE35DA" w:rsidRPr="001B5954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573E7" w14:textId="77777777" w:rsidR="00CE35DA" w:rsidRPr="001B5954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VI </w:t>
            </w: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9C4534" w14:textId="77777777" w:rsidR="00CE35DA" w:rsidRPr="001B5954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</w:t>
            </w: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79F07" w14:textId="77777777" w:rsidR="00CE35DA" w:rsidRPr="001B5954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13C9FCA" w14:textId="77777777" w:rsidR="00CE35DA" w:rsidRPr="001B5954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I–VI</w:t>
            </w: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</w:tr>
      <w:tr w:rsidR="001B5954" w:rsidRPr="001B5954" w14:paraId="46BDF4E1" w14:textId="77777777" w:rsidTr="001B5954">
        <w:trPr>
          <w:trHeight w:val="20"/>
        </w:trPr>
        <w:tc>
          <w:tcPr>
            <w:tcW w:w="192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BF2D1" w14:textId="77777777" w:rsidR="00CE35DA" w:rsidRPr="001B5954" w:rsidRDefault="00CE35DA" w:rsidP="00525CF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1B595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F008F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5567A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348B4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E91F0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7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58DA5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1B5954" w:rsidRPr="001B5954" w14:paraId="4DE58D62" w14:textId="77777777" w:rsidTr="001B5954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684671" w14:textId="77777777" w:rsidR="00CE35DA" w:rsidRPr="001B5954" w:rsidRDefault="00CE35DA" w:rsidP="00525CF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630357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92,40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3F37A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120,6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07380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BC9B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89,10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7677F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126,3</w:t>
            </w:r>
          </w:p>
        </w:tc>
      </w:tr>
      <w:tr w:rsidR="001B5954" w:rsidRPr="001B5954" w14:paraId="37C65280" w14:textId="77777777" w:rsidTr="001B5954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DC117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57D0D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61,50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B3292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121,0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FAC2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5F4F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60,38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613F4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113,2</w:t>
            </w:r>
          </w:p>
        </w:tc>
      </w:tr>
      <w:tr w:rsidR="001B5954" w:rsidRPr="001B5954" w14:paraId="00E1F65E" w14:textId="77777777" w:rsidTr="001B5954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7D70F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Ziemniaki za 1 </w:t>
            </w:r>
            <w:proofErr w:type="spellStart"/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23D22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127,33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FFD4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120,0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B50C1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271,0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D090C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50,21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70EA8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57,3</w:t>
            </w:r>
          </w:p>
        </w:tc>
      </w:tr>
      <w:tr w:rsidR="001B5954" w:rsidRPr="001B5954" w14:paraId="1AA759B8" w14:textId="77777777" w:rsidTr="001B595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525E6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BD9C5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E51A0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591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CABC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361A9A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1B5954" w:rsidRPr="001B5954" w14:paraId="62512CE7" w14:textId="77777777" w:rsidTr="001B595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99E2B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5A58C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6,64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C219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112,9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F3BE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A12D1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E0A61B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112,0</w:t>
            </w:r>
          </w:p>
        </w:tc>
      </w:tr>
      <w:tr w:rsidR="001B5954" w:rsidRPr="001B5954" w14:paraId="059F795A" w14:textId="77777777" w:rsidTr="001B595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4849D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06E0C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5,21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ABB97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93,4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B8C2A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CE7D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4,79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373955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81,7</w:t>
            </w:r>
          </w:p>
        </w:tc>
      </w:tr>
      <w:tr w:rsidR="001B5954" w:rsidRPr="001B5954" w14:paraId="5CA989D1" w14:textId="77777777" w:rsidTr="001B595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F34C1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7BFC2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4,98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441A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142,3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787FA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108,0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5585E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4,35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DC0B47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112,7</w:t>
            </w:r>
          </w:p>
        </w:tc>
      </w:tr>
      <w:tr w:rsidR="00CE35DA" w:rsidRPr="001B5954" w14:paraId="25B51E88" w14:textId="77777777" w:rsidTr="001B5954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90DC2" w14:textId="77777777" w:rsidR="00CE35DA" w:rsidRPr="001B5954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31CED4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1,48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D85E87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115,6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AF2DC6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7BB868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75E3F73" w14:textId="77777777" w:rsidR="00CE35DA" w:rsidRPr="001B5954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B595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111,5</w:t>
            </w:r>
          </w:p>
        </w:tc>
      </w:tr>
    </w:tbl>
    <w:p w14:paraId="31F0D19C" w14:textId="77777777" w:rsidR="009800D1" w:rsidRPr="001B5954" w:rsidRDefault="009800D1" w:rsidP="009800D1">
      <w:pPr>
        <w:spacing w:before="60"/>
        <w:rPr>
          <w:rFonts w:cs="Myriad Pro SemiCond"/>
          <w:sz w:val="16"/>
          <w:szCs w:val="16"/>
          <w:highlight w:val="black"/>
        </w:rPr>
      </w:pPr>
      <w:r w:rsidRPr="001B5954">
        <w:rPr>
          <w:rFonts w:cs="Myriad Pro SemiCond"/>
          <w:i/>
          <w:sz w:val="16"/>
          <w:szCs w:val="16"/>
          <w:highlight w:val="black"/>
        </w:rPr>
        <w:t xml:space="preserve">a </w:t>
      </w:r>
      <w:r w:rsidRPr="001B5954">
        <w:rPr>
          <w:rFonts w:cs="Myriad Pro SemiCond"/>
          <w:sz w:val="16"/>
          <w:szCs w:val="16"/>
          <w:highlight w:val="black"/>
        </w:rPr>
        <w:t xml:space="preserve">Brak danych dotyczących cen produktów rolnych na targowiskach, </w:t>
      </w:r>
      <w:r w:rsidRPr="001B5954">
        <w:rPr>
          <w:sz w:val="16"/>
          <w:szCs w:val="16"/>
          <w:highlight w:val="black"/>
        </w:rPr>
        <w:t xml:space="preserve">z uwagi na sytuację epidemiczną. </w:t>
      </w:r>
      <w:r w:rsidRPr="001B5954">
        <w:rPr>
          <w:rFonts w:cs="Myriad Pro SemiCond"/>
          <w:i/>
          <w:sz w:val="16"/>
          <w:szCs w:val="16"/>
          <w:highlight w:val="black"/>
        </w:rPr>
        <w:t>b</w:t>
      </w:r>
      <w:r w:rsidRPr="001B5954">
        <w:rPr>
          <w:rFonts w:cs="Myriad Pro SemiCond"/>
          <w:sz w:val="16"/>
          <w:szCs w:val="16"/>
          <w:highlight w:val="black"/>
        </w:rPr>
        <w:t xml:space="preserve"> Bez ziarna siewnego </w:t>
      </w:r>
    </w:p>
    <w:p w14:paraId="4C020D49" w14:textId="77777777" w:rsidR="00CE35DA" w:rsidRPr="001B5954" w:rsidRDefault="00CE35DA" w:rsidP="00CE35DA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t xml:space="preserve">W czerwcu br. </w:t>
      </w:r>
      <w:r w:rsidRPr="001B5954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88,43 zł za 1 </w:t>
      </w:r>
      <w:proofErr w:type="spellStart"/>
      <w:r w:rsidRPr="001B5954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1B5954">
        <w:rPr>
          <w:rFonts w:eastAsia="Times New Roman"/>
          <w:szCs w:val="19"/>
          <w:highlight w:val="black"/>
          <w:lang w:eastAsia="pl-PL"/>
        </w:rPr>
        <w:t xml:space="preserve"> i były wyższe niż przed rokiem (o 18,7%) i wyższe w odniesieniu do cen sprzed miesiąca (o 1,9%).</w:t>
      </w:r>
    </w:p>
    <w:p w14:paraId="05C48A68" w14:textId="77777777" w:rsidR="00CE35DA" w:rsidRPr="001B5954" w:rsidRDefault="00CE35DA" w:rsidP="00CE35DA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 20,6%),</w:t>
      </w:r>
      <w:r w:rsidRPr="001B5954">
        <w:rPr>
          <w:rFonts w:eastAsia="Times New Roman"/>
          <w:spacing w:val="-4"/>
          <w:szCs w:val="19"/>
          <w:highlight w:val="black"/>
          <w:lang w:eastAsia="pl-PL"/>
        </w:rPr>
        <w:br/>
      </w:r>
      <w:r w:rsidRPr="001B5954">
        <w:rPr>
          <w:rFonts w:eastAsia="Times New Roman"/>
          <w:szCs w:val="19"/>
          <w:highlight w:val="black"/>
          <w:lang w:eastAsia="pl-PL"/>
        </w:rPr>
        <w:t>i wyższa niż przed miesiącem (o 0,8%). Cena skupu żyta była wyższa w porównaniu z ceną sprzed roku (o 21,0%), a niższa w odniesieniu do ceny sprzed miesiąca (o 5,1%).</w:t>
      </w:r>
    </w:p>
    <w:p w14:paraId="6F8C2BB8" w14:textId="0EF2ECBC" w:rsidR="009800D1" w:rsidRPr="0005649F" w:rsidRDefault="009800D1" w:rsidP="0005649F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1B5954">
        <w:rPr>
          <w:b/>
          <w:highlight w:val="black"/>
        </w:rPr>
        <w:t xml:space="preserve">Przeciętne ceny skupu zbóż </w:t>
      </w:r>
      <w:r w:rsidR="0005649F">
        <w:rPr>
          <w:noProof/>
          <w:lang w:eastAsia="pl-PL"/>
        </w:rPr>
        <w:drawing>
          <wp:anchor distT="0" distB="0" distL="114300" distR="114300" simplePos="0" relativeHeight="251687936" behindDoc="0" locked="0" layoutInCell="1" allowOverlap="1" wp14:anchorId="6FDD4E15" wp14:editId="226FCD79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645910" cy="2988000"/>
            <wp:effectExtent l="0" t="0" r="2540" b="3175"/>
            <wp:wrapSquare wrapText="bothSides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0BC583E4" w14:textId="77777777" w:rsidR="00CE35DA" w:rsidRPr="001B5954" w:rsidRDefault="00CE35DA" w:rsidP="00CE35DA">
      <w:pPr>
        <w:spacing w:after="120" w:line="240" w:lineRule="exact"/>
        <w:rPr>
          <w:highlight w:val="black"/>
          <w:lang w:eastAsia="pl-PL"/>
        </w:rPr>
      </w:pPr>
      <w:r w:rsidRPr="001B5954">
        <w:rPr>
          <w:highlight w:val="black"/>
          <w:lang w:eastAsia="pl-PL"/>
        </w:rPr>
        <w:t xml:space="preserve">Za 1 </w:t>
      </w:r>
      <w:proofErr w:type="spellStart"/>
      <w:r w:rsidRPr="001B5954">
        <w:rPr>
          <w:highlight w:val="black"/>
          <w:lang w:eastAsia="pl-PL"/>
        </w:rPr>
        <w:t>dt</w:t>
      </w:r>
      <w:proofErr w:type="spellEnd"/>
      <w:r w:rsidRPr="001B5954">
        <w:rPr>
          <w:b/>
          <w:highlight w:val="black"/>
          <w:lang w:eastAsia="pl-PL"/>
        </w:rPr>
        <w:t xml:space="preserve"> ziemniaków </w:t>
      </w:r>
      <w:r w:rsidRPr="001B5954">
        <w:rPr>
          <w:highlight w:val="black"/>
          <w:lang w:eastAsia="pl-PL"/>
        </w:rPr>
        <w:t xml:space="preserve">w skupie w czerwcu br. płacono średnio 127,33 zł, tj. o 20,0% więcej niż przed rokiem i prawie 3-krotnie więcej niż w maju br. </w:t>
      </w:r>
    </w:p>
    <w:p w14:paraId="33618544" w14:textId="642E3617" w:rsidR="00CE35DA" w:rsidRPr="001B5954" w:rsidRDefault="00CE35DA" w:rsidP="00CE35DA">
      <w:pPr>
        <w:spacing w:before="120" w:after="120" w:line="240" w:lineRule="exact"/>
        <w:rPr>
          <w:highlight w:val="black"/>
          <w:lang w:eastAsia="pl-PL"/>
        </w:rPr>
      </w:pPr>
      <w:r w:rsidRPr="001B5954">
        <w:rPr>
          <w:b/>
          <w:highlight w:val="black"/>
          <w:lang w:eastAsia="pl-PL"/>
        </w:rPr>
        <w:t>Ceny skupu żywca wieprzowego</w:t>
      </w:r>
      <w:r w:rsidRPr="001B5954">
        <w:rPr>
          <w:highlight w:val="black"/>
          <w:lang w:eastAsia="pl-PL"/>
        </w:rPr>
        <w:t xml:space="preserve"> były niższe w porównaniu z cenami sprzed roku (o 6,6%), a wyższe w odniesieniu</w:t>
      </w:r>
      <w:r w:rsidR="005B567D" w:rsidRPr="001B5954">
        <w:rPr>
          <w:highlight w:val="black"/>
          <w:lang w:eastAsia="pl-PL"/>
        </w:rPr>
        <w:br/>
      </w:r>
      <w:r w:rsidRPr="001B5954">
        <w:rPr>
          <w:highlight w:val="black"/>
          <w:lang w:eastAsia="pl-PL"/>
        </w:rPr>
        <w:t>do maja br. (o 1,8%). W czerwcu br. cena 1 kg żywca wieprzowego w skupie wyniosła 5,21 zł.</w:t>
      </w:r>
    </w:p>
    <w:p w14:paraId="3F424776" w14:textId="77777777" w:rsidR="00CE35DA" w:rsidRPr="001B5954" w:rsidRDefault="00CE35DA" w:rsidP="00CE35DA">
      <w:pPr>
        <w:spacing w:before="120" w:after="120" w:line="240" w:lineRule="exact"/>
        <w:rPr>
          <w:highlight w:val="black"/>
          <w:lang w:eastAsia="pl-PL"/>
        </w:rPr>
      </w:pPr>
      <w:r w:rsidRPr="001B5954">
        <w:rPr>
          <w:highlight w:val="black"/>
          <w:lang w:eastAsia="pl-PL"/>
        </w:rPr>
        <w:lastRenderedPageBreak/>
        <w:t xml:space="preserve">W czerwcu br. </w:t>
      </w:r>
      <w:r w:rsidRPr="001B5954">
        <w:rPr>
          <w:b/>
          <w:highlight w:val="black"/>
          <w:lang w:eastAsia="pl-PL"/>
        </w:rPr>
        <w:t>średnia cena skupu 1 kg żywca drobiowego</w:t>
      </w:r>
      <w:r w:rsidRPr="001B5954">
        <w:rPr>
          <w:highlight w:val="black"/>
          <w:lang w:eastAsia="pl-PL"/>
        </w:rPr>
        <w:t xml:space="preserve"> wyniosła 4,98 zł i była wyższa niż przed rokiem (o 43,2%), jak i w odniesieniu do maja br. (o 8,0%). </w:t>
      </w:r>
    </w:p>
    <w:p w14:paraId="1A117848" w14:textId="529F908C" w:rsidR="00CE35DA" w:rsidRPr="0005649F" w:rsidRDefault="009800D1" w:rsidP="0005649F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1B5954">
        <w:rPr>
          <w:b/>
          <w:highlight w:val="black"/>
        </w:rPr>
        <w:t>Przeciętne ceny skupu żywca i mleka</w:t>
      </w:r>
      <w:r w:rsidR="0005649F">
        <w:rPr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4C27071D" wp14:editId="0C1CE3F9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910" cy="2818765"/>
            <wp:effectExtent l="0" t="0" r="2540" b="635"/>
            <wp:wrapSquare wrapText="bothSides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4E793F99" w14:textId="77777777" w:rsidR="0005649F" w:rsidRDefault="0005649F" w:rsidP="00CE35DA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24B2AE48" w14:textId="77777777" w:rsidR="00CE35DA" w:rsidRPr="001B5954" w:rsidRDefault="00CE35DA" w:rsidP="00CE35DA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szCs w:val="19"/>
          <w:highlight w:val="black"/>
          <w:lang w:eastAsia="pl-PL"/>
        </w:rPr>
        <w:t xml:space="preserve">Na </w:t>
      </w:r>
      <w:r w:rsidRPr="001B5954">
        <w:rPr>
          <w:highlight w:val="black"/>
          <w:lang w:eastAsia="pl-PL"/>
        </w:rPr>
        <w:t>rynku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</w:t>
      </w:r>
      <w:r w:rsidRPr="001B5954">
        <w:rPr>
          <w:rFonts w:eastAsia="Times New Roman"/>
          <w:b/>
          <w:szCs w:val="19"/>
          <w:highlight w:val="black"/>
          <w:lang w:eastAsia="pl-PL"/>
        </w:rPr>
        <w:t>wołowiny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 czerwcu br. płacono 6,64 zł, tj. o 12,9% więcej niż przed rokiem. W porównaniu z m</w:t>
      </w:r>
      <w:bookmarkStart w:id="26" w:name="_GoBack"/>
      <w:bookmarkEnd w:id="26"/>
      <w:r w:rsidRPr="001B5954">
        <w:rPr>
          <w:rFonts w:eastAsia="Times New Roman"/>
          <w:szCs w:val="19"/>
          <w:highlight w:val="black"/>
          <w:lang w:eastAsia="pl-PL"/>
        </w:rPr>
        <w:t>ajem br. średnia cena skupu żywca wołowego była wyższa o 1,8%.</w:t>
      </w:r>
    </w:p>
    <w:p w14:paraId="75D4C2D7" w14:textId="77777777" w:rsidR="00CE35DA" w:rsidRPr="001B5954" w:rsidRDefault="00CE35DA" w:rsidP="00CE35DA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B5954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1B5954">
        <w:rPr>
          <w:rFonts w:eastAsia="Times New Roman"/>
          <w:szCs w:val="19"/>
          <w:highlight w:val="black"/>
          <w:lang w:eastAsia="pl-PL"/>
        </w:rPr>
        <w:t xml:space="preserve"> w czerwcu br. były wyższe niż przed rokiem (o 15,6%) i wyższe niż przed miesiącem (o 0,7%).</w:t>
      </w:r>
    </w:p>
    <w:p w14:paraId="3B2DB420" w14:textId="77777777" w:rsidR="00502C57" w:rsidRPr="001B5954" w:rsidRDefault="00502C57" w:rsidP="00EE0070">
      <w:pPr>
        <w:pStyle w:val="Nagwek1"/>
        <w:spacing w:after="120"/>
        <w:rPr>
          <w:highlight w:val="black"/>
        </w:rPr>
      </w:pPr>
      <w:bookmarkStart w:id="27" w:name="_Toc78365310"/>
      <w:r w:rsidRPr="001B5954">
        <w:rPr>
          <w:highlight w:val="black"/>
        </w:rPr>
        <w:t>Przemysł</w:t>
      </w:r>
      <w:r w:rsidR="00191C58" w:rsidRPr="001B5954">
        <w:rPr>
          <w:highlight w:val="black"/>
        </w:rPr>
        <w:t xml:space="preserve"> i </w:t>
      </w:r>
      <w:r w:rsidRPr="001B5954">
        <w:rPr>
          <w:highlight w:val="black"/>
        </w:rPr>
        <w:t>budownictwo</w:t>
      </w:r>
      <w:bookmarkEnd w:id="22"/>
      <w:bookmarkEnd w:id="23"/>
      <w:bookmarkEnd w:id="24"/>
      <w:bookmarkEnd w:id="25"/>
      <w:bookmarkEnd w:id="27"/>
    </w:p>
    <w:p w14:paraId="42D87871" w14:textId="77777777" w:rsidR="007E14AA" w:rsidRPr="001B5954" w:rsidRDefault="007E14AA" w:rsidP="007E14AA">
      <w:pPr>
        <w:suppressAutoHyphens/>
        <w:spacing w:before="120" w:after="120" w:line="240" w:lineRule="exact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1B5954">
        <w:rPr>
          <w:bCs/>
          <w:highlight w:val="black"/>
        </w:rPr>
        <w:t>W czerwcu br., w produkcji sprzedanej przemysłu odnotowano wzrost w ujęciu rocznym. Wzrosła również w skali roku zarówno produkcja sprzedana budownictwa, jak i sprzedaż produkcji budowlano-montażowej.</w:t>
      </w:r>
    </w:p>
    <w:p w14:paraId="0591664A" w14:textId="77777777" w:rsidR="007E14AA" w:rsidRPr="001B5954" w:rsidRDefault="007E14AA" w:rsidP="007E14AA">
      <w:pPr>
        <w:suppressAutoHyphens/>
        <w:spacing w:before="120" w:after="120" w:line="240" w:lineRule="exact"/>
        <w:rPr>
          <w:bCs/>
          <w:highlight w:val="black"/>
        </w:rPr>
      </w:pPr>
      <w:r w:rsidRPr="001B5954">
        <w:rPr>
          <w:b/>
          <w:bCs/>
          <w:highlight w:val="black"/>
        </w:rPr>
        <w:t>Produkcja sprzedana przemysłu</w:t>
      </w:r>
      <w:r w:rsidRPr="001B5954">
        <w:rPr>
          <w:bCs/>
          <w:highlight w:val="black"/>
        </w:rPr>
        <w:t xml:space="preserve"> w czerwcu 2021 r., osiągnęła wartość (w cenach bieżących) 5519,7 mln zł i była (w cenach stałych) o 26,5% wyższa niż w czerwcu ubiegłego roku, kiedy notowano spadek o 8,0%. W Polsce wzrosła o 18,4% w skali roku i o 4,0% w skali miesiąca. Udział produkcji sprzedanej przemysłu w województwie podkarpackim stanowił 3,6% przychodów krajowych.</w:t>
      </w:r>
    </w:p>
    <w:p w14:paraId="360DD330" w14:textId="77777777" w:rsidR="007E14AA" w:rsidRPr="001B5954" w:rsidRDefault="007E14AA" w:rsidP="007E14AA">
      <w:pPr>
        <w:suppressAutoHyphens/>
        <w:spacing w:before="120" w:after="120" w:line="240" w:lineRule="exact"/>
        <w:rPr>
          <w:bCs/>
          <w:highlight w:val="black"/>
        </w:rPr>
      </w:pPr>
      <w:r w:rsidRPr="001B5954">
        <w:rPr>
          <w:bCs/>
          <w:highlight w:val="black"/>
        </w:rPr>
        <w:t>W ujęciu rocznym w przetwórstwie przemysłowym produkcja wzrosła o 25,9%, a w dostawie wody; gospodarowaniu ściekami i odpadami; rekultywacji o 15,0%.</w:t>
      </w:r>
    </w:p>
    <w:p w14:paraId="216CF183" w14:textId="77777777" w:rsidR="000F6531" w:rsidRPr="001B5954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1B5954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6B79FC37" w14:textId="5EB04FEA" w:rsidR="000F6531" w:rsidRPr="001B5954" w:rsidRDefault="009C0CDF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2CF69EA3" wp14:editId="460C829B">
            <wp:extent cx="6645910" cy="2428240"/>
            <wp:effectExtent l="0" t="0" r="2540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6D77FD" w14:textId="01DD5993" w:rsidR="003A60C5" w:rsidRPr="001B5954" w:rsidRDefault="003A60C5" w:rsidP="003A60C5">
      <w:pPr>
        <w:suppressAutoHyphens/>
        <w:spacing w:before="120" w:after="120" w:line="240" w:lineRule="exact"/>
        <w:rPr>
          <w:bCs/>
          <w:highlight w:val="black"/>
        </w:rPr>
      </w:pPr>
      <w:r w:rsidRPr="001B5954">
        <w:rPr>
          <w:bCs/>
          <w:highlight w:val="black"/>
        </w:rPr>
        <w:t xml:space="preserve">W czerwcu br., wzrost produkcji sprzedanej, w porównaniu z analogicznym miesiącem ubiegłego </w:t>
      </w:r>
      <w:r w:rsidR="00F91A84" w:rsidRPr="001B5954">
        <w:rPr>
          <w:bCs/>
          <w:highlight w:val="black"/>
        </w:rPr>
        <w:t>roku, wystąpił</w:t>
      </w:r>
      <w:r w:rsidR="00F91A84" w:rsidRPr="001B5954">
        <w:rPr>
          <w:bCs/>
          <w:highlight w:val="black"/>
        </w:rPr>
        <w:br/>
      </w:r>
      <w:r w:rsidRPr="001B5954">
        <w:rPr>
          <w:bCs/>
          <w:highlight w:val="black"/>
        </w:rPr>
        <w:t>w 25 działach przemysłu (spośród 30 występujących w województwie). Uwzględniając działy o znaczącym udziale</w:t>
      </w:r>
      <w:r w:rsidR="00F91A84" w:rsidRPr="001B5954">
        <w:rPr>
          <w:bCs/>
          <w:highlight w:val="black"/>
        </w:rPr>
        <w:br/>
      </w:r>
      <w:r w:rsidRPr="001B5954">
        <w:rPr>
          <w:bCs/>
          <w:highlight w:val="black"/>
        </w:rPr>
        <w:t xml:space="preserve">w produkcji sprzedanej przemysłu, znaczący wzrost o 53,4% wystąpił w produkcji chemikaliów i wyrobów chemicznych. Wysokie wzrosty produkcji sprzedanej przemysłu odnotowano również w produkcji maszyn i urządzeń (o 41,6%), </w:t>
      </w:r>
      <w:r w:rsidRPr="001B5954">
        <w:rPr>
          <w:bCs/>
          <w:highlight w:val="black"/>
        </w:rPr>
        <w:lastRenderedPageBreak/>
        <w:t>pozostałego sprzętu transportowego (o 38,9%), wyrobów z drewna, korka, słomy i wikliny (o 38,5%), wyrobów z gumy</w:t>
      </w:r>
      <w:r w:rsidR="00F91A84" w:rsidRPr="001B5954">
        <w:rPr>
          <w:bCs/>
          <w:highlight w:val="black"/>
        </w:rPr>
        <w:br/>
      </w:r>
      <w:r w:rsidRPr="001B5954">
        <w:rPr>
          <w:bCs/>
          <w:highlight w:val="black"/>
        </w:rPr>
        <w:t>i tworzyw sztucznych (o 36,2%), metali (o 23,9%) oraz w produkcji pojazdów samochodowych, przyczep i naczep (o 21,2%). Natomiast nieco mniejsze wzrosty produkcji sprzedanej przemysłu odnotowano także w produkcji mebli (o 18,7%), urządzeń elektrycznych (o 17,3%), wyrobów z metali (o 15,1%), komputerów, wyrobów elektronicznych i optycznych</w:t>
      </w:r>
      <w:r w:rsidR="00F91A84" w:rsidRPr="001B5954">
        <w:rPr>
          <w:bCs/>
          <w:highlight w:val="black"/>
        </w:rPr>
        <w:br/>
      </w:r>
      <w:r w:rsidRPr="001B5954">
        <w:rPr>
          <w:bCs/>
          <w:highlight w:val="black"/>
        </w:rPr>
        <w:t>(o 10,7%), wyrobów z pozostałych mineralnych surowców niemetalicznych (o 10,5%) oraz w produkcji artykułów spożywczych (o 9,9%).</w:t>
      </w:r>
    </w:p>
    <w:p w14:paraId="473B2491" w14:textId="77777777" w:rsidR="000F6531" w:rsidRPr="001B5954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B5954">
        <w:rPr>
          <w:rFonts w:cs="Arial"/>
          <w:b/>
          <w:szCs w:val="19"/>
          <w:highlight w:val="black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3A60C5" w:rsidRPr="001B5954" w14:paraId="1019A96A" w14:textId="77777777" w:rsidTr="001B5954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82D7EAD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61A27F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A39F0E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2021</w:t>
            </w:r>
          </w:p>
        </w:tc>
      </w:tr>
      <w:tr w:rsidR="003A60C5" w:rsidRPr="001B5954" w14:paraId="36B7B191" w14:textId="77777777" w:rsidTr="001B5954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50C5E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62384937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45D9F5E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1B5954" w:rsidRPr="001B5954" w14:paraId="723D7E01" w14:textId="77777777" w:rsidTr="001B595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23C80A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BE0299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126,5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66EB1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122,1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813E3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1B5954" w:rsidRPr="001B5954" w14:paraId="6BE8A0A2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17D005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9419C4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D7F1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F2991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738FE930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67628F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3CDD9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DDB4C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A2CC9A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  <w:tr w:rsidR="001B5954" w:rsidRPr="001B5954" w14:paraId="3C51A9E1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1CDF2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6B254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40C4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777F0C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7950695D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EEFCC3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6382BC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B1B1F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6C504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8,1</w:t>
            </w:r>
          </w:p>
        </w:tc>
      </w:tr>
      <w:tr w:rsidR="001B5954" w:rsidRPr="001B5954" w14:paraId="63A4B4D5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E71032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6507EF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EE3763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CFA97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8,0</w:t>
            </w:r>
          </w:p>
        </w:tc>
      </w:tr>
      <w:tr w:rsidR="001B5954" w:rsidRPr="001B5954" w14:paraId="1A729396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BA4C96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18DDF9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153,4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087E3C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DFA96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7,1</w:t>
            </w:r>
          </w:p>
        </w:tc>
      </w:tr>
      <w:tr w:rsidR="001B5954" w:rsidRPr="001B5954" w14:paraId="1626B56B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9499B0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D8D79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4AAB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A5A13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13,6</w:t>
            </w:r>
          </w:p>
        </w:tc>
      </w:tr>
      <w:tr w:rsidR="001B5954" w:rsidRPr="001B5954" w14:paraId="32DDA3B9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0A75B4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25E32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47BE9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4241A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</w:tr>
      <w:tr w:rsidR="001B5954" w:rsidRPr="001B5954" w14:paraId="16F052AF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DEB3F0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A062F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BC069F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5701E4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4,8</w:t>
            </w:r>
          </w:p>
        </w:tc>
      </w:tr>
      <w:tr w:rsidR="001B5954" w:rsidRPr="001B5954" w14:paraId="5EF5AF06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A0C8A9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EC100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F1364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179680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10,0</w:t>
            </w:r>
          </w:p>
        </w:tc>
      </w:tr>
      <w:tr w:rsidR="001B5954" w:rsidRPr="001B5954" w14:paraId="199FB05B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486335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29C8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CC52F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F56E93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</w:tr>
      <w:tr w:rsidR="001B5954" w:rsidRPr="001B5954" w14:paraId="3B3A1CF6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3D5A51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BEA54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D84693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1859C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1B5954" w:rsidRPr="001B5954" w14:paraId="3E38FB14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75DD23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1646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5915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85B33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</w:tr>
      <w:tr w:rsidR="001B5954" w:rsidRPr="001B5954" w14:paraId="4913EAEB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050DA7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97BE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374F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EBAB3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12,7</w:t>
            </w:r>
          </w:p>
        </w:tc>
      </w:tr>
      <w:tr w:rsidR="001B5954" w:rsidRPr="001B5954" w14:paraId="69EE5B71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280AF9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9B58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F5789A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2051C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7,8</w:t>
            </w:r>
          </w:p>
        </w:tc>
      </w:tr>
      <w:tr w:rsidR="001B5954" w:rsidRPr="001B5954" w14:paraId="266F3156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36EC91" w14:textId="77777777" w:rsidR="003A60C5" w:rsidRPr="001B5954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E73C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D8CD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21CAD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</w:tr>
      <w:tr w:rsidR="003A60C5" w:rsidRPr="001B5954" w14:paraId="210DAC38" w14:textId="77777777" w:rsidTr="001B595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C46F8F" w14:textId="77777777" w:rsidR="003A60C5" w:rsidRPr="001B5954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F8871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630B12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BAC6E3A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6ADD4742" w14:textId="77777777" w:rsidR="003A60C5" w:rsidRPr="001B5954" w:rsidRDefault="003A60C5" w:rsidP="000F6531">
      <w:pPr>
        <w:suppressAutoHyphens/>
        <w:spacing w:before="120" w:after="120" w:line="240" w:lineRule="exact"/>
        <w:rPr>
          <w:highlight w:val="black"/>
        </w:rPr>
      </w:pPr>
    </w:p>
    <w:p w14:paraId="0ED8D9AE" w14:textId="77777777" w:rsidR="003A60C5" w:rsidRPr="001B5954" w:rsidRDefault="003A60C5" w:rsidP="003A60C5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highlight w:val="black"/>
        </w:rPr>
        <w:t>W porównaniu z poprzednim miesiącem w przetwórstwie przemysłowym, podobnie jak w całym przemyśle, produkcja wzrosła o 4,5%, a w dostawie wody; gospodarowaniu ściekami i odpadami; rekultywacji o 5,6%.</w:t>
      </w:r>
    </w:p>
    <w:p w14:paraId="302395FE" w14:textId="77777777" w:rsidR="003A60C5" w:rsidRPr="001B5954" w:rsidRDefault="003A60C5" w:rsidP="003A60C5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b/>
          <w:highlight w:val="black"/>
        </w:rPr>
        <w:t>Wydajność pracy</w:t>
      </w:r>
      <w:r w:rsidRPr="001B5954">
        <w:rPr>
          <w:highlight w:val="black"/>
        </w:rPr>
        <w:t xml:space="preserve"> w przemyśle, mierzona produkcją sprzedaną na 1 zatrudnionego, w czerwcu 2021 r. wyniosła (w cenach bieżących) 41,9 tys. zł i była wyższa (w cenach stałych) o 19,3% w porównaniu z analogicznym miesiącem ubiegłego roku, przy przeciętnym zatrudnieniu wyższym o 6,1% i wzroście płac o 14,9%.</w:t>
      </w:r>
    </w:p>
    <w:p w14:paraId="603E0A70" w14:textId="23594FC1" w:rsidR="003A60C5" w:rsidRPr="001B5954" w:rsidRDefault="003A60C5" w:rsidP="003A60C5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highlight w:val="black"/>
        </w:rPr>
        <w:t>W I półroczu br., produkcja sprzedana przemysłu wyniosła 30439,3 mln zł i była o 22,1% wyższa (w kraju o 18,2%) niż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w analogicznym okresie ubiegłego roku, w tym w przetwórstwie przemysłowym odnotowano wzrost o 21,2%. Wzrost produkcji wystąpił w 25 działach przemysłu, m.in. w produkcji chemikaliów i wyrobów chemicznych (o 44,3%), pojazdów samochodowych, przyczep i naczep (o 42,1%), urządzeń elektrycznych (o 34,8%), wyrobów z gumy i tworzyw sztucznych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(o 34,4%), a także w produkcji maszyn i urządzeń (o 31,6%). Natomiast obniżyła się produkcja pozostałego sprzętu transportowego (o 12,8%).</w:t>
      </w:r>
    </w:p>
    <w:p w14:paraId="47234A5F" w14:textId="6632D38D" w:rsidR="003A60C5" w:rsidRPr="001B5954" w:rsidRDefault="003A60C5" w:rsidP="003A60C5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b/>
          <w:highlight w:val="black"/>
        </w:rPr>
        <w:lastRenderedPageBreak/>
        <w:t>Produkcja sprzedana budownictwa</w:t>
      </w:r>
      <w:r w:rsidRPr="001B5954">
        <w:rPr>
          <w:highlight w:val="black"/>
        </w:rPr>
        <w:t xml:space="preserve"> (w cenach bieżących) w czerwcu 2021 r. wyniosła 882,8 mln zł. Była wyższa o 31,0</w:t>
      </w:r>
      <w:r w:rsidR="00F91A84" w:rsidRPr="001B5954">
        <w:rPr>
          <w:highlight w:val="black"/>
        </w:rPr>
        <w:t>%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niż w czerwcu ubiegłego roku i o 18,7% wyższa niż w maju br. Od początku roku produkcja sprzedana przedsiębiorstw budowlanych osiągnęła wartość 3939,3 mln zł i wzrosła o 9,3% w porównaniu z analogicznym okresem ubiegłego roku.</w:t>
      </w:r>
    </w:p>
    <w:p w14:paraId="2FE8F6A1" w14:textId="2A0FADF4" w:rsidR="003A60C5" w:rsidRPr="001B5954" w:rsidRDefault="003A60C5" w:rsidP="003A60C5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highlight w:val="black"/>
        </w:rPr>
        <w:t>W przeliczeniu na 1 zatrudnionego produkcja sprzedana budownictwa, w czerwcu br</w:t>
      </w:r>
      <w:r w:rsidR="00F91A84" w:rsidRPr="001B5954">
        <w:rPr>
          <w:highlight w:val="black"/>
        </w:rPr>
        <w:t>. ukształtowała się na poziomie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44,9 tys. zł. Była o 26,4% wyższa niż przed rokiem, przy przeciętnym zatrudnieniu wyższym o 3,6% i wzroście wynagrodzeń o 8,4%.</w:t>
      </w:r>
    </w:p>
    <w:p w14:paraId="174A4958" w14:textId="3B6A702A" w:rsidR="003A60C5" w:rsidRPr="001B5954" w:rsidRDefault="003A60C5" w:rsidP="003A60C5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b/>
          <w:highlight w:val="black"/>
        </w:rPr>
        <w:t>Sprzedaż produkcji budowlano-montażowej</w:t>
      </w:r>
      <w:r w:rsidRPr="001B5954">
        <w:rPr>
          <w:highlight w:val="black"/>
        </w:rPr>
        <w:t xml:space="preserve"> (stanowiącej ponad 55% przychodów ogół</w:t>
      </w:r>
      <w:r w:rsidR="00F91A84" w:rsidRPr="001B5954">
        <w:rPr>
          <w:highlight w:val="black"/>
        </w:rPr>
        <w:t>em osiągniętych przez jednostki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w sekcji budownictwo), zrealizowana w czerwcu br. wyniosła 491,4 mln zł i była wyższa o 23,4% od uzyskanej w czerwcu ubiegłego roku (wobec wzrostu o 23,5% przed rokiem). Sprzedaż produkcji budowlano-montażowej w skali roku zwiększyła się w jednostkach, w których podstawowym rodzajem działalności jest budowa budynków (o 45,5%)</w:t>
      </w:r>
      <w:r w:rsidR="00F91A84" w:rsidRPr="001B5954">
        <w:rPr>
          <w:highlight w:val="black"/>
        </w:rPr>
        <w:t xml:space="preserve"> oraz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w podmiotach wykonujących głównie roboty budowlane specjalistyczne (o 41,5%). Natomiast obniżyła się w jednostkach specjalizujących się w budowie obiektów inżynierii lądowej i wodnej (o 5,0%).</w:t>
      </w:r>
    </w:p>
    <w:p w14:paraId="576AC844" w14:textId="77777777" w:rsidR="000F6531" w:rsidRPr="001B5954" w:rsidRDefault="000F6531" w:rsidP="000F6531">
      <w:pPr>
        <w:pStyle w:val="Tablicespis"/>
        <w:suppressAutoHyphens/>
        <w:ind w:left="851" w:hanging="851"/>
        <w:rPr>
          <w:highlight w:val="black"/>
        </w:rPr>
      </w:pPr>
      <w:r w:rsidRPr="001B5954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3A60C5" w:rsidRPr="001B5954" w14:paraId="61FC0365" w14:textId="77777777" w:rsidTr="001B5954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A2CBF40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B1E7A5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108646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2021</w:t>
            </w:r>
          </w:p>
        </w:tc>
      </w:tr>
      <w:tr w:rsidR="003A60C5" w:rsidRPr="001B5954" w14:paraId="229E56CF" w14:textId="77777777" w:rsidTr="001B5954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B1CF9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573349C8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5A268E0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1B5954" w:rsidRPr="001B5954" w14:paraId="338DE77C" w14:textId="77777777" w:rsidTr="001B595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4F939" w14:textId="77777777" w:rsidR="003A60C5" w:rsidRPr="001B5954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9D820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123,4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3503F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107,6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E6DBE1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1B5954" w:rsidRPr="001B5954" w14:paraId="2176F362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F641FC" w14:textId="77777777" w:rsidR="003A60C5" w:rsidRPr="001B5954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E3FE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F6002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715282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38,1</w:t>
            </w:r>
          </w:p>
        </w:tc>
      </w:tr>
      <w:tr w:rsidR="001B5954" w:rsidRPr="001B5954" w14:paraId="3DAF8904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63CC3E" w14:textId="77777777" w:rsidR="003A60C5" w:rsidRPr="001B5954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F57F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E78D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6FCA4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25,2</w:t>
            </w:r>
          </w:p>
        </w:tc>
      </w:tr>
      <w:tr w:rsidR="003A60C5" w:rsidRPr="001B5954" w14:paraId="55BED636" w14:textId="77777777" w:rsidTr="001B595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283107" w14:textId="77777777" w:rsidR="003A60C5" w:rsidRPr="001B5954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ED937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3EFF5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6D7896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36,7</w:t>
            </w:r>
          </w:p>
        </w:tc>
      </w:tr>
    </w:tbl>
    <w:p w14:paraId="7B77BB37" w14:textId="77777777" w:rsidR="003A60C5" w:rsidRPr="001B5954" w:rsidRDefault="003A60C5" w:rsidP="003A60C5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>W porównaniu z majem br., sprzedaż produkcji budowlano-montażowej była wyższa o 34,0%. Znaczący wzrost produkcji budowlano-montażowej (prawie 2-krotny) wystąpił w jednostkach specjalizujących się w budowie obiektów inżynierii lądowej i wodnej, a znacznie mniejszy w jednostkach, w których podstawowym rodzajem działalności jest budowa budynków (o 19,2%) oraz w podmiotach wykonujących głównie roboty budowlane specjalistyczne (o 13,4%).</w:t>
      </w:r>
    </w:p>
    <w:p w14:paraId="3B563893" w14:textId="195B4EE8" w:rsidR="003A60C5" w:rsidRPr="001B5954" w:rsidRDefault="003A60C5" w:rsidP="003A60C5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 xml:space="preserve">W I półroczu br. produkcja budowlano-montażowa wyniosła 1997,7 mln zł i była o 7,6% wyższa niż w analogicznym okresie ubiegłego roku. Wzrost sprzedaży wystąpił w podmiotach realizujących głównie roboty budowlane specjalistyczne </w:t>
      </w:r>
      <w:r w:rsidR="00F91A84" w:rsidRPr="001B5954">
        <w:rPr>
          <w:highlight w:val="black"/>
        </w:rPr>
        <w:t>oraz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w jednostkach, w których podstawowym rodzajem działalności jest budowa budynków. N</w:t>
      </w:r>
      <w:r w:rsidR="00F91A84" w:rsidRPr="001B5954">
        <w:rPr>
          <w:highlight w:val="black"/>
        </w:rPr>
        <w:t>atomiast spadek odnotowano</w:t>
      </w:r>
      <w:r w:rsidR="00F91A84" w:rsidRPr="001B5954">
        <w:rPr>
          <w:highlight w:val="black"/>
        </w:rPr>
        <w:br/>
      </w:r>
      <w:r w:rsidRPr="001B5954">
        <w:rPr>
          <w:highlight w:val="black"/>
        </w:rPr>
        <w:t>w podmiotach specjalizujących się w budowie obiektów inżynierii lądowej i wodnej.</w:t>
      </w:r>
    </w:p>
    <w:p w14:paraId="32323267" w14:textId="77777777" w:rsidR="005068B0" w:rsidRPr="001B5954" w:rsidRDefault="005068B0" w:rsidP="0095210F">
      <w:pPr>
        <w:pStyle w:val="Nagwek1"/>
        <w:spacing w:after="120"/>
        <w:rPr>
          <w:highlight w:val="black"/>
        </w:rPr>
      </w:pPr>
      <w:bookmarkStart w:id="35" w:name="_Toc78365311"/>
      <w:r w:rsidRPr="001B5954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12754F49" w14:textId="77777777" w:rsidR="005464A3" w:rsidRPr="001B5954" w:rsidRDefault="005464A3" w:rsidP="005464A3">
      <w:pPr>
        <w:spacing w:before="120" w:after="120" w:line="240" w:lineRule="exact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1B5954">
        <w:rPr>
          <w:szCs w:val="19"/>
          <w:highlight w:val="black"/>
        </w:rPr>
        <w:t>W czerwcu 2021 r., w porównaniu z analogicznym miesiącem 2020 r., wzrosła liczba mieszkań oddanych do użytkowania (o 27,6%) oraz liczba mieszkań, na realizację których wydano pozwolenia lub dokonano zgłoszenia z projektem budowlanym (o 6,2%). Spadła natomiast liczba mieszkań, których budowę rozpoczęto (o 3,2%).</w:t>
      </w:r>
    </w:p>
    <w:p w14:paraId="396F6468" w14:textId="77777777" w:rsidR="005464A3" w:rsidRPr="001B5954" w:rsidRDefault="005464A3" w:rsidP="005464A3">
      <w:pPr>
        <w:spacing w:before="120" w:after="120" w:line="240" w:lineRule="exact"/>
        <w:rPr>
          <w:szCs w:val="19"/>
          <w:highlight w:val="black"/>
        </w:rPr>
      </w:pPr>
      <w:r w:rsidRPr="001B5954">
        <w:rPr>
          <w:szCs w:val="19"/>
          <w:highlight w:val="black"/>
        </w:rPr>
        <w:t>Według wstępnych danych</w:t>
      </w:r>
      <w:r w:rsidRPr="001B5954">
        <w:rPr>
          <w:szCs w:val="19"/>
          <w:highlight w:val="black"/>
          <w:vertAlign w:val="superscript"/>
        </w:rPr>
        <w:footnoteReference w:id="4"/>
      </w:r>
      <w:r w:rsidRPr="001B5954">
        <w:rPr>
          <w:szCs w:val="19"/>
          <w:highlight w:val="black"/>
        </w:rPr>
        <w:t>, w czerwcu 2021 r. przekazano do użytkowania 777 mieszkań o łącznej powierzchni 90,0 tys. m</w:t>
      </w:r>
      <w:r w:rsidRPr="001B5954">
        <w:rPr>
          <w:szCs w:val="19"/>
          <w:highlight w:val="black"/>
          <w:vertAlign w:val="superscript"/>
        </w:rPr>
        <w:t>2</w:t>
      </w:r>
      <w:r w:rsidRPr="001B5954">
        <w:rPr>
          <w:szCs w:val="19"/>
          <w:highlight w:val="black"/>
        </w:rPr>
        <w:t>. Liczba nowo wybudowanych mieszkań, w porównaniu z czerwcem 2020 r., wzrosła o 168 lokali. W czerwcu 2021 r. w budownictwie indywidualnym przekazano 491 mieszkań (o 108 więcej niż w czerwcu 2020 r.), a w budownictwie przeznaczonym na sprzedaż lub wynajem przekazano 214 mieszkań (o 28 więcej niż przed rokiem). Ponadto w czerwcu przekazano do użytkowania 72 mieszkania spółdzielcze. W pozostałych formach budownictwa nie odnotowano efektów.</w:t>
      </w:r>
    </w:p>
    <w:p w14:paraId="016BCF2A" w14:textId="77777777" w:rsidR="005464A3" w:rsidRPr="001B5954" w:rsidRDefault="005464A3" w:rsidP="005464A3">
      <w:pPr>
        <w:spacing w:before="120" w:after="120" w:line="240" w:lineRule="exact"/>
        <w:rPr>
          <w:szCs w:val="19"/>
          <w:highlight w:val="black"/>
        </w:rPr>
      </w:pPr>
      <w:r w:rsidRPr="001B5954">
        <w:rPr>
          <w:szCs w:val="19"/>
          <w:highlight w:val="black"/>
        </w:rPr>
        <w:t xml:space="preserve">W relacji do maja 2021 r. liczba nowo oddanych mieszkań wzrosła o 190 lokali. W czerwcu 2021 r. udział województwa podkarpackiego wśród mieszkań oddanych do użytkowania w kraju wyniósł 4,3% i był o 0,4 </w:t>
      </w:r>
      <w:proofErr w:type="spellStart"/>
      <w:r w:rsidRPr="001B5954">
        <w:rPr>
          <w:szCs w:val="19"/>
          <w:highlight w:val="black"/>
        </w:rPr>
        <w:t>p.proc</w:t>
      </w:r>
      <w:proofErr w:type="spellEnd"/>
      <w:r w:rsidRPr="001B5954">
        <w:rPr>
          <w:szCs w:val="19"/>
          <w:highlight w:val="black"/>
        </w:rPr>
        <w:t>. wyższy niż w maju 2021 r.</w:t>
      </w:r>
    </w:p>
    <w:p w14:paraId="26BEE85C" w14:textId="77777777" w:rsidR="009800D1" w:rsidRPr="001B5954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04E4DF21" w14:textId="77777777" w:rsidR="009800D1" w:rsidRPr="001B5954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0CAB9401" w14:textId="77777777" w:rsidR="008A23D9" w:rsidRDefault="008A23D9" w:rsidP="008340AD">
      <w:pPr>
        <w:spacing w:before="120" w:after="120" w:line="240" w:lineRule="exact"/>
        <w:rPr>
          <w:szCs w:val="19"/>
          <w:highlight w:val="black"/>
        </w:rPr>
      </w:pPr>
    </w:p>
    <w:p w14:paraId="1C89AA46" w14:textId="77777777" w:rsidR="0005649F" w:rsidRPr="001B5954" w:rsidRDefault="0005649F" w:rsidP="008340AD">
      <w:pPr>
        <w:spacing w:before="120" w:after="120" w:line="240" w:lineRule="exact"/>
        <w:rPr>
          <w:szCs w:val="19"/>
          <w:highlight w:val="black"/>
        </w:rPr>
      </w:pPr>
    </w:p>
    <w:p w14:paraId="5B50A6F7" w14:textId="77777777" w:rsidR="009800D1" w:rsidRPr="001B5954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4022317D" w14:textId="77777777" w:rsidR="009800D1" w:rsidRPr="001B5954" w:rsidRDefault="009800D1" w:rsidP="008340AD">
      <w:pPr>
        <w:spacing w:before="120" w:after="120" w:line="240" w:lineRule="exact"/>
        <w:rPr>
          <w:szCs w:val="19"/>
          <w:highlight w:val="black"/>
        </w:rPr>
      </w:pPr>
    </w:p>
    <w:p w14:paraId="70927EF0" w14:textId="4EDEC771" w:rsidR="008340AD" w:rsidRPr="001B5954" w:rsidRDefault="008340AD" w:rsidP="008340AD">
      <w:pPr>
        <w:pStyle w:val="Tablicespis"/>
        <w:jc w:val="both"/>
        <w:rPr>
          <w:highlight w:val="black"/>
        </w:rPr>
      </w:pPr>
      <w:r w:rsidRPr="001B5954">
        <w:rPr>
          <w:highlight w:val="black"/>
        </w:rPr>
        <w:lastRenderedPageBreak/>
        <w:t xml:space="preserve">Liczba mieszkań oddanych do użytkowania w okresie </w:t>
      </w:r>
      <w:r w:rsidR="005464A3" w:rsidRPr="001B5954">
        <w:rPr>
          <w:highlight w:val="black"/>
        </w:rPr>
        <w:t xml:space="preserve">styczeń-czerwiec 2021 </w:t>
      </w:r>
      <w:r w:rsidRPr="001B5954">
        <w:rPr>
          <w:highlight w:val="black"/>
        </w:rPr>
        <w:t>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5464A3" w:rsidRPr="001B5954" w14:paraId="54F50E26" w14:textId="77777777" w:rsidTr="001B5954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D2A3508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12BF4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0A400463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1B5954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1B5954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1B5954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1B5954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1B5954" w:rsidRPr="001B5954" w14:paraId="7479BA77" w14:textId="77777777" w:rsidTr="001B5954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CACE2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13537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1B5954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935405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B4A3D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32BDAE7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01394C06" w14:textId="77777777" w:rsidTr="001B5954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34C75" w14:textId="77777777" w:rsidR="005464A3" w:rsidRPr="001B5954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90DA1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4481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CAD55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327989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6D4693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113,1</w:t>
            </w:r>
          </w:p>
        </w:tc>
      </w:tr>
      <w:tr w:rsidR="001B5954" w:rsidRPr="001B5954" w14:paraId="32ED2ABB" w14:textId="77777777" w:rsidTr="001B595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634C2" w14:textId="77777777" w:rsidR="005464A3" w:rsidRPr="001B5954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2C141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2836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7CCA98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63,3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501A2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123,7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CC8A95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141,1</w:t>
            </w:r>
          </w:p>
        </w:tc>
      </w:tr>
      <w:tr w:rsidR="001B5954" w:rsidRPr="001B5954" w14:paraId="1CCEB498" w14:textId="77777777" w:rsidTr="001B595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D0F0A" w14:textId="77777777" w:rsidR="005464A3" w:rsidRPr="001B5954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86DAEE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1484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9D6AB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33,1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FD41DB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D418F9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65,3</w:t>
            </w:r>
          </w:p>
        </w:tc>
      </w:tr>
      <w:tr w:rsidR="001B5954" w:rsidRPr="001B5954" w14:paraId="6DEF0372" w14:textId="77777777" w:rsidTr="001B595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F2DE2C" w14:textId="77777777" w:rsidR="005464A3" w:rsidRPr="001B5954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2053E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160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CFEB66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8673A9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0FD870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59,8</w:t>
            </w:r>
          </w:p>
        </w:tc>
      </w:tr>
      <w:tr w:rsidR="005464A3" w:rsidRPr="001B5954" w14:paraId="5EB4B961" w14:textId="77777777" w:rsidTr="001B595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64268D" w14:textId="77777777" w:rsidR="005464A3" w:rsidRPr="001B5954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27A5B1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0C7988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9EFE32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58A88F3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3D47BF12" w14:textId="77777777" w:rsidR="008340AD" w:rsidRPr="001B5954" w:rsidRDefault="008340AD" w:rsidP="008340AD">
      <w:pPr>
        <w:pStyle w:val="Nagwek5"/>
        <w:suppressAutoHyphens w:val="0"/>
        <w:spacing w:before="360"/>
        <w:rPr>
          <w:szCs w:val="19"/>
          <w:highlight w:val="black"/>
        </w:rPr>
      </w:pPr>
      <w:r w:rsidRPr="001B5954">
        <w:rPr>
          <w:highlight w:val="black"/>
        </w:rPr>
        <w:t>Dynamika mieszkań oddanych do użytkowania (</w:t>
      </w:r>
      <w:r w:rsidRPr="001B5954">
        <w:rPr>
          <w:szCs w:val="19"/>
          <w:highlight w:val="black"/>
        </w:rPr>
        <w:t>analogiczny okres 2015 = 100)</w:t>
      </w:r>
    </w:p>
    <w:p w14:paraId="0479E69E" w14:textId="0A44AFEC" w:rsidR="008340AD" w:rsidRPr="001B5954" w:rsidRDefault="0005649F" w:rsidP="008340AD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81DA6B0" wp14:editId="67615FEE">
            <wp:extent cx="6645910" cy="3031200"/>
            <wp:effectExtent l="0" t="0" r="2540" b="0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1D9737" w14:textId="77777777" w:rsidR="005464A3" w:rsidRPr="001B5954" w:rsidRDefault="005464A3" w:rsidP="005464A3">
      <w:pPr>
        <w:spacing w:before="120" w:after="120" w:line="240" w:lineRule="exact"/>
        <w:rPr>
          <w:szCs w:val="19"/>
          <w:highlight w:val="black"/>
        </w:rPr>
      </w:pPr>
      <w:r w:rsidRPr="001B5954">
        <w:rPr>
          <w:rFonts w:cs="Arial"/>
          <w:spacing w:val="-2"/>
          <w:szCs w:val="19"/>
          <w:highlight w:val="black"/>
        </w:rPr>
        <w:t xml:space="preserve">W okresie styczeń-czerwiec 2021 r. </w:t>
      </w:r>
      <w:r w:rsidRPr="001B5954">
        <w:rPr>
          <w:rFonts w:cs="Arial"/>
          <w:b/>
          <w:bCs/>
          <w:spacing w:val="-2"/>
          <w:szCs w:val="19"/>
          <w:highlight w:val="black"/>
        </w:rPr>
        <w:t>oddano do użytkowania 4481</w:t>
      </w:r>
      <w:r w:rsidRPr="001B5954">
        <w:rPr>
          <w:rFonts w:cs="Arial"/>
          <w:spacing w:val="-2"/>
          <w:szCs w:val="19"/>
          <w:highlight w:val="black"/>
        </w:rPr>
        <w:t xml:space="preserve"> </w:t>
      </w:r>
      <w:r w:rsidRPr="001B5954">
        <w:rPr>
          <w:rFonts w:cs="Arial"/>
          <w:b/>
          <w:bCs/>
          <w:spacing w:val="-2"/>
          <w:szCs w:val="19"/>
          <w:highlight w:val="black"/>
        </w:rPr>
        <w:t>mieszkań,</w:t>
      </w:r>
      <w:r w:rsidRPr="001B5954">
        <w:rPr>
          <w:rFonts w:cs="Arial"/>
          <w:spacing w:val="-2"/>
          <w:szCs w:val="19"/>
          <w:highlight w:val="black"/>
        </w:rPr>
        <w:t xml:space="preserve"> tj. o 791 lokali więcej niż w analogicznym okresie ub. roku. W budownictwie indywidualnym przekazano o 544 mieszkania więcej niż przed rokiem, a w budownictwie przeznaczonym na sprzedaż lub wynajem przekazano o 137 mieszkań więcej.</w:t>
      </w:r>
      <w:r w:rsidRPr="001B5954">
        <w:rPr>
          <w:szCs w:val="19"/>
          <w:highlight w:val="black"/>
        </w:rPr>
        <w:t xml:space="preserve"> Ponadto w pierwszym półroczu br. w budownictwie spółdzielczym oddano do użytkowania 160 mieszkań, a w komunalnym jedno. W pozostałych formach budownictwa nie odnotowano efektów.</w:t>
      </w:r>
    </w:p>
    <w:p w14:paraId="243F1284" w14:textId="77777777" w:rsidR="005464A3" w:rsidRPr="001B5954" w:rsidRDefault="005464A3" w:rsidP="005464A3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1B5954">
        <w:rPr>
          <w:b/>
          <w:bCs/>
          <w:noProof/>
          <w:szCs w:val="19"/>
          <w:highlight w:val="black"/>
        </w:rPr>
        <w:t>Przeciętna powierzchnia użytkowa</w:t>
      </w:r>
      <w:r w:rsidRPr="001B5954">
        <w:rPr>
          <w:bCs/>
          <w:noProof/>
          <w:szCs w:val="19"/>
          <w:highlight w:val="black"/>
        </w:rPr>
        <w:t xml:space="preserve"> mieszkania przekazanego do użytkowania w okresie </w:t>
      </w:r>
      <w:r w:rsidRPr="001B5954">
        <w:rPr>
          <w:noProof/>
          <w:highlight w:val="black"/>
        </w:rPr>
        <w:t xml:space="preserve">styczeń-czerwiec br. </w:t>
      </w:r>
      <w:r w:rsidRPr="001B5954">
        <w:rPr>
          <w:bCs/>
          <w:noProof/>
          <w:szCs w:val="19"/>
          <w:highlight w:val="black"/>
        </w:rPr>
        <w:t>wyniosła 113,1 m</w:t>
      </w:r>
      <w:r w:rsidRPr="001B5954">
        <w:rPr>
          <w:bCs/>
          <w:noProof/>
          <w:szCs w:val="19"/>
          <w:highlight w:val="black"/>
          <w:vertAlign w:val="superscript"/>
        </w:rPr>
        <w:t>2</w:t>
      </w:r>
      <w:r w:rsidRPr="001B5954">
        <w:rPr>
          <w:bCs/>
          <w:noProof/>
          <w:szCs w:val="19"/>
          <w:highlight w:val="black"/>
        </w:rPr>
        <w:t>, z tego w budownictwie indywidualnym – 141,1 m</w:t>
      </w:r>
      <w:r w:rsidRPr="001B5954">
        <w:rPr>
          <w:bCs/>
          <w:noProof/>
          <w:szCs w:val="19"/>
          <w:highlight w:val="black"/>
          <w:vertAlign w:val="superscript"/>
        </w:rPr>
        <w:t>2</w:t>
      </w:r>
      <w:r w:rsidRPr="001B5954">
        <w:rPr>
          <w:bCs/>
          <w:noProof/>
          <w:szCs w:val="19"/>
          <w:highlight w:val="black"/>
        </w:rPr>
        <w:t>, w przeznaczonym na sprzedaż lub wynajem – 65,3 m</w:t>
      </w:r>
      <w:r w:rsidRPr="001B5954">
        <w:rPr>
          <w:bCs/>
          <w:noProof/>
          <w:szCs w:val="19"/>
          <w:highlight w:val="black"/>
          <w:vertAlign w:val="superscript"/>
        </w:rPr>
        <w:t>2</w:t>
      </w:r>
      <w:r w:rsidRPr="001B5954">
        <w:rPr>
          <w:bCs/>
          <w:noProof/>
          <w:szCs w:val="19"/>
          <w:highlight w:val="black"/>
        </w:rPr>
        <w:t>, w spółdzielczym 59,8 m</w:t>
      </w:r>
      <w:r w:rsidRPr="001B5954">
        <w:rPr>
          <w:bCs/>
          <w:noProof/>
          <w:szCs w:val="19"/>
          <w:highlight w:val="black"/>
          <w:vertAlign w:val="superscript"/>
        </w:rPr>
        <w:t>2</w:t>
      </w:r>
      <w:r w:rsidRPr="001B5954">
        <w:rPr>
          <w:bCs/>
          <w:noProof/>
          <w:szCs w:val="19"/>
          <w:highlight w:val="black"/>
        </w:rPr>
        <w:t>, a w budownictwie komunalnym 20,0 m</w:t>
      </w:r>
      <w:r w:rsidRPr="001B5954">
        <w:rPr>
          <w:bCs/>
          <w:noProof/>
          <w:szCs w:val="19"/>
          <w:highlight w:val="black"/>
          <w:vertAlign w:val="superscript"/>
        </w:rPr>
        <w:t>2</w:t>
      </w:r>
      <w:r w:rsidRPr="001B5954">
        <w:rPr>
          <w:bCs/>
          <w:noProof/>
          <w:szCs w:val="19"/>
          <w:highlight w:val="black"/>
        </w:rPr>
        <w:t>.</w:t>
      </w:r>
    </w:p>
    <w:p w14:paraId="22B61D42" w14:textId="77777777" w:rsidR="005464A3" w:rsidRPr="001B5954" w:rsidRDefault="005464A3" w:rsidP="005464A3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1B5954">
        <w:rPr>
          <w:bCs/>
          <w:noProof/>
          <w:szCs w:val="19"/>
          <w:highlight w:val="black"/>
        </w:rPr>
        <w:t>W przekroju terytorialnym najwięcej mieszkań oddano do użytkowania w Rzeszowie (1386), powiecie rzeszowskim (543) i dębickim (450). Najmniej mieszkań przekazano w powiecie bieszczadzkim (26) oraz w Przemyślu (28).</w:t>
      </w:r>
    </w:p>
    <w:p w14:paraId="3F8D3582" w14:textId="77777777" w:rsidR="005464A3" w:rsidRPr="001B5954" w:rsidRDefault="005464A3" w:rsidP="005464A3">
      <w:pPr>
        <w:spacing w:before="120" w:after="120" w:line="240" w:lineRule="exact"/>
        <w:rPr>
          <w:noProof/>
          <w:szCs w:val="19"/>
          <w:highlight w:val="black"/>
        </w:rPr>
      </w:pPr>
      <w:r w:rsidRPr="001B5954">
        <w:rPr>
          <w:noProof/>
          <w:szCs w:val="19"/>
          <w:highlight w:val="black"/>
        </w:rPr>
        <w:t>Mieszkania o największej przeciętnej powierzchni użytkowej wybudowano w powiatach: leskim (162,3 m</w:t>
      </w:r>
      <w:r w:rsidRPr="001B5954">
        <w:rPr>
          <w:noProof/>
          <w:szCs w:val="19"/>
          <w:highlight w:val="black"/>
          <w:vertAlign w:val="superscript"/>
        </w:rPr>
        <w:t>2</w:t>
      </w:r>
      <w:r w:rsidRPr="001B5954">
        <w:rPr>
          <w:noProof/>
          <w:szCs w:val="19"/>
          <w:highlight w:val="black"/>
        </w:rPr>
        <w:t>), sanockim (157,9 m</w:t>
      </w:r>
      <w:r w:rsidRPr="001B5954">
        <w:rPr>
          <w:noProof/>
          <w:szCs w:val="19"/>
          <w:highlight w:val="black"/>
          <w:vertAlign w:val="superscript"/>
        </w:rPr>
        <w:t>2</w:t>
      </w:r>
      <w:r w:rsidRPr="001B5954">
        <w:rPr>
          <w:noProof/>
          <w:szCs w:val="19"/>
          <w:highlight w:val="black"/>
        </w:rPr>
        <w:t>) oraz w niżańskim (148,9 m</w:t>
      </w:r>
      <w:r w:rsidRPr="001B5954">
        <w:rPr>
          <w:noProof/>
          <w:szCs w:val="19"/>
          <w:highlight w:val="black"/>
          <w:vertAlign w:val="superscript"/>
        </w:rPr>
        <w:t>2</w:t>
      </w:r>
      <w:r w:rsidRPr="001B5954">
        <w:rPr>
          <w:noProof/>
          <w:szCs w:val="19"/>
          <w:highlight w:val="black"/>
        </w:rPr>
        <w:t>). Najmniejsze natomiast w Rzeszowie (74,2 m</w:t>
      </w:r>
      <w:r w:rsidRPr="001B5954">
        <w:rPr>
          <w:noProof/>
          <w:szCs w:val="19"/>
          <w:highlight w:val="black"/>
          <w:vertAlign w:val="superscript"/>
        </w:rPr>
        <w:t>2</w:t>
      </w:r>
      <w:r w:rsidRPr="001B5954">
        <w:rPr>
          <w:noProof/>
          <w:szCs w:val="19"/>
          <w:highlight w:val="black"/>
        </w:rPr>
        <w:t>) i powiecie dębickim (96,3 m</w:t>
      </w:r>
      <w:r w:rsidRPr="001B5954">
        <w:rPr>
          <w:noProof/>
          <w:szCs w:val="19"/>
          <w:highlight w:val="black"/>
          <w:vertAlign w:val="superscript"/>
        </w:rPr>
        <w:t>2</w:t>
      </w:r>
      <w:r w:rsidRPr="001B5954">
        <w:rPr>
          <w:noProof/>
          <w:szCs w:val="19"/>
          <w:highlight w:val="black"/>
        </w:rPr>
        <w:t>).</w:t>
      </w:r>
    </w:p>
    <w:p w14:paraId="12934894" w14:textId="23A986D8" w:rsidR="008340AD" w:rsidRPr="001B5954" w:rsidRDefault="008340AD" w:rsidP="008340AD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1B5954">
        <w:rPr>
          <w:b/>
          <w:highlight w:val="black"/>
        </w:rPr>
        <w:lastRenderedPageBreak/>
        <w:t xml:space="preserve">Mapa 2. Mieszkania oddane do użytkowania według powiatów w okresie </w:t>
      </w:r>
      <w:r w:rsidR="005464A3" w:rsidRPr="001B5954">
        <w:rPr>
          <w:b/>
          <w:highlight w:val="black"/>
        </w:rPr>
        <w:t xml:space="preserve">styczeń-czerwiec </w:t>
      </w:r>
      <w:r w:rsidRPr="001B5954">
        <w:rPr>
          <w:b/>
          <w:highlight w:val="black"/>
        </w:rPr>
        <w:t>2021 r.</w:t>
      </w:r>
    </w:p>
    <w:p w14:paraId="375403C6" w14:textId="091E2C72" w:rsidR="008340AD" w:rsidRPr="001B5954" w:rsidRDefault="00B83FB4" w:rsidP="008340AD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59BC5DD" wp14:editId="0562B8A4">
            <wp:extent cx="4425705" cy="4946914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eszkania_06_2021_kolo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7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AA3" w14:textId="77777777" w:rsidR="008340AD" w:rsidRPr="001B5954" w:rsidRDefault="008340AD" w:rsidP="008340AD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0AA228A7" w14:textId="77777777" w:rsidR="005464A3" w:rsidRPr="001B5954" w:rsidRDefault="005464A3" w:rsidP="005464A3">
      <w:pPr>
        <w:tabs>
          <w:tab w:val="left" w:pos="0"/>
        </w:tabs>
        <w:rPr>
          <w:rFonts w:cs="Arial"/>
          <w:szCs w:val="19"/>
          <w:highlight w:val="black"/>
        </w:rPr>
      </w:pPr>
      <w:r w:rsidRPr="001B5954">
        <w:rPr>
          <w:rFonts w:cs="Arial"/>
          <w:szCs w:val="19"/>
          <w:highlight w:val="black"/>
        </w:rPr>
        <w:t>W okresie styczeń-czerwiec 2021 r. wzrost liczby mieszkań oddanych do użytkowania w odniesieniu do analogicznego okresu 2020 r. odnotowano w czternastu powiatach, w tym największy w powiatach: dębickim – o 94,0%, jarosławskim – o 74,4% i jasielskim – o 55,4%. Spadek liczby mieszkań oddanych do użytkowania wystąpił w dziewięciu powiatach, w tym największy w Krośnie – o 32,9%, Przemyślu – o 24,3% oraz powiecie brzozowskim – o 23,2%. W powiecie leskim i przeworskim liczba mieszkań oddanych do użytkowania utrzymała się na poziomie sprzed roku.</w:t>
      </w:r>
    </w:p>
    <w:p w14:paraId="09FE3A6E" w14:textId="77777777" w:rsidR="005464A3" w:rsidRPr="001B5954" w:rsidRDefault="005464A3" w:rsidP="005464A3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1B5954">
        <w:rPr>
          <w:noProof/>
          <w:szCs w:val="19"/>
          <w:highlight w:val="black"/>
        </w:rPr>
        <w:t>W czerwcu 2021 r.</w:t>
      </w:r>
      <w:r w:rsidRPr="001B5954">
        <w:rPr>
          <w:rFonts w:cs="Arial"/>
          <w:szCs w:val="19"/>
          <w:highlight w:val="black"/>
        </w:rPr>
        <w:t xml:space="preserve"> liczba mieszkań, na realizację których </w:t>
      </w:r>
      <w:r w:rsidRPr="001B5954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1B5954">
        <w:rPr>
          <w:rFonts w:cs="Arial"/>
          <w:szCs w:val="19"/>
          <w:highlight w:val="black"/>
        </w:rPr>
        <w:t xml:space="preserve"> </w:t>
      </w:r>
      <w:r w:rsidRPr="001B5954">
        <w:rPr>
          <w:noProof/>
          <w:szCs w:val="19"/>
          <w:highlight w:val="black"/>
        </w:rPr>
        <w:t>wyniosła 1052 (w analogicznym miesiącu 2020 r. – 991), z tego w budownictwie indywidualnym – 648, a w przeznaczonym na sprzedaż lub wynajem – 404.</w:t>
      </w:r>
    </w:p>
    <w:p w14:paraId="7914446E" w14:textId="77777777" w:rsidR="005464A3" w:rsidRPr="001B5954" w:rsidRDefault="005464A3" w:rsidP="005464A3">
      <w:pPr>
        <w:spacing w:before="120" w:after="120" w:line="240" w:lineRule="exact"/>
        <w:rPr>
          <w:noProof/>
          <w:szCs w:val="19"/>
          <w:highlight w:val="black"/>
        </w:rPr>
      </w:pPr>
      <w:r w:rsidRPr="001B5954">
        <w:rPr>
          <w:noProof/>
          <w:szCs w:val="19"/>
          <w:highlight w:val="black"/>
        </w:rPr>
        <w:t xml:space="preserve">W badanym miesiącu </w:t>
      </w:r>
      <w:r w:rsidRPr="001B5954">
        <w:rPr>
          <w:b/>
          <w:noProof/>
          <w:szCs w:val="19"/>
          <w:highlight w:val="black"/>
        </w:rPr>
        <w:t xml:space="preserve">rozpoczęto budowę </w:t>
      </w:r>
      <w:r w:rsidRPr="001B5954">
        <w:rPr>
          <w:noProof/>
          <w:szCs w:val="19"/>
          <w:highlight w:val="black"/>
        </w:rPr>
        <w:t>1228 mieszkań (w analogicznym miesiącu 2020 r. – 1269), z tego w budownictwie indywidualnym – 676, a w przeznaczonym na sprzedaż lub wynajem – 552.</w:t>
      </w:r>
    </w:p>
    <w:p w14:paraId="0C60B27B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72BBF42C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2F933F7C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3EF7497F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2FCB519F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26071B5A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79B11652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19B244B2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670232B5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p w14:paraId="5A6045FC" w14:textId="77777777" w:rsidR="009800D1" w:rsidRPr="001B5954" w:rsidRDefault="009800D1" w:rsidP="008340AD">
      <w:pPr>
        <w:spacing w:before="120" w:after="120" w:line="240" w:lineRule="exact"/>
        <w:rPr>
          <w:noProof/>
          <w:szCs w:val="19"/>
          <w:highlight w:val="black"/>
        </w:rPr>
      </w:pPr>
    </w:p>
    <w:bookmarkEnd w:id="36"/>
    <w:p w14:paraId="675EC80B" w14:textId="39F44AA4" w:rsidR="008340AD" w:rsidRPr="001B5954" w:rsidRDefault="008340AD" w:rsidP="008340AD">
      <w:pPr>
        <w:pStyle w:val="Tablicespis"/>
        <w:jc w:val="both"/>
        <w:rPr>
          <w:highlight w:val="black"/>
        </w:rPr>
      </w:pPr>
      <w:r w:rsidRPr="001B5954">
        <w:rPr>
          <w:highlight w:val="black"/>
        </w:rPr>
        <w:lastRenderedPageBreak/>
        <w:t xml:space="preserve">Liczba mieszkań, na realizację których uzyskano pozwolenia lub dokonano zgłoszenia z projektem budowlanym i mieszkań, których budowę rozpoczęto w okresie </w:t>
      </w:r>
      <w:r w:rsidR="005464A3" w:rsidRPr="001B5954">
        <w:rPr>
          <w:highlight w:val="black"/>
        </w:rPr>
        <w:t xml:space="preserve">styczeń-czerwiec 2021 </w:t>
      </w:r>
      <w:r w:rsidRPr="001B5954">
        <w:rPr>
          <w:highlight w:val="black"/>
        </w:rPr>
        <w:t>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464A3" w:rsidRPr="001B5954" w14:paraId="275CA34F" w14:textId="77777777" w:rsidTr="001B5954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631069D4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8E1AE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B686C2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1B5954" w:rsidRPr="001B5954" w14:paraId="357D314F" w14:textId="77777777" w:rsidTr="001B5954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1D795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8265B" w14:textId="77777777" w:rsidR="005464A3" w:rsidRPr="001B5954" w:rsidRDefault="005464A3" w:rsidP="00525CF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1F83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9D61C" w14:textId="77777777" w:rsidR="005464A3" w:rsidRPr="001B5954" w:rsidRDefault="005464A3" w:rsidP="00525CF3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67AAD8" w14:textId="77777777" w:rsidR="005464A3" w:rsidRPr="001B5954" w:rsidRDefault="005464A3" w:rsidP="00525CF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1DC90" w14:textId="77777777" w:rsidR="005464A3" w:rsidRPr="001B5954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7474DB6" w14:textId="77777777" w:rsidR="005464A3" w:rsidRPr="001B5954" w:rsidRDefault="005464A3" w:rsidP="00525CF3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2020 = 100</w:t>
            </w:r>
          </w:p>
        </w:tc>
      </w:tr>
      <w:tr w:rsidR="001B5954" w:rsidRPr="001B5954" w14:paraId="64E2EAE0" w14:textId="77777777" w:rsidTr="001B5954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976A6" w14:textId="77777777" w:rsidR="005464A3" w:rsidRPr="001B5954" w:rsidRDefault="005464A3" w:rsidP="00525CF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A974B5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5803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EF248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1ACA5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D8EC6A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5952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27A5E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4D5C83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106,8</w:t>
            </w:r>
          </w:p>
        </w:tc>
      </w:tr>
      <w:tr w:rsidR="001B5954" w:rsidRPr="001B5954" w14:paraId="329F181A" w14:textId="77777777" w:rsidTr="001B595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972AE" w14:textId="77777777" w:rsidR="005464A3" w:rsidRPr="001B5954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917F36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3634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A1A27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62,6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A1458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117,0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B6D6E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3496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D95E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6CE521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118,7</w:t>
            </w:r>
          </w:p>
        </w:tc>
      </w:tr>
      <w:tr w:rsidR="001B5954" w:rsidRPr="001B5954" w14:paraId="6A351115" w14:textId="77777777" w:rsidTr="001B595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C73B1" w14:textId="77777777" w:rsidR="005464A3" w:rsidRPr="001B5954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9F0367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2168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23F6F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37,4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88E4B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78,4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AE96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2455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17413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41,3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5EF6F6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</w:tr>
      <w:tr w:rsidR="001B5954" w:rsidRPr="001B5954" w14:paraId="0012BDB7" w14:textId="77777777" w:rsidTr="001B595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DD4B0B" w14:textId="77777777" w:rsidR="005464A3" w:rsidRPr="001B5954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49481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1D27C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4ACAB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12337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50E1FF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FAFEED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6,7</w:t>
            </w:r>
          </w:p>
        </w:tc>
      </w:tr>
      <w:tr w:rsidR="001B5954" w:rsidRPr="001B5954" w14:paraId="780EB9EF" w14:textId="77777777" w:rsidTr="001B595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04D35E" w14:textId="77777777" w:rsidR="005464A3" w:rsidRPr="001B5954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2DBEB3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F9C2AD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FAE4509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9B2A1C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AB44B7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7782ACD" w14:textId="77777777" w:rsidR="005464A3" w:rsidRPr="001B5954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024A761F" w:rsidR="003A65C9" w:rsidRPr="001B5954" w:rsidRDefault="003A65C9" w:rsidP="002146B3">
      <w:pPr>
        <w:pStyle w:val="Nagwek1"/>
        <w:spacing w:after="120"/>
        <w:rPr>
          <w:highlight w:val="black"/>
        </w:rPr>
      </w:pPr>
      <w:bookmarkStart w:id="37" w:name="_Toc78365312"/>
      <w:r w:rsidRPr="001B5954">
        <w:rPr>
          <w:highlight w:val="black"/>
        </w:rPr>
        <w:t>Rynek wewnętrzny</w:t>
      </w:r>
      <w:bookmarkEnd w:id="37"/>
    </w:p>
    <w:p w14:paraId="15F2407D" w14:textId="77777777" w:rsidR="003A60C5" w:rsidRPr="001B5954" w:rsidRDefault="003A60C5" w:rsidP="003A60C5">
      <w:pPr>
        <w:pStyle w:val="podstawowyFira95"/>
        <w:suppressAutoHyphens/>
        <w:jc w:val="left"/>
        <w:rPr>
          <w:spacing w:val="-4"/>
          <w:highlight w:val="black"/>
        </w:rPr>
      </w:pPr>
      <w:bookmarkStart w:id="38" w:name="_Toc6905819"/>
      <w:bookmarkStart w:id="39" w:name="_Toc52179244"/>
      <w:r w:rsidRPr="001B5954">
        <w:rPr>
          <w:spacing w:val="-4"/>
          <w:highlight w:val="black"/>
        </w:rPr>
        <w:t>W czerwcu br. w skali roku, zwiększyła się sprzedaż detaliczna (w cenach bieżących). Wyższa była również sprzedaż hurtowa, zarówno w jednostkach handlowych, jak i hurtowych.</w:t>
      </w:r>
    </w:p>
    <w:p w14:paraId="74F1C5AB" w14:textId="24A629DB" w:rsidR="003A60C5" w:rsidRPr="001B5954" w:rsidRDefault="003A60C5" w:rsidP="003A60C5">
      <w:pPr>
        <w:pStyle w:val="podstawowyFira95"/>
        <w:suppressAutoHyphens/>
        <w:jc w:val="left"/>
        <w:rPr>
          <w:spacing w:val="-4"/>
          <w:highlight w:val="black"/>
        </w:rPr>
      </w:pPr>
      <w:r w:rsidRPr="001B5954">
        <w:rPr>
          <w:b/>
          <w:spacing w:val="-4"/>
          <w:highlight w:val="black"/>
        </w:rPr>
        <w:t>Sprzedaż detaliczna</w:t>
      </w:r>
      <w:r w:rsidRPr="001B5954">
        <w:rPr>
          <w:spacing w:val="-4"/>
          <w:highlight w:val="black"/>
        </w:rPr>
        <w:t xml:space="preserve"> zrealizowana przez przedsiębiorstwa handlowe i niehandlowe, w czerwcu 2021 r., była o 18,3% wyższa niż przed rokiem (wobec spadku o 11,7% w czerwcu ubiegłego roku) i o 6,3% wyższa niż przed miesiącem.</w:t>
      </w:r>
      <w:r w:rsidR="00075DE9" w:rsidRPr="001B5954">
        <w:rPr>
          <w:spacing w:val="-4"/>
          <w:highlight w:val="black"/>
        </w:rPr>
        <w:t xml:space="preserve"> </w:t>
      </w:r>
      <w:r w:rsidRPr="001B5954">
        <w:rPr>
          <w:spacing w:val="-4"/>
          <w:highlight w:val="black"/>
        </w:rPr>
        <w:t xml:space="preserve">Najwyższy wzrost </w:t>
      </w:r>
      <w:proofErr w:type="spellStart"/>
      <w:r w:rsidRPr="001B5954">
        <w:rPr>
          <w:spacing w:val="-4"/>
          <w:highlight w:val="black"/>
        </w:rPr>
        <w:t>sprze</w:t>
      </w:r>
      <w:r w:rsidR="00075DE9" w:rsidRPr="001B5954">
        <w:rPr>
          <w:spacing w:val="-4"/>
          <w:highlight w:val="black"/>
        </w:rPr>
        <w:t>-</w:t>
      </w:r>
      <w:r w:rsidRPr="001B5954">
        <w:rPr>
          <w:spacing w:val="-4"/>
          <w:highlight w:val="black"/>
        </w:rPr>
        <w:t>daży</w:t>
      </w:r>
      <w:proofErr w:type="spellEnd"/>
      <w:r w:rsidRPr="001B5954">
        <w:rPr>
          <w:spacing w:val="-4"/>
          <w:highlight w:val="black"/>
        </w:rPr>
        <w:t xml:space="preserve"> detalicznej w porównaniu z czerwcem </w:t>
      </w:r>
      <w:r w:rsidRPr="001B5954">
        <w:rPr>
          <w:spacing w:val="-6"/>
          <w:highlight w:val="black"/>
        </w:rPr>
        <w:t xml:space="preserve">ubiegłego roku wystąpił w przedsiębiorstwach </w:t>
      </w:r>
      <w:r w:rsidR="00075DE9" w:rsidRPr="001B5954">
        <w:rPr>
          <w:spacing w:val="-6"/>
          <w:highlight w:val="black"/>
        </w:rPr>
        <w:t>p</w:t>
      </w:r>
      <w:r w:rsidRPr="001B5954">
        <w:rPr>
          <w:spacing w:val="-6"/>
          <w:highlight w:val="black"/>
        </w:rPr>
        <w:t>rowadzących sprzedaż pojazdów samochodowych, motocykli, części (o 80,6%). Wzrost sprzedaży detalicznej wystąpił również w przedsiębiorstwach</w:t>
      </w:r>
      <w:r w:rsidRPr="001B5954">
        <w:rPr>
          <w:spacing w:val="-4"/>
          <w:highlight w:val="black"/>
        </w:rPr>
        <w:t xml:space="preserve"> zajmujących się sprzedażą tekstyliów, odzieży i obuwia (o 39,8%), a także w jednostkach zgrupowanych w kategorii pozostałe (o 24,6%)</w:t>
      </w:r>
      <w:r w:rsidR="00075DE9" w:rsidRPr="001B5954">
        <w:rPr>
          <w:spacing w:val="-4"/>
          <w:highlight w:val="black"/>
        </w:rPr>
        <w:br/>
      </w:r>
      <w:r w:rsidRPr="001B5954">
        <w:rPr>
          <w:spacing w:val="-4"/>
          <w:highlight w:val="black"/>
        </w:rPr>
        <w:t xml:space="preserve">i w podmiotach handlujących meblami, sprzętem </w:t>
      </w:r>
      <w:proofErr w:type="spellStart"/>
      <w:r w:rsidRPr="001B5954">
        <w:rPr>
          <w:spacing w:val="-4"/>
          <w:highlight w:val="black"/>
        </w:rPr>
        <w:t>rtv</w:t>
      </w:r>
      <w:proofErr w:type="spellEnd"/>
      <w:r w:rsidRPr="001B5954">
        <w:rPr>
          <w:spacing w:val="-4"/>
          <w:highlight w:val="black"/>
        </w:rPr>
        <w:t xml:space="preserve"> i </w:t>
      </w:r>
      <w:proofErr w:type="spellStart"/>
      <w:r w:rsidRPr="001B5954">
        <w:rPr>
          <w:spacing w:val="-4"/>
          <w:highlight w:val="black"/>
        </w:rPr>
        <w:t>agd</w:t>
      </w:r>
      <w:proofErr w:type="spellEnd"/>
      <w:r w:rsidRPr="001B5954">
        <w:rPr>
          <w:spacing w:val="-4"/>
          <w:highlight w:val="black"/>
        </w:rPr>
        <w:t xml:space="preserve"> (o 17,6%),</w:t>
      </w:r>
      <w:r w:rsidR="00075DE9" w:rsidRPr="001B5954">
        <w:rPr>
          <w:spacing w:val="-4"/>
          <w:highlight w:val="black"/>
        </w:rPr>
        <w:t xml:space="preserve"> </w:t>
      </w:r>
      <w:r w:rsidRPr="001B5954">
        <w:rPr>
          <w:spacing w:val="-4"/>
          <w:highlight w:val="black"/>
        </w:rPr>
        <w:t>jak i w jednostkach zajmujących się sprzedażą farmaceuty</w:t>
      </w:r>
      <w:r w:rsidR="00BB1B16" w:rsidRPr="001B5954">
        <w:rPr>
          <w:spacing w:val="-4"/>
          <w:highlight w:val="black"/>
        </w:rPr>
        <w:t>-</w:t>
      </w:r>
      <w:proofErr w:type="spellStart"/>
      <w:r w:rsidRPr="001B5954">
        <w:rPr>
          <w:spacing w:val="-4"/>
          <w:highlight w:val="black"/>
        </w:rPr>
        <w:t>ków</w:t>
      </w:r>
      <w:proofErr w:type="spellEnd"/>
      <w:r w:rsidRPr="001B5954">
        <w:rPr>
          <w:spacing w:val="-4"/>
          <w:highlight w:val="black"/>
        </w:rPr>
        <w:t>, kosmetyków, sprzętu ortopedycznego (o 11,4%) oraz żywności</w:t>
      </w:r>
      <w:r w:rsidR="00075DE9" w:rsidRPr="001B5954">
        <w:rPr>
          <w:spacing w:val="-4"/>
          <w:highlight w:val="black"/>
        </w:rPr>
        <w:t>, napojów i wyrobów tytoniowych</w:t>
      </w:r>
      <w:r w:rsidR="00BB1B16" w:rsidRPr="001B5954">
        <w:rPr>
          <w:spacing w:val="-4"/>
          <w:highlight w:val="black"/>
        </w:rPr>
        <w:t xml:space="preserve"> </w:t>
      </w:r>
      <w:r w:rsidRPr="001B5954">
        <w:rPr>
          <w:spacing w:val="-4"/>
          <w:highlight w:val="black"/>
        </w:rPr>
        <w:t xml:space="preserve">(o 1,0%). Łączny udział tych sześciu grup w strukturze sprzedaży detalicznej wyniósł 76,6% i w stosunku do czerwca ubiegłego roku wzrósł o 0,4 </w:t>
      </w:r>
      <w:proofErr w:type="spellStart"/>
      <w:r w:rsidRPr="001B5954">
        <w:rPr>
          <w:spacing w:val="-4"/>
          <w:highlight w:val="black"/>
        </w:rPr>
        <w:t>p.proc</w:t>
      </w:r>
      <w:proofErr w:type="spellEnd"/>
      <w:r w:rsidRPr="001B5954">
        <w:rPr>
          <w:spacing w:val="-4"/>
          <w:highlight w:val="black"/>
        </w:rPr>
        <w:t>. Natomiast spadek sprzedaży wystąpił jedynie w jednostkach zajmujących się sprzedażą prasy, książek, pozostałą sprzedażą</w:t>
      </w:r>
      <w:r w:rsidR="00BB1B16" w:rsidRPr="001B5954">
        <w:rPr>
          <w:spacing w:val="-4"/>
          <w:highlight w:val="black"/>
        </w:rPr>
        <w:br/>
      </w:r>
      <w:r w:rsidRPr="001B5954">
        <w:rPr>
          <w:spacing w:val="-4"/>
          <w:highlight w:val="black"/>
        </w:rPr>
        <w:t>w wyspecjalizowanych sklepach (o 13,0%).</w:t>
      </w:r>
    </w:p>
    <w:p w14:paraId="7A3922A2" w14:textId="4F0ECB57" w:rsidR="003A60C5" w:rsidRPr="001B5954" w:rsidRDefault="000F6531" w:rsidP="00BB1B16">
      <w:pPr>
        <w:pStyle w:val="Tablicespis"/>
        <w:suppressAutoHyphens/>
        <w:spacing w:before="60"/>
        <w:ind w:left="851" w:hanging="851"/>
        <w:jc w:val="both"/>
        <w:rPr>
          <w:sz w:val="16"/>
          <w:szCs w:val="16"/>
          <w:highlight w:val="black"/>
        </w:rPr>
      </w:pPr>
      <w:r w:rsidRPr="001B5954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3A60C5" w:rsidRPr="001B5954" w14:paraId="6DA549E4" w14:textId="77777777" w:rsidTr="001B5954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F10DAC5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A5B36D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VI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E119BE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I-VI 2021</w:t>
            </w:r>
          </w:p>
        </w:tc>
      </w:tr>
      <w:tr w:rsidR="003A60C5" w:rsidRPr="001B5954" w14:paraId="5487352D" w14:textId="77777777" w:rsidTr="001B5954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08EAF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0B3ECE48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37C59A1" w14:textId="77777777" w:rsidR="003A60C5" w:rsidRPr="001B5954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1B5954" w:rsidRPr="001B5954" w14:paraId="0890DF6D" w14:textId="77777777" w:rsidTr="001B5954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0FE852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1B5954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1B5954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507DF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FE117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106,5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F1427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1B5954" w:rsidRPr="001B5954" w14:paraId="33F01084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8119E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8BD01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E7AAB4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8C7EF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62619D35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B66DAC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A318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180,6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B044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145,4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8FD16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12,9</w:t>
            </w:r>
          </w:p>
        </w:tc>
      </w:tr>
      <w:tr w:rsidR="001B5954" w:rsidRPr="001B5954" w14:paraId="0171CFAE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D8E1F5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14D7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5C9CA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7B1216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32,8</w:t>
            </w:r>
          </w:p>
        </w:tc>
      </w:tr>
      <w:tr w:rsidR="001B5954" w:rsidRPr="001B5954" w14:paraId="129C39FF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38F917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B8A7A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044470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C22898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4,6</w:t>
            </w:r>
          </w:p>
        </w:tc>
      </w:tr>
      <w:tr w:rsidR="001B5954" w:rsidRPr="001B5954" w14:paraId="6E2EE41D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6998F9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1E37D1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FF89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132,4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014E8B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</w:tr>
      <w:tr w:rsidR="001B5954" w:rsidRPr="001B5954" w14:paraId="12C1BEDB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F22087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1B5954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1B5954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1B5954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6956A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ECA1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0BB23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4,9</w:t>
            </w:r>
          </w:p>
        </w:tc>
      </w:tr>
      <w:tr w:rsidR="001B5954" w:rsidRPr="001B5954" w14:paraId="63DA3378" w14:textId="77777777" w:rsidTr="001B5954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C3923B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CD9D87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87,0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11171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A70E3E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3A60C5" w:rsidRPr="001B5954" w14:paraId="54B63DB5" w14:textId="77777777" w:rsidTr="001B5954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4F55F5B" w14:textId="77777777" w:rsidR="003A60C5" w:rsidRPr="001B5954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57FAF5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124,6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4334C4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34BF9AD" w14:textId="77777777" w:rsidR="003A60C5" w:rsidRPr="001B5954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16,4</w:t>
            </w:r>
          </w:p>
        </w:tc>
      </w:tr>
    </w:tbl>
    <w:p w14:paraId="5B18EC50" w14:textId="77777777" w:rsidR="003A60C5" w:rsidRPr="001B5954" w:rsidRDefault="003A60C5" w:rsidP="000F6531">
      <w:pPr>
        <w:suppressAutoHyphens/>
        <w:spacing w:before="60"/>
        <w:jc w:val="both"/>
        <w:rPr>
          <w:sz w:val="16"/>
          <w:szCs w:val="16"/>
          <w:highlight w:val="black"/>
        </w:rPr>
      </w:pPr>
    </w:p>
    <w:p w14:paraId="2F639E09" w14:textId="77777777" w:rsidR="000F6531" w:rsidRPr="001B5954" w:rsidRDefault="000F6531" w:rsidP="000F6531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1B5954">
        <w:rPr>
          <w:sz w:val="16"/>
          <w:szCs w:val="16"/>
          <w:highlight w:val="black"/>
        </w:rPr>
        <w:t xml:space="preserve">a </w:t>
      </w:r>
      <w:r w:rsidRPr="001B595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3A77BD1" w14:textId="2238C22A" w:rsidR="003A60C5" w:rsidRPr="001B5954" w:rsidRDefault="003A60C5" w:rsidP="003A60C5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lastRenderedPageBreak/>
        <w:t>W porównaniu z poprzednim miesiącem wzrost sprzedaży detalicznej wystąpił m.in. w jednostkach zgrupowanych</w:t>
      </w:r>
      <w:r w:rsidR="00BB1B16" w:rsidRPr="001B5954">
        <w:rPr>
          <w:highlight w:val="black"/>
        </w:rPr>
        <w:br/>
      </w:r>
      <w:r w:rsidRPr="001B5954">
        <w:rPr>
          <w:highlight w:val="black"/>
        </w:rPr>
        <w:t>w kategorii pozostałe (o 17,1%) oraz handlujących tekstyliami, odzieżą, obuwiem (o 7,2%), a także w przedsiębiorstwach zajmujących się sprzedażą żywności, napojów i wyrobów tytoniowych (o 6,4%). Natomiast spadek sprzedaży odnotowano w jednostkach zajmujących się sprzedażą prasy, książek, pozostałej sprzedaży w wyspecjalizowanych sklepach (o 6,6%) oraz pojazdów samochodowych, motocykli, części (o 0,7%).</w:t>
      </w:r>
    </w:p>
    <w:p w14:paraId="5C20E559" w14:textId="4BAC0897" w:rsidR="003A60C5" w:rsidRPr="001B5954" w:rsidRDefault="003A60C5" w:rsidP="003A60C5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 xml:space="preserve">W I półroczu br. sprzedaż detaliczna była o 6,5% wyższa w porównaniu z analogicznym okresem ubiegłego </w:t>
      </w:r>
      <w:r w:rsidR="00BB1B16" w:rsidRPr="001B5954">
        <w:rPr>
          <w:highlight w:val="black"/>
        </w:rPr>
        <w:t>roku</w:t>
      </w:r>
      <w:r w:rsidR="00BB1B16" w:rsidRPr="001B5954">
        <w:rPr>
          <w:highlight w:val="black"/>
        </w:rPr>
        <w:br/>
      </w:r>
      <w:r w:rsidRPr="001B5954">
        <w:rPr>
          <w:highlight w:val="black"/>
        </w:rPr>
        <w:t>(przed rokiem odnotowano spadek o 7,8%). Najwyższy wzrost sprzedaży odnotowano w grupie pojazdy samochodowe, motocykle, części (o 45,4%), natomiast spadek wystąpił w sprzedaży farmaceutyków, kosmetyków, sprzętu ortopedycznego (o 8,1%).</w:t>
      </w:r>
    </w:p>
    <w:p w14:paraId="4AF05933" w14:textId="1D74CB9C" w:rsidR="003A60C5" w:rsidRPr="001B5954" w:rsidRDefault="003A60C5" w:rsidP="003A60C5">
      <w:pPr>
        <w:pStyle w:val="podstawowyFira95"/>
        <w:suppressAutoHyphens/>
        <w:jc w:val="left"/>
        <w:rPr>
          <w:highlight w:val="black"/>
        </w:rPr>
      </w:pPr>
      <w:r w:rsidRPr="001B5954">
        <w:rPr>
          <w:b/>
          <w:highlight w:val="black"/>
        </w:rPr>
        <w:t>Sprzedaż hurtowa</w:t>
      </w:r>
      <w:r w:rsidRPr="001B5954">
        <w:rPr>
          <w:highlight w:val="black"/>
        </w:rPr>
        <w:t xml:space="preserve"> w przedsiębiorstwach handlowych, w czerwcu br. była o 35,2% wyższa niż przed rokiem, przy czym</w:t>
      </w:r>
      <w:r w:rsidR="00BB1B16" w:rsidRPr="001B5954">
        <w:rPr>
          <w:highlight w:val="black"/>
        </w:rPr>
        <w:br/>
      </w:r>
      <w:r w:rsidRPr="001B5954">
        <w:rPr>
          <w:highlight w:val="black"/>
        </w:rPr>
        <w:t>w przedsiębiorstwach handlu hurtowego wzrosła o 38,4%. Sprzedaż hurtowa w porównaniu z poprzednim miesiącem wzrosła o 8,2% w przedsiębiorstwach handlowych, natomiast w przedsiębiorstwach handlu hurtowego o 9,3%.</w:t>
      </w:r>
    </w:p>
    <w:p w14:paraId="019AD64B" w14:textId="67D92BCD" w:rsidR="003A60C5" w:rsidRPr="001B5954" w:rsidRDefault="003A60C5" w:rsidP="003A60C5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 xml:space="preserve">W okresie styczeń-czerwiec br., w odniesieniu do analogicznego okresu ubiegłego </w:t>
      </w:r>
      <w:r w:rsidR="005B567D" w:rsidRPr="001B5954">
        <w:rPr>
          <w:highlight w:val="black"/>
        </w:rPr>
        <w:t>roku, sprzedaż hurtowa</w:t>
      </w:r>
      <w:r w:rsidR="005B567D" w:rsidRPr="001B5954">
        <w:rPr>
          <w:highlight w:val="black"/>
        </w:rPr>
        <w:br/>
      </w:r>
      <w:r w:rsidRPr="001B5954">
        <w:rPr>
          <w:highlight w:val="black"/>
        </w:rPr>
        <w:t>w przedsiębiorstwach handlowych była wyższa o 16,2%, a w przedsiębiorstwach handlu hurtowego wzrosła o 24,1%.</w:t>
      </w:r>
    </w:p>
    <w:p w14:paraId="76C32BB9" w14:textId="49248FDA" w:rsidR="005030DC" w:rsidRPr="001B5954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0" w:name="_Toc78365313"/>
      <w:r w:rsidRPr="001B5954">
        <w:rPr>
          <w:highlight w:val="black"/>
        </w:rPr>
        <w:t>W</w:t>
      </w:r>
      <w:r w:rsidR="005030DC" w:rsidRPr="001B5954">
        <w:rPr>
          <w:highlight w:val="black"/>
        </w:rPr>
        <w:t>pływ pandemii COVID-19 na działalność sektora przedsiębiorstw</w:t>
      </w:r>
      <w:bookmarkEnd w:id="40"/>
      <w:r w:rsidR="005030DC" w:rsidRPr="001B5954">
        <w:rPr>
          <w:highlight w:val="black"/>
        </w:rPr>
        <w:tab/>
      </w:r>
    </w:p>
    <w:bookmarkEnd w:id="38"/>
    <w:bookmarkEnd w:id="39"/>
    <w:p w14:paraId="2D7D07C2" w14:textId="2838CCD4" w:rsidR="003E3FDB" w:rsidRPr="001B5954" w:rsidRDefault="003E3FDB" w:rsidP="003E3FDB">
      <w:pPr>
        <w:suppressAutoHyphens/>
        <w:spacing w:before="120" w:after="120" w:line="240" w:lineRule="exact"/>
        <w:rPr>
          <w:highlight w:val="black"/>
        </w:rPr>
      </w:pPr>
      <w:r w:rsidRPr="001B5954">
        <w:rPr>
          <w:highlight w:val="black"/>
        </w:rPr>
        <w:t>W czerwcu br., w województwie podkarpackim 1,4% podmiotów gospodarczych, które złożyły meldunek DG-1</w:t>
      </w:r>
      <w:r w:rsidRPr="001B5954">
        <w:rPr>
          <w:rStyle w:val="Odwoanieprzypisudolnego"/>
          <w:highlight w:val="black"/>
        </w:rPr>
        <w:footnoteReference w:id="5"/>
      </w:r>
      <w:r w:rsidRPr="001B5954">
        <w:rPr>
          <w:highlight w:val="black"/>
        </w:rPr>
        <w:t>, wskazało pandemię COVID-19, jako czynnik wywołujący istotne zmiany w prowadzeniu działalności gospodarczej. W porównaniu</w:t>
      </w:r>
      <w:r w:rsidRPr="001B5954">
        <w:rPr>
          <w:highlight w:val="black"/>
        </w:rPr>
        <w:br/>
        <w:t xml:space="preserve">z poprzednim miesiącem odsetek jednostek zgłaszających zmiany spowodowane COVID-19 wzrósł o 0,2 </w:t>
      </w:r>
      <w:proofErr w:type="spellStart"/>
      <w:r w:rsidRPr="001B5954">
        <w:rPr>
          <w:highlight w:val="black"/>
        </w:rPr>
        <w:t>p.proc</w:t>
      </w:r>
      <w:proofErr w:type="spellEnd"/>
      <w:r w:rsidRPr="001B5954">
        <w:rPr>
          <w:highlight w:val="black"/>
        </w:rPr>
        <w:t xml:space="preserve">. (w kraju spadek o 0,3 </w:t>
      </w:r>
      <w:proofErr w:type="spellStart"/>
      <w:r w:rsidRPr="001B5954">
        <w:rPr>
          <w:highlight w:val="black"/>
        </w:rPr>
        <w:t>p.proc</w:t>
      </w:r>
      <w:proofErr w:type="spellEnd"/>
      <w:r w:rsidRPr="001B5954">
        <w:rPr>
          <w:highlight w:val="black"/>
        </w:rPr>
        <w:t>.). Najwyższy odsetek jednostek, doświadczających skutków pandemii w czerwcu 2021 r. odnotowano w województwie zachodniopomorskim (1,7%), natomiast najniższy w województwie opolskim (0,1%).</w:t>
      </w:r>
    </w:p>
    <w:p w14:paraId="7077B2AE" w14:textId="77777777" w:rsidR="003E3FDB" w:rsidRPr="001B5954" w:rsidRDefault="003E3FDB" w:rsidP="003E3FDB">
      <w:pPr>
        <w:pStyle w:val="Nagwek5"/>
        <w:rPr>
          <w:highlight w:val="black"/>
        </w:rPr>
      </w:pPr>
      <w:r w:rsidRPr="001B5954">
        <w:rPr>
          <w:highlight w:val="black"/>
        </w:rPr>
        <w:t>Odsetek jednostek zgłaszających zmiany spowodowane COVID-19</w:t>
      </w:r>
    </w:p>
    <w:p w14:paraId="3B0EC2A9" w14:textId="38CB3E17" w:rsidR="003E3FDB" w:rsidRPr="001B5954" w:rsidRDefault="009C0CDF" w:rsidP="003E3FD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819D869" wp14:editId="3CC3F687">
            <wp:extent cx="6645910" cy="2888615"/>
            <wp:effectExtent l="0" t="0" r="2540" b="6985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04E9434" w14:textId="666F2609" w:rsidR="003E3FDB" w:rsidRPr="001B5954" w:rsidRDefault="003E3FDB" w:rsidP="003E3FDB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1B5954">
        <w:rPr>
          <w:noProof/>
          <w:szCs w:val="19"/>
          <w:highlight w:val="black"/>
        </w:rPr>
        <w:t>W czerwcu 2021 r., przedsiębiorstwa najczęściej sygnalizujące zmiany związane z pandemią COVID-19 w województwie podkarpackim zajmowały się pozostałą działalnością usługową (33,3%), natomiast</w:t>
      </w:r>
      <w:r w:rsidR="00BB1B16" w:rsidRPr="001B5954">
        <w:rPr>
          <w:noProof/>
          <w:szCs w:val="19"/>
          <w:highlight w:val="black"/>
        </w:rPr>
        <w:t xml:space="preserve"> w kraju prowadziły działalność</w:t>
      </w:r>
      <w:r w:rsidR="00BB1B16" w:rsidRPr="001B5954">
        <w:rPr>
          <w:noProof/>
          <w:szCs w:val="19"/>
          <w:highlight w:val="black"/>
        </w:rPr>
        <w:br/>
      </w:r>
      <w:r w:rsidRPr="001B5954">
        <w:rPr>
          <w:noProof/>
          <w:szCs w:val="19"/>
          <w:highlight w:val="black"/>
        </w:rPr>
        <w:t>w zakresie zakwaterowania i gastronomii (7,7%). W województwie do sekcji, z których podmioty relatywnie często sygnalizowały zmiany spowodowane COVID-19, w czerwcu br. należy wymienić również zakwaterowanie i gastronomię (14,3%), budownictwo (2,3%), przetwórstwo przemysłowe oraz administrowanie i działalność wspierającą (po 2,0%),</w:t>
      </w:r>
      <w:r w:rsidRPr="001B5954">
        <w:rPr>
          <w:noProof/>
          <w:szCs w:val="19"/>
          <w:highlight w:val="black"/>
        </w:rPr>
        <w:br/>
        <w:t>a także handel; naprawę pojazdów samochodowych (0,3%).</w:t>
      </w:r>
    </w:p>
    <w:p w14:paraId="21985B52" w14:textId="77777777" w:rsidR="003E3FDB" w:rsidRPr="001B5954" w:rsidRDefault="003E3FDB" w:rsidP="003E3FDB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</w:p>
    <w:p w14:paraId="6CF416C1" w14:textId="77777777" w:rsidR="003E3FDB" w:rsidRPr="001B5954" w:rsidRDefault="003E3FDB" w:rsidP="003E3FDB">
      <w:pPr>
        <w:pStyle w:val="Nagwek5"/>
        <w:rPr>
          <w:highlight w:val="black"/>
        </w:rPr>
      </w:pPr>
      <w:r w:rsidRPr="001B5954">
        <w:rPr>
          <w:highlight w:val="black"/>
        </w:rPr>
        <w:lastRenderedPageBreak/>
        <w:t>Jednostki zgłaszające zmiany spowodowane COVID-19 według wybranych sekcji w województwie podkarpackim</w:t>
      </w:r>
    </w:p>
    <w:p w14:paraId="6B19CC44" w14:textId="1A7732B1" w:rsidR="003E3FDB" w:rsidRPr="001B5954" w:rsidRDefault="009C0CDF" w:rsidP="003E3FDB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9E075D5" wp14:editId="456F7EC5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7BE4B1B" w14:textId="50D5AADB" w:rsidR="003E3FDB" w:rsidRPr="001B5954" w:rsidRDefault="003E3FDB" w:rsidP="003E3FDB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 xml:space="preserve">Najczęściej, jako przyczynę zmian w działalności gospodarczej związaną z COVID-19, w województwie podkarpackim wskazywano na zmianę liczby zamówień (wzrost/spadek). W czerwcu br., spadek w tym zakresie wskazało 0,5% </w:t>
      </w:r>
      <w:proofErr w:type="spellStart"/>
      <w:r w:rsidRPr="001B5954">
        <w:rPr>
          <w:highlight w:val="black"/>
        </w:rPr>
        <w:t>podmio</w:t>
      </w:r>
      <w:r w:rsidR="008A23D9" w:rsidRPr="001B5954">
        <w:rPr>
          <w:highlight w:val="black"/>
        </w:rPr>
        <w:t>-</w:t>
      </w:r>
      <w:r w:rsidRPr="001B5954">
        <w:rPr>
          <w:highlight w:val="black"/>
        </w:rPr>
        <w:t>tów</w:t>
      </w:r>
      <w:proofErr w:type="spellEnd"/>
      <w:r w:rsidRPr="001B5954">
        <w:rPr>
          <w:highlight w:val="black"/>
        </w:rPr>
        <w:t xml:space="preserve"> (wobec 0,7% w maju br.), a wzrost – 0,6% (wobec 0,3% w poprzednim miesiącu). Sekcją z największym udziałem spadku zamówień w czerwcu 2021 r., było budownictwo (1,6% jednostek), zaś wzrostu – pozostała działalność usługowa (33,3% podmiotów).</w:t>
      </w:r>
    </w:p>
    <w:p w14:paraId="3A543522" w14:textId="22AA32C1" w:rsidR="003E3FDB" w:rsidRPr="001B5954" w:rsidRDefault="003E3FDB" w:rsidP="003E3FDB">
      <w:pPr>
        <w:pStyle w:val="podstawowyFira95"/>
        <w:suppressAutoHyphens/>
        <w:jc w:val="left"/>
        <w:rPr>
          <w:highlight w:val="black"/>
        </w:rPr>
      </w:pPr>
      <w:r w:rsidRPr="001B5954">
        <w:rPr>
          <w:highlight w:val="black"/>
        </w:rPr>
        <w:t xml:space="preserve">W czerwcu 2021 r., problemy z zaopatrzeniem od dostawców znalazły się na drugim miejscu wśród czynników </w:t>
      </w:r>
      <w:proofErr w:type="spellStart"/>
      <w:r w:rsidRPr="001B5954">
        <w:rPr>
          <w:highlight w:val="black"/>
        </w:rPr>
        <w:t>determi</w:t>
      </w:r>
      <w:r w:rsidR="00BB1B16" w:rsidRPr="001B5954">
        <w:rPr>
          <w:highlight w:val="black"/>
        </w:rPr>
        <w:t>-</w:t>
      </w:r>
      <w:r w:rsidRPr="001B5954">
        <w:rPr>
          <w:highlight w:val="black"/>
        </w:rPr>
        <w:t>nujących</w:t>
      </w:r>
      <w:proofErr w:type="spellEnd"/>
      <w:r w:rsidRPr="001B5954">
        <w:rPr>
          <w:highlight w:val="black"/>
        </w:rPr>
        <w:t xml:space="preserve"> działalność i wyniki przedsiębiorstw w województwie podkarpackim – wskazało na nie 0,2% jednostek. Największy odsetek na tę przyczynę miała sekcja – budownictwo (0,8% przedsiębiorstw).</w:t>
      </w:r>
    </w:p>
    <w:p w14:paraId="1B50E129" w14:textId="77777777" w:rsidR="003E3FDB" w:rsidRPr="001B5954" w:rsidRDefault="003E3FDB" w:rsidP="003E3FDB">
      <w:pPr>
        <w:pStyle w:val="Nagwek5"/>
        <w:rPr>
          <w:highlight w:val="black"/>
        </w:rPr>
      </w:pPr>
      <w:proofErr w:type="spellStart"/>
      <w:r w:rsidRPr="001B5954">
        <w:rPr>
          <w:highlight w:val="black"/>
        </w:rPr>
        <w:t>Przyczyny</w:t>
      </w:r>
      <w:r w:rsidRPr="001B5954">
        <w:rPr>
          <w:highlight w:val="black"/>
          <w:vertAlign w:val="superscript"/>
        </w:rPr>
        <w:t>a</w:t>
      </w:r>
      <w:proofErr w:type="spellEnd"/>
      <w:r w:rsidRPr="001B5954">
        <w:rPr>
          <w:highlight w:val="black"/>
        </w:rPr>
        <w:t xml:space="preserve"> zmian w działalności gospodarczej spowodowanych COVID-19</w:t>
      </w:r>
    </w:p>
    <w:p w14:paraId="08DA8F74" w14:textId="08224EF6" w:rsidR="003E3FDB" w:rsidRPr="001B5954" w:rsidRDefault="009C0CDF" w:rsidP="003E3FDB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73BF54E" wp14:editId="7388195D">
            <wp:extent cx="6641790" cy="2946675"/>
            <wp:effectExtent l="0" t="0" r="6985" b="635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3BE1967" w14:textId="77777777" w:rsidR="003E3FDB" w:rsidRPr="001B5954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1B5954">
        <w:rPr>
          <w:bCs/>
          <w:sz w:val="16"/>
          <w:szCs w:val="16"/>
          <w:highlight w:val="black"/>
        </w:rPr>
        <w:t>a Respondenci mogli wskazać wiele przyczyn jednocześnie.</w:t>
      </w:r>
    </w:p>
    <w:p w14:paraId="6EE14A19" w14:textId="720454E5" w:rsidR="003E3FDB" w:rsidRPr="001B5954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1B5954">
        <w:rPr>
          <w:bCs/>
          <w:highlight w:val="black"/>
        </w:rPr>
        <w:t xml:space="preserve">W czerwcu br., w województwie nie wskazano pandemii COVID-19, jako przyczyny przejęcia lub wydzielenia </w:t>
      </w:r>
      <w:proofErr w:type="spellStart"/>
      <w:r w:rsidRPr="001B5954">
        <w:rPr>
          <w:bCs/>
          <w:highlight w:val="black"/>
        </w:rPr>
        <w:t>przedsiębior</w:t>
      </w:r>
      <w:r w:rsidR="00BB1B16" w:rsidRPr="001B5954">
        <w:rPr>
          <w:bCs/>
          <w:highlight w:val="black"/>
        </w:rPr>
        <w:t>-</w:t>
      </w:r>
      <w:r w:rsidRPr="001B5954">
        <w:rPr>
          <w:bCs/>
          <w:highlight w:val="black"/>
        </w:rPr>
        <w:t>stwa</w:t>
      </w:r>
      <w:proofErr w:type="spellEnd"/>
      <w:r w:rsidRPr="001B5954">
        <w:rPr>
          <w:bCs/>
          <w:highlight w:val="black"/>
        </w:rPr>
        <w:t xml:space="preserve"> (lub jego części). Nie wystąpiły też przypadki anulowania wcześniej wystawionych faktur, uwzględnienia faktur korygujących, zatorów płatniczych, zwolnień pracowników, a także wstrzymania produkcji i/lub świadczenia </w:t>
      </w:r>
      <w:r w:rsidR="008A23D9" w:rsidRPr="001B5954">
        <w:rPr>
          <w:bCs/>
          <w:highlight w:val="black"/>
        </w:rPr>
        <w:t>usług.</w:t>
      </w:r>
      <w:r w:rsidR="008A23D9" w:rsidRPr="001B5954">
        <w:rPr>
          <w:bCs/>
          <w:highlight w:val="black"/>
        </w:rPr>
        <w:br/>
      </w:r>
      <w:r w:rsidRPr="001B5954">
        <w:rPr>
          <w:bCs/>
          <w:highlight w:val="black"/>
        </w:rPr>
        <w:t>Wiele podmiotów wskazało jednak ogólnie na pandemię, jako przyczynę wywołującą zmiany w prowadzeniu działalności gospodarczej, bez zaznaczania szczegółowego powodu.</w:t>
      </w:r>
    </w:p>
    <w:p w14:paraId="53E49E70" w14:textId="77777777" w:rsidR="003E3FDB" w:rsidRPr="001B5954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</w:p>
    <w:p w14:paraId="6500161B" w14:textId="77777777" w:rsidR="000B672D" w:rsidRPr="001B5954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</w:p>
    <w:p w14:paraId="24CFA44B" w14:textId="77777777" w:rsidR="00147339" w:rsidRPr="001B5954" w:rsidRDefault="00147339" w:rsidP="00C855F4">
      <w:pPr>
        <w:pStyle w:val="Nagwek1"/>
        <w:spacing w:after="120"/>
        <w:rPr>
          <w:highlight w:val="black"/>
        </w:rPr>
      </w:pPr>
      <w:bookmarkStart w:id="41" w:name="_Toc78365314"/>
      <w:r w:rsidRPr="001B5954">
        <w:rPr>
          <w:highlight w:val="black"/>
        </w:rPr>
        <w:lastRenderedPageBreak/>
        <w:t>Podmioty gospodarki narodowej</w:t>
      </w:r>
      <w:bookmarkEnd w:id="41"/>
    </w:p>
    <w:p w14:paraId="7AE5570F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B5954">
        <w:rPr>
          <w:rFonts w:cs="FiraSans-Regular"/>
          <w:szCs w:val="19"/>
          <w:highlight w:val="black"/>
        </w:rPr>
        <w:t xml:space="preserve">Według stanu na koniec czerwca 2021 r. w rejestrze REGON wpisanych było 192,7 tys. </w:t>
      </w:r>
      <w:r w:rsidRPr="001B5954">
        <w:rPr>
          <w:rFonts w:cs="FiraSans-Regular"/>
          <w:b/>
          <w:szCs w:val="19"/>
          <w:highlight w:val="black"/>
        </w:rPr>
        <w:t>podmiotów gospodarki narodowej</w:t>
      </w:r>
      <w:r w:rsidRPr="001B5954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1B5954">
        <w:rPr>
          <w:rFonts w:cs="FiraSans-Regular"/>
          <w:szCs w:val="19"/>
          <w:highlight w:val="black"/>
        </w:rPr>
        <w:t>, tj. o 4,8% więcej niż przed rokiem i o 0,4% więcej niż w końcu maja 2021 r.</w:t>
      </w:r>
    </w:p>
    <w:p w14:paraId="4B49DE79" w14:textId="77777777" w:rsidR="00F965FA" w:rsidRPr="001B5954" w:rsidRDefault="00F965FA" w:rsidP="00BB1B16">
      <w:pPr>
        <w:pStyle w:val="Default"/>
        <w:rPr>
          <w:rFonts w:cs="FiraSans-Regular"/>
          <w:sz w:val="19"/>
          <w:szCs w:val="19"/>
          <w:highlight w:val="black"/>
        </w:rPr>
      </w:pPr>
    </w:p>
    <w:p w14:paraId="6BE8A3E4" w14:textId="4C44C3E9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B5954">
        <w:rPr>
          <w:rFonts w:cs="FiraSans-Regular"/>
          <w:szCs w:val="19"/>
          <w:highlight w:val="black"/>
        </w:rPr>
        <w:t xml:space="preserve">Liczba zarejestrowanych </w:t>
      </w:r>
      <w:r w:rsidRPr="001B5954">
        <w:rPr>
          <w:rFonts w:cs="FiraSans-Regular"/>
          <w:b/>
          <w:szCs w:val="19"/>
          <w:highlight w:val="black"/>
        </w:rPr>
        <w:t>osób fizycznych</w:t>
      </w:r>
      <w:r w:rsidRPr="001B5954">
        <w:rPr>
          <w:rFonts w:cs="FiraSans-Regular"/>
          <w:szCs w:val="19"/>
          <w:highlight w:val="black"/>
        </w:rPr>
        <w:t xml:space="preserve"> prowadzących działalność gospodarczą wyniosła 144,3 tys. i w porównaniu</w:t>
      </w:r>
      <w:r w:rsidR="008A23D9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 xml:space="preserve">z analogicznym okresem poprzedniego roku była o 5,5% większa. Do rejestru REGON wpisanych było 27,7 tys. </w:t>
      </w:r>
      <w:r w:rsidRPr="001B5954">
        <w:rPr>
          <w:rFonts w:cs="FiraSans-Regular"/>
          <w:b/>
          <w:szCs w:val="19"/>
          <w:highlight w:val="black"/>
        </w:rPr>
        <w:t>spółek</w:t>
      </w:r>
      <w:r w:rsidRPr="001B5954">
        <w:rPr>
          <w:rFonts w:cs="FiraSans-Regular"/>
          <w:szCs w:val="19"/>
          <w:highlight w:val="black"/>
        </w:rPr>
        <w:t>,</w:t>
      </w:r>
      <w:r w:rsidR="008A23D9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>w tym 16776 spółek handlowych i 10741 spółek cywilnych. Liczba spółek wzrosła w skali roku o 3,9%, spółek handlowych</w:t>
      </w:r>
      <w:r w:rsidR="008A23D9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>o 6,5%, spółek cywilnych o 0,2%.</w:t>
      </w:r>
    </w:p>
    <w:p w14:paraId="56E45D29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1D6C723" w14:textId="4462437E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B5954">
        <w:rPr>
          <w:rFonts w:cs="FiraSans-Regular"/>
          <w:b/>
          <w:szCs w:val="19"/>
          <w:highlight w:val="black"/>
        </w:rPr>
        <w:t>Według przewidywanej liczby pracujących</w:t>
      </w:r>
      <w:r w:rsidRPr="001B5954">
        <w:rPr>
          <w:rFonts w:cs="FiraSans-Regular"/>
          <w:szCs w:val="19"/>
          <w:highlight w:val="black"/>
        </w:rPr>
        <w:t>, zdecydowanie przeważały podmioty o liczbie pracujących do 9 osób</w:t>
      </w:r>
      <w:r w:rsidR="005B567D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>(96,4% ogółu podmiotów). Udział podmiotów o przewidywanej liczbie pracujących 10-49 wyniósł 2,9%, a podmioty</w:t>
      </w:r>
      <w:r w:rsidR="005B567D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>z liczbą pracujących powyżej 49 stanowiły 0,7% wszystkich podmiotów wpisanych do rejestru REGON. W skali roku</w:t>
      </w:r>
      <w:r w:rsidR="005B567D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>wzrost liczby podmiotów wystąpił w przedziale liczby pracujących 0-9 o 8881 (o 5,0%).</w:t>
      </w:r>
    </w:p>
    <w:p w14:paraId="77A24A00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1B5954">
        <w:rPr>
          <w:rFonts w:cs="FiraSans-Regular"/>
          <w:b/>
          <w:szCs w:val="19"/>
          <w:highlight w:val="black"/>
        </w:rPr>
        <w:t xml:space="preserve"> </w:t>
      </w:r>
    </w:p>
    <w:p w14:paraId="27FDDC5C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B5954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1B5954">
        <w:rPr>
          <w:szCs w:val="19"/>
          <w:highlight w:val="black"/>
        </w:rPr>
        <w:t xml:space="preserve">informacja i komunikacja (o 10,9%), budownictwo (o 9,5%) oraz zakwaterowanie i gastronomia (o 9,9%), </w:t>
      </w:r>
      <w:r w:rsidRPr="001B5954">
        <w:rPr>
          <w:rFonts w:cs="FiraSans-Regular"/>
          <w:szCs w:val="19"/>
          <w:highlight w:val="black"/>
        </w:rPr>
        <w:t>natomiast spadek zanotowano w sekcji górnictwo i wydobywanie (o 0,4%).</w:t>
      </w:r>
    </w:p>
    <w:p w14:paraId="50FB80B9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B862819" w14:textId="46C7F5C3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B5954">
        <w:rPr>
          <w:rFonts w:cs="FiraSans-Regular"/>
          <w:szCs w:val="19"/>
          <w:highlight w:val="black"/>
        </w:rPr>
        <w:t xml:space="preserve">W czerwcu 2021 r. do rejestru REGON wpisano 1401 </w:t>
      </w:r>
      <w:r w:rsidRPr="001B5954">
        <w:rPr>
          <w:rFonts w:cs="FiraSans-Regular"/>
          <w:b/>
          <w:szCs w:val="19"/>
          <w:highlight w:val="black"/>
        </w:rPr>
        <w:t>nowych podmiotów</w:t>
      </w:r>
      <w:r w:rsidRPr="001B5954">
        <w:rPr>
          <w:rFonts w:cs="FiraSans-Regular"/>
          <w:szCs w:val="19"/>
          <w:highlight w:val="black"/>
        </w:rPr>
        <w:t xml:space="preserve">, tj. o 11,1% mniej niż w poprzednim miesiącu. Wśród nowo zarejestrowanych jednostek przeważały osoby fizyczne prowadzące działalność gospodarczą, których wpisano 1195 (o 13,3% mniej niż w maju 2021 r.). Liczba nowo zarejestrowanych spółek handlowych </w:t>
      </w:r>
      <w:r w:rsidR="00BB1B16" w:rsidRPr="001B5954">
        <w:rPr>
          <w:rFonts w:cs="FiraSans-Regular"/>
          <w:szCs w:val="19"/>
          <w:highlight w:val="black"/>
        </w:rPr>
        <w:t>była większa o 2,1%,</w:t>
      </w:r>
      <w:r w:rsidR="00BB1B16" w:rsidRPr="001B5954">
        <w:rPr>
          <w:rFonts w:cs="FiraSans-Regular"/>
          <w:szCs w:val="19"/>
          <w:highlight w:val="black"/>
        </w:rPr>
        <w:br/>
      </w:r>
      <w:r w:rsidRPr="001B5954">
        <w:rPr>
          <w:rFonts w:cs="FiraSans-Regular"/>
          <w:szCs w:val="19"/>
          <w:highlight w:val="black"/>
        </w:rPr>
        <w:t>w tym spółek z ograniczoną odpowiedzialnością o 11,0% większa.</w:t>
      </w:r>
    </w:p>
    <w:p w14:paraId="44BD40B1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B679893" w14:textId="77777777" w:rsidR="00F965FA" w:rsidRPr="001B5954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B5954">
        <w:rPr>
          <w:rFonts w:cs="FiraSans-Regular"/>
          <w:szCs w:val="19"/>
          <w:highlight w:val="black"/>
        </w:rPr>
        <w:t xml:space="preserve">W czerwcu 2021 r. </w:t>
      </w:r>
      <w:r w:rsidRPr="001B5954">
        <w:rPr>
          <w:rFonts w:cs="FiraSans-Regular"/>
          <w:b/>
          <w:szCs w:val="19"/>
          <w:highlight w:val="black"/>
        </w:rPr>
        <w:t>wykreślono</w:t>
      </w:r>
      <w:r w:rsidRPr="001B5954">
        <w:rPr>
          <w:rFonts w:cs="FiraSans-Regular"/>
          <w:szCs w:val="19"/>
          <w:highlight w:val="black"/>
        </w:rPr>
        <w:t xml:space="preserve"> z rejestru REGON 580 podmiotów (o 0,7% więcej niż przed miesiącem), w tym 521 osób fizycznych prowadzących działalność gospodarczą (odpowiednio o 8,1% mniej). </w:t>
      </w:r>
    </w:p>
    <w:p w14:paraId="4102D1EC" w14:textId="1CAC3321" w:rsidR="00352C78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1B5954">
        <w:rPr>
          <w:b/>
          <w:highlight w:val="black"/>
        </w:rPr>
        <w:t>Podmioty gospodarki narodowej nowo zarejestro</w:t>
      </w:r>
      <w:r w:rsidR="00E752F2" w:rsidRPr="001B5954">
        <w:rPr>
          <w:b/>
          <w:highlight w:val="black"/>
        </w:rPr>
        <w:t xml:space="preserve">wane i wyrejestrowane </w:t>
      </w:r>
      <w:r w:rsidR="00597D29" w:rsidRPr="001B5954">
        <w:rPr>
          <w:b/>
          <w:highlight w:val="black"/>
        </w:rPr>
        <w:t xml:space="preserve">w </w:t>
      </w:r>
      <w:r w:rsidR="00F965FA" w:rsidRPr="001B5954">
        <w:rPr>
          <w:b/>
          <w:highlight w:val="black"/>
        </w:rPr>
        <w:t>czerwcu</w:t>
      </w:r>
      <w:r w:rsidRPr="001B5954">
        <w:rPr>
          <w:b/>
          <w:highlight w:val="black"/>
        </w:rPr>
        <w:t xml:space="preserve"> 202</w:t>
      </w:r>
      <w:r w:rsidR="008D1D17" w:rsidRPr="001B5954">
        <w:rPr>
          <w:b/>
          <w:highlight w:val="black"/>
        </w:rPr>
        <w:t>1</w:t>
      </w:r>
      <w:r w:rsidRPr="001B5954">
        <w:rPr>
          <w:b/>
          <w:highlight w:val="black"/>
        </w:rPr>
        <w:t xml:space="preserve"> r.</w:t>
      </w:r>
    </w:p>
    <w:p w14:paraId="5A586D39" w14:textId="642AE217" w:rsidR="0005649F" w:rsidRPr="001B5954" w:rsidRDefault="0005649F" w:rsidP="0005649F">
      <w:pPr>
        <w:keepNext/>
        <w:spacing w:before="240"/>
        <w:jc w:val="center"/>
        <w:outlineLvl w:val="4"/>
        <w:rPr>
          <w:b/>
          <w:highlight w:val="black"/>
        </w:rPr>
      </w:pPr>
      <w:r>
        <w:rPr>
          <w:noProof/>
          <w:lang w:eastAsia="pl-PL"/>
        </w:rPr>
        <w:drawing>
          <wp:inline distT="0" distB="0" distL="0" distR="0" wp14:anchorId="5C308417" wp14:editId="5858E51A">
            <wp:extent cx="5191125" cy="4968000"/>
            <wp:effectExtent l="0" t="0" r="0" b="4445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C6C3A93" w14:textId="1DAA1DC9" w:rsidR="00E511B2" w:rsidRPr="001B5954" w:rsidRDefault="00E511B2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48DBEF77" w14:textId="172FF24F" w:rsidR="00721216" w:rsidRPr="001B5954" w:rsidRDefault="00F965FA" w:rsidP="00BB1B16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  <w:r w:rsidRPr="001B5954">
        <w:rPr>
          <w:rFonts w:cs="FiraSans-Regular"/>
          <w:szCs w:val="19"/>
          <w:highlight w:val="black"/>
        </w:rPr>
        <w:lastRenderedPageBreak/>
        <w:t xml:space="preserve">Według stanu na koniec czerwca 2021 r. w rejestrze REGON  20873 podmioty miały </w:t>
      </w:r>
      <w:r w:rsidRPr="001B5954">
        <w:rPr>
          <w:rFonts w:cs="FiraSans-Regular"/>
          <w:b/>
          <w:szCs w:val="19"/>
          <w:highlight w:val="black"/>
        </w:rPr>
        <w:t>zawieszoną działalność</w:t>
      </w:r>
      <w:r w:rsidRPr="001B5954">
        <w:rPr>
          <w:rFonts w:cs="FiraSans-Regular"/>
          <w:szCs w:val="19"/>
          <w:highlight w:val="black"/>
        </w:rPr>
        <w:t xml:space="preserve"> (o 0,7% mniej niż przed miesiącem). Zdecydowaną większość (95,0%) stanowiły osoby fizyczne prowadzące działalność gospodarczą (przed miesiącem 95,1%).  </w:t>
      </w:r>
    </w:p>
    <w:p w14:paraId="256F724E" w14:textId="77777777" w:rsidR="00BB1B16" w:rsidRPr="001B5954" w:rsidRDefault="00BB1B16" w:rsidP="00BB1B16">
      <w:pPr>
        <w:autoSpaceDE w:val="0"/>
        <w:autoSpaceDN w:val="0"/>
        <w:adjustRightInd w:val="0"/>
        <w:jc w:val="both"/>
        <w:rPr>
          <w:highlight w:val="black"/>
        </w:rPr>
      </w:pPr>
    </w:p>
    <w:p w14:paraId="387E734F" w14:textId="30750601" w:rsidR="00352C78" w:rsidRPr="001B5954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1B5954">
        <w:rPr>
          <w:b/>
          <w:highlight w:val="black"/>
        </w:rPr>
        <w:t xml:space="preserve">Mapa </w:t>
      </w:r>
      <w:r w:rsidR="007C360A" w:rsidRPr="001B5954">
        <w:rPr>
          <w:b/>
          <w:highlight w:val="black"/>
        </w:rPr>
        <w:t xml:space="preserve">3. </w:t>
      </w:r>
      <w:r w:rsidRPr="001B5954">
        <w:rPr>
          <w:b/>
          <w:highlight w:val="black"/>
        </w:rPr>
        <w:t>Podmioty gospodarki narodowej z zawieszoną działalnością</w:t>
      </w:r>
      <w:r w:rsidR="00701F4A" w:rsidRPr="001B5954">
        <w:rPr>
          <w:b/>
          <w:highlight w:val="black"/>
        </w:rPr>
        <w:t xml:space="preserve"> </w:t>
      </w:r>
      <w:r w:rsidR="00340069" w:rsidRPr="001B5954">
        <w:rPr>
          <w:b/>
          <w:highlight w:val="black"/>
        </w:rPr>
        <w:t xml:space="preserve">w </w:t>
      </w:r>
      <w:r w:rsidR="00BB1B16" w:rsidRPr="001B5954">
        <w:rPr>
          <w:b/>
          <w:highlight w:val="black"/>
        </w:rPr>
        <w:t>czerwcu</w:t>
      </w:r>
      <w:r w:rsidR="008D1D17" w:rsidRPr="001B5954">
        <w:rPr>
          <w:b/>
          <w:highlight w:val="black"/>
        </w:rPr>
        <w:t xml:space="preserve"> 2021</w:t>
      </w:r>
      <w:r w:rsidR="00E12FBC" w:rsidRPr="001B5954">
        <w:rPr>
          <w:b/>
          <w:highlight w:val="black"/>
        </w:rPr>
        <w:t xml:space="preserve"> r</w:t>
      </w:r>
      <w:r w:rsidR="007C360A" w:rsidRPr="001B5954">
        <w:rPr>
          <w:b/>
          <w:highlight w:val="black"/>
        </w:rPr>
        <w:t>.</w:t>
      </w:r>
      <w:r w:rsidR="005F69B7" w:rsidRPr="001B5954">
        <w:rPr>
          <w:b/>
          <w:highlight w:val="black"/>
        </w:rPr>
        <w:t xml:space="preserve"> </w:t>
      </w:r>
    </w:p>
    <w:p w14:paraId="661A77B0" w14:textId="77777777" w:rsidR="00352C78" w:rsidRPr="001B59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4404B7B6" w:rsidR="00C35A0A" w:rsidRPr="001B5954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781717C9" w:rsidR="008D1D17" w:rsidRPr="001B5954" w:rsidRDefault="00211279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8F86744" wp14:editId="41A0CE48">
            <wp:extent cx="4645161" cy="6419101"/>
            <wp:effectExtent l="0" t="0" r="3175" b="127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 regon_kontrast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161" cy="641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1B5954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1B59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E645508" w14:textId="77777777" w:rsidR="00A3371C" w:rsidRPr="001B5954" w:rsidRDefault="002138AA" w:rsidP="002138AA">
      <w:pPr>
        <w:pStyle w:val="Nagwek1"/>
        <w:spacing w:before="240" w:after="120"/>
        <w:rPr>
          <w:highlight w:val="black"/>
        </w:rPr>
      </w:pPr>
      <w:bookmarkStart w:id="42" w:name="_Toc78365315"/>
      <w:r w:rsidRPr="001B5954">
        <w:rPr>
          <w:highlight w:val="black"/>
        </w:rPr>
        <w:t>Koniunktura gospodarcza</w:t>
      </w:r>
      <w:bookmarkEnd w:id="42"/>
    </w:p>
    <w:p w14:paraId="4245EF51" w14:textId="5AF3399E" w:rsidR="00B14D4E" w:rsidRPr="001B5954" w:rsidRDefault="00A65CF0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1B5954">
        <w:rPr>
          <w:noProof/>
          <w:highlight w:val="black"/>
        </w:rPr>
        <w:t>W większości badanych obszarów przedsiębiorcy w lipcu br. oceniają koniunkturę pozytywnie. Wyjątkiem jest sekcja budownictwo, gdzie oceny są negatywne. Najbardziej optymistyczne oceny koniunktury formułowane są przez prowadzących działalność w zakresie informacji i komunikacji.</w:t>
      </w:r>
    </w:p>
    <w:p w14:paraId="3B3741C6" w14:textId="77777777" w:rsidR="00411293" w:rsidRPr="001B5954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40CC68C" w14:textId="77777777" w:rsidR="000B4858" w:rsidRPr="001B5954" w:rsidRDefault="000B4858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811B346" w14:textId="77777777" w:rsidR="00411293" w:rsidRPr="001B5954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A173788" w14:textId="77777777" w:rsidR="00411293" w:rsidRPr="001B5954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FCE8698" w14:textId="77777777" w:rsidR="00F81CDE" w:rsidRPr="001B5954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F5264BE" w14:textId="582E1985" w:rsidR="00CC71D0" w:rsidRPr="001B5954" w:rsidRDefault="00211279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28450D6" wp14:editId="6393B8F3">
                <wp:simplePos x="0" y="0"/>
                <wp:positionH relativeFrom="column">
                  <wp:posOffset>0</wp:posOffset>
                </wp:positionH>
                <wp:positionV relativeFrom="paragraph">
                  <wp:posOffset>242570</wp:posOffset>
                </wp:positionV>
                <wp:extent cx="6654165" cy="3982720"/>
                <wp:effectExtent l="0" t="0" r="0" b="0"/>
                <wp:wrapSquare wrapText="bothSides"/>
                <wp:docPr id="13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3982720"/>
                          <a:chOff x="0" y="19049"/>
                          <a:chExt cx="8094633" cy="5391150"/>
                        </a:xfrm>
                      </wpg:grpSpPr>
                      <wpg:graphicFrame>
                        <wpg:cNvPr id="14" name="Wykres 14"/>
                        <wpg:cNvFrPr>
                          <a:graphicFrameLocks/>
                        </wpg:cNvFrPr>
                        <wpg:xfrm>
                          <a:off x="0" y="76197"/>
                          <a:ext cx="621296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19" name="Wykres 19"/>
                        <wpg:cNvFrPr>
                          <a:graphicFrameLocks/>
                        </wpg:cNvFrPr>
                        <wpg:xfrm>
                          <a:off x="6409233" y="19049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DA82C" id="Grupa 4" o:spid="_x0000_s1026" style="position:absolute;margin-left:0;margin-top:19.1pt;width:523.95pt;height:313.6pt;z-index:251694080;mso-width-relative:margin;mso-height-relative:margin" coordorigin=",190" coordsize="80946,53911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14" o:spid="_x0000_s1027" type="#_x0000_t75" style="position:absolute;top:685;width:62143;height: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vkJ3&#10;OMEAAADbAAAADwAAAGRycy9kb3ducmV2LnhtbERPbUvDMBD+Luw/hBP85lJFptRlQ4YTmTi0+gOO&#10;5pYWm0tJbm33740g7Ns9PK+3XE++UwPF1AY2cDMvQBHXwbbsDHx/ba8fQCVBttgFJgMnSrBezS6W&#10;WNow8icNlTiVQziVaKAR6UutU92QxzQPPXHmDiF6lAyj0zbimMN9p2+LYqE9tpwbGuxp01D9Ux29&#10;gaO8xOrtfRy29zvZL9zz6A77D2OuLqenR1BCk5zF/+5Xm+ffwd8v+QC9+gU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C+Qnc4wQAAANsAAAAPAAAAAAAAAAAAAAAAAJsCAABkcnMvZG93&#10;bnJldi54bWxQSwUGAAAAAAQABADzAAAAiQMAAAAA&#10;">
                  <v:imagedata r:id="rId26" o:title=""/>
                  <o:lock v:ext="edit" aspectratio="f"/>
                </v:shape>
                <v:shape id="Wykres 19" o:spid="_x0000_s1028" type="#_x0000_t75" style="position:absolute;left:64071;top:190;width:16907;height:5396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coC&#10;1cEAAADbAAAADwAAAGRycy9kb3ducmV2LnhtbERPTWvCQBC9C/6HZYReRDdpQTS6igi2PRWrXrwN&#10;2TEbk50N2W1M/31XEHqbx/uc1aa3teio9aVjBek0AUGcO11yoeB82k/mIHxA1lg7JgW/5GGzHg5W&#10;mGl352/qjqEQMYR9hgpMCE0mpc8NWfRT1xBH7upaiyHCtpC6xXsMt7V8TZKZtFhybDDY0M5QXh1/&#10;rII3ebmlX4tQjQ/z3rxXnHb8kSr1Muq3SxCB+vAvfro/dZy/gMcv8QC5/gM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B9ygLVwQAAANsAAAAPAAAAAAAAAAAAAAAAAJsCAABkcnMvZG93&#10;bnJldi54bWxQSwUGAAAAAAQABADzAAAAiQMAAAAA&#10;">
                  <v:imagedata r:id="rId27" o:title=""/>
                  <o:lock v:ext="edit" aspectratio="f"/>
                </v:shape>
                <w10:wrap type="square"/>
              </v:group>
            </w:pict>
          </mc:Fallback>
        </mc:AlternateContent>
      </w:r>
      <w:r w:rsidR="004633FE" w:rsidRPr="001B595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ogólnego klimatu koniunktury według rodzaju działalności (sekcje  działy PKD 2007)</w:t>
      </w:r>
      <w:r w:rsidR="004633FE" w:rsidRPr="001B5954">
        <w:rPr>
          <w:b/>
          <w:highlight w:val="black"/>
        </w:rPr>
        <w:t>.</w:t>
      </w:r>
    </w:p>
    <w:p w14:paraId="56EFA5AA" w14:textId="731A6F56" w:rsidR="00CC71D0" w:rsidRPr="001B5954" w:rsidRDefault="00CC71D0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954BC5D" w14:textId="67F4C9A3" w:rsidR="00A655C9" w:rsidRPr="001B5954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1B5954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1B5954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1B5954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1B5954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10E68506" w:rsidR="00157BA1" w:rsidRPr="001B5954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1B5954">
        <w:rPr>
          <w:rFonts w:cs="Fira Sans"/>
          <w:i/>
          <w:szCs w:val="19"/>
          <w:highlight w:val="black"/>
        </w:rPr>
        <w:t xml:space="preserve">Pyt. 1. </w:t>
      </w:r>
      <w:r w:rsidR="0051319A" w:rsidRPr="001B5954">
        <w:rPr>
          <w:rFonts w:cs="Fira Sans"/>
          <w:i/>
          <w:szCs w:val="19"/>
          <w:highlight w:val="black"/>
        </w:rPr>
        <w:t>Negatywne skutki pande</w:t>
      </w:r>
      <w:r w:rsidR="00EA54D1" w:rsidRPr="001B5954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1B5954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1B5954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045D70DE" w14:textId="2023237C" w:rsidR="006F4D79" w:rsidRPr="001B5954" w:rsidRDefault="009638C9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92032" behindDoc="0" locked="0" layoutInCell="1" allowOverlap="1" wp14:anchorId="7F15164C" wp14:editId="548ED9FF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6645910" cy="2975610"/>
            <wp:effectExtent l="0" t="0" r="2540" b="0"/>
            <wp:wrapSquare wrapText="bothSides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14:paraId="55D233B5" w14:textId="3270D5EE" w:rsidR="007F08A1" w:rsidRPr="001B5954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1B5954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3A8F5B03" w:rsidR="00E06762" w:rsidRPr="001B5954" w:rsidRDefault="009638C9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8A35D21" wp14:editId="3EC1BC89">
            <wp:extent cx="6645910" cy="3888000"/>
            <wp:effectExtent l="0" t="0" r="2540" b="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A7CF972" w14:textId="77777777" w:rsidR="000C7E66" w:rsidRPr="001B5954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1B5954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1B5954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1B5954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1B5954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31290E70" w:rsidR="00E65DD4" w:rsidRPr="001B5954" w:rsidRDefault="009638C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F1BB336" wp14:editId="7AD77276">
            <wp:extent cx="6645910" cy="3545840"/>
            <wp:effectExtent l="0" t="0" r="2540" b="0"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A28EF82" w14:textId="77777777" w:rsidR="004633FE" w:rsidRPr="001B595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9A07132" w14:textId="77777777" w:rsidR="00234972" w:rsidRPr="001B5954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6B2338F1" w14:textId="77777777" w:rsidR="00234972" w:rsidRPr="001B5954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C72D2AD" w14:textId="77777777" w:rsidR="00060C27" w:rsidRPr="001B5954" w:rsidRDefault="00060C27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14C7514" w14:textId="77777777" w:rsidR="00234972" w:rsidRPr="001B5954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1B5954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1B5954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17227B" w:rsidRPr="001B5954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1B5954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1B5954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773DA021" w:rsidR="00D077E9" w:rsidRPr="001B5954" w:rsidRDefault="009638C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2351065" wp14:editId="3D32657C">
            <wp:extent cx="6645910" cy="2837815"/>
            <wp:effectExtent l="0" t="0" r="2540" b="635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204291A" w14:textId="77777777" w:rsidR="00B14D4E" w:rsidRPr="001B5954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AAE9A4" w14:textId="31A28411" w:rsidR="00F628DE" w:rsidRPr="001B5954" w:rsidRDefault="0002466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1B5954">
        <w:rPr>
          <w:rFonts w:cs="FiraSans-Bold"/>
          <w:bCs/>
          <w:i/>
          <w:szCs w:val="19"/>
          <w:highlight w:val="black"/>
        </w:rPr>
        <w:t xml:space="preserve">Pyt. 5. </w:t>
      </w:r>
      <w:r w:rsidR="00472589" w:rsidRPr="001B5954">
        <w:rPr>
          <w:rFonts w:cs="FiraSans-Bold"/>
          <w:bCs/>
          <w:i/>
          <w:szCs w:val="19"/>
          <w:highlight w:val="black"/>
        </w:rPr>
        <w:t>Jakie są Państwa aktualne przewidywania, co do poziomu inwestycji Państwa firmy w 2021 r. w odniesieniu do inwestycji zrealizowanych w 2020 r.?</w:t>
      </w:r>
    </w:p>
    <w:p w14:paraId="7B0C8E63" w14:textId="291A32D7" w:rsidR="00BB1B16" w:rsidRPr="001B5954" w:rsidRDefault="009638C9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D1D1FC5" wp14:editId="18F67CFD">
            <wp:extent cx="6645910" cy="3978275"/>
            <wp:effectExtent l="0" t="0" r="2540" b="3175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BBF6EDE" w14:textId="77777777" w:rsidR="00BB1B16" w:rsidRPr="001B5954" w:rsidRDefault="00BB1B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5E10B53" w14:textId="77777777" w:rsidR="00C94207" w:rsidRPr="001B5954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96238B0" w14:textId="77777777" w:rsidR="00C94207" w:rsidRPr="001B5954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82573BA" w14:textId="77777777" w:rsidR="00C94207" w:rsidRPr="001B5954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00D20CA" w14:textId="77777777" w:rsidR="00C94207" w:rsidRPr="001B5954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2AF8887" w14:textId="77777777" w:rsidR="00C94207" w:rsidRPr="001B5954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A0CFAB6" w14:textId="77777777" w:rsidR="00BB1B16" w:rsidRPr="001B5954" w:rsidRDefault="00BB1B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1B5954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1B5954">
        <w:rPr>
          <w:rFonts w:cs="FiraSans-Bold"/>
          <w:bCs/>
          <w:i/>
          <w:szCs w:val="19"/>
          <w:highlight w:val="black"/>
        </w:rPr>
        <w:lastRenderedPageBreak/>
        <w:t>Pyt. 6. Jaka będzie w bieżącym miesiącu, w relacji do poprzedniego miesiąca, szacunkowa (w procentach) zmiana poziomu zatrudnienia w Państwa firmie?</w:t>
      </w:r>
    </w:p>
    <w:p w14:paraId="4C4219F1" w14:textId="11A8E010" w:rsidR="00B2162C" w:rsidRPr="001B5954" w:rsidRDefault="009638C9" w:rsidP="00B13F42">
      <w:pPr>
        <w:autoSpaceDE w:val="0"/>
        <w:autoSpaceDN w:val="0"/>
        <w:adjustRightInd w:val="0"/>
        <w:spacing w:before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6A889DA" wp14:editId="4404C1B9">
            <wp:extent cx="8499764" cy="3075940"/>
            <wp:effectExtent l="0" t="0" r="0" b="0"/>
            <wp:docPr id="58" name="Wykres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EEA0CB1" w14:textId="77777777" w:rsidR="00640816" w:rsidRPr="001B5954" w:rsidRDefault="00640816">
      <w:pPr>
        <w:spacing w:line="230" w:lineRule="exact"/>
        <w:ind w:firstLine="454"/>
        <w:rPr>
          <w:highlight w:val="black"/>
        </w:rPr>
        <w:sectPr w:rsidR="00640816" w:rsidRPr="001B5954" w:rsidSect="00AF69BA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1B595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B5954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B5954" w:rsidRPr="001B5954" w14:paraId="6FAE542A" w14:textId="77777777" w:rsidTr="001B5954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1B595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1B595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1B595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1B595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1B5954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1B5954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1B5954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1B5954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1B5954" w:rsidRPr="001B5954" w14:paraId="22F4A1CC" w14:textId="77777777" w:rsidTr="001B5954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1B595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1B595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1B5954" w:rsidRPr="001B5954" w14:paraId="54F83FFC" w14:textId="77777777" w:rsidTr="001B5954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1B595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1B5954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1B5954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1B5954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1B5954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1D02974" w:rsidR="008C3A9F" w:rsidRPr="001B5954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42B8BB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38F5AAC7" w14:textId="77777777" w:rsidTr="001B5954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1B595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1B5954" w:rsidRPr="001B5954" w14:paraId="60313CB7" w14:textId="77777777" w:rsidTr="001B5954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1B595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1B595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1B5954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1B5954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1B5954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1B5954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29D2F91F" w:rsidR="008C3A9F" w:rsidRPr="001B5954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DAE76EE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0B55ADD3" w14:textId="77777777" w:rsidTr="001B5954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1B595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1B5954" w:rsidRPr="001B5954" w14:paraId="42AB54B7" w14:textId="77777777" w:rsidTr="001B5954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1B595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1B5954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1B5954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1B5954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1B5954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DABD3A9" w:rsidR="008C3A9F" w:rsidRPr="001B5954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D7CADD8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7EE27FF6" w14:textId="77777777" w:rsidTr="001B5954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1B595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1B5954" w:rsidRPr="001B5954" w14:paraId="0CEB367B" w14:textId="77777777" w:rsidTr="001B5954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1B595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1B595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1B595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1B5954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1B5954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1B5954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1B5954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7BB325" w:rsidR="00621444" w:rsidRPr="001B5954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1A1374C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07F9BAB5" w14:textId="77777777" w:rsidTr="001B5954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1B595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bezrobocia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B595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1B5954" w:rsidRPr="001B5954" w14:paraId="7662A346" w14:textId="77777777" w:rsidTr="001B5954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1B595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1B595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1B595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1B5954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1B5954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1B5954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2011B19" w:rsidR="00621444" w:rsidRPr="001B5954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EC3A54F" w:rsidR="00621444" w:rsidRPr="001B5954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886CD39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1650074B" w14:textId="77777777" w:rsidTr="001B5954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1B595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1B5954" w:rsidRPr="001B5954" w14:paraId="5A546BC0" w14:textId="77777777" w:rsidTr="001B5954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1B595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1B595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1B595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1B5954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1B5954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1B5954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1B5954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04F425E1" w:rsidR="00621444" w:rsidRPr="001B5954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31F1FF5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1B595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57A07B1B" w14:textId="77777777" w:rsidTr="001B5954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1B595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1B5954" w:rsidRPr="001B5954" w14:paraId="4ADD167B" w14:textId="77777777" w:rsidTr="001B5954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1B595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1B5954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1B5954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1B5954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1B5954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1B5954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04946EE8" w:rsidR="007F516F" w:rsidRPr="001B5954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3EA0F661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0DD843CE" w14:textId="77777777" w:rsidTr="001B5954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1B595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1B595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1B595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1B5954" w:rsidRPr="001B5954" w14:paraId="550FC8AB" w14:textId="77777777" w:rsidTr="001B5954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1B595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1B5954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1B5954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1B5954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1B5954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382C780" w:rsidR="008C3A9F" w:rsidRPr="001B5954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B1109C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3211F68D" w14:textId="77777777" w:rsidTr="001B5954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1B595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1B5954" w:rsidRPr="001B5954" w14:paraId="55FE6316" w14:textId="77777777" w:rsidTr="001B5954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1B595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1B595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1B5954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1B5954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1B5954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1B5954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B2C5F7B" w:rsidR="008C3A9F" w:rsidRPr="001B5954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8EB2522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2FDD34D6" w14:textId="77777777" w:rsidTr="001B5954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1B595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1B5954" w:rsidRPr="001B5954" w14:paraId="532306B1" w14:textId="77777777" w:rsidTr="001B5954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1B595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1B5954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1B5954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1B5954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1B5954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057AD53" w:rsidR="008C3A9F" w:rsidRPr="001B5954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5EADC54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4D599F39" w14:textId="77777777" w:rsidTr="001B5954">
        <w:tc>
          <w:tcPr>
            <w:tcW w:w="3994" w:type="dxa"/>
            <w:shd w:val="clear" w:color="auto" w:fill="000000"/>
          </w:tcPr>
          <w:p w14:paraId="01C4A020" w14:textId="77777777" w:rsidR="007F516F" w:rsidRPr="001B595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2A4CDCB1" w14:textId="77777777" w:rsidTr="001B5954">
        <w:tc>
          <w:tcPr>
            <w:tcW w:w="3994" w:type="dxa"/>
            <w:shd w:val="clear" w:color="auto" w:fill="000000"/>
          </w:tcPr>
          <w:p w14:paraId="023E19EA" w14:textId="77777777" w:rsidR="007F516F" w:rsidRPr="001B5954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konsumpcyjnych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1B595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30B17E48" w14:textId="77777777" w:rsidTr="001B5954">
        <w:tc>
          <w:tcPr>
            <w:tcW w:w="3994" w:type="dxa"/>
            <w:shd w:val="clear" w:color="auto" w:fill="000000"/>
          </w:tcPr>
          <w:p w14:paraId="61BB361C" w14:textId="77777777" w:rsidR="00454E18" w:rsidRPr="001B595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1B5954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1B5954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1B5954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1B5954" w:rsidRPr="001B5954" w14:paraId="7A0FBC1F" w14:textId="77777777" w:rsidTr="001B5954">
        <w:tc>
          <w:tcPr>
            <w:tcW w:w="3994" w:type="dxa"/>
            <w:shd w:val="clear" w:color="auto" w:fill="000000"/>
          </w:tcPr>
          <w:p w14:paraId="24466AE5" w14:textId="77777777" w:rsidR="007F516F" w:rsidRPr="001B595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1B5954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1B5954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1B5954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1B5954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1B5954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52A988E3" w:rsidR="007F516F" w:rsidRPr="001B5954" w:rsidRDefault="009E6B88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146A3629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1B5954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1B5954">
        <w:rPr>
          <w:rFonts w:ascii="Fira Sans" w:hAnsi="Fira Sans"/>
          <w:i/>
          <w:sz w:val="15"/>
          <w:szCs w:val="15"/>
          <w:highlight w:val="black"/>
        </w:rPr>
        <w:t>a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1B595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1B5954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1B595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1B5954">
        <w:rPr>
          <w:rFonts w:ascii="Fira Sans" w:hAnsi="Fira Sans"/>
          <w:sz w:val="15"/>
          <w:szCs w:val="15"/>
          <w:highlight w:val="black"/>
        </w:rPr>
        <w:br/>
      </w:r>
      <w:r w:rsidRPr="001B5954">
        <w:rPr>
          <w:rFonts w:ascii="Fira Sans" w:hAnsi="Fira Sans"/>
          <w:i/>
          <w:sz w:val="15"/>
          <w:szCs w:val="15"/>
          <w:highlight w:val="black"/>
        </w:rPr>
        <w:t>c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1B595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B5954">
        <w:rPr>
          <w:sz w:val="16"/>
          <w:szCs w:val="16"/>
          <w:highlight w:val="black"/>
        </w:rPr>
        <w:br w:type="page"/>
      </w:r>
      <w:r w:rsidR="009C6D35" w:rsidRPr="001B5954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B5954" w:rsidRPr="001B5954" w14:paraId="0021106F" w14:textId="77777777" w:rsidTr="001B5954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1B595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1B5954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1B595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1B595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1B5954" w:rsidRPr="001B5954" w14:paraId="397346FD" w14:textId="77777777" w:rsidTr="001B5954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1B5954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1B5954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1B5954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1B595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67C23DD4" w14:textId="77777777" w:rsidTr="001B5954">
        <w:tc>
          <w:tcPr>
            <w:tcW w:w="3994" w:type="dxa"/>
            <w:shd w:val="clear" w:color="auto" w:fill="000000"/>
          </w:tcPr>
          <w:p w14:paraId="16771907" w14:textId="77777777" w:rsidR="00454E18" w:rsidRPr="001B595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1B5954" w:rsidRPr="001B5954" w14:paraId="6A1FE669" w14:textId="77777777" w:rsidTr="001B5954">
        <w:tc>
          <w:tcPr>
            <w:tcW w:w="3994" w:type="dxa"/>
            <w:shd w:val="clear" w:color="auto" w:fill="000000"/>
          </w:tcPr>
          <w:p w14:paraId="21CACB9A" w14:textId="77777777" w:rsidR="007F516F" w:rsidRPr="001B595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1B5954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1B5954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1B5954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1B5954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1B5954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8853BF1" w:rsidR="007F516F" w:rsidRPr="001B5954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4DEB2FA2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2C107B3B" w14:textId="77777777" w:rsidTr="001B5954">
        <w:tc>
          <w:tcPr>
            <w:tcW w:w="3994" w:type="dxa"/>
            <w:shd w:val="clear" w:color="auto" w:fill="000000"/>
          </w:tcPr>
          <w:p w14:paraId="64D73657" w14:textId="77777777" w:rsidR="00454E18" w:rsidRPr="001B595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1B595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1B5954" w:rsidRPr="001B5954" w14:paraId="7B7C4A50" w14:textId="77777777" w:rsidTr="001B5954">
        <w:tc>
          <w:tcPr>
            <w:tcW w:w="3994" w:type="dxa"/>
            <w:shd w:val="clear" w:color="auto" w:fill="000000"/>
          </w:tcPr>
          <w:p w14:paraId="0F54400F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1B5954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1B5954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1B5954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1B5954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1B5954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ABF91D1" w:rsidR="007F516F" w:rsidRPr="001B5954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4CCB908" w:rsidR="007F516F" w:rsidRPr="001B595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1B595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1B595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1B595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1B595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1B595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31D0E4E6" w14:textId="77777777" w:rsidTr="001B5954">
        <w:tc>
          <w:tcPr>
            <w:tcW w:w="3994" w:type="dxa"/>
            <w:shd w:val="clear" w:color="auto" w:fill="000000"/>
          </w:tcPr>
          <w:p w14:paraId="6A3BDDC4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56433F01" w14:textId="77777777" w:rsidTr="001B5954">
        <w:tc>
          <w:tcPr>
            <w:tcW w:w="3994" w:type="dxa"/>
            <w:shd w:val="clear" w:color="auto" w:fill="000000"/>
          </w:tcPr>
          <w:p w14:paraId="35EA1E6D" w14:textId="77777777" w:rsidR="00454E18" w:rsidRPr="001B595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1B5954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1B5954" w:rsidRPr="001B5954" w14:paraId="6C772201" w14:textId="77777777" w:rsidTr="001B5954">
        <w:tc>
          <w:tcPr>
            <w:tcW w:w="3994" w:type="dxa"/>
            <w:shd w:val="clear" w:color="auto" w:fill="000000"/>
          </w:tcPr>
          <w:p w14:paraId="6CD4E0CD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1B595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1B595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1B595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1B5954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1B5954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249EF3F" w:rsidR="007F516F" w:rsidRPr="001B5954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C5006A3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1B595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4750C67A" w14:textId="77777777" w:rsidTr="001B5954">
        <w:tc>
          <w:tcPr>
            <w:tcW w:w="3994" w:type="dxa"/>
            <w:shd w:val="clear" w:color="auto" w:fill="000000"/>
          </w:tcPr>
          <w:p w14:paraId="31606691" w14:textId="77777777" w:rsidR="00454E18" w:rsidRPr="001B595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1B595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1B5954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1B5954" w:rsidRPr="001B5954" w14:paraId="6FF8F050" w14:textId="77777777" w:rsidTr="001B5954">
        <w:tc>
          <w:tcPr>
            <w:tcW w:w="3994" w:type="dxa"/>
            <w:shd w:val="clear" w:color="auto" w:fill="000000"/>
          </w:tcPr>
          <w:p w14:paraId="00DB1EED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1B5954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1B5954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1B5954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1B5954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1B5954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096C0228" w:rsidR="007F516F" w:rsidRPr="001B5954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C0B60E3" w:rsidR="007F516F" w:rsidRPr="001B595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1B595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1B595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1B595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1B595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1B5954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74AAE6A4" w14:textId="77777777" w:rsidTr="001B5954">
        <w:tc>
          <w:tcPr>
            <w:tcW w:w="3994" w:type="dxa"/>
            <w:shd w:val="clear" w:color="auto" w:fill="000000"/>
          </w:tcPr>
          <w:p w14:paraId="3C281716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2538723B" w14:textId="77777777" w:rsidTr="001B5954">
        <w:tc>
          <w:tcPr>
            <w:tcW w:w="3994" w:type="dxa"/>
            <w:shd w:val="clear" w:color="auto" w:fill="000000"/>
          </w:tcPr>
          <w:p w14:paraId="5B5F23A7" w14:textId="77777777" w:rsidR="00454E18" w:rsidRPr="001B595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1B5954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1B5954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1B5954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1B5954" w:rsidRPr="001B5954" w14:paraId="2B4FC5AB" w14:textId="77777777" w:rsidTr="001B5954">
        <w:tc>
          <w:tcPr>
            <w:tcW w:w="3994" w:type="dxa"/>
            <w:shd w:val="clear" w:color="auto" w:fill="000000"/>
          </w:tcPr>
          <w:p w14:paraId="018315BB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1B595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1B595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1B595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1B5954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1B5954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1B5954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F9B69D6" w:rsidR="007F516F" w:rsidRPr="001B5954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01CE534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77BFC489" w14:textId="77777777" w:rsidTr="001B5954">
        <w:tc>
          <w:tcPr>
            <w:tcW w:w="3994" w:type="dxa"/>
            <w:shd w:val="clear" w:color="auto" w:fill="000000"/>
          </w:tcPr>
          <w:p w14:paraId="2E5F0052" w14:textId="77777777" w:rsidR="00454E18" w:rsidRPr="001B595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1B5954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1B5954" w:rsidRPr="001B5954" w14:paraId="396C40E9" w14:textId="77777777" w:rsidTr="001B5954">
        <w:tc>
          <w:tcPr>
            <w:tcW w:w="3994" w:type="dxa"/>
            <w:shd w:val="clear" w:color="auto" w:fill="000000"/>
          </w:tcPr>
          <w:p w14:paraId="12E3B2AF" w14:textId="77777777" w:rsidR="007F516F" w:rsidRPr="001B595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1B595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1B595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1B595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1B5954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1B5954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837FE26" w:rsidR="007F516F" w:rsidRPr="001B5954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7F70C5B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12958544" w14:textId="77777777" w:rsidTr="001B5954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1B5954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skupu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1B595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1B595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1B595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</w:tr>
      <w:tr w:rsidR="001B5954" w:rsidRPr="001B5954" w14:paraId="45BC391C" w14:textId="77777777" w:rsidTr="001B5954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1B595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1B595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1B5954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1B5954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1B5954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1B5954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D6F734D" w:rsidR="007F516F" w:rsidRPr="001B5954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6AC87B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7AB31625" w14:textId="77777777" w:rsidTr="001B5954">
        <w:tc>
          <w:tcPr>
            <w:tcW w:w="3994" w:type="dxa"/>
            <w:shd w:val="clear" w:color="auto" w:fill="000000"/>
          </w:tcPr>
          <w:p w14:paraId="60E7D17E" w14:textId="77777777" w:rsidR="007F516F" w:rsidRPr="001B5954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przemysłu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B595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1B595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6E8278C3" w14:textId="77777777" w:rsidTr="001B5954">
        <w:tc>
          <w:tcPr>
            <w:tcW w:w="3994" w:type="dxa"/>
            <w:shd w:val="clear" w:color="auto" w:fill="000000"/>
          </w:tcPr>
          <w:p w14:paraId="43657C4E" w14:textId="1A995D24" w:rsidR="00454E18" w:rsidRPr="001B5954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1B595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1B595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1B5954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1B5954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95,</w:t>
            </w:r>
            <w:r w:rsidR="00555575" w:rsidRPr="001B5954">
              <w:rPr>
                <w:rFonts w:ascii="Fira Sans" w:hAnsi="Fira Sans"/>
                <w:highlight w:val="black"/>
              </w:rPr>
              <w:t>3</w:t>
            </w:r>
          </w:p>
        </w:tc>
      </w:tr>
      <w:tr w:rsidR="001B5954" w:rsidRPr="001B5954" w14:paraId="12860B2B" w14:textId="77777777" w:rsidTr="001B5954">
        <w:tc>
          <w:tcPr>
            <w:tcW w:w="3994" w:type="dxa"/>
            <w:shd w:val="clear" w:color="auto" w:fill="000000"/>
          </w:tcPr>
          <w:p w14:paraId="1E5FCD13" w14:textId="77777777" w:rsidR="008C3A9F" w:rsidRPr="001B595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1B5954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</w:t>
            </w:r>
            <w:r w:rsidR="00DE166E" w:rsidRPr="001B5954">
              <w:rPr>
                <w:rFonts w:ascii="Fira Sans" w:hAnsi="Fira Sans"/>
                <w:highlight w:val="black"/>
              </w:rPr>
              <w:t>1</w:t>
            </w:r>
            <w:r w:rsidRPr="001B5954">
              <w:rPr>
                <w:rFonts w:ascii="Fira Sans" w:hAnsi="Fira Sans"/>
                <w:highlight w:val="black"/>
              </w:rPr>
              <w:t>,</w:t>
            </w:r>
            <w:r w:rsidR="00DE166E" w:rsidRPr="001B5954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1B5954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1B5954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1B5954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818F90D" w:rsidR="008C3A9F" w:rsidRPr="001B5954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93,</w:t>
            </w:r>
            <w:r w:rsidR="00342649" w:rsidRPr="001B5954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309325AC" w:rsidR="008C3A9F" w:rsidRPr="001B5954" w:rsidRDefault="000A5608" w:rsidP="00C71A01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99,8*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919325C" w:rsidR="008C3A9F" w:rsidRPr="001B5954" w:rsidRDefault="000A5608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2EA6CA16" w:rsidR="008C3A9F" w:rsidRPr="001B595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1B595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1B595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686018C8" w14:textId="77777777" w:rsidTr="001B5954">
        <w:tc>
          <w:tcPr>
            <w:tcW w:w="3994" w:type="dxa"/>
            <w:shd w:val="clear" w:color="auto" w:fill="000000"/>
          </w:tcPr>
          <w:p w14:paraId="3B673136" w14:textId="425619AA" w:rsidR="00454E18" w:rsidRPr="001B595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1B595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1B595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1B5954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1B5954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1B5954" w:rsidRPr="001B5954" w14:paraId="5B8FA6B3" w14:textId="77777777" w:rsidTr="001B5954">
        <w:tc>
          <w:tcPr>
            <w:tcW w:w="3994" w:type="dxa"/>
            <w:shd w:val="clear" w:color="auto" w:fill="000000"/>
          </w:tcPr>
          <w:p w14:paraId="49A3A52B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1B5954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</w:t>
            </w:r>
            <w:r w:rsidR="00DE166E" w:rsidRPr="001B5954">
              <w:rPr>
                <w:rFonts w:ascii="Fira Sans" w:hAnsi="Fira Sans"/>
                <w:highlight w:val="black"/>
              </w:rPr>
              <w:t>7</w:t>
            </w:r>
            <w:r w:rsidRPr="001B5954">
              <w:rPr>
                <w:rFonts w:ascii="Fira Sans" w:hAnsi="Fira Sans"/>
                <w:highlight w:val="black"/>
              </w:rPr>
              <w:t>,</w:t>
            </w:r>
            <w:r w:rsidR="00DE166E" w:rsidRPr="001B5954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1B5954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1B5954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1B5954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121,</w:t>
            </w:r>
            <w:r w:rsidR="00342649" w:rsidRPr="001B5954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A053200" w:rsidR="008C3A9F" w:rsidRPr="001B5954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168,</w:t>
            </w:r>
            <w:r w:rsidR="00342649" w:rsidRPr="001B5954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C6140F2" w:rsidR="008C3A9F" w:rsidRPr="001B5954" w:rsidRDefault="007B7D45" w:rsidP="00B9556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141,</w:t>
            </w:r>
            <w:r w:rsidR="00D54092" w:rsidRPr="001B5954">
              <w:rPr>
                <w:rFonts w:ascii="Fira Sans" w:hAnsi="Fira Sans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ABCC941" w:rsidR="008C3A9F" w:rsidRPr="001B5954" w:rsidRDefault="00D54092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126,5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0CD9C16" w:rsidR="008C3A9F" w:rsidRPr="001B595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1B595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1B5954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645EFC24" w14:textId="77777777" w:rsidTr="001B5954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1B5954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montażowa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B595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1B595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1B595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1B595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47766202" w14:textId="77777777" w:rsidTr="001B5954">
        <w:tc>
          <w:tcPr>
            <w:tcW w:w="3994" w:type="dxa"/>
            <w:shd w:val="clear" w:color="auto" w:fill="000000"/>
          </w:tcPr>
          <w:p w14:paraId="2AFBE9CA" w14:textId="737D613B" w:rsidR="00454E18" w:rsidRPr="001B5954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1B595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1B5954" w:rsidRPr="001B5954" w14:paraId="6E6DB98B" w14:textId="77777777" w:rsidTr="001B5954">
        <w:tc>
          <w:tcPr>
            <w:tcW w:w="3994" w:type="dxa"/>
            <w:shd w:val="clear" w:color="auto" w:fill="000000"/>
          </w:tcPr>
          <w:p w14:paraId="239AC464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1B5954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1B5954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1B5954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1B5954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1B5954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5DB03D5" w:rsidR="008C3A9F" w:rsidRPr="001B5954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26F272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30FBB3B2" w14:textId="77777777" w:rsidTr="001B5954">
        <w:tc>
          <w:tcPr>
            <w:tcW w:w="3994" w:type="dxa"/>
            <w:shd w:val="clear" w:color="auto" w:fill="000000"/>
          </w:tcPr>
          <w:p w14:paraId="0273F3F9" w14:textId="77777777" w:rsidR="00454E18" w:rsidRPr="001B595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1B595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1B595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1B595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1B5954" w:rsidRPr="001B5954" w14:paraId="01FB30FA" w14:textId="77777777" w:rsidTr="001B5954">
        <w:tc>
          <w:tcPr>
            <w:tcW w:w="3994" w:type="dxa"/>
            <w:shd w:val="clear" w:color="auto" w:fill="000000"/>
          </w:tcPr>
          <w:p w14:paraId="4329905A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1B5954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1B5954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1B5954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1B5954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1B5954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E2EF146" w:rsidR="008C3A9F" w:rsidRPr="001B5954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09B6AB61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1B595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1B5954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1B5954">
        <w:rPr>
          <w:rFonts w:ascii="Fira Sans" w:hAnsi="Fira Sans"/>
          <w:i/>
          <w:sz w:val="15"/>
          <w:szCs w:val="15"/>
          <w:highlight w:val="black"/>
        </w:rPr>
        <w:t>a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>Ceny bieżące bez VAT</w:t>
      </w:r>
      <w:r w:rsidRPr="001B5954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1B5954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1B5954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1B595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B5954">
        <w:rPr>
          <w:sz w:val="16"/>
          <w:szCs w:val="16"/>
          <w:highlight w:val="black"/>
        </w:rPr>
        <w:br w:type="page"/>
      </w:r>
      <w:r w:rsidR="009C6D35" w:rsidRPr="001B5954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B5954" w:rsidRPr="001B5954" w14:paraId="439BF910" w14:textId="77777777" w:rsidTr="001B5954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1B595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1B595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1B595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1B595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1B5954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1B5954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1B5954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1B595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1B5954" w:rsidRPr="001B5954" w14:paraId="2E1193C1" w14:textId="77777777" w:rsidTr="001B5954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F01818" w:rsidRPr="001B5954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F01818" w:rsidRPr="001B5954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0BE8F1D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77191FA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F01818" w:rsidRPr="001B5954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F01818" w:rsidRPr="001B5954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F01818" w:rsidRPr="001B5954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1B5954" w:rsidRPr="001B5954" w14:paraId="14A02D4D" w14:textId="77777777" w:rsidTr="001B5954">
        <w:tc>
          <w:tcPr>
            <w:tcW w:w="3994" w:type="dxa"/>
            <w:shd w:val="clear" w:color="auto" w:fill="000000"/>
          </w:tcPr>
          <w:p w14:paraId="735E2827" w14:textId="77777777" w:rsidR="00F01818" w:rsidRPr="001B5954" w:rsidRDefault="00F01818" w:rsidP="00F0181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F01818" w:rsidRPr="001B5954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63A392DF" w:rsidR="00F01818" w:rsidRPr="001B5954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CCAFFA3" w:rsidR="00F01818" w:rsidRPr="001B5954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EC27EF9" w:rsidR="00F01818" w:rsidRPr="001B5954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3E42DABD" w:rsidR="00F01818" w:rsidRPr="001B5954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Calibri"/>
                <w:szCs w:val="16"/>
                <w:highlight w:val="black"/>
              </w:rPr>
              <w:t>3117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034C9D36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3704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4E6819E5" w:rsidR="00F01818" w:rsidRPr="001B5954" w:rsidRDefault="005464A3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4481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3DCB49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F01818" w:rsidRPr="001B5954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366B2ABD" w14:textId="77777777" w:rsidTr="001B5954">
        <w:tc>
          <w:tcPr>
            <w:tcW w:w="3994" w:type="dxa"/>
            <w:shd w:val="clear" w:color="auto" w:fill="000000"/>
          </w:tcPr>
          <w:p w14:paraId="5FF6B17F" w14:textId="77777777" w:rsidR="00F01818" w:rsidRPr="001B5954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F01818" w:rsidRPr="001B5954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9F09EEE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7C0ED7C8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826E2B7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6A6F1341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04F87E5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F01818" w:rsidRPr="001B5954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F01818" w:rsidRPr="001B5954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F01818" w:rsidRPr="001B5954" w:rsidRDefault="00F01818" w:rsidP="00F01818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1B5954" w:rsidRPr="001B5954" w14:paraId="0B7CAD4D" w14:textId="77777777" w:rsidTr="001B5954">
        <w:tc>
          <w:tcPr>
            <w:tcW w:w="3994" w:type="dxa"/>
            <w:shd w:val="clear" w:color="auto" w:fill="000000"/>
          </w:tcPr>
          <w:p w14:paraId="485353D3" w14:textId="77777777" w:rsidR="00F01818" w:rsidRPr="001B5954" w:rsidRDefault="00F01818" w:rsidP="00F0181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F01818" w:rsidRPr="001B5954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14CBEA" w:rsidR="00F01818" w:rsidRPr="001B5954" w:rsidRDefault="00F01818" w:rsidP="005B567D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37064641" w:rsidR="00F01818" w:rsidRPr="001B5954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5B567D" w:rsidRPr="001B5954">
              <w:rPr>
                <w:rFonts w:ascii="Fira Sans" w:hAnsi="Fira Sans" w:cs="Arial"/>
                <w:szCs w:val="16"/>
                <w:highlight w:val="black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3CEA5BB" w:rsidR="00F01818" w:rsidRPr="001B5954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60F8892" w:rsidR="00F01818" w:rsidRPr="001B5954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125,6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3177A31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0AB63817" w:rsidR="00F01818" w:rsidRPr="001B5954" w:rsidRDefault="005464A3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2CE9F9A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F01818" w:rsidRPr="001B5954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2CD366CD" w14:textId="77777777" w:rsidTr="001B5954">
        <w:tc>
          <w:tcPr>
            <w:tcW w:w="3994" w:type="dxa"/>
            <w:shd w:val="clear" w:color="auto" w:fill="000000"/>
          </w:tcPr>
          <w:p w14:paraId="4911267C" w14:textId="77777777" w:rsidR="007F516F" w:rsidRPr="001B595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towarów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1B595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1B595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1B5954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0BC56087" w14:textId="77777777" w:rsidTr="001B5954">
        <w:tc>
          <w:tcPr>
            <w:tcW w:w="3994" w:type="dxa"/>
            <w:shd w:val="clear" w:color="auto" w:fill="000000"/>
          </w:tcPr>
          <w:p w14:paraId="451B997E" w14:textId="52B5DC6B" w:rsidR="002F45DA" w:rsidRPr="001B5954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1B595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1B5954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1B5954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1B5954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1B5954" w:rsidRPr="001B5954" w14:paraId="156101CB" w14:textId="77777777" w:rsidTr="001B5954">
        <w:tc>
          <w:tcPr>
            <w:tcW w:w="3994" w:type="dxa"/>
            <w:shd w:val="clear" w:color="auto" w:fill="000000"/>
          </w:tcPr>
          <w:p w14:paraId="2E14D57D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1B5954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1B5954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1B5954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1B5954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1B5954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D6DA04" w:rsidR="008C3A9F" w:rsidRPr="001B5954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2E77CE1" w:rsidR="008C3A9F" w:rsidRPr="001B595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1B595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1B595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1B595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1B5954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1B595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2EA14C8F" w14:textId="77777777" w:rsidTr="001B5954">
        <w:tc>
          <w:tcPr>
            <w:tcW w:w="3994" w:type="dxa"/>
            <w:shd w:val="clear" w:color="auto" w:fill="000000"/>
          </w:tcPr>
          <w:p w14:paraId="458E9865" w14:textId="77777777" w:rsidR="002F45DA" w:rsidRPr="001B5954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1B5954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1B5954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B5954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1B595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1B5954" w:rsidRPr="001B5954" w14:paraId="78A989C3" w14:textId="77777777" w:rsidTr="001B5954">
        <w:tc>
          <w:tcPr>
            <w:tcW w:w="3994" w:type="dxa"/>
            <w:shd w:val="clear" w:color="auto" w:fill="000000"/>
          </w:tcPr>
          <w:p w14:paraId="7D02E5F5" w14:textId="77777777" w:rsidR="008C3A9F" w:rsidRPr="001B595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1B595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1B5954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1B5954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1B5954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1B5954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1B5954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876A525" w:rsidR="008C3A9F" w:rsidRPr="001B5954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5A7BDA6F" w:rsidR="008C3A9F" w:rsidRPr="001B595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1B595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1B595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1B595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1B5954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1B595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B5954" w:rsidRPr="001B5954" w14:paraId="5E9F541B" w14:textId="77777777" w:rsidTr="001B5954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1B5954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przedsiębiorstwach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1B595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52EF22C7" w14:textId="77777777" w:rsidTr="001B5954">
        <w:tc>
          <w:tcPr>
            <w:tcW w:w="3994" w:type="dxa"/>
            <w:shd w:val="clear" w:color="auto" w:fill="000000"/>
          </w:tcPr>
          <w:p w14:paraId="216A70D8" w14:textId="77777777" w:rsidR="009C6D35" w:rsidRPr="001B5954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1B5954">
              <w:rPr>
                <w:rFonts w:ascii="Fira Sans" w:hAnsi="Fira Sans"/>
                <w:highlight w:val="black"/>
              </w:rPr>
              <w:t>brutto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B595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1B5954" w:rsidRPr="001B5954" w14:paraId="14E9F495" w14:textId="77777777" w:rsidTr="001B5954">
        <w:tc>
          <w:tcPr>
            <w:tcW w:w="3994" w:type="dxa"/>
            <w:shd w:val="clear" w:color="auto" w:fill="000000"/>
          </w:tcPr>
          <w:p w14:paraId="3B161B6A" w14:textId="77777777" w:rsidR="009C6D35" w:rsidRPr="001B5954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1B5954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1B5954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1B5954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1B5954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47A73394" w:rsidR="009C6D35" w:rsidRPr="001B5954" w:rsidRDefault="007624E2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4812EAA4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B5954" w:rsidRPr="001B5954" w14:paraId="631EEA7C" w14:textId="77777777" w:rsidTr="001B5954">
        <w:tc>
          <w:tcPr>
            <w:tcW w:w="3994" w:type="dxa"/>
            <w:shd w:val="clear" w:color="auto" w:fill="000000"/>
          </w:tcPr>
          <w:p w14:paraId="6E58C275" w14:textId="77777777" w:rsidR="009C6D35" w:rsidRPr="001B5954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1B5954">
              <w:rPr>
                <w:rFonts w:ascii="Fira Sans" w:hAnsi="Fira Sans"/>
                <w:highlight w:val="black"/>
              </w:rPr>
              <w:t>netto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B595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1B5954" w:rsidRPr="001B5954" w14:paraId="63F3BA07" w14:textId="77777777" w:rsidTr="001B5954">
        <w:tc>
          <w:tcPr>
            <w:tcW w:w="3994" w:type="dxa"/>
            <w:shd w:val="clear" w:color="auto" w:fill="000000"/>
          </w:tcPr>
          <w:p w14:paraId="34168E8F" w14:textId="77777777" w:rsidR="009C6D35" w:rsidRPr="001B5954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1B5954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1B5954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1B5954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1B5954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7472901A" w:rsidR="009C6D35" w:rsidRPr="001B5954" w:rsidRDefault="007624E2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8344A89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1B5954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1B5954" w:rsidRPr="001B5954" w14:paraId="0994815D" w14:textId="77777777" w:rsidTr="001B5954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1B5954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przedsiębiorstw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B595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1B595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1B595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highlight w:val="black"/>
              </w:rPr>
              <w:t xml:space="preserve">3528,8 </w:t>
            </w:r>
          </w:p>
        </w:tc>
      </w:tr>
      <w:tr w:rsidR="001B5954" w:rsidRPr="001B5954" w14:paraId="43CF098F" w14:textId="77777777" w:rsidTr="001B5954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1B5954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1B5954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1B5954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1B5954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1B5954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6A0F1F64" w:rsidR="009C6D35" w:rsidRPr="001B5954" w:rsidRDefault="007624E2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6C18E04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9C6D35" w:rsidRPr="001B595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1B595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67F5C5D7" w14:textId="77777777" w:rsidTr="001B5954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1B5954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1B595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1B5954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1B595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1B5954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1B5954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1B5954" w:rsidRPr="001B5954" w14:paraId="0CF23CC4" w14:textId="77777777" w:rsidTr="001B5954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1B5954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1B595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1B595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1B5954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1B5954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1B5954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1B5954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61343989" w:rsidR="00DE6500" w:rsidRPr="001B5954" w:rsidRDefault="007624E2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1B595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1B595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1B595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1B595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1B595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1B595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533C91EF" w14:textId="77777777" w:rsidTr="001B5954">
        <w:tc>
          <w:tcPr>
            <w:tcW w:w="3994" w:type="dxa"/>
            <w:shd w:val="clear" w:color="auto" w:fill="000000"/>
          </w:tcPr>
          <w:p w14:paraId="4411DA68" w14:textId="77777777" w:rsidR="002F45DA" w:rsidRPr="001B5954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1B5954">
              <w:rPr>
                <w:rFonts w:ascii="Fira Sans" w:hAnsi="Fira Sans"/>
                <w:highlight w:val="black"/>
              </w:rPr>
              <w:t>narodowej</w:t>
            </w:r>
            <w:r w:rsidRPr="001B5954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1B595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1B595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1B595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1B595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1B5954" w:rsidRPr="001B5954" w14:paraId="78B04BE1" w14:textId="77777777" w:rsidTr="001B5954">
        <w:tc>
          <w:tcPr>
            <w:tcW w:w="3994" w:type="dxa"/>
            <w:shd w:val="clear" w:color="auto" w:fill="000000"/>
          </w:tcPr>
          <w:p w14:paraId="55B74D66" w14:textId="77777777" w:rsidR="007F516F" w:rsidRPr="001B595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1B595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1B5954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1B5954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19</w:t>
            </w:r>
            <w:r w:rsidR="00845A26" w:rsidRPr="001B5954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1B5954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1B5954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7D3F4C" w:rsidR="007F516F" w:rsidRPr="001B5954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AAE5CEE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1B595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410C41F4" w14:textId="77777777" w:rsidTr="001B5954">
        <w:tc>
          <w:tcPr>
            <w:tcW w:w="3994" w:type="dxa"/>
            <w:shd w:val="clear" w:color="auto" w:fill="000000"/>
          </w:tcPr>
          <w:p w14:paraId="1E5BDF44" w14:textId="77777777" w:rsidR="002F45DA" w:rsidRPr="001B5954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1B595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1B595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1B595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1B5954" w:rsidRPr="001B5954" w14:paraId="6250BC86" w14:textId="77777777" w:rsidTr="001B5954">
        <w:tc>
          <w:tcPr>
            <w:tcW w:w="3994" w:type="dxa"/>
            <w:shd w:val="clear" w:color="auto" w:fill="000000"/>
          </w:tcPr>
          <w:p w14:paraId="0E4AF580" w14:textId="77777777" w:rsidR="007F516F" w:rsidRPr="001B595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1B595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1B5954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1B5954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1B5954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1B5954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ACF0E9" w:rsidR="007F516F" w:rsidRPr="001B5954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16C60795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1B595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B5954" w:rsidRPr="001B5954" w14:paraId="7FEE8768" w14:textId="77777777" w:rsidTr="001B5954">
        <w:tc>
          <w:tcPr>
            <w:tcW w:w="3994" w:type="dxa"/>
            <w:shd w:val="clear" w:color="auto" w:fill="000000"/>
          </w:tcPr>
          <w:p w14:paraId="4E5D3D84" w14:textId="77777777" w:rsidR="002F45DA" w:rsidRPr="001B5954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1B595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1B595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1B595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B5954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1B595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1B595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1B5954" w:rsidRPr="001B5954" w14:paraId="1FD1479C" w14:textId="77777777" w:rsidTr="001B5954">
        <w:tc>
          <w:tcPr>
            <w:tcW w:w="3994" w:type="dxa"/>
            <w:shd w:val="clear" w:color="auto" w:fill="000000"/>
          </w:tcPr>
          <w:p w14:paraId="7CCD9285" w14:textId="77777777" w:rsidR="007F516F" w:rsidRPr="001B595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1B595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1B595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1B5954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1B5954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1B5954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1B5954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8C3B1CD" w:rsidR="007F516F" w:rsidRPr="001B5954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B5954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354B9C43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1B595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1B5954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1B595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1B595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1B5954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1B5954">
        <w:rPr>
          <w:rFonts w:ascii="Fira Sans" w:hAnsi="Fira Sans"/>
          <w:i/>
          <w:sz w:val="15"/>
          <w:szCs w:val="15"/>
          <w:highlight w:val="black"/>
        </w:rPr>
        <w:t>a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  </w:t>
      </w:r>
      <w:r w:rsidRPr="001B5954">
        <w:rPr>
          <w:rFonts w:ascii="Fira Sans" w:hAnsi="Fira Sans"/>
          <w:i/>
          <w:sz w:val="15"/>
          <w:szCs w:val="15"/>
          <w:highlight w:val="black"/>
        </w:rPr>
        <w:t>b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1B5954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1B595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  </w:t>
      </w:r>
      <w:r w:rsidRPr="001B5954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1B595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  </w:t>
      </w:r>
      <w:r w:rsidRPr="001B5954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1B595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B5954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1B595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1B595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1B595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1B595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1B595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1B5954" w:rsidRDefault="00E87F28">
      <w:pPr>
        <w:spacing w:line="230" w:lineRule="exact"/>
        <w:ind w:firstLine="454"/>
        <w:rPr>
          <w:highlight w:val="black"/>
        </w:rPr>
        <w:sectPr w:rsidR="00E87F28" w:rsidRPr="001B5954" w:rsidSect="00F843CB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1B5954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74"/>
        <w:gridCol w:w="3617"/>
        <w:gridCol w:w="666"/>
        <w:gridCol w:w="2809"/>
      </w:tblGrid>
      <w:tr w:rsidR="009A5F1A" w:rsidRPr="001B5954" w14:paraId="0476BE14" w14:textId="77777777" w:rsidTr="001B595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1B5954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1B5954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1B5954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B5954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1B5954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1B5954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1B5954" w14:paraId="26EB6DE3" w14:textId="77777777" w:rsidTr="001B5954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1B5954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1B5954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1B5954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1B5954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1B5954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B5954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1B5954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1B5954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1B5954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298289A8" w:rsidR="00545B7D" w:rsidRPr="001B5954" w:rsidRDefault="000A5BF1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0FE7B29F" wp14:editId="2CA20E24">
                  <wp:extent cx="273000" cy="25200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ww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1B5954" w:rsidRDefault="00160475" w:rsidP="009A27F2">
            <w:pPr>
              <w:rPr>
                <w:rFonts w:cs="Arial"/>
                <w:sz w:val="20"/>
                <w:highlight w:val="black"/>
              </w:rPr>
            </w:pPr>
            <w:hyperlink r:id="rId40" w:history="1">
              <w:r w:rsidR="004701F5" w:rsidRPr="001B5954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1B5954" w14:paraId="41B00A2D" w14:textId="77777777" w:rsidTr="001B595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1B5954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B5954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1B5954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B5954">
              <w:rPr>
                <w:b/>
                <w:sz w:val="20"/>
                <w:highlight w:val="black"/>
                <w:lang w:val="fi-FI"/>
              </w:rPr>
              <w:t>faks:</w:t>
            </w:r>
            <w:r w:rsidRPr="001B5954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79140097" w:rsidR="00C81233" w:rsidRPr="001B5954" w:rsidRDefault="000A5BF1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0F67A7E1" wp14:editId="2814DAF7">
                  <wp:extent cx="277519" cy="252000"/>
                  <wp:effectExtent l="0" t="0" r="825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witter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9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1B5954" w:rsidRDefault="00160475" w:rsidP="00C81233">
            <w:pPr>
              <w:rPr>
                <w:rFonts w:cs="Arial"/>
                <w:sz w:val="20"/>
                <w:highlight w:val="black"/>
              </w:rPr>
            </w:pPr>
            <w:hyperlink r:id="rId42" w:history="1">
              <w:r w:rsidR="004701F5" w:rsidRPr="001B5954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1B5954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1B5954" w14:paraId="715BD31A" w14:textId="77777777" w:rsidTr="001B595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1B5954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1B5954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1B5954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1B5954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3" w:history="1">
              <w:r w:rsidRPr="001B5954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7F729C36" w:rsidR="00C81233" w:rsidRPr="001B5954" w:rsidRDefault="000A5BF1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6ADFBEA6" wp14:editId="49171598">
                  <wp:extent cx="180770" cy="1800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go f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1B5954" w:rsidRDefault="00160475" w:rsidP="00C81233">
            <w:pPr>
              <w:rPr>
                <w:sz w:val="20"/>
                <w:highlight w:val="black"/>
                <w:lang w:val="en-GB"/>
              </w:rPr>
            </w:pPr>
            <w:hyperlink r:id="rId45" w:history="1">
              <w:r w:rsidR="004701F5" w:rsidRPr="001B5954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1B5954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1B5954" w:rsidRDefault="00A2450C" w:rsidP="009B729B">
      <w:pPr>
        <w:rPr>
          <w:highlight w:val="black"/>
          <w:lang w:val="en-US"/>
        </w:rPr>
      </w:pPr>
    </w:p>
    <w:p w14:paraId="2BB087D8" w14:textId="77777777" w:rsidR="00111673" w:rsidRPr="001B5954" w:rsidRDefault="00111673" w:rsidP="009B729B">
      <w:pPr>
        <w:rPr>
          <w:highlight w:val="black"/>
          <w:lang w:val="en-US"/>
        </w:rPr>
      </w:pPr>
    </w:p>
    <w:p w14:paraId="2E5843D5" w14:textId="77777777" w:rsidR="004E2EEB" w:rsidRPr="001B5954" w:rsidRDefault="004E2EEB" w:rsidP="009B729B">
      <w:pPr>
        <w:rPr>
          <w:highlight w:val="black"/>
          <w:lang w:val="en-US"/>
        </w:rPr>
      </w:pPr>
    </w:p>
    <w:p w14:paraId="0B2F1E78" w14:textId="77777777" w:rsidR="004E2EEB" w:rsidRPr="001B5954" w:rsidRDefault="004E2EEB" w:rsidP="009B729B">
      <w:pPr>
        <w:rPr>
          <w:highlight w:val="black"/>
          <w:lang w:val="en-US"/>
        </w:rPr>
      </w:pPr>
    </w:p>
    <w:p w14:paraId="29B09E23" w14:textId="77777777" w:rsidR="00111673" w:rsidRPr="001B5954" w:rsidRDefault="004D19D0" w:rsidP="009B729B">
      <w:pPr>
        <w:rPr>
          <w:highlight w:val="black"/>
          <w:lang w:val="en-US"/>
        </w:rPr>
      </w:pPr>
      <w:r w:rsidRPr="001B595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0A5BF1" w:rsidRPr="001B5954" w:rsidRDefault="000A5BF1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0A5BF1" w:rsidRPr="001B5954" w:rsidRDefault="000A5BF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B595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056E3B80" w:rsidR="000A5BF1" w:rsidRPr="001B5954" w:rsidRDefault="00160475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0A5BF1" w:rsidRPr="001B595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 w pierwszym półroczu 2021 r.</w:t>
                              </w:r>
                            </w:hyperlink>
                          </w:p>
                          <w:p w14:paraId="39D90BB6" w14:textId="74766B12" w:rsidR="000A5BF1" w:rsidRPr="001B5954" w:rsidRDefault="000A5BF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0A5BF1" w:rsidRPr="001B5954" w:rsidRDefault="000A5BF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B595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0A5BF1" w:rsidRPr="001B5954" w:rsidRDefault="0016047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0A5BF1" w:rsidRPr="001B595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0A5BF1" w:rsidRPr="001B5954" w:rsidRDefault="000A5BF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0A5BF1" w:rsidRPr="001B5954" w:rsidRDefault="000A5BF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B595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0A5BF1" w:rsidRPr="001B5954" w:rsidRDefault="0016047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0A5BF1" w:rsidRPr="001B595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0A5BF1" w:rsidRPr="001B5954" w:rsidRDefault="000A5BF1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0A5BF1" w:rsidRPr="001B5954" w:rsidRDefault="000A5BF1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0A5BF1" w:rsidRPr="001B5954" w:rsidRDefault="000A5BF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B595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056E3B80" w:rsidR="000A5BF1" w:rsidRPr="001B5954" w:rsidRDefault="00B7616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49" w:history="1">
                        <w:r w:rsidR="000A5BF1" w:rsidRPr="001B5954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 w pierwszym półroczu 2021 r.</w:t>
                        </w:r>
                      </w:hyperlink>
                    </w:p>
                    <w:p w14:paraId="39D90BB6" w14:textId="74766B12" w:rsidR="000A5BF1" w:rsidRPr="001B5954" w:rsidRDefault="000A5BF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0A5BF1" w:rsidRPr="001B5954" w:rsidRDefault="000A5BF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B595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0A5BF1" w:rsidRPr="001B5954" w:rsidRDefault="00B7616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history="1">
                        <w:r w:rsidR="000A5BF1" w:rsidRPr="001B595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0A5BF1" w:rsidRPr="001B5954" w:rsidRDefault="000A5BF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0A5BF1" w:rsidRPr="001B5954" w:rsidRDefault="000A5BF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B595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0A5BF1" w:rsidRPr="001B5954" w:rsidRDefault="00B7616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history="1">
                        <w:r w:rsidR="000A5BF1" w:rsidRPr="001B595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0A5BF1" w:rsidRPr="001B5954" w:rsidRDefault="000A5BF1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1B5954" w:rsidRDefault="00111673" w:rsidP="009B729B">
      <w:pPr>
        <w:rPr>
          <w:highlight w:val="black"/>
          <w:lang w:val="en-US"/>
        </w:rPr>
      </w:pPr>
    </w:p>
    <w:sectPr w:rsidR="00111673" w:rsidRPr="001B5954" w:rsidSect="00B2162C">
      <w:headerReference w:type="first" r:id="rId5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6D7A6" w14:textId="77777777" w:rsidR="007F0ED5" w:rsidRDefault="007F0ED5" w:rsidP="00502C57">
      <w:r>
        <w:separator/>
      </w:r>
    </w:p>
  </w:endnote>
  <w:endnote w:type="continuationSeparator" w:id="0">
    <w:p w14:paraId="4A3A1A4E" w14:textId="77777777" w:rsidR="007F0ED5" w:rsidRDefault="007F0ED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0A5BF1" w:rsidRDefault="000A5BF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47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62B45D1" w14:textId="77777777" w:rsidR="000A5BF1" w:rsidRDefault="000A5B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0A5BF1" w:rsidRDefault="000A5BF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160475">
          <w:rPr>
            <w:noProof/>
            <w:color w:val="000000" w:themeColor="text1"/>
            <w:szCs w:val="19"/>
          </w:rPr>
          <w:t>11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0A5BF1" w:rsidRDefault="000A5B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0A5BF1" w:rsidRDefault="000A5B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475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0A5BF1" w:rsidRDefault="000A5B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247DB" w14:textId="77777777" w:rsidR="007F0ED5" w:rsidRDefault="007F0ED5" w:rsidP="00502C57">
      <w:r>
        <w:separator/>
      </w:r>
    </w:p>
  </w:footnote>
  <w:footnote w:type="continuationSeparator" w:id="0">
    <w:p w14:paraId="49800F7D" w14:textId="77777777" w:rsidR="007F0ED5" w:rsidRDefault="007F0ED5" w:rsidP="00502C57">
      <w:r>
        <w:continuationSeparator/>
      </w:r>
    </w:p>
  </w:footnote>
  <w:footnote w:id="1">
    <w:p w14:paraId="221C3624" w14:textId="77777777" w:rsidR="000A5BF1" w:rsidRPr="004366F2" w:rsidRDefault="000A5BF1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0A5BF1" w:rsidRPr="004366F2" w:rsidRDefault="000A5BF1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2EB2C55A" w14:textId="77777777" w:rsidR="000A5BF1" w:rsidRPr="004366F2" w:rsidRDefault="000A5BF1" w:rsidP="00CE35DA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1FF72885" w14:textId="77777777" w:rsidR="000A5BF1" w:rsidRPr="0044656E" w:rsidRDefault="000A5BF1" w:rsidP="005464A3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5B80478" w14:textId="77777777" w:rsidR="000A5BF1" w:rsidRPr="0090597F" w:rsidRDefault="000A5BF1" w:rsidP="003E3FD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405503D0" w14:textId="21301A5F" w:rsidR="000A5BF1" w:rsidRPr="00F8127B" w:rsidRDefault="000A5BF1" w:rsidP="00F965FA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890D3F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265653E" w14:textId="77777777" w:rsidR="000A5BF1" w:rsidRPr="00F21F58" w:rsidRDefault="000A5BF1" w:rsidP="00D64503"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D64503">
        <w:rPr>
          <w:sz w:val="16"/>
          <w:szCs w:val="16"/>
        </w:rPr>
        <w:t>Badanie zostało przeprowadzone w dniach od 1 do 10 lipca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15140060" w14:textId="18AA254B" w:rsidR="000A5BF1" w:rsidRPr="003C476F" w:rsidRDefault="000A5BF1" w:rsidP="00B14D4E">
      <w:pPr>
        <w:rPr>
          <w:sz w:val="16"/>
          <w:szCs w:val="16"/>
        </w:rPr>
      </w:pPr>
    </w:p>
    <w:p w14:paraId="3BDD97BA" w14:textId="7437A078" w:rsidR="000A5BF1" w:rsidRDefault="000A5BF1" w:rsidP="00D210C7"/>
    <w:p w14:paraId="1BAC864A" w14:textId="081F827D" w:rsidR="000A5BF1" w:rsidRPr="00106935" w:rsidRDefault="000A5BF1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675C358E" w:rsidR="000A5BF1" w:rsidRPr="00AF15B1" w:rsidRDefault="000A5BF1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0CF8429B" w:rsidR="000A5BF1" w:rsidRPr="00AF15B1" w:rsidRDefault="000A5BF1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0A5BF1" w:rsidRPr="001B5954" w:rsidRDefault="000A5BF1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B5954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1B5954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1B5954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0A5BF1" w:rsidRPr="001B5954" w:rsidRDefault="000A5BF1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1B5954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1B5954">
                      <w:rPr>
                        <w:rFonts w:ascii="Fira Sans SemiBold" w:hAnsi="Fira Sans SemiBold"/>
                      </w:rPr>
                      <w:t xml:space="preserve"> </w:t>
                    </w:r>
                    <w:r w:rsidRPr="001B5954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397D7393" w:rsidR="000A5BF1" w:rsidRPr="00AF15B1" w:rsidRDefault="000A5BF1" w:rsidP="00C855F4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1CC7B116" wp14:editId="33E154F0">
          <wp:extent cx="1162889" cy="360000"/>
          <wp:effectExtent l="0" t="0" r="0" b="254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8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0A5BF1" w:rsidRPr="00AF15B1" w:rsidRDefault="000A5BF1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706885A2" w:rsidR="000A5BF1" w:rsidRPr="001B5954" w:rsidRDefault="000A5BF1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1B595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28.07.2021 r.</w:t>
                          </w:r>
                        </w:p>
                        <w:p w14:paraId="660475CE" w14:textId="7D38B961" w:rsidR="000A5BF1" w:rsidRPr="001B5954" w:rsidRDefault="000A5BF1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1B595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1B595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6/2021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706885A2" w:rsidR="000A5BF1" w:rsidRPr="001B5954" w:rsidRDefault="000A5BF1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1B5954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28.07.2021 r.</w:t>
                    </w:r>
                  </w:p>
                  <w:p w14:paraId="660475CE" w14:textId="7D38B961" w:rsidR="000A5BF1" w:rsidRPr="001B5954" w:rsidRDefault="000A5BF1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1B5954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1B5954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6/2021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0A5BF1" w:rsidRDefault="000A5BF1" w:rsidP="00C855F4">
    <w:pPr>
      <w:pStyle w:val="Nagwek"/>
    </w:pPr>
  </w:p>
  <w:p w14:paraId="064A9502" w14:textId="440923C1" w:rsidR="000A5BF1" w:rsidRPr="00285307" w:rsidRDefault="000A5BF1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0A5BF1" w:rsidRPr="008926DD" w:rsidRDefault="000A5BF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0A5BF1" w:rsidRPr="008926DD" w:rsidRDefault="000A5BF1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750D72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D2C7D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F02CC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BA248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6491D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920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0675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54EE9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64361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47B0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1B03E9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8E140C06"/>
    <w:lvl w:ilvl="0" w:tplc="8720383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22A8B"/>
    <w:multiLevelType w:val="hybridMultilevel"/>
    <w:tmpl w:val="984C1F90"/>
    <w:lvl w:ilvl="0" w:tplc="45F071E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4620E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20"/>
  </w:num>
  <w:num w:numId="5">
    <w:abstractNumId w:val="19"/>
  </w:num>
  <w:num w:numId="6">
    <w:abstractNumId w:val="1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2"/>
  </w:num>
  <w:num w:numId="16">
    <w:abstractNumId w:val="10"/>
  </w:num>
  <w:num w:numId="17">
    <w:abstractNumId w:val="11"/>
  </w:num>
  <w:num w:numId="18">
    <w:abstractNumId w:val="21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49F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E9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08"/>
    <w:rsid w:val="000A5695"/>
    <w:rsid w:val="000A5BF1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475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54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279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1F65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4FF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5DC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7B6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26CB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4E2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ED5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4F38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8C9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0CDF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B88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161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3FB4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03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11293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1B59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95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11293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numbering" w:styleId="111111">
    <w:name w:val="Outline List 2"/>
    <w:basedOn w:val="Bezlisty"/>
    <w:uiPriority w:val="99"/>
    <w:semiHidden/>
    <w:unhideWhenUsed/>
    <w:rsid w:val="001B5954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1B5954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1B595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B595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95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95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1B5954"/>
    <w:pPr>
      <w:numPr>
        <w:numId w:val="18"/>
      </w:numPr>
    </w:pPr>
  </w:style>
  <w:style w:type="paragraph" w:styleId="Bezodstpw">
    <w:name w:val="No Spacing"/>
    <w:uiPriority w:val="1"/>
    <w:rsid w:val="001B595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B5954"/>
  </w:style>
  <w:style w:type="table" w:styleId="Ciemnalista">
    <w:name w:val="Dark List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1B595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B595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1B595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95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B5954"/>
  </w:style>
  <w:style w:type="character" w:customStyle="1" w:styleId="DataZnak">
    <w:name w:val="Data Znak"/>
    <w:basedOn w:val="Domylnaczcionkaakapitu"/>
    <w:link w:val="Data"/>
    <w:uiPriority w:val="99"/>
    <w:semiHidden/>
    <w:rsid w:val="001B5954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B595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B595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1B595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B595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B595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B595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B595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B595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B595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B595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B595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1B595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B595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B595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B595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B595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B595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B595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B595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B595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B595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B595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B595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B595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B595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B595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B595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B595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B595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B595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B595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B595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B595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B5954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B5954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B5954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B5954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B5954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B5954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B5954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B5954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B5954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B595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B595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B595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B59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B595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B59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1B5954"/>
    <w:rPr>
      <w:color w:val="FFFFFF"/>
    </w:rPr>
  </w:style>
  <w:style w:type="character" w:styleId="Odwoaniedelikatne">
    <w:name w:val="Subtle Reference"/>
    <w:basedOn w:val="Domylnaczcionkaakapitu"/>
    <w:uiPriority w:val="31"/>
    <w:rsid w:val="001B595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1B595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95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B595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595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B595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B595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1B595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B595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1B595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B595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B595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B595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B595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B595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B595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B595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B595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B595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B595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B595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B595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B595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B595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B595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B595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B595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B595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B595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B595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B595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B595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B595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1B59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B595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B595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B595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B595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B595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1B595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1B59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95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1B595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1B595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B595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B595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1B595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1B595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B595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B595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B595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B5954"/>
    <w:rPr>
      <w:color w:val="FFFFFF"/>
    </w:rPr>
  </w:style>
  <w:style w:type="table" w:styleId="Zwykatabela1">
    <w:name w:val="Plain Table 1"/>
    <w:basedOn w:val="Standardowy"/>
    <w:uiPriority w:val="41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B595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B59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B595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B595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image" Target="media/image4.png"/><Relationship Id="rId39" Type="http://schemas.openxmlformats.org/officeDocument/2006/relationships/image" Target="media/image7.png"/><Relationship Id="rId21" Type="http://schemas.openxmlformats.org/officeDocument/2006/relationships/chart" Target="charts/chart12.xml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chart" Target="charts/chart20.xml"/><Relationship Id="rId37" Type="http://schemas.openxmlformats.org/officeDocument/2006/relationships/footer" Target="footer3.xml"/><Relationship Id="rId40" Type="http://schemas.openxmlformats.org/officeDocument/2006/relationships/hyperlink" Target="http://rzeszow.stat.gov.pl/" TargetMode="External"/><Relationship Id="rId45" Type="http://schemas.openxmlformats.org/officeDocument/2006/relationships/hyperlink" Target="https://pl-pl.facebook.com/GlownyUrzadStatystyczny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19.xml"/><Relationship Id="rId44" Type="http://schemas.openxmlformats.org/officeDocument/2006/relationships/image" Target="media/image9.pn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image" Target="media/image5.png"/><Relationship Id="rId30" Type="http://schemas.openxmlformats.org/officeDocument/2006/relationships/chart" Target="charts/chart18.xml"/><Relationship Id="rId35" Type="http://schemas.openxmlformats.org/officeDocument/2006/relationships/footer" Target="footer2.xml"/><Relationship Id="rId43" Type="http://schemas.openxmlformats.org/officeDocument/2006/relationships/hyperlink" Target="mailto:sekretariatusrze@stat.gov.pl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chart" Target="charts/chart21.xml"/><Relationship Id="rId38" Type="http://schemas.openxmlformats.org/officeDocument/2006/relationships/header" Target="header2.xml"/><Relationship Id="rId46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Relationship Id="rId20" Type="http://schemas.openxmlformats.org/officeDocument/2006/relationships/chart" Target="charts/chart11.xml"/><Relationship Id="rId41" Type="http://schemas.openxmlformats.org/officeDocument/2006/relationships/image" Target="media/image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chart" Target="charts/chart16.xml"/><Relationship Id="rId36" Type="http://schemas.openxmlformats.org/officeDocument/2006/relationships/header" Target="header1.xml"/><Relationship Id="rId49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6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\\vmfrze01\WU\201\_Komunikaty\Komunikaty_2021\Wykresy_kontrast\DG-1\DG-1%20WYKRESY%2006_2021%20COVID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\\vmfrze01\WU\201\_Komunikaty\Komunikaty_2021\Wykresy_kontrast\DG-1\DG-1%20WYKRESY%2006_2021%20COVID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\\vmfrze01\WU\201\_Komunikaty\Komunikaty_2021\Wykresy_kontrast\DG-1\DG-1%20WYKRESY%2006_2021%20COVID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czerwiec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_WOBR_koniunktura_202107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6_czerwiec\opis\koniunktura.07\18_WOBR_koniunktura_202107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koniunktura%20(3,4,5,6)%20-%20wykresy%20(06.2020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koniunktura%20(3,4,5,6)%20-%20wykresy%20(06.2020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koniunktura%20(3,4,5,6)%20-%20wykresy%20(06.2020)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1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koniunktura%20(3,4,5,6)%20-%20wykresy%20(06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6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6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6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ojtek%20czerwiec\wykres_mieszkania_06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zatrudnienie_dynamika!$C$4:$C$45</c:f>
              <c:numCache>
                <c:formatCode>0.0</c:formatCode>
                <c:ptCount val="42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 formatCode="General">
                  <c:v>112.7</c:v>
                </c:pt>
                <c:pt idx="40">
                  <c:v>113</c:v>
                </c:pt>
                <c:pt idx="41" formatCode="General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zatrudnienie_dynamika!$D$4:$D$45</c:f>
              <c:numCache>
                <c:formatCode>0.0</c:formatCode>
                <c:ptCount val="42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  <c:pt idx="39" formatCode="General">
                  <c:v>108.8</c:v>
                </c:pt>
                <c:pt idx="40" formatCode="General">
                  <c:v>109.5</c:v>
                </c:pt>
                <c:pt idx="41" formatCode="General">
                  <c:v>110.3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61253184"/>
        <c:axId val="-261249376"/>
      </c:lineChart>
      <c:catAx>
        <c:axId val="-2612531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49376"/>
        <c:crossesAt val="100"/>
        <c:auto val="1"/>
        <c:lblAlgn val="ctr"/>
        <c:lblOffset val="10"/>
        <c:tickLblSkip val="1"/>
        <c:noMultiLvlLbl val="0"/>
      </c:catAx>
      <c:valAx>
        <c:axId val="-261249376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318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1'!$C$5:$C$17</c:f>
              <c:numCache>
                <c:formatCode>0.0</c:formatCode>
                <c:ptCount val="13"/>
                <c:pt idx="0">
                  <c:v>4.5999999999999996</c:v>
                </c:pt>
                <c:pt idx="1">
                  <c:v>4</c:v>
                </c:pt>
                <c:pt idx="2" formatCode="General">
                  <c:v>2.9</c:v>
                </c:pt>
                <c:pt idx="3" formatCode="General">
                  <c:v>2.1</c:v>
                </c:pt>
                <c:pt idx="4" formatCode="General">
                  <c:v>2.1</c:v>
                </c:pt>
                <c:pt idx="5" formatCode="General">
                  <c:v>2.5</c:v>
                </c:pt>
                <c:pt idx="6" formatCode="General">
                  <c:v>1.9</c:v>
                </c:pt>
                <c:pt idx="7" formatCode="General">
                  <c:v>0.5</c:v>
                </c:pt>
                <c:pt idx="8" formatCode="General">
                  <c:v>1.2</c:v>
                </c:pt>
                <c:pt idx="9" formatCode="General">
                  <c:v>1.2</c:v>
                </c:pt>
                <c:pt idx="10" formatCode="General">
                  <c:v>1.5</c:v>
                </c:pt>
                <c:pt idx="11" formatCode="General">
                  <c:v>1.2</c:v>
                </c:pt>
                <c:pt idx="12" formatCode="General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1'!$D$5:$D$17</c:f>
              <c:numCache>
                <c:formatCode>0.0</c:formatCode>
                <c:ptCount val="13"/>
                <c:pt idx="0">
                  <c:v>5</c:v>
                </c:pt>
                <c:pt idx="1">
                  <c:v>5.2</c:v>
                </c:pt>
                <c:pt idx="2" formatCode="General">
                  <c:v>3.5</c:v>
                </c:pt>
                <c:pt idx="3" formatCode="General">
                  <c:v>2.9</c:v>
                </c:pt>
                <c:pt idx="4" formatCode="General">
                  <c:v>2.2000000000000002</c:v>
                </c:pt>
                <c:pt idx="5" formatCode="General">
                  <c:v>2.5</c:v>
                </c:pt>
                <c:pt idx="6" formatCode="General">
                  <c:v>1.8</c:v>
                </c:pt>
                <c:pt idx="7" formatCode="General">
                  <c:v>0.4</c:v>
                </c:pt>
                <c:pt idx="8" formatCode="General">
                  <c:v>1.8</c:v>
                </c:pt>
                <c:pt idx="9" formatCode="General">
                  <c:v>1.5</c:v>
                </c:pt>
                <c:pt idx="10" formatCode="General">
                  <c:v>1.7</c:v>
                </c:pt>
                <c:pt idx="11" formatCode="General">
                  <c:v>1.2</c:v>
                </c:pt>
                <c:pt idx="12" formatCode="General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2073815360"/>
        <c:axId val="-2073814816"/>
      </c:barChart>
      <c:catAx>
        <c:axId val="-207381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4816"/>
        <c:crosses val="autoZero"/>
        <c:auto val="1"/>
        <c:lblAlgn val="ctr"/>
        <c:lblOffset val="100"/>
        <c:noMultiLvlLbl val="0"/>
      </c:catAx>
      <c:valAx>
        <c:axId val="-207381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536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2'!$C$5:$C$17</c:f>
              <c:numCache>
                <c:formatCode>0.0</c:formatCode>
                <c:ptCount val="13"/>
                <c:pt idx="0">
                  <c:v>7</c:v>
                </c:pt>
                <c:pt idx="1">
                  <c:v>8</c:v>
                </c:pt>
                <c:pt idx="2" formatCode="General">
                  <c:v>6.2</c:v>
                </c:pt>
                <c:pt idx="3" formatCode="General">
                  <c:v>4.5999999999999996</c:v>
                </c:pt>
                <c:pt idx="4" formatCode="General">
                  <c:v>3.7</c:v>
                </c:pt>
                <c:pt idx="5" formatCode="General">
                  <c:v>3.8</c:v>
                </c:pt>
                <c:pt idx="6" formatCode="General">
                  <c:v>2.2999999999999998</c:v>
                </c:pt>
                <c:pt idx="7" formatCode="General">
                  <c:v>0.6</c:v>
                </c:pt>
                <c:pt idx="8" formatCode="General">
                  <c:v>2.4</c:v>
                </c:pt>
                <c:pt idx="9">
                  <c:v>2</c:v>
                </c:pt>
                <c:pt idx="10" formatCode="General">
                  <c:v>2.2999999999999998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2'!$D$5:$D$17</c:f>
              <c:numCache>
                <c:formatCode>0.0</c:formatCode>
                <c:ptCount val="13"/>
                <c:pt idx="0">
                  <c:v>4.5</c:v>
                </c:pt>
                <c:pt idx="1">
                  <c:v>6</c:v>
                </c:pt>
                <c:pt idx="2" formatCode="General">
                  <c:v>4.5</c:v>
                </c:pt>
                <c:pt idx="3">
                  <c:v>3</c:v>
                </c:pt>
                <c:pt idx="4" formatCode="General">
                  <c:v>1.6</c:v>
                </c:pt>
                <c:pt idx="5" formatCode="General">
                  <c:v>1.6</c:v>
                </c:pt>
                <c:pt idx="6" formatCode="General">
                  <c:v>4.7</c:v>
                </c:pt>
                <c:pt idx="7" formatCode="General">
                  <c:v>0.7</c:v>
                </c:pt>
                <c:pt idx="8" formatCode="General">
                  <c:v>3.1</c:v>
                </c:pt>
                <c:pt idx="9">
                  <c:v>1.6</c:v>
                </c:pt>
                <c:pt idx="10" formatCode="General">
                  <c:v>0.8</c:v>
                </c:pt>
                <c:pt idx="11">
                  <c:v>0</c:v>
                </c:pt>
                <c:pt idx="12" formatCode="General">
                  <c:v>2.2999999999999998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2'!$E$5:$E$17</c:f>
              <c:numCache>
                <c:formatCode>0.0</c:formatCode>
                <c:ptCount val="13"/>
                <c:pt idx="0">
                  <c:v>3.6</c:v>
                </c:pt>
                <c:pt idx="1">
                  <c:v>2.7</c:v>
                </c:pt>
                <c:pt idx="2" formatCode="General">
                  <c:v>1.9</c:v>
                </c:pt>
                <c:pt idx="3" formatCode="General">
                  <c:v>2.2000000000000002</c:v>
                </c:pt>
                <c:pt idx="4" formatCode="General">
                  <c:v>1.7</c:v>
                </c:pt>
                <c:pt idx="5" formatCode="General">
                  <c:v>1.1000000000000001</c:v>
                </c:pt>
                <c:pt idx="6" formatCode="General">
                  <c:v>0.8</c:v>
                </c:pt>
                <c:pt idx="7">
                  <c:v>0</c:v>
                </c:pt>
                <c:pt idx="8" formatCode="General">
                  <c:v>0.9</c:v>
                </c:pt>
                <c:pt idx="9">
                  <c:v>0.9</c:v>
                </c:pt>
                <c:pt idx="10" formatCode="General">
                  <c:v>1.4</c:v>
                </c:pt>
                <c:pt idx="11">
                  <c:v>0.9</c:v>
                </c:pt>
                <c:pt idx="12" formatCode="General">
                  <c:v>0.3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2'!$F$5:$F$17</c:f>
              <c:numCache>
                <c:formatCode>0.0</c:formatCode>
                <c:ptCount val="13"/>
                <c:pt idx="0">
                  <c:v>7.9</c:v>
                </c:pt>
                <c:pt idx="1">
                  <c:v>5.4</c:v>
                </c:pt>
                <c:pt idx="2">
                  <c:v>0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1.4</c:v>
                </c:pt>
                <c:pt idx="6" formatCode="General">
                  <c:v>1.4</c:v>
                </c:pt>
                <c:pt idx="7" formatCode="General">
                  <c:v>1.3</c:v>
                </c:pt>
                <c:pt idx="8" formatCode="General">
                  <c:v>2.8</c:v>
                </c:pt>
                <c:pt idx="9">
                  <c:v>3</c:v>
                </c:pt>
                <c:pt idx="10" formatCode="General">
                  <c:v>2.8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367740032"/>
        <c:axId val="-367742752"/>
      </c:barChart>
      <c:catAx>
        <c:axId val="-367740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7742752"/>
        <c:crosses val="autoZero"/>
        <c:auto val="1"/>
        <c:lblAlgn val="ctr"/>
        <c:lblOffset val="100"/>
        <c:noMultiLvlLbl val="0"/>
      </c:catAx>
      <c:valAx>
        <c:axId val="-36774275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774003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3'!$C$5:$C$17</c:f>
              <c:numCache>
                <c:formatCode>0.0</c:formatCode>
                <c:ptCount val="13"/>
                <c:pt idx="0">
                  <c:v>3.2</c:v>
                </c:pt>
                <c:pt idx="1">
                  <c:v>3.1</c:v>
                </c:pt>
                <c:pt idx="2" formatCode="General">
                  <c:v>2.4</c:v>
                </c:pt>
                <c:pt idx="3" formatCode="General">
                  <c:v>1.9</c:v>
                </c:pt>
                <c:pt idx="4" formatCode="General">
                  <c:v>1.6</c:v>
                </c:pt>
                <c:pt idx="5">
                  <c:v>2</c:v>
                </c:pt>
                <c:pt idx="6" formatCode="General">
                  <c:v>1.2</c:v>
                </c:pt>
                <c:pt idx="7" formatCode="General">
                  <c:v>0.3</c:v>
                </c:pt>
                <c:pt idx="8" formatCode="General">
                  <c:v>1.5</c:v>
                </c:pt>
                <c:pt idx="9" formatCode="General">
                  <c:v>1.3</c:v>
                </c:pt>
                <c:pt idx="10" formatCode="General">
                  <c:v>1.1000000000000001</c:v>
                </c:pt>
                <c:pt idx="11">
                  <c:v>1</c:v>
                </c:pt>
                <c:pt idx="12" formatCode="General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3'!$D$5:$D$17</c:f>
              <c:numCache>
                <c:formatCode>0.0</c:formatCode>
                <c:ptCount val="13"/>
                <c:pt idx="0">
                  <c:v>0.6</c:v>
                </c:pt>
                <c:pt idx="1">
                  <c:v>0.6</c:v>
                </c:pt>
                <c:pt idx="2" formatCode="General">
                  <c:v>0.4</c:v>
                </c:pt>
                <c:pt idx="3" formatCode="General">
                  <c:v>0.5</c:v>
                </c:pt>
                <c:pt idx="4" formatCode="General">
                  <c:v>0.4</c:v>
                </c:pt>
                <c:pt idx="5" formatCode="General">
                  <c:v>0.3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0.1</c:v>
                </c:pt>
                <c:pt idx="9" formatCode="General">
                  <c:v>0.1</c:v>
                </c:pt>
                <c:pt idx="10" formatCode="General">
                  <c:v>0.2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3'!$E$5:$E$17</c:f>
              <c:numCache>
                <c:formatCode>0.0</c:formatCode>
                <c:ptCount val="13"/>
                <c:pt idx="0">
                  <c:v>2</c:v>
                </c:pt>
                <c:pt idx="1">
                  <c:v>2.1</c:v>
                </c:pt>
                <c:pt idx="2" formatCode="General">
                  <c:v>1.7</c:v>
                </c:pt>
                <c:pt idx="3" formatCode="General">
                  <c:v>0.8</c:v>
                </c:pt>
                <c:pt idx="4" formatCode="General">
                  <c:v>0.4</c:v>
                </c:pt>
                <c:pt idx="5" formatCode="General">
                  <c:v>0.1</c:v>
                </c:pt>
                <c:pt idx="6" formatCode="General">
                  <c:v>0.2</c:v>
                </c:pt>
                <c:pt idx="7">
                  <c:v>0</c:v>
                </c:pt>
                <c:pt idx="8" formatCode="General">
                  <c:v>0.1</c:v>
                </c:pt>
                <c:pt idx="9" formatCode="General">
                  <c:v>0.2</c:v>
                </c:pt>
                <c:pt idx="10" formatCode="General">
                  <c:v>0.1</c:v>
                </c:pt>
                <c:pt idx="11">
                  <c:v>0.2</c:v>
                </c:pt>
                <c:pt idx="12" formatCode="General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3'!$F$5:$F$17</c:f>
              <c:numCache>
                <c:formatCode>0.0</c:formatCode>
                <c:ptCount val="13"/>
                <c:pt idx="0">
                  <c:v>7.5</c:v>
                </c:pt>
                <c:pt idx="1">
                  <c:v>8.1999999999999993</c:v>
                </c:pt>
                <c:pt idx="2" formatCode="General">
                  <c:v>6.1</c:v>
                </c:pt>
                <c:pt idx="3">
                  <c:v>6.3</c:v>
                </c:pt>
                <c:pt idx="4">
                  <c:v>6.1</c:v>
                </c:pt>
                <c:pt idx="5">
                  <c:v>6</c:v>
                </c:pt>
                <c:pt idx="6">
                  <c:v>9</c:v>
                </c:pt>
                <c:pt idx="7" formatCode="General">
                  <c:v>1.1000000000000001</c:v>
                </c:pt>
                <c:pt idx="8" formatCode="General">
                  <c:v>6.6</c:v>
                </c:pt>
                <c:pt idx="9">
                  <c:v>7</c:v>
                </c:pt>
                <c:pt idx="10">
                  <c:v>8</c:v>
                </c:pt>
                <c:pt idx="11">
                  <c:v>5.4</c:v>
                </c:pt>
                <c:pt idx="12" formatCode="General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367739488"/>
        <c:axId val="-367738944"/>
        <c:extLst/>
      </c:barChart>
      <c:catAx>
        <c:axId val="-367739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7738944"/>
        <c:crosses val="autoZero"/>
        <c:auto val="1"/>
        <c:lblAlgn val="ctr"/>
        <c:lblOffset val="100"/>
        <c:noMultiLvlLbl val="0"/>
      </c:catAx>
      <c:valAx>
        <c:axId val="-36773894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773948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34</c:v>
                </c:pt>
                <c:pt idx="1">
                  <c:v>34</c:v>
                </c:pt>
                <c:pt idx="2">
                  <c:v>75</c:v>
                </c:pt>
                <c:pt idx="3">
                  <c:v>50</c:v>
                </c:pt>
                <c:pt idx="4">
                  <c:v>53</c:v>
                </c:pt>
                <c:pt idx="5">
                  <c:v>63</c:v>
                </c:pt>
                <c:pt idx="6">
                  <c:v>84</c:v>
                </c:pt>
                <c:pt idx="7">
                  <c:v>48</c:v>
                </c:pt>
                <c:pt idx="8">
                  <c:v>47</c:v>
                </c:pt>
                <c:pt idx="9">
                  <c:v>28</c:v>
                </c:pt>
                <c:pt idx="10">
                  <c:v>46</c:v>
                </c:pt>
                <c:pt idx="11">
                  <c:v>82</c:v>
                </c:pt>
                <c:pt idx="12">
                  <c:v>43</c:v>
                </c:pt>
                <c:pt idx="13">
                  <c:v>40</c:v>
                </c:pt>
                <c:pt idx="14">
                  <c:v>32</c:v>
                </c:pt>
                <c:pt idx="15">
                  <c:v>39</c:v>
                </c:pt>
                <c:pt idx="16">
                  <c:v>117</c:v>
                </c:pt>
                <c:pt idx="17">
                  <c:v>53</c:v>
                </c:pt>
                <c:pt idx="18">
                  <c:v>51</c:v>
                </c:pt>
                <c:pt idx="19">
                  <c:v>34</c:v>
                </c:pt>
                <c:pt idx="20">
                  <c:v>30</c:v>
                </c:pt>
                <c:pt idx="21">
                  <c:v>25</c:v>
                </c:pt>
                <c:pt idx="22">
                  <c:v>45</c:v>
                </c:pt>
                <c:pt idx="23">
                  <c:v>216</c:v>
                </c:pt>
                <c:pt idx="24">
                  <c:v>32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7</c:v>
                </c:pt>
                <c:pt idx="1">
                  <c:v>18</c:v>
                </c:pt>
                <c:pt idx="2">
                  <c:v>36</c:v>
                </c:pt>
                <c:pt idx="3">
                  <c:v>22</c:v>
                </c:pt>
                <c:pt idx="4">
                  <c:v>29</c:v>
                </c:pt>
                <c:pt idx="5">
                  <c:v>10</c:v>
                </c:pt>
                <c:pt idx="6">
                  <c:v>42</c:v>
                </c:pt>
                <c:pt idx="7">
                  <c:v>9</c:v>
                </c:pt>
                <c:pt idx="8">
                  <c:v>17</c:v>
                </c:pt>
                <c:pt idx="9">
                  <c:v>19</c:v>
                </c:pt>
                <c:pt idx="10">
                  <c:v>16</c:v>
                </c:pt>
                <c:pt idx="11">
                  <c:v>33</c:v>
                </c:pt>
                <c:pt idx="12">
                  <c:v>16</c:v>
                </c:pt>
                <c:pt idx="13">
                  <c:v>13</c:v>
                </c:pt>
                <c:pt idx="14">
                  <c:v>11</c:v>
                </c:pt>
                <c:pt idx="15">
                  <c:v>18</c:v>
                </c:pt>
                <c:pt idx="16">
                  <c:v>32</c:v>
                </c:pt>
                <c:pt idx="17">
                  <c:v>29</c:v>
                </c:pt>
                <c:pt idx="18">
                  <c:v>27</c:v>
                </c:pt>
                <c:pt idx="19">
                  <c:v>19</c:v>
                </c:pt>
                <c:pt idx="20">
                  <c:v>12</c:v>
                </c:pt>
                <c:pt idx="21">
                  <c:v>22</c:v>
                </c:pt>
                <c:pt idx="22">
                  <c:v>16</c:v>
                </c:pt>
                <c:pt idx="23">
                  <c:v>88</c:v>
                </c:pt>
                <c:pt idx="24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367737312"/>
        <c:axId val="-367737856"/>
      </c:barChart>
      <c:catAx>
        <c:axId val="-367737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367737856"/>
        <c:crosses val="autoZero"/>
        <c:auto val="1"/>
        <c:lblAlgn val="ctr"/>
        <c:lblOffset val="100"/>
        <c:noMultiLvlLbl val="0"/>
      </c:catAx>
      <c:valAx>
        <c:axId val="-367737856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367737312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8920472292103556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'C:\Users\dziokt\Desktop\KONTRAST\Do konwersji\[konwersja.xlsx]18'!$B$3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'C:\Users\dziokt\Desktop\KONTRAST\Do konwersji\[konwersja.xlsx]18'!$A$4:$A$24</c:f>
              <c:strCache>
                <c:ptCount val="21"/>
                <c:pt idx="0">
                  <c:v>VII 2020</c:v>
                </c:pt>
                <c:pt idx="1">
                  <c:v>VI 2021</c:v>
                </c:pt>
                <c:pt idx="2">
                  <c:v>Informacja i komunikacja VII 2021</c:v>
                </c:pt>
                <c:pt idx="3">
                  <c:v>VII 2020</c:v>
                </c:pt>
                <c:pt idx="4">
                  <c:v>VI 2021</c:v>
                </c:pt>
                <c:pt idx="5">
                  <c:v>Zakwaterowanie i gastronomia VII 2021</c:v>
                </c:pt>
                <c:pt idx="6">
                  <c:v>VII 2020</c:v>
                </c:pt>
                <c:pt idx="7">
                  <c:v>magazynowa  VI 2021</c:v>
                </c:pt>
                <c:pt idx="8">
                  <c:v>Transport i gospodarka VII 2021</c:v>
                </c:pt>
                <c:pt idx="9">
                  <c:v>VII 2020</c:v>
                </c:pt>
                <c:pt idx="10">
                  <c:v>VI 2021</c:v>
                </c:pt>
                <c:pt idx="11">
                  <c:v>Handel detaliczny VII 2021</c:v>
                </c:pt>
                <c:pt idx="12">
                  <c:v>VII 2020</c:v>
                </c:pt>
                <c:pt idx="13">
                  <c:v>VI 2021</c:v>
                </c:pt>
                <c:pt idx="14">
                  <c:v>Handel hurtowy VII 2021</c:v>
                </c:pt>
                <c:pt idx="15">
                  <c:v>VII 2020</c:v>
                </c:pt>
                <c:pt idx="16">
                  <c:v>VI 2021</c:v>
                </c:pt>
                <c:pt idx="17">
                  <c:v>Budownictwo VII 2021</c:v>
                </c:pt>
                <c:pt idx="18">
                  <c:v>VII 2020</c:v>
                </c:pt>
                <c:pt idx="19">
                  <c:v>VI 2021</c:v>
                </c:pt>
                <c:pt idx="20">
                  <c:v>Przetwórstwo przemysłowe VII 2021</c:v>
                </c:pt>
              </c:strCache>
            </c:strRef>
          </c:cat>
          <c:val>
            <c:numRef>
              <c:f>'C:\Users\dziokt\Desktop\KONTRAST\Do konwersji\[konwersja.xlsx]18'!$B$4:$B$24</c:f>
              <c:numCache>
                <c:formatCode>0.0</c:formatCode>
                <c:ptCount val="21"/>
                <c:pt idx="0">
                  <c:v>-1</c:v>
                </c:pt>
                <c:pt idx="1">
                  <c:v>-4.9000000000000004</c:v>
                </c:pt>
                <c:pt idx="2">
                  <c:v>-4.9000000000000004</c:v>
                </c:pt>
                <c:pt idx="3">
                  <c:v>-24.7</c:v>
                </c:pt>
                <c:pt idx="4">
                  <c:v>-19.899999999999999</c:v>
                </c:pt>
                <c:pt idx="5">
                  <c:v>-18.100000000000001</c:v>
                </c:pt>
                <c:pt idx="6">
                  <c:v>-37.9</c:v>
                </c:pt>
                <c:pt idx="7">
                  <c:v>-9.8000000000000007</c:v>
                </c:pt>
                <c:pt idx="8">
                  <c:v>-12.9</c:v>
                </c:pt>
                <c:pt idx="9">
                  <c:v>-26.2</c:v>
                </c:pt>
                <c:pt idx="10">
                  <c:v>-15.3</c:v>
                </c:pt>
                <c:pt idx="11">
                  <c:v>-14</c:v>
                </c:pt>
                <c:pt idx="12">
                  <c:v>-13.9</c:v>
                </c:pt>
                <c:pt idx="13">
                  <c:v>-4.4000000000000004</c:v>
                </c:pt>
                <c:pt idx="14">
                  <c:v>-3.9</c:v>
                </c:pt>
                <c:pt idx="15">
                  <c:v>-18.399999999999999</c:v>
                </c:pt>
                <c:pt idx="16">
                  <c:v>-19.100000000000001</c:v>
                </c:pt>
                <c:pt idx="17">
                  <c:v>-18.899999999999999</c:v>
                </c:pt>
                <c:pt idx="18">
                  <c:v>-24.8</c:v>
                </c:pt>
                <c:pt idx="19">
                  <c:v>-9.4</c:v>
                </c:pt>
                <c:pt idx="20">
                  <c:v>-9</c:v>
                </c:pt>
              </c:numCache>
            </c:numRef>
          </c:val>
        </c:ser>
        <c:ser>
          <c:idx val="2"/>
          <c:order val="1"/>
          <c:tx>
            <c:strRef>
              <c:f>'C:\Users\dziokt\Desktop\KONTRAST\Do konwersji\[konwersja.xlsx]18'!$C$3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'C:\Users\dziokt\Desktop\KONTRAST\Do konwersji\[konwersja.xlsx]18'!$A$4:$A$24</c:f>
              <c:strCache>
                <c:ptCount val="21"/>
                <c:pt idx="0">
                  <c:v>VII 2020</c:v>
                </c:pt>
                <c:pt idx="1">
                  <c:v>VI 2021</c:v>
                </c:pt>
                <c:pt idx="2">
                  <c:v>Informacja i komunikacja VII 2021</c:v>
                </c:pt>
                <c:pt idx="3">
                  <c:v>VII 2020</c:v>
                </c:pt>
                <c:pt idx="4">
                  <c:v>VI 2021</c:v>
                </c:pt>
                <c:pt idx="5">
                  <c:v>Zakwaterowanie i gastronomia VII 2021</c:v>
                </c:pt>
                <c:pt idx="6">
                  <c:v>VII 2020</c:v>
                </c:pt>
                <c:pt idx="7">
                  <c:v>magazynowa  VI 2021</c:v>
                </c:pt>
                <c:pt idx="8">
                  <c:v>Transport i gospodarka VII 2021</c:v>
                </c:pt>
                <c:pt idx="9">
                  <c:v>VII 2020</c:v>
                </c:pt>
                <c:pt idx="10">
                  <c:v>VI 2021</c:v>
                </c:pt>
                <c:pt idx="11">
                  <c:v>Handel detaliczny VII 2021</c:v>
                </c:pt>
                <c:pt idx="12">
                  <c:v>VII 2020</c:v>
                </c:pt>
                <c:pt idx="13">
                  <c:v>VI 2021</c:v>
                </c:pt>
                <c:pt idx="14">
                  <c:v>Handel hurtowy VII 2021</c:v>
                </c:pt>
                <c:pt idx="15">
                  <c:v>VII 2020</c:v>
                </c:pt>
                <c:pt idx="16">
                  <c:v>VI 2021</c:v>
                </c:pt>
                <c:pt idx="17">
                  <c:v>Budownictwo VII 2021</c:v>
                </c:pt>
                <c:pt idx="18">
                  <c:v>VII 2020</c:v>
                </c:pt>
                <c:pt idx="19">
                  <c:v>VI 2021</c:v>
                </c:pt>
                <c:pt idx="20">
                  <c:v>Przetwórstwo przemysłowe VII 2021</c:v>
                </c:pt>
              </c:strCache>
            </c:strRef>
          </c:cat>
          <c:val>
            <c:numRef>
              <c:f>'C:\Users\dziokt\Desktop\KONTRAST\Do konwersji\[konwersja.xlsx]18'!$C$4:$C$24</c:f>
              <c:numCache>
                <c:formatCode>0.0</c:formatCode>
                <c:ptCount val="21"/>
                <c:pt idx="0">
                  <c:v>26.7</c:v>
                </c:pt>
                <c:pt idx="1">
                  <c:v>32.1</c:v>
                </c:pt>
                <c:pt idx="2">
                  <c:v>34.9</c:v>
                </c:pt>
                <c:pt idx="3">
                  <c:v>30.9</c:v>
                </c:pt>
                <c:pt idx="4">
                  <c:v>33.6</c:v>
                </c:pt>
                <c:pt idx="5">
                  <c:v>20.6</c:v>
                </c:pt>
                <c:pt idx="6">
                  <c:v>19.399999999999999</c:v>
                </c:pt>
                <c:pt idx="7">
                  <c:v>17.2</c:v>
                </c:pt>
                <c:pt idx="8">
                  <c:v>18</c:v>
                </c:pt>
                <c:pt idx="9">
                  <c:v>10.9</c:v>
                </c:pt>
                <c:pt idx="10">
                  <c:v>16.600000000000001</c:v>
                </c:pt>
                <c:pt idx="11">
                  <c:v>17.399999999999999</c:v>
                </c:pt>
                <c:pt idx="12">
                  <c:v>18.399999999999999</c:v>
                </c:pt>
                <c:pt idx="13">
                  <c:v>24.9</c:v>
                </c:pt>
                <c:pt idx="14">
                  <c:v>24.9</c:v>
                </c:pt>
                <c:pt idx="15">
                  <c:v>14.4</c:v>
                </c:pt>
                <c:pt idx="16">
                  <c:v>17.399999999999999</c:v>
                </c:pt>
                <c:pt idx="17">
                  <c:v>14.9</c:v>
                </c:pt>
                <c:pt idx="18">
                  <c:v>17.5</c:v>
                </c:pt>
                <c:pt idx="19">
                  <c:v>16.399999999999999</c:v>
                </c:pt>
                <c:pt idx="20">
                  <c:v>13.6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010917456"/>
        <c:axId val="-2010924528"/>
      </c:barChart>
      <c:catAx>
        <c:axId val="-201091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09245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2010924528"/>
        <c:scaling>
          <c:orientation val="minMax"/>
          <c:max val="5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091745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104835482845358"/>
          <c:y val="0.96432106424304254"/>
          <c:w val="0.28247996448515156"/>
          <c:h val="3.3297938067164738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26934937305"/>
          <c:y val="1.993403226118546E-2"/>
          <c:w val="0.7595889976462602"/>
          <c:h val="0.8973869510981864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'C:\Users\dziokt\Desktop\KONTRAST\Do konwersji\[konwersja.xlsx]18'!$D$3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734040558126847"/>
                  <c:y val="-1.1689954898371261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178077276229274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248886352325894"/>
                  <c:y val="-1.1689954898371261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30103355921553"/>
                  <c:y val="-1.1689954898371261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17077270546363221"/>
                  <c:y val="-1.467076999702132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6.9414362886434169E-2"/>
                  <c:y val="1.179689655510034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51915977727816"/>
                      <c:h val="2.9352405861443328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20889448700764676"/>
                  <c:y val="4.0718666897958069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8.7812080011366103E-2"/>
                  <c:y val="5.756447886111886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96124741535162"/>
                      <c:h val="2.8739589847589314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7.8452510827386662E-2"/>
                  <c:y val="1.594891313790982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34178343443386"/>
                      <c:h val="3.0184891687719401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9624432622184626"/>
                  <c:y val="-4.0442523041061017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7.119315615695615E-2"/>
                  <c:y val="1.5943892340511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500499788897829"/>
                      <c:h val="3.0184891687719401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7.374430294785235E-2"/>
                  <c:y val="1.594551786969931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750758704806998"/>
                      <c:h val="3.0184891687719401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1168585190495241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9226222901645842"/>
                  <c:y val="2.510398699010978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869681911211816"/>
                  <c:y val="-5.844977449185630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29320737836743"/>
                  <c:y val="1.0041594796043914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272420100295268"/>
                  <c:y val="1.0041594796336161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2297942055411634"/>
                  <c:y val="-4.04174190540767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2575836423078146"/>
                  <c:y val="7.531196097032934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0.12397433597209853"/>
                  <c:y val="5.02079739794889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9.5571956618277928E-2"/>
                  <c:y val="5.020797398021956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'C:\Users\dziokt\Desktop\KONTRAST\Do konwersji\[konwersja.xlsx]18'!$A$4:$A$24</c:f>
              <c:strCache>
                <c:ptCount val="21"/>
                <c:pt idx="0">
                  <c:v>VII 2020</c:v>
                </c:pt>
                <c:pt idx="1">
                  <c:v>VI 2021</c:v>
                </c:pt>
                <c:pt idx="2">
                  <c:v>Informacja i komunikacja VII 2021</c:v>
                </c:pt>
                <c:pt idx="3">
                  <c:v>VII 2020</c:v>
                </c:pt>
                <c:pt idx="4">
                  <c:v>VI 2021</c:v>
                </c:pt>
                <c:pt idx="5">
                  <c:v>Zakwaterowanie i gastronomia VII 2021</c:v>
                </c:pt>
                <c:pt idx="6">
                  <c:v>VII 2020</c:v>
                </c:pt>
                <c:pt idx="7">
                  <c:v>magazynowa  VI 2021</c:v>
                </c:pt>
                <c:pt idx="8">
                  <c:v>Transport i gospodarka VII 2021</c:v>
                </c:pt>
                <c:pt idx="9">
                  <c:v>VII 2020</c:v>
                </c:pt>
                <c:pt idx="10">
                  <c:v>VI 2021</c:v>
                </c:pt>
                <c:pt idx="11">
                  <c:v>Handel detaliczny VII 2021</c:v>
                </c:pt>
                <c:pt idx="12">
                  <c:v>VII 2020</c:v>
                </c:pt>
                <c:pt idx="13">
                  <c:v>VI 2021</c:v>
                </c:pt>
                <c:pt idx="14">
                  <c:v>Handel hurtowy VII 2021</c:v>
                </c:pt>
                <c:pt idx="15">
                  <c:v>VII 2020</c:v>
                </c:pt>
                <c:pt idx="16">
                  <c:v>VI 2021</c:v>
                </c:pt>
                <c:pt idx="17">
                  <c:v>Budownictwo VII 2021</c:v>
                </c:pt>
                <c:pt idx="18">
                  <c:v>VII 2020</c:v>
                </c:pt>
                <c:pt idx="19">
                  <c:v>VI 2021</c:v>
                </c:pt>
                <c:pt idx="20">
                  <c:v>Przetwórstwo przemysłowe VII 2021</c:v>
                </c:pt>
              </c:strCache>
            </c:strRef>
          </c:cat>
          <c:val>
            <c:numRef>
              <c:f>'C:\Users\dziokt\Desktop\KONTRAST\Do konwersji\[konwersja.xlsx]18'!$D$4:$D$24</c:f>
              <c:numCache>
                <c:formatCode>0.0</c:formatCode>
                <c:ptCount val="21"/>
                <c:pt idx="0">
                  <c:v>25.7</c:v>
                </c:pt>
                <c:pt idx="1">
                  <c:v>27.2</c:v>
                </c:pt>
                <c:pt idx="2">
                  <c:v>30.1</c:v>
                </c:pt>
                <c:pt idx="3">
                  <c:v>6.2</c:v>
                </c:pt>
                <c:pt idx="4">
                  <c:v>13.7</c:v>
                </c:pt>
                <c:pt idx="5">
                  <c:v>2.5</c:v>
                </c:pt>
                <c:pt idx="6">
                  <c:v>-18.5</c:v>
                </c:pt>
                <c:pt idx="7">
                  <c:v>7.5</c:v>
                </c:pt>
                <c:pt idx="8">
                  <c:v>5.2</c:v>
                </c:pt>
                <c:pt idx="9">
                  <c:v>-15.3</c:v>
                </c:pt>
                <c:pt idx="10">
                  <c:v>1.5</c:v>
                </c:pt>
                <c:pt idx="11">
                  <c:v>3.4</c:v>
                </c:pt>
                <c:pt idx="12">
                  <c:v>4.5999999999999996</c:v>
                </c:pt>
                <c:pt idx="13">
                  <c:v>20.399999999999999</c:v>
                </c:pt>
                <c:pt idx="14">
                  <c:v>21.1</c:v>
                </c:pt>
                <c:pt idx="15">
                  <c:v>-4</c:v>
                </c:pt>
                <c:pt idx="16">
                  <c:v>-1.7</c:v>
                </c:pt>
                <c:pt idx="17">
                  <c:v>-4</c:v>
                </c:pt>
                <c:pt idx="18">
                  <c:v>-7.3</c:v>
                </c:pt>
                <c:pt idx="19">
                  <c:v>7</c:v>
                </c:pt>
                <c:pt idx="20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010921264"/>
        <c:axId val="-481126992"/>
      </c:barChart>
      <c:catAx>
        <c:axId val="-201092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48112699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481126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pl-PL"/>
          </a:p>
        </c:txPr>
        <c:crossAx val="-201092126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918167790260938"/>
          <c:y val="0.96410794632813757"/>
          <c:w val="0.39947325000703726"/>
          <c:h val="3.333400289249557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57.6</c:v>
                </c:pt>
                <c:pt idx="1">
                  <c:v>78.8</c:v>
                </c:pt>
                <c:pt idx="2">
                  <c:v>92.4</c:v>
                </c:pt>
                <c:pt idx="3">
                  <c:v>70.5</c:v>
                </c:pt>
                <c:pt idx="4">
                  <c:v>42.9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19.399999999999999</c:v>
                </c:pt>
                <c:pt idx="1">
                  <c:v>12</c:v>
                </c:pt>
                <c:pt idx="2">
                  <c:v>1.1000000000000001</c:v>
                </c:pt>
                <c:pt idx="3">
                  <c:v>15</c:v>
                </c:pt>
                <c:pt idx="4">
                  <c:v>32.299999999999997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10.8</c:v>
                </c:pt>
                <c:pt idx="1">
                  <c:v>2.8</c:v>
                </c:pt>
                <c:pt idx="2">
                  <c:v>2.5</c:v>
                </c:pt>
                <c:pt idx="3">
                  <c:v>10.7</c:v>
                </c:pt>
                <c:pt idx="4">
                  <c:v>7.5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12.2</c:v>
                </c:pt>
                <c:pt idx="1">
                  <c:v>6.4</c:v>
                </c:pt>
                <c:pt idx="2">
                  <c:v>4</c:v>
                </c:pt>
                <c:pt idx="3">
                  <c:v>3.8</c:v>
                </c:pt>
                <c:pt idx="4">
                  <c:v>17.3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81129712"/>
        <c:axId val="-481131888"/>
      </c:barChart>
      <c:catAx>
        <c:axId val="-48112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31888"/>
        <c:crosses val="autoZero"/>
        <c:auto val="1"/>
        <c:lblAlgn val="ctr"/>
        <c:lblOffset val="100"/>
        <c:noMultiLvlLbl val="0"/>
      </c:catAx>
      <c:valAx>
        <c:axId val="-481131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29712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4</c:v>
                </c:pt>
                <c:pt idx="1">
                  <c:v>0.2</c:v>
                </c:pt>
                <c:pt idx="2">
                  <c:v>0.7</c:v>
                </c:pt>
                <c:pt idx="3">
                  <c:v>0.7</c:v>
                </c:pt>
                <c:pt idx="4">
                  <c:v>4.5999999999999996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3.6</c:v>
                </c:pt>
                <c:pt idx="1">
                  <c:v>5.6</c:v>
                </c:pt>
                <c:pt idx="2">
                  <c:v>0.9</c:v>
                </c:pt>
                <c:pt idx="3">
                  <c:v>3.5</c:v>
                </c:pt>
                <c:pt idx="4">
                  <c:v>5.3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1</c:v>
                </c:pt>
                <c:pt idx="1">
                  <c:v>9.4</c:v>
                </c:pt>
                <c:pt idx="2">
                  <c:v>0</c:v>
                </c:pt>
                <c:pt idx="3">
                  <c:v>1.7</c:v>
                </c:pt>
                <c:pt idx="4">
                  <c:v>6.2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81127536"/>
        <c:axId val="-481132976"/>
      </c:barChart>
      <c:catAx>
        <c:axId val="-48112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32976"/>
        <c:crosses val="autoZero"/>
        <c:auto val="1"/>
        <c:lblAlgn val="ctr"/>
        <c:lblOffset val="100"/>
        <c:noMultiLvlLbl val="0"/>
      </c:catAx>
      <c:valAx>
        <c:axId val="-48113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27536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335957002126124E-2"/>
          <c:y val="0.86109037497395491"/>
          <c:w val="0.88406211723534567"/>
          <c:h val="9.3172936716243798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'01.2021'!$K$42:$O$42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-5.0999999999999996</c:v>
                </c:pt>
                <c:pt idx="1">
                  <c:v>-11.3</c:v>
                </c:pt>
                <c:pt idx="2">
                  <c:v>0.8</c:v>
                </c:pt>
                <c:pt idx="3">
                  <c:v>-2.2000000000000002</c:v>
                </c:pt>
                <c:pt idx="4">
                  <c:v>-15.5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81128624"/>
        <c:axId val="-481131344"/>
      </c:barChart>
      <c:catAx>
        <c:axId val="-4811286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31344"/>
        <c:crosses val="autoZero"/>
        <c:auto val="1"/>
        <c:lblAlgn val="ctr"/>
        <c:lblOffset val="100"/>
        <c:noMultiLvlLbl val="0"/>
      </c:catAx>
      <c:valAx>
        <c:axId val="-481131344"/>
        <c:scaling>
          <c:orientation val="minMax"/>
          <c:min val="-16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2862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1.5</c:v>
                </c:pt>
                <c:pt idx="1">
                  <c:v>6.4</c:v>
                </c:pt>
                <c:pt idx="2">
                  <c:v>0</c:v>
                </c:pt>
                <c:pt idx="3">
                  <c:v>5.9</c:v>
                </c:pt>
                <c:pt idx="4">
                  <c:v>3.8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13.4</c:v>
                </c:pt>
                <c:pt idx="1">
                  <c:v>21.2</c:v>
                </c:pt>
                <c:pt idx="2">
                  <c:v>2.5</c:v>
                </c:pt>
                <c:pt idx="3">
                  <c:v>9.1999999999999993</c:v>
                </c:pt>
                <c:pt idx="4">
                  <c:v>3.8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21.2</c:v>
                </c:pt>
                <c:pt idx="1">
                  <c:v>12</c:v>
                </c:pt>
                <c:pt idx="2">
                  <c:v>3.8</c:v>
                </c:pt>
                <c:pt idx="3">
                  <c:v>17.8</c:v>
                </c:pt>
                <c:pt idx="4">
                  <c:v>10.5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21.7</c:v>
                </c:pt>
                <c:pt idx="1">
                  <c:v>18.399999999999999</c:v>
                </c:pt>
                <c:pt idx="2">
                  <c:v>48.3</c:v>
                </c:pt>
                <c:pt idx="3">
                  <c:v>24</c:v>
                </c:pt>
                <c:pt idx="4">
                  <c:v>60.1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42.2</c:v>
                </c:pt>
                <c:pt idx="1">
                  <c:v>42</c:v>
                </c:pt>
                <c:pt idx="2">
                  <c:v>45.4</c:v>
                </c:pt>
                <c:pt idx="3">
                  <c:v>43.1</c:v>
                </c:pt>
                <c:pt idx="4">
                  <c:v>21.8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81128080"/>
        <c:axId val="-481130800"/>
      </c:barChart>
      <c:catAx>
        <c:axId val="-4811280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30800"/>
        <c:crosses val="autoZero"/>
        <c:auto val="1"/>
        <c:lblAlgn val="ctr"/>
        <c:lblOffset val="100"/>
        <c:noMultiLvlLbl val="0"/>
      </c:catAx>
      <c:valAx>
        <c:axId val="-4811308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2808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stopa!$B$99:$C$140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stopa!$D$99:$D$140</c:f>
              <c:numCache>
                <c:formatCode>0.0</c:formatCode>
                <c:ptCount val="42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5.9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stopa!$B$99:$C$140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stopa!$E$99:$E$140</c:f>
              <c:numCache>
                <c:formatCode>0.0</c:formatCode>
                <c:ptCount val="42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  <c:pt idx="39">
                  <c:v>9</c:v>
                </c:pt>
                <c:pt idx="40">
                  <c:v>8.6999999999999993</c:v>
                </c:pt>
                <c:pt idx="41">
                  <c:v>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61249920"/>
        <c:axId val="-261251552"/>
      </c:lineChart>
      <c:catAx>
        <c:axId val="-261249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1552"/>
        <c:crosses val="autoZero"/>
        <c:auto val="1"/>
        <c:lblAlgn val="ctr"/>
        <c:lblOffset val="10"/>
        <c:noMultiLvlLbl val="0"/>
      </c:catAx>
      <c:valAx>
        <c:axId val="-261251552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4992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10.199999999999999</c:v>
                </c:pt>
                <c:pt idx="1">
                  <c:v>12</c:v>
                </c:pt>
                <c:pt idx="2">
                  <c:v>3.7</c:v>
                </c:pt>
                <c:pt idx="3">
                  <c:v>14</c:v>
                </c:pt>
                <c:pt idx="4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73.8</c:v>
                </c:pt>
                <c:pt idx="1">
                  <c:v>59.1</c:v>
                </c:pt>
                <c:pt idx="2">
                  <c:v>59.5</c:v>
                </c:pt>
                <c:pt idx="3">
                  <c:v>79</c:v>
                </c:pt>
                <c:pt idx="4">
                  <c:v>89.5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16</c:v>
                </c:pt>
                <c:pt idx="1">
                  <c:v>28.9</c:v>
                </c:pt>
                <c:pt idx="2">
                  <c:v>36.799999999999997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81126448"/>
        <c:axId val="-481130256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-481126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30256"/>
        <c:crossesAt val="0"/>
        <c:auto val="1"/>
        <c:lblAlgn val="ctr"/>
        <c:lblOffset val="100"/>
        <c:noMultiLvlLbl val="0"/>
      </c:catAx>
      <c:valAx>
        <c:axId val="-48113025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2644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3559091230546305"/>
          <c:y val="0.90574834570259721"/>
          <c:w val="0.8304391598002131"/>
          <c:h val="9.425165429740277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'01.2021'!$J$91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dPt>
            <c:idx val="2"/>
            <c:invertIfNegative val="0"/>
            <c:bubble3D val="0"/>
            <c:spPr>
              <a:solidFill>
                <a:srgbClr val="DD137B"/>
              </a:solidFill>
              <a:ln>
                <a:noFill/>
              </a:ln>
              <a:effectLst/>
            </c:spPr>
          </c:dPt>
          <c:cat>
            <c:strRef>
              <c:f>'01.2021'!$K$89:$O$89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0.9</c:v>
                </c:pt>
                <c:pt idx="1">
                  <c:v>-0.6</c:v>
                </c:pt>
                <c:pt idx="2">
                  <c:v>2.7</c:v>
                </c:pt>
                <c:pt idx="3">
                  <c:v>-0.1</c:v>
                </c:pt>
                <c:pt idx="4">
                  <c:v>-1.1000000000000001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81132432"/>
        <c:axId val="-481125904"/>
      </c:barChart>
      <c:catAx>
        <c:axId val="-48113243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25904"/>
        <c:crosses val="autoZero"/>
        <c:auto val="1"/>
        <c:lblAlgn val="ctr"/>
        <c:lblOffset val="100"/>
        <c:noMultiLvlLbl val="0"/>
      </c:catAx>
      <c:valAx>
        <c:axId val="-481125904"/>
        <c:scaling>
          <c:orientation val="minMax"/>
          <c:min val="-2"/>
        </c:scaling>
        <c:delete val="0"/>
        <c:axPos val="r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13243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ofertę'!$B$99:$C$140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ofertę'!$D$99:$D$140</c:f>
              <c:numCache>
                <c:formatCode>0</c:formatCode>
                <c:ptCount val="42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  <c:pt idx="39">
                  <c:v>30</c:v>
                </c:pt>
                <c:pt idx="40">
                  <c:v>29</c:v>
                </c:pt>
                <c:pt idx="41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261253728"/>
        <c:axId val="-261252640"/>
      </c:barChart>
      <c:catAx>
        <c:axId val="-261253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2640"/>
        <c:crosses val="autoZero"/>
        <c:auto val="1"/>
        <c:lblAlgn val="ctr"/>
        <c:lblOffset val="10"/>
        <c:noMultiLvlLbl val="0"/>
      </c:catAx>
      <c:valAx>
        <c:axId val="-26125264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372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-28.364251069419652</c:v>
                </c:pt>
                <c:pt idx="1">
                  <c:v>-17.269864259490049</c:v>
                </c:pt>
                <c:pt idx="2">
                  <c:v>-12.671780794233541</c:v>
                </c:pt>
                <c:pt idx="3">
                  <c:v>-7.0697480548351166</c:v>
                </c:pt>
                <c:pt idx="4">
                  <c:v>-4.9490131024958828</c:v>
                </c:pt>
                <c:pt idx="5">
                  <c:v>-3.0735289164340429E-2</c:v>
                </c:pt>
                <c:pt idx="6">
                  <c:v>2.5487133281687022</c:v>
                </c:pt>
                <c:pt idx="7">
                  <c:v>3.4869817103978136</c:v>
                </c:pt>
                <c:pt idx="8">
                  <c:v>4.2313651520765205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261250464"/>
        <c:axId val="-261252096"/>
      </c:barChart>
      <c:catAx>
        <c:axId val="-2612504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2096"/>
        <c:crosses val="autoZero"/>
        <c:auto val="1"/>
        <c:lblAlgn val="ctr"/>
        <c:lblOffset val="0"/>
        <c:noMultiLvlLbl val="0"/>
      </c:catAx>
      <c:valAx>
        <c:axId val="-261252096"/>
        <c:scaling>
          <c:orientation val="minMax"/>
          <c:max val="5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046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wynagrodzenia_dynamika!$A$5:$B$46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wynagrodzenia_dynamika!$C$5:$C$46</c:f>
              <c:numCache>
                <c:formatCode>0.0</c:formatCode>
                <c:ptCount val="42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  <c:pt idx="39" formatCode="General">
                  <c:v>141.30000000000001</c:v>
                </c:pt>
                <c:pt idx="40" formatCode="General">
                  <c:v>137.19999999999999</c:v>
                </c:pt>
                <c:pt idx="41" formatCode="General">
                  <c:v>141.19999999999999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wynagrodzenia_dynamika!$A$5:$B$46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wynagrodzenia_dynamika!$D$5:$D$46</c:f>
              <c:numCache>
                <c:formatCode>General</c:formatCode>
                <c:ptCount val="42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  <c:pt idx="39">
                  <c:v>141.80000000000001</c:v>
                </c:pt>
                <c:pt idx="40">
                  <c:v>138.80000000000001</c:v>
                </c:pt>
                <c:pt idx="41">
                  <c:v>139.4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61251008"/>
        <c:axId val="-2073812640"/>
      </c:lineChart>
      <c:catAx>
        <c:axId val="-2612510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2640"/>
        <c:crossesAt val="100"/>
        <c:auto val="1"/>
        <c:lblAlgn val="ctr"/>
        <c:lblOffset val="10"/>
        <c:noMultiLvlLbl val="0"/>
      </c:catAx>
      <c:valAx>
        <c:axId val="-2073812640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125100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ziemniaki'!$A$39:$B$80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ziemniaki'!$C$39:$C$80</c:f>
              <c:numCache>
                <c:formatCode>General</c:formatCode>
                <c:ptCount val="42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  <c:pt idx="39">
                  <c:v>89.28</c:v>
                </c:pt>
                <c:pt idx="40">
                  <c:v>91.71</c:v>
                </c:pt>
                <c:pt idx="41" formatCode="0.00">
                  <c:v>92.4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ziemniaki'!$A$39:$B$80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ziemniaki'!$D$39:$D$80</c:f>
              <c:numCache>
                <c:formatCode>General</c:formatCode>
                <c:ptCount val="42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  <c:pt idx="39">
                  <c:v>61.45</c:v>
                </c:pt>
                <c:pt idx="40">
                  <c:v>64.78</c:v>
                </c:pt>
                <c:pt idx="41" formatCode="0.00">
                  <c:v>61.5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3814272"/>
        <c:axId val="-2073810464"/>
      </c:lineChart>
      <c:catAx>
        <c:axId val="-207381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0464"/>
        <c:crosses val="autoZero"/>
        <c:auto val="1"/>
        <c:lblAlgn val="ctr"/>
        <c:lblOffset val="10"/>
        <c:tickLblSkip val="1"/>
        <c:noMultiLvlLbl val="0"/>
      </c:catAx>
      <c:valAx>
        <c:axId val="-207381046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427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mleko'!$F$4:$F$45</c:f>
              <c:numCache>
                <c:formatCode>General</c:formatCode>
                <c:ptCount val="42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  <c:pt idx="39">
                  <c:v>1.49</c:v>
                </c:pt>
                <c:pt idx="40">
                  <c:v>1.47</c:v>
                </c:pt>
                <c:pt idx="41">
                  <c:v>1.48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3813728"/>
        <c:axId val="-2073816992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mleko'!$C$4:$C$45</c:f>
              <c:numCache>
                <c:formatCode>General</c:formatCode>
                <c:ptCount val="42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  <c:pt idx="39">
                  <c:v>6.37</c:v>
                </c:pt>
                <c:pt idx="40">
                  <c:v>6.52</c:v>
                </c:pt>
                <c:pt idx="41">
                  <c:v>6.64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mleko'!$D$4:$D$45</c:f>
              <c:numCache>
                <c:formatCode>0.00</c:formatCode>
                <c:ptCount val="42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  <c:pt idx="39" formatCode="General">
                  <c:v>5.1100000000000003</c:v>
                </c:pt>
                <c:pt idx="40" formatCode="General">
                  <c:v>5.12</c:v>
                </c:pt>
                <c:pt idx="41" formatCode="General">
                  <c:v>5.21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mleko'!$E$4:$E$45</c:f>
              <c:numCache>
                <c:formatCode>General</c:formatCode>
                <c:ptCount val="42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  <c:pt idx="39">
                  <c:v>4.08</c:v>
                </c:pt>
                <c:pt idx="40">
                  <c:v>4.6100000000000003</c:v>
                </c:pt>
                <c:pt idx="41">
                  <c:v>4.9800000000000004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73812096"/>
        <c:axId val="-2073809920"/>
      </c:lineChart>
      <c:catAx>
        <c:axId val="-2073812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09920"/>
        <c:crosses val="autoZero"/>
        <c:auto val="1"/>
        <c:lblAlgn val="ctr"/>
        <c:lblOffset val="10"/>
        <c:noMultiLvlLbl val="0"/>
      </c:catAx>
      <c:valAx>
        <c:axId val="-207380992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2096"/>
        <c:crosses val="autoZero"/>
        <c:crossBetween val="between"/>
      </c:valAx>
      <c:valAx>
        <c:axId val="-2073816992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3728"/>
        <c:crosses val="max"/>
        <c:crossBetween val="between"/>
      </c:valAx>
      <c:catAx>
        <c:axId val="-20738137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073816992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przemysł_dynamika!$C$4:$C$45</c:f>
              <c:numCache>
                <c:formatCode>0.0</c:formatCode>
                <c:ptCount val="4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 formatCode="General">
                  <c:v>133.69999999999999</c:v>
                </c:pt>
                <c:pt idx="40" formatCode="General">
                  <c:v>132.5</c:v>
                </c:pt>
                <c:pt idx="41" formatCode="General">
                  <c:v>137.80000000000001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przemysł_dynamika!$D$4:$D$45</c:f>
              <c:numCache>
                <c:formatCode>0.0</c:formatCode>
                <c:ptCount val="42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166.6</c:v>
                </c:pt>
                <c:pt idx="39" formatCode="General">
                  <c:v>155.30000000000001</c:v>
                </c:pt>
                <c:pt idx="40">
                  <c:v>155</c:v>
                </c:pt>
                <c:pt idx="41">
                  <c:v>162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3815904"/>
        <c:axId val="-2073813184"/>
      </c:lineChart>
      <c:catAx>
        <c:axId val="-20738159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3184"/>
        <c:crossesAt val="100"/>
        <c:auto val="1"/>
        <c:lblAlgn val="ctr"/>
        <c:lblOffset val="10"/>
        <c:noMultiLvlLbl val="0"/>
      </c:catAx>
      <c:valAx>
        <c:axId val="-2073813184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590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2015=100'!$A$28:$B$69</c:f>
              <c:multiLvlStrCache>
                <c:ptCount val="42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2015=100'!$C$28:$C$69</c:f>
              <c:numCache>
                <c:formatCode>0.0</c:formatCode>
                <c:ptCount val="42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167.3374759486484</c:v>
                </c:pt>
                <c:pt idx="39">
                  <c:v>170.64644738715648</c:v>
                </c:pt>
                <c:pt idx="40">
                  <c:v>165.84456116312705</c:v>
                </c:pt>
                <c:pt idx="41" formatCode="General">
                  <c:v>164.8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2015=100'!$A$28:$B$69</c:f>
              <c:multiLvlStrCache>
                <c:ptCount val="42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2015=100'!$D$28:$D$69</c:f>
              <c:numCache>
                <c:formatCode>0.0</c:formatCode>
                <c:ptCount val="42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>
                  <c:v>204</c:v>
                </c:pt>
                <c:pt idx="37">
                  <c:v>161.16152450090743</c:v>
                </c:pt>
                <c:pt idx="38">
                  <c:v>111.77254553531763</c:v>
                </c:pt>
                <c:pt idx="39">
                  <c:v>111.12299465240642</c:v>
                </c:pt>
                <c:pt idx="40">
                  <c:v>116.18569636135508</c:v>
                </c:pt>
                <c:pt idx="41" formatCode="General">
                  <c:v>123.9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3811552"/>
        <c:axId val="-2073816448"/>
      </c:lineChart>
      <c:catAx>
        <c:axId val="-2073811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6448"/>
        <c:crossesAt val="100"/>
        <c:auto val="1"/>
        <c:lblAlgn val="ctr"/>
        <c:lblOffset val="10"/>
        <c:tickMarkSkip val="1"/>
        <c:noMultiLvlLbl val="0"/>
      </c:catAx>
      <c:valAx>
        <c:axId val="-2073816448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381155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0.95621</cdr:x>
      <cdr:y>0.9289</cdr:y>
    </cdr:from>
    <cdr:to>
      <cdr:x>0.99726</cdr:x>
      <cdr:y>0.98165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655125" y="3857625"/>
          <a:ext cx="2857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0.78088</cdr:x>
      <cdr:y>0.01448</cdr:y>
    </cdr:from>
    <cdr:to>
      <cdr:x>0.81949</cdr:x>
      <cdr:y>0.08397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00650" y="47626"/>
          <a:ext cx="257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FA3E3-FA60-45EB-B23D-54DF9E6C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29</Pages>
  <Words>7781</Words>
  <Characters>46686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9</cp:revision>
  <cp:lastPrinted>2021-06-25T10:43:00Z</cp:lastPrinted>
  <dcterms:created xsi:type="dcterms:W3CDTF">2021-07-28T10:08:00Z</dcterms:created>
  <dcterms:modified xsi:type="dcterms:W3CDTF">2021-07-28T11:54:00Z</dcterms:modified>
</cp:coreProperties>
</file>