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 xml:space="preserve">województwa świętokrzyskiego w </w:t>
      </w:r>
      <w:r w:rsidR="00DF1FA7">
        <w:rPr>
          <w:shd w:val="clear" w:color="auto" w:fill="FFFFFF"/>
        </w:rPr>
        <w:t>marcu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20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EA058A" w:rsidTr="006E4A35">
        <w:trPr>
          <w:trHeight w:val="1553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84A78" w:rsidRPr="006E4A35" w:rsidRDefault="00FF4A8F" w:rsidP="005B63CB">
            <w:pPr>
              <w:pStyle w:val="tekstnapierwszejstronie"/>
              <w:numPr>
                <w:ilvl w:val="0"/>
                <w:numId w:val="27"/>
              </w:numPr>
              <w:ind w:left="357" w:hanging="357"/>
              <w:jc w:val="both"/>
              <w:rPr>
                <w:color w:val="auto"/>
                <w:szCs w:val="19"/>
              </w:rPr>
            </w:pPr>
            <w:r w:rsidRPr="00E222CA">
              <w:rPr>
                <w:color w:val="auto"/>
                <w:szCs w:val="19"/>
              </w:rPr>
              <w:t xml:space="preserve">W </w:t>
            </w:r>
            <w:r>
              <w:rPr>
                <w:color w:val="auto"/>
                <w:szCs w:val="19"/>
              </w:rPr>
              <w:t>marcu</w:t>
            </w:r>
            <w:r w:rsidRPr="00E222CA">
              <w:rPr>
                <w:color w:val="auto"/>
                <w:szCs w:val="19"/>
              </w:rPr>
              <w:t xml:space="preserve"> 2020 r. nastąpił spadek przeciętnego zatrudnienia w skali roku (o </w:t>
            </w:r>
            <w:r>
              <w:rPr>
                <w:color w:val="auto"/>
                <w:szCs w:val="19"/>
              </w:rPr>
              <w:t>1,0</w:t>
            </w:r>
            <w:r w:rsidRPr="00E222CA">
              <w:rPr>
                <w:color w:val="auto"/>
                <w:szCs w:val="19"/>
              </w:rPr>
              <w:t>%), podczas gdy rok wcześniej notowano wzrost (o 3,</w:t>
            </w:r>
            <w:r>
              <w:rPr>
                <w:color w:val="auto"/>
                <w:szCs w:val="19"/>
              </w:rPr>
              <w:t>7</w:t>
            </w:r>
            <w:r w:rsidRPr="00E222CA">
              <w:rPr>
                <w:color w:val="auto"/>
                <w:szCs w:val="19"/>
              </w:rPr>
              <w:t>%)</w:t>
            </w:r>
            <w:r>
              <w:rPr>
                <w:color w:val="auto"/>
                <w:szCs w:val="19"/>
              </w:rPr>
              <w:t>.</w:t>
            </w:r>
            <w:r w:rsidR="00E222CA">
              <w:rPr>
                <w:color w:val="auto"/>
                <w:szCs w:val="19"/>
              </w:rPr>
              <w:t xml:space="preserve"> </w:t>
            </w:r>
            <w:r w:rsidR="00F236F8" w:rsidRPr="006E4A35">
              <w:rPr>
                <w:color w:val="auto"/>
                <w:szCs w:val="19"/>
              </w:rPr>
              <w:t>S</w:t>
            </w:r>
            <w:r w:rsidR="00284A78" w:rsidRPr="006E4A35">
              <w:rPr>
                <w:color w:val="auto"/>
                <w:szCs w:val="19"/>
              </w:rPr>
              <w:t>topa bezrobocia</w:t>
            </w:r>
            <w:r w:rsidR="00815CEC" w:rsidRPr="006E4A35">
              <w:rPr>
                <w:color w:val="auto"/>
                <w:szCs w:val="19"/>
              </w:rPr>
              <w:t xml:space="preserve"> </w:t>
            </w:r>
            <w:r w:rsidR="00DB60FF" w:rsidRPr="006E4A35">
              <w:rPr>
                <w:color w:val="auto"/>
                <w:szCs w:val="19"/>
              </w:rPr>
              <w:t xml:space="preserve">ukształtowała się </w:t>
            </w:r>
            <w:r w:rsidR="00F37820" w:rsidRPr="006E4A35">
              <w:rPr>
                <w:color w:val="auto"/>
                <w:szCs w:val="19"/>
              </w:rPr>
              <w:t xml:space="preserve">na poziomie </w:t>
            </w:r>
            <w:r w:rsidR="00BE2915">
              <w:rPr>
                <w:color w:val="auto"/>
                <w:szCs w:val="19"/>
              </w:rPr>
              <w:t xml:space="preserve">8,0% wobec zarówno przed rokiem jak </w:t>
            </w:r>
            <w:r>
              <w:rPr>
                <w:color w:val="auto"/>
                <w:szCs w:val="19"/>
              </w:rPr>
              <w:br/>
            </w:r>
            <w:r w:rsidR="00BE2915">
              <w:rPr>
                <w:color w:val="auto"/>
                <w:szCs w:val="19"/>
              </w:rPr>
              <w:t xml:space="preserve">i przed miesiącem </w:t>
            </w:r>
            <w:r w:rsidR="00CA6FE7">
              <w:rPr>
                <w:color w:val="auto"/>
                <w:szCs w:val="19"/>
              </w:rPr>
              <w:t>8,3</w:t>
            </w:r>
            <w:r w:rsidR="00BE2915">
              <w:rPr>
                <w:color w:val="auto"/>
                <w:szCs w:val="19"/>
              </w:rPr>
              <w:t>%.</w:t>
            </w:r>
          </w:p>
          <w:p w:rsidR="00DD287E" w:rsidRPr="00DD287E" w:rsidRDefault="000C6A90" w:rsidP="00DD287E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>
              <w:rPr>
                <w:szCs w:val="19"/>
              </w:rPr>
              <w:t>Marzec</w:t>
            </w:r>
            <w:r w:rsidR="005344CA" w:rsidRPr="005344CA">
              <w:rPr>
                <w:szCs w:val="19"/>
              </w:rPr>
              <w:t xml:space="preserve"> b</w:t>
            </w:r>
            <w:r w:rsidR="00E809C1" w:rsidRPr="005344CA">
              <w:rPr>
                <w:szCs w:val="19"/>
              </w:rPr>
              <w:t xml:space="preserve">r. </w:t>
            </w:r>
            <w:r w:rsidR="009F67F8">
              <w:rPr>
                <w:szCs w:val="19"/>
              </w:rPr>
              <w:t xml:space="preserve">był </w:t>
            </w:r>
            <w:r w:rsidR="00E809C1" w:rsidRPr="005344CA">
              <w:rPr>
                <w:szCs w:val="19"/>
              </w:rPr>
              <w:t>kolejny</w:t>
            </w:r>
            <w:r w:rsidR="005344CA" w:rsidRPr="005344CA">
              <w:rPr>
                <w:szCs w:val="19"/>
              </w:rPr>
              <w:t>m miesiącem z rzędu, w którym od</w:t>
            </w:r>
            <w:r w:rsidR="00E809C1" w:rsidRPr="005344CA">
              <w:rPr>
                <w:szCs w:val="19"/>
              </w:rPr>
              <w:t xml:space="preserve">notowano poprawę warunków płacowych w sektorze przedsiębiorstw </w:t>
            </w:r>
            <w:r w:rsidR="005344CA" w:rsidRPr="005344CA">
              <w:rPr>
                <w:szCs w:val="19"/>
              </w:rPr>
              <w:t>w skali roku</w:t>
            </w:r>
            <w:r w:rsidR="00DD287E">
              <w:rPr>
                <w:szCs w:val="19"/>
              </w:rPr>
              <w:t>. P</w:t>
            </w:r>
            <w:r>
              <w:rPr>
                <w:szCs w:val="19"/>
              </w:rPr>
              <w:t>rz</w:t>
            </w:r>
            <w:r w:rsidR="00E809C1" w:rsidRPr="005344CA">
              <w:rPr>
                <w:szCs w:val="19"/>
              </w:rPr>
              <w:t>eciętn</w:t>
            </w:r>
            <w:r w:rsidR="005344CA" w:rsidRPr="005344CA">
              <w:rPr>
                <w:szCs w:val="19"/>
              </w:rPr>
              <w:t xml:space="preserve">e </w:t>
            </w:r>
            <w:r w:rsidR="00E809C1" w:rsidRPr="005344CA">
              <w:rPr>
                <w:szCs w:val="19"/>
              </w:rPr>
              <w:t>miesięczn</w:t>
            </w:r>
            <w:r w:rsidR="005344CA" w:rsidRPr="005344CA">
              <w:rPr>
                <w:szCs w:val="19"/>
              </w:rPr>
              <w:t>e</w:t>
            </w:r>
            <w:r w:rsidR="00E809C1" w:rsidRPr="005344CA">
              <w:rPr>
                <w:szCs w:val="19"/>
              </w:rPr>
              <w:t xml:space="preserve"> wynagrodze</w:t>
            </w:r>
            <w:r w:rsidR="005344CA" w:rsidRPr="005344CA">
              <w:rPr>
                <w:szCs w:val="19"/>
              </w:rPr>
              <w:t>ni</w:t>
            </w:r>
            <w:r w:rsidR="00E43CA1">
              <w:rPr>
                <w:szCs w:val="19"/>
              </w:rPr>
              <w:t>e</w:t>
            </w:r>
            <w:r w:rsidR="00E809C1" w:rsidRPr="005344CA">
              <w:rPr>
                <w:szCs w:val="19"/>
              </w:rPr>
              <w:t xml:space="preserve"> </w:t>
            </w:r>
            <w:r w:rsidR="00DD287E">
              <w:rPr>
                <w:szCs w:val="19"/>
              </w:rPr>
              <w:t xml:space="preserve">brutto </w:t>
            </w:r>
            <w:r w:rsidR="00DD287E" w:rsidRPr="00DD287E">
              <w:rPr>
                <w:szCs w:val="19"/>
              </w:rPr>
              <w:t xml:space="preserve">w sektorze przedsiębiorstw </w:t>
            </w:r>
            <w:r w:rsidR="00E43CA1">
              <w:rPr>
                <w:color w:val="auto"/>
                <w:szCs w:val="19"/>
              </w:rPr>
              <w:t>wzrosło</w:t>
            </w:r>
            <w:r w:rsidR="00DD287E">
              <w:rPr>
                <w:color w:val="auto"/>
                <w:szCs w:val="19"/>
              </w:rPr>
              <w:t xml:space="preserve"> </w:t>
            </w:r>
            <w:r w:rsidR="005344CA" w:rsidRPr="005344CA">
              <w:rPr>
                <w:szCs w:val="19"/>
              </w:rPr>
              <w:t>o</w:t>
            </w:r>
            <w:r w:rsidR="00DD287E">
              <w:rPr>
                <w:szCs w:val="19"/>
              </w:rPr>
              <w:t> </w:t>
            </w:r>
            <w:r>
              <w:rPr>
                <w:szCs w:val="19"/>
              </w:rPr>
              <w:t>4</w:t>
            </w:r>
            <w:r w:rsidR="005344CA" w:rsidRPr="005344CA">
              <w:rPr>
                <w:szCs w:val="19"/>
              </w:rPr>
              <w:t>,7</w:t>
            </w:r>
            <w:r w:rsidR="00E809C1" w:rsidRPr="005344CA">
              <w:rPr>
                <w:szCs w:val="19"/>
              </w:rPr>
              <w:t>%</w:t>
            </w:r>
            <w:r w:rsidR="00BB082B">
              <w:rPr>
                <w:szCs w:val="19"/>
              </w:rPr>
              <w:t>,</w:t>
            </w:r>
            <w:r w:rsidR="00A76FB2">
              <w:rPr>
                <w:szCs w:val="19"/>
              </w:rPr>
              <w:t xml:space="preserve"> a zanotowany wzrost był </w:t>
            </w:r>
            <w:r w:rsidR="00DD287E">
              <w:rPr>
                <w:szCs w:val="19"/>
              </w:rPr>
              <w:t>nieznacznie wyższy</w:t>
            </w:r>
            <w:r w:rsidR="00DD287E" w:rsidRPr="005344CA">
              <w:rPr>
                <w:szCs w:val="19"/>
              </w:rPr>
              <w:t xml:space="preserve"> </w:t>
            </w:r>
            <w:r w:rsidR="00DD287E">
              <w:rPr>
                <w:szCs w:val="19"/>
              </w:rPr>
              <w:t xml:space="preserve">niż w ub. roku. </w:t>
            </w:r>
            <w:r w:rsidR="00DD287E" w:rsidRPr="00DD287E">
              <w:rPr>
                <w:szCs w:val="19"/>
              </w:rPr>
              <w:t xml:space="preserve">Na przestrzeni trzech miesięcy br. przeciętne wynagrodzenie brutto wzrosło w </w:t>
            </w:r>
            <w:r w:rsidR="00EA4710">
              <w:rPr>
                <w:szCs w:val="19"/>
              </w:rPr>
              <w:t>większym</w:t>
            </w:r>
            <w:r w:rsidR="00DD287E" w:rsidRPr="00DD287E">
              <w:rPr>
                <w:szCs w:val="19"/>
              </w:rPr>
              <w:t xml:space="preserve"> stopniu niż przed rokiem (o </w:t>
            </w:r>
            <w:r w:rsidR="00EA4710">
              <w:rPr>
                <w:szCs w:val="19"/>
              </w:rPr>
              <w:t>7</w:t>
            </w:r>
            <w:r w:rsidR="00DD287E" w:rsidRPr="00DD287E">
              <w:rPr>
                <w:szCs w:val="19"/>
              </w:rPr>
              <w:t xml:space="preserve">,1% wobec </w:t>
            </w:r>
            <w:r w:rsidR="00EA4710">
              <w:rPr>
                <w:szCs w:val="19"/>
              </w:rPr>
              <w:t>6,1</w:t>
            </w:r>
            <w:r w:rsidR="00DD287E" w:rsidRPr="00DD287E">
              <w:rPr>
                <w:szCs w:val="19"/>
              </w:rPr>
              <w:t>%).</w:t>
            </w:r>
          </w:p>
          <w:p w:rsidR="00095C99" w:rsidRPr="006E4A35" w:rsidRDefault="00095C99" w:rsidP="00095C99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 w:rsidRPr="006E4A35">
              <w:rPr>
                <w:color w:val="auto"/>
                <w:szCs w:val="19"/>
              </w:rPr>
              <w:t xml:space="preserve">Na rynku rolnym w </w:t>
            </w:r>
            <w:r>
              <w:rPr>
                <w:color w:val="auto"/>
                <w:szCs w:val="19"/>
              </w:rPr>
              <w:t>marcu</w:t>
            </w:r>
            <w:r w:rsidRPr="006E4A35">
              <w:rPr>
                <w:color w:val="auto"/>
                <w:szCs w:val="19"/>
              </w:rPr>
              <w:t xml:space="preserve"> 20</w:t>
            </w:r>
            <w:r>
              <w:rPr>
                <w:color w:val="auto"/>
                <w:szCs w:val="19"/>
              </w:rPr>
              <w:t>20</w:t>
            </w:r>
            <w:r w:rsidRPr="006E4A35">
              <w:rPr>
                <w:color w:val="auto"/>
                <w:szCs w:val="19"/>
              </w:rPr>
              <w:t xml:space="preserve"> r.</w:t>
            </w:r>
            <w:r>
              <w:rPr>
                <w:color w:val="auto"/>
                <w:szCs w:val="19"/>
              </w:rPr>
              <w:t>,</w:t>
            </w:r>
            <w:r w:rsidRPr="006E4A35">
              <w:rPr>
                <w:color w:val="auto"/>
                <w:szCs w:val="19"/>
              </w:rPr>
              <w:t xml:space="preserve"> w porównaniu z analogicznym miesiącem poprzedniego roku</w:t>
            </w:r>
            <w:r>
              <w:rPr>
                <w:color w:val="auto"/>
                <w:szCs w:val="19"/>
              </w:rPr>
              <w:t>,</w:t>
            </w:r>
            <w:r w:rsidRPr="006E4A35">
              <w:rPr>
                <w:color w:val="auto"/>
                <w:szCs w:val="19"/>
              </w:rPr>
              <w:t xml:space="preserve"> wyższe były ceny skupu ziemniaków, żywca wieprzowego i </w:t>
            </w:r>
            <w:r>
              <w:rPr>
                <w:color w:val="auto"/>
                <w:szCs w:val="19"/>
              </w:rPr>
              <w:t>mleka</w:t>
            </w:r>
            <w:r w:rsidRPr="006E4A35">
              <w:rPr>
                <w:color w:val="auto"/>
                <w:szCs w:val="19"/>
              </w:rPr>
              <w:t>. W tym samym okresie na targowiskach wzrosły ceny ziemniaków</w:t>
            </w:r>
            <w:r>
              <w:rPr>
                <w:color w:val="auto"/>
                <w:szCs w:val="19"/>
              </w:rPr>
              <w:t>, a</w:t>
            </w:r>
            <w:r w:rsidR="00CA5477">
              <w:rPr>
                <w:color w:val="auto"/>
                <w:szCs w:val="19"/>
              </w:rPr>
              <w:t> </w:t>
            </w:r>
            <w:r>
              <w:rPr>
                <w:color w:val="auto"/>
                <w:szCs w:val="19"/>
              </w:rPr>
              <w:t>spadły pszenicy i żyta</w:t>
            </w:r>
            <w:r w:rsidRPr="006E4A35">
              <w:rPr>
                <w:color w:val="auto"/>
                <w:szCs w:val="19"/>
              </w:rPr>
              <w:t xml:space="preserve">. </w:t>
            </w:r>
            <w:r>
              <w:t>Poprawił się w</w:t>
            </w:r>
            <w:r w:rsidRPr="00E66EC8">
              <w:t>skaźnik opłacalności tuczu trzody chlewnej</w:t>
            </w:r>
            <w:r>
              <w:t xml:space="preserve">. </w:t>
            </w:r>
          </w:p>
          <w:p w:rsidR="00B12506" w:rsidRDefault="00CF0450" w:rsidP="00B12506">
            <w:pPr>
              <w:pStyle w:val="tekstnapierwszejstronie"/>
              <w:numPr>
                <w:ilvl w:val="0"/>
                <w:numId w:val="27"/>
              </w:numPr>
              <w:ind w:left="357" w:hanging="357"/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Marzec</w:t>
            </w:r>
            <w:r w:rsidR="00C066B1">
              <w:rPr>
                <w:color w:val="auto"/>
                <w:szCs w:val="19"/>
              </w:rPr>
              <w:t xml:space="preserve"> </w:t>
            </w:r>
            <w:r>
              <w:rPr>
                <w:color w:val="auto"/>
                <w:szCs w:val="19"/>
              </w:rPr>
              <w:t>2020 r.</w:t>
            </w:r>
            <w:r w:rsidR="00C066B1">
              <w:rPr>
                <w:color w:val="auto"/>
                <w:szCs w:val="19"/>
              </w:rPr>
              <w:t xml:space="preserve"> był </w:t>
            </w:r>
            <w:r w:rsidR="00B12506">
              <w:rPr>
                <w:color w:val="auto"/>
                <w:szCs w:val="19"/>
              </w:rPr>
              <w:t>kolejny</w:t>
            </w:r>
            <w:r w:rsidR="00C066B1">
              <w:rPr>
                <w:color w:val="auto"/>
                <w:szCs w:val="19"/>
              </w:rPr>
              <w:t>m</w:t>
            </w:r>
            <w:r w:rsidR="00B12506">
              <w:rPr>
                <w:color w:val="auto"/>
                <w:szCs w:val="19"/>
              </w:rPr>
              <w:t xml:space="preserve"> miesiąc</w:t>
            </w:r>
            <w:r w:rsidR="00C066B1">
              <w:rPr>
                <w:color w:val="auto"/>
                <w:szCs w:val="19"/>
              </w:rPr>
              <w:t>em</w:t>
            </w:r>
            <w:r w:rsidR="00B12506" w:rsidRPr="00D96D70">
              <w:rPr>
                <w:color w:val="auto"/>
                <w:szCs w:val="19"/>
              </w:rPr>
              <w:t xml:space="preserve"> z rzędu</w:t>
            </w:r>
            <w:r w:rsidR="00C066B1">
              <w:rPr>
                <w:color w:val="auto"/>
                <w:szCs w:val="19"/>
              </w:rPr>
              <w:t>, w którym</w:t>
            </w:r>
            <w:r w:rsidR="00B12506" w:rsidRPr="00D96D70">
              <w:rPr>
                <w:color w:val="auto"/>
                <w:szCs w:val="19"/>
              </w:rPr>
              <w:t xml:space="preserve"> notowano wzrost produkcji sprzedanej przemysłu w skali roku</w:t>
            </w:r>
            <w:r w:rsidR="00B12506">
              <w:rPr>
                <w:color w:val="auto"/>
                <w:szCs w:val="19"/>
              </w:rPr>
              <w:t xml:space="preserve">, </w:t>
            </w:r>
            <w:r w:rsidR="00C066B1">
              <w:rPr>
                <w:color w:val="auto"/>
                <w:szCs w:val="19"/>
              </w:rPr>
              <w:t>wzrost</w:t>
            </w:r>
            <w:r w:rsidR="00AD2A72">
              <w:rPr>
                <w:color w:val="auto"/>
                <w:szCs w:val="19"/>
              </w:rPr>
              <w:t xml:space="preserve"> w</w:t>
            </w:r>
            <w:r w:rsidR="00B12506">
              <w:rPr>
                <w:color w:val="auto"/>
                <w:szCs w:val="19"/>
              </w:rPr>
              <w:t xml:space="preserve">yniósł </w:t>
            </w:r>
            <w:r>
              <w:rPr>
                <w:color w:val="auto"/>
                <w:szCs w:val="19"/>
              </w:rPr>
              <w:t>4,</w:t>
            </w:r>
            <w:r w:rsidR="00AD2A72">
              <w:rPr>
                <w:color w:val="auto"/>
                <w:szCs w:val="19"/>
              </w:rPr>
              <w:t>5</w:t>
            </w:r>
            <w:r w:rsidR="00B12506">
              <w:rPr>
                <w:color w:val="auto"/>
                <w:szCs w:val="19"/>
              </w:rPr>
              <w:t>%.</w:t>
            </w:r>
            <w:r>
              <w:rPr>
                <w:color w:val="auto"/>
                <w:szCs w:val="19"/>
              </w:rPr>
              <w:t xml:space="preserve"> </w:t>
            </w:r>
            <w:r w:rsidR="009D297C">
              <w:rPr>
                <w:color w:val="auto"/>
                <w:szCs w:val="19"/>
              </w:rPr>
              <w:t>W efekcie</w:t>
            </w:r>
            <w:r>
              <w:rPr>
                <w:color w:val="auto"/>
                <w:szCs w:val="19"/>
              </w:rPr>
              <w:t xml:space="preserve"> systematycznie wyższej niż przed rokiem sprzedaży produkcja sprzedana przemysłu n</w:t>
            </w:r>
            <w:r w:rsidR="009D297C">
              <w:rPr>
                <w:color w:val="auto"/>
                <w:szCs w:val="19"/>
              </w:rPr>
              <w:t>a przestrzeni I kwartału przekro</w:t>
            </w:r>
            <w:r>
              <w:rPr>
                <w:color w:val="auto"/>
                <w:szCs w:val="19"/>
              </w:rPr>
              <w:t>cz</w:t>
            </w:r>
            <w:r w:rsidR="009D297C">
              <w:rPr>
                <w:color w:val="auto"/>
                <w:szCs w:val="19"/>
              </w:rPr>
              <w:t>y</w:t>
            </w:r>
            <w:r>
              <w:rPr>
                <w:color w:val="auto"/>
                <w:szCs w:val="19"/>
              </w:rPr>
              <w:t xml:space="preserve">ła poziom sprzed roku o 4,3%. </w:t>
            </w:r>
          </w:p>
          <w:p w:rsidR="000B500A" w:rsidRPr="000B500A" w:rsidRDefault="00CF0450" w:rsidP="000B500A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>
              <w:rPr>
                <w:szCs w:val="19"/>
              </w:rPr>
              <w:t>Po dwó</w:t>
            </w:r>
            <w:r w:rsidR="009D297C">
              <w:rPr>
                <w:szCs w:val="19"/>
              </w:rPr>
              <w:t>ch miesiącach spadku</w:t>
            </w:r>
            <w:r w:rsidR="00AD2A72">
              <w:rPr>
                <w:szCs w:val="19"/>
              </w:rPr>
              <w:t>,</w:t>
            </w:r>
            <w:r w:rsidR="009D297C">
              <w:rPr>
                <w:szCs w:val="19"/>
              </w:rPr>
              <w:t xml:space="preserve"> w marcu 202</w:t>
            </w:r>
            <w:r>
              <w:rPr>
                <w:szCs w:val="19"/>
              </w:rPr>
              <w:t>0 r.</w:t>
            </w:r>
            <w:r w:rsidR="00B12506">
              <w:rPr>
                <w:szCs w:val="19"/>
              </w:rPr>
              <w:t xml:space="preserve"> </w:t>
            </w:r>
            <w:r w:rsidR="00B12506" w:rsidRPr="00D96D70">
              <w:rPr>
                <w:szCs w:val="19"/>
              </w:rPr>
              <w:t>produkcj</w:t>
            </w:r>
            <w:r w:rsidR="007C2C2D">
              <w:rPr>
                <w:szCs w:val="19"/>
              </w:rPr>
              <w:t>a</w:t>
            </w:r>
            <w:r w:rsidR="00B12506" w:rsidRPr="00D96D70">
              <w:rPr>
                <w:szCs w:val="19"/>
              </w:rPr>
              <w:t xml:space="preserve"> budowlano-montażow</w:t>
            </w:r>
            <w:r w:rsidR="007C2C2D">
              <w:rPr>
                <w:szCs w:val="19"/>
              </w:rPr>
              <w:t>a zwiększyła się</w:t>
            </w:r>
            <w:r w:rsidR="00B12506">
              <w:rPr>
                <w:szCs w:val="19"/>
              </w:rPr>
              <w:t xml:space="preserve"> w ujęciu rocznym</w:t>
            </w:r>
            <w:r>
              <w:rPr>
                <w:szCs w:val="19"/>
              </w:rPr>
              <w:t xml:space="preserve"> </w:t>
            </w:r>
            <w:r w:rsidR="007C2C2D">
              <w:rPr>
                <w:szCs w:val="19"/>
              </w:rPr>
              <w:br/>
            </w:r>
            <w:r>
              <w:rPr>
                <w:szCs w:val="19"/>
              </w:rPr>
              <w:t>o 55,8%</w:t>
            </w:r>
            <w:r w:rsidR="00B12506">
              <w:rPr>
                <w:szCs w:val="19"/>
              </w:rPr>
              <w:t xml:space="preserve">. </w:t>
            </w:r>
            <w:r w:rsidR="007C2C2D">
              <w:rPr>
                <w:szCs w:val="19"/>
              </w:rPr>
              <w:t>W rezultacie tak dużego wzrostu</w:t>
            </w:r>
            <w:r w:rsidR="00AD2A72">
              <w:rPr>
                <w:szCs w:val="19"/>
              </w:rPr>
              <w:t>,</w:t>
            </w:r>
            <w:r w:rsidR="007C2C2D">
              <w:rPr>
                <w:szCs w:val="19"/>
              </w:rPr>
              <w:t xml:space="preserve"> wyższ</w:t>
            </w:r>
            <w:r w:rsidR="00AD2A72">
              <w:rPr>
                <w:szCs w:val="19"/>
              </w:rPr>
              <w:t>a</w:t>
            </w:r>
            <w:r w:rsidR="007C2C2D">
              <w:rPr>
                <w:szCs w:val="19"/>
              </w:rPr>
              <w:t xml:space="preserve"> </w:t>
            </w:r>
            <w:r w:rsidR="00AD2A72">
              <w:rPr>
                <w:szCs w:val="19"/>
              </w:rPr>
              <w:t xml:space="preserve">wartość </w:t>
            </w:r>
            <w:r w:rsidR="007C2C2D">
              <w:rPr>
                <w:szCs w:val="19"/>
              </w:rPr>
              <w:t>niż przed rokiem odnotowan</w:t>
            </w:r>
            <w:r w:rsidR="00AD2A72">
              <w:rPr>
                <w:szCs w:val="19"/>
              </w:rPr>
              <w:t xml:space="preserve">a została </w:t>
            </w:r>
            <w:r w:rsidR="007C2C2D">
              <w:rPr>
                <w:szCs w:val="19"/>
              </w:rPr>
              <w:t>również w okresie styczeń-marzec (</w:t>
            </w:r>
            <w:r w:rsidR="00B12506">
              <w:rPr>
                <w:szCs w:val="19"/>
              </w:rPr>
              <w:t xml:space="preserve">o </w:t>
            </w:r>
            <w:r>
              <w:rPr>
                <w:szCs w:val="19"/>
              </w:rPr>
              <w:t>15,4</w:t>
            </w:r>
            <w:r w:rsidR="00B12506">
              <w:rPr>
                <w:szCs w:val="19"/>
              </w:rPr>
              <w:t>%).</w:t>
            </w:r>
          </w:p>
          <w:p w:rsidR="000B500A" w:rsidRPr="000B500A" w:rsidRDefault="00F5196C" w:rsidP="000B500A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 w:rsidRPr="000B500A">
              <w:rPr>
                <w:szCs w:val="19"/>
              </w:rPr>
              <w:t xml:space="preserve">Według wstępnych danych, w </w:t>
            </w:r>
            <w:r w:rsidR="000B500A">
              <w:rPr>
                <w:szCs w:val="19"/>
              </w:rPr>
              <w:t xml:space="preserve">marcu br. </w:t>
            </w:r>
            <w:r w:rsidR="000B500A" w:rsidRPr="000B500A">
              <w:rPr>
                <w:rFonts w:cs="Arial"/>
                <w:szCs w:val="19"/>
              </w:rPr>
              <w:t>przekazano do użytkowania o 21,6% więcej mieszkań niż w analogicz</w:t>
            </w:r>
            <w:r w:rsidR="00C65773">
              <w:rPr>
                <w:rFonts w:cs="Arial"/>
                <w:szCs w:val="19"/>
              </w:rPr>
              <w:t xml:space="preserve">nym miesiącu poprzedniego roku, a liczba mieszkań przekazanych na przestrzeni I kwartału br. </w:t>
            </w:r>
            <w:r w:rsidR="00D91181">
              <w:rPr>
                <w:rFonts w:cs="Arial"/>
                <w:szCs w:val="19"/>
              </w:rPr>
              <w:t>b</w:t>
            </w:r>
            <w:r w:rsidR="00C65773">
              <w:rPr>
                <w:rFonts w:cs="Arial"/>
                <w:szCs w:val="19"/>
              </w:rPr>
              <w:t>yła o 10,8% mniejsza</w:t>
            </w:r>
            <w:r w:rsidR="00E6457C">
              <w:rPr>
                <w:rFonts w:cs="Arial"/>
                <w:szCs w:val="19"/>
              </w:rPr>
              <w:t xml:space="preserve"> niż w tym samym </w:t>
            </w:r>
            <w:r w:rsidR="00C65773">
              <w:rPr>
                <w:rFonts w:cs="Arial"/>
                <w:szCs w:val="19"/>
              </w:rPr>
              <w:t xml:space="preserve">okresie ub. </w:t>
            </w:r>
            <w:r w:rsidR="00D91181">
              <w:rPr>
                <w:rFonts w:cs="Arial"/>
                <w:szCs w:val="19"/>
              </w:rPr>
              <w:t>r</w:t>
            </w:r>
            <w:r w:rsidR="00C65773">
              <w:rPr>
                <w:rFonts w:cs="Arial"/>
                <w:szCs w:val="19"/>
              </w:rPr>
              <w:t>oku (</w:t>
            </w:r>
            <w:r w:rsidR="00E6457C">
              <w:rPr>
                <w:rFonts w:cs="Arial"/>
                <w:szCs w:val="19"/>
              </w:rPr>
              <w:t xml:space="preserve">na przestrzeni </w:t>
            </w:r>
            <w:r w:rsidR="00C65773">
              <w:rPr>
                <w:rFonts w:cs="Arial"/>
                <w:szCs w:val="19"/>
              </w:rPr>
              <w:t xml:space="preserve">I kwartału 2019 r. odnotowano </w:t>
            </w:r>
            <w:r w:rsidR="009E55FA">
              <w:rPr>
                <w:rFonts w:cs="Arial"/>
                <w:szCs w:val="19"/>
              </w:rPr>
              <w:t>spadek o 14,0%).</w:t>
            </w:r>
          </w:p>
          <w:p w:rsidR="00815CEC" w:rsidRPr="00547609" w:rsidRDefault="000967D8" w:rsidP="00915CAF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</w:rPr>
            </w:pPr>
            <w:r>
              <w:t>W marcu br. sprzedaż detaliczna zwiększyła się w skali roku o 0,1% (przed rokiem odnotowano spadek o 4,8</w:t>
            </w:r>
            <w:r w:rsidRPr="00902249">
              <w:t>%). Z</w:t>
            </w:r>
            <w:r>
              <w:t> </w:t>
            </w:r>
            <w:r w:rsidRPr="00902249">
              <w:t>ko</w:t>
            </w:r>
            <w:r>
              <w:t>lei sprzedaż hurtowa była o 8,3% niższa niż w marcu 2019</w:t>
            </w:r>
            <w:r w:rsidRPr="00902249">
              <w:t> r</w:t>
            </w:r>
            <w:r>
              <w:t>., wobec ubiegłorocznego wzrostu na poziomie 14,3%. W I kwartale 2020 r. sprzedaż detaliczna zwiększyła się w skali roku o 6,1% (w analogicznym okresie ub. r. odnotowano spadek na poziomie 2,7%). Sprzedaż hurtowa natomiast zmniejszyła się o 6,9%, wobec odnotowanego w I kwartale ub. r. wzrostu na poziomie 17,9%.</w:t>
            </w:r>
          </w:p>
        </w:tc>
      </w:tr>
    </w:tbl>
    <w:p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:rsidR="003E5264" w:rsidRDefault="003E5264" w:rsidP="003E5264">
      <w:pPr>
        <w:pStyle w:val="Spistreci"/>
      </w:pPr>
      <w:r>
        <w:t xml:space="preserve">Rynek pracy </w:t>
      </w:r>
      <w:r>
        <w:tab/>
        <w:t>4</w:t>
      </w:r>
    </w:p>
    <w:p w:rsidR="003E5264" w:rsidRDefault="003E5264" w:rsidP="003E5264">
      <w:pPr>
        <w:pStyle w:val="Spistreci"/>
      </w:pPr>
      <w:r>
        <w:t>Wynagrodzenia</w:t>
      </w:r>
      <w:r>
        <w:tab/>
      </w:r>
      <w:r w:rsidR="00180E8C">
        <w:t>8</w:t>
      </w:r>
    </w:p>
    <w:p w:rsidR="003E5264" w:rsidRDefault="003E5264" w:rsidP="003E5264">
      <w:pPr>
        <w:pStyle w:val="Spistreci"/>
      </w:pPr>
      <w:r>
        <w:t>Rolnictwo</w:t>
      </w:r>
      <w:r w:rsidR="00AC3F7C">
        <w:t xml:space="preserve"> </w:t>
      </w:r>
      <w:r>
        <w:tab/>
      </w:r>
      <w:r w:rsidR="0023463C">
        <w:t>9</w:t>
      </w:r>
    </w:p>
    <w:p w:rsidR="003E5264" w:rsidRDefault="003E5264" w:rsidP="003E5264">
      <w:pPr>
        <w:pStyle w:val="Spistreci"/>
      </w:pPr>
      <w:r>
        <w:t>Przemysł i budownictwo</w:t>
      </w:r>
      <w:r w:rsidR="00AC3F7C">
        <w:t xml:space="preserve"> </w:t>
      </w:r>
      <w:r>
        <w:tab/>
        <w:t>1</w:t>
      </w:r>
      <w:r w:rsidR="00DE17D0">
        <w:t>3</w:t>
      </w:r>
    </w:p>
    <w:p w:rsidR="003E5264" w:rsidRDefault="003E5264" w:rsidP="003E5264">
      <w:pPr>
        <w:pStyle w:val="Spistreci"/>
      </w:pPr>
      <w:r>
        <w:t>Budownictwo mieszkaniowe</w:t>
      </w:r>
      <w:r>
        <w:tab/>
        <w:t>1</w:t>
      </w:r>
      <w:r w:rsidR="00DE17D0">
        <w:t>5</w:t>
      </w:r>
    </w:p>
    <w:p w:rsidR="003E5264" w:rsidRDefault="003E5264" w:rsidP="003E5264">
      <w:pPr>
        <w:pStyle w:val="Spistreci"/>
      </w:pPr>
      <w:r>
        <w:t>Rynek wewnętrzny</w:t>
      </w:r>
      <w:r w:rsidR="00E47AFC">
        <w:tab/>
      </w:r>
      <w:r w:rsidR="007A11C2">
        <w:t>1</w:t>
      </w:r>
      <w:r w:rsidR="00F94C91">
        <w:t>7</w:t>
      </w:r>
    </w:p>
    <w:p w:rsidR="00F469A3" w:rsidRPr="009400F1" w:rsidRDefault="003E5264" w:rsidP="003E5264">
      <w:pPr>
        <w:pStyle w:val="Spistreci"/>
      </w:pPr>
      <w:r>
        <w:t>Wybrane dane o województwie świętokrzyskim</w:t>
      </w:r>
      <w:r>
        <w:tab/>
      </w:r>
      <w:r w:rsidR="00F94C91">
        <w:t>19</w:t>
      </w:r>
    </w:p>
    <w:p w:rsidR="00A3455C" w:rsidRDefault="00A3455C" w:rsidP="00FC015D">
      <w:pPr>
        <w:pStyle w:val="Nagwek1"/>
        <w:rPr>
          <w:color w:val="522398"/>
          <w:shd w:val="clear" w:color="auto" w:fill="FFFFFF"/>
        </w:rPr>
      </w:pPr>
    </w:p>
    <w:p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:rsidR="00FC015D" w:rsidRPr="00F65F8F" w:rsidRDefault="003E5264" w:rsidP="006B2A42">
      <w:pPr>
        <w:spacing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:rsidR="003E5264" w:rsidRPr="003E5264" w:rsidRDefault="003E5264" w:rsidP="008F1B9B">
      <w:pPr>
        <w:pStyle w:val="Tekstwypunktowany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3E5264" w:rsidRPr="003E5264" w:rsidRDefault="003E5264" w:rsidP="008F1B9B">
      <w:pPr>
        <w:pStyle w:val="Tekstwypunktowany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3E5264" w:rsidRPr="003E5264" w:rsidRDefault="003E5264" w:rsidP="008F1B9B">
      <w:pPr>
        <w:pStyle w:val="Tekstwypunktowany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3E5264" w:rsidRPr="003E5264" w:rsidRDefault="003E5264" w:rsidP="008F1B9B">
      <w:pPr>
        <w:pStyle w:val="Tekstwypunktowany"/>
      </w:pPr>
      <w:r w:rsidRPr="003E5264">
        <w:t>o skupie produktów rolnych obejmują skup od producentów z terenu województwa; ceny podano bez podatku VAT,</w:t>
      </w:r>
    </w:p>
    <w:p w:rsidR="00FC015D" w:rsidRPr="003E5264" w:rsidRDefault="003E5264" w:rsidP="008F1B9B">
      <w:pPr>
        <w:pStyle w:val="Tekstwypunktowany"/>
        <w:spacing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:rsidR="00BF1AD1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:rsidR="00BF1AD1" w:rsidRDefault="00BF1AD1" w:rsidP="00BF1AD1">
      <w:pPr>
        <w:ind w:right="-2423"/>
        <w:rPr>
          <w:shd w:val="clear" w:color="auto" w:fill="FFFFFF"/>
        </w:rPr>
      </w:pPr>
    </w:p>
    <w:p w:rsidR="00FC015D" w:rsidRPr="003439F1" w:rsidRDefault="00770B00" w:rsidP="009A0CB7">
      <w:pPr>
        <w:pStyle w:val="Nagwek1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:rsidR="00043CB4" w:rsidRPr="00043CB4" w:rsidRDefault="00043CB4" w:rsidP="00770B00">
      <w:pPr>
        <w:rPr>
          <w:lang w:eastAsia="pl-PL"/>
        </w:rPr>
      </w:pPr>
    </w:p>
    <w:p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3439F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    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3439F1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shd w:val="clear" w:color="auto" w:fill="FFFFFF"/>
                <w:lang w:val="en-GB"/>
              </w:rPr>
              <w:t>zjawisko nie wystąpiło</w:t>
            </w:r>
          </w:p>
        </w:tc>
      </w:tr>
      <w:tr w:rsidR="00770B00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Znak 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(*)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B330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Znak  (∆)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:rsidR="00770B00" w:rsidRPr="007A090E" w:rsidRDefault="00770B00" w:rsidP="00582917">
      <w:pPr>
        <w:rPr>
          <w:lang w:eastAsia="pl-PL"/>
        </w:rPr>
      </w:pPr>
    </w:p>
    <w:p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w </w:t>
      </w:r>
      <w:r w:rsidR="00DF1FA7">
        <w:rPr>
          <w:shd w:val="clear" w:color="auto" w:fill="FFFFFF"/>
        </w:rPr>
        <w:t>kwietniu</w:t>
      </w:r>
      <w:r w:rsidRPr="007167B2">
        <w:rPr>
          <w:shd w:val="clear" w:color="auto" w:fill="FFFFFF"/>
        </w:rPr>
        <w:t xml:space="preserve"> 20</w:t>
      </w:r>
      <w:r w:rsidR="00582917">
        <w:rPr>
          <w:shd w:val="clear" w:color="auto" w:fill="FFFFFF"/>
        </w:rPr>
        <w:t>20</w:t>
      </w:r>
      <w:r w:rsidRPr="007167B2">
        <w:rPr>
          <w:shd w:val="clear" w:color="auto" w:fill="FFFFFF"/>
        </w:rPr>
        <w:t xml:space="preserve"> r.” uka</w:t>
      </w:r>
      <w:r w:rsidR="00F778C5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http://kielce.stat.gov.pl/ </w:t>
      </w:r>
      <w:r w:rsidR="00F778C5">
        <w:rPr>
          <w:shd w:val="clear" w:color="auto" w:fill="FFFFFF"/>
        </w:rPr>
        <w:t>3</w:t>
      </w:r>
      <w:r w:rsidR="00DF1FA7">
        <w:rPr>
          <w:shd w:val="clear" w:color="auto" w:fill="FFFFFF"/>
        </w:rPr>
        <w:t>0 kwietnia</w:t>
      </w:r>
      <w:r w:rsidR="00180E8C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 xml:space="preserve">20 </w:t>
      </w:r>
      <w:r w:rsidRPr="007167B2">
        <w:rPr>
          <w:shd w:val="clear" w:color="auto" w:fill="FFFFFF"/>
        </w:rPr>
        <w:t>r.</w:t>
      </w:r>
    </w:p>
    <w:p w:rsidR="00746187" w:rsidRPr="007167B2" w:rsidRDefault="007167B2" w:rsidP="00582917">
      <w:pPr>
        <w:rPr>
          <w:b/>
          <w:spacing w:val="-2"/>
          <w:sz w:val="18"/>
        </w:rPr>
      </w:pPr>
      <w:r w:rsidRPr="007167B2">
        <w:rPr>
          <w:b/>
          <w:shd w:val="clear" w:color="auto" w:fill="FFFFFF"/>
        </w:rPr>
        <w:t>Przy publikowaniu danych U</w:t>
      </w:r>
      <w:r w:rsidR="006B608D">
        <w:rPr>
          <w:b/>
          <w:shd w:val="clear" w:color="auto" w:fill="FFFFFF"/>
        </w:rPr>
        <w:t xml:space="preserve">rzędu </w:t>
      </w:r>
      <w:r w:rsidRPr="007167B2">
        <w:rPr>
          <w:b/>
          <w:shd w:val="clear" w:color="auto" w:fill="FFFFFF"/>
        </w:rPr>
        <w:t>S</w:t>
      </w:r>
      <w:r w:rsidR="006B608D">
        <w:rPr>
          <w:b/>
          <w:shd w:val="clear" w:color="auto" w:fill="FFFFFF"/>
        </w:rPr>
        <w:t>tatystycznego</w:t>
      </w:r>
      <w:r w:rsidRPr="007167B2">
        <w:rPr>
          <w:b/>
          <w:shd w:val="clear" w:color="auto" w:fill="FFFFFF"/>
        </w:rPr>
        <w:t xml:space="preserve"> prosimy o podanie źródła.</w:t>
      </w:r>
    </w:p>
    <w:p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FF4A8F" w:rsidRPr="00205F5F" w:rsidRDefault="00FF4A8F" w:rsidP="00FF4A8F">
      <w:pPr>
        <w:jc w:val="both"/>
        <w:rPr>
          <w:shd w:val="clear" w:color="auto" w:fill="FFFFFF"/>
        </w:rPr>
      </w:pPr>
      <w:r w:rsidRPr="00205F5F">
        <w:rPr>
          <w:shd w:val="clear" w:color="auto" w:fill="FFFFFF"/>
        </w:rPr>
        <w:t>W marcu 2020 r. odnotowano spadek przeciętnego zatrudnienia w skali roku. Stopa bezrobocia była niższa niż przed rokiem (8,0% wobec 8,3%).</w:t>
      </w:r>
    </w:p>
    <w:p w:rsidR="00FF4A8F" w:rsidRPr="004B76F9" w:rsidRDefault="00FF4A8F" w:rsidP="00FF4A8F">
      <w:pPr>
        <w:rPr>
          <w:b/>
          <w:spacing w:val="-2"/>
          <w:shd w:val="clear" w:color="auto" w:fill="FFFFFF"/>
        </w:rPr>
      </w:pPr>
      <w:r w:rsidRPr="00205F5F">
        <w:rPr>
          <w:shd w:val="clear" w:color="auto" w:fill="FFFFFF"/>
        </w:rPr>
        <w:t>Przeciętne zatrudnienie w sektorze przedsiębiorstw ukształtowało się na poziomie 125,4 tys. osób, tj. o 1,0% niższym niż przed rokiem, podczas gdy w analogicznym miesiącu poprzedniego roku odnotowano wzrost o 3,</w:t>
      </w:r>
      <w:r w:rsidRPr="004B76F9">
        <w:rPr>
          <w:shd w:val="clear" w:color="auto" w:fill="FFFFFF"/>
        </w:rPr>
        <w:t xml:space="preserve">7%. </w:t>
      </w:r>
      <w:r w:rsidRPr="004B76F9">
        <w:rPr>
          <w:i/>
          <w:shd w:val="clear" w:color="auto" w:fill="FFFFFF"/>
        </w:rPr>
        <w:t>W kraju przeciętne zatrudnienie zwiększyło się w skali roku o 0,3% wobec 3,0% rok wcześniej.</w:t>
      </w:r>
    </w:p>
    <w:p w:rsidR="00FF4A8F" w:rsidRPr="00CA5477" w:rsidRDefault="00FF4A8F" w:rsidP="00CC66FD">
      <w:pPr>
        <w:spacing w:before="240"/>
        <w:rPr>
          <w:b/>
          <w:spacing w:val="-2"/>
          <w:szCs w:val="19"/>
          <w:shd w:val="clear" w:color="auto" w:fill="FFFFFF"/>
        </w:rPr>
      </w:pPr>
      <w:r w:rsidRPr="00CA5477">
        <w:rPr>
          <w:b/>
          <w:spacing w:val="-2"/>
          <w:szCs w:val="19"/>
          <w:shd w:val="clear" w:color="auto" w:fill="FFFFFF"/>
        </w:rPr>
        <w:t>Tablica 1. Przeciętne zatrudnienie w sektorze przedsiębiorstw</w:t>
      </w:r>
    </w:p>
    <w:p w:rsidR="00CC66FD" w:rsidRPr="00CC66FD" w:rsidRDefault="00CC66FD" w:rsidP="00CC66FD">
      <w:pPr>
        <w:rPr>
          <w:spacing w:val="-2"/>
          <w:sz w:val="18"/>
          <w:shd w:val="clear" w:color="auto" w:fill="FFFFFF"/>
        </w:rPr>
      </w:pP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FF4A8F" w:rsidRPr="00DE0F33" w:rsidTr="000248F0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FF4A8F" w:rsidRPr="00DE0F33" w:rsidTr="00CC66FD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F4A8F" w:rsidRPr="00DE0F33" w:rsidRDefault="00FF4A8F" w:rsidP="000248F0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FF4A8F" w:rsidRPr="00DE0F33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after="60" w:line="28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7A4441">
              <w:rPr>
                <w:rFonts w:cs="Arial"/>
                <w:b/>
                <w:sz w:val="16"/>
                <w:szCs w:val="16"/>
              </w:rPr>
              <w:t>125,4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7127C">
              <w:rPr>
                <w:rFonts w:cs="Arial"/>
                <w:b/>
                <w:sz w:val="16"/>
                <w:szCs w:val="16"/>
              </w:rPr>
              <w:t>99,0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7A4441">
              <w:rPr>
                <w:rFonts w:cs="Arial"/>
                <w:b/>
                <w:sz w:val="16"/>
                <w:szCs w:val="16"/>
              </w:rPr>
              <w:t>126,0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7127C">
              <w:rPr>
                <w:rFonts w:cs="Arial"/>
                <w:b/>
                <w:sz w:val="16"/>
                <w:szCs w:val="16"/>
              </w:rPr>
              <w:t>99,6</w:t>
            </w:r>
          </w:p>
        </w:tc>
      </w:tr>
      <w:tr w:rsidR="00FF4A8F" w:rsidRPr="00DE0F33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DE0F33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FF4A8F" w:rsidRPr="002C77A6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4441"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FF4A8F" w:rsidRPr="002C77A6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FF4A8F" w:rsidRPr="009A4A3D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4441"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FF4A8F" w:rsidRPr="009A4A3D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A4441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96,9</w:t>
            </w:r>
          </w:p>
        </w:tc>
      </w:tr>
      <w:tr w:rsidR="00FF4A8F" w:rsidRPr="009A4A3D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21,9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88,8</w:t>
            </w:r>
          </w:p>
        </w:tc>
      </w:tr>
      <w:tr w:rsidR="00FF4A8F" w:rsidRPr="009A4A3D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FF4A8F" w:rsidRPr="001E0559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FF4A8F" w:rsidRPr="009A4A3D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89,5</w:t>
            </w:r>
          </w:p>
        </w:tc>
      </w:tr>
      <w:tr w:rsidR="00FF4A8F" w:rsidRPr="009A4A3D" w:rsidTr="00CC66FD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96,4</w:t>
            </w:r>
          </w:p>
        </w:tc>
      </w:tr>
      <w:tr w:rsidR="00FF4A8F" w:rsidRPr="009A4A3D" w:rsidTr="0092067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E0F33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F4A8F" w:rsidRPr="002C4A71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C4A71"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FF4A8F" w:rsidRPr="009A4A3D" w:rsidTr="0092067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DE0F33" w:rsidRDefault="00FF4A8F" w:rsidP="000248F0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00533C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F4A8F" w:rsidRPr="009A4A3D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62C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F4A8F" w:rsidRPr="009A4A3D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127C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FF4A8F" w:rsidRPr="009A4A3D" w:rsidRDefault="00FF4A8F" w:rsidP="000248F0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62C">
              <w:rPr>
                <w:rFonts w:cs="Arial"/>
                <w:sz w:val="16"/>
                <w:szCs w:val="16"/>
              </w:rPr>
              <w:t>93,1</w:t>
            </w:r>
          </w:p>
        </w:tc>
      </w:tr>
    </w:tbl>
    <w:p w:rsidR="00FF4A8F" w:rsidRDefault="00FF4A8F" w:rsidP="00FF4A8F">
      <w:pPr>
        <w:ind w:firstLine="227"/>
        <w:rPr>
          <w:sz w:val="16"/>
          <w:szCs w:val="16"/>
        </w:rPr>
      </w:pPr>
      <w:r w:rsidRPr="00B35F5B">
        <w:rPr>
          <w:sz w:val="16"/>
          <w:szCs w:val="16"/>
        </w:rPr>
        <w:t>a  Nie obejmuje działów: Badania naukowe i prace rozwojowe oraz Działalność weterynaryjna.</w:t>
      </w:r>
    </w:p>
    <w:p w:rsidR="00FF4A8F" w:rsidRDefault="00FF4A8F" w:rsidP="00FF4A8F">
      <w:pPr>
        <w:ind w:firstLine="227"/>
        <w:rPr>
          <w:sz w:val="16"/>
          <w:szCs w:val="16"/>
        </w:rPr>
      </w:pPr>
    </w:p>
    <w:p w:rsidR="00FF4A8F" w:rsidRPr="00EA4B8B" w:rsidRDefault="00FF4A8F" w:rsidP="00CC66FD">
      <w:r w:rsidRPr="00EA4B8B">
        <w:rPr>
          <w:szCs w:val="19"/>
        </w:rPr>
        <w:t xml:space="preserve">W stosunku do marca 2019 r. przeciętne zatrudnienie zmieniało się nierównomiernie w sekcjach. Spośród usług wzrosło w: zakwaterowaniu i gastronomii (o 3,2%) oraz </w:t>
      </w:r>
      <w:r w:rsidRPr="00EA4B8B">
        <w:t>transporcie i gospodarce magazynowej (o 2,0%), a w</w:t>
      </w:r>
      <w:r w:rsidRPr="00EA4B8B">
        <w:rPr>
          <w:szCs w:val="19"/>
        </w:rPr>
        <w:t xml:space="preserve"> działalności profesjonalnej, naukowej i technicznej pozostało na ubiegłorocznym poziomie. W pozostałych usługach zatrudnienie spadło, </w:t>
      </w:r>
      <w:r>
        <w:rPr>
          <w:szCs w:val="19"/>
        </w:rPr>
        <w:br/>
      </w:r>
      <w:r w:rsidRPr="00EA4B8B">
        <w:rPr>
          <w:szCs w:val="19"/>
        </w:rPr>
        <w:t xml:space="preserve">w tym najmocniej w handlu; naprawie pojazdów samochodowych (o 12,2%) oraz informacji i komunikacji (o 9,6%). W zauważalnym stopniu wzrosła liczba pracowników w przemyśle (o 3,7%), głównie w dominującym przetwórstwie przemysłowym (o 4,1%). Ograniczono natomiast liczbę miejsc pracy w budownictwie </w:t>
      </w:r>
      <w:r w:rsidRPr="00EA4B8B">
        <w:t>(o 3,4%)</w:t>
      </w:r>
      <w:r w:rsidRPr="00EA4B8B">
        <w:rPr>
          <w:szCs w:val="19"/>
        </w:rPr>
        <w:t xml:space="preserve">. </w:t>
      </w:r>
    </w:p>
    <w:p w:rsidR="00FF4A8F" w:rsidRPr="00380A1B" w:rsidRDefault="00FF4A8F" w:rsidP="00CC66FD">
      <w:r w:rsidRPr="00380A1B">
        <w:rPr>
          <w:szCs w:val="19"/>
        </w:rPr>
        <w:t>W relacji do lutego 2020 r. wzrost zatrudnienia nastąpił w informacji i komunikacji (o 0,6%). W pozostałych sekcjach odnotowano spadek, w tym najmocniejszy w administrowaniu i działalności wspierającej (o 3,1%).</w:t>
      </w:r>
    </w:p>
    <w:p w:rsidR="00FF4A8F" w:rsidRDefault="00FF4A8F" w:rsidP="00CC66FD">
      <w:pPr>
        <w:rPr>
          <w:szCs w:val="19"/>
        </w:rPr>
      </w:pPr>
      <w:r w:rsidRPr="00380A1B">
        <w:rPr>
          <w:szCs w:val="19"/>
        </w:rPr>
        <w:t>W okresie styczeń-marzec 2020 r. przeciętne zatrudnienie w sektorze przedsiębiorstw wyniosło 126,0 tys. osób</w:t>
      </w:r>
      <w:r w:rsidRPr="00380A1B">
        <w:t xml:space="preserve"> </w:t>
      </w:r>
      <w:r w:rsidRPr="00380A1B">
        <w:rPr>
          <w:szCs w:val="19"/>
        </w:rPr>
        <w:t xml:space="preserve">i było </w:t>
      </w:r>
      <w:r>
        <w:rPr>
          <w:szCs w:val="19"/>
        </w:rPr>
        <w:br/>
      </w:r>
      <w:r w:rsidRPr="00380A1B">
        <w:rPr>
          <w:szCs w:val="19"/>
        </w:rPr>
        <w:t xml:space="preserve">o 0,4% niższe niż w analogicznym okresie ub. roku (przed rokiem odnotowano wzrost o 3,6%). </w:t>
      </w:r>
      <w:r w:rsidRPr="00380A1B">
        <w:rPr>
          <w:i/>
          <w:szCs w:val="19"/>
        </w:rPr>
        <w:t>W kraju przeciętne zatrudnienie zwiększyło się o 0,8% (rok wcześniej o 3,1</w:t>
      </w:r>
      <w:r w:rsidRPr="00461FD8">
        <w:rPr>
          <w:i/>
          <w:szCs w:val="19"/>
        </w:rPr>
        <w:t>%)</w:t>
      </w:r>
      <w:r w:rsidRPr="00461FD8">
        <w:rPr>
          <w:szCs w:val="19"/>
        </w:rPr>
        <w:t xml:space="preserve">. </w:t>
      </w:r>
      <w:r w:rsidR="00F0299B">
        <w:rPr>
          <w:szCs w:val="19"/>
        </w:rPr>
        <w:t>W</w:t>
      </w:r>
      <w:r w:rsidRPr="00461FD8">
        <w:rPr>
          <w:szCs w:val="19"/>
        </w:rPr>
        <w:t>zros</w:t>
      </w:r>
      <w:r w:rsidR="00F0299B">
        <w:rPr>
          <w:szCs w:val="19"/>
        </w:rPr>
        <w:t>t zatrudnienia odnotowano</w:t>
      </w:r>
      <w:r w:rsidRPr="00461FD8">
        <w:rPr>
          <w:szCs w:val="19"/>
        </w:rPr>
        <w:t xml:space="preserve"> w:</w:t>
      </w:r>
      <w:r w:rsidRPr="00461FD8">
        <w:t xml:space="preserve"> </w:t>
      </w:r>
      <w:r w:rsidRPr="00461FD8">
        <w:rPr>
          <w:szCs w:val="19"/>
        </w:rPr>
        <w:t>zakwaterowaniu i gastronomii (o 4,9%), transporcie i gospodarce magazynowej (o 2,6%) oraz działalności profesjonalnej, naukowej i technicznej (o 0,7%). Przybyło również miejsc pracy w przemyśle (o 4,2%), w tym przetwórstwie przemysłowym (o 4,6%).</w:t>
      </w:r>
      <w:r w:rsidRPr="00461FD8">
        <w:t xml:space="preserve"> </w:t>
      </w:r>
      <w:r w:rsidRPr="00461FD8">
        <w:rPr>
          <w:szCs w:val="19"/>
        </w:rPr>
        <w:t>Z kolei spadek liczby zatrudnionych wystąpił przede wszystkim w handlu; naprawie pojazdów samochodowych (o 11,2%) oraz informacji i komunikacji (o 10,5%).</w:t>
      </w:r>
    </w:p>
    <w:p w:rsidR="00FF4A8F" w:rsidRPr="008B2053" w:rsidRDefault="00FF4A8F" w:rsidP="00CC66FD">
      <w:r w:rsidRPr="002C4A71">
        <w:t>W strukturze zatrudnienia ze względu na rodzaj działalności, w I kwartale 2020 r., dominowały jednostki przemysłowe – 55,6% ogółu zatrudnionych w sektorze przedsiębiorstw (przed rokiem - 53,1%), przy czym w przedsiębiorstwach przetwórstwa przemysłowego znalazło zatrudnienie 49,3% (rok wcześniej - 46,9</w:t>
      </w:r>
      <w:r w:rsidRPr="008B2053">
        <w:t>%). Znaczące odsetki zatrudnionych grupowały także jednostki handlowe (17,5 wobec 19,6%) oraz budowlane (7,9% wobec 8,1%).</w:t>
      </w:r>
    </w:p>
    <w:p w:rsidR="00FF4A8F" w:rsidRPr="0025316C" w:rsidRDefault="00FF4A8F" w:rsidP="00FF4A8F">
      <w:pPr>
        <w:pageBreakBefore/>
        <w:spacing w:before="0" w:after="0"/>
        <w:rPr>
          <w:b/>
          <w:spacing w:val="-2"/>
          <w:shd w:val="clear" w:color="auto" w:fill="FFFFFF"/>
        </w:rPr>
      </w:pPr>
      <w:r w:rsidRPr="0025316C">
        <w:rPr>
          <w:b/>
          <w:spacing w:val="-2"/>
        </w:rPr>
        <w:lastRenderedPageBreak/>
        <w:t>Wykres 1.</w:t>
      </w:r>
      <w:r w:rsidRPr="0025316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:rsidR="00FF4A8F" w:rsidRDefault="0020317E" w:rsidP="00FF4A8F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381000</wp:posOffset>
            </wp:positionV>
            <wp:extent cx="6558280" cy="2619375"/>
            <wp:effectExtent l="0" t="0" r="0" b="0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F4A8F" w:rsidRPr="0025316C">
        <w:rPr>
          <w:spacing w:val="-2"/>
          <w:shd w:val="clear" w:color="auto" w:fill="FFFFFF"/>
        </w:rPr>
        <w:t xml:space="preserve">  (przeciętna miesięczna 2015=100)</w:t>
      </w:r>
    </w:p>
    <w:p w:rsidR="00866CE0" w:rsidRPr="000E18C3" w:rsidRDefault="00866CE0" w:rsidP="0020317E">
      <w:pPr>
        <w:spacing w:before="240"/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662E3B">
        <w:rPr>
          <w:rFonts w:cs="Arial"/>
          <w:szCs w:val="19"/>
        </w:rPr>
        <w:t>marca</w:t>
      </w:r>
      <w:r w:rsidRPr="000E18C3">
        <w:rPr>
          <w:rFonts w:cs="Arial"/>
          <w:szCs w:val="19"/>
        </w:rPr>
        <w:t xml:space="preserve"> 2020 r. liczba bezrobotnych zarejestrowanych w urzędach pracy wyniosła </w:t>
      </w:r>
      <w:r w:rsidR="00662E3B">
        <w:rPr>
          <w:rFonts w:cs="Arial"/>
          <w:szCs w:val="19"/>
        </w:rPr>
        <w:t>43,0</w:t>
      </w:r>
      <w:r w:rsidRPr="000E18C3">
        <w:rPr>
          <w:rFonts w:cs="Arial"/>
          <w:szCs w:val="19"/>
        </w:rPr>
        <w:t xml:space="preserve"> tys. osób i była </w:t>
      </w:r>
      <w:r w:rsidR="000E18C3" w:rsidRPr="000E18C3"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br/>
        <w:t>o</w:t>
      </w:r>
      <w:r w:rsidR="00822FB9">
        <w:rPr>
          <w:rFonts w:cs="Arial"/>
          <w:szCs w:val="19"/>
        </w:rPr>
        <w:t> </w:t>
      </w:r>
      <w:r w:rsidR="00662E3B">
        <w:rPr>
          <w:rFonts w:cs="Arial"/>
          <w:szCs w:val="19"/>
        </w:rPr>
        <w:t>2,</w:t>
      </w:r>
      <w:r w:rsidR="000E18C3" w:rsidRPr="000E18C3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>% (</w:t>
      </w:r>
      <w:r w:rsidR="00662E3B">
        <w:rPr>
          <w:rFonts w:cs="Arial"/>
          <w:szCs w:val="19"/>
        </w:rPr>
        <w:t>1,2</w:t>
      </w:r>
      <w:r w:rsidRPr="000E18C3">
        <w:rPr>
          <w:rFonts w:cs="Arial"/>
          <w:szCs w:val="19"/>
        </w:rPr>
        <w:t xml:space="preserve"> tys. osób) niż przed miesiącem oraz o </w:t>
      </w:r>
      <w:r w:rsidR="00662E3B">
        <w:rPr>
          <w:rFonts w:cs="Arial"/>
          <w:szCs w:val="19"/>
        </w:rPr>
        <w:t>3,5</w:t>
      </w:r>
      <w:r w:rsidRPr="000E18C3">
        <w:rPr>
          <w:rFonts w:cs="Arial"/>
          <w:szCs w:val="19"/>
        </w:rPr>
        <w:t>% (</w:t>
      </w:r>
      <w:r w:rsidR="000E18C3" w:rsidRPr="000E18C3">
        <w:rPr>
          <w:rFonts w:cs="Arial"/>
          <w:szCs w:val="19"/>
        </w:rPr>
        <w:t>1,</w:t>
      </w:r>
      <w:r w:rsidR="00662E3B">
        <w:rPr>
          <w:rFonts w:cs="Arial"/>
          <w:szCs w:val="19"/>
        </w:rPr>
        <w:t>6</w:t>
      </w:r>
      <w:r w:rsidRPr="000E18C3">
        <w:rPr>
          <w:rFonts w:cs="Arial"/>
          <w:szCs w:val="19"/>
        </w:rPr>
        <w:t xml:space="preserve"> tys. osób) niż rok wcześniej. Kobiety stanowiły</w:t>
      </w:r>
      <w:r w:rsidR="00662E3B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t>51,</w:t>
      </w:r>
      <w:r w:rsidR="00662E3B">
        <w:rPr>
          <w:rFonts w:cs="Arial"/>
          <w:szCs w:val="19"/>
        </w:rPr>
        <w:t>1</w:t>
      </w:r>
      <w:r w:rsidRPr="000E18C3">
        <w:rPr>
          <w:rFonts w:cs="Arial"/>
          <w:szCs w:val="19"/>
        </w:rPr>
        <w:t>% ogół</w:t>
      </w:r>
      <w:r w:rsidR="00662E3B">
        <w:rPr>
          <w:rFonts w:cs="Arial"/>
          <w:szCs w:val="19"/>
        </w:rPr>
        <w:t>u zarejestrowanych bezrobotnych, tj. o 0,5 p.proc. mniej niż przed rokiem.</w:t>
      </w:r>
    </w:p>
    <w:p w:rsidR="00866CE0" w:rsidRDefault="00866CE0" w:rsidP="00822FB9">
      <w:pPr>
        <w:pStyle w:val="tytuwykresu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p w:rsidR="00866CE0" w:rsidRDefault="00866CE0" w:rsidP="00866CE0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5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968"/>
        <w:gridCol w:w="1833"/>
        <w:gridCol w:w="1833"/>
        <w:gridCol w:w="1833"/>
      </w:tblGrid>
      <w:tr w:rsidR="00C402F7" w:rsidRPr="00FA5128" w:rsidTr="00874993">
        <w:trPr>
          <w:trHeight w:val="20"/>
        </w:trPr>
        <w:tc>
          <w:tcPr>
            <w:tcW w:w="496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C402F7" w:rsidRPr="009C7251" w:rsidRDefault="00C402F7" w:rsidP="006D2421">
            <w:pPr>
              <w:pStyle w:val="Nagwek1"/>
              <w:tabs>
                <w:tab w:val="right" w:leader="dot" w:pos="4139"/>
              </w:tabs>
              <w:spacing w:before="240" w:after="240"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C402F7" w:rsidRPr="00FA5128" w:rsidRDefault="00C402F7" w:rsidP="00C402F7">
            <w:pPr>
              <w:pStyle w:val="Nagwek3"/>
              <w:spacing w:after="40" w:line="1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6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:rsidR="00C402F7" w:rsidRPr="00FA5128" w:rsidRDefault="00C402F7" w:rsidP="00C402F7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C402F7" w:rsidRPr="00FA5128" w:rsidTr="00874993">
        <w:trPr>
          <w:trHeight w:val="20"/>
        </w:trPr>
        <w:tc>
          <w:tcPr>
            <w:tcW w:w="496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C402F7" w:rsidRPr="00FA5128" w:rsidRDefault="00C402F7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C402F7" w:rsidRPr="00FA5128" w:rsidRDefault="00C402F7" w:rsidP="006D242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874993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402F7" w:rsidRPr="00FA5128" w:rsidRDefault="00C402F7" w:rsidP="006D242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874993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3" w:type="dxa"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402F7" w:rsidRPr="00FA5128" w:rsidRDefault="00C402F7" w:rsidP="006D242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874993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874993" w:rsidRPr="006C2CCB" w:rsidTr="00874993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6C2CCB" w:rsidRDefault="00874993" w:rsidP="00874993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2A3098" w:rsidRDefault="005A27D0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44,5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2A3098" w:rsidRDefault="00874993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74993" w:rsidRPr="002A3098" w:rsidRDefault="000F228A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43,0</w:t>
            </w:r>
          </w:p>
        </w:tc>
      </w:tr>
      <w:tr w:rsidR="00874993" w:rsidRPr="006C2CCB" w:rsidTr="00874993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6C2CCB" w:rsidRDefault="00874993" w:rsidP="00874993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2A3098" w:rsidRDefault="00E72D84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2A3098" w:rsidRDefault="00874993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74993" w:rsidRPr="002A3098" w:rsidRDefault="000F228A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874993" w:rsidRPr="006C2CCB" w:rsidTr="00920672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6C2CCB" w:rsidRDefault="00874993" w:rsidP="00874993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2A3098" w:rsidRDefault="00E72D84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74993" w:rsidRPr="002A3098" w:rsidRDefault="00874993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74993" w:rsidRPr="002A3098" w:rsidRDefault="000F228A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874993" w:rsidRPr="006C2CCB" w:rsidTr="00920672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74993" w:rsidRPr="006C2CCB" w:rsidRDefault="00874993" w:rsidP="00874993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74993" w:rsidRPr="002A3098" w:rsidRDefault="005A27D0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74993" w:rsidRPr="002A3098" w:rsidRDefault="00874993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874993" w:rsidRPr="002A3098" w:rsidRDefault="000F228A" w:rsidP="00874993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</w:tbl>
    <w:p w:rsidR="006B065A" w:rsidRDefault="006B065A" w:rsidP="006B065A">
      <w:pPr>
        <w:pStyle w:val="Tekstpodstawowy"/>
        <w:tabs>
          <w:tab w:val="left" w:pos="567"/>
        </w:tabs>
        <w:jc w:val="left"/>
        <w:rPr>
          <w:rFonts w:ascii="Fira Sans" w:hAnsi="Fira Sans" w:cs="Arial"/>
          <w:b/>
          <w:sz w:val="19"/>
          <w:szCs w:val="19"/>
        </w:rPr>
      </w:pPr>
    </w:p>
    <w:p w:rsidR="00866CE0" w:rsidRPr="00BC6CE7" w:rsidRDefault="00866CE0" w:rsidP="00866CE0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BC6CE7">
        <w:rPr>
          <w:rFonts w:ascii="Fira Sans" w:hAnsi="Fira Sans" w:cs="Arial"/>
          <w:b/>
          <w:sz w:val="19"/>
          <w:szCs w:val="19"/>
        </w:rPr>
        <w:t>Stopa bezrobocia rejestrowanego</w:t>
      </w:r>
      <w:r w:rsidRPr="00BC6CE7">
        <w:rPr>
          <w:rFonts w:ascii="Fira Sans" w:hAnsi="Fira Sans" w:cs="Arial"/>
          <w:sz w:val="19"/>
          <w:szCs w:val="19"/>
        </w:rPr>
        <w:t xml:space="preserve"> osiągnęła poziom </w:t>
      </w:r>
      <w:r>
        <w:rPr>
          <w:rFonts w:ascii="Fira Sans" w:hAnsi="Fira Sans" w:cs="Arial"/>
          <w:sz w:val="19"/>
          <w:szCs w:val="19"/>
        </w:rPr>
        <w:t>8,</w:t>
      </w:r>
      <w:r w:rsidR="00FD5F7C">
        <w:rPr>
          <w:rFonts w:ascii="Fira Sans" w:hAnsi="Fira Sans" w:cs="Arial"/>
          <w:sz w:val="19"/>
          <w:szCs w:val="19"/>
        </w:rPr>
        <w:t>0</w:t>
      </w:r>
      <w:r w:rsidRPr="00BC6CE7">
        <w:rPr>
          <w:rFonts w:ascii="Fira Sans" w:hAnsi="Fira Sans" w:cs="Arial"/>
          <w:sz w:val="19"/>
          <w:szCs w:val="19"/>
        </w:rPr>
        <w:t>%, kształtując się niżej niż przed rokiem (8,</w:t>
      </w:r>
      <w:r w:rsidR="00FD5F7C">
        <w:rPr>
          <w:rFonts w:ascii="Fira Sans" w:hAnsi="Fira Sans" w:cs="Arial"/>
          <w:sz w:val="19"/>
          <w:szCs w:val="19"/>
        </w:rPr>
        <w:t>3</w:t>
      </w:r>
      <w:r w:rsidRPr="00BC6CE7">
        <w:rPr>
          <w:rFonts w:ascii="Fira Sans" w:hAnsi="Fira Sans" w:cs="Arial"/>
          <w:sz w:val="19"/>
          <w:szCs w:val="19"/>
        </w:rPr>
        <w:t xml:space="preserve">%). </w:t>
      </w:r>
      <w:r w:rsidRPr="00BC6CE7">
        <w:rPr>
          <w:rFonts w:ascii="Fira Sans" w:hAnsi="Fira Sans" w:cs="Arial"/>
          <w:i/>
          <w:sz w:val="19"/>
          <w:szCs w:val="19"/>
        </w:rPr>
        <w:t>W kraju stopa bezrobocia rejestrowanego wyniosła</w:t>
      </w:r>
      <w:r w:rsidR="006D2421">
        <w:rPr>
          <w:rFonts w:ascii="Fira Sans" w:hAnsi="Fira Sans" w:cs="Arial"/>
          <w:i/>
          <w:sz w:val="19"/>
          <w:szCs w:val="19"/>
        </w:rPr>
        <w:t>, podobnie jak</w:t>
      </w:r>
      <w:r w:rsidRPr="00BC6CE7">
        <w:rPr>
          <w:rFonts w:ascii="Fira Sans" w:hAnsi="Fira Sans" w:cs="Arial"/>
          <w:i/>
          <w:sz w:val="19"/>
          <w:szCs w:val="19"/>
        </w:rPr>
        <w:t xml:space="preserve"> </w:t>
      </w:r>
      <w:r w:rsidR="006D2421" w:rsidRPr="00BC6CE7">
        <w:rPr>
          <w:rFonts w:ascii="Fira Sans" w:hAnsi="Fira Sans" w:cs="Arial"/>
          <w:i/>
          <w:sz w:val="19"/>
          <w:szCs w:val="19"/>
        </w:rPr>
        <w:t xml:space="preserve">przed miesiącem </w:t>
      </w:r>
      <w:r w:rsidRPr="00BC6CE7">
        <w:rPr>
          <w:rFonts w:ascii="Fira Sans" w:hAnsi="Fira Sans" w:cs="Arial"/>
          <w:i/>
          <w:sz w:val="19"/>
          <w:szCs w:val="19"/>
        </w:rPr>
        <w:t>5,</w:t>
      </w:r>
      <w:r w:rsidR="00FD5F7C">
        <w:rPr>
          <w:rFonts w:ascii="Fira Sans" w:hAnsi="Fira Sans" w:cs="Arial"/>
          <w:i/>
          <w:sz w:val="19"/>
          <w:szCs w:val="19"/>
        </w:rPr>
        <w:t>4</w:t>
      </w:r>
      <w:r w:rsidRPr="00BC6CE7">
        <w:rPr>
          <w:rFonts w:ascii="Fira Sans" w:hAnsi="Fira Sans" w:cs="Arial"/>
          <w:i/>
          <w:sz w:val="19"/>
          <w:szCs w:val="19"/>
        </w:rPr>
        <w:t xml:space="preserve">% wobec </w:t>
      </w:r>
      <w:r w:rsidR="00FD5F7C">
        <w:rPr>
          <w:rFonts w:ascii="Fira Sans" w:hAnsi="Fira Sans" w:cs="Arial"/>
          <w:i/>
          <w:sz w:val="19"/>
          <w:szCs w:val="19"/>
        </w:rPr>
        <w:t>5,9</w:t>
      </w:r>
      <w:r w:rsidRPr="00BC6CE7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BC6CE7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 województwie wielkopolskim (</w:t>
      </w:r>
      <w:r>
        <w:rPr>
          <w:rFonts w:ascii="Fira Sans" w:hAnsi="Fira Sans" w:cs="Arial"/>
          <w:sz w:val="19"/>
          <w:szCs w:val="19"/>
        </w:rPr>
        <w:t>3,1</w:t>
      </w:r>
      <w:r w:rsidRPr="00BC6CE7">
        <w:rPr>
          <w:rFonts w:ascii="Fira Sans" w:hAnsi="Fira Sans" w:cs="Arial"/>
          <w:sz w:val="19"/>
          <w:szCs w:val="19"/>
        </w:rPr>
        <w:t>%), natomiast w równie trudnej lub w jeszcze trudniejszej sytuacji niż świętokrzyskie pozostawały województwa podkarpackie (</w:t>
      </w:r>
      <w:r>
        <w:rPr>
          <w:rFonts w:ascii="Fira Sans" w:hAnsi="Fira Sans" w:cs="Arial"/>
          <w:sz w:val="19"/>
          <w:szCs w:val="19"/>
        </w:rPr>
        <w:t>8,</w:t>
      </w:r>
      <w:r w:rsidR="00052226">
        <w:rPr>
          <w:rFonts w:ascii="Fira Sans" w:hAnsi="Fira Sans" w:cs="Arial"/>
          <w:sz w:val="19"/>
          <w:szCs w:val="19"/>
        </w:rPr>
        <w:t>2</w:t>
      </w:r>
      <w:r w:rsidRPr="00BC6CE7">
        <w:rPr>
          <w:rFonts w:ascii="Fira Sans" w:hAnsi="Fira Sans" w:cs="Arial"/>
          <w:sz w:val="19"/>
          <w:szCs w:val="19"/>
        </w:rPr>
        <w:t>%) oraz warmińsko-mazurskie (9,</w:t>
      </w:r>
      <w:r w:rsidR="00052226">
        <w:rPr>
          <w:rFonts w:ascii="Fira Sans" w:hAnsi="Fira Sans" w:cs="Arial"/>
          <w:sz w:val="19"/>
          <w:szCs w:val="19"/>
        </w:rPr>
        <w:t>4</w:t>
      </w:r>
      <w:r w:rsidRPr="00BC6CE7">
        <w:rPr>
          <w:rFonts w:ascii="Fira Sans" w:hAnsi="Fira Sans" w:cs="Arial"/>
          <w:sz w:val="19"/>
          <w:szCs w:val="19"/>
        </w:rPr>
        <w:t>%).</w:t>
      </w:r>
    </w:p>
    <w:p w:rsidR="00866CE0" w:rsidRDefault="00822FB9" w:rsidP="00866CE0">
      <w:pPr>
        <w:pStyle w:val="tytuwykresu"/>
        <w:spacing w:line="140" w:lineRule="exac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7124065</wp:posOffset>
            </wp:positionV>
            <wp:extent cx="6645910" cy="2390775"/>
            <wp:effectExtent l="0" t="0" r="2540" b="0"/>
            <wp:wrapSquare wrapText="bothSides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E0" w:rsidRPr="006473EA">
        <w:t>Wykres 2.</w:t>
      </w:r>
      <w:r w:rsidR="00866CE0" w:rsidRPr="006473EA">
        <w:rPr>
          <w:shd w:val="clear" w:color="auto" w:fill="FFFFFF"/>
        </w:rPr>
        <w:t xml:space="preserve"> Stopa bezrobocia rejestrowanego</w:t>
      </w:r>
      <w:r w:rsidR="00866CE0">
        <w:rPr>
          <w:shd w:val="clear" w:color="auto" w:fill="FFFFFF"/>
        </w:rPr>
        <w:t xml:space="preserve"> </w:t>
      </w:r>
      <w:r w:rsidR="00866CE0" w:rsidRPr="00E47AFC">
        <w:rPr>
          <w:b w:val="0"/>
          <w:shd w:val="clear" w:color="auto" w:fill="FFFFFF"/>
        </w:rPr>
        <w:t>(stan w końcu miesiąca)</w:t>
      </w:r>
      <w:r w:rsidR="00866CE0" w:rsidRPr="003E4751">
        <w:rPr>
          <w:noProof/>
          <w:lang w:eastAsia="pl-PL"/>
        </w:rPr>
        <w:t xml:space="preserve"> </w:t>
      </w:r>
    </w:p>
    <w:p w:rsidR="00866CE0" w:rsidRPr="00822FB9" w:rsidRDefault="00866CE0" w:rsidP="000564C3">
      <w:pPr>
        <w:pageBreakBefore/>
        <w:rPr>
          <w:rFonts w:cs="Arial"/>
          <w:szCs w:val="19"/>
        </w:rPr>
      </w:pPr>
      <w:r w:rsidRPr="00597E2B"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7250D91B" wp14:editId="22A5DEFD">
            <wp:simplePos x="0" y="0"/>
            <wp:positionH relativeFrom="column">
              <wp:posOffset>95250</wp:posOffset>
            </wp:positionH>
            <wp:positionV relativeFrom="paragraph">
              <wp:posOffset>590550</wp:posOffset>
            </wp:positionV>
            <wp:extent cx="3419475" cy="3308350"/>
            <wp:effectExtent l="0" t="0" r="9525" b="635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IE01\WOBR_zasoby\Komunikaty\2019\Komunikat 10.2019\wykresy\STOPA-BEZR_mapa_X-2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71" w:rsidRPr="00597E2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26C6A4F" wp14:editId="24372D5F">
                <wp:simplePos x="0" y="0"/>
                <wp:positionH relativeFrom="column">
                  <wp:posOffset>-22860</wp:posOffset>
                </wp:positionH>
                <wp:positionV relativeFrom="paragraph">
                  <wp:posOffset>76200</wp:posOffset>
                </wp:positionV>
                <wp:extent cx="3568065" cy="619760"/>
                <wp:effectExtent l="0" t="0" r="0" b="8890"/>
                <wp:wrapTight wrapText="bothSides">
                  <wp:wrapPolygon edited="0">
                    <wp:start x="0" y="0"/>
                    <wp:lineTo x="0" y="21246"/>
                    <wp:lineTo x="21450" y="21246"/>
                    <wp:lineTo x="21450" y="0"/>
                    <wp:lineTo x="0" y="0"/>
                  </wp:wrapPolygon>
                </wp:wrapTight>
                <wp:docPr id="2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72" w:rsidRPr="002E29DF" w:rsidRDefault="00AD2A72" w:rsidP="00866CE0">
                            <w:pPr>
                              <w:spacing w:after="0"/>
                            </w:pPr>
                            <w:r w:rsidRPr="00DC69CD">
                              <w:rPr>
                                <w:b/>
                              </w:rPr>
                              <w:t>Mapa 1.</w:t>
                            </w:r>
                            <w:r w:rsidRPr="00DC69CD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</w:t>
                            </w:r>
                            <w:r w:rsidRPr="00DC69CD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E29DF">
                              <w:rPr>
                                <w:shd w:val="clear" w:color="auto" w:fill="FFFFFF"/>
                              </w:rPr>
                              <w:t>Stan w końcu marca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C6A4F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1.8pt;margin-top:6pt;width:280.95pt;height:48.8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" stroked="f">
                <v:textbox>
                  <w:txbxContent>
                    <w:p w:rsidR="00AD2A72" w:rsidRPr="002E29DF" w:rsidRDefault="00AD2A72" w:rsidP="00866CE0">
                      <w:pPr>
                        <w:spacing w:after="0"/>
                      </w:pPr>
                      <w:r w:rsidRPr="00DC69CD">
                        <w:rPr>
                          <w:b/>
                        </w:rPr>
                        <w:t>Mapa 1.</w:t>
                      </w:r>
                      <w:r w:rsidRPr="00DC69CD">
                        <w:rPr>
                          <w:b/>
                          <w:shd w:val="clear" w:color="auto" w:fill="FFFFFF"/>
                        </w:rPr>
                        <w:t xml:space="preserve"> Stopa bezrobocia rejestrowanego</w:t>
                      </w:r>
                      <w:r w:rsidRPr="00DC69CD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E29DF">
                        <w:rPr>
                          <w:shd w:val="clear" w:color="auto" w:fill="FFFFFF"/>
                        </w:rPr>
                        <w:t>Stan w końcu marca 2020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7E2B">
        <w:rPr>
          <w:rFonts w:cs="Arial"/>
          <w:szCs w:val="19"/>
        </w:rPr>
        <w:t>Do powiatów o najwyższej stopie bezrobocia należały: skarżyski (</w:t>
      </w:r>
      <w:r w:rsidR="00AD666E" w:rsidRPr="00597E2B">
        <w:rPr>
          <w:rFonts w:cs="Arial"/>
          <w:szCs w:val="19"/>
        </w:rPr>
        <w:t>15,</w:t>
      </w:r>
      <w:r w:rsidR="00597E2B" w:rsidRPr="00597E2B">
        <w:rPr>
          <w:rFonts w:cs="Arial"/>
          <w:szCs w:val="19"/>
        </w:rPr>
        <w:t>0</w:t>
      </w:r>
      <w:r w:rsidRPr="00597E2B">
        <w:rPr>
          <w:rFonts w:cs="Arial"/>
          <w:szCs w:val="19"/>
        </w:rPr>
        <w:t xml:space="preserve">% wobec </w:t>
      </w:r>
      <w:r w:rsidR="00597E2B" w:rsidRPr="00597E2B">
        <w:rPr>
          <w:rFonts w:cs="Arial"/>
          <w:szCs w:val="19"/>
        </w:rPr>
        <w:t>15,5</w:t>
      </w:r>
      <w:r w:rsidRPr="00597E2B">
        <w:rPr>
          <w:rFonts w:cs="Arial"/>
          <w:szCs w:val="19"/>
        </w:rPr>
        <w:t xml:space="preserve">% przed rokiem), opatowski </w:t>
      </w:r>
      <w:r w:rsidR="00B23531" w:rsidRPr="00597E2B">
        <w:rPr>
          <w:rFonts w:cs="Arial"/>
          <w:szCs w:val="19"/>
        </w:rPr>
        <w:t>(</w:t>
      </w:r>
      <w:r w:rsidR="00597E2B" w:rsidRPr="00597E2B">
        <w:rPr>
          <w:rFonts w:cs="Arial"/>
          <w:szCs w:val="19"/>
        </w:rPr>
        <w:t>12,8</w:t>
      </w:r>
      <w:r w:rsidRPr="00597E2B">
        <w:rPr>
          <w:rFonts w:cs="Arial"/>
          <w:szCs w:val="19"/>
        </w:rPr>
        <w:t>%</w:t>
      </w:r>
      <w:r w:rsidR="00AD666E" w:rsidRPr="00597E2B">
        <w:rPr>
          <w:rFonts w:cs="Arial"/>
          <w:szCs w:val="19"/>
        </w:rPr>
        <w:t xml:space="preserve"> wobec </w:t>
      </w:r>
      <w:r w:rsidR="00597E2B" w:rsidRPr="00597E2B">
        <w:rPr>
          <w:rFonts w:cs="Arial"/>
          <w:szCs w:val="19"/>
        </w:rPr>
        <w:t>12,7</w:t>
      </w:r>
      <w:r w:rsidR="00AD666E" w:rsidRPr="00597E2B">
        <w:rPr>
          <w:rFonts w:cs="Arial"/>
          <w:szCs w:val="19"/>
        </w:rPr>
        <w:t>%</w:t>
      </w:r>
      <w:r w:rsidRPr="00597E2B">
        <w:rPr>
          <w:rFonts w:cs="Arial"/>
          <w:szCs w:val="19"/>
        </w:rPr>
        <w:t>) i konecki (</w:t>
      </w:r>
      <w:r w:rsidR="00AD666E" w:rsidRPr="00597E2B">
        <w:rPr>
          <w:rFonts w:cs="Arial"/>
          <w:szCs w:val="19"/>
        </w:rPr>
        <w:t>11</w:t>
      </w:r>
      <w:r w:rsidRPr="00597E2B">
        <w:rPr>
          <w:rFonts w:cs="Arial"/>
          <w:szCs w:val="19"/>
        </w:rPr>
        <w:t>,</w:t>
      </w:r>
      <w:r w:rsidR="00597E2B" w:rsidRPr="00597E2B">
        <w:rPr>
          <w:rFonts w:cs="Arial"/>
          <w:szCs w:val="19"/>
        </w:rPr>
        <w:t>4</w:t>
      </w:r>
      <w:r w:rsidRPr="00597E2B">
        <w:rPr>
          <w:rFonts w:cs="Arial"/>
          <w:szCs w:val="19"/>
        </w:rPr>
        <w:t xml:space="preserve">% wobec </w:t>
      </w:r>
      <w:r w:rsidR="00340B4B" w:rsidRPr="00597E2B">
        <w:rPr>
          <w:rFonts w:cs="Arial"/>
          <w:szCs w:val="19"/>
        </w:rPr>
        <w:t>11,</w:t>
      </w:r>
      <w:r w:rsidR="00597E2B" w:rsidRPr="00597E2B">
        <w:rPr>
          <w:rFonts w:cs="Arial"/>
          <w:szCs w:val="19"/>
        </w:rPr>
        <w:t>7</w:t>
      </w:r>
      <w:r w:rsidRPr="00597E2B">
        <w:rPr>
          <w:rFonts w:cs="Arial"/>
          <w:szCs w:val="19"/>
        </w:rPr>
        <w:t>%), a o najniższej — buski (3,</w:t>
      </w:r>
      <w:r w:rsidR="00B212E1" w:rsidRPr="00597E2B">
        <w:rPr>
          <w:rFonts w:cs="Arial"/>
          <w:szCs w:val="19"/>
        </w:rPr>
        <w:t>6</w:t>
      </w:r>
      <w:r w:rsidRPr="00597E2B">
        <w:rPr>
          <w:rFonts w:cs="Arial"/>
          <w:szCs w:val="19"/>
        </w:rPr>
        <w:t xml:space="preserve">% </w:t>
      </w:r>
      <w:r w:rsidRPr="00822FB9">
        <w:rPr>
          <w:rFonts w:cs="Arial"/>
          <w:szCs w:val="19"/>
        </w:rPr>
        <w:t xml:space="preserve">wobec </w:t>
      </w:r>
      <w:r w:rsidR="00597E2B" w:rsidRPr="00822FB9">
        <w:rPr>
          <w:rFonts w:cs="Arial"/>
          <w:szCs w:val="19"/>
        </w:rPr>
        <w:t>3,8</w:t>
      </w:r>
      <w:r w:rsidRPr="00822FB9">
        <w:rPr>
          <w:rFonts w:cs="Arial"/>
          <w:szCs w:val="19"/>
        </w:rPr>
        <w:t>%), pińczowski (6,</w:t>
      </w:r>
      <w:r w:rsidR="00597E2B" w:rsidRPr="00822FB9">
        <w:rPr>
          <w:rFonts w:cs="Arial"/>
          <w:szCs w:val="19"/>
        </w:rPr>
        <w:t>3</w:t>
      </w:r>
      <w:r w:rsidRPr="00822FB9">
        <w:rPr>
          <w:rFonts w:cs="Arial"/>
          <w:szCs w:val="19"/>
        </w:rPr>
        <w:t>% wobec 6,</w:t>
      </w:r>
      <w:r w:rsidR="00597E2B" w:rsidRPr="00822FB9">
        <w:rPr>
          <w:rFonts w:cs="Arial"/>
          <w:szCs w:val="19"/>
        </w:rPr>
        <w:t>6</w:t>
      </w:r>
      <w:r w:rsidRPr="00822FB9">
        <w:rPr>
          <w:rFonts w:cs="Arial"/>
          <w:szCs w:val="19"/>
        </w:rPr>
        <w:t>%) i miasto Kielce (</w:t>
      </w:r>
      <w:r w:rsidR="00AD666E" w:rsidRPr="00822FB9">
        <w:rPr>
          <w:rFonts w:cs="Arial"/>
          <w:szCs w:val="19"/>
        </w:rPr>
        <w:t>5,</w:t>
      </w:r>
      <w:r w:rsidR="00597E2B" w:rsidRPr="00822FB9">
        <w:rPr>
          <w:rFonts w:cs="Arial"/>
          <w:szCs w:val="19"/>
        </w:rPr>
        <w:t>2</w:t>
      </w:r>
      <w:r w:rsidRPr="00822FB9">
        <w:rPr>
          <w:rFonts w:cs="Arial"/>
          <w:szCs w:val="19"/>
        </w:rPr>
        <w:t>% wobec 5,</w:t>
      </w:r>
      <w:r w:rsidR="00597E2B" w:rsidRPr="00822FB9">
        <w:rPr>
          <w:rFonts w:cs="Arial"/>
          <w:szCs w:val="19"/>
        </w:rPr>
        <w:t>5</w:t>
      </w:r>
      <w:r w:rsidRPr="00822FB9">
        <w:rPr>
          <w:rFonts w:cs="Arial"/>
          <w:szCs w:val="19"/>
        </w:rPr>
        <w:t>%). W porównaniu z analogicznym okresem 201</w:t>
      </w:r>
      <w:r w:rsidR="00AD666E" w:rsidRPr="00822FB9">
        <w:rPr>
          <w:rFonts w:cs="Arial"/>
          <w:szCs w:val="19"/>
        </w:rPr>
        <w:t>9</w:t>
      </w:r>
      <w:r w:rsidRPr="00822FB9">
        <w:rPr>
          <w:rFonts w:cs="Arial"/>
          <w:szCs w:val="19"/>
        </w:rPr>
        <w:t xml:space="preserve"> r. stopa bezrobocia obniżyła się w </w:t>
      </w:r>
      <w:r w:rsidR="00C44C7F" w:rsidRPr="00822FB9">
        <w:rPr>
          <w:rFonts w:cs="Arial"/>
          <w:szCs w:val="19"/>
        </w:rPr>
        <w:t>dziesięciu</w:t>
      </w:r>
      <w:r w:rsidRPr="00822FB9">
        <w:rPr>
          <w:rFonts w:cs="Arial"/>
          <w:szCs w:val="19"/>
        </w:rPr>
        <w:t xml:space="preserve"> powiatach województwa świętokrzyskiego, przy czym w największym stopniu w powiatach</w:t>
      </w:r>
      <w:r w:rsidR="006379D8" w:rsidRPr="00822FB9">
        <w:rPr>
          <w:rFonts w:cs="Arial"/>
          <w:szCs w:val="19"/>
        </w:rPr>
        <w:t>:</w:t>
      </w:r>
      <w:r w:rsidRPr="00822FB9">
        <w:rPr>
          <w:rFonts w:cs="Arial"/>
          <w:szCs w:val="19"/>
        </w:rPr>
        <w:t xml:space="preserve"> ostrowieckim (o </w:t>
      </w:r>
      <w:r w:rsidR="00C44C7F" w:rsidRPr="00822FB9">
        <w:rPr>
          <w:rFonts w:cs="Arial"/>
          <w:szCs w:val="19"/>
        </w:rPr>
        <w:t>1,1</w:t>
      </w:r>
      <w:r w:rsidRPr="00822FB9">
        <w:rPr>
          <w:rFonts w:cs="Arial"/>
          <w:szCs w:val="19"/>
        </w:rPr>
        <w:t xml:space="preserve"> p.proc.)</w:t>
      </w:r>
      <w:r w:rsidR="00C44C7F" w:rsidRPr="00822FB9">
        <w:rPr>
          <w:rFonts w:cs="Arial"/>
          <w:szCs w:val="19"/>
        </w:rPr>
        <w:t>,</w:t>
      </w:r>
      <w:r w:rsidR="006379D8" w:rsidRPr="00822FB9">
        <w:rPr>
          <w:rFonts w:cs="Arial"/>
          <w:szCs w:val="19"/>
        </w:rPr>
        <w:t xml:space="preserve"> kieleckim (o 0,8 p.proc.)</w:t>
      </w:r>
      <w:r w:rsidR="00C44C7F" w:rsidRPr="00822FB9">
        <w:rPr>
          <w:rFonts w:cs="Arial"/>
          <w:szCs w:val="19"/>
        </w:rPr>
        <w:t xml:space="preserve"> i skarżyskim (o 0,5 p.proc.). </w:t>
      </w:r>
      <w:r w:rsidRPr="00822FB9">
        <w:rPr>
          <w:rFonts w:cs="Arial"/>
          <w:szCs w:val="19"/>
        </w:rPr>
        <w:t>Wzrost odnotowano w powiatach</w:t>
      </w:r>
      <w:r w:rsidR="00C44C7F" w:rsidRPr="00822FB9">
        <w:rPr>
          <w:rFonts w:cs="Arial"/>
          <w:szCs w:val="19"/>
        </w:rPr>
        <w:t>:</w:t>
      </w:r>
      <w:r w:rsidRPr="00822FB9">
        <w:rPr>
          <w:rFonts w:cs="Arial"/>
          <w:szCs w:val="19"/>
        </w:rPr>
        <w:t xml:space="preserve"> </w:t>
      </w:r>
      <w:r w:rsidR="00C44C7F" w:rsidRPr="00822FB9">
        <w:rPr>
          <w:rFonts w:cs="Arial"/>
          <w:szCs w:val="19"/>
        </w:rPr>
        <w:t>starachowickim (o</w:t>
      </w:r>
      <w:r w:rsidR="00822FB9" w:rsidRPr="00822FB9">
        <w:rPr>
          <w:rFonts w:cs="Arial"/>
          <w:szCs w:val="19"/>
        </w:rPr>
        <w:t> </w:t>
      </w:r>
      <w:r w:rsidR="00C44C7F" w:rsidRPr="00822FB9">
        <w:rPr>
          <w:rFonts w:cs="Arial"/>
          <w:szCs w:val="19"/>
        </w:rPr>
        <w:t xml:space="preserve">0,4 p.proc.), </w:t>
      </w:r>
      <w:r w:rsidRPr="00822FB9">
        <w:rPr>
          <w:rFonts w:cs="Arial"/>
          <w:szCs w:val="19"/>
        </w:rPr>
        <w:t>włoszczowskim (o</w:t>
      </w:r>
      <w:r w:rsidR="00336BF0" w:rsidRPr="00822FB9">
        <w:rPr>
          <w:rFonts w:cs="Arial"/>
          <w:szCs w:val="19"/>
        </w:rPr>
        <w:t> </w:t>
      </w:r>
      <w:r w:rsidRPr="00822FB9">
        <w:rPr>
          <w:rFonts w:cs="Arial"/>
          <w:szCs w:val="19"/>
        </w:rPr>
        <w:t>0,</w:t>
      </w:r>
      <w:r w:rsidR="00C44C7F" w:rsidRPr="00822FB9">
        <w:rPr>
          <w:rFonts w:cs="Arial"/>
          <w:szCs w:val="19"/>
        </w:rPr>
        <w:t>2</w:t>
      </w:r>
      <w:r w:rsidRPr="00822FB9">
        <w:rPr>
          <w:rFonts w:cs="Arial"/>
          <w:szCs w:val="19"/>
        </w:rPr>
        <w:t xml:space="preserve"> p.proc.)</w:t>
      </w:r>
      <w:r w:rsidR="006B7EFD" w:rsidRPr="00822FB9">
        <w:rPr>
          <w:rFonts w:cs="Arial"/>
          <w:szCs w:val="19"/>
        </w:rPr>
        <w:t xml:space="preserve"> </w:t>
      </w:r>
      <w:r w:rsidR="00C44C7F" w:rsidRPr="00822FB9">
        <w:rPr>
          <w:rFonts w:cs="Arial"/>
          <w:szCs w:val="19"/>
        </w:rPr>
        <w:t>oraz</w:t>
      </w:r>
      <w:r w:rsidRPr="00822FB9">
        <w:rPr>
          <w:rFonts w:cs="Arial"/>
          <w:szCs w:val="19"/>
        </w:rPr>
        <w:t xml:space="preserve"> </w:t>
      </w:r>
      <w:r w:rsidR="00C44C7F" w:rsidRPr="00822FB9">
        <w:rPr>
          <w:rFonts w:cs="Arial"/>
          <w:szCs w:val="19"/>
        </w:rPr>
        <w:t xml:space="preserve">opatowskim i </w:t>
      </w:r>
      <w:r w:rsidR="00AD666E" w:rsidRPr="00822FB9">
        <w:rPr>
          <w:rFonts w:cs="Arial"/>
          <w:szCs w:val="19"/>
        </w:rPr>
        <w:t xml:space="preserve">sandomierskim </w:t>
      </w:r>
      <w:r w:rsidR="00C44C7F" w:rsidRPr="00822FB9">
        <w:rPr>
          <w:rFonts w:cs="Arial"/>
          <w:szCs w:val="19"/>
        </w:rPr>
        <w:t>(po 0,1 p.proc.)</w:t>
      </w:r>
      <w:r w:rsidR="00AD666E" w:rsidRPr="00822FB9">
        <w:rPr>
          <w:rFonts w:cs="Arial"/>
          <w:szCs w:val="19"/>
        </w:rPr>
        <w:t xml:space="preserve">. </w:t>
      </w:r>
    </w:p>
    <w:p w:rsidR="001C38C6" w:rsidRPr="00822FB9" w:rsidRDefault="00DF6BD7" w:rsidP="00DF6BD7">
      <w:pPr>
        <w:rPr>
          <w:rFonts w:cs="Arial"/>
          <w:szCs w:val="19"/>
        </w:rPr>
      </w:pPr>
      <w:r w:rsidRPr="00822FB9">
        <w:rPr>
          <w:rFonts w:cs="Arial"/>
          <w:szCs w:val="19"/>
        </w:rPr>
        <w:t>W marcu 20</w:t>
      </w:r>
      <w:r w:rsidR="00856C9C" w:rsidRPr="00822FB9">
        <w:rPr>
          <w:rFonts w:cs="Arial"/>
          <w:szCs w:val="19"/>
        </w:rPr>
        <w:t>20</w:t>
      </w:r>
      <w:r w:rsidRPr="00822FB9">
        <w:rPr>
          <w:rFonts w:cs="Arial"/>
          <w:szCs w:val="19"/>
        </w:rPr>
        <w:t xml:space="preserve"> r. w urzędach pracy zarejestrowano </w:t>
      </w:r>
      <w:r w:rsidR="00856C9C" w:rsidRPr="00822FB9">
        <w:rPr>
          <w:rFonts w:cs="Arial"/>
          <w:szCs w:val="19"/>
        </w:rPr>
        <w:t xml:space="preserve">3,9 </w:t>
      </w:r>
      <w:r w:rsidRPr="00822FB9">
        <w:rPr>
          <w:rFonts w:cs="Arial"/>
          <w:szCs w:val="19"/>
        </w:rPr>
        <w:t xml:space="preserve">tys. osób bezrobotnych, tj. </w:t>
      </w:r>
      <w:r w:rsidR="00732388" w:rsidRPr="00822FB9">
        <w:rPr>
          <w:rFonts w:cs="Arial"/>
          <w:szCs w:val="19"/>
        </w:rPr>
        <w:t>mniej</w:t>
      </w:r>
      <w:r w:rsidRPr="00822FB9">
        <w:rPr>
          <w:rFonts w:cs="Arial"/>
          <w:szCs w:val="19"/>
        </w:rPr>
        <w:t xml:space="preserve"> o </w:t>
      </w:r>
      <w:r w:rsidR="00732388" w:rsidRPr="00822FB9">
        <w:rPr>
          <w:rFonts w:cs="Arial"/>
          <w:szCs w:val="19"/>
        </w:rPr>
        <w:t>20,0</w:t>
      </w:r>
      <w:r w:rsidRPr="00822FB9">
        <w:rPr>
          <w:rFonts w:cs="Arial"/>
          <w:szCs w:val="19"/>
        </w:rPr>
        <w:t xml:space="preserve">% niż przed miesiącem i </w:t>
      </w:r>
      <w:r w:rsidR="00732388" w:rsidRPr="00822FB9">
        <w:rPr>
          <w:rFonts w:cs="Arial"/>
          <w:szCs w:val="19"/>
        </w:rPr>
        <w:t>o 28,3</w:t>
      </w:r>
      <w:r w:rsidRPr="00822FB9">
        <w:rPr>
          <w:rFonts w:cs="Arial"/>
          <w:szCs w:val="19"/>
        </w:rPr>
        <w:t xml:space="preserve">% niż przed rokiem. Stopa napływu bezrobotnych do urzędów pracy (tj. stosunek nowo zarejestrowanych do liczby aktywnych zawodowo) wyniosła </w:t>
      </w:r>
      <w:r w:rsidR="00732388" w:rsidRPr="00822FB9">
        <w:rPr>
          <w:rFonts w:cs="Arial"/>
          <w:szCs w:val="19"/>
        </w:rPr>
        <w:t>0,7</w:t>
      </w:r>
      <w:r w:rsidRPr="00822FB9">
        <w:rPr>
          <w:rFonts w:cs="Arial"/>
          <w:szCs w:val="19"/>
        </w:rPr>
        <w:t>% wobec 1,</w:t>
      </w:r>
      <w:r w:rsidR="00732388" w:rsidRPr="00822FB9">
        <w:rPr>
          <w:rFonts w:cs="Arial"/>
          <w:szCs w:val="19"/>
        </w:rPr>
        <w:t>0</w:t>
      </w:r>
      <w:r w:rsidRPr="00822FB9">
        <w:rPr>
          <w:rFonts w:cs="Arial"/>
          <w:szCs w:val="19"/>
        </w:rPr>
        <w:t xml:space="preserve">% przed rokiem. Udział osób rejestrujących się po raz kolejny </w:t>
      </w:r>
      <w:r w:rsidR="001C38C6" w:rsidRPr="00822FB9">
        <w:rPr>
          <w:rFonts w:cs="Arial"/>
          <w:szCs w:val="19"/>
        </w:rPr>
        <w:t>zmniej</w:t>
      </w:r>
      <w:r w:rsidRPr="00822FB9">
        <w:rPr>
          <w:rFonts w:cs="Arial"/>
          <w:szCs w:val="19"/>
        </w:rPr>
        <w:t xml:space="preserve">szył się na przestrzeni roku o </w:t>
      </w:r>
      <w:r w:rsidR="001C38C6" w:rsidRPr="00822FB9">
        <w:rPr>
          <w:rFonts w:cs="Arial"/>
          <w:szCs w:val="19"/>
        </w:rPr>
        <w:t>0,8</w:t>
      </w:r>
      <w:r w:rsidR="00E8586F">
        <w:rPr>
          <w:rFonts w:cs="Arial"/>
          <w:szCs w:val="19"/>
        </w:rPr>
        <w:t> </w:t>
      </w:r>
      <w:r w:rsidRPr="00822FB9">
        <w:rPr>
          <w:rFonts w:cs="Arial"/>
          <w:szCs w:val="19"/>
        </w:rPr>
        <w:t xml:space="preserve">p.proc. (do </w:t>
      </w:r>
      <w:r w:rsidR="001C38C6" w:rsidRPr="00822FB9">
        <w:rPr>
          <w:rFonts w:cs="Arial"/>
          <w:szCs w:val="19"/>
        </w:rPr>
        <w:t>84,8</w:t>
      </w:r>
      <w:r w:rsidRPr="00822FB9">
        <w:rPr>
          <w:rFonts w:cs="Arial"/>
          <w:szCs w:val="19"/>
        </w:rPr>
        <w:t xml:space="preserve">%). </w:t>
      </w:r>
      <w:r w:rsidR="001C38C6" w:rsidRPr="00822FB9">
        <w:rPr>
          <w:rFonts w:cs="Arial"/>
          <w:szCs w:val="19"/>
        </w:rPr>
        <w:t>Zmniejszyły się również odsetki: osób bez doświadczenia zawodowego (o 4,3 p.proc. do 19,8%), zamieszkałych na wsi (o 2,7 p.proc. do 52,9%), bez kwalifikacji zawodowych (o 2,2 p.proc. do 23,6%) i absolwentów (o 1,1 p.proc. do 8,5%). Zwiększyły się natomiast udziały osób poprzednio pracujących (o 3,1 p.proc. do 89,1%) oraz osób zwolnionych z</w:t>
      </w:r>
      <w:r w:rsidR="00822FB9" w:rsidRPr="00822FB9">
        <w:rPr>
          <w:rFonts w:cs="Arial"/>
          <w:szCs w:val="19"/>
        </w:rPr>
        <w:t> </w:t>
      </w:r>
      <w:r w:rsidR="001C38C6" w:rsidRPr="00822FB9">
        <w:rPr>
          <w:rFonts w:cs="Arial"/>
          <w:szCs w:val="19"/>
        </w:rPr>
        <w:t>przyczyn dotyczących zakładu pracy (o 1,8 p.proc. do 5,4%).</w:t>
      </w:r>
      <w:r w:rsidR="001C38C6" w:rsidRPr="00822FB9">
        <w:rPr>
          <w:rFonts w:cs="Arial"/>
          <w:color w:val="FF0000"/>
          <w:szCs w:val="19"/>
        </w:rPr>
        <w:t xml:space="preserve"> </w:t>
      </w:r>
    </w:p>
    <w:p w:rsidR="00DF6BD7" w:rsidRPr="00822FB9" w:rsidRDefault="00DF6BD7" w:rsidP="00DF6BD7">
      <w:pPr>
        <w:rPr>
          <w:rFonts w:cs="Arial"/>
          <w:szCs w:val="19"/>
        </w:rPr>
      </w:pPr>
      <w:r w:rsidRPr="00822FB9">
        <w:rPr>
          <w:rFonts w:cs="Arial"/>
          <w:szCs w:val="19"/>
        </w:rPr>
        <w:t>Na przestrzeni I kwartału 20</w:t>
      </w:r>
      <w:r w:rsidR="001D6DA7" w:rsidRPr="00822FB9">
        <w:rPr>
          <w:rFonts w:cs="Arial"/>
          <w:szCs w:val="19"/>
        </w:rPr>
        <w:t>20</w:t>
      </w:r>
      <w:r w:rsidRPr="00822FB9">
        <w:rPr>
          <w:rFonts w:cs="Arial"/>
          <w:szCs w:val="19"/>
        </w:rPr>
        <w:t xml:space="preserve"> r. w urzędach pracy zarejestrowało się </w:t>
      </w:r>
      <w:r w:rsidR="00856C9C" w:rsidRPr="00822FB9">
        <w:rPr>
          <w:rFonts w:cs="Arial"/>
          <w:szCs w:val="19"/>
        </w:rPr>
        <w:t>15,6</w:t>
      </w:r>
      <w:r w:rsidRPr="00822FB9">
        <w:rPr>
          <w:rFonts w:cs="Arial"/>
          <w:szCs w:val="19"/>
        </w:rPr>
        <w:t xml:space="preserve"> tys. osób (wobec </w:t>
      </w:r>
      <w:r w:rsidR="001D6DA7" w:rsidRPr="00822FB9">
        <w:rPr>
          <w:rFonts w:cs="Arial"/>
          <w:szCs w:val="19"/>
        </w:rPr>
        <w:t>18,5</w:t>
      </w:r>
      <w:r w:rsidRPr="00822FB9">
        <w:rPr>
          <w:rFonts w:cs="Arial"/>
          <w:szCs w:val="19"/>
        </w:rPr>
        <w:t xml:space="preserve"> tys. rok wcześniej). Z tego </w:t>
      </w:r>
      <w:r w:rsidR="00856C9C" w:rsidRPr="00822FB9">
        <w:rPr>
          <w:rFonts w:cs="Arial"/>
          <w:szCs w:val="19"/>
        </w:rPr>
        <w:t>13,3</w:t>
      </w:r>
      <w:r w:rsidRPr="00822FB9">
        <w:rPr>
          <w:rFonts w:cs="Arial"/>
          <w:szCs w:val="19"/>
        </w:rPr>
        <w:t xml:space="preserve"> tys. osób, tj. </w:t>
      </w:r>
      <w:r w:rsidR="00856C9C" w:rsidRPr="00822FB9">
        <w:rPr>
          <w:rFonts w:cs="Arial"/>
          <w:szCs w:val="19"/>
        </w:rPr>
        <w:t>85,2</w:t>
      </w:r>
      <w:r w:rsidRPr="00822FB9">
        <w:rPr>
          <w:rFonts w:cs="Arial"/>
          <w:szCs w:val="19"/>
        </w:rPr>
        <w:t xml:space="preserve">% zarejestrowało się po raz kolejny (o </w:t>
      </w:r>
      <w:r w:rsidR="00856C9C" w:rsidRPr="00822FB9">
        <w:rPr>
          <w:rFonts w:cs="Arial"/>
          <w:szCs w:val="19"/>
        </w:rPr>
        <w:t>0,9</w:t>
      </w:r>
      <w:r w:rsidRPr="00822FB9">
        <w:rPr>
          <w:rFonts w:cs="Arial"/>
          <w:szCs w:val="19"/>
        </w:rPr>
        <w:t xml:space="preserve"> p.proc. mniej niż w I kwartale 201</w:t>
      </w:r>
      <w:r w:rsidR="00856C9C" w:rsidRPr="00822FB9">
        <w:rPr>
          <w:rFonts w:cs="Arial"/>
          <w:szCs w:val="19"/>
        </w:rPr>
        <w:t>9</w:t>
      </w:r>
      <w:r w:rsidRPr="00822FB9">
        <w:rPr>
          <w:rFonts w:cs="Arial"/>
          <w:szCs w:val="19"/>
        </w:rPr>
        <w:t xml:space="preserve"> r.). Zamieszkali na wsi stanowili </w:t>
      </w:r>
      <w:r w:rsidR="00856C9C" w:rsidRPr="00822FB9">
        <w:rPr>
          <w:rFonts w:cs="Arial"/>
          <w:szCs w:val="19"/>
        </w:rPr>
        <w:t>52,8</w:t>
      </w:r>
      <w:r w:rsidRPr="00822FB9">
        <w:rPr>
          <w:rFonts w:cs="Arial"/>
          <w:szCs w:val="19"/>
        </w:rPr>
        <w:t>% ogółu nowo rejestrujących się (przed rokiem – 55,</w:t>
      </w:r>
      <w:r w:rsidR="00856C9C" w:rsidRPr="00822FB9">
        <w:rPr>
          <w:rFonts w:cs="Arial"/>
          <w:szCs w:val="19"/>
        </w:rPr>
        <w:t>7</w:t>
      </w:r>
      <w:r w:rsidRPr="00822FB9">
        <w:rPr>
          <w:rFonts w:cs="Arial"/>
          <w:szCs w:val="19"/>
        </w:rPr>
        <w:t xml:space="preserve">%). </w:t>
      </w:r>
    </w:p>
    <w:p w:rsidR="00DF6BD7" w:rsidRPr="00822FB9" w:rsidRDefault="00DF6BD7" w:rsidP="00DF6BD7">
      <w:pPr>
        <w:rPr>
          <w:rFonts w:cs="Arial"/>
          <w:szCs w:val="19"/>
        </w:rPr>
      </w:pPr>
      <w:r w:rsidRPr="00822FB9">
        <w:rPr>
          <w:rFonts w:cs="Arial"/>
          <w:szCs w:val="19"/>
        </w:rPr>
        <w:t>Z ewidencji bezrobotnych w marcu 20</w:t>
      </w:r>
      <w:r w:rsidR="008147E3" w:rsidRPr="00822FB9">
        <w:rPr>
          <w:rFonts w:cs="Arial"/>
          <w:szCs w:val="19"/>
        </w:rPr>
        <w:t>20</w:t>
      </w:r>
      <w:r w:rsidRPr="00822FB9">
        <w:rPr>
          <w:rFonts w:cs="Arial"/>
          <w:szCs w:val="19"/>
        </w:rPr>
        <w:t xml:space="preserve"> r. wyrejestrowano </w:t>
      </w:r>
      <w:r w:rsidR="001B6013" w:rsidRPr="00822FB9">
        <w:rPr>
          <w:rFonts w:cs="Arial"/>
          <w:szCs w:val="19"/>
        </w:rPr>
        <w:t>5,1</w:t>
      </w:r>
      <w:r w:rsidRPr="00822FB9">
        <w:rPr>
          <w:rFonts w:cs="Arial"/>
          <w:szCs w:val="19"/>
        </w:rPr>
        <w:t xml:space="preserve"> tys. osób, tj. </w:t>
      </w:r>
      <w:r w:rsidR="009263A1" w:rsidRPr="00822FB9">
        <w:rPr>
          <w:rFonts w:cs="Arial"/>
          <w:szCs w:val="19"/>
        </w:rPr>
        <w:t>mniej</w:t>
      </w:r>
      <w:r w:rsidRPr="00822FB9">
        <w:rPr>
          <w:rFonts w:cs="Arial"/>
          <w:szCs w:val="19"/>
        </w:rPr>
        <w:t xml:space="preserve"> o </w:t>
      </w:r>
      <w:r w:rsidR="009263A1" w:rsidRPr="00822FB9">
        <w:rPr>
          <w:rFonts w:cs="Arial"/>
          <w:szCs w:val="19"/>
        </w:rPr>
        <w:t>1,1</w:t>
      </w:r>
      <w:r w:rsidRPr="00822FB9">
        <w:rPr>
          <w:rFonts w:cs="Arial"/>
          <w:szCs w:val="19"/>
        </w:rPr>
        <w:t>% niż przed miesiącem i o </w:t>
      </w:r>
      <w:r w:rsidR="009263A1" w:rsidRPr="00822FB9">
        <w:rPr>
          <w:rFonts w:cs="Arial"/>
          <w:szCs w:val="19"/>
        </w:rPr>
        <w:t>26,6</w:t>
      </w:r>
      <w:r w:rsidRPr="00822FB9">
        <w:rPr>
          <w:rFonts w:cs="Arial"/>
          <w:szCs w:val="19"/>
        </w:rPr>
        <w:t xml:space="preserve">% niż rok wcześniej. Stopa odpływu bezrobotnych z urzędów pracy (tj. stosunek liczby bezrobotnych wyrejestrowanych w danym miesiącu do liczby bezrobotnych na koniec ub. miesiąca) wyniosła </w:t>
      </w:r>
      <w:r w:rsidR="009263A1" w:rsidRPr="00822FB9">
        <w:rPr>
          <w:rFonts w:cs="Arial"/>
          <w:szCs w:val="19"/>
        </w:rPr>
        <w:t>11,6</w:t>
      </w:r>
      <w:r w:rsidRPr="00822FB9">
        <w:rPr>
          <w:rFonts w:cs="Arial"/>
          <w:szCs w:val="19"/>
        </w:rPr>
        <w:t>% wobec 15,</w:t>
      </w:r>
      <w:r w:rsidR="009263A1" w:rsidRPr="00822FB9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% przed rokiem. Z tytułu podjęcia pracy (głównej przyczyny wyrejestrowania) z rejestru bezrobotnych wyłączono </w:t>
      </w:r>
      <w:r w:rsidR="00DD6BF1" w:rsidRPr="00822FB9">
        <w:rPr>
          <w:rFonts w:cs="Arial"/>
          <w:szCs w:val="19"/>
        </w:rPr>
        <w:t>2,5</w:t>
      </w:r>
      <w:r w:rsidRPr="00822FB9">
        <w:rPr>
          <w:rFonts w:cs="Arial"/>
          <w:szCs w:val="19"/>
        </w:rPr>
        <w:t xml:space="preserve"> tys. osób wobec 3,</w:t>
      </w:r>
      <w:r w:rsidR="00DD6BF1" w:rsidRPr="00822FB9">
        <w:rPr>
          <w:rFonts w:cs="Arial"/>
          <w:szCs w:val="19"/>
        </w:rPr>
        <w:t>2</w:t>
      </w:r>
      <w:r w:rsidRPr="00822FB9">
        <w:rPr>
          <w:rFonts w:cs="Arial"/>
          <w:szCs w:val="19"/>
        </w:rPr>
        <w:t xml:space="preserve"> tys. osób przed rokiem. Udział tej kategorii osób w ogólnej liczbie wyrejestrowanych </w:t>
      </w:r>
      <w:r w:rsidR="00DD6BF1" w:rsidRPr="00822FB9">
        <w:rPr>
          <w:rFonts w:cs="Arial"/>
          <w:szCs w:val="19"/>
        </w:rPr>
        <w:t>zwięk</w:t>
      </w:r>
      <w:r w:rsidRPr="00822FB9">
        <w:rPr>
          <w:rFonts w:cs="Arial"/>
          <w:szCs w:val="19"/>
        </w:rPr>
        <w:t xml:space="preserve">szył się o </w:t>
      </w:r>
      <w:r w:rsidR="00DD6BF1" w:rsidRPr="00822FB9">
        <w:rPr>
          <w:rFonts w:cs="Arial"/>
          <w:szCs w:val="19"/>
        </w:rPr>
        <w:t>2,7</w:t>
      </w:r>
      <w:r w:rsidRPr="00822FB9">
        <w:rPr>
          <w:rFonts w:cs="Arial"/>
          <w:szCs w:val="19"/>
        </w:rPr>
        <w:t xml:space="preserve"> p.proc. w ujęciu rocznym (do </w:t>
      </w:r>
      <w:r w:rsidR="00DD6BF1" w:rsidRPr="00822FB9">
        <w:rPr>
          <w:rFonts w:cs="Arial"/>
          <w:szCs w:val="19"/>
        </w:rPr>
        <w:t>48,1</w:t>
      </w:r>
      <w:r w:rsidRPr="00822FB9">
        <w:rPr>
          <w:rFonts w:cs="Arial"/>
          <w:szCs w:val="19"/>
        </w:rPr>
        <w:t xml:space="preserve">%). </w:t>
      </w:r>
      <w:r w:rsidR="00C54C48" w:rsidRPr="00822FB9">
        <w:rPr>
          <w:rFonts w:cs="Arial"/>
          <w:szCs w:val="19"/>
        </w:rPr>
        <w:t>Zwięk</w:t>
      </w:r>
      <w:r w:rsidRPr="00822FB9">
        <w:rPr>
          <w:rFonts w:cs="Arial"/>
          <w:szCs w:val="19"/>
        </w:rPr>
        <w:t xml:space="preserve">szyły się także odsetki osób, które utraciły status bezrobotnego w wyniku: </w:t>
      </w:r>
      <w:r w:rsidR="00C54C48" w:rsidRPr="00822FB9">
        <w:rPr>
          <w:rFonts w:cs="Arial"/>
          <w:szCs w:val="19"/>
        </w:rPr>
        <w:t xml:space="preserve">rozpoczęcia stażu (o 1,3 p.proc. do 17,7%), niepotwierdzenia gotowości do podjęcia pracy (o 0,8 p.proc. do 11,8%), </w:t>
      </w:r>
      <w:r w:rsidRPr="00822FB9">
        <w:rPr>
          <w:rFonts w:cs="Arial"/>
          <w:szCs w:val="19"/>
        </w:rPr>
        <w:t>odmowy bez uzasadnionej przyczyny propozycji pracy lub innej formy pomocy (o 0,</w:t>
      </w:r>
      <w:r w:rsidR="00C54C48" w:rsidRPr="00822FB9">
        <w:rPr>
          <w:rFonts w:cs="Arial"/>
          <w:szCs w:val="19"/>
        </w:rPr>
        <w:t>5</w:t>
      </w:r>
      <w:r w:rsidRPr="00822FB9">
        <w:rPr>
          <w:rFonts w:cs="Arial"/>
          <w:szCs w:val="19"/>
        </w:rPr>
        <w:t xml:space="preserve"> p.proc. do 4,</w:t>
      </w:r>
      <w:r w:rsidR="00C54C48" w:rsidRPr="00822FB9">
        <w:rPr>
          <w:rFonts w:cs="Arial"/>
          <w:szCs w:val="19"/>
        </w:rPr>
        <w:t>9</w:t>
      </w:r>
      <w:r w:rsidRPr="00822FB9">
        <w:rPr>
          <w:rFonts w:cs="Arial"/>
          <w:szCs w:val="19"/>
        </w:rPr>
        <w:t xml:space="preserve">%), </w:t>
      </w:r>
      <w:r w:rsidR="00C54C48" w:rsidRPr="00822FB9">
        <w:rPr>
          <w:rFonts w:cs="Arial"/>
          <w:szCs w:val="19"/>
        </w:rPr>
        <w:t xml:space="preserve">osób, które rozpoczęły pracę społecznie użyteczną (o 0,2 p.proc. do  2,9%), nabycia praw emerytalnych lub rentowych (o 0,2 p.proc. do 0,5%), </w:t>
      </w:r>
      <w:r w:rsidRPr="00822FB9">
        <w:rPr>
          <w:rFonts w:cs="Arial"/>
          <w:szCs w:val="19"/>
        </w:rPr>
        <w:t>nabycia prawa do świadczenia przedemerytalnego (o 0,</w:t>
      </w:r>
      <w:r w:rsidR="00C54C48" w:rsidRPr="00822FB9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p.proc. do 0,</w:t>
      </w:r>
      <w:r w:rsidR="00C54C48" w:rsidRPr="00822FB9">
        <w:rPr>
          <w:rFonts w:cs="Arial"/>
          <w:szCs w:val="19"/>
        </w:rPr>
        <w:t>6</w:t>
      </w:r>
      <w:r w:rsidRPr="00822FB9">
        <w:rPr>
          <w:rFonts w:cs="Arial"/>
          <w:szCs w:val="19"/>
        </w:rPr>
        <w:t xml:space="preserve">%). </w:t>
      </w:r>
      <w:r w:rsidR="00C54C48" w:rsidRPr="00822FB9">
        <w:rPr>
          <w:rFonts w:cs="Arial"/>
          <w:szCs w:val="19"/>
        </w:rPr>
        <w:t>Zmniej</w:t>
      </w:r>
      <w:r w:rsidRPr="00822FB9">
        <w:rPr>
          <w:rFonts w:cs="Arial"/>
          <w:szCs w:val="19"/>
        </w:rPr>
        <w:t>szyły się natomiast udziały osób wykreślonych z ewidencji urzędów pracy w</w:t>
      </w:r>
      <w:r w:rsidR="00822FB9" w:rsidRPr="00822FB9">
        <w:rPr>
          <w:rFonts w:cs="Arial"/>
          <w:szCs w:val="19"/>
        </w:rPr>
        <w:t> </w:t>
      </w:r>
      <w:r w:rsidRPr="00822FB9">
        <w:rPr>
          <w:rFonts w:cs="Arial"/>
          <w:szCs w:val="19"/>
        </w:rPr>
        <w:t>wyniku dobrowolnej rezygnacji (o </w:t>
      </w:r>
      <w:r w:rsidR="00C54C48" w:rsidRPr="00822FB9">
        <w:rPr>
          <w:rFonts w:cs="Arial"/>
          <w:szCs w:val="19"/>
        </w:rPr>
        <w:t>4,2</w:t>
      </w:r>
      <w:r w:rsidRPr="00822FB9">
        <w:rPr>
          <w:rFonts w:cs="Arial"/>
          <w:szCs w:val="19"/>
        </w:rPr>
        <w:t xml:space="preserve"> p.proc. do </w:t>
      </w:r>
      <w:r w:rsidR="00C54C48" w:rsidRPr="00822FB9">
        <w:rPr>
          <w:rFonts w:cs="Arial"/>
          <w:szCs w:val="19"/>
        </w:rPr>
        <w:t>5,0</w:t>
      </w:r>
      <w:r w:rsidRPr="00822FB9">
        <w:rPr>
          <w:rFonts w:cs="Arial"/>
          <w:szCs w:val="19"/>
        </w:rPr>
        <w:t xml:space="preserve">%), </w:t>
      </w:r>
      <w:r w:rsidR="00C54C48" w:rsidRPr="00822FB9">
        <w:rPr>
          <w:rFonts w:cs="Arial"/>
          <w:szCs w:val="19"/>
        </w:rPr>
        <w:t xml:space="preserve">a także w efekcie </w:t>
      </w:r>
      <w:r w:rsidRPr="00822FB9">
        <w:rPr>
          <w:rFonts w:cs="Arial"/>
          <w:szCs w:val="19"/>
        </w:rPr>
        <w:t xml:space="preserve">podjęcia szkolenia u pracodawców (o </w:t>
      </w:r>
      <w:r w:rsidR="00C54C48" w:rsidRPr="00822FB9">
        <w:rPr>
          <w:rFonts w:cs="Arial"/>
          <w:szCs w:val="19"/>
        </w:rPr>
        <w:t>1,6</w:t>
      </w:r>
      <w:r w:rsidRPr="00822FB9">
        <w:rPr>
          <w:rFonts w:cs="Arial"/>
          <w:szCs w:val="19"/>
        </w:rPr>
        <w:t xml:space="preserve"> p.proc. do </w:t>
      </w:r>
      <w:r w:rsidR="00C54C48" w:rsidRPr="00822FB9">
        <w:rPr>
          <w:rFonts w:cs="Arial"/>
          <w:szCs w:val="19"/>
        </w:rPr>
        <w:t>0,9%)</w:t>
      </w:r>
      <w:r w:rsidRPr="00822FB9">
        <w:rPr>
          <w:rFonts w:cs="Arial"/>
          <w:szCs w:val="19"/>
        </w:rPr>
        <w:t>.</w:t>
      </w:r>
    </w:p>
    <w:p w:rsidR="00866CE0" w:rsidRPr="00822FB9" w:rsidRDefault="00DF6BD7" w:rsidP="00DF6BD7">
      <w:pPr>
        <w:rPr>
          <w:rFonts w:cs="Arial"/>
          <w:szCs w:val="19"/>
        </w:rPr>
      </w:pPr>
      <w:r w:rsidRPr="00822FB9">
        <w:rPr>
          <w:rFonts w:cs="Arial"/>
          <w:szCs w:val="19"/>
        </w:rPr>
        <w:t>Na przestrzeni I kwartału 20</w:t>
      </w:r>
      <w:r w:rsidR="00B26577" w:rsidRPr="00822FB9">
        <w:rPr>
          <w:rFonts w:cs="Arial"/>
          <w:szCs w:val="19"/>
        </w:rPr>
        <w:t>20</w:t>
      </w:r>
      <w:r w:rsidRPr="00822FB9">
        <w:rPr>
          <w:rFonts w:cs="Arial"/>
          <w:szCs w:val="19"/>
        </w:rPr>
        <w:t xml:space="preserve"> r. z ewidencji urzędów pracy wyrejestrowano </w:t>
      </w:r>
      <w:r w:rsidR="00B26577" w:rsidRPr="00822FB9">
        <w:rPr>
          <w:rFonts w:cs="Arial"/>
          <w:szCs w:val="19"/>
        </w:rPr>
        <w:t>14,6</w:t>
      </w:r>
      <w:r w:rsidRPr="00822FB9">
        <w:rPr>
          <w:rFonts w:cs="Arial"/>
          <w:szCs w:val="19"/>
        </w:rPr>
        <w:t xml:space="preserve"> tys. osób wobec </w:t>
      </w:r>
      <w:r w:rsidR="00B26577" w:rsidRPr="00822FB9">
        <w:rPr>
          <w:rFonts w:cs="Arial"/>
          <w:szCs w:val="19"/>
        </w:rPr>
        <w:t>18,1</w:t>
      </w:r>
      <w:r w:rsidRPr="00822FB9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B26577" w:rsidRPr="00822FB9">
        <w:rPr>
          <w:rFonts w:cs="Arial"/>
          <w:szCs w:val="19"/>
        </w:rPr>
        <w:t>zwięk</w:t>
      </w:r>
      <w:r w:rsidRPr="00822FB9">
        <w:rPr>
          <w:rFonts w:cs="Arial"/>
          <w:szCs w:val="19"/>
        </w:rPr>
        <w:t>szył się w stosunku do analogicznego okresu 201</w:t>
      </w:r>
      <w:r w:rsidR="00B26577" w:rsidRPr="00822FB9">
        <w:rPr>
          <w:rFonts w:cs="Arial"/>
          <w:szCs w:val="19"/>
        </w:rPr>
        <w:t>9</w:t>
      </w:r>
      <w:r w:rsidRPr="00822FB9">
        <w:rPr>
          <w:rFonts w:cs="Arial"/>
          <w:szCs w:val="19"/>
        </w:rPr>
        <w:t xml:space="preserve"> r. - z </w:t>
      </w:r>
      <w:r w:rsidR="00B26577" w:rsidRPr="00822FB9">
        <w:rPr>
          <w:rFonts w:cs="Arial"/>
          <w:szCs w:val="19"/>
        </w:rPr>
        <w:t>47,2</w:t>
      </w:r>
      <w:r w:rsidRPr="00822FB9">
        <w:rPr>
          <w:rFonts w:cs="Arial"/>
          <w:szCs w:val="19"/>
        </w:rPr>
        <w:t>% do 4</w:t>
      </w:r>
      <w:r w:rsidR="00B26577" w:rsidRPr="00822FB9">
        <w:rPr>
          <w:rFonts w:cs="Arial"/>
          <w:szCs w:val="19"/>
        </w:rPr>
        <w:t>9</w:t>
      </w:r>
      <w:r w:rsidRPr="00822FB9">
        <w:rPr>
          <w:rFonts w:cs="Arial"/>
          <w:szCs w:val="19"/>
        </w:rPr>
        <w:t xml:space="preserve">,2%, w tym pracy niesubsydiowanej </w:t>
      </w:r>
      <w:r w:rsidR="00B26577" w:rsidRPr="00822FB9">
        <w:rPr>
          <w:rFonts w:cs="Arial"/>
          <w:szCs w:val="19"/>
        </w:rPr>
        <w:t>wzrósł</w:t>
      </w:r>
      <w:r w:rsidRPr="00822FB9">
        <w:rPr>
          <w:rFonts w:cs="Arial"/>
          <w:szCs w:val="19"/>
        </w:rPr>
        <w:t xml:space="preserve"> – z </w:t>
      </w:r>
      <w:r w:rsidR="00B26577" w:rsidRPr="00822FB9">
        <w:rPr>
          <w:rFonts w:cs="Arial"/>
          <w:szCs w:val="19"/>
        </w:rPr>
        <w:t>38,6</w:t>
      </w:r>
      <w:r w:rsidRPr="00822FB9">
        <w:rPr>
          <w:rFonts w:cs="Arial"/>
          <w:szCs w:val="19"/>
        </w:rPr>
        <w:t xml:space="preserve">% do </w:t>
      </w:r>
      <w:r w:rsidR="00B26577" w:rsidRPr="00822FB9">
        <w:rPr>
          <w:rFonts w:cs="Arial"/>
          <w:szCs w:val="19"/>
        </w:rPr>
        <w:t>40,7</w:t>
      </w:r>
      <w:r w:rsidRPr="00822FB9">
        <w:rPr>
          <w:rFonts w:cs="Arial"/>
          <w:szCs w:val="19"/>
        </w:rPr>
        <w:t xml:space="preserve">%. Jednocześnie odnotowano </w:t>
      </w:r>
      <w:r w:rsidR="00B26577" w:rsidRPr="00822FB9">
        <w:rPr>
          <w:rFonts w:cs="Arial"/>
          <w:szCs w:val="19"/>
        </w:rPr>
        <w:t>wzrost</w:t>
      </w:r>
      <w:r w:rsidRPr="00822FB9">
        <w:rPr>
          <w:rFonts w:cs="Arial"/>
          <w:szCs w:val="19"/>
        </w:rPr>
        <w:t xml:space="preserve"> udziału osób, które utraciły status bezrobotnego w wyniku niepotwierdzenia gotowości do podjęcia pracy – z 12,</w:t>
      </w:r>
      <w:r w:rsidR="00B26577" w:rsidRPr="00822FB9">
        <w:rPr>
          <w:rFonts w:cs="Arial"/>
          <w:szCs w:val="19"/>
        </w:rPr>
        <w:t>3</w:t>
      </w:r>
      <w:r w:rsidRPr="00822FB9">
        <w:rPr>
          <w:rFonts w:cs="Arial"/>
          <w:szCs w:val="19"/>
        </w:rPr>
        <w:t xml:space="preserve">% do </w:t>
      </w:r>
      <w:r w:rsidR="00B26577" w:rsidRPr="00822FB9">
        <w:rPr>
          <w:rFonts w:cs="Arial"/>
          <w:szCs w:val="19"/>
        </w:rPr>
        <w:t>13,4</w:t>
      </w:r>
      <w:r w:rsidRPr="00822FB9">
        <w:rPr>
          <w:rFonts w:cs="Arial"/>
          <w:szCs w:val="19"/>
        </w:rPr>
        <w:t>%.</w:t>
      </w:r>
      <w:r w:rsidR="00FC5965" w:rsidRPr="00822FB9">
        <w:rPr>
          <w:rFonts w:cs="Arial"/>
          <w:szCs w:val="19"/>
        </w:rPr>
        <w:t xml:space="preserve"> </w:t>
      </w:r>
    </w:p>
    <w:p w:rsidR="00866CE0" w:rsidRPr="00822FB9" w:rsidRDefault="00866CE0" w:rsidP="000564C3">
      <w:pPr>
        <w:pStyle w:val="Tekstpodstawowywcity"/>
        <w:tabs>
          <w:tab w:val="left" w:pos="567"/>
        </w:tabs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822FB9">
        <w:rPr>
          <w:rFonts w:ascii="Fira Sans" w:hAnsi="Fira Sans" w:cs="Arial"/>
          <w:sz w:val="19"/>
          <w:szCs w:val="19"/>
        </w:rPr>
        <w:t xml:space="preserve">W końcu </w:t>
      </w:r>
      <w:r w:rsidR="00FC68AC" w:rsidRPr="00822FB9">
        <w:rPr>
          <w:rFonts w:ascii="Fira Sans" w:hAnsi="Fira Sans" w:cs="Arial"/>
          <w:sz w:val="19"/>
          <w:szCs w:val="19"/>
        </w:rPr>
        <w:t>marca</w:t>
      </w:r>
      <w:r w:rsidRPr="00822FB9">
        <w:rPr>
          <w:rFonts w:ascii="Fira Sans" w:hAnsi="Fira Sans" w:cs="Arial"/>
          <w:sz w:val="19"/>
          <w:szCs w:val="19"/>
        </w:rPr>
        <w:t xml:space="preserve"> 2020 r. </w:t>
      </w:r>
      <w:r w:rsidRPr="00822FB9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822FB9">
        <w:rPr>
          <w:rFonts w:ascii="Fira Sans" w:hAnsi="Fira Sans" w:cs="Arial"/>
          <w:sz w:val="19"/>
          <w:szCs w:val="19"/>
        </w:rPr>
        <w:t xml:space="preserve">pozostawało </w:t>
      </w:r>
      <w:r w:rsidR="00FC68AC" w:rsidRPr="00822FB9">
        <w:rPr>
          <w:rFonts w:ascii="Fira Sans" w:hAnsi="Fira Sans" w:cs="Arial"/>
          <w:sz w:val="19"/>
          <w:szCs w:val="19"/>
        </w:rPr>
        <w:t>35,8</w:t>
      </w:r>
      <w:r w:rsidRPr="00822FB9">
        <w:rPr>
          <w:rFonts w:ascii="Fira Sans" w:hAnsi="Fira Sans" w:cs="Arial"/>
          <w:sz w:val="19"/>
          <w:szCs w:val="19"/>
        </w:rPr>
        <w:t xml:space="preserve"> tys. bezrobotnych, a ich udział w liczbie bezrobotnych wyniósł </w:t>
      </w:r>
      <w:r w:rsidR="00133E41" w:rsidRPr="00822FB9">
        <w:rPr>
          <w:rFonts w:ascii="Fira Sans" w:hAnsi="Fira Sans" w:cs="Arial"/>
          <w:sz w:val="19"/>
          <w:szCs w:val="19"/>
        </w:rPr>
        <w:t>83,</w:t>
      </w:r>
      <w:r w:rsidR="00FC68AC" w:rsidRPr="00822FB9">
        <w:rPr>
          <w:rFonts w:ascii="Fira Sans" w:hAnsi="Fira Sans" w:cs="Arial"/>
          <w:sz w:val="19"/>
          <w:szCs w:val="19"/>
        </w:rPr>
        <w:t>4</w:t>
      </w:r>
      <w:r w:rsidRPr="00822FB9">
        <w:rPr>
          <w:rFonts w:ascii="Fira Sans" w:hAnsi="Fira Sans" w:cs="Arial"/>
          <w:sz w:val="19"/>
          <w:szCs w:val="19"/>
        </w:rPr>
        <w:t>%, tj. o 0,</w:t>
      </w:r>
      <w:r w:rsidR="00133E41" w:rsidRPr="00822FB9">
        <w:rPr>
          <w:rFonts w:ascii="Fira Sans" w:hAnsi="Fira Sans" w:cs="Arial"/>
          <w:sz w:val="19"/>
          <w:szCs w:val="19"/>
        </w:rPr>
        <w:t xml:space="preserve">3 </w:t>
      </w:r>
      <w:r w:rsidRPr="00822FB9">
        <w:rPr>
          <w:rFonts w:ascii="Fira Sans" w:hAnsi="Fira Sans" w:cs="Arial"/>
          <w:sz w:val="19"/>
          <w:szCs w:val="19"/>
        </w:rPr>
        <w:t xml:space="preserve">p.proc. </w:t>
      </w:r>
      <w:r w:rsidR="00133E41" w:rsidRPr="00822FB9">
        <w:rPr>
          <w:rFonts w:ascii="Fira Sans" w:hAnsi="Fira Sans" w:cs="Arial"/>
          <w:sz w:val="19"/>
          <w:szCs w:val="19"/>
        </w:rPr>
        <w:t>więcej</w:t>
      </w:r>
      <w:r w:rsidRPr="00822FB9">
        <w:rPr>
          <w:rFonts w:ascii="Fira Sans" w:hAnsi="Fira Sans" w:cs="Arial"/>
          <w:sz w:val="19"/>
          <w:szCs w:val="19"/>
        </w:rPr>
        <w:t xml:space="preserve"> niż przed rokiem.</w:t>
      </w:r>
    </w:p>
    <w:p w:rsidR="00866CE0" w:rsidRPr="00AA6894" w:rsidRDefault="00866CE0" w:rsidP="000564C3">
      <w:pPr>
        <w:rPr>
          <w:rFonts w:cs="Arial"/>
          <w:szCs w:val="19"/>
        </w:rPr>
      </w:pPr>
      <w:r w:rsidRPr="00822FB9">
        <w:rPr>
          <w:rFonts w:cs="Arial"/>
          <w:szCs w:val="19"/>
        </w:rPr>
        <w:t xml:space="preserve">Bezrobotni będący </w:t>
      </w:r>
      <w:r w:rsidRPr="00822FB9">
        <w:rPr>
          <w:rFonts w:cs="Arial"/>
          <w:b/>
          <w:szCs w:val="19"/>
        </w:rPr>
        <w:t>w szczególnej sytuacji na rynku pracy</w:t>
      </w:r>
      <w:r w:rsidRPr="00822FB9">
        <w:rPr>
          <w:rFonts w:cs="Arial"/>
          <w:szCs w:val="19"/>
        </w:rPr>
        <w:t xml:space="preserve"> stanowili 83,</w:t>
      </w:r>
      <w:r w:rsidR="005467C5" w:rsidRPr="00822FB9">
        <w:rPr>
          <w:rFonts w:cs="Arial"/>
          <w:szCs w:val="19"/>
        </w:rPr>
        <w:t>4</w:t>
      </w:r>
      <w:r w:rsidRPr="00822FB9">
        <w:rPr>
          <w:rFonts w:cs="Arial"/>
          <w:szCs w:val="19"/>
        </w:rPr>
        <w:t>% ogółu bezrobotnych, tj. o 0,</w:t>
      </w:r>
      <w:r w:rsidR="005467C5" w:rsidRPr="00822FB9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p.proc. więcej niż przed rokiem. Liczebność omawianej subpopulacji zmniejszyła się natomiast o </w:t>
      </w:r>
      <w:r w:rsidR="00AA6894" w:rsidRPr="00822FB9">
        <w:rPr>
          <w:rFonts w:cs="Arial"/>
          <w:szCs w:val="19"/>
        </w:rPr>
        <w:t>3,</w:t>
      </w:r>
      <w:r w:rsidR="005467C5" w:rsidRPr="00822FB9">
        <w:rPr>
          <w:rFonts w:cs="Arial"/>
          <w:szCs w:val="19"/>
        </w:rPr>
        <w:t>4</w:t>
      </w:r>
      <w:r w:rsidRPr="00822FB9">
        <w:rPr>
          <w:rFonts w:cs="Arial"/>
          <w:szCs w:val="19"/>
        </w:rPr>
        <w:t xml:space="preserve">%. </w:t>
      </w:r>
      <w:r w:rsidR="0089343D">
        <w:rPr>
          <w:rFonts w:cs="Arial"/>
          <w:szCs w:val="19"/>
        </w:rPr>
        <w:t>N</w:t>
      </w:r>
      <w:r w:rsidRPr="00822FB9">
        <w:rPr>
          <w:rFonts w:cs="Arial"/>
          <w:szCs w:val="19"/>
        </w:rPr>
        <w:t>adal największy odsetek stanowiły osoby długotrwale bezrobotne (</w:t>
      </w:r>
      <w:r w:rsidR="00DF6BD7" w:rsidRPr="00822FB9">
        <w:rPr>
          <w:rFonts w:cs="Arial"/>
          <w:szCs w:val="19"/>
        </w:rPr>
        <w:t>49,2</w:t>
      </w:r>
      <w:r w:rsidRPr="00822FB9">
        <w:rPr>
          <w:rFonts w:cs="Arial"/>
          <w:szCs w:val="19"/>
        </w:rPr>
        <w:t xml:space="preserve">%). Udział osób bezrobotnych w wieku do 30 lat wyniósł </w:t>
      </w:r>
      <w:r w:rsidR="00DF6BD7" w:rsidRPr="00822FB9">
        <w:rPr>
          <w:rFonts w:cs="Arial"/>
          <w:szCs w:val="19"/>
        </w:rPr>
        <w:t>27,9</w:t>
      </w:r>
      <w:r w:rsidRPr="00822FB9">
        <w:rPr>
          <w:rFonts w:cs="Arial"/>
          <w:szCs w:val="19"/>
        </w:rPr>
        <w:t>%, w tym osób w wieku do 25 roku życia 13,</w:t>
      </w:r>
      <w:r w:rsidR="00441A23" w:rsidRPr="00822FB9">
        <w:rPr>
          <w:rFonts w:cs="Arial"/>
          <w:szCs w:val="19"/>
        </w:rPr>
        <w:t>1</w:t>
      </w:r>
      <w:r w:rsidRPr="00822FB9">
        <w:rPr>
          <w:rFonts w:cs="Arial"/>
          <w:szCs w:val="19"/>
        </w:rPr>
        <w:t>%. Z kolei odsetek bezrobotnych powyżej 50 roku życia ukształtował się na poziomie 24,</w:t>
      </w:r>
      <w:r w:rsidR="00441A23" w:rsidRPr="00822FB9">
        <w:rPr>
          <w:rFonts w:cs="Arial"/>
          <w:szCs w:val="19"/>
        </w:rPr>
        <w:t>9</w:t>
      </w:r>
      <w:r w:rsidRPr="00822FB9">
        <w:rPr>
          <w:rFonts w:cs="Arial"/>
          <w:szCs w:val="19"/>
        </w:rPr>
        <w:t>%. Udział posiadających co najmniej jedno dziecko do 6 roku życia wyniósł 18,</w:t>
      </w:r>
      <w:r w:rsidR="00441A23" w:rsidRPr="00822FB9">
        <w:rPr>
          <w:rFonts w:cs="Arial"/>
          <w:szCs w:val="19"/>
        </w:rPr>
        <w:t>3</w:t>
      </w:r>
      <w:r w:rsidRPr="00822FB9">
        <w:rPr>
          <w:rFonts w:cs="Arial"/>
          <w:szCs w:val="19"/>
        </w:rPr>
        <w:t xml:space="preserve">%, a poszukujących pracy niepełnosprawnych 6,4%. W ujęciu rocznym, liczebność osób bezrobotnych w wieku do 30 lat zmniejszyła się o </w:t>
      </w:r>
      <w:r w:rsidR="00A42713" w:rsidRPr="00822FB9">
        <w:rPr>
          <w:rFonts w:cs="Arial"/>
          <w:szCs w:val="19"/>
        </w:rPr>
        <w:t>2,1</w:t>
      </w:r>
      <w:r w:rsidRPr="00822FB9">
        <w:rPr>
          <w:rFonts w:cs="Arial"/>
          <w:szCs w:val="19"/>
        </w:rPr>
        <w:t>%, w</w:t>
      </w:r>
      <w:r w:rsidR="00B22D41" w:rsidRPr="00822FB9">
        <w:rPr>
          <w:rFonts w:cs="Arial"/>
          <w:szCs w:val="19"/>
        </w:rPr>
        <w:t> </w:t>
      </w:r>
      <w:r w:rsidRPr="00822FB9">
        <w:rPr>
          <w:rFonts w:cs="Arial"/>
          <w:szCs w:val="19"/>
        </w:rPr>
        <w:t xml:space="preserve">tym osób do 25 roku życia </w:t>
      </w:r>
      <w:r w:rsidR="00AA6894" w:rsidRPr="00822FB9">
        <w:rPr>
          <w:rFonts w:cs="Arial"/>
          <w:szCs w:val="19"/>
        </w:rPr>
        <w:t>przy</w:t>
      </w:r>
      <w:r w:rsidRPr="00822FB9">
        <w:rPr>
          <w:rFonts w:cs="Arial"/>
          <w:szCs w:val="19"/>
        </w:rPr>
        <w:t xml:space="preserve">było </w:t>
      </w:r>
      <w:r w:rsidR="00AA6894" w:rsidRPr="00822FB9">
        <w:rPr>
          <w:rFonts w:cs="Arial"/>
          <w:szCs w:val="19"/>
        </w:rPr>
        <w:t>0,</w:t>
      </w:r>
      <w:r w:rsidR="00A42713" w:rsidRPr="00822FB9">
        <w:rPr>
          <w:rFonts w:cs="Arial"/>
          <w:szCs w:val="19"/>
        </w:rPr>
        <w:t>3</w:t>
      </w:r>
      <w:r w:rsidRPr="00822FB9">
        <w:rPr>
          <w:rFonts w:cs="Arial"/>
          <w:szCs w:val="19"/>
        </w:rPr>
        <w:t xml:space="preserve">%, a osób w wieku 50 lat i więcej odnotowano mniej o </w:t>
      </w:r>
      <w:r w:rsidR="00A42713" w:rsidRPr="00822FB9">
        <w:rPr>
          <w:rFonts w:cs="Arial"/>
          <w:szCs w:val="19"/>
        </w:rPr>
        <w:t>4,2</w:t>
      </w:r>
      <w:r w:rsidRPr="00822FB9">
        <w:rPr>
          <w:rFonts w:cs="Arial"/>
          <w:szCs w:val="19"/>
        </w:rPr>
        <w:t xml:space="preserve">%. Z kolei osób długotrwale bezrobotnych i niepełnosprawnych odnotowano mniej odpowiednio o </w:t>
      </w:r>
      <w:r w:rsidR="00AA6894" w:rsidRPr="00822FB9">
        <w:rPr>
          <w:rFonts w:cs="Arial"/>
          <w:szCs w:val="19"/>
        </w:rPr>
        <w:t>4,</w:t>
      </w:r>
      <w:r w:rsidR="00A42713" w:rsidRPr="00822FB9">
        <w:rPr>
          <w:rFonts w:cs="Arial"/>
          <w:szCs w:val="19"/>
        </w:rPr>
        <w:t>3</w:t>
      </w:r>
      <w:r w:rsidRPr="00822FB9">
        <w:rPr>
          <w:rFonts w:cs="Arial"/>
          <w:szCs w:val="19"/>
        </w:rPr>
        <w:t xml:space="preserve">% i o </w:t>
      </w:r>
      <w:r w:rsidR="00A42713" w:rsidRPr="00822FB9">
        <w:rPr>
          <w:rFonts w:cs="Arial"/>
          <w:szCs w:val="19"/>
        </w:rPr>
        <w:t>4,5</w:t>
      </w:r>
      <w:r w:rsidRPr="00822FB9">
        <w:rPr>
          <w:rFonts w:cs="Arial"/>
          <w:szCs w:val="19"/>
        </w:rPr>
        <w:t xml:space="preserve">%. Zmniejszyła się również liczebność subpopulacji osób, które korzystały ze świadczeń pomocy społecznej (o </w:t>
      </w:r>
      <w:r w:rsidR="00A42713" w:rsidRPr="00822FB9">
        <w:rPr>
          <w:rFonts w:cs="Arial"/>
          <w:szCs w:val="19"/>
        </w:rPr>
        <w:t>23,6</w:t>
      </w:r>
      <w:r w:rsidRPr="00822FB9">
        <w:rPr>
          <w:rFonts w:cs="Arial"/>
          <w:szCs w:val="19"/>
        </w:rPr>
        <w:t>%), osób posiadających co najmniej jedno dziecko do 6 roku życia (o </w:t>
      </w:r>
      <w:r w:rsidR="00A42713" w:rsidRPr="00822FB9">
        <w:rPr>
          <w:rFonts w:cs="Arial"/>
          <w:szCs w:val="19"/>
        </w:rPr>
        <w:t>7,1</w:t>
      </w:r>
      <w:r w:rsidRPr="00822FB9">
        <w:rPr>
          <w:rFonts w:cs="Arial"/>
          <w:szCs w:val="19"/>
        </w:rPr>
        <w:t>%). Wzrosła liczba osób posiadających co najmni</w:t>
      </w:r>
      <w:r w:rsidRPr="00AA6894">
        <w:rPr>
          <w:rFonts w:cs="Arial"/>
          <w:szCs w:val="19"/>
        </w:rPr>
        <w:t>ej jedno dziecko niepełnosprawne do 18 roku życia (o </w:t>
      </w:r>
      <w:r w:rsidR="00A42713">
        <w:rPr>
          <w:rFonts w:cs="Arial"/>
          <w:szCs w:val="19"/>
        </w:rPr>
        <w:t>2,4</w:t>
      </w:r>
      <w:r w:rsidRPr="00AA6894">
        <w:rPr>
          <w:rFonts w:cs="Arial"/>
          <w:szCs w:val="19"/>
        </w:rPr>
        <w:t>%).</w:t>
      </w:r>
    </w:p>
    <w:p w:rsidR="00866CE0" w:rsidRDefault="00866CE0" w:rsidP="00822FB9">
      <w:pPr>
        <w:pStyle w:val="tytuwykresu"/>
        <w:rPr>
          <w:shd w:val="clear" w:color="auto" w:fill="FFFFFF"/>
        </w:rPr>
      </w:pPr>
      <w:r w:rsidRPr="006473EA">
        <w:rPr>
          <w:shd w:val="clear" w:color="auto" w:fill="FFFFFF"/>
        </w:rPr>
        <w:lastRenderedPageBreak/>
        <w:t>Tablica 3. Kategorie osób bezrobotnych będących w szczególnej sytuacji na rynku pracy</w:t>
      </w:r>
    </w:p>
    <w:p w:rsidR="00866CE0" w:rsidRPr="00C14F32" w:rsidRDefault="00866CE0" w:rsidP="00822FB9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24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9"/>
        <w:gridCol w:w="1233"/>
        <w:gridCol w:w="1232"/>
        <w:gridCol w:w="1233"/>
      </w:tblGrid>
      <w:tr w:rsidR="00FB3A90" w:rsidRPr="00FA5128" w:rsidTr="00874993">
        <w:trPr>
          <w:trHeight w:val="57"/>
        </w:trPr>
        <w:tc>
          <w:tcPr>
            <w:tcW w:w="67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FB3A90" w:rsidRPr="009C7251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FB3A90" w:rsidRPr="00FA5128" w:rsidRDefault="00FB3A90" w:rsidP="006D2421">
            <w:pPr>
              <w:pStyle w:val="Nagwek3"/>
              <w:spacing w:before="0" w:line="1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465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:rsidR="00FB3A90" w:rsidRPr="00FA5128" w:rsidRDefault="00FB3A90" w:rsidP="006D2421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FB3A90" w:rsidRPr="00FA5128" w:rsidTr="00874993">
        <w:trPr>
          <w:trHeight w:val="57"/>
        </w:trPr>
        <w:tc>
          <w:tcPr>
            <w:tcW w:w="6769" w:type="dxa"/>
            <w:vMerge/>
            <w:tcBorders>
              <w:right w:val="single" w:sz="4" w:space="0" w:color="522398"/>
            </w:tcBorders>
            <w:vAlign w:val="center"/>
          </w:tcPr>
          <w:p w:rsidR="00FB3A90" w:rsidRPr="00FA5128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FB3A90" w:rsidRPr="00FA5128" w:rsidRDefault="00FB3A90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874993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:rsidR="00FB3A90" w:rsidRPr="00FA5128" w:rsidRDefault="00FB3A90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874993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3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:rsidR="00FB3A90" w:rsidRPr="00FA5128" w:rsidRDefault="00FB3A90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874993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FB3A90" w:rsidRPr="00FA5128" w:rsidTr="00874993">
        <w:trPr>
          <w:trHeight w:val="57"/>
        </w:trPr>
        <w:tc>
          <w:tcPr>
            <w:tcW w:w="67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FB3A90" w:rsidRPr="00FA5128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8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:rsidR="00FB3A90" w:rsidRDefault="00FB3A90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9028EF" w:rsidRPr="006C2CCB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</w:tr>
      <w:tr w:rsidR="009028EF" w:rsidRPr="006C2CCB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</w:tr>
      <w:tr w:rsidR="009028EF" w:rsidRPr="006C2CCB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</w:tr>
      <w:tr w:rsidR="009028EF" w:rsidRPr="006C2CCB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4D3087">
              <w:rPr>
                <w:rFonts w:ascii="Fira Sans" w:hAnsi="Fira Sans" w:cs="Arial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49,2</w:t>
            </w:r>
          </w:p>
        </w:tc>
      </w:tr>
      <w:tr w:rsidR="009028EF" w:rsidRPr="006C2CCB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</w:tr>
      <w:tr w:rsidR="009028EF" w:rsidRPr="006C2CCB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</w:tr>
      <w:tr w:rsidR="009028EF" w:rsidRPr="006C2CCB" w:rsidTr="00920672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9028EF" w:rsidRPr="006C2CCB" w:rsidTr="00920672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4D3087" w:rsidRDefault="009028EF" w:rsidP="0087499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28EF" w:rsidRPr="008A1802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802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28EF" w:rsidRPr="009028EF" w:rsidRDefault="009028EF" w:rsidP="009028E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</w:tr>
    </w:tbl>
    <w:p w:rsidR="00866CE0" w:rsidRPr="00F61FFA" w:rsidRDefault="00866CE0" w:rsidP="00866CE0">
      <w:pPr>
        <w:ind w:left="170"/>
        <w:rPr>
          <w:sz w:val="16"/>
          <w:szCs w:val="16"/>
        </w:rPr>
      </w:pPr>
      <w:r w:rsidRPr="00F61FFA">
        <w:rPr>
          <w:i/>
          <w:sz w:val="16"/>
          <w:szCs w:val="16"/>
          <w:vertAlign w:val="superscript"/>
        </w:rPr>
        <w:t xml:space="preserve">a </w:t>
      </w:r>
      <w:r w:rsidRPr="00F61FFA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F61FFA">
        <w:rPr>
          <w:sz w:val="16"/>
          <w:szCs w:val="16"/>
        </w:rPr>
        <w:br/>
        <w:t>w okresie ostatnich 2 lat, z wyłączeniem okresów odbywania stażu i przygotowania zawodowego w miejscu pracy.</w:t>
      </w:r>
    </w:p>
    <w:p w:rsidR="00866CE0" w:rsidRDefault="00866CE0" w:rsidP="00866CE0">
      <w:pPr>
        <w:tabs>
          <w:tab w:val="left" w:pos="426"/>
        </w:tabs>
        <w:spacing w:before="0" w:after="0" w:line="240" w:lineRule="auto"/>
        <w:jc w:val="both"/>
        <w:rPr>
          <w:rFonts w:cs="Arial"/>
          <w:szCs w:val="19"/>
        </w:rPr>
      </w:pPr>
    </w:p>
    <w:p w:rsidR="00866CE0" w:rsidRPr="00006B39" w:rsidRDefault="00866CE0" w:rsidP="00866CE0">
      <w:pPr>
        <w:tabs>
          <w:tab w:val="left" w:pos="426"/>
        </w:tabs>
        <w:rPr>
          <w:rFonts w:cs="Arial"/>
          <w:szCs w:val="19"/>
        </w:rPr>
      </w:pPr>
      <w:r w:rsidRPr="00006B39">
        <w:rPr>
          <w:rFonts w:cs="Arial"/>
          <w:szCs w:val="19"/>
        </w:rPr>
        <w:t>Z danych urzędów p</w:t>
      </w:r>
      <w:r w:rsidR="00AB6883">
        <w:rPr>
          <w:rFonts w:cs="Arial"/>
          <w:szCs w:val="19"/>
        </w:rPr>
        <w:t>racy wynika, że według stanu w końcu</w:t>
      </w:r>
      <w:r w:rsidR="0031603D" w:rsidRPr="00006B39">
        <w:rPr>
          <w:rFonts w:cs="Arial"/>
          <w:szCs w:val="19"/>
        </w:rPr>
        <w:t xml:space="preserve"> </w:t>
      </w:r>
      <w:r w:rsidR="00182FD9">
        <w:rPr>
          <w:rFonts w:cs="Arial"/>
          <w:szCs w:val="19"/>
        </w:rPr>
        <w:t>marca</w:t>
      </w:r>
      <w:r w:rsidRPr="00006B39">
        <w:rPr>
          <w:rFonts w:cs="Arial"/>
          <w:szCs w:val="19"/>
        </w:rPr>
        <w:t xml:space="preserve"> 2020 r.</w:t>
      </w:r>
      <w:r w:rsidR="00182FD9">
        <w:rPr>
          <w:rFonts w:cs="Arial"/>
          <w:szCs w:val="19"/>
        </w:rPr>
        <w:t>, podobnie jak przed rokiem,</w:t>
      </w:r>
      <w:r w:rsidRPr="00006B39">
        <w:rPr>
          <w:rFonts w:cs="Arial"/>
          <w:szCs w:val="19"/>
        </w:rPr>
        <w:t xml:space="preserve"> </w:t>
      </w:r>
      <w:r w:rsidR="00182FD9">
        <w:rPr>
          <w:rFonts w:cs="Arial"/>
          <w:szCs w:val="19"/>
        </w:rPr>
        <w:t>1</w:t>
      </w:r>
      <w:r w:rsidRPr="00006B39">
        <w:rPr>
          <w:rFonts w:cs="Arial"/>
          <w:szCs w:val="19"/>
        </w:rPr>
        <w:t xml:space="preserve"> zakład pracy zapowiedział zwolnienia grupowe.</w:t>
      </w:r>
    </w:p>
    <w:p w:rsidR="008F09C1" w:rsidRPr="00037BED" w:rsidRDefault="008F09C1" w:rsidP="008F09C1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037BED">
        <w:rPr>
          <w:rFonts w:cs="Arial"/>
          <w:szCs w:val="19"/>
        </w:rPr>
        <w:t>W marcu 20</w:t>
      </w:r>
      <w:r>
        <w:rPr>
          <w:rFonts w:cs="Arial"/>
          <w:szCs w:val="19"/>
        </w:rPr>
        <w:t>20</w:t>
      </w:r>
      <w:r w:rsidRPr="00037BED">
        <w:rPr>
          <w:rFonts w:cs="Arial"/>
          <w:szCs w:val="19"/>
        </w:rPr>
        <w:t xml:space="preserve"> r. do urzędów pracy zgłoszono </w:t>
      </w:r>
      <w:r>
        <w:rPr>
          <w:rFonts w:cs="Arial"/>
          <w:szCs w:val="19"/>
        </w:rPr>
        <w:t>1,5</w:t>
      </w:r>
      <w:r w:rsidRPr="00037BED">
        <w:rPr>
          <w:rFonts w:cs="Arial"/>
          <w:szCs w:val="19"/>
        </w:rPr>
        <w:t xml:space="preserve"> tys. ofert zatrudnienia, tj. mniej o </w:t>
      </w:r>
      <w:r w:rsidR="00664822">
        <w:rPr>
          <w:rFonts w:cs="Arial"/>
          <w:szCs w:val="19"/>
        </w:rPr>
        <w:t>1,6</w:t>
      </w:r>
      <w:r w:rsidRPr="00037BED">
        <w:rPr>
          <w:rFonts w:cs="Arial"/>
          <w:szCs w:val="19"/>
        </w:rPr>
        <w:t xml:space="preserve"> tys. niż przed miesiącem </w:t>
      </w:r>
      <w:r>
        <w:rPr>
          <w:rFonts w:cs="Arial"/>
          <w:szCs w:val="19"/>
        </w:rPr>
        <w:t xml:space="preserve">i </w:t>
      </w:r>
      <w:r w:rsidRPr="00037BED">
        <w:rPr>
          <w:rFonts w:cs="Arial"/>
          <w:szCs w:val="19"/>
        </w:rPr>
        <w:t xml:space="preserve">o </w:t>
      </w:r>
      <w:r w:rsidR="00664822">
        <w:rPr>
          <w:rFonts w:cs="Arial"/>
          <w:szCs w:val="19"/>
        </w:rPr>
        <w:t>1</w:t>
      </w:r>
      <w:r w:rsidRPr="00037BED">
        <w:rPr>
          <w:rFonts w:cs="Arial"/>
          <w:szCs w:val="19"/>
        </w:rPr>
        <w:t xml:space="preserve">,4 tys. niż przed rokiem. W końcu miesiąca na 1 ofertę pracy przypadało </w:t>
      </w:r>
      <w:r>
        <w:rPr>
          <w:rFonts w:cs="Arial"/>
          <w:szCs w:val="19"/>
        </w:rPr>
        <w:t>31</w:t>
      </w:r>
      <w:r w:rsidRPr="00037BED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24</w:t>
      </w:r>
      <w:r w:rsidRPr="00037BED">
        <w:rPr>
          <w:rFonts w:cs="Arial"/>
          <w:szCs w:val="19"/>
        </w:rPr>
        <w:t>, a przed rokiem 2</w:t>
      </w:r>
      <w:r>
        <w:rPr>
          <w:rFonts w:cs="Arial"/>
          <w:szCs w:val="19"/>
        </w:rPr>
        <w:t>5</w:t>
      </w:r>
      <w:r w:rsidRPr="00037BED">
        <w:rPr>
          <w:rFonts w:cs="Arial"/>
          <w:szCs w:val="19"/>
        </w:rPr>
        <w:t>).</w:t>
      </w:r>
    </w:p>
    <w:p w:rsidR="00866CE0" w:rsidRPr="00786925" w:rsidRDefault="008F09C1" w:rsidP="008F09C1">
      <w:pPr>
        <w:tabs>
          <w:tab w:val="left" w:pos="426"/>
        </w:tabs>
        <w:rPr>
          <w:rFonts w:cs="Arial"/>
          <w:szCs w:val="19"/>
        </w:rPr>
      </w:pPr>
      <w:r w:rsidRPr="00786925">
        <w:rPr>
          <w:rFonts w:cs="Arial"/>
          <w:szCs w:val="19"/>
        </w:rPr>
        <w:t xml:space="preserve">Liczba ofert pracy zgłoszonych przez zakłady pracy </w:t>
      </w:r>
      <w:r w:rsidR="000E4A92">
        <w:rPr>
          <w:rFonts w:cs="Arial"/>
          <w:szCs w:val="19"/>
        </w:rPr>
        <w:t>w I kwartale</w:t>
      </w:r>
      <w:r w:rsidRPr="00786925">
        <w:rPr>
          <w:rFonts w:cs="Arial"/>
          <w:szCs w:val="19"/>
        </w:rPr>
        <w:t xml:space="preserve"> 20</w:t>
      </w:r>
      <w:r w:rsidR="00664822" w:rsidRPr="00786925">
        <w:rPr>
          <w:rFonts w:cs="Arial"/>
          <w:szCs w:val="19"/>
        </w:rPr>
        <w:t>20</w:t>
      </w:r>
      <w:r w:rsidRPr="00786925">
        <w:rPr>
          <w:rFonts w:cs="Arial"/>
          <w:szCs w:val="19"/>
        </w:rPr>
        <w:t xml:space="preserve"> r. wyniosła </w:t>
      </w:r>
      <w:r w:rsidR="00664822" w:rsidRPr="00786925">
        <w:rPr>
          <w:rFonts w:cs="Arial"/>
          <w:szCs w:val="19"/>
        </w:rPr>
        <w:t>6,7</w:t>
      </w:r>
      <w:r w:rsidRPr="00786925">
        <w:rPr>
          <w:rFonts w:cs="Arial"/>
          <w:szCs w:val="19"/>
        </w:rPr>
        <w:t xml:space="preserve"> tys., tj. o </w:t>
      </w:r>
      <w:r w:rsidR="00664822" w:rsidRPr="00786925">
        <w:rPr>
          <w:rFonts w:cs="Arial"/>
          <w:szCs w:val="19"/>
        </w:rPr>
        <w:t>2,8</w:t>
      </w:r>
      <w:r w:rsidRPr="00786925">
        <w:rPr>
          <w:rFonts w:cs="Arial"/>
          <w:szCs w:val="19"/>
        </w:rPr>
        <w:t xml:space="preserve"> tys. mniej niż w 201</w:t>
      </w:r>
      <w:r w:rsidR="00664822" w:rsidRPr="00786925">
        <w:rPr>
          <w:rFonts w:cs="Arial"/>
          <w:szCs w:val="19"/>
        </w:rPr>
        <w:t>9</w:t>
      </w:r>
      <w:r w:rsidRPr="00786925">
        <w:rPr>
          <w:rFonts w:cs="Arial"/>
          <w:szCs w:val="19"/>
        </w:rPr>
        <w:t xml:space="preserve"> r. Na przestrzeni I kwartału 20</w:t>
      </w:r>
      <w:r w:rsidR="00664822" w:rsidRPr="00786925">
        <w:rPr>
          <w:rFonts w:cs="Arial"/>
          <w:szCs w:val="19"/>
        </w:rPr>
        <w:t>20</w:t>
      </w:r>
      <w:r w:rsidRPr="00786925">
        <w:rPr>
          <w:rFonts w:cs="Arial"/>
          <w:szCs w:val="19"/>
        </w:rPr>
        <w:t xml:space="preserve"> r. </w:t>
      </w:r>
      <w:r w:rsidR="00F37696">
        <w:rPr>
          <w:rFonts w:cs="Arial"/>
          <w:szCs w:val="19"/>
        </w:rPr>
        <w:t>z</w:t>
      </w:r>
      <w:r w:rsidR="00F37696" w:rsidRPr="00786925">
        <w:rPr>
          <w:rFonts w:cs="Arial"/>
          <w:szCs w:val="19"/>
        </w:rPr>
        <w:t xml:space="preserve">mniejszyła się </w:t>
      </w:r>
      <w:r w:rsidR="00024B09">
        <w:rPr>
          <w:rFonts w:cs="Arial"/>
          <w:szCs w:val="19"/>
        </w:rPr>
        <w:t xml:space="preserve">zarówno </w:t>
      </w:r>
      <w:r w:rsidR="00F37696" w:rsidRPr="00786925">
        <w:rPr>
          <w:rFonts w:cs="Arial"/>
          <w:szCs w:val="19"/>
        </w:rPr>
        <w:t xml:space="preserve">liczba </w:t>
      </w:r>
      <w:r w:rsidR="00F37696">
        <w:rPr>
          <w:rFonts w:cs="Arial"/>
          <w:szCs w:val="19"/>
        </w:rPr>
        <w:t>osób s</w:t>
      </w:r>
      <w:r w:rsidR="00F37696" w:rsidRPr="00786925">
        <w:rPr>
          <w:rFonts w:cs="Arial"/>
          <w:szCs w:val="19"/>
        </w:rPr>
        <w:t>kierowa</w:t>
      </w:r>
      <w:r w:rsidR="00F37696">
        <w:rPr>
          <w:rFonts w:cs="Arial"/>
          <w:szCs w:val="19"/>
        </w:rPr>
        <w:t>n</w:t>
      </w:r>
      <w:r w:rsidR="00F37696" w:rsidRPr="00786925">
        <w:rPr>
          <w:rFonts w:cs="Arial"/>
          <w:szCs w:val="19"/>
        </w:rPr>
        <w:t>y</w:t>
      </w:r>
      <w:r w:rsidR="00F37696">
        <w:rPr>
          <w:rFonts w:cs="Arial"/>
          <w:szCs w:val="19"/>
        </w:rPr>
        <w:t>ch</w:t>
      </w:r>
      <w:r w:rsidR="00F37696" w:rsidRPr="00786925">
        <w:rPr>
          <w:rFonts w:cs="Arial"/>
          <w:szCs w:val="19"/>
        </w:rPr>
        <w:t xml:space="preserve"> na szkolenia </w:t>
      </w:r>
      <w:r w:rsidR="00F37696">
        <w:rPr>
          <w:rFonts w:cs="Arial"/>
          <w:szCs w:val="19"/>
        </w:rPr>
        <w:t xml:space="preserve">- </w:t>
      </w:r>
      <w:r w:rsidR="00F37696" w:rsidRPr="00786925">
        <w:rPr>
          <w:rFonts w:cs="Arial"/>
          <w:szCs w:val="19"/>
        </w:rPr>
        <w:t>o 63,0%</w:t>
      </w:r>
      <w:r w:rsidR="00F37696">
        <w:rPr>
          <w:rFonts w:cs="Arial"/>
          <w:szCs w:val="19"/>
        </w:rPr>
        <w:t xml:space="preserve"> (z 0,3 tys. </w:t>
      </w:r>
      <w:r w:rsidR="00563430">
        <w:rPr>
          <w:rFonts w:cs="Arial"/>
          <w:szCs w:val="19"/>
        </w:rPr>
        <w:t xml:space="preserve">osób </w:t>
      </w:r>
      <w:r w:rsidR="00F37696">
        <w:rPr>
          <w:rFonts w:cs="Arial"/>
          <w:szCs w:val="19"/>
        </w:rPr>
        <w:t xml:space="preserve">do </w:t>
      </w:r>
      <w:r w:rsidR="00F37696" w:rsidRPr="00786925">
        <w:rPr>
          <w:rFonts w:cs="Arial"/>
          <w:szCs w:val="19"/>
        </w:rPr>
        <w:t>0,1 tys.</w:t>
      </w:r>
      <w:r w:rsidR="00F37696">
        <w:rPr>
          <w:rFonts w:cs="Arial"/>
          <w:szCs w:val="19"/>
        </w:rPr>
        <w:t xml:space="preserve">), </w:t>
      </w:r>
      <w:r w:rsidR="00024B09">
        <w:rPr>
          <w:rFonts w:cs="Arial"/>
          <w:szCs w:val="19"/>
        </w:rPr>
        <w:t>jak i</w:t>
      </w:r>
      <w:r w:rsidR="00F37696">
        <w:rPr>
          <w:rFonts w:cs="Arial"/>
          <w:szCs w:val="19"/>
        </w:rPr>
        <w:t xml:space="preserve"> </w:t>
      </w:r>
      <w:r w:rsidR="00F37696" w:rsidRPr="00786925">
        <w:rPr>
          <w:rFonts w:cs="Arial"/>
          <w:szCs w:val="19"/>
        </w:rPr>
        <w:t xml:space="preserve">osób, które rozpoczęły staż – o 32,7% (z 2,5 tys. </w:t>
      </w:r>
      <w:r w:rsidR="00563430">
        <w:rPr>
          <w:rFonts w:cs="Arial"/>
          <w:szCs w:val="19"/>
        </w:rPr>
        <w:t xml:space="preserve">osób </w:t>
      </w:r>
      <w:r w:rsidR="00F37696" w:rsidRPr="00786925">
        <w:rPr>
          <w:rFonts w:cs="Arial"/>
          <w:szCs w:val="19"/>
        </w:rPr>
        <w:t>do 1,7 tys.)</w:t>
      </w:r>
      <w:r w:rsidR="00F37696">
        <w:rPr>
          <w:rFonts w:cs="Arial"/>
          <w:szCs w:val="19"/>
        </w:rPr>
        <w:t>.</w:t>
      </w:r>
    </w:p>
    <w:p w:rsidR="00866CE0" w:rsidRDefault="00866CE0" w:rsidP="00866CE0">
      <w:pPr>
        <w:pStyle w:val="tytuwykresu"/>
        <w:spacing w:before="360" w:after="120"/>
        <w:rPr>
          <w:shd w:val="clear" w:color="auto" w:fill="FFFFFF"/>
        </w:rPr>
      </w:pPr>
      <w:r w:rsidRPr="006473EA">
        <w:t>Wykres 3.</w:t>
      </w:r>
      <w:r w:rsidRPr="006473EA">
        <w:rPr>
          <w:shd w:val="clear" w:color="auto" w:fill="FFFFFF"/>
        </w:rPr>
        <w:t xml:space="preserve"> Bezrobotni na 1 ofertę pracy</w:t>
      </w:r>
    </w:p>
    <w:p w:rsidR="00866CE0" w:rsidRDefault="00FF152C" w:rsidP="00866CE0">
      <w:pPr>
        <w:spacing w:after="80" w:line="274" w:lineRule="auto"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4DC34716" wp14:editId="3C14E18C">
            <wp:extent cx="6610350" cy="2533015"/>
            <wp:effectExtent l="0" t="0" r="0" b="63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065A" w:rsidRDefault="006B065A" w:rsidP="00EA0BE2">
      <w:pPr>
        <w:spacing w:after="80" w:line="274" w:lineRule="auto"/>
        <w:rPr>
          <w:rFonts w:cs="Arial"/>
        </w:rPr>
      </w:pPr>
    </w:p>
    <w:p w:rsidR="007A12A8" w:rsidRPr="00B002F5" w:rsidRDefault="00DC46ED" w:rsidP="006809ED">
      <w:pPr>
        <w:rPr>
          <w:rFonts w:cs="Arial"/>
        </w:rPr>
      </w:pPr>
      <w:r w:rsidRPr="00B002F5">
        <w:rPr>
          <w:rFonts w:cs="Arial"/>
        </w:rPr>
        <w:t>W</w:t>
      </w:r>
      <w:r w:rsidRPr="00B002F5">
        <w:rPr>
          <w:rFonts w:cs="Arial"/>
          <w:spacing w:val="-2"/>
        </w:rPr>
        <w:t xml:space="preserve"> </w:t>
      </w:r>
      <w:r w:rsidR="00FB32D9" w:rsidRPr="00B002F5">
        <w:rPr>
          <w:rFonts w:cs="Arial"/>
          <w:spacing w:val="-2"/>
        </w:rPr>
        <w:t xml:space="preserve">okresie </w:t>
      </w:r>
      <w:r w:rsidRPr="00B002F5">
        <w:rPr>
          <w:rFonts w:cs="Arial"/>
          <w:spacing w:val="-2"/>
        </w:rPr>
        <w:t>stycz</w:t>
      </w:r>
      <w:r w:rsidR="00FB32D9" w:rsidRPr="00B002F5">
        <w:rPr>
          <w:rFonts w:cs="Arial"/>
          <w:spacing w:val="-2"/>
        </w:rPr>
        <w:t>eń-</w:t>
      </w:r>
      <w:r w:rsidR="0089081E" w:rsidRPr="00B002F5">
        <w:rPr>
          <w:rFonts w:cs="Arial"/>
          <w:spacing w:val="-2"/>
        </w:rPr>
        <w:t>marzec</w:t>
      </w:r>
      <w:r w:rsidRPr="00B002F5">
        <w:rPr>
          <w:rFonts w:cs="Arial"/>
          <w:spacing w:val="-2"/>
        </w:rPr>
        <w:t xml:space="preserve"> 2020 r. wydatkowano z </w:t>
      </w:r>
      <w:r w:rsidRPr="00B002F5">
        <w:rPr>
          <w:rFonts w:cs="Arial"/>
          <w:b/>
          <w:spacing w:val="-2"/>
        </w:rPr>
        <w:t xml:space="preserve">Funduszu Pracy </w:t>
      </w:r>
      <w:r w:rsidR="00B002F5" w:rsidRPr="00B002F5">
        <w:rPr>
          <w:rFonts w:cs="Arial"/>
          <w:spacing w:val="-2"/>
        </w:rPr>
        <w:t>33134</w:t>
      </w:r>
      <w:r w:rsidRPr="00B002F5">
        <w:rPr>
          <w:rFonts w:cs="Arial"/>
          <w:spacing w:val="-2"/>
        </w:rPr>
        <w:t xml:space="preserve"> tys. zł wobec </w:t>
      </w:r>
      <w:r w:rsidR="0089081E" w:rsidRPr="00B002F5">
        <w:rPr>
          <w:rFonts w:cs="Arial"/>
          <w:spacing w:val="-2"/>
        </w:rPr>
        <w:t>37702</w:t>
      </w:r>
      <w:r w:rsidRPr="00B002F5">
        <w:rPr>
          <w:rFonts w:cs="Arial"/>
          <w:spacing w:val="-2"/>
        </w:rPr>
        <w:t xml:space="preserve"> tys. zł</w:t>
      </w:r>
      <w:r w:rsidRPr="00B002F5">
        <w:rPr>
          <w:rFonts w:cs="Arial"/>
        </w:rPr>
        <w:t xml:space="preserve"> w analogicznym okresie poprzedniego roku. Najwięcej przeznaczono na realizację programów na zasiłki dla bezrobotnych (</w:t>
      </w:r>
      <w:r w:rsidR="00B002F5">
        <w:rPr>
          <w:rFonts w:cs="Arial"/>
        </w:rPr>
        <w:t>61,6</w:t>
      </w:r>
      <w:r w:rsidRPr="00B002F5">
        <w:rPr>
          <w:rFonts w:cs="Arial"/>
        </w:rPr>
        <w:t>%) oraz na rzecz promocji zatrudnienia (</w:t>
      </w:r>
      <w:r w:rsidR="00B002F5">
        <w:rPr>
          <w:rFonts w:cs="Arial"/>
        </w:rPr>
        <w:t>30,3</w:t>
      </w:r>
      <w:r w:rsidRPr="00B002F5">
        <w:rPr>
          <w:rFonts w:cs="Arial"/>
        </w:rPr>
        <w:t>%).</w:t>
      </w:r>
    </w:p>
    <w:p w:rsidR="00284CE4" w:rsidRPr="00EF2D6D" w:rsidRDefault="00284CE4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:rsidR="00783432" w:rsidRPr="00783432" w:rsidRDefault="00783432" w:rsidP="00FF253C">
      <w:pPr>
        <w:rPr>
          <w:rFonts w:cs="Arial"/>
          <w:iCs/>
          <w:szCs w:val="19"/>
        </w:rPr>
      </w:pPr>
      <w:r w:rsidRPr="0007764A">
        <w:rPr>
          <w:rFonts w:cs="Arial"/>
          <w:iCs/>
        </w:rPr>
        <w:t xml:space="preserve">Marzec br. </w:t>
      </w:r>
      <w:r>
        <w:rPr>
          <w:rFonts w:cs="Arial"/>
          <w:iCs/>
        </w:rPr>
        <w:t>był</w:t>
      </w:r>
      <w:r w:rsidRPr="0007764A">
        <w:rPr>
          <w:rFonts w:cs="Arial"/>
          <w:iCs/>
        </w:rPr>
        <w:t xml:space="preserve"> k</w:t>
      </w:r>
      <w:r w:rsidRPr="0007764A">
        <w:rPr>
          <w:rFonts w:cs="Arial"/>
        </w:rPr>
        <w:t>olejny</w:t>
      </w:r>
      <w:r>
        <w:rPr>
          <w:rFonts w:cs="Arial"/>
        </w:rPr>
        <w:t>m</w:t>
      </w:r>
      <w:r w:rsidRPr="0007764A">
        <w:rPr>
          <w:rFonts w:cs="Arial"/>
        </w:rPr>
        <w:t xml:space="preserve"> miesiąc</w:t>
      </w:r>
      <w:r>
        <w:rPr>
          <w:rFonts w:cs="Arial"/>
        </w:rPr>
        <w:t>em</w:t>
      </w:r>
      <w:r w:rsidRPr="0007764A">
        <w:rPr>
          <w:rFonts w:cs="Arial"/>
        </w:rPr>
        <w:t xml:space="preserve"> z rzędu, w którym </w:t>
      </w:r>
      <w:r w:rsidRPr="0007764A">
        <w:rPr>
          <w:rFonts w:cs="Arial"/>
          <w:szCs w:val="19"/>
        </w:rPr>
        <w:t>odnotowano poprawę warunków płacowych w sektorze przedsiębiorstw w skali roku</w:t>
      </w:r>
      <w:r w:rsidR="00AC2E10">
        <w:rPr>
          <w:rFonts w:cs="Arial"/>
          <w:szCs w:val="19"/>
        </w:rPr>
        <w:t>. P</w:t>
      </w:r>
      <w:r w:rsidRPr="0007764A">
        <w:rPr>
          <w:rFonts w:cs="Arial"/>
          <w:szCs w:val="19"/>
        </w:rPr>
        <w:t>rzeciętne miesięczne wynagrodzeni</w:t>
      </w:r>
      <w:r>
        <w:rPr>
          <w:rFonts w:cs="Arial"/>
          <w:szCs w:val="19"/>
        </w:rPr>
        <w:t>e</w:t>
      </w:r>
      <w:r w:rsidRPr="0007764A">
        <w:rPr>
          <w:rFonts w:cs="Arial"/>
          <w:szCs w:val="19"/>
        </w:rPr>
        <w:t xml:space="preserve"> </w:t>
      </w:r>
      <w:r w:rsidRPr="00783432">
        <w:rPr>
          <w:rFonts w:cs="Arial"/>
          <w:szCs w:val="19"/>
        </w:rPr>
        <w:t>wzrosło</w:t>
      </w:r>
      <w:r w:rsidR="00AC2E10">
        <w:rPr>
          <w:rFonts w:cs="Arial"/>
          <w:szCs w:val="19"/>
        </w:rPr>
        <w:t xml:space="preserve"> jednak tylko w</w:t>
      </w:r>
      <w:r w:rsidRPr="00783432">
        <w:rPr>
          <w:rFonts w:cs="Arial"/>
          <w:szCs w:val="19"/>
        </w:rPr>
        <w:t xml:space="preserve"> </w:t>
      </w:r>
      <w:r w:rsidR="00AC2E10">
        <w:rPr>
          <w:rFonts w:cs="Arial"/>
          <w:szCs w:val="19"/>
        </w:rPr>
        <w:t>nieznacznie większym s</w:t>
      </w:r>
      <w:r w:rsidRPr="00783432">
        <w:rPr>
          <w:rFonts w:cs="Arial"/>
          <w:szCs w:val="19"/>
        </w:rPr>
        <w:t xml:space="preserve">topniu niż przed rokiem. Zanotowany wzrost wynagrodzeń był także znacznie niższy niż w poprzednich dwóch miesiącach bieżącego roku. </w:t>
      </w:r>
    </w:p>
    <w:p w:rsidR="00783432" w:rsidRDefault="00783432" w:rsidP="00FF253C">
      <w:pPr>
        <w:rPr>
          <w:rFonts w:cs="Arial"/>
          <w:i/>
          <w:szCs w:val="19"/>
        </w:rPr>
      </w:pPr>
      <w:r w:rsidRPr="00783432">
        <w:rPr>
          <w:rFonts w:cs="Arial"/>
          <w:b/>
          <w:szCs w:val="19"/>
        </w:rPr>
        <w:t>Przeciętne miesięczne wynagrodzenie brutto</w:t>
      </w:r>
      <w:r w:rsidRPr="00783432">
        <w:rPr>
          <w:rFonts w:cs="Arial"/>
          <w:szCs w:val="19"/>
        </w:rPr>
        <w:t xml:space="preserve"> </w:t>
      </w:r>
      <w:r w:rsidRPr="00783432">
        <w:rPr>
          <w:rFonts w:cs="Arial"/>
          <w:b/>
          <w:szCs w:val="19"/>
        </w:rPr>
        <w:t>w sektorze przedsiębiorstw</w:t>
      </w:r>
      <w:r w:rsidRPr="00783432">
        <w:rPr>
          <w:rFonts w:cs="Arial"/>
          <w:szCs w:val="19"/>
        </w:rPr>
        <w:t xml:space="preserve"> w województwie świętokrzyskim w marcu 2020 r. wyniosło 4453,60 zł i było o 4,7% wyższe niż w analogicznym okresie ub. roku (przed rokiem wzrosło o 4,6%). </w:t>
      </w:r>
      <w:r w:rsidRPr="00783432">
        <w:rPr>
          <w:rFonts w:cs="Arial"/>
          <w:i/>
          <w:szCs w:val="19"/>
        </w:rPr>
        <w:t>W kraju przeciętne miesięczne wynagrodzenie brutto ukształtowało się na poziomie 5489,21</w:t>
      </w:r>
      <w:r w:rsidRPr="00783432">
        <w:rPr>
          <w:rFonts w:cs="Arial"/>
          <w:b/>
          <w:bCs/>
          <w:i/>
          <w:szCs w:val="19"/>
        </w:rPr>
        <w:t xml:space="preserve"> </w:t>
      </w:r>
      <w:r w:rsidRPr="00783432">
        <w:rPr>
          <w:rFonts w:cs="Arial"/>
          <w:i/>
          <w:szCs w:val="19"/>
        </w:rPr>
        <w:t>zł i było o 6,3% wyższe niż w marcu 2019 r. (rok wcześniej wzrost osiągnął 5,7%).</w:t>
      </w:r>
    </w:p>
    <w:p w:rsidR="00284CE4" w:rsidRDefault="00284CE4" w:rsidP="0020703A">
      <w:pPr>
        <w:spacing w:before="240"/>
        <w:ind w:left="851" w:hanging="851"/>
      </w:pPr>
      <w:r w:rsidRPr="00335735">
        <w:rPr>
          <w:b/>
        </w:rPr>
        <w:t xml:space="preserve">Wykres 4. Dynamika przeciętnego miesięcznego wynagrodzenia brutto w sektorze przedsiębiorstw </w:t>
      </w:r>
      <w:r w:rsidRPr="00335735">
        <w:rPr>
          <w:b/>
        </w:rPr>
        <w:br/>
      </w:r>
      <w:r w:rsidRPr="00335735">
        <w:t xml:space="preserve">(przeciętna miesięczna 2015=100) </w:t>
      </w:r>
    </w:p>
    <w:p w:rsidR="00284CE4" w:rsidRDefault="00A43638" w:rsidP="00EC2FB8">
      <w:pPr>
        <w:spacing w:before="0" w:after="0" w:line="240" w:lineRule="auto"/>
        <w:jc w:val="center"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0FCE787D" wp14:editId="34641832">
            <wp:extent cx="6600825" cy="1914525"/>
            <wp:effectExtent l="0" t="0" r="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B453C" w:rsidRDefault="00BB453C" w:rsidP="005B097F">
      <w:pPr>
        <w:rPr>
          <w:rFonts w:cs="Arial"/>
        </w:rPr>
      </w:pPr>
      <w:r w:rsidRPr="00BB453C">
        <w:rPr>
          <w:rFonts w:cs="Arial"/>
        </w:rPr>
        <w:t>W porównaniu do marca ub. roku wzrost przeciętnych miesięcznych wynagrodzeń odnotowano w większości analizowanych sekcji sektora przedsiębiorstw związanych zarówno ze sferą produkcyjną, jak i usługową. Najwyższy wzrost płac zanotowano w dostawie wody; gospodarowaniu ściekami i odpadami; rekultywacji (o 18,7%). W</w:t>
      </w:r>
      <w:r>
        <w:rPr>
          <w:rFonts w:cs="Arial"/>
        </w:rPr>
        <w:t>ynagrodzenia w</w:t>
      </w:r>
      <w:r w:rsidRPr="00BB453C">
        <w:rPr>
          <w:rFonts w:cs="Arial"/>
        </w:rPr>
        <w:t xml:space="preserve">yższe </w:t>
      </w:r>
      <w:r>
        <w:rPr>
          <w:rFonts w:cs="Arial"/>
        </w:rPr>
        <w:t xml:space="preserve">niż przeciętnie w województwie </w:t>
      </w:r>
      <w:r w:rsidRPr="00BB453C">
        <w:rPr>
          <w:rFonts w:cs="Arial"/>
        </w:rPr>
        <w:t xml:space="preserve">wypłacono także </w:t>
      </w:r>
      <w:r w:rsidR="00903EFA">
        <w:rPr>
          <w:rFonts w:cs="Arial"/>
        </w:rPr>
        <w:t xml:space="preserve">pracującym </w:t>
      </w:r>
      <w:r w:rsidRPr="00BB453C">
        <w:rPr>
          <w:rFonts w:cs="Arial"/>
        </w:rPr>
        <w:t>m.in. w: administrowaniu i działalności wspierającej (o 13,3%) oraz informacji i komunikacji (o 9,8%). W najniższym stopniu wzrosły wynagrodzenia w</w:t>
      </w:r>
      <w:r w:rsidR="00903EFA">
        <w:rPr>
          <w:rFonts w:cs="Arial"/>
        </w:rPr>
        <w:t xml:space="preserve"> t</w:t>
      </w:r>
      <w:r w:rsidR="00903EFA" w:rsidRPr="00903EFA">
        <w:rPr>
          <w:rFonts w:cs="Arial"/>
        </w:rPr>
        <w:t>ransporc</w:t>
      </w:r>
      <w:r w:rsidR="00903EFA">
        <w:rPr>
          <w:rFonts w:cs="Arial"/>
        </w:rPr>
        <w:t>ie</w:t>
      </w:r>
      <w:r w:rsidR="00903EFA" w:rsidRPr="00903EFA">
        <w:rPr>
          <w:rFonts w:cs="Arial"/>
        </w:rPr>
        <w:t xml:space="preserve"> i gospodar</w:t>
      </w:r>
      <w:r w:rsidR="00903EFA">
        <w:rPr>
          <w:rFonts w:cs="Arial"/>
        </w:rPr>
        <w:t>ce</w:t>
      </w:r>
      <w:r w:rsidR="00903EFA" w:rsidRPr="00903EFA">
        <w:rPr>
          <w:rFonts w:cs="Arial"/>
        </w:rPr>
        <w:t xml:space="preserve"> magazynow</w:t>
      </w:r>
      <w:r w:rsidR="00903EFA">
        <w:rPr>
          <w:rFonts w:cs="Arial"/>
        </w:rPr>
        <w:t>ej (o </w:t>
      </w:r>
      <w:r w:rsidR="00903EFA" w:rsidRPr="00903EFA">
        <w:rPr>
          <w:rFonts w:cs="Arial"/>
        </w:rPr>
        <w:t>2,4</w:t>
      </w:r>
      <w:r w:rsidR="00903EFA">
        <w:rPr>
          <w:rFonts w:cs="Arial"/>
        </w:rPr>
        <w:t xml:space="preserve">%). </w:t>
      </w:r>
      <w:r w:rsidRPr="00BB453C">
        <w:rPr>
          <w:rFonts w:cs="Arial"/>
        </w:rPr>
        <w:t>Wynagrodzenia niższe niż przed rokiem otrzymali pracujący w działalności profesjonalnej, naukowej i</w:t>
      </w:r>
      <w:r w:rsidR="00903EFA">
        <w:rPr>
          <w:rFonts w:cs="Arial"/>
        </w:rPr>
        <w:t> </w:t>
      </w:r>
      <w:r w:rsidRPr="00BB453C">
        <w:rPr>
          <w:rFonts w:cs="Arial"/>
        </w:rPr>
        <w:t xml:space="preserve">technicznej (o 5,5%) </w:t>
      </w:r>
      <w:r w:rsidR="0098249E">
        <w:rPr>
          <w:rFonts w:cs="Arial"/>
        </w:rPr>
        <w:t>oraz</w:t>
      </w:r>
      <w:r w:rsidRPr="00BB453C">
        <w:rPr>
          <w:rFonts w:cs="Arial"/>
        </w:rPr>
        <w:t xml:space="preserve"> zakwaterowaniu i gastronomii (o 1,0%).</w:t>
      </w:r>
    </w:p>
    <w:p w:rsidR="00454F01" w:rsidRDefault="00454F01" w:rsidP="00A43638">
      <w:pPr>
        <w:pStyle w:val="tytuwykresu"/>
        <w:rPr>
          <w:szCs w:val="19"/>
          <w:shd w:val="clear" w:color="auto" w:fill="FFFFFF"/>
        </w:rPr>
      </w:pPr>
      <w:r w:rsidRPr="00335735">
        <w:rPr>
          <w:szCs w:val="19"/>
          <w:shd w:val="clear" w:color="auto" w:fill="FFFFFF"/>
        </w:rPr>
        <w:t>Tablica 4.  Przeciętne miesięczne wynagrodzenia brutto w sektorze przedsiębiorstw</w:t>
      </w:r>
    </w:p>
    <w:p w:rsidR="00A43638" w:rsidRDefault="00A43638" w:rsidP="00A43638">
      <w:pPr>
        <w:pStyle w:val="tytuwykresu"/>
        <w:spacing w:before="120" w:after="120"/>
        <w:rPr>
          <w:szCs w:val="19"/>
          <w:shd w:val="clear" w:color="auto" w:fill="FFFFFF"/>
        </w:rPr>
      </w:pP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236"/>
        <w:gridCol w:w="1167"/>
        <w:gridCol w:w="1021"/>
        <w:gridCol w:w="1021"/>
        <w:gridCol w:w="1022"/>
      </w:tblGrid>
      <w:tr w:rsidR="005B097F" w:rsidRPr="008255A1" w:rsidTr="00002E83">
        <w:trPr>
          <w:trHeight w:val="54"/>
        </w:trPr>
        <w:tc>
          <w:tcPr>
            <w:tcW w:w="62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97F" w:rsidRPr="00476FAD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bCs w:val="0"/>
                <w:color w:val="000000"/>
                <w:sz w:val="16"/>
                <w:szCs w:val="16"/>
              </w:rPr>
            </w:pPr>
            <w:r w:rsidRPr="00476FAD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188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97F" w:rsidRPr="00CC3A43" w:rsidRDefault="005B097F" w:rsidP="001357FC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903EFA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 2020</w:t>
            </w:r>
          </w:p>
        </w:tc>
        <w:tc>
          <w:tcPr>
            <w:tcW w:w="204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97F" w:rsidRPr="00CC3A43" w:rsidRDefault="005B097F" w:rsidP="001357FC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I-I</w:t>
            </w:r>
            <w:r w:rsidR="00903EFA">
              <w:rPr>
                <w:rFonts w:cs="Arial"/>
                <w:sz w:val="16"/>
                <w:szCs w:val="16"/>
              </w:rPr>
              <w:t>I</w:t>
            </w:r>
            <w:r w:rsidRPr="00CC3A43">
              <w:rPr>
                <w:rFonts w:cs="Arial"/>
                <w:sz w:val="16"/>
                <w:szCs w:val="16"/>
              </w:rPr>
              <w:t>I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B097F" w:rsidRPr="008255A1" w:rsidTr="00002E83">
        <w:trPr>
          <w:trHeight w:val="54"/>
        </w:trPr>
        <w:tc>
          <w:tcPr>
            <w:tcW w:w="6236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97F" w:rsidRPr="00476FAD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167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97F" w:rsidRPr="00CC3A43" w:rsidRDefault="005B097F" w:rsidP="001357F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2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97F" w:rsidRPr="00CC3A43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I</w:t>
            </w:r>
            <w:r w:rsidR="00903EFA">
              <w:rPr>
                <w:rFonts w:cs="Arial"/>
                <w:sz w:val="16"/>
                <w:szCs w:val="16"/>
              </w:rPr>
              <w:t>I</w:t>
            </w:r>
            <w:r w:rsidRPr="00CC3A43">
              <w:rPr>
                <w:rFonts w:cs="Arial"/>
                <w:sz w:val="16"/>
                <w:szCs w:val="16"/>
              </w:rPr>
              <w:t>I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CC3A4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021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B097F" w:rsidRPr="00CC3A43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B097F" w:rsidRPr="00CC3A43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I-I</w:t>
            </w:r>
            <w:r w:rsidR="00903EFA">
              <w:rPr>
                <w:rFonts w:cs="Arial"/>
                <w:sz w:val="16"/>
                <w:szCs w:val="16"/>
              </w:rPr>
              <w:t>I</w:t>
            </w:r>
            <w:r w:rsidRPr="00CC3A43">
              <w:rPr>
                <w:rFonts w:cs="Arial"/>
                <w:sz w:val="16"/>
                <w:szCs w:val="16"/>
              </w:rPr>
              <w:t>I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CC3A4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2E83" w:rsidRPr="00476FAD" w:rsidRDefault="00002E83" w:rsidP="00002E83">
            <w:pPr>
              <w:pStyle w:val="Nagwek5"/>
              <w:tabs>
                <w:tab w:val="right" w:leader="dot" w:pos="4156"/>
              </w:tabs>
              <w:spacing w:before="120" w:line="150" w:lineRule="exact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476FAD">
              <w:rPr>
                <w:rFonts w:ascii="Fira Sans" w:hAnsi="Fira Sans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CB5574">
              <w:rPr>
                <w:b/>
                <w:sz w:val="16"/>
                <w:szCs w:val="16"/>
              </w:rPr>
              <w:t>4453,60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CB5574">
              <w:rPr>
                <w:b/>
                <w:sz w:val="16"/>
                <w:szCs w:val="16"/>
              </w:rPr>
              <w:t>104,7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CB5574">
              <w:rPr>
                <w:b/>
                <w:sz w:val="16"/>
                <w:szCs w:val="16"/>
              </w:rPr>
              <w:t>4447,23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CB5574">
              <w:rPr>
                <w:b/>
                <w:sz w:val="16"/>
                <w:szCs w:val="16"/>
              </w:rPr>
              <w:t>107,1</w:t>
            </w:r>
          </w:p>
        </w:tc>
      </w:tr>
      <w:tr w:rsidR="005B097F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B097F" w:rsidRPr="00476FAD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4811,76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103,5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4782,69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106,8</w:t>
            </w:r>
          </w:p>
        </w:tc>
      </w:tr>
      <w:tr w:rsidR="005B097F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B097F" w:rsidRPr="00476FAD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B097F" w:rsidRPr="00476FAD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4761,65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102,8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4746,63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106,8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B5574">
              <w:rPr>
                <w:b w:val="0"/>
                <w:sz w:val="16"/>
                <w:szCs w:val="16"/>
                <w:shd w:val="clear" w:color="auto" w:fill="FFFFFF"/>
              </w:rPr>
              <w:t>4743,89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118,7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B5574">
              <w:rPr>
                <w:b w:val="0"/>
                <w:sz w:val="16"/>
                <w:szCs w:val="16"/>
                <w:shd w:val="clear" w:color="auto" w:fill="FFFFFF"/>
              </w:rPr>
              <w:t>4579,00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112,9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4286,81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108,7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4261,58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110,5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3986,89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104,3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4021,72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105,6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3647,27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102,4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3646,50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105,3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3165,00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99,0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3269,50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CB5574">
              <w:rPr>
                <w:sz w:val="16"/>
                <w:szCs w:val="16"/>
              </w:rPr>
              <w:t>102,2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5012,38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4839,29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5840,55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5648,45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476FA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3800,66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3872,49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002E83" w:rsidRPr="008255A1" w:rsidTr="00002E83">
        <w:trPr>
          <w:trHeight w:val="54"/>
        </w:trPr>
        <w:tc>
          <w:tcPr>
            <w:tcW w:w="62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3164,18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3199,70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02E83" w:rsidRPr="00CB5574" w:rsidRDefault="00002E83" w:rsidP="00002E83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B5574">
              <w:rPr>
                <w:rFonts w:cs="Arial"/>
                <w:sz w:val="16"/>
                <w:szCs w:val="16"/>
              </w:rPr>
              <w:t>114,5</w:t>
            </w:r>
          </w:p>
        </w:tc>
      </w:tr>
    </w:tbl>
    <w:p w:rsidR="00284CE4" w:rsidRDefault="00284CE4" w:rsidP="00317D96">
      <w:pPr>
        <w:ind w:firstLine="227"/>
        <w:jc w:val="both"/>
        <w:rPr>
          <w:rFonts w:cs="Arial"/>
        </w:rPr>
      </w:pPr>
      <w:r w:rsidRPr="00CC3A43">
        <w:rPr>
          <w:rFonts w:eastAsia="Calibri" w:cs="Arial"/>
          <w:i/>
          <w:sz w:val="16"/>
          <w:szCs w:val="16"/>
          <w:vertAlign w:val="superscript"/>
        </w:rPr>
        <w:t>a</w:t>
      </w:r>
      <w:r w:rsidRPr="00F31CEF">
        <w:rPr>
          <w:rFonts w:eastAsia="Calibri" w:cs="Arial"/>
          <w:i/>
          <w:sz w:val="16"/>
          <w:szCs w:val="16"/>
        </w:rPr>
        <w:t xml:space="preserve"> </w:t>
      </w:r>
      <w:r w:rsidRPr="00F31CEF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3C40E6" w:rsidRDefault="003C40E6" w:rsidP="00A43638">
      <w:pPr>
        <w:pageBreakBefore/>
      </w:pPr>
      <w:r w:rsidRPr="003C40E6">
        <w:lastRenderedPageBreak/>
        <w:t xml:space="preserve">W okresie styczeń – marzec 2020 r. przeciętne miesięczne wynagrodzenie brutto, znacznie przekraczające średnie w województwie, otrzymali pracujący w obsłudze rynku nieruchomości (o 27,0%). </w:t>
      </w:r>
      <w:r w:rsidRPr="005B097F">
        <w:t>W mniejszym stopniu różnice te zanotowano</w:t>
      </w:r>
      <w:r>
        <w:t xml:space="preserve"> </w:t>
      </w:r>
      <w:r w:rsidRPr="003C40E6">
        <w:t>w informacji i komu</w:t>
      </w:r>
      <w:r>
        <w:t>nikacji (o 8,8%),</w:t>
      </w:r>
      <w:r w:rsidRPr="003C40E6">
        <w:t xml:space="preserve"> przetwórstwie przemysłowym (o 6,7%) oraz w dostawie wody; gospodarowaniu ściekami i odpadami; rekultywacji (o 3,0%). W pozostałych obserwowanych sekcjach wypłacono wynagrodzenia niższe niż przeciętne w województwie. </w:t>
      </w:r>
      <w:r w:rsidR="000A6A9C">
        <w:t>W</w:t>
      </w:r>
      <w:r w:rsidRPr="003C40E6">
        <w:t>ynagrodzenie znacznie poniżej średniego, otrzymali pracujący w administrowaniu i działalności wspierającej (o 28,1%)</w:t>
      </w:r>
      <w:r>
        <w:t xml:space="preserve"> oraz</w:t>
      </w:r>
      <w:r w:rsidRPr="003C40E6">
        <w:t xml:space="preserve"> zakwaterowaniu i gastronomii (o 26,5%)</w:t>
      </w:r>
      <w:r>
        <w:t>.</w:t>
      </w:r>
    </w:p>
    <w:p w:rsidR="0086664B" w:rsidRDefault="00673E78" w:rsidP="003C40E6">
      <w:pPr>
        <w:tabs>
          <w:tab w:val="left" w:pos="993"/>
        </w:tabs>
        <w:spacing w:before="240" w:after="0"/>
        <w:ind w:left="1049" w:hanging="907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484505</wp:posOffset>
            </wp:positionV>
            <wp:extent cx="6659245" cy="2701290"/>
            <wp:effectExtent l="0" t="0" r="8255" b="3810"/>
            <wp:wrapTopAndBottom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64B" w:rsidRPr="00335735">
        <w:rPr>
          <w:b/>
        </w:rPr>
        <w:t>Wykres 5. Odchylenia względne przeciętnych miesięcznych wynagrodzeń brutto w sekcjach od przeciętnego</w:t>
      </w:r>
      <w:r>
        <w:rPr>
          <w:b/>
        </w:rPr>
        <w:t xml:space="preserve"> </w:t>
      </w:r>
      <w:r w:rsidR="0086664B" w:rsidRPr="00335735">
        <w:rPr>
          <w:b/>
        </w:rPr>
        <w:t xml:space="preserve">                    wynagrodzenia w sektorze przedsiębiorstw </w:t>
      </w:r>
      <w:r w:rsidR="0086664B">
        <w:rPr>
          <w:b/>
        </w:rPr>
        <w:t xml:space="preserve">w </w:t>
      </w:r>
      <w:r w:rsidR="000A6A9C">
        <w:rPr>
          <w:b/>
        </w:rPr>
        <w:t>okresie I-III</w:t>
      </w:r>
      <w:r w:rsidR="00565E83">
        <w:rPr>
          <w:b/>
        </w:rPr>
        <w:t xml:space="preserve"> 2020 </w:t>
      </w:r>
      <w:r w:rsidR="0086664B" w:rsidRPr="00335735">
        <w:rPr>
          <w:b/>
        </w:rPr>
        <w:t xml:space="preserve">r. </w:t>
      </w:r>
      <w:r w:rsidR="000564EC">
        <w:rPr>
          <w:b/>
        </w:rPr>
        <w:t xml:space="preserve"> </w:t>
      </w:r>
    </w:p>
    <w:p w:rsidR="00482C4A" w:rsidRDefault="006F4744" w:rsidP="005B097F">
      <w:pPr>
        <w:rPr>
          <w:rFonts w:eastAsia="Times New Roman"/>
          <w:bCs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0A94D2D8" wp14:editId="0A696A42">
            <wp:extent cx="6645910" cy="3152140"/>
            <wp:effectExtent l="0" t="0" r="254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D287E" w:rsidRDefault="00DD287E" w:rsidP="005B097F">
      <w:pPr>
        <w:rPr>
          <w:rFonts w:eastAsia="Times New Roman"/>
          <w:bCs/>
          <w:szCs w:val="19"/>
          <w:lang w:eastAsia="pl-PL"/>
        </w:rPr>
      </w:pPr>
      <w:r>
        <w:rPr>
          <w:rFonts w:cs="Arial"/>
        </w:rPr>
        <w:t>W I kwartale</w:t>
      </w:r>
      <w:r w:rsidRPr="001D1BBA">
        <w:rPr>
          <w:rFonts w:cs="Arial"/>
        </w:rPr>
        <w:t xml:space="preserve"> br. przeciętne miesięczne wynagrodzenie brutto w sektorze przedsiębiorstw ukształtowało się na poziomie</w:t>
      </w:r>
      <w:r>
        <w:rPr>
          <w:rFonts w:cs="Arial"/>
        </w:rPr>
        <w:t xml:space="preserve"> </w:t>
      </w:r>
      <w:r w:rsidRPr="005E0B58">
        <w:rPr>
          <w:rFonts w:cs="Arial"/>
        </w:rPr>
        <w:t>4447,23</w:t>
      </w:r>
      <w:r w:rsidRPr="001D1BBA">
        <w:rPr>
          <w:rFonts w:cs="Arial"/>
          <w:b/>
          <w:sz w:val="18"/>
          <w:szCs w:val="18"/>
        </w:rPr>
        <w:t xml:space="preserve"> </w:t>
      </w:r>
      <w:r w:rsidRPr="001D1BBA">
        <w:rPr>
          <w:rFonts w:cs="Arial"/>
        </w:rPr>
        <w:t xml:space="preserve">zł, tj. o </w:t>
      </w:r>
      <w:r>
        <w:rPr>
          <w:rFonts w:cs="Arial"/>
        </w:rPr>
        <w:t>7</w:t>
      </w:r>
      <w:r w:rsidRPr="000E6015">
        <w:rPr>
          <w:rFonts w:cs="Arial"/>
        </w:rPr>
        <w:t xml:space="preserve">,1% wyższym niż w analogicznym okresie ub. roku (wobec wzrostu o </w:t>
      </w:r>
      <w:r>
        <w:rPr>
          <w:rFonts w:cs="Arial"/>
        </w:rPr>
        <w:t>6,1</w:t>
      </w:r>
      <w:r w:rsidRPr="000E6015">
        <w:rPr>
          <w:rFonts w:cs="Arial"/>
        </w:rPr>
        <w:t xml:space="preserve">% przed rokiem). </w:t>
      </w:r>
      <w:r w:rsidRPr="00161230">
        <w:rPr>
          <w:rFonts w:cs="Arial"/>
          <w:i/>
        </w:rPr>
        <w:t>W kraju przeciętne miesięczne wynagrodzenie brutto w pierwszych trzech miesiącach br. wyniosło</w:t>
      </w:r>
      <w:r>
        <w:rPr>
          <w:rFonts w:cs="Arial"/>
          <w:i/>
        </w:rPr>
        <w:t xml:space="preserve"> </w:t>
      </w:r>
      <w:r w:rsidRPr="00161230">
        <w:rPr>
          <w:rFonts w:cs="Arial"/>
          <w:i/>
        </w:rPr>
        <w:t xml:space="preserve"> </w:t>
      </w:r>
      <w:r w:rsidRPr="005E0B58">
        <w:rPr>
          <w:rFonts w:cs="Arial"/>
          <w:i/>
        </w:rPr>
        <w:t>5367</w:t>
      </w:r>
      <w:r>
        <w:rPr>
          <w:rFonts w:cs="Arial"/>
          <w:i/>
        </w:rPr>
        <w:t>,</w:t>
      </w:r>
      <w:r w:rsidRPr="005E0B58">
        <w:rPr>
          <w:rFonts w:cs="Arial"/>
          <w:i/>
        </w:rPr>
        <w:t>68</w:t>
      </w:r>
      <w:r w:rsidRPr="00161230">
        <w:rPr>
          <w:rFonts w:cs="Arial"/>
          <w:i/>
        </w:rPr>
        <w:t xml:space="preserve"> zł i przekroczyło poziom ubiegłoroczny o </w:t>
      </w:r>
      <w:r>
        <w:rPr>
          <w:rFonts w:cs="Arial"/>
          <w:i/>
        </w:rPr>
        <w:t>7,0</w:t>
      </w:r>
      <w:r w:rsidRPr="00161230">
        <w:rPr>
          <w:rFonts w:cs="Arial"/>
          <w:i/>
        </w:rPr>
        <w:t>% (w analogicznym okresie ub. roku wzrost osiągnął 6,7%)</w:t>
      </w:r>
      <w:r w:rsidRPr="000E6015">
        <w:rPr>
          <w:rFonts w:cs="Arial"/>
        </w:rPr>
        <w:t>. W</w:t>
      </w:r>
      <w:r>
        <w:rPr>
          <w:rFonts w:cs="Arial"/>
        </w:rPr>
        <w:t> </w:t>
      </w:r>
      <w:r w:rsidRPr="000E6015">
        <w:rPr>
          <w:rFonts w:cs="Arial"/>
        </w:rPr>
        <w:t xml:space="preserve">bieżącym okresie narastającym wzrost wynagrodzeń zanotowano </w:t>
      </w:r>
      <w:r w:rsidRPr="0007764A">
        <w:rPr>
          <w:rFonts w:cs="Arial"/>
        </w:rPr>
        <w:t xml:space="preserve">w większości </w:t>
      </w:r>
      <w:r w:rsidRPr="000E6015">
        <w:rPr>
          <w:rFonts w:cs="Arial"/>
        </w:rPr>
        <w:t>analizowanych sekcji</w:t>
      </w:r>
      <w:r>
        <w:rPr>
          <w:rFonts w:cs="Arial"/>
        </w:rPr>
        <w:t>, przy czym w</w:t>
      </w:r>
      <w:r w:rsidRPr="000E6015">
        <w:rPr>
          <w:rFonts w:cs="Arial"/>
        </w:rPr>
        <w:t> relacji do ub. roku najwięcej zyskali zatrudnieni w</w:t>
      </w:r>
      <w:r w:rsidR="003722BF">
        <w:rPr>
          <w:rFonts w:cs="Arial"/>
        </w:rPr>
        <w:t> </w:t>
      </w:r>
      <w:r w:rsidRPr="000E6015">
        <w:rPr>
          <w:rFonts w:cs="Arial"/>
        </w:rPr>
        <w:t xml:space="preserve">administrowaniu i działalności wspierającej (o </w:t>
      </w:r>
      <w:r w:rsidRPr="005E0B58">
        <w:rPr>
          <w:rFonts w:cs="Arial"/>
        </w:rPr>
        <w:t>14,5</w:t>
      </w:r>
      <w:r w:rsidRPr="000E6015">
        <w:rPr>
          <w:rFonts w:cs="Arial"/>
        </w:rPr>
        <w:t>%).</w:t>
      </w:r>
      <w:r w:rsidRPr="005E0B58">
        <w:rPr>
          <w:rFonts w:cs="Arial"/>
        </w:rPr>
        <w:t xml:space="preserve"> </w:t>
      </w:r>
      <w:r w:rsidRPr="000E6015">
        <w:rPr>
          <w:rFonts w:cs="Arial"/>
        </w:rPr>
        <w:t>Niższe wynagrodzenia wypłacono w</w:t>
      </w:r>
      <w:r>
        <w:rPr>
          <w:rFonts w:cs="Arial"/>
        </w:rPr>
        <w:t xml:space="preserve"> </w:t>
      </w:r>
      <w:r w:rsidRPr="000E6015">
        <w:rPr>
          <w:rFonts w:cs="Arial"/>
        </w:rPr>
        <w:t>działalności profesjonalnej, naukowej i technicznej (o</w:t>
      </w:r>
      <w:r>
        <w:rPr>
          <w:rFonts w:cs="Arial"/>
        </w:rPr>
        <w:t xml:space="preserve"> </w:t>
      </w:r>
      <w:r w:rsidRPr="005E0B58">
        <w:rPr>
          <w:rFonts w:cs="Arial"/>
        </w:rPr>
        <w:t>1,2</w:t>
      </w:r>
      <w:r w:rsidR="003722BF">
        <w:rPr>
          <w:rFonts w:cs="Arial"/>
        </w:rPr>
        <w:t>%) oraz</w:t>
      </w:r>
      <w:r w:rsidR="003722BF" w:rsidRPr="003722BF">
        <w:rPr>
          <w:rFonts w:cs="Arial"/>
        </w:rPr>
        <w:t xml:space="preserve"> </w:t>
      </w:r>
      <w:r w:rsidR="003722BF">
        <w:rPr>
          <w:rFonts w:cs="Arial"/>
        </w:rPr>
        <w:t>obsłudze rynku nieruchomości (o 1,0%).</w:t>
      </w:r>
    </w:p>
    <w:p w:rsidR="00284CE4" w:rsidRPr="00006F36" w:rsidRDefault="00284CE4" w:rsidP="005053B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095C99" w:rsidRPr="00751D14" w:rsidRDefault="00095C99" w:rsidP="00095C99">
      <w:pPr>
        <w:rPr>
          <w:shd w:val="clear" w:color="auto" w:fill="FFFFFF"/>
        </w:rPr>
      </w:pPr>
      <w:r w:rsidRPr="00044F56">
        <w:rPr>
          <w:shd w:val="clear" w:color="auto" w:fill="FFFFFF"/>
        </w:rPr>
        <w:t>Na rynku rolnym w marcu 2020 r. przeciętne ceny ziemniaków i żywca wieprzowego były wyższe zarówno w ujęciu rocznym, jak i miesięcznym, a ceny skupu żywca wołowego i drobiowego</w:t>
      </w:r>
      <w:r>
        <w:rPr>
          <w:shd w:val="clear" w:color="auto" w:fill="FFFFFF"/>
        </w:rPr>
        <w:t xml:space="preserve"> oraz ceny żyta w obrocie targowiskowym</w:t>
      </w:r>
      <w:r w:rsidRPr="00044F56">
        <w:rPr>
          <w:shd w:val="clear" w:color="auto" w:fill="FFFFFF"/>
        </w:rPr>
        <w:t xml:space="preserve"> – niższe</w:t>
      </w:r>
      <w:r>
        <w:rPr>
          <w:shd w:val="clear" w:color="auto" w:fill="FFFFFF"/>
        </w:rPr>
        <w:br/>
      </w:r>
      <w:r w:rsidRPr="00044F56">
        <w:rPr>
          <w:shd w:val="clear" w:color="auto" w:fill="FFFFFF"/>
        </w:rPr>
        <w:t xml:space="preserve">w obu ujęciach. </w:t>
      </w:r>
      <w:r>
        <w:rPr>
          <w:shd w:val="clear" w:color="auto" w:fill="FFFFFF"/>
        </w:rPr>
        <w:t xml:space="preserve">Ceny pszenicy na obu rynkach były wyższe niż przed miesiącem, ale niższe niż przed rokiem, natomiast cena skupu mleka odwrotnie – niższa niż </w:t>
      </w:r>
      <w:r w:rsidRPr="00751D14">
        <w:rPr>
          <w:shd w:val="clear" w:color="auto" w:fill="FFFFFF"/>
        </w:rPr>
        <w:t>miesiąc temu, jednak wyższa niż rok temu. Poprawiła się opłacalność tuczu trzody chlewnej.</w:t>
      </w:r>
    </w:p>
    <w:p w:rsidR="00095C99" w:rsidRDefault="00095C99" w:rsidP="00095C99">
      <w:pPr>
        <w:rPr>
          <w:shd w:val="clear" w:color="auto" w:fill="FFFFFF"/>
        </w:rPr>
      </w:pPr>
      <w:r w:rsidRPr="006A0D6C">
        <w:rPr>
          <w:shd w:val="clear" w:color="auto" w:fill="FFFFFF"/>
        </w:rPr>
        <w:t xml:space="preserve">W marcu 2020 r. średnia temperatura powietrza na obszarze województwa świętokrzyskiego wyniosła 4,5°C i była o 2,1°C wyższa od przeciętnej z lat 1971-2000, przy czym maksymalna temperatura osiągnęła 18,4°C (Sandomierz), a minimalna wyniosła minus 9,1°C (Kielce). Średnia suma opadów atmosferycznych (ponad 13 mm) stanowiła 41% normy z wielolecia (od 29% w Kielcach do 16% w Sandomierzu) </w:t>
      </w:r>
      <w:r w:rsidRPr="006A0D6C">
        <w:rPr>
          <w:rStyle w:val="Odwoanieprzypisudolnego"/>
          <w:i/>
        </w:rPr>
        <w:footnoteReference w:id="1"/>
      </w:r>
      <w:r w:rsidRPr="006A0D6C">
        <w:rPr>
          <w:rFonts w:cs="Arial"/>
        </w:rPr>
        <w:t xml:space="preserve">. </w:t>
      </w:r>
      <w:r w:rsidRPr="00FF5388">
        <w:rPr>
          <w:shd w:val="clear" w:color="auto" w:fill="FFFFFF"/>
        </w:rPr>
        <w:t>W regionie</w:t>
      </w:r>
      <w:r w:rsidRPr="00475962">
        <w:rPr>
          <w:shd w:val="clear" w:color="auto" w:fill="FFFFFF"/>
        </w:rPr>
        <w:t xml:space="preserve"> odnotowano </w:t>
      </w:r>
      <w:r>
        <w:rPr>
          <w:shd w:val="clear" w:color="auto" w:fill="FFFFFF"/>
        </w:rPr>
        <w:t>11</w:t>
      </w:r>
      <w:r w:rsidRPr="00475962">
        <w:rPr>
          <w:shd w:val="clear" w:color="auto" w:fill="FFFFFF"/>
        </w:rPr>
        <w:t xml:space="preserve"> </w:t>
      </w:r>
      <w:r w:rsidRPr="006A0D6C">
        <w:rPr>
          <w:shd w:val="clear" w:color="auto" w:fill="FFFFFF"/>
        </w:rPr>
        <w:t>dni z opadami.</w:t>
      </w:r>
    </w:p>
    <w:p w:rsidR="00095C99" w:rsidRPr="006A0D6C" w:rsidRDefault="00095C99" w:rsidP="00095C99">
      <w:pPr>
        <w:rPr>
          <w:shd w:val="clear" w:color="auto" w:fill="FFFFFF"/>
        </w:rPr>
      </w:pPr>
      <w:r w:rsidRPr="005E3D52">
        <w:rPr>
          <w:shd w:val="clear" w:color="auto" w:fill="FFFFFF"/>
        </w:rPr>
        <w:t>Warunki agrometeorologiczne w okresie zimy 2019/2020 nie stwarzały większych zagrożeń dla zimujących roślin. Pomimo braku okrywy śnieżnej, oziminy przezimowały w dobrej kondycji. Nie odnotowano sygnałów o konieczności zaorywania plantacji z powodu strat zimowych. Początek lutego charakteryzował się zmienną pogodą, pojawiały się pierwsze oznaki przedwiośnia. Przełom lutego i marca charakteryzował się słoneczną i ciepłą pogodą z niewielkimi opadami śniegu</w:t>
      </w:r>
      <w:r>
        <w:rPr>
          <w:shd w:val="clear" w:color="auto" w:fill="FFFFFF"/>
        </w:rPr>
        <w:br/>
      </w:r>
      <w:r w:rsidRPr="005E3D52">
        <w:rPr>
          <w:shd w:val="clear" w:color="auto" w:fill="FFFFFF"/>
        </w:rPr>
        <w:t xml:space="preserve">i </w:t>
      </w:r>
      <w:r>
        <w:rPr>
          <w:shd w:val="clear" w:color="auto" w:fill="FFFFFF"/>
        </w:rPr>
        <w:t>d</w:t>
      </w:r>
      <w:r w:rsidRPr="005E3D52">
        <w:rPr>
          <w:shd w:val="clear" w:color="auto" w:fill="FFFFFF"/>
        </w:rPr>
        <w:t xml:space="preserve">eszczu. Bardzo zimne i chłodne noce w drugiej połowie </w:t>
      </w:r>
      <w:r>
        <w:rPr>
          <w:shd w:val="clear" w:color="auto" w:fill="FFFFFF"/>
        </w:rPr>
        <w:t>marca</w:t>
      </w:r>
      <w:r w:rsidR="0005543A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5E3D52">
        <w:rPr>
          <w:shd w:val="clear" w:color="auto" w:fill="FFFFFF"/>
        </w:rPr>
        <w:t>a nawet mroźne noce występujące pod koniec miesiąca, miały wpływ na mniejsze zaa</w:t>
      </w:r>
      <w:r>
        <w:rPr>
          <w:shd w:val="clear" w:color="auto" w:fill="FFFFFF"/>
        </w:rPr>
        <w:t>wansowanie siewów upraw jarych. N</w:t>
      </w:r>
      <w:r w:rsidRPr="005E3D52">
        <w:rPr>
          <w:shd w:val="clear" w:color="auto" w:fill="FFFFFF"/>
        </w:rPr>
        <w:t>iedobory wilgoci w glebie spowodowały zahamowanie wzrostu i rozwoju upraw ozimych</w:t>
      </w:r>
      <w:r>
        <w:rPr>
          <w:shd w:val="clear" w:color="auto" w:fill="FFFFFF"/>
        </w:rPr>
        <w:t>,</w:t>
      </w:r>
      <w:r w:rsidRPr="005E3D52">
        <w:rPr>
          <w:shd w:val="clear" w:color="auto" w:fill="FFFFFF"/>
        </w:rPr>
        <w:t xml:space="preserve"> jak również nie sprzyjały wschodom wcześniej zasianych roślin. Plantacje ozimin</w:t>
      </w:r>
      <w:r>
        <w:rPr>
          <w:shd w:val="clear" w:color="auto" w:fill="FFFFFF"/>
        </w:rPr>
        <w:br/>
      </w:r>
      <w:r w:rsidRPr="005E3D52">
        <w:rPr>
          <w:shd w:val="clear" w:color="auto" w:fill="FFFFFF"/>
        </w:rPr>
        <w:t>w większości są w dobrej kondycji, na niektórych plantacjach zasianych wcześniej rośliny są bardziej wybujałe. Po ostat</w:t>
      </w:r>
      <w:r w:rsidRPr="005E3D52">
        <w:rPr>
          <w:shd w:val="clear" w:color="auto" w:fill="FFFFFF"/>
        </w:rPr>
        <w:lastRenderedPageBreak/>
        <w:t>nich przymrozkach</w:t>
      </w:r>
      <w:r w:rsidR="0005543A">
        <w:rPr>
          <w:shd w:val="clear" w:color="auto" w:fill="FFFFFF"/>
        </w:rPr>
        <w:t>,</w:t>
      </w:r>
      <w:r w:rsidRPr="005E3D52">
        <w:rPr>
          <w:shd w:val="clear" w:color="auto" w:fill="FFFFFF"/>
        </w:rPr>
        <w:t xml:space="preserve"> na niektórych plantacjach można zauważyć lekkie przemarznięcie roślin, dalszy przebieg pogody</w:t>
      </w:r>
      <w:r>
        <w:rPr>
          <w:shd w:val="clear" w:color="auto" w:fill="FFFFFF"/>
        </w:rPr>
        <w:br/>
      </w:r>
      <w:r w:rsidRPr="005E3D52">
        <w:rPr>
          <w:shd w:val="clear" w:color="auto" w:fill="FFFFFF"/>
        </w:rPr>
        <w:t xml:space="preserve">i wegetacji pokaże jaki to będzie miało wpływ na wzrost i rozwój roślin. Dużym problemem dla większości plantacji </w:t>
      </w:r>
      <w:r>
        <w:rPr>
          <w:shd w:val="clear" w:color="auto" w:fill="FFFFFF"/>
        </w:rPr>
        <w:t>są</w:t>
      </w:r>
      <w:r w:rsidRPr="005E3D52">
        <w:rPr>
          <w:shd w:val="clear" w:color="auto" w:fill="FFFFFF"/>
        </w:rPr>
        <w:t xml:space="preserve"> duże niedobory wilgoci w glebie występujące na obszarze całego województwa.</w:t>
      </w:r>
    </w:p>
    <w:p w:rsidR="00095C99" w:rsidRDefault="00095C99" w:rsidP="00095C99">
      <w:pPr>
        <w:pStyle w:val="tytuwykresu"/>
        <w:jc w:val="both"/>
        <w:rPr>
          <w:shd w:val="clear" w:color="auto" w:fill="FFFFFF"/>
        </w:rPr>
      </w:pPr>
      <w:r w:rsidRPr="00B66A3A">
        <w:rPr>
          <w:shd w:val="clear" w:color="auto" w:fill="FFFFFF"/>
        </w:rPr>
        <w:t xml:space="preserve">Tablica </w:t>
      </w:r>
      <w:r w:rsidR="00920672">
        <w:rPr>
          <w:shd w:val="clear" w:color="auto" w:fill="FFFFFF"/>
        </w:rPr>
        <w:t>5</w:t>
      </w:r>
      <w:r w:rsidRPr="00B66A3A">
        <w:rPr>
          <w:shd w:val="clear" w:color="auto" w:fill="FFFFFF"/>
        </w:rPr>
        <w:t>. Skup zbóż</w:t>
      </w:r>
      <w:r w:rsidRPr="00B66A3A">
        <w:rPr>
          <w:shd w:val="clear" w:color="auto" w:fill="FFFFFF"/>
          <w:vertAlign w:val="superscript"/>
        </w:rPr>
        <w:t>a</w:t>
      </w:r>
      <w:r w:rsidRPr="00B66A3A">
        <w:rPr>
          <w:shd w:val="clear" w:color="auto" w:fill="FFFFFF"/>
        </w:rPr>
        <w:t xml:space="preserve"> </w:t>
      </w:r>
    </w:p>
    <w:p w:rsidR="00A43638" w:rsidRPr="00B66A3A" w:rsidRDefault="00A43638" w:rsidP="00A43638">
      <w:pPr>
        <w:pStyle w:val="tytuwykresu"/>
        <w:spacing w:before="120" w:after="120"/>
        <w:jc w:val="both"/>
        <w:rPr>
          <w:b w:val="0"/>
          <w:sz w:val="18"/>
          <w:shd w:val="clear" w:color="auto" w:fill="FFFFFF"/>
        </w:rPr>
      </w:pP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1"/>
        <w:gridCol w:w="1441"/>
        <w:gridCol w:w="1545"/>
        <w:gridCol w:w="1440"/>
        <w:gridCol w:w="1445"/>
        <w:gridCol w:w="1445"/>
      </w:tblGrid>
      <w:tr w:rsidR="00095C99" w:rsidRPr="00B66A3A" w:rsidTr="00CA5477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95C99" w:rsidRPr="00B66A3A" w:rsidRDefault="00095C99" w:rsidP="00CA547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66A3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B66A3A" w:rsidRDefault="00095C99" w:rsidP="00CA54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66A3A">
              <w:rPr>
                <w:rFonts w:ascii="Fira Sans" w:hAnsi="Fira Sans"/>
                <w:color w:val="auto"/>
                <w:sz w:val="16"/>
                <w:szCs w:val="16"/>
              </w:rPr>
              <w:t>VII 2019-III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B66A3A" w:rsidRDefault="00095C99" w:rsidP="00CA54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66A3A">
              <w:rPr>
                <w:rFonts w:ascii="Fira Sans" w:hAnsi="Fira Sans"/>
                <w:color w:val="auto"/>
                <w:sz w:val="16"/>
                <w:szCs w:val="16"/>
              </w:rPr>
              <w:t>III 2020</w:t>
            </w:r>
          </w:p>
        </w:tc>
      </w:tr>
      <w:tr w:rsidR="00095C99" w:rsidRPr="001568D8" w:rsidTr="00CA5477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95C99" w:rsidRPr="001568D8" w:rsidRDefault="00095C99" w:rsidP="00CA547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1568D8" w:rsidRDefault="00095C99" w:rsidP="00CA547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68D8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1568D8" w:rsidRDefault="00095C99" w:rsidP="00CA547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68D8">
              <w:rPr>
                <w:sz w:val="16"/>
                <w:szCs w:val="16"/>
              </w:rPr>
              <w:t>analogiczny</w:t>
            </w:r>
            <w:r w:rsidRPr="001568D8">
              <w:rPr>
                <w:sz w:val="16"/>
                <w:szCs w:val="16"/>
              </w:rPr>
              <w:br/>
              <w:t>okres roku</w:t>
            </w:r>
            <w:r w:rsidRPr="001568D8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1568D8" w:rsidRDefault="00095C99" w:rsidP="00CA547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68D8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1568D8" w:rsidRDefault="00095C99" w:rsidP="00CA547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68D8">
              <w:rPr>
                <w:sz w:val="16"/>
                <w:szCs w:val="16"/>
              </w:rPr>
              <w:t>III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1568D8" w:rsidRDefault="00095C99" w:rsidP="00CA547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68D8">
              <w:rPr>
                <w:sz w:val="16"/>
                <w:szCs w:val="16"/>
              </w:rPr>
              <w:t>II 2020 = 100</w:t>
            </w:r>
          </w:p>
        </w:tc>
      </w:tr>
      <w:tr w:rsidR="00095C99" w:rsidRPr="000C4AE6" w:rsidTr="00CA547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pStyle w:val="Tekstpodstawowy"/>
              <w:tabs>
                <w:tab w:val="right" w:leader="dot" w:pos="1911"/>
              </w:tabs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C4AE6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0C4AE6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90,9</w:t>
            </w:r>
          </w:p>
        </w:tc>
      </w:tr>
      <w:tr w:rsidR="00095C99" w:rsidRPr="000C4AE6" w:rsidTr="00CA547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pStyle w:val="Tekstpodstawowy"/>
              <w:tabs>
                <w:tab w:val="right" w:leader="dot" w:pos="1911"/>
              </w:tabs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C4AE6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5C99" w:rsidRPr="000C4AE6" w:rsidTr="00CA547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C4AE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40,5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94,1</w:t>
            </w:r>
          </w:p>
        </w:tc>
      </w:tr>
      <w:tr w:rsidR="00095C99" w:rsidRPr="000C4AE6" w:rsidTr="00CA547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C4AE6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236,5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0C4AE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0C4AE6" w:rsidRDefault="00095C99" w:rsidP="00CA54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AE6">
              <w:rPr>
                <w:rFonts w:cs="Arial"/>
                <w:sz w:val="16"/>
                <w:szCs w:val="16"/>
              </w:rPr>
              <w:t>107,6</w:t>
            </w:r>
          </w:p>
        </w:tc>
      </w:tr>
    </w:tbl>
    <w:p w:rsidR="00095C99" w:rsidRPr="00E02F49" w:rsidRDefault="00095C99" w:rsidP="00095C99">
      <w:pPr>
        <w:spacing w:line="240" w:lineRule="auto"/>
        <w:ind w:left="227"/>
        <w:rPr>
          <w:rFonts w:cs="Arial"/>
          <w:sz w:val="16"/>
          <w:szCs w:val="16"/>
        </w:rPr>
      </w:pPr>
      <w:r w:rsidRPr="000C4AE6">
        <w:rPr>
          <w:rFonts w:cs="Arial"/>
          <w:sz w:val="16"/>
          <w:szCs w:val="16"/>
          <w:vertAlign w:val="superscript"/>
        </w:rPr>
        <w:t>a</w:t>
      </w:r>
      <w:r w:rsidRPr="000C4AE6">
        <w:rPr>
          <w:rFonts w:cs="Arial"/>
          <w:sz w:val="16"/>
          <w:szCs w:val="16"/>
        </w:rPr>
        <w:t xml:space="preserve"> W okresie styczeń-marzec 2020 r. bez skupu realizowanego przez osoby fizyczne. </w:t>
      </w:r>
      <w:r w:rsidRPr="000C4AE6">
        <w:rPr>
          <w:rFonts w:cs="Arial"/>
          <w:sz w:val="16"/>
          <w:szCs w:val="16"/>
          <w:vertAlign w:val="superscript"/>
        </w:rPr>
        <w:t>b</w:t>
      </w:r>
      <w:r w:rsidRPr="000C4AE6">
        <w:rPr>
          <w:rFonts w:cs="Arial"/>
          <w:sz w:val="16"/>
          <w:szCs w:val="16"/>
        </w:rPr>
        <w:t xml:space="preserve"> Obejmuje: pszenicę, żyto, jęczmień, owies, pszenżyto;</w:t>
      </w:r>
      <w:r w:rsidRPr="00B66A3A">
        <w:rPr>
          <w:rFonts w:cs="Arial"/>
          <w:sz w:val="16"/>
          <w:szCs w:val="16"/>
        </w:rPr>
        <w:t xml:space="preserve"> </w:t>
      </w:r>
      <w:r w:rsidRPr="00E02F49">
        <w:rPr>
          <w:rFonts w:cs="Arial"/>
          <w:sz w:val="16"/>
          <w:szCs w:val="16"/>
        </w:rPr>
        <w:t>łącznie z mieszankami zbożowymi, bez ziarna siewnego.</w:t>
      </w:r>
    </w:p>
    <w:p w:rsidR="00095C99" w:rsidRDefault="00095C99" w:rsidP="00095C99">
      <w:pPr>
        <w:rPr>
          <w:shd w:val="clear" w:color="auto" w:fill="FFFFFF"/>
        </w:rPr>
      </w:pPr>
      <w:r w:rsidRPr="00E02F49">
        <w:rPr>
          <w:shd w:val="clear" w:color="auto" w:fill="FFFFFF"/>
        </w:rPr>
        <w:t xml:space="preserve">W okresie lipiec 2019 r.-marzec 2020 r. </w:t>
      </w:r>
      <w:r w:rsidRPr="00E02F49">
        <w:rPr>
          <w:b/>
          <w:shd w:val="clear" w:color="auto" w:fill="FFFFFF"/>
        </w:rPr>
        <w:t>skup zbóż podstawowych</w:t>
      </w:r>
      <w:r w:rsidRPr="00E02F49">
        <w:rPr>
          <w:shd w:val="clear" w:color="auto" w:fill="FFFFFF"/>
        </w:rPr>
        <w:t xml:space="preserve"> (z mieszankami zbożowymi, bez ziarna siewnego) wyniósł 57,7 tys. t i był o 7,9% większy niż odpowiednio przed rokiem. Skup pszenicy w tym okresie był większy o 7,0%, a żyta</w:t>
      </w:r>
      <w:r w:rsidRPr="00E02F49">
        <w:rPr>
          <w:shd w:val="clear" w:color="auto" w:fill="FFFFFF"/>
        </w:rPr>
        <w:br/>
        <w:t>o 136,5%. W lutym 2020 r. dostawy zbóż do skupu były większe niż przed rokiem o 30,3%, ale mniejsze niż przed miesiącem o 9,1%.</w:t>
      </w:r>
    </w:p>
    <w:p w:rsidR="00095C99" w:rsidRDefault="00095C99" w:rsidP="00095C99">
      <w:pPr>
        <w:rPr>
          <w:shd w:val="clear" w:color="auto" w:fill="FFFFFF"/>
        </w:rPr>
      </w:pPr>
    </w:p>
    <w:p w:rsidR="00095C99" w:rsidRPr="00E02F49" w:rsidRDefault="00095C99" w:rsidP="00095C99">
      <w:pPr>
        <w:rPr>
          <w:shd w:val="clear" w:color="auto" w:fill="FFFFFF"/>
        </w:rPr>
      </w:pPr>
    </w:p>
    <w:p w:rsidR="00095C99" w:rsidRDefault="00095C99" w:rsidP="00095C99">
      <w:pPr>
        <w:pStyle w:val="tytuwykresu"/>
        <w:rPr>
          <w:shd w:val="clear" w:color="auto" w:fill="FFFFFF"/>
        </w:rPr>
      </w:pPr>
      <w:r w:rsidRPr="00E02F49">
        <w:rPr>
          <w:shd w:val="clear" w:color="auto" w:fill="FFFFFF"/>
        </w:rPr>
        <w:t xml:space="preserve">Tablica </w:t>
      </w:r>
      <w:r w:rsidR="00920672">
        <w:rPr>
          <w:shd w:val="clear" w:color="auto" w:fill="FFFFFF"/>
        </w:rPr>
        <w:t>6</w:t>
      </w:r>
      <w:r w:rsidRPr="00E02F49">
        <w:rPr>
          <w:shd w:val="clear" w:color="auto" w:fill="FFFFFF"/>
        </w:rPr>
        <w:t>. Skup podstawowych produktów zwierzęcych</w:t>
      </w:r>
      <w:r w:rsidRPr="00E02F49">
        <w:rPr>
          <w:shd w:val="clear" w:color="auto" w:fill="FFFFFF"/>
          <w:vertAlign w:val="superscript"/>
        </w:rPr>
        <w:t>a</w:t>
      </w:r>
      <w:r w:rsidRPr="00E02F49">
        <w:rPr>
          <w:shd w:val="clear" w:color="auto" w:fill="FFFFFF"/>
        </w:rPr>
        <w:t xml:space="preserve"> </w:t>
      </w:r>
    </w:p>
    <w:p w:rsidR="00A43638" w:rsidRPr="00E02F49" w:rsidRDefault="00A43638" w:rsidP="00A43638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7"/>
        <w:gridCol w:w="1487"/>
        <w:gridCol w:w="1488"/>
        <w:gridCol w:w="1488"/>
        <w:gridCol w:w="1488"/>
        <w:gridCol w:w="1489"/>
      </w:tblGrid>
      <w:tr w:rsidR="00095C99" w:rsidRPr="00E02F49" w:rsidTr="00CA5477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95C99" w:rsidRPr="00E02F49" w:rsidRDefault="00095C99" w:rsidP="00CA547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02F4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E02F49" w:rsidRDefault="00095C99" w:rsidP="00CA5477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02F49">
              <w:rPr>
                <w:rFonts w:ascii="Fira Sans" w:hAnsi="Fira Sans"/>
                <w:color w:val="auto"/>
                <w:sz w:val="16"/>
                <w:szCs w:val="16"/>
              </w:rPr>
              <w:t>I-III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E02F49" w:rsidRDefault="00095C99" w:rsidP="00CA5477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02F49">
              <w:rPr>
                <w:rFonts w:ascii="Fira Sans" w:hAnsi="Fira Sans"/>
                <w:color w:val="auto"/>
                <w:sz w:val="16"/>
                <w:szCs w:val="16"/>
              </w:rPr>
              <w:t>III 2020</w:t>
            </w:r>
          </w:p>
        </w:tc>
      </w:tr>
      <w:tr w:rsidR="00095C99" w:rsidRPr="00891A4D" w:rsidTr="00CA5477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95C99" w:rsidRPr="00891A4D" w:rsidRDefault="00095C99" w:rsidP="00CA5477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891A4D" w:rsidRDefault="00095C99" w:rsidP="00CA5477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891A4D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891A4D" w:rsidRDefault="00095C99" w:rsidP="00CA5477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891A4D">
              <w:rPr>
                <w:sz w:val="16"/>
                <w:szCs w:val="16"/>
              </w:rPr>
              <w:t>I-III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891A4D" w:rsidRDefault="00095C99" w:rsidP="00CA5477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891A4D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891A4D" w:rsidRDefault="00095C99" w:rsidP="00CA5477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891A4D">
              <w:rPr>
                <w:sz w:val="16"/>
                <w:szCs w:val="16"/>
              </w:rPr>
              <w:t>III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891A4D" w:rsidRDefault="00095C99" w:rsidP="00CA5477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891A4D">
              <w:rPr>
                <w:sz w:val="16"/>
                <w:szCs w:val="16"/>
              </w:rPr>
              <w:t>II 2020 = 100</w:t>
            </w:r>
          </w:p>
        </w:tc>
      </w:tr>
      <w:tr w:rsidR="00095C99" w:rsidRPr="00DB388F" w:rsidTr="00CA547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DB388F" w:rsidRDefault="00095C99" w:rsidP="00CA5477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B388F">
              <w:rPr>
                <w:rFonts w:ascii="Fira Sans" w:hAnsi="Fira Sans"/>
                <w:sz w:val="16"/>
                <w:szCs w:val="16"/>
              </w:rPr>
              <w:t>Żywiec rzeźny</w:t>
            </w:r>
            <w:r w:rsidRPr="00DB388F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DB388F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DB388F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DB388F"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DB388F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DB388F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DB388F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DB388F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DB388F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DB388F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DB388F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DB388F">
              <w:rPr>
                <w:rFonts w:cs="Arial"/>
                <w:sz w:val="16"/>
                <w:szCs w:val="16"/>
              </w:rPr>
              <w:t>125,9</w:t>
            </w:r>
          </w:p>
        </w:tc>
      </w:tr>
      <w:tr w:rsidR="00095C99" w:rsidRPr="00DB388F" w:rsidTr="00CA547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F87F4E" w:rsidRDefault="00095C99" w:rsidP="00CA5477">
            <w:pPr>
              <w:pStyle w:val="Tekstpodstawowy"/>
              <w:tabs>
                <w:tab w:val="right" w:leader="dot" w:pos="1911"/>
              </w:tabs>
              <w:spacing w:line="23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87F4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87F4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87F4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87F4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87F4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87F4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5C99" w:rsidRPr="003B69DE" w:rsidTr="00CA547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69D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095C99" w:rsidRPr="003B69DE" w:rsidTr="00CA547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69DE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166,5</w:t>
            </w:r>
          </w:p>
        </w:tc>
      </w:tr>
      <w:tr w:rsidR="00095C99" w:rsidRPr="003B69DE" w:rsidTr="00CA547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69DE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91,1</w:t>
            </w:r>
          </w:p>
        </w:tc>
      </w:tr>
      <w:tr w:rsidR="00095C99" w:rsidRPr="003B69DE" w:rsidTr="00CA547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69DE">
              <w:rPr>
                <w:rFonts w:ascii="Fira Sans" w:hAnsi="Fira Sans"/>
                <w:sz w:val="16"/>
                <w:szCs w:val="16"/>
              </w:rPr>
              <w:t>Mleko</w:t>
            </w:r>
            <w:r w:rsidRPr="003B69DE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3B69DE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B69DE" w:rsidRDefault="00095C99" w:rsidP="00CA5477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69DE">
              <w:rPr>
                <w:rFonts w:cs="Arial"/>
                <w:sz w:val="16"/>
                <w:szCs w:val="16"/>
              </w:rPr>
              <w:t>106,7</w:t>
            </w:r>
          </w:p>
        </w:tc>
      </w:tr>
    </w:tbl>
    <w:p w:rsidR="00095C99" w:rsidRPr="00891A4D" w:rsidRDefault="00095C99" w:rsidP="00095C99">
      <w:pPr>
        <w:spacing w:after="0"/>
        <w:ind w:left="227"/>
        <w:rPr>
          <w:rFonts w:cs="Arial"/>
          <w:sz w:val="16"/>
          <w:szCs w:val="16"/>
        </w:rPr>
      </w:pPr>
      <w:r w:rsidRPr="003B69DE">
        <w:rPr>
          <w:rFonts w:cs="Arial"/>
          <w:sz w:val="16"/>
          <w:szCs w:val="16"/>
          <w:vertAlign w:val="superscript"/>
        </w:rPr>
        <w:t xml:space="preserve">a </w:t>
      </w:r>
      <w:r w:rsidRPr="003B69DE">
        <w:rPr>
          <w:rFonts w:cs="Arial"/>
          <w:sz w:val="16"/>
          <w:szCs w:val="16"/>
        </w:rPr>
        <w:t xml:space="preserve">Bez skupu realizowanego przez osoby fizyczne. </w:t>
      </w:r>
      <w:r w:rsidRPr="003B69DE">
        <w:rPr>
          <w:rFonts w:cs="Arial"/>
          <w:sz w:val="16"/>
          <w:szCs w:val="16"/>
          <w:vertAlign w:val="superscript"/>
        </w:rPr>
        <w:t>b</w:t>
      </w:r>
      <w:r w:rsidRPr="003B69DE">
        <w:rPr>
          <w:rFonts w:cs="Arial"/>
          <w:sz w:val="16"/>
          <w:szCs w:val="16"/>
        </w:rPr>
        <w:t xml:space="preserve"> Obejmuje bydło, cielęta, trzodę chlewną, owce, konie i drób; w wadze żywej. </w:t>
      </w:r>
      <w:r w:rsidRPr="003B69DE">
        <w:rPr>
          <w:rFonts w:cs="Arial"/>
          <w:sz w:val="16"/>
          <w:szCs w:val="16"/>
        </w:rPr>
        <w:br/>
      </w:r>
      <w:r w:rsidRPr="00891A4D">
        <w:rPr>
          <w:rFonts w:cs="Arial"/>
          <w:sz w:val="16"/>
          <w:szCs w:val="16"/>
          <w:vertAlign w:val="superscript"/>
        </w:rPr>
        <w:t>c</w:t>
      </w:r>
      <w:r w:rsidRPr="00891A4D">
        <w:rPr>
          <w:rFonts w:cs="Arial"/>
          <w:sz w:val="16"/>
          <w:szCs w:val="16"/>
        </w:rPr>
        <w:t xml:space="preserve"> W milionach litrów.</w:t>
      </w:r>
    </w:p>
    <w:p w:rsidR="00095C99" w:rsidRPr="003B69DE" w:rsidRDefault="00095C99" w:rsidP="00095C99">
      <w:pPr>
        <w:spacing w:before="0" w:after="0"/>
        <w:ind w:left="227"/>
        <w:jc w:val="both"/>
        <w:rPr>
          <w:rFonts w:cs="Arial"/>
          <w:sz w:val="18"/>
          <w:szCs w:val="16"/>
        </w:rPr>
      </w:pPr>
    </w:p>
    <w:p w:rsidR="00095C99" w:rsidRPr="00B54A53" w:rsidRDefault="00095C99" w:rsidP="00095C99">
      <w:pPr>
        <w:pStyle w:val="Tekstkomunikat"/>
      </w:pPr>
      <w:r w:rsidRPr="003B69DE">
        <w:rPr>
          <w:shd w:val="clear" w:color="auto" w:fill="FFFFFF"/>
        </w:rPr>
        <w:t xml:space="preserve">Od początku br. producenci z województwa świętokrzyskiego dostarczyli do skupu 17,3 tys. t </w:t>
      </w:r>
      <w:r w:rsidRPr="003B69DE">
        <w:rPr>
          <w:b/>
          <w:shd w:val="clear" w:color="auto" w:fill="FFFFFF"/>
        </w:rPr>
        <w:t>żywca rzeźnego</w:t>
      </w:r>
      <w:r w:rsidRPr="003B69DE">
        <w:rPr>
          <w:shd w:val="clear" w:color="auto" w:fill="FFFFFF"/>
        </w:rPr>
        <w:t xml:space="preserve"> (w wadze żywej), tj. </w:t>
      </w:r>
      <w:r w:rsidRPr="008934D5">
        <w:rPr>
          <w:shd w:val="clear" w:color="auto" w:fill="FFFFFF"/>
        </w:rPr>
        <w:t>o 9,3% mniej niż przed rokiem. Spadek skupu dotyczył żywca wołowego (o 18,6%), i drobiowego (o 19,6%)</w:t>
      </w:r>
      <w:r w:rsidRPr="00B54A53">
        <w:t xml:space="preserve">, </w:t>
      </w:r>
      <w:r>
        <w:t>a wzrost – żywca</w:t>
      </w:r>
      <w:r w:rsidRPr="00B54A53">
        <w:t xml:space="preserve"> </w:t>
      </w:r>
      <w:r>
        <w:t>wieprzowego</w:t>
      </w:r>
      <w:r w:rsidRPr="00B54A53">
        <w:t xml:space="preserve"> (o </w:t>
      </w:r>
      <w:r>
        <w:t>3,0</w:t>
      </w:r>
      <w:r w:rsidRPr="009705B0">
        <w:t>%).</w:t>
      </w:r>
      <w:r w:rsidRPr="009705B0">
        <w:rPr>
          <w:shd w:val="clear" w:color="auto" w:fill="FFFFFF"/>
        </w:rPr>
        <w:t xml:space="preserve"> W marcu 2020 r. podaż żywca rzeźnego ogółem (6,7 tys. t) była </w:t>
      </w:r>
      <w:r>
        <w:t>wy</w:t>
      </w:r>
      <w:r w:rsidRPr="00B54A53">
        <w:t xml:space="preserve">ższa </w:t>
      </w:r>
      <w:r>
        <w:t xml:space="preserve">zarówno </w:t>
      </w:r>
      <w:r w:rsidRPr="00B54A53">
        <w:t xml:space="preserve">w ujęciu rocznym </w:t>
      </w:r>
      <w:r>
        <w:t>(</w:t>
      </w:r>
      <w:r w:rsidRPr="00B54A53">
        <w:t xml:space="preserve">o </w:t>
      </w:r>
      <w:r>
        <w:t>5,1</w:t>
      </w:r>
      <w:r w:rsidRPr="00B54A53">
        <w:t>%</w:t>
      </w:r>
      <w:r>
        <w:t>)</w:t>
      </w:r>
      <w:r w:rsidRPr="00B54A53">
        <w:t xml:space="preserve">, </w:t>
      </w:r>
      <w:r>
        <w:t>j</w:t>
      </w:r>
      <w:r w:rsidRPr="00B54A53">
        <w:t>a</w:t>
      </w:r>
      <w:r>
        <w:t>k i miesięcznym (</w:t>
      </w:r>
      <w:r w:rsidRPr="00B54A53">
        <w:t xml:space="preserve">o </w:t>
      </w:r>
      <w:r>
        <w:t>25,9</w:t>
      </w:r>
      <w:r w:rsidRPr="00B54A53">
        <w:t>%</w:t>
      </w:r>
      <w:r>
        <w:t>)</w:t>
      </w:r>
      <w:r w:rsidRPr="00B54A53">
        <w:t>.</w:t>
      </w:r>
      <w:r w:rsidRPr="00AE7558">
        <w:rPr>
          <w:color w:val="FF0000"/>
          <w:shd w:val="clear" w:color="auto" w:fill="FFFFFF"/>
        </w:rPr>
        <w:t xml:space="preserve"> </w:t>
      </w:r>
    </w:p>
    <w:p w:rsidR="00095C99" w:rsidRDefault="00095C99" w:rsidP="00095C99">
      <w:pPr>
        <w:pStyle w:val="Tekstkomunikat"/>
      </w:pPr>
      <w:r w:rsidRPr="00B54A53">
        <w:t xml:space="preserve">Dostawy </w:t>
      </w:r>
      <w:r w:rsidRPr="00B54A53">
        <w:rPr>
          <w:b/>
        </w:rPr>
        <w:t>mleka</w:t>
      </w:r>
      <w:r w:rsidRPr="00B54A53">
        <w:t xml:space="preserve"> do skupu w okresie styczeń–</w:t>
      </w:r>
      <w:r>
        <w:t>marzec</w:t>
      </w:r>
      <w:r w:rsidRPr="00B54A53">
        <w:t xml:space="preserve"> br. (</w:t>
      </w:r>
      <w:r>
        <w:t>52,1</w:t>
      </w:r>
      <w:r w:rsidRPr="00B54A53">
        <w:t xml:space="preserve"> mln l) były o </w:t>
      </w:r>
      <w:r>
        <w:t>15,0</w:t>
      </w:r>
      <w:r w:rsidRPr="00B54A53">
        <w:t>% większe niż w tym samym okresie 201</w:t>
      </w:r>
      <w:r>
        <w:t>9</w:t>
      </w:r>
      <w:r w:rsidRPr="00B54A53">
        <w:t xml:space="preserve"> r. </w:t>
      </w:r>
      <w:r w:rsidRPr="00B54A53">
        <w:br/>
        <w:t xml:space="preserve">W </w:t>
      </w:r>
      <w:r>
        <w:t>marcu</w:t>
      </w:r>
      <w:r w:rsidRPr="00B54A53">
        <w:t xml:space="preserve"> br. skup mleka wyniósł </w:t>
      </w:r>
      <w:r>
        <w:t>15,6</w:t>
      </w:r>
      <w:r w:rsidRPr="00B54A53">
        <w:t xml:space="preserve"> mln l i był o </w:t>
      </w:r>
      <w:r>
        <w:t>6,7</w:t>
      </w:r>
      <w:r w:rsidRPr="00B54A53">
        <w:t xml:space="preserve">% </w:t>
      </w:r>
      <w:r>
        <w:t xml:space="preserve">większy </w:t>
      </w:r>
      <w:r w:rsidRPr="00B54A53">
        <w:t>niż miesiąc temu</w:t>
      </w:r>
      <w:r>
        <w:t xml:space="preserve"> oraz</w:t>
      </w:r>
      <w:r w:rsidRPr="00B54A53">
        <w:t xml:space="preserve"> o </w:t>
      </w:r>
      <w:r>
        <w:t>2,3</w:t>
      </w:r>
      <w:r w:rsidRPr="00B54A53">
        <w:t xml:space="preserve">% </w:t>
      </w:r>
      <w:r>
        <w:t xml:space="preserve">mniejszy </w:t>
      </w:r>
      <w:r w:rsidRPr="00B54A53">
        <w:t>niż rok temu.</w:t>
      </w:r>
    </w:p>
    <w:p w:rsidR="00095C99" w:rsidRDefault="00095C99" w:rsidP="00095C99">
      <w:pPr>
        <w:pStyle w:val="Tekstkomunikat"/>
      </w:pPr>
    </w:p>
    <w:p w:rsidR="00095C99" w:rsidRDefault="00095C99" w:rsidP="00095C99">
      <w:pPr>
        <w:pStyle w:val="Tekstkomunikat"/>
      </w:pPr>
    </w:p>
    <w:p w:rsidR="00095C99" w:rsidRDefault="00095C99" w:rsidP="00095C99">
      <w:pPr>
        <w:pStyle w:val="Tekstkomunikat"/>
      </w:pPr>
    </w:p>
    <w:p w:rsidR="00095C99" w:rsidRDefault="00095C99" w:rsidP="000F0BA1">
      <w:pPr>
        <w:pStyle w:val="tytuwykresu"/>
        <w:pageBreakBefore/>
        <w:rPr>
          <w:shd w:val="clear" w:color="auto" w:fill="FFFFFF"/>
        </w:rPr>
      </w:pPr>
      <w:r w:rsidRPr="004A20CC">
        <w:rPr>
          <w:shd w:val="clear" w:color="auto" w:fill="FFFFFF"/>
        </w:rPr>
        <w:lastRenderedPageBreak/>
        <w:t xml:space="preserve">Tablica </w:t>
      </w:r>
      <w:r w:rsidR="00920672">
        <w:rPr>
          <w:shd w:val="clear" w:color="auto" w:fill="FFFFFF"/>
        </w:rPr>
        <w:t>7</w:t>
      </w:r>
      <w:r w:rsidRPr="004A20CC">
        <w:rPr>
          <w:shd w:val="clear" w:color="auto" w:fill="FFFFFF"/>
        </w:rPr>
        <w:t xml:space="preserve">. Przeciętne ceny podstawowych produktów rolnych </w:t>
      </w:r>
    </w:p>
    <w:p w:rsidR="00A43638" w:rsidRPr="004A20CC" w:rsidRDefault="00A43638" w:rsidP="00A43638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93"/>
        <w:gridCol w:w="768"/>
        <w:gridCol w:w="768"/>
        <w:gridCol w:w="767"/>
        <w:gridCol w:w="768"/>
        <w:gridCol w:w="767"/>
        <w:gridCol w:w="767"/>
        <w:gridCol w:w="767"/>
        <w:gridCol w:w="767"/>
        <w:gridCol w:w="768"/>
        <w:gridCol w:w="767"/>
      </w:tblGrid>
      <w:tr w:rsidR="00095C99" w:rsidRPr="004A20CC" w:rsidTr="00CA5477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A20C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A20CC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A20CC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095C99" w:rsidRPr="004A20CC" w:rsidTr="00CA5477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A20CC">
              <w:rPr>
                <w:sz w:val="16"/>
                <w:szCs w:val="16"/>
              </w:rPr>
              <w:t>III 2020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A20CC">
              <w:rPr>
                <w:sz w:val="16"/>
                <w:szCs w:val="16"/>
              </w:rPr>
              <w:t>I-III 2020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A20CC">
              <w:rPr>
                <w:sz w:val="16"/>
                <w:szCs w:val="16"/>
              </w:rPr>
              <w:t>III 2020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A20CC">
              <w:rPr>
                <w:sz w:val="16"/>
                <w:szCs w:val="16"/>
              </w:rPr>
              <w:t>I-III 2020</w:t>
            </w:r>
          </w:p>
        </w:tc>
      </w:tr>
      <w:tr w:rsidR="00095C99" w:rsidRPr="004A20CC" w:rsidTr="00CA5477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4A20CC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III</w:t>
            </w:r>
            <w:r w:rsidRPr="004A20CC">
              <w:rPr>
                <w:rFonts w:cs="Arial"/>
                <w:sz w:val="16"/>
                <w:szCs w:val="16"/>
              </w:rPr>
              <w:br/>
              <w:t>2019 =</w:t>
            </w:r>
            <w:r w:rsidRPr="004A20CC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II</w:t>
            </w:r>
            <w:r w:rsidRPr="004A20CC">
              <w:rPr>
                <w:rFonts w:cs="Arial"/>
                <w:sz w:val="16"/>
                <w:szCs w:val="16"/>
              </w:rPr>
              <w:br/>
              <w:t>2020 =</w:t>
            </w:r>
            <w:r w:rsidRPr="004A20CC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I-III</w:t>
            </w:r>
            <w:r w:rsidRPr="004A20CC">
              <w:rPr>
                <w:rFonts w:cs="Arial"/>
                <w:sz w:val="16"/>
                <w:szCs w:val="16"/>
              </w:rPr>
              <w:br/>
              <w:t>2019 =</w:t>
            </w:r>
            <w:r w:rsidRPr="004A20CC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III</w:t>
            </w:r>
            <w:r w:rsidRPr="004A20CC">
              <w:rPr>
                <w:rFonts w:cs="Arial"/>
                <w:sz w:val="16"/>
                <w:szCs w:val="16"/>
              </w:rPr>
              <w:br/>
              <w:t>2019 =</w:t>
            </w:r>
            <w:r w:rsidRPr="004A20CC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II</w:t>
            </w:r>
            <w:r w:rsidRPr="004A20CC">
              <w:rPr>
                <w:rFonts w:cs="Arial"/>
                <w:sz w:val="16"/>
                <w:szCs w:val="16"/>
              </w:rPr>
              <w:br/>
              <w:t>2020 =</w:t>
            </w:r>
            <w:r w:rsidRPr="004A20CC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5C99" w:rsidRPr="004A20CC" w:rsidRDefault="00095C99" w:rsidP="00CA547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A20CC">
              <w:rPr>
                <w:rFonts w:cs="Arial"/>
                <w:sz w:val="16"/>
                <w:szCs w:val="16"/>
              </w:rPr>
              <w:t>I-III</w:t>
            </w:r>
            <w:r w:rsidRPr="004A20CC">
              <w:rPr>
                <w:rFonts w:cs="Arial"/>
                <w:sz w:val="16"/>
                <w:szCs w:val="16"/>
              </w:rPr>
              <w:br/>
              <w:t>2019 =</w:t>
            </w:r>
            <w:r w:rsidRPr="004A20CC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095C99" w:rsidRPr="007641E1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E828B1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828B1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E828B1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E828B1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E828B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E828B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E828B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E828B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5C99" w:rsidRPr="007641E1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71E19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sz w:val="16"/>
                <w:szCs w:val="16"/>
              </w:rPr>
              <w:t>69,49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sz w:val="16"/>
                <w:szCs w:val="16"/>
              </w:rPr>
              <w:t>68,39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82,83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80,83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94,6</w:t>
            </w:r>
          </w:p>
        </w:tc>
      </w:tr>
      <w:tr w:rsidR="00095C99" w:rsidRPr="007641E1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71E19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sz w:val="16"/>
                <w:szCs w:val="16"/>
              </w:rPr>
              <w:t>49,96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F71E19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71E19">
              <w:rPr>
                <w:rFonts w:cs="Arial"/>
                <w:sz w:val="16"/>
                <w:szCs w:val="16"/>
              </w:rPr>
              <w:t>50,37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64,75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64,16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7641E1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641E1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095C99" w:rsidRPr="00364B22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364B22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364B22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364B22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192,65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222,8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202,5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96,78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167,76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159,9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167,41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166,1</w:t>
            </w:r>
          </w:p>
        </w:tc>
      </w:tr>
      <w:tr w:rsidR="00095C99" w:rsidRPr="00364B22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364B22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5C99" w:rsidRPr="00364B22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64B2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5C99" w:rsidRPr="00364B22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64B2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6,54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6,55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95C99" w:rsidRPr="00364B22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64B2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6,35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141,6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6,21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95C99" w:rsidRPr="00364B22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64B2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3,53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3,57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95C99" w:rsidRPr="00364B22" w:rsidTr="00CA547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64B22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131,48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132,04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95C99" w:rsidRPr="00364B22" w:rsidRDefault="00095C99" w:rsidP="00CA547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64B2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095C99" w:rsidRPr="00364B22" w:rsidRDefault="00095C99" w:rsidP="00095C99">
      <w:pPr>
        <w:ind w:left="227"/>
      </w:pPr>
      <w:r w:rsidRPr="00364B22">
        <w:rPr>
          <w:rFonts w:cs="Arial"/>
          <w:sz w:val="16"/>
          <w:szCs w:val="16"/>
          <w:vertAlign w:val="superscript"/>
        </w:rPr>
        <w:t>a</w:t>
      </w:r>
      <w:r w:rsidRPr="00364B22">
        <w:rPr>
          <w:rFonts w:cs="Arial"/>
          <w:sz w:val="16"/>
          <w:szCs w:val="16"/>
        </w:rPr>
        <w:t xml:space="preserve"> W skupie bez ziarna siewnego. </w:t>
      </w:r>
      <w:r w:rsidRPr="00364B22">
        <w:rPr>
          <w:rFonts w:cs="Arial"/>
          <w:sz w:val="16"/>
          <w:szCs w:val="16"/>
          <w:vertAlign w:val="superscript"/>
        </w:rPr>
        <w:t>b</w:t>
      </w:r>
      <w:r w:rsidRPr="00364B22">
        <w:rPr>
          <w:rFonts w:cs="Arial"/>
          <w:sz w:val="16"/>
          <w:szCs w:val="16"/>
        </w:rPr>
        <w:t xml:space="preserve"> Na targowiskach — jadalne późne.</w:t>
      </w:r>
    </w:p>
    <w:p w:rsidR="00095C99" w:rsidRPr="00972893" w:rsidRDefault="00095C99" w:rsidP="000F0BA1">
      <w:pPr>
        <w:spacing w:before="240"/>
        <w:rPr>
          <w:shd w:val="clear" w:color="auto" w:fill="FFFFFF"/>
        </w:rPr>
      </w:pPr>
      <w:r>
        <w:t xml:space="preserve">W okresie styczeń–marzec br. zarówno w skupie, jak i na targowiskach przeciętne </w:t>
      </w:r>
      <w:r w:rsidRPr="00A33FC5">
        <w:t>ceny</w:t>
      </w:r>
      <w:r w:rsidRPr="00E05A99">
        <w:rPr>
          <w:b/>
        </w:rPr>
        <w:t xml:space="preserve"> pszenicy </w:t>
      </w:r>
      <w:r>
        <w:t>były niższe niż w tym samym okresie 201</w:t>
      </w:r>
      <w:r w:rsidR="0005543A">
        <w:t>9</w:t>
      </w:r>
      <w:r>
        <w:t xml:space="preserve"> r. </w:t>
      </w:r>
      <w:r w:rsidRPr="0018595E">
        <w:t xml:space="preserve">W </w:t>
      </w:r>
      <w:r>
        <w:t>marcu</w:t>
      </w:r>
      <w:r w:rsidRPr="0018595E">
        <w:t xml:space="preserve"> br. </w:t>
      </w:r>
      <w:r w:rsidRPr="00671FF0">
        <w:t>za 1 dt</w:t>
      </w:r>
      <w:r w:rsidRPr="0018595E">
        <w:t xml:space="preserve"> </w:t>
      </w:r>
      <w:r w:rsidRPr="00E05A99">
        <w:t>pszenicy</w:t>
      </w:r>
      <w:r w:rsidRPr="0018595E">
        <w:t xml:space="preserve"> w skupie płacono </w:t>
      </w:r>
      <w:r>
        <w:t>69,49</w:t>
      </w:r>
      <w:r w:rsidRPr="0018595E">
        <w:t xml:space="preserve"> zł, tj. o </w:t>
      </w:r>
      <w:r>
        <w:t>1</w:t>
      </w:r>
      <w:r w:rsidRPr="00972893">
        <w:t>,4% więcej niż przed miesiącem</w:t>
      </w:r>
      <w:r w:rsidRPr="00972893">
        <w:br/>
        <w:t xml:space="preserve">i o 13,7% mniej niż przed rokiem. </w:t>
      </w:r>
      <w:r w:rsidRPr="00972893">
        <w:rPr>
          <w:shd w:val="clear" w:color="auto" w:fill="FFFFFF"/>
        </w:rPr>
        <w:t>Na targowisk</w:t>
      </w:r>
      <w:bookmarkStart w:id="0" w:name="_GoBack"/>
      <w:bookmarkEnd w:id="0"/>
      <w:r w:rsidRPr="00972893">
        <w:rPr>
          <w:shd w:val="clear" w:color="auto" w:fill="FFFFFF"/>
        </w:rPr>
        <w:t>ach przeciętna cena pszenicy ukształtowała się na poziomie 82,83 zł/dt</w:t>
      </w:r>
      <w:r w:rsidRPr="00972893">
        <w:rPr>
          <w:shd w:val="clear" w:color="auto" w:fill="FFFFFF"/>
        </w:rPr>
        <w:br/>
        <w:t xml:space="preserve">i była o 2,9% wyższa niż w lutym 2020 r. oraz o 3,9% niższa od ceny z marca 2019 r. Cena skupu </w:t>
      </w:r>
      <w:r w:rsidRPr="00972893">
        <w:rPr>
          <w:b/>
          <w:shd w:val="clear" w:color="auto" w:fill="FFFFFF"/>
        </w:rPr>
        <w:t>żyta</w:t>
      </w:r>
      <w:r w:rsidRPr="00972893">
        <w:rPr>
          <w:shd w:val="clear" w:color="auto" w:fill="FFFFFF"/>
        </w:rPr>
        <w:t xml:space="preserve"> w porównaniu z poprzednim miesiącem spadła o 0,2% (do 49,96 zł/dt), a cena targowiskowa o 0,2% (do 64,75 zł/dt). W odniesieniu do marca 2019 r. za żyto na targowiskach płacono o 3,2% mniej.</w:t>
      </w:r>
    </w:p>
    <w:p w:rsidR="00095C99" w:rsidRDefault="000F0BA1" w:rsidP="00095C99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5600700</wp:posOffset>
            </wp:positionV>
            <wp:extent cx="6610350" cy="2914650"/>
            <wp:effectExtent l="0" t="0" r="0" b="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C99" w:rsidRPr="00972893">
        <w:rPr>
          <w:b/>
        </w:rPr>
        <w:t>Wykres 6.</w:t>
      </w:r>
      <w:r w:rsidR="00095C99" w:rsidRPr="00972893">
        <w:rPr>
          <w:b/>
          <w:shd w:val="clear" w:color="auto" w:fill="FFFFFF"/>
        </w:rPr>
        <w:t xml:space="preserve"> Przeciętne ceny skupu zbóż</w:t>
      </w:r>
      <w:r w:rsidR="00095C99" w:rsidRPr="00972893">
        <w:rPr>
          <w:b/>
          <w:i/>
          <w:shd w:val="clear" w:color="auto" w:fill="FFFFFF"/>
          <w:vertAlign w:val="superscript"/>
        </w:rPr>
        <w:t>a</w:t>
      </w:r>
      <w:r w:rsidR="00095C99" w:rsidRPr="00972893">
        <w:rPr>
          <w:b/>
          <w:shd w:val="clear" w:color="auto" w:fill="FFFFFF"/>
        </w:rPr>
        <w:t xml:space="preserve"> i targowiskowe ceny ziemniaków</w:t>
      </w:r>
      <w:r w:rsidR="00095C99" w:rsidRPr="00972893">
        <w:rPr>
          <w:i/>
          <w:noProof/>
          <w:lang w:eastAsia="pl-PL"/>
        </w:rPr>
        <w:t xml:space="preserve"> </w:t>
      </w:r>
    </w:p>
    <w:p w:rsidR="00095C99" w:rsidRPr="00090227" w:rsidRDefault="00095C99" w:rsidP="00095C99">
      <w:pPr>
        <w:ind w:left="227"/>
      </w:pPr>
      <w:r w:rsidRPr="00090227">
        <w:rPr>
          <w:rFonts w:cs="Arial"/>
          <w:sz w:val="16"/>
          <w:szCs w:val="16"/>
          <w:vertAlign w:val="superscript"/>
        </w:rPr>
        <w:t>a</w:t>
      </w:r>
      <w:r w:rsidRPr="00090227">
        <w:rPr>
          <w:rFonts w:cs="Arial"/>
          <w:sz w:val="16"/>
          <w:szCs w:val="16"/>
        </w:rPr>
        <w:t xml:space="preserve"> W okresie styczeń-maj 2019 r. cena żyta bez konsumpcyjnego.</w:t>
      </w:r>
    </w:p>
    <w:p w:rsidR="00095C99" w:rsidRPr="004871E8" w:rsidRDefault="00095C99" w:rsidP="000F0BA1">
      <w:pPr>
        <w:spacing w:before="240"/>
        <w:rPr>
          <w:shd w:val="clear" w:color="auto" w:fill="FFFFFF"/>
        </w:rPr>
      </w:pPr>
      <w:r>
        <w:rPr>
          <w:rFonts w:cs="Arial"/>
        </w:rPr>
        <w:t>W</w:t>
      </w:r>
      <w:r w:rsidRPr="00DF6D27">
        <w:t xml:space="preserve"> </w:t>
      </w:r>
      <w:r>
        <w:t>marcu</w:t>
      </w:r>
      <w:r w:rsidRPr="00DF6D27">
        <w:t xml:space="preserve"> br.</w:t>
      </w:r>
      <w:r w:rsidR="00FB661D">
        <w:t>,</w:t>
      </w:r>
      <w:r w:rsidRPr="00DF6D27">
        <w:t xml:space="preserve"> </w:t>
      </w:r>
      <w:r>
        <w:t xml:space="preserve">znacznie mniejszym </w:t>
      </w:r>
      <w:r w:rsidRPr="00DF6D27">
        <w:t xml:space="preserve">niż przed miesiącem </w:t>
      </w:r>
      <w:r>
        <w:t>i przed rokiem d</w:t>
      </w:r>
      <w:r w:rsidRPr="00DF6D27">
        <w:t>ostaw</w:t>
      </w:r>
      <w:r>
        <w:t xml:space="preserve">om </w:t>
      </w:r>
      <w:r w:rsidRPr="003E4FCF">
        <w:rPr>
          <w:b/>
        </w:rPr>
        <w:t>ziemniaków</w:t>
      </w:r>
      <w:r w:rsidRPr="00DF6D27">
        <w:t xml:space="preserve"> do skupu</w:t>
      </w:r>
      <w:r>
        <w:t xml:space="preserve"> towarzyszył sezonowy wzrost </w:t>
      </w:r>
      <w:r w:rsidRPr="0000261C">
        <w:t xml:space="preserve">cen tego </w:t>
      </w:r>
      <w:r w:rsidRPr="004871E8">
        <w:t>surowca.</w:t>
      </w:r>
      <w:r w:rsidRPr="004871E8">
        <w:rPr>
          <w:shd w:val="clear" w:color="auto" w:fill="FFFFFF"/>
        </w:rPr>
        <w:t xml:space="preserve"> Za 1 dt ziemniaków płacono 192,65 zł, tj. o 102,5% więcej niż w lutym br. i o 122,8% więcej niż w marcu ub. roku. W obrocie targowiskowym ceny ziemniaków (167,76 zł/dt) w ujęciu miesięcznym wzrosły o 6,4%, a w ujęciu rocznym - o 59,9%.</w:t>
      </w:r>
    </w:p>
    <w:p w:rsidR="00095C99" w:rsidRPr="004871E8" w:rsidRDefault="00CC46CC" w:rsidP="00095C99">
      <w:pPr>
        <w:spacing w:before="48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6645910" cy="3095625"/>
            <wp:effectExtent l="0" t="0" r="2540" b="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095C99" w:rsidRPr="004871E8">
        <w:rPr>
          <w:b/>
        </w:rPr>
        <w:t>Wykres 7.</w:t>
      </w:r>
      <w:r w:rsidR="00095C99" w:rsidRPr="004871E8">
        <w:rPr>
          <w:b/>
          <w:shd w:val="clear" w:color="auto" w:fill="FFFFFF"/>
        </w:rPr>
        <w:t xml:space="preserve"> Przeciętne ceny skupu żywca i mleka</w:t>
      </w:r>
      <w:r w:rsidR="00095C99" w:rsidRPr="004871E8">
        <w:rPr>
          <w:noProof/>
          <w:lang w:eastAsia="pl-PL"/>
        </w:rPr>
        <w:t xml:space="preserve"> </w:t>
      </w:r>
    </w:p>
    <w:p w:rsidR="00095C99" w:rsidRPr="00BB70A5" w:rsidRDefault="00095C99" w:rsidP="00CC46CC">
      <w:pPr>
        <w:spacing w:before="360"/>
        <w:rPr>
          <w:shd w:val="clear" w:color="auto" w:fill="FFFFFF"/>
        </w:rPr>
      </w:pPr>
      <w:r>
        <w:t xml:space="preserve">W I kwartale 2020 r. przeciętna </w:t>
      </w:r>
      <w:r w:rsidRPr="00937161">
        <w:rPr>
          <w:b/>
        </w:rPr>
        <w:t>cena</w:t>
      </w:r>
      <w:r>
        <w:t xml:space="preserve"> skupu </w:t>
      </w:r>
      <w:r w:rsidRPr="00D900FD">
        <w:rPr>
          <w:b/>
        </w:rPr>
        <w:t>żywca wieprzowego</w:t>
      </w:r>
      <w:r w:rsidRPr="00F75746">
        <w:t xml:space="preserve"> </w:t>
      </w:r>
      <w:r>
        <w:t>była o 46,0% wyższa niż w ubieg</w:t>
      </w:r>
      <w:r w:rsidRPr="00400151">
        <w:t>łym roku.</w:t>
      </w:r>
      <w:r w:rsidRPr="00400151">
        <w:rPr>
          <w:shd w:val="clear" w:color="auto" w:fill="FFFFFF"/>
        </w:rPr>
        <w:t xml:space="preserve"> W marcu br.</w:t>
      </w:r>
      <w:r w:rsidRPr="00400151">
        <w:rPr>
          <w:shd w:val="clear" w:color="auto" w:fill="FFFFFF"/>
        </w:rPr>
        <w:br/>
        <w:t xml:space="preserve">za </w:t>
      </w:r>
      <w:r w:rsidRPr="00BB70A5">
        <w:rPr>
          <w:shd w:val="clear" w:color="auto" w:fill="FFFFFF"/>
        </w:rPr>
        <w:t xml:space="preserve">1 kg tego surowca płacono 6,35 zł, tj. więcej </w:t>
      </w:r>
      <w:r w:rsidRPr="00BB70A5">
        <w:t xml:space="preserve">o 1,8% niż przed miesiącem i o 41,6% niż przed rokiem. </w:t>
      </w:r>
      <w:r w:rsidRPr="00BB70A5">
        <w:rPr>
          <w:shd w:val="clear" w:color="auto" w:fill="FFFFFF"/>
        </w:rPr>
        <w:t xml:space="preserve">Wzrost cen żywca wieprzowego w skupie i spadek cen żyta na targowiskach skutkował </w:t>
      </w:r>
      <w:r w:rsidRPr="00BB70A5">
        <w:t>poprawą wskaźnika rentowności produkcji trzody chlewnej.</w:t>
      </w:r>
      <w:r w:rsidRPr="00BB70A5">
        <w:rPr>
          <w:shd w:val="clear" w:color="auto" w:fill="FFFFFF"/>
        </w:rPr>
        <w:t xml:space="preserve"> Relacja cen skupu trzody do cen żyta na targowiskach w marcu br. wyniosła 9,8 (wobec 9,6 przed miesiącem</w:t>
      </w:r>
      <w:r w:rsidRPr="00BB70A5">
        <w:rPr>
          <w:shd w:val="clear" w:color="auto" w:fill="FFFFFF"/>
        </w:rPr>
        <w:br/>
        <w:t xml:space="preserve">i 6,7 przed rokiem). </w:t>
      </w:r>
    </w:p>
    <w:p w:rsidR="00095C99" w:rsidRPr="000E79B1" w:rsidRDefault="00CC46CC" w:rsidP="00095C99">
      <w:pPr>
        <w:spacing w:before="480"/>
        <w:rPr>
          <w:b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4781550</wp:posOffset>
            </wp:positionV>
            <wp:extent cx="6645910" cy="2743835"/>
            <wp:effectExtent l="0" t="0" r="2540" b="0"/>
            <wp:wrapSquare wrapText="bothSides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095C99" w:rsidRPr="000E79B1">
        <w:rPr>
          <w:b/>
        </w:rPr>
        <w:t>Wykres 8.</w:t>
      </w:r>
      <w:r w:rsidR="00095C99" w:rsidRPr="000E79B1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:rsidR="00095C99" w:rsidRPr="000E79B1" w:rsidRDefault="00095C99" w:rsidP="00095C99">
      <w:pPr>
        <w:rPr>
          <w:b/>
          <w:shd w:val="clear" w:color="auto" w:fill="FFFFFF"/>
        </w:rPr>
      </w:pPr>
    </w:p>
    <w:p w:rsidR="00095C99" w:rsidRPr="00D54536" w:rsidRDefault="00095C99" w:rsidP="00095C99">
      <w:pPr>
        <w:rPr>
          <w:shd w:val="clear" w:color="auto" w:fill="FFFFFF"/>
        </w:rPr>
      </w:pPr>
      <w:r w:rsidRPr="00D54536">
        <w:rPr>
          <w:rFonts w:cs="Arial"/>
        </w:rPr>
        <w:t xml:space="preserve">Przeciętna cena </w:t>
      </w:r>
      <w:r w:rsidRPr="008A314A">
        <w:t xml:space="preserve">skupu </w:t>
      </w:r>
      <w:r w:rsidRPr="008A314A">
        <w:rPr>
          <w:b/>
        </w:rPr>
        <w:t xml:space="preserve">żywca </w:t>
      </w:r>
      <w:r w:rsidRPr="00D54536">
        <w:rPr>
          <w:b/>
        </w:rPr>
        <w:t>drobiowego</w:t>
      </w:r>
      <w:r w:rsidRPr="00D54536">
        <w:t xml:space="preserve"> w I kwartale br. była o 1,9% wyższa niż przed rokiem. W marcu br. z</w:t>
      </w:r>
      <w:r w:rsidRPr="00D54536">
        <w:rPr>
          <w:shd w:val="clear" w:color="auto" w:fill="FFFFFF"/>
        </w:rPr>
        <w:t>a 1 kg drobiu rzeźnego płacono średnio 3,53 zł, tj. mniej o 3,1% w porównaniu z lutym br. i o 5,5% w porównaniu z marcem ub. roku.</w:t>
      </w:r>
    </w:p>
    <w:p w:rsidR="00095C99" w:rsidRPr="00691B21" w:rsidRDefault="00095C99" w:rsidP="00095C99">
      <w:pPr>
        <w:pStyle w:val="Tekstkomunikat"/>
      </w:pPr>
      <w:r w:rsidRPr="00A54043">
        <w:rPr>
          <w:rFonts w:cs="Arial"/>
        </w:rPr>
        <w:t>W</w:t>
      </w:r>
      <w:r w:rsidRPr="00A54043">
        <w:t xml:space="preserve"> okresie styczeń–marzec br., przy znacznie mniejszych dostawach </w:t>
      </w:r>
      <w:r w:rsidRPr="00A54043">
        <w:rPr>
          <w:b/>
        </w:rPr>
        <w:t>żywca wołowego</w:t>
      </w:r>
      <w:r w:rsidRPr="00A54043">
        <w:t xml:space="preserve"> do skupu, przeciętna cena tego surowca ukształtowała się na poziomie 6,</w:t>
      </w:r>
      <w:r>
        <w:t>55</w:t>
      </w:r>
      <w:r w:rsidRPr="00A54043">
        <w:t xml:space="preserve"> zł/kg i była o </w:t>
      </w:r>
      <w:r>
        <w:t>5,0</w:t>
      </w:r>
      <w:r w:rsidRPr="00A54043">
        <w:t xml:space="preserve">% </w:t>
      </w:r>
      <w:r>
        <w:t>niższa niż w analogicznym okresie 2019</w:t>
      </w:r>
      <w:r w:rsidRPr="00A54043">
        <w:t xml:space="preserve"> r. W marcu br. za dostarczony żywiec wołowy producentom płacono średnio 6,</w:t>
      </w:r>
      <w:r>
        <w:t>64</w:t>
      </w:r>
      <w:r w:rsidRPr="00A54043">
        <w:t xml:space="preserve">zł/kg, tj. </w:t>
      </w:r>
      <w:r>
        <w:t xml:space="preserve">mniej </w:t>
      </w:r>
      <w:r w:rsidRPr="00A54043">
        <w:t xml:space="preserve">o </w:t>
      </w:r>
      <w:r>
        <w:t>1,4</w:t>
      </w:r>
      <w:r w:rsidRPr="00A54043">
        <w:t xml:space="preserve">% w ujęciu miesięcznym i o 3,2% </w:t>
      </w:r>
      <w:r>
        <w:br/>
      </w:r>
      <w:r w:rsidRPr="00A54043">
        <w:t xml:space="preserve">w ujęciu </w:t>
      </w:r>
      <w:r w:rsidRPr="00691B21">
        <w:t>rocznym.</w:t>
      </w:r>
    </w:p>
    <w:p w:rsidR="00095C99" w:rsidRPr="000E44B2" w:rsidRDefault="00095C99" w:rsidP="00095C99">
      <w:pPr>
        <w:rPr>
          <w:shd w:val="clear" w:color="auto" w:fill="FFFFFF"/>
        </w:rPr>
      </w:pPr>
      <w:r w:rsidRPr="00691B21">
        <w:rPr>
          <w:shd w:val="clear" w:color="auto" w:fill="FFFFFF"/>
        </w:rPr>
        <w:t>Marzec br. był trzecim z kolei miesiącem, w którym notowano wzrost cen</w:t>
      </w:r>
      <w:r w:rsidRPr="00691B21">
        <w:rPr>
          <w:b/>
          <w:shd w:val="clear" w:color="auto" w:fill="FFFFFF"/>
        </w:rPr>
        <w:t xml:space="preserve"> mleka </w:t>
      </w:r>
      <w:r w:rsidRPr="00691B21">
        <w:rPr>
          <w:shd w:val="clear" w:color="auto" w:fill="FFFFFF"/>
        </w:rPr>
        <w:t xml:space="preserve">w skupie w ujęciu rocznym. Za 100 l tego surowca płacono dostawcom przeciętnie 131,48 zł, czyli o 2,3% więcej niż rok </w:t>
      </w:r>
      <w:r>
        <w:rPr>
          <w:shd w:val="clear" w:color="auto" w:fill="FFFFFF"/>
        </w:rPr>
        <w:t>temu i o 0,6</w:t>
      </w:r>
      <w:r w:rsidRPr="000E44B2">
        <w:rPr>
          <w:shd w:val="clear" w:color="auto" w:fill="FFFFFF"/>
        </w:rPr>
        <w:t xml:space="preserve">% mniej niż miesiąc temu. </w:t>
      </w:r>
    </w:p>
    <w:p w:rsidR="00284CE4" w:rsidRDefault="00284CE4" w:rsidP="00CC46CC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:rsidR="00D626B6" w:rsidRPr="00B17EE7" w:rsidRDefault="00D626B6" w:rsidP="00A77AEA">
      <w:pPr>
        <w:rPr>
          <w:shd w:val="clear" w:color="auto" w:fill="FFFFFF"/>
        </w:rPr>
      </w:pPr>
      <w:r w:rsidRPr="00B17EE7">
        <w:rPr>
          <w:shd w:val="clear" w:color="auto" w:fill="FFFFFF"/>
        </w:rPr>
        <w:t xml:space="preserve">Produkcja sprzedana przemysłu w </w:t>
      </w:r>
      <w:r w:rsidR="00CA042C">
        <w:rPr>
          <w:shd w:val="clear" w:color="auto" w:fill="FFFFFF"/>
        </w:rPr>
        <w:t>marcu</w:t>
      </w:r>
      <w:r w:rsidRPr="00B17EE7">
        <w:rPr>
          <w:shd w:val="clear" w:color="auto" w:fill="FFFFFF"/>
        </w:rPr>
        <w:t xml:space="preserve"> 2019 r. osiągnęła wartość (w cenach bieżących) </w:t>
      </w:r>
      <w:r w:rsidR="00CA042C">
        <w:rPr>
          <w:shd w:val="clear" w:color="auto" w:fill="FFFFFF"/>
        </w:rPr>
        <w:t>2782,7</w:t>
      </w:r>
      <w:r w:rsidRPr="00B17EE7">
        <w:rPr>
          <w:shd w:val="clear" w:color="auto" w:fill="FFFFFF"/>
        </w:rPr>
        <w:t xml:space="preserve"> mln zł i była (w cenach stałych) </w:t>
      </w:r>
      <w:r w:rsidR="00A15B93" w:rsidRPr="00B17EE7">
        <w:rPr>
          <w:shd w:val="clear" w:color="auto" w:fill="FFFFFF"/>
        </w:rPr>
        <w:t xml:space="preserve">większa </w:t>
      </w:r>
      <w:r w:rsidRPr="00B17EE7">
        <w:rPr>
          <w:shd w:val="clear" w:color="auto" w:fill="FFFFFF"/>
        </w:rPr>
        <w:t xml:space="preserve">o </w:t>
      </w:r>
      <w:r w:rsidR="00CA042C">
        <w:rPr>
          <w:shd w:val="clear" w:color="auto" w:fill="FFFFFF"/>
        </w:rPr>
        <w:t>4,5</w:t>
      </w:r>
      <w:r w:rsidRPr="00B17EE7">
        <w:rPr>
          <w:shd w:val="clear" w:color="auto" w:fill="FFFFFF"/>
        </w:rPr>
        <w:t xml:space="preserve">% niż przed rokiem oraz o </w:t>
      </w:r>
      <w:r w:rsidR="00CA042C">
        <w:rPr>
          <w:shd w:val="clear" w:color="auto" w:fill="FFFFFF"/>
        </w:rPr>
        <w:t>15</w:t>
      </w:r>
      <w:r w:rsidRPr="00B17EE7">
        <w:rPr>
          <w:shd w:val="clear" w:color="auto" w:fill="FFFFFF"/>
        </w:rPr>
        <w:t xml:space="preserve">,9% niż przed miesiącem. </w:t>
      </w:r>
    </w:p>
    <w:p w:rsidR="00D626B6" w:rsidRPr="00947B72" w:rsidRDefault="00D626B6" w:rsidP="00A77AEA">
      <w:pPr>
        <w:rPr>
          <w:shd w:val="clear" w:color="auto" w:fill="FFFFFF"/>
        </w:rPr>
      </w:pPr>
      <w:r w:rsidRPr="00947B72">
        <w:rPr>
          <w:shd w:val="clear" w:color="auto" w:fill="FFFFFF"/>
        </w:rPr>
        <w:t>Produkcja sprzedana w przetwórstw</w:t>
      </w:r>
      <w:r w:rsidR="00CA042C">
        <w:rPr>
          <w:shd w:val="clear" w:color="auto" w:fill="FFFFFF"/>
        </w:rPr>
        <w:t>ie przemysłowym, stanowiąca 86,5</w:t>
      </w:r>
      <w:r w:rsidRPr="00947B72">
        <w:rPr>
          <w:shd w:val="clear" w:color="auto" w:fill="FFFFFF"/>
        </w:rPr>
        <w:t xml:space="preserve">% produkcji przemysłowej, w porównaniu z </w:t>
      </w:r>
      <w:r w:rsidR="00CA042C">
        <w:rPr>
          <w:shd w:val="clear" w:color="auto" w:fill="FFFFFF"/>
        </w:rPr>
        <w:t>marcem</w:t>
      </w:r>
      <w:r w:rsidRPr="00947B72">
        <w:rPr>
          <w:shd w:val="clear" w:color="auto" w:fill="FFFFFF"/>
        </w:rPr>
        <w:t xml:space="preserve"> 2019 roku zwiększyła się o </w:t>
      </w:r>
      <w:r w:rsidR="00CA042C">
        <w:rPr>
          <w:shd w:val="clear" w:color="auto" w:fill="FFFFFF"/>
        </w:rPr>
        <w:t>4,9</w:t>
      </w:r>
      <w:r w:rsidRPr="00947B72">
        <w:rPr>
          <w:shd w:val="clear" w:color="auto" w:fill="FFFFFF"/>
        </w:rPr>
        <w:t>%. Większy wzrost odnotowano w dostawie wody; gospodarowaniu ści</w:t>
      </w:r>
      <w:r w:rsidR="00CA042C">
        <w:rPr>
          <w:shd w:val="clear" w:color="auto" w:fill="FFFFFF"/>
        </w:rPr>
        <w:t>ekami i odpadami; rekultywacji – o 7,4</w:t>
      </w:r>
      <w:r w:rsidRPr="00947B72">
        <w:rPr>
          <w:shd w:val="clear" w:color="auto" w:fill="FFFFFF"/>
        </w:rPr>
        <w:t>%.</w:t>
      </w:r>
    </w:p>
    <w:p w:rsidR="00D626B6" w:rsidRPr="00F24BD2" w:rsidRDefault="00D626B6" w:rsidP="00F03ABA">
      <w:pPr>
        <w:rPr>
          <w:shd w:val="clear" w:color="auto" w:fill="FFFFFF"/>
        </w:rPr>
      </w:pPr>
      <w:r w:rsidRPr="00947B72">
        <w:rPr>
          <w:shd w:val="clear" w:color="auto" w:fill="FFFFFF"/>
        </w:rPr>
        <w:t>Wyższy niż w analogicznym miesiącu 2019 r</w:t>
      </w:r>
      <w:r>
        <w:rPr>
          <w:shd w:val="clear" w:color="auto" w:fill="FFFFFF"/>
        </w:rPr>
        <w:t>.</w:t>
      </w:r>
      <w:r w:rsidRPr="00947B72">
        <w:rPr>
          <w:shd w:val="clear" w:color="auto" w:fill="FFFFFF"/>
        </w:rPr>
        <w:t xml:space="preserve"> poziom pr</w:t>
      </w:r>
      <w:r w:rsidR="00C51803">
        <w:rPr>
          <w:shd w:val="clear" w:color="auto" w:fill="FFFFFF"/>
        </w:rPr>
        <w:t>odukcji sprzedanej wystąpił w 16</w:t>
      </w:r>
      <w:r w:rsidRPr="00947B72">
        <w:rPr>
          <w:shd w:val="clear" w:color="auto" w:fill="FFFFFF"/>
        </w:rPr>
        <w:t xml:space="preserve"> działach przemysłu (spośród 28 występujących w województwie), niższy – </w:t>
      </w:r>
      <w:r w:rsidR="00C51803">
        <w:rPr>
          <w:shd w:val="clear" w:color="auto" w:fill="FFFFFF"/>
        </w:rPr>
        <w:t>w 12</w:t>
      </w:r>
      <w:r w:rsidRPr="00F24BD2">
        <w:rPr>
          <w:shd w:val="clear" w:color="auto" w:fill="FFFFFF"/>
        </w:rPr>
        <w:t xml:space="preserve">. Wśród działów przemysłu o znaczącym udziale w sprzedaży, </w:t>
      </w:r>
      <w:r w:rsidR="00FC37A9">
        <w:rPr>
          <w:shd w:val="clear" w:color="auto" w:fill="FFFFFF"/>
        </w:rPr>
        <w:t xml:space="preserve">zdecydowanie </w:t>
      </w:r>
      <w:r w:rsidR="007645AA" w:rsidRPr="00F24BD2">
        <w:rPr>
          <w:shd w:val="clear" w:color="auto" w:fill="FFFFFF"/>
        </w:rPr>
        <w:t xml:space="preserve">szybciej niż przed miesiącem rosła produkcja maszyn i urządzeń (o </w:t>
      </w:r>
      <w:r w:rsidR="007645AA">
        <w:rPr>
          <w:shd w:val="clear" w:color="auto" w:fill="FFFFFF"/>
        </w:rPr>
        <w:t>33,7</w:t>
      </w:r>
      <w:r w:rsidR="007645AA" w:rsidRPr="00F24BD2">
        <w:rPr>
          <w:shd w:val="clear" w:color="auto" w:fill="FFFFFF"/>
        </w:rPr>
        <w:t>%)</w:t>
      </w:r>
      <w:r w:rsidR="007645AA">
        <w:rPr>
          <w:shd w:val="clear" w:color="auto" w:fill="FFFFFF"/>
        </w:rPr>
        <w:t xml:space="preserve"> Wysoka</w:t>
      </w:r>
      <w:r w:rsidRPr="00F24BD2">
        <w:rPr>
          <w:shd w:val="clear" w:color="auto" w:fill="FFFFFF"/>
        </w:rPr>
        <w:t xml:space="preserve"> pozostała dynamika wzrostu</w:t>
      </w:r>
      <w:r w:rsidR="00FC37A9">
        <w:rPr>
          <w:shd w:val="clear" w:color="auto" w:fill="FFFFFF"/>
        </w:rPr>
        <w:t xml:space="preserve"> w</w:t>
      </w:r>
      <w:r w:rsidRPr="00F24BD2">
        <w:rPr>
          <w:shd w:val="clear" w:color="auto" w:fill="FFFFFF"/>
        </w:rPr>
        <w:t xml:space="preserve"> produkcji wyrobów z gumy i tworzyw sztucznych (o </w:t>
      </w:r>
      <w:r w:rsidR="007645AA">
        <w:rPr>
          <w:shd w:val="clear" w:color="auto" w:fill="FFFFFF"/>
        </w:rPr>
        <w:t>25,0</w:t>
      </w:r>
      <w:r w:rsidRPr="00F24BD2">
        <w:rPr>
          <w:shd w:val="clear" w:color="auto" w:fill="FFFFFF"/>
        </w:rPr>
        <w:t>%)</w:t>
      </w:r>
      <w:r w:rsidR="007645AA">
        <w:rPr>
          <w:shd w:val="clear" w:color="auto" w:fill="FFFFFF"/>
        </w:rPr>
        <w:t xml:space="preserve"> oraz </w:t>
      </w:r>
      <w:r w:rsidR="007645AA" w:rsidRPr="00F24BD2">
        <w:rPr>
          <w:shd w:val="clear" w:color="auto" w:fill="FFFFFF"/>
        </w:rPr>
        <w:t>produkcj</w:t>
      </w:r>
      <w:r w:rsidR="00FC37A9">
        <w:rPr>
          <w:shd w:val="clear" w:color="auto" w:fill="FFFFFF"/>
        </w:rPr>
        <w:t>i</w:t>
      </w:r>
      <w:r w:rsidR="007645AA" w:rsidRPr="00F24BD2">
        <w:rPr>
          <w:shd w:val="clear" w:color="auto" w:fill="FFFFFF"/>
        </w:rPr>
        <w:t xml:space="preserve"> wyrobów z pozostałych mineralnych surowców ni</w:t>
      </w:r>
      <w:r w:rsidR="007645AA">
        <w:rPr>
          <w:shd w:val="clear" w:color="auto" w:fill="FFFFFF"/>
        </w:rPr>
        <w:t>emetalicznych (o 14,7%)</w:t>
      </w:r>
      <w:r w:rsidRPr="00F24BD2">
        <w:rPr>
          <w:shd w:val="clear" w:color="auto" w:fill="FFFFFF"/>
        </w:rPr>
        <w:t xml:space="preserve">. </w:t>
      </w:r>
      <w:r w:rsidR="00F03ABA">
        <w:rPr>
          <w:shd w:val="clear" w:color="auto" w:fill="FFFFFF"/>
        </w:rPr>
        <w:t>Niewielki wzrost</w:t>
      </w:r>
      <w:r w:rsidR="00F03ABA" w:rsidRPr="00F24BD2">
        <w:rPr>
          <w:shd w:val="clear" w:color="auto" w:fill="FFFFFF"/>
        </w:rPr>
        <w:t xml:space="preserve"> </w:t>
      </w:r>
      <w:r w:rsidR="00F03ABA">
        <w:rPr>
          <w:shd w:val="clear" w:color="auto" w:fill="FFFFFF"/>
        </w:rPr>
        <w:t xml:space="preserve">utrzymał się także w </w:t>
      </w:r>
      <w:r w:rsidR="00F03ABA" w:rsidRPr="00F24BD2">
        <w:rPr>
          <w:shd w:val="clear" w:color="auto" w:fill="FFFFFF"/>
        </w:rPr>
        <w:t>produkcji wyrobów z drewna, korka, słomy i wikliny (o</w:t>
      </w:r>
      <w:r w:rsidR="00CC46CC">
        <w:rPr>
          <w:shd w:val="clear" w:color="auto" w:fill="FFFFFF"/>
        </w:rPr>
        <w:t> </w:t>
      </w:r>
      <w:r w:rsidR="00F03ABA">
        <w:rPr>
          <w:shd w:val="clear" w:color="auto" w:fill="FFFFFF"/>
        </w:rPr>
        <w:t>2,6%).</w:t>
      </w:r>
      <w:r w:rsidR="00FC37A9">
        <w:rPr>
          <w:shd w:val="clear" w:color="auto" w:fill="FFFFFF"/>
        </w:rPr>
        <w:t xml:space="preserve"> </w:t>
      </w:r>
      <w:r w:rsidR="00F03ABA">
        <w:rPr>
          <w:shd w:val="clear" w:color="auto" w:fill="FFFFFF"/>
        </w:rPr>
        <w:t xml:space="preserve">W dalszym ciągu malała </w:t>
      </w:r>
      <w:r w:rsidR="004214EA">
        <w:rPr>
          <w:shd w:val="clear" w:color="auto" w:fill="FFFFFF"/>
        </w:rPr>
        <w:t xml:space="preserve">produkcja </w:t>
      </w:r>
      <w:r w:rsidR="00F03ABA" w:rsidRPr="00F24BD2">
        <w:rPr>
          <w:shd w:val="clear" w:color="auto" w:fill="FFFFFF"/>
        </w:rPr>
        <w:t xml:space="preserve">pojazdów samochodowych, przyczep i naczep (o </w:t>
      </w:r>
      <w:r w:rsidR="00F03ABA">
        <w:rPr>
          <w:shd w:val="clear" w:color="auto" w:fill="FFFFFF"/>
        </w:rPr>
        <w:t>7,1</w:t>
      </w:r>
      <w:r w:rsidR="00F03ABA" w:rsidRPr="00F24BD2">
        <w:rPr>
          <w:shd w:val="clear" w:color="auto" w:fill="FFFFFF"/>
        </w:rPr>
        <w:t xml:space="preserve">%) oraz </w:t>
      </w:r>
      <w:r w:rsidR="00F03ABA">
        <w:rPr>
          <w:shd w:val="clear" w:color="auto" w:fill="FFFFFF"/>
        </w:rPr>
        <w:t xml:space="preserve">produkcja </w:t>
      </w:r>
      <w:r w:rsidR="00F03ABA" w:rsidRPr="00F24BD2">
        <w:rPr>
          <w:shd w:val="clear" w:color="auto" w:fill="FFFFFF"/>
        </w:rPr>
        <w:t xml:space="preserve">wyrobów z metali (o </w:t>
      </w:r>
      <w:r w:rsidR="00F03ABA">
        <w:rPr>
          <w:shd w:val="clear" w:color="auto" w:fill="FFFFFF"/>
        </w:rPr>
        <w:t>8,8</w:t>
      </w:r>
      <w:r w:rsidR="00F03ABA" w:rsidRPr="00F24BD2">
        <w:rPr>
          <w:shd w:val="clear" w:color="auto" w:fill="FFFFFF"/>
        </w:rPr>
        <w:t>%).</w:t>
      </w:r>
      <w:r w:rsidR="007645AA">
        <w:rPr>
          <w:shd w:val="clear" w:color="auto" w:fill="FFFFFF"/>
        </w:rPr>
        <w:t xml:space="preserve"> </w:t>
      </w:r>
      <w:r w:rsidR="00F03ABA">
        <w:rPr>
          <w:shd w:val="clear" w:color="auto" w:fill="FFFFFF"/>
        </w:rPr>
        <w:t xml:space="preserve">Po wzroście w poprzednich miesiącach br. obniżyła się </w:t>
      </w:r>
      <w:r w:rsidR="002B5B20">
        <w:rPr>
          <w:shd w:val="clear" w:color="auto" w:fill="FFFFFF"/>
        </w:rPr>
        <w:t xml:space="preserve">produkcja </w:t>
      </w:r>
      <w:r w:rsidRPr="00F24BD2">
        <w:rPr>
          <w:shd w:val="clear" w:color="auto" w:fill="FFFFFF"/>
        </w:rPr>
        <w:t>a</w:t>
      </w:r>
      <w:r w:rsidR="007645AA">
        <w:rPr>
          <w:shd w:val="clear" w:color="auto" w:fill="FFFFFF"/>
        </w:rPr>
        <w:t xml:space="preserve">rtykułów spożywczych (o </w:t>
      </w:r>
      <w:r w:rsidR="00FC37A9">
        <w:rPr>
          <w:shd w:val="clear" w:color="auto" w:fill="FFFFFF"/>
        </w:rPr>
        <w:t>1,3</w:t>
      </w:r>
      <w:r w:rsidR="007645AA">
        <w:rPr>
          <w:shd w:val="clear" w:color="auto" w:fill="FFFFFF"/>
        </w:rPr>
        <w:t xml:space="preserve">%). </w:t>
      </w:r>
    </w:p>
    <w:p w:rsidR="00D626B6" w:rsidRDefault="00D626B6" w:rsidP="00A43638">
      <w:pPr>
        <w:pStyle w:val="tytuwykresu"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920672">
        <w:rPr>
          <w:shd w:val="clear" w:color="auto" w:fill="FFFFFF"/>
        </w:rPr>
        <w:t>8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p w:rsidR="00A43638" w:rsidRPr="00B17EE7" w:rsidRDefault="00A43638" w:rsidP="00A43638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70"/>
        <w:gridCol w:w="2095"/>
        <w:gridCol w:w="2095"/>
        <w:gridCol w:w="2096"/>
      </w:tblGrid>
      <w:tr w:rsidR="00D626B6" w:rsidRPr="00B17EE7" w:rsidTr="0068266B">
        <w:trPr>
          <w:trHeight w:val="57"/>
        </w:trPr>
        <w:tc>
          <w:tcPr>
            <w:tcW w:w="417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626B6" w:rsidRPr="00B17EE7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B17EE7" w:rsidRDefault="00D626B6" w:rsidP="00CC46C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>II</w:t>
            </w:r>
            <w:r w:rsidR="00CA042C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19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B17EE7" w:rsidRDefault="00D626B6" w:rsidP="00AD2A7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>I-II</w:t>
            </w:r>
            <w:r w:rsidR="00CA042C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B17EE7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19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B17EE7" w:rsidRDefault="00D626B6" w:rsidP="00CC46CC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analogiczny okres roku</w:t>
            </w:r>
            <w:r w:rsidRPr="00B17EE7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9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B17EE7" w:rsidRDefault="00D626B6" w:rsidP="00CC46CC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w odsetkach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B17EE7" w:rsidRDefault="00D626B6" w:rsidP="0023463C">
            <w:pPr>
              <w:pStyle w:val="Nagwek5"/>
              <w:tabs>
                <w:tab w:val="right" w:leader="dot" w:pos="4156"/>
              </w:tabs>
              <w:spacing w:after="4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104,5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  <w:tc>
          <w:tcPr>
            <w:tcW w:w="20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17EE7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397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26B6" w:rsidRPr="00B17EE7" w:rsidRDefault="00D626B6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46B56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2096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46B56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373C5D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46B56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A042C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373C5D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46B56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373C5D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23,6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metali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46B56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373C5D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maszyn i urządzeń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46B56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373C5D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pojazdów samochodowych, przyczep i naczep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46B56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373C5D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D626B6" w:rsidRPr="00B17EE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D626B6" w:rsidP="0023463C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Dostawa wody; gospodarowanie ściekami i odpadami: rekultywacja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F24BD2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B17EE7" w:rsidRDefault="00CA042C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D626B6" w:rsidRPr="00B17EE7" w:rsidRDefault="00373C5D" w:rsidP="0023463C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D626B6" w:rsidRPr="008671DA" w:rsidRDefault="00D626B6" w:rsidP="006809ED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 w:rsidR="00F64917">
        <w:rPr>
          <w:shd w:val="clear" w:color="auto" w:fill="FFFFFF"/>
        </w:rPr>
        <w:t>z lutym</w:t>
      </w:r>
      <w:r w:rsidRPr="008671DA">
        <w:rPr>
          <w:shd w:val="clear" w:color="auto" w:fill="FFFFFF"/>
        </w:rPr>
        <w:t xml:space="preserve"> 2020 r. produkcja sprzedana w przetwórstwie przemysłowym wzrosła o </w:t>
      </w:r>
      <w:r w:rsidR="00F64917">
        <w:rPr>
          <w:shd w:val="clear" w:color="auto" w:fill="FFFFFF"/>
        </w:rPr>
        <w:t>16,4</w:t>
      </w:r>
      <w:r w:rsidRPr="008671DA">
        <w:rPr>
          <w:shd w:val="clear" w:color="auto" w:fill="FFFFFF"/>
        </w:rPr>
        <w:t>%, a w dostawie wody; gospodarowaniu ściekami i odpadami; rekultywacji – o 7,</w:t>
      </w:r>
      <w:r w:rsidR="00F64917">
        <w:rPr>
          <w:shd w:val="clear" w:color="auto" w:fill="FFFFFF"/>
        </w:rPr>
        <w:t>3</w:t>
      </w:r>
      <w:r w:rsidRPr="008671DA">
        <w:rPr>
          <w:shd w:val="clear" w:color="auto" w:fill="FFFFFF"/>
        </w:rPr>
        <w:t xml:space="preserve">%. </w:t>
      </w:r>
    </w:p>
    <w:p w:rsidR="00D626B6" w:rsidRPr="00AF72FA" w:rsidRDefault="00D626B6" w:rsidP="006809ED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sprzedaną na 1 zatrudnionego, w </w:t>
      </w:r>
      <w:r w:rsidR="00F64917">
        <w:rPr>
          <w:shd w:val="clear" w:color="auto" w:fill="FFFFFF"/>
        </w:rPr>
        <w:t>marcu</w:t>
      </w:r>
      <w:r w:rsidRPr="00AF72FA">
        <w:rPr>
          <w:shd w:val="clear" w:color="auto" w:fill="FFFFFF"/>
        </w:rPr>
        <w:t xml:space="preserve"> 2020 r. wyniosła (w cenach bieżących) </w:t>
      </w:r>
      <w:r w:rsidR="00F64917">
        <w:rPr>
          <w:shd w:val="clear" w:color="auto" w:fill="FFFFFF"/>
        </w:rPr>
        <w:t>39,9</w:t>
      </w:r>
      <w:r w:rsidRPr="00AF72FA">
        <w:rPr>
          <w:shd w:val="clear" w:color="auto" w:fill="FFFFFF"/>
        </w:rPr>
        <w:t xml:space="preserve"> tys. zł i była (w cenach stałych) o </w:t>
      </w:r>
      <w:r w:rsidR="00F64917">
        <w:rPr>
          <w:shd w:val="clear" w:color="auto" w:fill="FFFFFF"/>
        </w:rPr>
        <w:t>0,8% wy</w:t>
      </w:r>
      <w:r w:rsidRPr="00AF72FA">
        <w:rPr>
          <w:shd w:val="clear" w:color="auto" w:fill="FFFFFF"/>
        </w:rPr>
        <w:t>ższa niż p</w:t>
      </w:r>
      <w:r w:rsidR="00F64917">
        <w:rPr>
          <w:shd w:val="clear" w:color="auto" w:fill="FFFFFF"/>
        </w:rPr>
        <w:t>rzed rokiem, przy większym o 3,7</w:t>
      </w:r>
      <w:r w:rsidRPr="00AF72FA">
        <w:rPr>
          <w:shd w:val="clear" w:color="auto" w:fill="FFFFFF"/>
        </w:rPr>
        <w:t xml:space="preserve">% przeciętnym zatrudnieniu i wzroście przeciętnych miesięcznych wynagrodzeń brutto o </w:t>
      </w:r>
      <w:r w:rsidR="00F64917">
        <w:rPr>
          <w:shd w:val="clear" w:color="auto" w:fill="FFFFFF"/>
        </w:rPr>
        <w:t>3,5</w:t>
      </w:r>
      <w:r w:rsidRPr="00AF72FA">
        <w:rPr>
          <w:shd w:val="clear" w:color="auto" w:fill="FFFFFF"/>
        </w:rPr>
        <w:t>%.</w:t>
      </w:r>
    </w:p>
    <w:p w:rsidR="00D626B6" w:rsidRDefault="00DF1FA7" w:rsidP="0023463C">
      <w:pPr>
        <w:pageBreakBefore/>
        <w:spacing w:before="0" w:after="8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6645910" cy="3152775"/>
            <wp:effectExtent l="0" t="0" r="254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FD0581">
        <w:rPr>
          <w:b/>
        </w:rPr>
        <w:t>9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:rsidR="00DF1FA7" w:rsidRPr="00583E9C" w:rsidRDefault="00DF1FA7" w:rsidP="00DF1FA7">
      <w:pPr>
        <w:spacing w:before="0" w:after="80"/>
        <w:jc w:val="both"/>
        <w:rPr>
          <w:rFonts w:cs="Arial"/>
          <w:bCs/>
        </w:rPr>
      </w:pPr>
    </w:p>
    <w:p w:rsidR="004214EA" w:rsidRDefault="00F64917" w:rsidP="00F64917">
      <w:pPr>
        <w:rPr>
          <w:shd w:val="clear" w:color="auto" w:fill="FFFFFF"/>
        </w:rPr>
      </w:pPr>
      <w:r w:rsidRPr="00F64917">
        <w:rPr>
          <w:shd w:val="clear" w:color="auto" w:fill="FFFFFF"/>
        </w:rPr>
        <w:t>W okresie styczeń-</w:t>
      </w:r>
      <w:r w:rsidR="002C33DA">
        <w:rPr>
          <w:shd w:val="clear" w:color="auto" w:fill="FFFFFF"/>
        </w:rPr>
        <w:t>marzec</w:t>
      </w:r>
      <w:r w:rsidRPr="00F64917">
        <w:rPr>
          <w:shd w:val="clear" w:color="auto" w:fill="FFFFFF"/>
        </w:rPr>
        <w:t xml:space="preserve"> 20</w:t>
      </w:r>
      <w:r w:rsidR="002C33DA">
        <w:rPr>
          <w:shd w:val="clear" w:color="auto" w:fill="FFFFFF"/>
        </w:rPr>
        <w:t>20</w:t>
      </w:r>
      <w:r w:rsidRPr="00F64917">
        <w:rPr>
          <w:shd w:val="clear" w:color="auto" w:fill="FFFFFF"/>
        </w:rPr>
        <w:t xml:space="preserve"> r. produkcja sprzedana przemysłu wyniosła (w cenach bieżących) </w:t>
      </w:r>
      <w:r w:rsidR="002C33DA">
        <w:rPr>
          <w:shd w:val="clear" w:color="auto" w:fill="FFFFFF"/>
        </w:rPr>
        <w:t>7593,7</w:t>
      </w:r>
      <w:r w:rsidRPr="00F64917">
        <w:rPr>
          <w:shd w:val="clear" w:color="auto" w:fill="FFFFFF"/>
        </w:rPr>
        <w:t xml:space="preserve"> mln zł i była </w:t>
      </w:r>
      <w:r w:rsidR="00485070">
        <w:rPr>
          <w:shd w:val="clear" w:color="auto" w:fill="FFFFFF"/>
        </w:rPr>
        <w:br/>
      </w:r>
      <w:r w:rsidRPr="00F64917">
        <w:rPr>
          <w:shd w:val="clear" w:color="auto" w:fill="FFFFFF"/>
        </w:rPr>
        <w:t xml:space="preserve">(w cenach stałych) o </w:t>
      </w:r>
      <w:r w:rsidR="00285B2A">
        <w:rPr>
          <w:shd w:val="clear" w:color="auto" w:fill="FFFFFF"/>
        </w:rPr>
        <w:t>4,3</w:t>
      </w:r>
      <w:r w:rsidRPr="00F64917">
        <w:rPr>
          <w:shd w:val="clear" w:color="auto" w:fill="FFFFFF"/>
        </w:rPr>
        <w:t xml:space="preserve">% wyższa niż w analogicznym okresie poprzedniego roku. Spośród działów o znaczącym udziale </w:t>
      </w:r>
      <w:r w:rsidR="00485070">
        <w:rPr>
          <w:shd w:val="clear" w:color="auto" w:fill="FFFFFF"/>
        </w:rPr>
        <w:br/>
      </w:r>
      <w:r w:rsidRPr="00F64917">
        <w:rPr>
          <w:shd w:val="clear" w:color="auto" w:fill="FFFFFF"/>
        </w:rPr>
        <w:t xml:space="preserve">w sprzedaży najszybciej rosła produkcja wyrobów z gumy i tworzyw sztucznych – o </w:t>
      </w:r>
      <w:r w:rsidR="00285B2A">
        <w:rPr>
          <w:shd w:val="clear" w:color="auto" w:fill="FFFFFF"/>
        </w:rPr>
        <w:t>20,4</w:t>
      </w:r>
      <w:r w:rsidRPr="00F64917">
        <w:rPr>
          <w:shd w:val="clear" w:color="auto" w:fill="FFFFFF"/>
        </w:rPr>
        <w:t xml:space="preserve">%. </w:t>
      </w:r>
      <w:r w:rsidR="00285B2A">
        <w:rPr>
          <w:shd w:val="clear" w:color="auto" w:fill="FFFFFF"/>
        </w:rPr>
        <w:t>W efekcie wyso</w:t>
      </w:r>
      <w:r w:rsidRPr="00F64917">
        <w:rPr>
          <w:shd w:val="clear" w:color="auto" w:fill="FFFFFF"/>
        </w:rPr>
        <w:t>kiej dynamiki w</w:t>
      </w:r>
      <w:r w:rsidR="0023463C">
        <w:rPr>
          <w:shd w:val="clear" w:color="auto" w:fill="FFFFFF"/>
        </w:rPr>
        <w:t> </w:t>
      </w:r>
      <w:r w:rsidR="00285B2A">
        <w:rPr>
          <w:shd w:val="clear" w:color="auto" w:fill="FFFFFF"/>
        </w:rPr>
        <w:t>lutym i marcu 2020</w:t>
      </w:r>
      <w:r w:rsidRPr="00F64917">
        <w:rPr>
          <w:shd w:val="clear" w:color="auto" w:fill="FFFFFF"/>
        </w:rPr>
        <w:t xml:space="preserve"> r. wysoki wzrost </w:t>
      </w:r>
      <w:r w:rsidR="00285B2A">
        <w:rPr>
          <w:shd w:val="clear" w:color="auto" w:fill="FFFFFF"/>
        </w:rPr>
        <w:t xml:space="preserve">odnotowano także </w:t>
      </w:r>
      <w:r w:rsidR="004214EA">
        <w:rPr>
          <w:shd w:val="clear" w:color="auto" w:fill="FFFFFF"/>
        </w:rPr>
        <w:t>w produkcji</w:t>
      </w:r>
      <w:r w:rsidR="004214EA" w:rsidRPr="004214EA">
        <w:rPr>
          <w:shd w:val="clear" w:color="auto" w:fill="FFFFFF"/>
        </w:rPr>
        <w:t xml:space="preserve"> wyrobów z pozostałych mineralnych surowców niemetalicznych</w:t>
      </w:r>
      <w:r w:rsidR="004214EA">
        <w:rPr>
          <w:shd w:val="clear" w:color="auto" w:fill="FFFFFF"/>
        </w:rPr>
        <w:t xml:space="preserve"> – o 19,0%. Szybko rosła produkcja maszyn i urządzeń – o 12,5%. Spadek sprzedaży w kolejnych miesiącach I</w:t>
      </w:r>
      <w:r w:rsidR="0023463C">
        <w:rPr>
          <w:shd w:val="clear" w:color="auto" w:fill="FFFFFF"/>
        </w:rPr>
        <w:t> </w:t>
      </w:r>
      <w:r w:rsidR="004214EA">
        <w:rPr>
          <w:shd w:val="clear" w:color="auto" w:fill="FFFFFF"/>
        </w:rPr>
        <w:t xml:space="preserve">kwartału skutkował </w:t>
      </w:r>
      <w:r w:rsidR="002B5B20">
        <w:rPr>
          <w:shd w:val="clear" w:color="auto" w:fill="FFFFFF"/>
        </w:rPr>
        <w:t xml:space="preserve">m.in. </w:t>
      </w:r>
      <w:r w:rsidR="004214EA">
        <w:rPr>
          <w:shd w:val="clear" w:color="auto" w:fill="FFFFFF"/>
        </w:rPr>
        <w:t xml:space="preserve">mniejszą niż rok wcześniej produkcją </w:t>
      </w:r>
      <w:r w:rsidR="004214EA" w:rsidRPr="004214EA">
        <w:rPr>
          <w:shd w:val="clear" w:color="auto" w:fill="FFFFFF"/>
        </w:rPr>
        <w:t>pojazdów samochodowych, przyczep i naczep (o</w:t>
      </w:r>
      <w:r w:rsidR="0023463C">
        <w:rPr>
          <w:shd w:val="clear" w:color="auto" w:fill="FFFFFF"/>
        </w:rPr>
        <w:t> </w:t>
      </w:r>
      <w:r w:rsidR="004214EA">
        <w:rPr>
          <w:shd w:val="clear" w:color="auto" w:fill="FFFFFF"/>
        </w:rPr>
        <w:t>15,2</w:t>
      </w:r>
      <w:r w:rsidR="004214EA" w:rsidRPr="004214EA">
        <w:rPr>
          <w:shd w:val="clear" w:color="auto" w:fill="FFFFFF"/>
        </w:rPr>
        <w:t>%) oraz p</w:t>
      </w:r>
      <w:r w:rsidR="004214EA">
        <w:rPr>
          <w:shd w:val="clear" w:color="auto" w:fill="FFFFFF"/>
        </w:rPr>
        <w:t>rodukcją wyrobów z metali (o 8,3</w:t>
      </w:r>
      <w:r w:rsidR="00A66AB6">
        <w:rPr>
          <w:shd w:val="clear" w:color="auto" w:fill="FFFFFF"/>
        </w:rPr>
        <w:t xml:space="preserve">%). </w:t>
      </w:r>
    </w:p>
    <w:p w:rsidR="00D626B6" w:rsidRPr="00743B7B" w:rsidRDefault="00D626B6" w:rsidP="00FE18E3">
      <w:pPr>
        <w:rPr>
          <w:shd w:val="clear" w:color="auto" w:fill="FFFFFF"/>
        </w:rPr>
      </w:pPr>
      <w:r w:rsidRPr="00743B7B">
        <w:rPr>
          <w:shd w:val="clear" w:color="auto" w:fill="FFFFFF"/>
        </w:rPr>
        <w:t xml:space="preserve">Produkcja sprzedana budownictwa (w cenach bieżących) w </w:t>
      </w:r>
      <w:r w:rsidR="0028695E">
        <w:rPr>
          <w:shd w:val="clear" w:color="auto" w:fill="FFFFFF"/>
        </w:rPr>
        <w:t>marcu</w:t>
      </w:r>
      <w:r w:rsidRPr="00743B7B">
        <w:rPr>
          <w:shd w:val="clear" w:color="auto" w:fill="FFFFFF"/>
        </w:rPr>
        <w:t xml:space="preserve"> 2020 r. wyniosła </w:t>
      </w:r>
      <w:r w:rsidR="0028695E">
        <w:rPr>
          <w:shd w:val="clear" w:color="auto" w:fill="FFFFFF"/>
        </w:rPr>
        <w:t>449,1</w:t>
      </w:r>
      <w:r w:rsidRPr="00743B7B">
        <w:rPr>
          <w:shd w:val="clear" w:color="auto" w:fill="FFFFFF"/>
        </w:rPr>
        <w:t xml:space="preserve"> mln zł i była o 1</w:t>
      </w:r>
      <w:r w:rsidR="0028695E">
        <w:rPr>
          <w:shd w:val="clear" w:color="auto" w:fill="FFFFFF"/>
        </w:rPr>
        <w:t>9,9</w:t>
      </w:r>
      <w:r w:rsidRPr="00743B7B">
        <w:rPr>
          <w:shd w:val="clear" w:color="auto" w:fill="FFFFFF"/>
        </w:rPr>
        <w:t xml:space="preserve">% </w:t>
      </w:r>
      <w:r w:rsidR="0028695E">
        <w:rPr>
          <w:shd w:val="clear" w:color="auto" w:fill="FFFFFF"/>
        </w:rPr>
        <w:t>większa</w:t>
      </w:r>
      <w:r w:rsidRPr="00743B7B">
        <w:rPr>
          <w:shd w:val="clear" w:color="auto" w:fill="FFFFFF"/>
        </w:rPr>
        <w:t xml:space="preserve"> niż przed rokiem. </w:t>
      </w:r>
    </w:p>
    <w:p w:rsidR="00D626B6" w:rsidRPr="00743B7B" w:rsidRDefault="00D626B6" w:rsidP="00FE18E3">
      <w:pPr>
        <w:rPr>
          <w:shd w:val="clear" w:color="auto" w:fill="FFFFFF"/>
        </w:rPr>
      </w:pPr>
      <w:r w:rsidRPr="00743B7B">
        <w:rPr>
          <w:shd w:val="clear" w:color="auto" w:fill="FFFFFF"/>
        </w:rPr>
        <w:t xml:space="preserve">Wydajność pracy w budownictwie, mierzona produkcją sprzedaną na 1 zatrudnionego wyniosła (w cenach bieżących) </w:t>
      </w:r>
      <w:r>
        <w:rPr>
          <w:shd w:val="clear" w:color="auto" w:fill="FFFFFF"/>
        </w:rPr>
        <w:br/>
      </w:r>
      <w:r w:rsidR="0028695E">
        <w:rPr>
          <w:shd w:val="clear" w:color="auto" w:fill="FFFFFF"/>
        </w:rPr>
        <w:t>45,0</w:t>
      </w:r>
      <w:r w:rsidRPr="00743B7B">
        <w:rPr>
          <w:shd w:val="clear" w:color="auto" w:fill="FFFFFF"/>
        </w:rPr>
        <w:t xml:space="preserve"> tys. zł i była </w:t>
      </w:r>
      <w:r w:rsidR="0028695E">
        <w:rPr>
          <w:shd w:val="clear" w:color="auto" w:fill="FFFFFF"/>
        </w:rPr>
        <w:t>większa</w:t>
      </w:r>
      <w:r w:rsidRPr="00743B7B">
        <w:rPr>
          <w:shd w:val="clear" w:color="auto" w:fill="FFFFFF"/>
        </w:rPr>
        <w:t xml:space="preserve"> niż przed rokiem o </w:t>
      </w:r>
      <w:r w:rsidR="0028695E">
        <w:rPr>
          <w:shd w:val="clear" w:color="auto" w:fill="FFFFFF"/>
        </w:rPr>
        <w:t>24,1</w:t>
      </w:r>
      <w:r w:rsidRPr="00743B7B">
        <w:rPr>
          <w:shd w:val="clear" w:color="auto" w:fill="FFFFFF"/>
        </w:rPr>
        <w:t>%.</w:t>
      </w:r>
    </w:p>
    <w:p w:rsidR="00D626B6" w:rsidRPr="00FC23D7" w:rsidRDefault="00D626B6" w:rsidP="00FE18E3">
      <w:pPr>
        <w:rPr>
          <w:shd w:val="clear" w:color="auto" w:fill="FFFFFF"/>
        </w:rPr>
      </w:pPr>
      <w:r w:rsidRPr="00FC23D7">
        <w:rPr>
          <w:shd w:val="clear" w:color="auto" w:fill="FFFFFF"/>
        </w:rPr>
        <w:t xml:space="preserve">Przeciętne zatrudnienie w budownictwie było w </w:t>
      </w:r>
      <w:r w:rsidR="0028695E">
        <w:rPr>
          <w:shd w:val="clear" w:color="auto" w:fill="FFFFFF"/>
        </w:rPr>
        <w:t>marcu 2020 r. o 3,4</w:t>
      </w:r>
      <w:r w:rsidRPr="00FC23D7">
        <w:rPr>
          <w:shd w:val="clear" w:color="auto" w:fill="FFFFFF"/>
        </w:rPr>
        <w:t>% mniejsze niż przed rokiem, przy wzroście przeciętnego miesi</w:t>
      </w:r>
      <w:r w:rsidR="0028695E">
        <w:rPr>
          <w:shd w:val="clear" w:color="auto" w:fill="FFFFFF"/>
        </w:rPr>
        <w:t>ęcznego wynagrodzenia brutto o 8</w:t>
      </w:r>
      <w:r w:rsidRPr="00FC23D7">
        <w:rPr>
          <w:shd w:val="clear" w:color="auto" w:fill="FFFFFF"/>
        </w:rPr>
        <w:t>,7%.</w:t>
      </w:r>
    </w:p>
    <w:p w:rsidR="00D626B6" w:rsidRDefault="00D626B6" w:rsidP="00FE18E3">
      <w:pPr>
        <w:rPr>
          <w:shd w:val="clear" w:color="auto" w:fill="FFFFFF"/>
        </w:rPr>
      </w:pPr>
      <w:r w:rsidRPr="00A73BEA">
        <w:rPr>
          <w:shd w:val="clear" w:color="auto" w:fill="FFFFFF"/>
        </w:rPr>
        <w:t xml:space="preserve">Produkcja budowlano-montażowa (w cenach bieżących) w </w:t>
      </w:r>
      <w:r w:rsidR="0028695E">
        <w:rPr>
          <w:shd w:val="clear" w:color="auto" w:fill="FFFFFF"/>
        </w:rPr>
        <w:t>marcu</w:t>
      </w:r>
      <w:r w:rsidRPr="00A73BEA">
        <w:rPr>
          <w:shd w:val="clear" w:color="auto" w:fill="FFFFFF"/>
        </w:rPr>
        <w:t xml:space="preserve"> 2020 r. ukształtowała się na poziomie </w:t>
      </w:r>
      <w:r w:rsidR="0028695E">
        <w:rPr>
          <w:shd w:val="clear" w:color="auto" w:fill="FFFFFF"/>
        </w:rPr>
        <w:t>246,1</w:t>
      </w:r>
      <w:r w:rsidRPr="00A73BEA">
        <w:rPr>
          <w:shd w:val="clear" w:color="auto" w:fill="FFFFFF"/>
        </w:rPr>
        <w:t xml:space="preserve"> mln zł </w:t>
      </w:r>
      <w:r w:rsidR="002B5B20">
        <w:rPr>
          <w:shd w:val="clear" w:color="auto" w:fill="FFFFFF"/>
        </w:rPr>
        <w:br/>
      </w:r>
      <w:r w:rsidRPr="00A73BEA">
        <w:rPr>
          <w:shd w:val="clear" w:color="auto" w:fill="FFFFFF"/>
        </w:rPr>
        <w:t xml:space="preserve">i stanowiła </w:t>
      </w:r>
      <w:r w:rsidR="0028695E">
        <w:rPr>
          <w:shd w:val="clear" w:color="auto" w:fill="FFFFFF"/>
        </w:rPr>
        <w:t>54,8</w:t>
      </w:r>
      <w:r w:rsidRPr="00A73BEA">
        <w:rPr>
          <w:shd w:val="clear" w:color="auto" w:fill="FFFFFF"/>
        </w:rPr>
        <w:t xml:space="preserve">% ogółu produkcji sprzedanej budownictwa. W stosunku do </w:t>
      </w:r>
      <w:r w:rsidR="0028695E">
        <w:rPr>
          <w:shd w:val="clear" w:color="auto" w:fill="FFFFFF"/>
        </w:rPr>
        <w:t xml:space="preserve">lutego </w:t>
      </w:r>
      <w:r w:rsidRPr="00A73BEA">
        <w:rPr>
          <w:shd w:val="clear" w:color="auto" w:fill="FFFFFF"/>
        </w:rPr>
        <w:t xml:space="preserve">2020 r. produkcja </w:t>
      </w:r>
      <w:r w:rsidR="0028695E">
        <w:rPr>
          <w:shd w:val="clear" w:color="auto" w:fill="FFFFFF"/>
        </w:rPr>
        <w:t>budowlano-montażowa wzrosła o 83</w:t>
      </w:r>
      <w:r w:rsidRPr="00A73BEA">
        <w:rPr>
          <w:shd w:val="clear" w:color="auto" w:fill="FFFFFF"/>
        </w:rPr>
        <w:t xml:space="preserve">,3%, a w odniesieniu do </w:t>
      </w:r>
      <w:r w:rsidR="0028695E">
        <w:rPr>
          <w:shd w:val="clear" w:color="auto" w:fill="FFFFFF"/>
        </w:rPr>
        <w:t>marca</w:t>
      </w:r>
      <w:r w:rsidRPr="00A73BEA">
        <w:rPr>
          <w:shd w:val="clear" w:color="auto" w:fill="FFFFFF"/>
        </w:rPr>
        <w:t xml:space="preserve"> 2019 r. –</w:t>
      </w:r>
      <w:r w:rsidR="00BE7E1D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o </w:t>
      </w:r>
      <w:r w:rsidR="0028695E">
        <w:rPr>
          <w:shd w:val="clear" w:color="auto" w:fill="FFFFFF"/>
        </w:rPr>
        <w:t>55,8</w:t>
      </w:r>
      <w:r w:rsidRPr="00A73BEA">
        <w:rPr>
          <w:shd w:val="clear" w:color="auto" w:fill="FFFFFF"/>
        </w:rPr>
        <w:t xml:space="preserve">%. </w:t>
      </w:r>
      <w:r w:rsidR="0028695E">
        <w:rPr>
          <w:shd w:val="clear" w:color="auto" w:fill="FFFFFF"/>
        </w:rPr>
        <w:t>Wzrost</w:t>
      </w:r>
      <w:r w:rsidRPr="00825455">
        <w:rPr>
          <w:shd w:val="clear" w:color="auto" w:fill="FFFFFF"/>
        </w:rPr>
        <w:t xml:space="preserve"> produkcji budowlano-montażowej </w:t>
      </w:r>
      <w:r w:rsidR="00BE7E1D">
        <w:rPr>
          <w:shd w:val="clear" w:color="auto" w:fill="FFFFFF"/>
        </w:rPr>
        <w:br/>
      </w:r>
      <w:r w:rsidRPr="00825455">
        <w:rPr>
          <w:shd w:val="clear" w:color="auto" w:fill="FFFFFF"/>
        </w:rPr>
        <w:t xml:space="preserve">w skali roku wystąpił </w:t>
      </w:r>
      <w:r w:rsidR="000162C2" w:rsidRPr="00825455">
        <w:rPr>
          <w:shd w:val="clear" w:color="auto" w:fill="FFFFFF"/>
        </w:rPr>
        <w:t xml:space="preserve">w </w:t>
      </w:r>
      <w:r w:rsidR="000162C2">
        <w:rPr>
          <w:shd w:val="clear" w:color="auto" w:fill="FFFFFF"/>
        </w:rPr>
        <w:t xml:space="preserve">podmiotach </w:t>
      </w:r>
      <w:r w:rsidR="000162C2" w:rsidRPr="000162C2">
        <w:rPr>
          <w:shd w:val="clear" w:color="auto" w:fill="FFFFFF"/>
        </w:rPr>
        <w:t xml:space="preserve">zajmujących się przede wszystkim </w:t>
      </w:r>
      <w:r w:rsidR="000162C2">
        <w:rPr>
          <w:shd w:val="clear" w:color="auto" w:fill="FFFFFF"/>
        </w:rPr>
        <w:t xml:space="preserve">budową </w:t>
      </w:r>
      <w:r w:rsidR="000162C2" w:rsidRPr="00825455">
        <w:rPr>
          <w:shd w:val="clear" w:color="auto" w:fill="FFFFFF"/>
        </w:rPr>
        <w:t xml:space="preserve">obiektów inżynierii lądowej i wodnej </w:t>
      </w:r>
      <w:r w:rsidR="00BE7E1D">
        <w:rPr>
          <w:shd w:val="clear" w:color="auto" w:fill="FFFFFF"/>
        </w:rPr>
        <w:br/>
      </w:r>
      <w:r w:rsidR="000162C2">
        <w:rPr>
          <w:shd w:val="clear" w:color="auto" w:fill="FFFFFF"/>
        </w:rPr>
        <w:t xml:space="preserve">(o 130,5%) </w:t>
      </w:r>
      <w:r w:rsidR="00BE7E1D">
        <w:rPr>
          <w:shd w:val="clear" w:color="auto" w:fill="FFFFFF"/>
        </w:rPr>
        <w:t xml:space="preserve">i </w:t>
      </w:r>
      <w:r w:rsidRPr="00825455">
        <w:rPr>
          <w:shd w:val="clear" w:color="auto" w:fill="FFFFFF"/>
        </w:rPr>
        <w:t>robotam</w:t>
      </w:r>
      <w:r w:rsidR="000162C2">
        <w:rPr>
          <w:shd w:val="clear" w:color="auto" w:fill="FFFFFF"/>
        </w:rPr>
        <w:t>i budowlanymi specjalistycznymi (o 62,9%)</w:t>
      </w:r>
      <w:r w:rsidRPr="00825455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>W</w:t>
      </w:r>
      <w:r w:rsidR="000162C2" w:rsidRPr="000162C2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 xml:space="preserve">jednostkach </w:t>
      </w:r>
      <w:r w:rsidR="000162C2" w:rsidRPr="00825455">
        <w:rPr>
          <w:shd w:val="clear" w:color="auto" w:fill="FFFFFF"/>
        </w:rPr>
        <w:t xml:space="preserve">specjalizujących się w budowie budynków </w:t>
      </w:r>
      <w:r w:rsidR="000162C2">
        <w:rPr>
          <w:shd w:val="clear" w:color="auto" w:fill="FFFFFF"/>
        </w:rPr>
        <w:t xml:space="preserve">pozostała natomiast na poziomie z roku poprzedniego. </w:t>
      </w:r>
    </w:p>
    <w:p w:rsidR="00D626B6" w:rsidRDefault="00BE7E1D" w:rsidP="00FE18E3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>z lutym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 xml:space="preserve">2020 r. </w:t>
      </w:r>
      <w:r>
        <w:rPr>
          <w:shd w:val="clear" w:color="auto" w:fill="FFFFFF"/>
        </w:rPr>
        <w:t>z</w:t>
      </w:r>
      <w:r w:rsidR="000162C2">
        <w:rPr>
          <w:shd w:val="clear" w:color="auto" w:fill="FFFFFF"/>
        </w:rPr>
        <w:t>naczny w</w:t>
      </w:r>
      <w:r w:rsidR="00D626B6">
        <w:rPr>
          <w:shd w:val="clear" w:color="auto" w:fill="FFFFFF"/>
        </w:rPr>
        <w:t>zrost</w:t>
      </w:r>
      <w:r w:rsidR="00D626B6"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</w:t>
      </w:r>
      <w:r w:rsidR="00D626B6" w:rsidRPr="00AB440E">
        <w:rPr>
          <w:shd w:val="clear" w:color="auto" w:fill="FFFFFF"/>
        </w:rPr>
        <w:t xml:space="preserve">wystąpił we wszystkich działach budownictwa. </w:t>
      </w:r>
      <w:r w:rsidR="000162C2" w:rsidRPr="00AB440E">
        <w:rPr>
          <w:shd w:val="clear" w:color="auto" w:fill="FFFFFF"/>
        </w:rPr>
        <w:t xml:space="preserve">W jednostkach zajmujących się budową obiektów inżynierii lądowej i wodnej </w:t>
      </w:r>
      <w:r w:rsidR="000162C2">
        <w:rPr>
          <w:shd w:val="clear" w:color="auto" w:fill="FFFFFF"/>
        </w:rPr>
        <w:t>wyniósł</w:t>
      </w:r>
      <w:r w:rsidR="000162C2" w:rsidRPr="00AB440E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>160,2%, w</w:t>
      </w:r>
      <w:r w:rsidR="00D626B6" w:rsidRPr="00AB440E">
        <w:rPr>
          <w:shd w:val="clear" w:color="auto" w:fill="FFFFFF"/>
        </w:rPr>
        <w:t xml:space="preserve"> podmiotach, których podstawo</w:t>
      </w:r>
      <w:r w:rsidR="000162C2">
        <w:rPr>
          <w:shd w:val="clear" w:color="auto" w:fill="FFFFFF"/>
        </w:rPr>
        <w:t>wy rodzaj działalności stanowiły</w:t>
      </w:r>
      <w:r w:rsidR="00D626B6" w:rsidRPr="00AB440E">
        <w:rPr>
          <w:shd w:val="clear" w:color="auto" w:fill="FFFFFF"/>
        </w:rPr>
        <w:t xml:space="preserve"> </w:t>
      </w:r>
      <w:r w:rsidR="000162C2" w:rsidRPr="00AB440E">
        <w:rPr>
          <w:shd w:val="clear" w:color="auto" w:fill="FFFFFF"/>
        </w:rPr>
        <w:t>rob</w:t>
      </w:r>
      <w:r>
        <w:rPr>
          <w:shd w:val="clear" w:color="auto" w:fill="FFFFFF"/>
        </w:rPr>
        <w:t xml:space="preserve">oty budowlane specjalistyczne – </w:t>
      </w:r>
      <w:r w:rsidR="000162C2">
        <w:rPr>
          <w:shd w:val="clear" w:color="auto" w:fill="FFFFFF"/>
        </w:rPr>
        <w:t>67,5</w:t>
      </w:r>
      <w:r w:rsidR="000162C2" w:rsidRPr="00AB440E">
        <w:rPr>
          <w:shd w:val="clear" w:color="auto" w:fill="FFFFFF"/>
        </w:rPr>
        <w:t>%</w:t>
      </w:r>
      <w:r w:rsidR="000162C2">
        <w:rPr>
          <w:shd w:val="clear" w:color="auto" w:fill="FFFFFF"/>
        </w:rPr>
        <w:t xml:space="preserve"> a specjalizujących się w budowie </w:t>
      </w:r>
      <w:r w:rsidR="00D626B6" w:rsidRPr="00AB440E">
        <w:rPr>
          <w:shd w:val="clear" w:color="auto" w:fill="FFFFFF"/>
        </w:rPr>
        <w:t xml:space="preserve">budynków </w:t>
      </w:r>
      <w:r>
        <w:rPr>
          <w:shd w:val="clear" w:color="auto" w:fill="FFFFFF"/>
        </w:rPr>
        <w:t>– 43,2%</w:t>
      </w:r>
      <w:r w:rsidR="00D626B6" w:rsidRPr="00AB440E">
        <w:rPr>
          <w:shd w:val="clear" w:color="auto" w:fill="FFFFFF"/>
        </w:rPr>
        <w:t xml:space="preserve">. </w:t>
      </w:r>
    </w:p>
    <w:p w:rsidR="00F64917" w:rsidRPr="00AB440E" w:rsidRDefault="00B81FFA" w:rsidP="00FE18E3">
      <w:pPr>
        <w:rPr>
          <w:shd w:val="clear" w:color="auto" w:fill="FFFFFF"/>
        </w:rPr>
      </w:pPr>
      <w:r>
        <w:rPr>
          <w:shd w:val="clear" w:color="auto" w:fill="FFFFFF"/>
        </w:rPr>
        <w:t>W okresie styczeń-marzec 2020 r.</w:t>
      </w:r>
      <w:r w:rsidR="00F64917" w:rsidRPr="00F64917">
        <w:rPr>
          <w:shd w:val="clear" w:color="auto" w:fill="FFFFFF"/>
        </w:rPr>
        <w:t xml:space="preserve"> odnotowano wyraźny wzrost produkcji budowlano-montażowej. Produkcja ukształtowała się na poziomie </w:t>
      </w:r>
      <w:r w:rsidR="001548E2">
        <w:rPr>
          <w:shd w:val="clear" w:color="auto" w:fill="FFFFFF"/>
        </w:rPr>
        <w:t>498,5</w:t>
      </w:r>
      <w:r w:rsidR="00F64917" w:rsidRPr="00F64917">
        <w:rPr>
          <w:shd w:val="clear" w:color="auto" w:fill="FFFFFF"/>
        </w:rPr>
        <w:t xml:space="preserve"> mln zł, tj. o </w:t>
      </w:r>
      <w:r w:rsidR="001548E2">
        <w:rPr>
          <w:shd w:val="clear" w:color="auto" w:fill="FFFFFF"/>
        </w:rPr>
        <w:t>15,4</w:t>
      </w:r>
      <w:r w:rsidR="00F64917" w:rsidRPr="00F64917">
        <w:rPr>
          <w:shd w:val="clear" w:color="auto" w:fill="FFFFFF"/>
        </w:rPr>
        <w:t xml:space="preserve">% wyższym od notowanego przed rokiem. </w:t>
      </w:r>
      <w:r w:rsidR="001548E2">
        <w:rPr>
          <w:shd w:val="clear" w:color="auto" w:fill="FFFFFF"/>
        </w:rPr>
        <w:t>Do tego wzrostu przyczyniły się</w:t>
      </w:r>
      <w:r w:rsidR="001548E2" w:rsidRPr="001548E2">
        <w:rPr>
          <w:shd w:val="clear" w:color="auto" w:fill="FFFFFF"/>
        </w:rPr>
        <w:t xml:space="preserve"> </w:t>
      </w:r>
      <w:r w:rsidR="001548E2">
        <w:rPr>
          <w:shd w:val="clear" w:color="auto" w:fill="FFFFFF"/>
        </w:rPr>
        <w:t>podmioty specjalizujące</w:t>
      </w:r>
      <w:r w:rsidR="001548E2" w:rsidRPr="00F64917">
        <w:rPr>
          <w:shd w:val="clear" w:color="auto" w:fill="FFFFFF"/>
        </w:rPr>
        <w:t xml:space="preserve"> się w budowie obiektów inżynierii lądowej i wodnej</w:t>
      </w:r>
      <w:r w:rsidR="001548E2">
        <w:rPr>
          <w:shd w:val="clear" w:color="auto" w:fill="FFFFFF"/>
        </w:rPr>
        <w:t>, w których produkcja budowlano-montażowa zwiększyła się o</w:t>
      </w:r>
      <w:r w:rsidR="00F64917" w:rsidRPr="00F64917">
        <w:rPr>
          <w:shd w:val="clear" w:color="auto" w:fill="FFFFFF"/>
        </w:rPr>
        <w:t xml:space="preserve"> </w:t>
      </w:r>
      <w:r w:rsidR="001548E2">
        <w:rPr>
          <w:shd w:val="clear" w:color="auto" w:fill="FFFFFF"/>
        </w:rPr>
        <w:t>127,3</w:t>
      </w:r>
      <w:r w:rsidR="001548E2" w:rsidRPr="00F64917">
        <w:rPr>
          <w:shd w:val="clear" w:color="auto" w:fill="FFFFFF"/>
        </w:rPr>
        <w:t>%</w:t>
      </w:r>
      <w:r w:rsidR="001548E2">
        <w:rPr>
          <w:shd w:val="clear" w:color="auto" w:fill="FFFFFF"/>
        </w:rPr>
        <w:t xml:space="preserve"> i</w:t>
      </w:r>
      <w:r w:rsidR="001548E2" w:rsidRPr="00F64917">
        <w:rPr>
          <w:shd w:val="clear" w:color="auto" w:fill="FFFFFF"/>
        </w:rPr>
        <w:t xml:space="preserve"> </w:t>
      </w:r>
      <w:r w:rsidR="001548E2">
        <w:rPr>
          <w:shd w:val="clear" w:color="auto" w:fill="FFFFFF"/>
        </w:rPr>
        <w:t>firmy wykonujące</w:t>
      </w:r>
      <w:r w:rsidR="001548E2" w:rsidRPr="00F64917">
        <w:rPr>
          <w:shd w:val="clear" w:color="auto" w:fill="FFFFFF"/>
        </w:rPr>
        <w:t xml:space="preserve"> przede wszystkim roboty budowlane specjalistyczne</w:t>
      </w:r>
      <w:r w:rsidR="001548E2">
        <w:rPr>
          <w:shd w:val="clear" w:color="auto" w:fill="FFFFFF"/>
        </w:rPr>
        <w:t xml:space="preserve"> (o 18,0%)</w:t>
      </w:r>
      <w:r w:rsidR="00F64917" w:rsidRPr="00F64917">
        <w:rPr>
          <w:shd w:val="clear" w:color="auto" w:fill="FFFFFF"/>
        </w:rPr>
        <w:t>.</w:t>
      </w:r>
      <w:r w:rsidR="001548E2" w:rsidRPr="001548E2">
        <w:rPr>
          <w:shd w:val="clear" w:color="auto" w:fill="FFFFFF"/>
        </w:rPr>
        <w:t xml:space="preserve"> </w:t>
      </w:r>
      <w:r w:rsidR="001548E2">
        <w:rPr>
          <w:shd w:val="clear" w:color="auto" w:fill="FFFFFF"/>
        </w:rPr>
        <w:t xml:space="preserve">W </w:t>
      </w:r>
      <w:r w:rsidR="001548E2" w:rsidRPr="00F64917">
        <w:rPr>
          <w:shd w:val="clear" w:color="auto" w:fill="FFFFFF"/>
        </w:rPr>
        <w:t>przedsiębiorstwach zajmujący</w:t>
      </w:r>
      <w:r w:rsidR="001548E2">
        <w:rPr>
          <w:shd w:val="clear" w:color="auto" w:fill="FFFFFF"/>
        </w:rPr>
        <w:t>ch się głównie budową budynków odnotowano spadek</w:t>
      </w:r>
      <w:r w:rsidR="001548E2" w:rsidRPr="00F64917">
        <w:rPr>
          <w:shd w:val="clear" w:color="auto" w:fill="FFFFFF"/>
        </w:rPr>
        <w:t xml:space="preserve"> o </w:t>
      </w:r>
      <w:r w:rsidR="001548E2">
        <w:rPr>
          <w:shd w:val="clear" w:color="auto" w:fill="FFFFFF"/>
        </w:rPr>
        <w:t>31,7</w:t>
      </w:r>
      <w:r w:rsidR="001548E2" w:rsidRPr="00F64917">
        <w:rPr>
          <w:shd w:val="clear" w:color="auto" w:fill="FFFFFF"/>
        </w:rPr>
        <w:t>%.</w:t>
      </w:r>
    </w:p>
    <w:p w:rsidR="00D626B6" w:rsidRDefault="00D626B6" w:rsidP="0023463C">
      <w:pPr>
        <w:pStyle w:val="tytuwykresu"/>
        <w:pageBreakBefore/>
        <w:rPr>
          <w:shd w:val="clear" w:color="auto" w:fill="FFFFFF"/>
        </w:rPr>
      </w:pPr>
      <w:r w:rsidRPr="00825455">
        <w:rPr>
          <w:shd w:val="clear" w:color="auto" w:fill="FFFFFF"/>
        </w:rPr>
        <w:lastRenderedPageBreak/>
        <w:t xml:space="preserve">Tablica </w:t>
      </w:r>
      <w:r w:rsidR="00920672">
        <w:rPr>
          <w:shd w:val="clear" w:color="auto" w:fill="FFFFFF"/>
        </w:rPr>
        <w:t>9</w:t>
      </w:r>
      <w:r w:rsidRPr="00825455">
        <w:rPr>
          <w:shd w:val="clear" w:color="auto" w:fill="FFFFFF"/>
        </w:rPr>
        <w:t>. Dynamika i struktura produkcji budowlano-montażowej (w cenach bieżących)</w:t>
      </w:r>
    </w:p>
    <w:p w:rsidR="00A43638" w:rsidRPr="00825455" w:rsidRDefault="00A43638" w:rsidP="00A43638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D626B6" w:rsidRPr="003B7364" w:rsidTr="0068266B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>II</w:t>
            </w:r>
            <w:r w:rsidR="0028695E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>I-II</w:t>
            </w:r>
            <w:r w:rsidR="0028695E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3B7364" w:rsidTr="0068266B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155,8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25,0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33,0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28695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42,0</w:t>
            </w:r>
          </w:p>
        </w:tc>
      </w:tr>
    </w:tbl>
    <w:p w:rsidR="00D626B6" w:rsidRDefault="00D626B6" w:rsidP="006A0B93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515660" w:rsidRDefault="00515660" w:rsidP="0051566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FE6E14" w:rsidRDefault="00FE6E14" w:rsidP="00FE6E14">
      <w:pPr>
        <w:rPr>
          <w:rFonts w:cs="Arial"/>
          <w:szCs w:val="19"/>
        </w:rPr>
      </w:pPr>
      <w:r>
        <w:rPr>
          <w:rFonts w:cs="Arial"/>
          <w:szCs w:val="19"/>
        </w:rPr>
        <w:t>W marcu 2020 r. przekazano do użytkowania o 21,6% więcej mieszkań niż w analogicznym miesiącu poprzedniego roku. Zmniejszyła się natomiast liczba mieszkań, których budowę rozpoczęto (o 26,6 %) oraz liczba mieszkań, na realizację których wydano pozwolenia lub dokonano zgłoszenia z projektem budowlanym (o 7,0%).</w:t>
      </w:r>
    </w:p>
    <w:p w:rsidR="00FE6E14" w:rsidRDefault="00FE6E14" w:rsidP="00FE6E14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marcu 2020 r. przekazano do użytkowania 242 mieszkania, tj. o 43 więcej niż przed rokiem. W badanym miesiącu inwestorzy indywidualni przekazali 167 mieszkań (69,0% ogólnej liczby oddanych mieszkań, </w:t>
      </w:r>
      <w:r>
        <w:rPr>
          <w:rFonts w:cs="Arial"/>
          <w:szCs w:val="19"/>
        </w:rPr>
        <w:br/>
        <w:t xml:space="preserve">w marcu 2019 r. – 87,4%). Ponadto oddano do użytkowania 75 mieszkań przeznaczonych na sprzedaż lub wynajem (31,0% ogółu, w marcu 2019 r. – 12,6%). Efekty budownictwa mieszkaniowego uzyskane w województwie świętokrzyskim w marcu 2020 r. stanowiły 1,5% efektów krajowych. </w:t>
      </w:r>
    </w:p>
    <w:p w:rsidR="00FE6E14" w:rsidRDefault="00FE6E14" w:rsidP="00A43638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920672">
        <w:rPr>
          <w:shd w:val="clear" w:color="auto" w:fill="FFFFFF"/>
        </w:rPr>
        <w:t>0</w:t>
      </w:r>
      <w:r>
        <w:rPr>
          <w:shd w:val="clear" w:color="auto" w:fill="FFFFFF"/>
        </w:rPr>
        <w:t xml:space="preserve">. Liczba mieszkań oddanych do użytkowania w okresie </w:t>
      </w:r>
      <w:r w:rsidR="003C2825">
        <w:rPr>
          <w:shd w:val="clear" w:color="auto" w:fill="FFFFFF"/>
        </w:rPr>
        <w:t>I kwartału</w:t>
      </w:r>
      <w:r>
        <w:rPr>
          <w:shd w:val="clear" w:color="auto" w:fill="FFFFFF"/>
        </w:rPr>
        <w:t xml:space="preserve"> 2020 r.</w:t>
      </w:r>
    </w:p>
    <w:p w:rsidR="00A43638" w:rsidRDefault="00A43638" w:rsidP="00FE6E14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1"/>
        <w:tblpPr w:leftFromText="141" w:rightFromText="141" w:vertAnchor="text" w:horzAnchor="margin" w:tblpXSpec="center" w:tblpY="117"/>
        <w:tblW w:w="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FE6E14" w:rsidTr="00FE6E1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pStyle w:val="Nagwek1"/>
              <w:tabs>
                <w:tab w:val="right" w:leader="dot" w:pos="4139"/>
              </w:tabs>
              <w:spacing w:before="80" w:after="8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FE6E14" w:rsidRDefault="00FE6E14" w:rsidP="000A6A9C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FE6E14" w:rsidTr="00FE6E1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="0" w:after="0" w:line="240" w:lineRule="auto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FE6E14" w:rsidRDefault="00FE6E14" w:rsidP="000A6A9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I-III 2019=100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FE6E14" w:rsidRDefault="00FE6E14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</w:p>
        </w:tc>
      </w:tr>
      <w:tr w:rsidR="00FE6E14" w:rsidTr="00FE6E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799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109,8</w:t>
            </w:r>
          </w:p>
        </w:tc>
      </w:tr>
      <w:tr w:rsidR="00FE6E14" w:rsidTr="00FE6E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 w:rsidP="000A6A9C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</w:tr>
      <w:tr w:rsidR="00FE6E14" w:rsidTr="00FE6E1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 w:rsidP="000A6A9C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FE6E14" w:rsidRDefault="00FE6E14" w:rsidP="000A6A9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</w:tr>
    </w:tbl>
    <w:p w:rsidR="00FE6E14" w:rsidRDefault="00FE6E14" w:rsidP="0023463C">
      <w:pPr>
        <w:spacing w:before="360" w:after="0"/>
        <w:rPr>
          <w:b/>
        </w:rPr>
      </w:pPr>
      <w:r>
        <w:rPr>
          <w:rFonts w:cs="Arial"/>
          <w:szCs w:val="19"/>
        </w:rPr>
        <w:t>W okresie styczeń-marzec oddano do użytkowania 799 mieszkań tj. o 10,8% mniej niż w analogicznym okresie ub. roku. Wzrost liczby zrealizowanych mieszkań odnotowano w budownictwie indywidualnym. Natomiast w budownictwie przeznaczonym na sprzedaż lub wynajem liczba oddanych mieszkań była mniejsza niż przed rokiem. W badanym okresie nie przekazano żadnego mieszkania spółdzielczego, komunalnego, społecznego czynszowego ani zakładowego.</w:t>
      </w:r>
    </w:p>
    <w:p w:rsidR="00FE6E14" w:rsidRDefault="0023463C" w:rsidP="000A6A9C">
      <w:pPr>
        <w:pageBreakBefore/>
        <w:spacing w:before="480" w:after="0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6648450" cy="3181350"/>
            <wp:effectExtent l="0" t="0" r="0" b="0"/>
            <wp:wrapTopAndBottom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E14">
        <w:rPr>
          <w:b/>
        </w:rPr>
        <w:t>Wykres 10.</w:t>
      </w:r>
      <w:r w:rsidR="00FE6E14">
        <w:rPr>
          <w:b/>
          <w:shd w:val="clear" w:color="auto" w:fill="FFFFFF"/>
        </w:rPr>
        <w:t xml:space="preserve"> Dynamika mieszkań oddanych do użytkowania </w:t>
      </w:r>
      <w:r w:rsidR="00FE6E14">
        <w:rPr>
          <w:shd w:val="clear" w:color="auto" w:fill="FFFFFF"/>
        </w:rPr>
        <w:t>(analogiczny okres 2015=100)</w:t>
      </w:r>
    </w:p>
    <w:p w:rsidR="00FE6E14" w:rsidRDefault="00FE6E14" w:rsidP="00FE6E14">
      <w:pPr>
        <w:rPr>
          <w:rFonts w:cs="Arial"/>
          <w:szCs w:val="19"/>
        </w:rPr>
      </w:pPr>
    </w:p>
    <w:p w:rsidR="00FE6E14" w:rsidRDefault="00FE6E14" w:rsidP="00FE6E14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trzech miesięcy br. wyniosła 109,8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2,1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Spadek odnotowano</w:t>
      </w:r>
      <w:r>
        <w:rPr>
          <w:spacing w:val="-3"/>
          <w:szCs w:val="19"/>
        </w:rPr>
        <w:t xml:space="preserve"> zarówno w budownictwie indywidualnym – o 5,2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, jak i w budownictwie przeznaczonym na sprzedaż lub wynajem – o 2,5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:rsidR="00FE6E14" w:rsidRDefault="008A6E9C" w:rsidP="00FE6E14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252095" simplePos="0" relativeHeight="251656704" behindDoc="0" locked="0" layoutInCell="1" allowOverlap="1">
            <wp:simplePos x="0" y="0"/>
            <wp:positionH relativeFrom="column">
              <wp:posOffset>34649</wp:posOffset>
            </wp:positionH>
            <wp:positionV relativeFrom="paragraph">
              <wp:posOffset>489033</wp:posOffset>
            </wp:positionV>
            <wp:extent cx="3700145" cy="3597275"/>
            <wp:effectExtent l="0" t="0" r="14605" b="3175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-4445</wp:posOffset>
                </wp:positionV>
                <wp:extent cx="3975100" cy="394970"/>
                <wp:effectExtent l="0" t="0" r="6350" b="5080"/>
                <wp:wrapTight wrapText="bothSides">
                  <wp:wrapPolygon edited="0">
                    <wp:start x="0" y="0"/>
                    <wp:lineTo x="0" y="20836"/>
                    <wp:lineTo x="21531" y="20836"/>
                    <wp:lineTo x="21531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72" w:rsidRDefault="00AD2A72" w:rsidP="00FE6E14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 w:type="page"/>
                              <w:t>w okresie I kwartału 2020 r.</w:t>
                            </w:r>
                          </w:p>
                          <w:p w:rsidR="00AD2A72" w:rsidRDefault="00AD2A72" w:rsidP="00FE6E14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7" type="#_x0000_t202" style="position:absolute;margin-left:-7.2pt;margin-top:-.35pt;width:313pt;height:31.1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" stroked="f">
                <v:textbox>
                  <w:txbxContent>
                    <w:p w:rsidR="00AD2A72" w:rsidRDefault="00AD2A72" w:rsidP="00FE6E14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 w:type="page"/>
                        <w:t>w okresie I kwartału 2020 r.</w:t>
                      </w:r>
                    </w:p>
                    <w:p w:rsidR="00AD2A72" w:rsidRDefault="00AD2A72" w:rsidP="00FE6E14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6E14">
        <w:rPr>
          <w:rFonts w:cs="Arial"/>
          <w:szCs w:val="19"/>
        </w:rPr>
        <w:t xml:space="preserve">Najwięcej mieszkań przekazano do użytkowania w m. Kielce </w:t>
      </w:r>
      <w:r>
        <w:rPr>
          <w:rFonts w:cs="Arial"/>
          <w:szCs w:val="19"/>
        </w:rPr>
        <w:t xml:space="preserve">(264) oraz w powiecie kieleckim </w:t>
      </w:r>
      <w:r w:rsidR="00FE6E14">
        <w:rPr>
          <w:rFonts w:cs="Arial"/>
          <w:szCs w:val="19"/>
        </w:rPr>
        <w:t>(205</w:t>
      </w:r>
      <w:r>
        <w:rPr>
          <w:rFonts w:cs="Arial"/>
          <w:szCs w:val="19"/>
        </w:rPr>
        <w:t xml:space="preserve">). Najmniej mieszkań wybudowano </w:t>
      </w:r>
      <w:r w:rsidR="00FE6E14">
        <w:rPr>
          <w:rFonts w:cs="Arial"/>
          <w:szCs w:val="19"/>
        </w:rPr>
        <w:t>w powiatach: pińczowskim (9), kazimierskim (11), koneckim (12) oraz skarżyskim (14).</w:t>
      </w:r>
    </w:p>
    <w:p w:rsidR="00FE6E14" w:rsidRDefault="00FE6E14" w:rsidP="00FE6E14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koneckim (167,4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opatowskim (165,4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a najmniejszej </w:t>
      </w:r>
      <w:r>
        <w:rPr>
          <w:rFonts w:cs="Arial"/>
          <w:szCs w:val="19"/>
        </w:rPr>
        <w:br/>
        <w:t>w m. Kielce (67,7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:rsidR="00FE6E14" w:rsidRDefault="00FE6E14" w:rsidP="00FE6E14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-1903730</wp:posOffset>
                </wp:positionH>
                <wp:positionV relativeFrom="paragraph">
                  <wp:posOffset>1223010</wp:posOffset>
                </wp:positionV>
                <wp:extent cx="1146175" cy="3810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72" w:rsidRDefault="00AD2A72" w:rsidP="00FE6E1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49523</w:t>
                            </w:r>
                          </w:p>
                          <w:p w:rsidR="00AD2A72" w:rsidRDefault="00AD2A72" w:rsidP="00FE6E1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799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5" o:spid="_x0000_s1028" type="#_x0000_t202" style="position:absolute;margin-left:-149.9pt;margin-top:96.3pt;width:90.25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" fillcolor="white [3201]" stroked="f">
                <v:textbox>
                  <w:txbxContent>
                    <w:p w:rsidR="00AD2A72" w:rsidRDefault="00AD2A72" w:rsidP="00FE6E14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49523</w:t>
                      </w:r>
                    </w:p>
                    <w:p w:rsidR="00AD2A72" w:rsidRDefault="00AD2A72" w:rsidP="00FE6E14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799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marcu br. wydano pozwolenia lub dokonano zgłoszenia z projektem budowlanym na realizację 304 mieszkań – o 7,0% mniej niż w analogicznym miesiącu 2019 r. Z ogólnej liczby mieszkań, na realizację których wydano pozwolenia lub dokonano zgłoszenia z projektem budowlanym 76,6% stanowiły inwestycje indywidualne, a</w:t>
      </w:r>
      <w:r w:rsidR="0023463C">
        <w:rPr>
          <w:rFonts w:cs="Arial"/>
          <w:szCs w:val="19"/>
        </w:rPr>
        <w:t> </w:t>
      </w:r>
      <w:r>
        <w:rPr>
          <w:rFonts w:cs="Arial"/>
          <w:szCs w:val="19"/>
        </w:rPr>
        <w:t>mieszkania przeznaczone na sprzedaż lub wynajem 23,4%.</w:t>
      </w:r>
    </w:p>
    <w:p w:rsidR="00FE6E14" w:rsidRDefault="00FE6E14" w:rsidP="00FE6E14">
      <w:pPr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326 mieszkań – o 26,6% mniej niż przed rokiem.</w:t>
      </w:r>
      <w:r>
        <w:rPr>
          <w:rFonts w:cs="Arial"/>
          <w:szCs w:val="19"/>
        </w:rPr>
        <w:br/>
        <w:t>Z ogólnej liczby rozpoczętych budów mieszkań 62,0% stanowiły inwestycje indywidualne, a mieszkania przeznaczone na sprzedaż lub wynajem 38,0%.</w:t>
      </w:r>
    </w:p>
    <w:p w:rsidR="00FE6E14" w:rsidRDefault="00FE6E14" w:rsidP="00FE6E14">
      <w:pPr>
        <w:rPr>
          <w:rFonts w:cs="Arial"/>
          <w:szCs w:val="19"/>
        </w:rPr>
      </w:pPr>
    </w:p>
    <w:p w:rsidR="00FE6E14" w:rsidRDefault="00FE6E14" w:rsidP="0023463C">
      <w:pPr>
        <w:pStyle w:val="tytuwykresu"/>
        <w:pageBreakBefore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920672">
        <w:rPr>
          <w:shd w:val="clear" w:color="auto" w:fill="FFFFFF"/>
        </w:rPr>
        <w:t>1</w:t>
      </w:r>
      <w:r>
        <w:rPr>
          <w:shd w:val="clear" w:color="auto" w:fill="FFFFFF"/>
        </w:rPr>
        <w:t xml:space="preserve">. Liczba mieszkań, na budowę których wydano pozwolenia lub dokonano zgłoszenia z projektem budowlanym oraz mieszkań, których budowę rozpoczęto w okresie </w:t>
      </w:r>
      <w:r w:rsidR="003C2825">
        <w:rPr>
          <w:shd w:val="clear" w:color="auto" w:fill="FFFFFF"/>
        </w:rPr>
        <w:t>I kwartału</w:t>
      </w:r>
      <w:r>
        <w:rPr>
          <w:shd w:val="clear" w:color="auto" w:fill="FFFFFF"/>
        </w:rPr>
        <w:t xml:space="preserve"> 2020 r.</w:t>
      </w:r>
    </w:p>
    <w:p w:rsidR="00FE6E14" w:rsidRDefault="00FE6E14" w:rsidP="00FE6E14">
      <w:pPr>
        <w:pStyle w:val="tytuwykresu"/>
        <w:spacing w:before="120" w:after="120"/>
        <w:ind w:left="907" w:hanging="907"/>
        <w:rPr>
          <w:b w:val="0"/>
          <w:sz w:val="18"/>
          <w:shd w:val="clear" w:color="auto" w:fill="FFFFFF"/>
        </w:rPr>
      </w:pPr>
    </w:p>
    <w:tbl>
      <w:tblPr>
        <w:tblW w:w="0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FE6E14" w:rsidTr="00FE6E14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pozwolenia lub dokonano zgłoszenia </w:t>
            </w:r>
            <w:r>
              <w:rPr>
                <w:rFonts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E6E14" w:rsidTr="00FE6E14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I-III 2019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FE6E14" w:rsidRDefault="00FE6E14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I-III 2019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FE6E14" w:rsidTr="00FE6E1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tabs>
                <w:tab w:val="left" w:leader="dot" w:pos="2052"/>
              </w:tabs>
              <w:spacing w:before="80" w:after="4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111,4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109,3</w:t>
            </w:r>
          </w:p>
        </w:tc>
      </w:tr>
      <w:tr w:rsidR="00FE6E14" w:rsidTr="00FE6E1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60,6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</w:tr>
      <w:tr w:rsidR="00FE6E14" w:rsidTr="00FE6E1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37,9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170,9</w:t>
            </w:r>
          </w:p>
        </w:tc>
      </w:tr>
      <w:tr w:rsidR="00FE6E14" w:rsidTr="00FE6E14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34" w:hanging="34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pacing w:val="-8"/>
                <w:sz w:val="16"/>
                <w:szCs w:val="16"/>
              </w:rPr>
            </w:pPr>
            <w:r>
              <w:rPr>
                <w:rFonts w:cs="Arial"/>
                <w:b/>
                <w:spacing w:val="-8"/>
                <w:sz w:val="16"/>
                <w:szCs w:val="16"/>
              </w:rPr>
              <w:t>.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FE6E14" w:rsidRDefault="00FE6E14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</w:tr>
    </w:tbl>
    <w:p w:rsidR="00FE6E14" w:rsidRDefault="00FE6E14" w:rsidP="005401F7">
      <w:pPr>
        <w:spacing w:before="24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Arial"/>
          <w:szCs w:val="19"/>
        </w:rPr>
        <w:t>W okresie styczeń-marzec wśród mieszkań, na realizację których wydano pozwolenia lub dokonano zgłoszenia z projektem budowlanym 60,6% stanowiły mieszkania budowane przez inwestorów indywidualnych. W przypadku mieszkań, których budowę rozpoczęto, inwestycje indywidualne stanowiły 66,4%.</w:t>
      </w:r>
    </w:p>
    <w:p w:rsidR="000967D8" w:rsidRPr="00881EAF" w:rsidRDefault="000967D8" w:rsidP="000967D8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0967D8" w:rsidRPr="00351B54" w:rsidRDefault="000967D8" w:rsidP="000967D8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marcu</w:t>
      </w:r>
      <w:r w:rsidRPr="00351B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351B54">
        <w:rPr>
          <w:rFonts w:cs="Arial"/>
          <w:bCs/>
          <w:szCs w:val="19"/>
        </w:rPr>
        <w:t>r.</w:t>
      </w:r>
      <w:r w:rsidR="006229E1">
        <w:rPr>
          <w:rFonts w:cs="Arial"/>
          <w:bCs/>
          <w:szCs w:val="19"/>
        </w:rPr>
        <w:t>,</w:t>
      </w:r>
      <w:r w:rsidRPr="00351B54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ujęciu rocznym zanotowano wzrost</w:t>
      </w:r>
      <w:r w:rsidRPr="00351B54">
        <w:rPr>
          <w:rFonts w:cs="Arial"/>
          <w:bCs/>
          <w:szCs w:val="19"/>
        </w:rPr>
        <w:t xml:space="preserve"> (w cenach bieżący</w:t>
      </w:r>
      <w:r>
        <w:rPr>
          <w:rFonts w:cs="Arial"/>
          <w:bCs/>
          <w:szCs w:val="19"/>
        </w:rPr>
        <w:t xml:space="preserve">ch) sprzedaży detalicznej (o 0,1%) oraz spadek </w:t>
      </w:r>
      <w:r w:rsidRPr="00351B54">
        <w:rPr>
          <w:rFonts w:cs="Arial"/>
          <w:bCs/>
          <w:szCs w:val="19"/>
        </w:rPr>
        <w:t>sprzeda</w:t>
      </w:r>
      <w:r>
        <w:rPr>
          <w:rFonts w:cs="Arial"/>
          <w:bCs/>
          <w:szCs w:val="19"/>
        </w:rPr>
        <w:t>ży hurtowej (o 8,3</w:t>
      </w:r>
      <w:r w:rsidRPr="00351B54">
        <w:rPr>
          <w:rFonts w:cs="Arial"/>
          <w:bCs/>
          <w:szCs w:val="19"/>
        </w:rPr>
        <w:t>%).</w:t>
      </w:r>
    </w:p>
    <w:p w:rsidR="000967D8" w:rsidRDefault="000967D8" w:rsidP="000967D8">
      <w:pPr>
        <w:rPr>
          <w:rFonts w:cs="Arial"/>
          <w:bCs/>
          <w:szCs w:val="19"/>
        </w:rPr>
      </w:pPr>
      <w:r w:rsidRPr="00774BC5">
        <w:rPr>
          <w:rFonts w:cs="Arial"/>
          <w:bCs/>
          <w:szCs w:val="19"/>
        </w:rPr>
        <w:t>Wśród grup podmiotów handlowych i niehandlowych o znaczącym udziale w sprzedaży detalicznej ogółem</w:t>
      </w:r>
      <w:r>
        <w:rPr>
          <w:rFonts w:cs="Arial"/>
          <w:bCs/>
          <w:szCs w:val="19"/>
        </w:rPr>
        <w:t xml:space="preserve">, </w:t>
      </w:r>
      <w:r w:rsidRPr="00774BC5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 xml:space="preserve">wzrost </w:t>
      </w:r>
      <w:r w:rsidRPr="00774BC5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przedaży, w odniesieniu do marca 2019</w:t>
      </w:r>
      <w:r w:rsidRPr="00774BC5">
        <w:rPr>
          <w:rFonts w:cs="Arial"/>
          <w:bCs/>
          <w:szCs w:val="19"/>
        </w:rPr>
        <w:t xml:space="preserve"> r.</w:t>
      </w:r>
      <w:r>
        <w:rPr>
          <w:rFonts w:cs="Arial"/>
          <w:bCs/>
          <w:szCs w:val="19"/>
        </w:rPr>
        <w:t>,</w:t>
      </w:r>
      <w:r w:rsidRPr="00774BC5">
        <w:rPr>
          <w:rFonts w:cs="Arial"/>
          <w:bCs/>
          <w:szCs w:val="19"/>
        </w:rPr>
        <w:t xml:space="preserve"> odnotowały</w:t>
      </w:r>
      <w:r>
        <w:rPr>
          <w:rFonts w:cs="Arial"/>
          <w:bCs/>
          <w:szCs w:val="19"/>
        </w:rPr>
        <w:t xml:space="preserve"> </w:t>
      </w:r>
      <w:r w:rsidRPr="00774BC5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zaklasyfikowane do grupy farmaceutyki, kosmetyki, sprzęt ortopedyczny (o 27,1%). Większą</w:t>
      </w:r>
      <w:r w:rsidRPr="00774BC5">
        <w:rPr>
          <w:rFonts w:cs="Arial"/>
          <w:bCs/>
          <w:szCs w:val="19"/>
        </w:rPr>
        <w:t xml:space="preserve"> niż przed rokiem sprzedaż zanotowały także jednostki </w:t>
      </w:r>
      <w:r>
        <w:rPr>
          <w:rFonts w:cs="Arial"/>
          <w:bCs/>
          <w:szCs w:val="19"/>
        </w:rPr>
        <w:t>handlujące żywnością, napojami i wyrobami tytoniowymi (o 13,9%). Spośród grup o niższym udziale w sprzedaży detalicznej ogółem, największy wzrost odnotowano w jednostkach zajmujących się handlem prasą, książkami oraz pozostałą sprzedażą w wyspecjalizowanych sklepach (o 50,9%). Z kolei spadek sprzedaży detalicznej wystąpił wśród jednostek zgrupowanych w kategoriach: pojazdy samochodowe, motocykle, części (o 42,2%), paliwa (o 15,6%), meble, artykuły RTV i AGD (o 9,4%) oraz pozostałe (o 0,3%).</w:t>
      </w:r>
    </w:p>
    <w:p w:rsidR="000967D8" w:rsidRDefault="000967D8" w:rsidP="00920672">
      <w:pPr>
        <w:spacing w:before="48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920672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p w:rsidR="000967D8" w:rsidRDefault="000967D8" w:rsidP="000967D8">
      <w:pPr>
        <w:pStyle w:val="tytuwykresu"/>
        <w:spacing w:before="120" w:after="120"/>
        <w:ind w:left="907" w:hanging="907"/>
        <w:rPr>
          <w:rFonts w:cs="Arial"/>
          <w:b w:val="0"/>
          <w:szCs w:val="19"/>
        </w:rPr>
      </w:pPr>
    </w:p>
    <w:tbl>
      <w:tblPr>
        <w:tblW w:w="1046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0967D8" w:rsidRPr="0083095D" w:rsidTr="00CC66FD">
        <w:trPr>
          <w:trHeight w:val="266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967D8" w:rsidRPr="0083095D" w:rsidRDefault="000967D8" w:rsidP="00CC66F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 2020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967D8" w:rsidRPr="0083095D" w:rsidRDefault="000967D8" w:rsidP="00CC66F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I-III 2020</w:t>
            </w:r>
          </w:p>
        </w:tc>
      </w:tr>
      <w:tr w:rsidR="000967D8" w:rsidRPr="0083095D" w:rsidTr="00CC66FD">
        <w:trPr>
          <w:trHeight w:val="147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967D8" w:rsidRPr="0083095D" w:rsidRDefault="000967D8" w:rsidP="00CC66F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967D8" w:rsidRPr="0083095D" w:rsidTr="00CC66FD">
        <w:trPr>
          <w:trHeight w:val="330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CD48D6" w:rsidRDefault="000967D8" w:rsidP="00CC66FD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CD48D6" w:rsidRDefault="000967D8" w:rsidP="00CC66FD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967D8" w:rsidRPr="0083095D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0967D8" w:rsidRPr="00CD48D6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967D8" w:rsidRPr="00CD48D6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67D8" w:rsidRPr="004C091F" w:rsidTr="00CC66FD">
        <w:trPr>
          <w:trHeight w:val="227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57,8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0967D8" w:rsidRPr="004C091F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0967D8" w:rsidRPr="00612BBA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</w:tr>
      <w:tr w:rsidR="000967D8" w:rsidRPr="0083095D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846C4">
              <w:rPr>
                <w:rFonts w:cs="Arial"/>
                <w:sz w:val="16"/>
                <w:szCs w:val="16"/>
              </w:rPr>
              <w:t>1,8</w:t>
            </w:r>
          </w:p>
        </w:tc>
      </w:tr>
      <w:tr w:rsidR="000967D8" w:rsidRPr="004C11F4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0967D8" w:rsidRPr="0083095D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0967D8" w:rsidRPr="00612BBA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0967D8" w:rsidRPr="0083095D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846C4">
              <w:rPr>
                <w:rFonts w:cs="Arial"/>
                <w:sz w:val="16"/>
                <w:szCs w:val="16"/>
              </w:rPr>
              <w:t>4,2</w:t>
            </w:r>
          </w:p>
        </w:tc>
      </w:tr>
      <w:tr w:rsidR="000967D8" w:rsidRPr="0083095D" w:rsidTr="00CC66FD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967D8" w:rsidRPr="0083095D" w:rsidRDefault="000967D8" w:rsidP="00CC66FD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967D8" w:rsidRPr="004846C4" w:rsidRDefault="000967D8" w:rsidP="00CC66FD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846C4">
              <w:rPr>
                <w:rFonts w:cs="Arial"/>
                <w:sz w:val="16"/>
                <w:szCs w:val="16"/>
              </w:rPr>
              <w:t>23,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</w:tbl>
    <w:p w:rsidR="000967D8" w:rsidRPr="0083095D" w:rsidRDefault="000967D8" w:rsidP="000967D8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967D8" w:rsidRDefault="000967D8" w:rsidP="005401F7">
      <w:pPr>
        <w:pageBreakBefore/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lastRenderedPageBreak/>
        <w:t>W</w:t>
      </w:r>
      <w:r w:rsidRPr="0013417F">
        <w:rPr>
          <w:rFonts w:cs="Arial"/>
          <w:bCs/>
          <w:szCs w:val="19"/>
        </w:rPr>
        <w:t>artość sprzedaży det</w:t>
      </w:r>
      <w:r>
        <w:rPr>
          <w:rFonts w:cs="Arial"/>
          <w:bCs/>
          <w:szCs w:val="19"/>
        </w:rPr>
        <w:t>alicznej zrealizowanej w marcu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13417F">
        <w:rPr>
          <w:rFonts w:cs="Arial"/>
          <w:bCs/>
          <w:szCs w:val="19"/>
        </w:rPr>
        <w:t>r. przez jednostki handlowe i </w:t>
      </w:r>
      <w:r>
        <w:rPr>
          <w:rFonts w:cs="Arial"/>
          <w:bCs/>
          <w:szCs w:val="19"/>
        </w:rPr>
        <w:t>niehandlowe zwiększyła się w stosunku do lutego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13417F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o 2,6%. Największy wzrost zanotowały </w:t>
      </w:r>
      <w:r w:rsidRPr="0013417F">
        <w:rPr>
          <w:rFonts w:cs="Arial"/>
          <w:bCs/>
          <w:szCs w:val="19"/>
        </w:rPr>
        <w:t xml:space="preserve">przedsiębiorstwa </w:t>
      </w:r>
      <w:r>
        <w:rPr>
          <w:rFonts w:cs="Arial"/>
          <w:bCs/>
          <w:szCs w:val="19"/>
        </w:rPr>
        <w:t xml:space="preserve">zgrupowane w kategorii farmaceutyki, kosmetyki, sprzęt ortopedyczny (o 19,5%). </w:t>
      </w:r>
      <w:r w:rsidR="006229E1">
        <w:rPr>
          <w:rFonts w:cs="Arial"/>
          <w:bCs/>
          <w:szCs w:val="19"/>
        </w:rPr>
        <w:t>Sprzedaż detaliczna z</w:t>
      </w:r>
      <w:r>
        <w:rPr>
          <w:rFonts w:cs="Arial"/>
          <w:bCs/>
          <w:szCs w:val="19"/>
        </w:rPr>
        <w:t>większyła się równ</w:t>
      </w:r>
      <w:r w:rsidR="006229E1">
        <w:rPr>
          <w:rFonts w:cs="Arial"/>
          <w:bCs/>
          <w:szCs w:val="19"/>
        </w:rPr>
        <w:t xml:space="preserve">ież </w:t>
      </w:r>
      <w:r>
        <w:rPr>
          <w:rFonts w:cs="Arial"/>
          <w:bCs/>
          <w:szCs w:val="19"/>
        </w:rPr>
        <w:t xml:space="preserve">w porównaniu z lutym 2020 r. wśród jednostek zaklasyfikowanych do grup </w:t>
      </w:r>
      <w:r w:rsidRPr="008A23D7">
        <w:rPr>
          <w:rFonts w:cs="Arial"/>
          <w:bCs/>
          <w:szCs w:val="19"/>
        </w:rPr>
        <w:t>żywność, na</w:t>
      </w:r>
      <w:r>
        <w:rPr>
          <w:rFonts w:cs="Arial"/>
          <w:bCs/>
          <w:szCs w:val="19"/>
        </w:rPr>
        <w:t>poje i wyroby tytoniowe (o 14,9</w:t>
      </w:r>
      <w:r w:rsidRPr="008A23D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pozostałe (o 1,5%). Spadek sprzedaży wystąpił natomiast wśród jednostek zajmujących się handlem: pojazdami samochodowymi, motocyklami, częściami (o 26,7%), meblami, artykułami RTV, AGD (o 7,6%), prasą, książkami, pozostałą sprzedażą w wyspecjalizowanych sklepach (o 4,5%) oraz paliwami (o 4,1%).</w:t>
      </w:r>
    </w:p>
    <w:p w:rsidR="000967D8" w:rsidRDefault="000967D8" w:rsidP="000967D8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I kwartale br. sprzedaż detaliczna ukształtowała się na poziomie wyższym o 6,1% od zanotowanego w analogicznym okresie 2019</w:t>
      </w:r>
      <w:r w:rsidRPr="000F3CC7">
        <w:rPr>
          <w:rFonts w:cs="Arial"/>
          <w:bCs/>
          <w:szCs w:val="19"/>
        </w:rPr>
        <w:t xml:space="preserve"> r.</w:t>
      </w:r>
    </w:p>
    <w:p w:rsidR="000967D8" w:rsidRDefault="000967D8" w:rsidP="000967D8">
      <w:pPr>
        <w:rPr>
          <w:rFonts w:cs="Arial"/>
          <w:bCs/>
          <w:szCs w:val="19"/>
        </w:rPr>
      </w:pPr>
      <w:r w:rsidRPr="0013417F">
        <w:rPr>
          <w:rFonts w:cs="Arial"/>
          <w:bCs/>
          <w:szCs w:val="19"/>
        </w:rPr>
        <w:t>Sprzedaż hurtowa (w cenach bieżących) w przedsiębiorstwach handlowych województwa świę</w:t>
      </w:r>
      <w:r>
        <w:rPr>
          <w:rFonts w:cs="Arial"/>
          <w:bCs/>
          <w:szCs w:val="19"/>
        </w:rPr>
        <w:t>tokrzyskiego w marcu 2020 r. była większa o 20,2%</w:t>
      </w:r>
      <w:r w:rsidRPr="0013417F">
        <w:rPr>
          <w:rFonts w:cs="Arial"/>
          <w:bCs/>
          <w:szCs w:val="19"/>
        </w:rPr>
        <w:t xml:space="preserve"> od notowanej przed miesiące</w:t>
      </w:r>
      <w:r>
        <w:rPr>
          <w:rFonts w:cs="Arial"/>
          <w:bCs/>
          <w:szCs w:val="19"/>
        </w:rPr>
        <w:t>m i mniejsza o 7,8% niż w marcu 2019</w:t>
      </w:r>
      <w:r w:rsidRPr="0013417F">
        <w:rPr>
          <w:rFonts w:cs="Arial"/>
          <w:bCs/>
          <w:szCs w:val="19"/>
        </w:rPr>
        <w:t xml:space="preserve"> r. 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wyższym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 23,6%) i niższym </w:t>
      </w:r>
      <w:r w:rsidRPr="0013417F">
        <w:rPr>
          <w:rFonts w:cs="Arial"/>
          <w:bCs/>
          <w:szCs w:val="19"/>
        </w:rPr>
        <w:t>w s</w:t>
      </w:r>
      <w:r>
        <w:rPr>
          <w:rFonts w:cs="Arial"/>
          <w:bCs/>
          <w:szCs w:val="19"/>
        </w:rPr>
        <w:t>tosunku do roku ubiegłego (o 10,2</w:t>
      </w:r>
      <w:r w:rsidRPr="0013417F">
        <w:rPr>
          <w:rFonts w:cs="Arial"/>
          <w:bCs/>
          <w:szCs w:val="19"/>
        </w:rPr>
        <w:t>%).</w:t>
      </w:r>
    </w:p>
    <w:p w:rsidR="000967D8" w:rsidRDefault="000967D8" w:rsidP="000967D8">
      <w:pPr>
        <w:outlineLvl w:val="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styczeń-marzec br., w porównaniu z analogicznym okresem 2019 r., sprzedaż hurtowa zarówno w przedsiębiorstwach handlowych, jak i hurtowych zmniejszyła się odpowiednio o 9,0% i o 11,0%.</w:t>
      </w:r>
    </w:p>
    <w:p w:rsidR="00433AE8" w:rsidRPr="007C26E1" w:rsidRDefault="00433AE8" w:rsidP="005A64EE">
      <w:pPr>
        <w:jc w:val="both"/>
        <w:rPr>
          <w:rFonts w:cs="Arial"/>
          <w:bCs/>
          <w:szCs w:val="19"/>
        </w:rPr>
      </w:pPr>
    </w:p>
    <w:p w:rsidR="002A644A" w:rsidRDefault="002A644A" w:rsidP="00284CE4"/>
    <w:p w:rsidR="00767A00" w:rsidRPr="00881EAF" w:rsidRDefault="00767A00" w:rsidP="00284CE4">
      <w:pPr>
        <w:sectPr w:rsidR="00767A00" w:rsidRPr="00881EAF" w:rsidSect="002C0678">
          <w:headerReference w:type="default" r:id="rId27"/>
          <w:footerReference w:type="default" r:id="rId28"/>
          <w:pgSz w:w="11906" w:h="16838" w:code="9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5"/>
        <w:gridCol w:w="321"/>
        <w:gridCol w:w="909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Tr="00ED0910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E16F29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284CE4" w:rsidP="00E16F29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ED0910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E16F29" w:rsidRPr="006271C2" w:rsidTr="00ED0910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126,7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DFC9EF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</w:tr>
      <w:tr w:rsidR="00E16F29" w:rsidTr="00ED0910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ED0910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47,0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46,1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42,0</w:t>
            </w: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0C3FAA" w:rsidRDefault="00E16F29" w:rsidP="000C3FAA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705BA6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3083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3452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2934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2765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3047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2125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2438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</w:t>
            </w: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06B39" w:rsidP="00006B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</w:t>
            </w:r>
          </w:p>
        </w:tc>
      </w:tr>
      <w:tr w:rsidR="00E16F2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E16F29" w:rsidRPr="00FD0BC6" w:rsidRDefault="0051658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ED0910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4166,</w:t>
            </w:r>
            <w:r w:rsidRPr="00B523F2"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987">
              <w:rPr>
                <w:rFonts w:ascii="Fira Sans" w:hAnsi="Fira Sans"/>
              </w:rPr>
              <w:t>4069,87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C300C">
              <w:rPr>
                <w:rFonts w:ascii="Fira Sans" w:hAnsi="Fira Sans"/>
              </w:rPr>
              <w:t>4253</w:t>
            </w:r>
            <w:r>
              <w:rPr>
                <w:rFonts w:ascii="Fira Sans" w:hAnsi="Fira Sans"/>
              </w:rPr>
              <w:t>,</w:t>
            </w:r>
            <w:r w:rsidRPr="007C300C">
              <w:rPr>
                <w:rFonts w:ascii="Fira Sans" w:hAnsi="Fira Sans"/>
              </w:rPr>
              <w:t>18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4323,</w:t>
            </w:r>
            <w:r w:rsidRPr="00C061CE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4339,</w:t>
            </w:r>
            <w:r w:rsidRPr="00A5316E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4239,</w:t>
            </w:r>
            <w:r w:rsidRPr="00D92AD3"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4425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4305,</w:t>
            </w:r>
            <w:r w:rsidRPr="005574D4">
              <w:rPr>
                <w:rFonts w:ascii="Fira Sans" w:hAnsi="Fira Sans"/>
              </w:rPr>
              <w:t>95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4287,</w:t>
            </w:r>
            <w:r w:rsidRPr="00F07E78">
              <w:rPr>
                <w:rFonts w:ascii="Fira Sans" w:hAnsi="Fira Sans"/>
              </w:rPr>
              <w:t>90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4414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67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4464,60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4560,</w:t>
            </w:r>
            <w:r w:rsidRPr="00771D24">
              <w:rPr>
                <w:rFonts w:ascii="Fira Sans" w:hAnsi="Fira Sans"/>
              </w:rPr>
              <w:t>77</w:t>
            </w:r>
          </w:p>
        </w:tc>
      </w:tr>
      <w:tr w:rsidR="003E1019" w:rsidTr="00ED0910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96566D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C6EF3">
              <w:rPr>
                <w:rFonts w:ascii="Fira Sans" w:hAnsi="Fira Sans"/>
                <w:sz w:val="16"/>
                <w:szCs w:val="16"/>
              </w:rPr>
              <w:t>97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C6EF3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C061C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</w:rPr>
            </w:pPr>
            <w:r w:rsidRPr="00BE3E03">
              <w:rPr>
                <w:rFonts w:ascii="Fira Sans" w:hAnsi="Fira Sans"/>
                <w:sz w:val="16"/>
                <w:szCs w:val="16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A5316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5574D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Pr="00F07E78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771D24">
              <w:rPr>
                <w:rFonts w:ascii="Fira Sans" w:hAnsi="Fira Sans"/>
              </w:rPr>
              <w:t>2</w:t>
            </w:r>
          </w:p>
        </w:tc>
      </w:tr>
      <w:tr w:rsidR="003E101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96566D" w:rsidP="00482C4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108,</w:t>
            </w:r>
            <w:r w:rsidRPr="002C6EF3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501987">
              <w:rPr>
                <w:rFonts w:ascii="Fira Sans" w:hAnsi="Fira Sans"/>
              </w:rPr>
              <w:t>7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61C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C061C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5316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A5316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746591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106,</w:t>
            </w:r>
            <w:r w:rsidRPr="00F07E78">
              <w:rPr>
                <w:rFonts w:ascii="Fira Sans" w:hAnsi="Fira Sans"/>
              </w:rPr>
              <w:t xml:space="preserve">9  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6F6CE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771D24">
              <w:rPr>
                <w:rFonts w:ascii="Fira Sans" w:hAnsi="Fira Sans"/>
              </w:rPr>
              <w:t>1</w:t>
            </w:r>
          </w:p>
        </w:tc>
      </w:tr>
      <w:tr w:rsidR="003E1019" w:rsidTr="00ED0910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482C4A" w:rsidP="0096566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6566D">
              <w:rPr>
                <w:rFonts w:ascii="Fira Sans" w:hAnsi="Fira Sans"/>
              </w:rPr>
              <w:t>8,7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4F1ED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ED0910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ED0910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RPr="00D14F84" w:rsidTr="00ED0910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0B4B"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6E4C13">
              <w:rPr>
                <w:rFonts w:ascii="Fira Sans" w:hAnsi="Fira Sans"/>
                <w:sz w:val="16"/>
                <w:szCs w:val="16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652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34D3"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D14F84" w:rsidRDefault="009267CC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14F84" w:rsidRPr="00D14F84">
              <w:rPr>
                <w:rFonts w:ascii="Fira Sans" w:hAnsi="Fira Sans"/>
              </w:rPr>
              <w:t>3,1</w:t>
            </w:r>
          </w:p>
        </w:tc>
      </w:tr>
      <w:tr w:rsidR="00D14F84" w:rsidTr="00ED0910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D14F84" w:rsidRPr="00FD0BC6" w:rsidRDefault="00D14F84" w:rsidP="00D14F84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D14F84" w:rsidRPr="00FD0BC6" w:rsidRDefault="00D14F84" w:rsidP="00D14F8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DFC9EF"/>
            <w:vAlign w:val="bottom"/>
          </w:tcPr>
          <w:p w:rsidR="00D14F84" w:rsidRPr="00F71B60" w:rsidRDefault="00F71B60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F71B60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6E4C13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0D34D3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Tr="00ED0910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5E29CF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5E29CF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ED0910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:rsidTr="00ED0910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81,8</w:t>
            </w: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</w:tr>
      <w:tr w:rsidR="00095C99" w:rsidTr="00ED0910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153,2</w:t>
            </w:r>
          </w:p>
        </w:tc>
      </w:tr>
      <w:tr w:rsidR="00095C99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ED0910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10,6</w:t>
            </w:r>
          </w:p>
        </w:tc>
      </w:tr>
      <w:tr w:rsidR="00095C99" w:rsidTr="00ED0910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4155E3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9B3E5A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155E3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4155E3" w:rsidP="001548E2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1548E2">
              <w:rPr>
                <w:rFonts w:ascii="Fira Sans" w:hAnsi="Fira Sans"/>
              </w:rPr>
              <w:t>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ED0910">
        <w:tc>
          <w:tcPr>
            <w:tcW w:w="4588" w:type="dxa"/>
            <w:gridSpan w:val="2"/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142,9</w:t>
            </w: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</w:tr>
      <w:tr w:rsidR="00C85945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RPr="00FD0BC6" w:rsidTr="00ED0910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2019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EB0C80" w:rsidP="005E29C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:rsidTr="00ED0910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EB0C80" w:rsidRPr="00FD0BC6" w:rsidTr="00ED0910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EB0C80" w:rsidRPr="00FD0BC6" w:rsidRDefault="00EB0C80" w:rsidP="00EB0C8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1434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1694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2068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2675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AA30F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3054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9951E7" w:rsidRPr="00FD0BC6" w:rsidRDefault="00AA30F0" w:rsidP="009951E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3286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AA30F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3873</w:t>
            </w:r>
          </w:p>
        </w:tc>
      </w:tr>
      <w:tr w:rsidR="00284CE4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EB0C80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9951E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557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AA30F0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EB0C80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EB0C80" w:rsidRPr="00FD0BC6" w:rsidRDefault="00EB0C80" w:rsidP="00EB0C8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117,4</w:t>
            </w:r>
          </w:p>
        </w:tc>
      </w:tr>
      <w:tr w:rsidR="00284CE4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EB0C80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1D4D2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AA30F0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284CE4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67D8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67D8" w:rsidRPr="00FD0BC6" w:rsidRDefault="000967D8" w:rsidP="000967D8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67D8" w:rsidRPr="00FD0BC6" w:rsidRDefault="000967D8" w:rsidP="000967D8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0967D8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67D8" w:rsidRPr="00FD0BC6" w:rsidRDefault="000967D8" w:rsidP="000967D8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67D8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67D8" w:rsidRPr="00FD0BC6" w:rsidRDefault="000967D8" w:rsidP="000967D8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67D8" w:rsidRPr="00FD0BC6" w:rsidRDefault="000967D8" w:rsidP="000967D8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</w:tr>
      <w:tr w:rsidR="000967D8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67D8" w:rsidRPr="00FD0BC6" w:rsidRDefault="000967D8" w:rsidP="000967D8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67D8" w:rsidRPr="00FD0BC6" w:rsidRDefault="000967D8" w:rsidP="000967D8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67D8" w:rsidRPr="00FD0BC6" w:rsidRDefault="000967D8" w:rsidP="000967D8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284CE4" w:rsidRPr="00FD0BC6" w:rsidTr="00ED0910">
        <w:tc>
          <w:tcPr>
            <w:tcW w:w="4588" w:type="dxa"/>
            <w:gridSpan w:val="2"/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445D43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45D43">
              <w:rPr>
                <w:rFonts w:ascii="Fira Sans" w:hAnsi="Fira Sans"/>
              </w:rPr>
              <w:t>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4,6</w:t>
            </w: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0202C0" w:rsidRDefault="000202C0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202C0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67B45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445D43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45D43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3,6</w:t>
            </w:r>
          </w:p>
        </w:tc>
      </w:tr>
      <w:tr w:rsidR="00CA6FE7" w:rsidRPr="00033961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0202C0" w:rsidRDefault="000202C0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202C0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C5C7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7109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971098" w:rsidTr="00ED0910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314804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658732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1038486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F45E9" w:rsidRDefault="00BF45E9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1610683</w:t>
            </w:r>
          </w:p>
        </w:tc>
      </w:tr>
      <w:tr w:rsidR="00CA6FE7" w:rsidRPr="00FD0BC6" w:rsidTr="00ED0910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D179DE" w:rsidRDefault="001548E2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C5C7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2224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BA2224" w:rsidTr="00ED0910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142,8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F45E9" w:rsidRDefault="00BF45E9" w:rsidP="00BF45E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111,9</w:t>
            </w:r>
          </w:p>
        </w:tc>
      </w:tr>
      <w:tr w:rsidR="00CA6FE7" w:rsidRPr="00FD0BC6" w:rsidTr="00ED0910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B67B4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D26B5F" w:rsidRDefault="001548E2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113778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114092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114352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114650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115203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115602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115869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116132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116316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116600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116773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116493</w:t>
            </w: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9B3E5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</w:t>
            </w:r>
            <w:r w:rsidR="00BF086D">
              <w:rPr>
                <w:rFonts w:ascii="Fira Sans" w:hAnsi="Fira Sans"/>
              </w:rPr>
              <w:t>06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F778C5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2D6CE8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6589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6630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6664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6707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6747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6770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6841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6851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6917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6956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6996</w:t>
            </w: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BF086D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F778C5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2D6CE8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</w:tr>
      <w:tr w:rsidR="00CA6FE7" w:rsidRPr="00FD0BC6" w:rsidTr="00ED0910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BF086D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F778C5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2D6CE8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Bez osób prowadzących gospodarstwa indywidualne </w:t>
      </w:r>
      <w:r w:rsidRPr="00FD0BC6">
        <w:rPr>
          <w:rFonts w:ascii="Fira Sans" w:hAnsi="Fira Sans"/>
        </w:rPr>
        <w:br/>
        <w:t>w rolnictwie</w:t>
      </w:r>
      <w:r>
        <w:rPr>
          <w:rFonts w:ascii="Fira Sans" w:hAnsi="Fira Sans"/>
        </w:rPr>
        <w:t xml:space="preserve">. </w:t>
      </w:r>
      <w:r w:rsidRPr="00ED4527">
        <w:rPr>
          <w:rFonts w:ascii="Fira Sans" w:hAnsi="Fira Sans"/>
          <w:i/>
          <w:vertAlign w:val="superscript"/>
        </w:rPr>
        <w:t>f</w:t>
      </w:r>
      <w:r w:rsidRPr="00ED4527">
        <w:t xml:space="preserve"> </w:t>
      </w:r>
      <w:r>
        <w:t>W</w:t>
      </w:r>
      <w:r w:rsidRPr="00ED4527">
        <w:rPr>
          <w:rFonts w:ascii="Fira Sans" w:hAnsi="Fira Sans"/>
        </w:rPr>
        <w:t xml:space="preserve"> lipcu 2018 r. wystąpił spadek liczby podmiotów</w:t>
      </w:r>
      <w:r>
        <w:rPr>
          <w:rFonts w:ascii="Fira Sans" w:hAnsi="Fira Sans"/>
        </w:rPr>
        <w:t>,</w:t>
      </w:r>
      <w:r w:rsidRPr="00ED4527">
        <w:rPr>
          <w:rFonts w:ascii="Fira Sans" w:hAnsi="Fira Sans"/>
        </w:rPr>
        <w:t xml:space="preserve"> na skutek wykreślenia z rejestru REGON podmiotów - które pozostawały wpisane do rejestru w oparciu o wpisy dokonane w rejestrach sądowych na podstawie przepisów obowiązujących do dnia wejścia w życie ustawy o Krajowym Rejestrze Sądowym - których wpisy nie zostały odnalezione w zbiorach KRS.</w:t>
      </w:r>
    </w:p>
    <w:p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  <w:sectPr w:rsidR="00284CE4" w:rsidSect="002C0678"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7A26BE" w:rsidRDefault="007A26BE" w:rsidP="007A26BE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:rsidTr="007A26BE">
        <w:trPr>
          <w:trHeight w:val="1912"/>
        </w:trPr>
        <w:tc>
          <w:tcPr>
            <w:tcW w:w="4379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20"/>
        </w:rPr>
      </w:pPr>
    </w:p>
    <w:p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57"/>
        <w:gridCol w:w="781"/>
        <w:gridCol w:w="4042"/>
      </w:tblGrid>
      <w:tr w:rsidR="007A26BE" w:rsidTr="00675A7F">
        <w:trPr>
          <w:trHeight w:val="610"/>
        </w:trPr>
        <w:tc>
          <w:tcPr>
            <w:tcW w:w="2721" w:type="pct"/>
            <w:vMerge w:val="restart"/>
          </w:tcPr>
          <w:p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29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7A26BE" w:rsidRPr="00001C5B" w:rsidRDefault="000D3D71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A72" w:rsidRDefault="00AD2A72" w:rsidP="007A26BE">
                            <w:pPr>
                              <w:rPr>
                                <w:b/>
                              </w:rPr>
                            </w:pPr>
                          </w:p>
                          <w:p w:rsidR="00AD2A72" w:rsidRPr="00675A7F" w:rsidRDefault="00AD2A7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D2A72" w:rsidRPr="00BD206D" w:rsidRDefault="00D81FD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Sytuacja społeczno-gospodarcza kraju w </w:t>
                              </w:r>
                              <w:r w:rsidR="00AD2A7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pierwszym kwartale </w:t>
                              </w:r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AD2A7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:rsidR="00AD2A72" w:rsidRPr="00BD206D" w:rsidRDefault="00D81FD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:rsidR="00AD2A72" w:rsidRPr="00BD206D" w:rsidRDefault="00D81FD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</w:t>
                              </w:r>
                              <w:r w:rsidR="00AD2A7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tatystyczny województwa świętokrzyskiego</w:t>
                              </w:r>
                            </w:hyperlink>
                          </w:p>
                          <w:p w:rsidR="00AD2A72" w:rsidRPr="00675A7F" w:rsidRDefault="00AD2A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D2A72" w:rsidRPr="00BD206D" w:rsidRDefault="00AD2A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D2A72" w:rsidRPr="00BD206D" w:rsidRDefault="00D81FD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AD2A72" w:rsidRPr="00BD206D" w:rsidRDefault="00D81FD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:rsidR="00AD2A72" w:rsidRPr="00BD206D" w:rsidRDefault="00AD2A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D2A72" w:rsidRDefault="00AD2A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D2A72" w:rsidRPr="00BD206D" w:rsidRDefault="00D81FD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8" w:history="1">
                              <w:r w:rsidR="00AD2A7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 stosowane w statystyce publicznej</w:t>
                              </w:r>
                            </w:hyperlink>
                          </w:p>
                          <w:p w:rsidR="00AD2A72" w:rsidRPr="007A26BE" w:rsidRDefault="00AD2A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9" type="#_x0000_t202" style="position:absolute;margin-left:1.5pt;margin-top:33.5pt;width:516.5pt;height:349.8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xQxJx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D2A72" w:rsidRDefault="00AD2A72" w:rsidP="007A26BE">
                      <w:pPr>
                        <w:rPr>
                          <w:b/>
                        </w:rPr>
                      </w:pPr>
                    </w:p>
                    <w:p w:rsidR="00AD2A72" w:rsidRPr="00675A7F" w:rsidRDefault="00AD2A7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:rsidR="00AD2A72" w:rsidRPr="00BD206D" w:rsidRDefault="00D81FD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Sytuacja społeczno-gospodarcza kraju w </w:t>
                        </w:r>
                        <w:r w:rsidR="00AD2A7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pierwszym kwartale </w:t>
                        </w:r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AD2A7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AD2A72" w:rsidRPr="00BD206D" w:rsidRDefault="00D81FD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:rsidR="00AD2A72" w:rsidRPr="00BD206D" w:rsidRDefault="00D81FD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</w:t>
                        </w:r>
                        <w:r w:rsidR="00AD2A7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tatystyczny województwa świętokrzyskiego</w:t>
                        </w:r>
                      </w:hyperlink>
                    </w:p>
                    <w:p w:rsidR="00AD2A72" w:rsidRPr="00675A7F" w:rsidRDefault="00AD2A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D2A72" w:rsidRPr="00BD206D" w:rsidRDefault="00AD2A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D2A72" w:rsidRPr="00BD206D" w:rsidRDefault="00D81FD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AD2A72" w:rsidRPr="00BD206D" w:rsidRDefault="00D81FD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:rsidR="00AD2A72" w:rsidRPr="00BD206D" w:rsidRDefault="00AD2A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D2A72" w:rsidRDefault="00AD2A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D2A72" w:rsidRPr="00BD206D" w:rsidRDefault="00D81FD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4" w:history="1">
                        <w:r w:rsidR="00AD2A7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 stosowane w statystyce publicznej</w:t>
                        </w:r>
                      </w:hyperlink>
                    </w:p>
                    <w:p w:rsidR="00AD2A72" w:rsidRPr="007A26BE" w:rsidRDefault="00AD2A72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1DA8" w:rsidRDefault="00591DA8" w:rsidP="00591DA8"/>
    <w:p w:rsidR="007A26BE" w:rsidRDefault="007A26BE" w:rsidP="00591DA8"/>
    <w:p w:rsidR="007A26BE" w:rsidRDefault="007A26BE" w:rsidP="00591DA8"/>
    <w:sectPr w:rsidR="007A26BE" w:rsidSect="002C0678">
      <w:headerReference w:type="default" r:id="rId45"/>
      <w:footerReference w:type="default" r:id="rId4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A72" w:rsidRDefault="00AD2A72" w:rsidP="000662E2">
      <w:pPr>
        <w:spacing w:after="0" w:line="240" w:lineRule="auto"/>
      </w:pPr>
      <w:r>
        <w:separator/>
      </w:r>
    </w:p>
  </w:endnote>
  <w:endnote w:type="continuationSeparator" w:id="0">
    <w:p w:rsidR="00AD2A72" w:rsidRDefault="00AD2A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96B1DFD-AD75-488C-83C8-443B7705C7E5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AC13406-DF63-4231-A6E8-2C63F331AA1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E2B8C48-AD8F-4DD9-B087-7931601A243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4" w:fontKey="{16405054-4F6E-4734-AC16-8AEF038DC2B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5D570B6-5B45-44CE-BDA5-2DDAED7951D6}"/>
    <w:embedBold r:id="rId6" w:fontKey="{8BD76CE1-8516-42F7-8112-61A6F1213793}"/>
    <w:embedItalic r:id="rId7" w:fontKey="{A8754E8E-8CC9-4CCF-844D-99C0D2718870}"/>
    <w:embedBoldItalic r:id="rId8" w:fontKey="{F3D8D3BD-2454-4A75-BCB7-B376AFD7C31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27429FFB-A237-4613-A595-F100E5FA8CD3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:rsidR="00AD2A72" w:rsidRDefault="00AD2A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2A72" w:rsidRDefault="00AD2A7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:rsidR="00AD2A72" w:rsidRDefault="00AD2A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81F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2A72" w:rsidRDefault="00AD2A7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:rsidR="00AD2A72" w:rsidRDefault="00AD2A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81FD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D2A72" w:rsidRDefault="00AD2A7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:rsidR="00AD2A72" w:rsidRDefault="00AD2A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81FD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AD2A72" w:rsidRDefault="00AD2A7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A72" w:rsidRDefault="00AD2A72" w:rsidP="000662E2">
      <w:pPr>
        <w:spacing w:after="0" w:line="240" w:lineRule="auto"/>
      </w:pPr>
      <w:r>
        <w:separator/>
      </w:r>
    </w:p>
  </w:footnote>
  <w:footnote w:type="continuationSeparator" w:id="0">
    <w:p w:rsidR="00AD2A72" w:rsidRDefault="00AD2A72" w:rsidP="000662E2">
      <w:pPr>
        <w:spacing w:after="0" w:line="240" w:lineRule="auto"/>
      </w:pPr>
      <w:r>
        <w:continuationSeparator/>
      </w:r>
    </w:p>
  </w:footnote>
  <w:footnote w:id="1">
    <w:p w:rsidR="00AD2A72" w:rsidRPr="00EC4C66" w:rsidRDefault="00AD2A72" w:rsidP="00095C99">
      <w:pPr>
        <w:pStyle w:val="Tekstprzypisudolnego"/>
        <w:ind w:left="113" w:hanging="113"/>
        <w:jc w:val="both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:rsidR="00AD2A72" w:rsidRDefault="00AD2A72" w:rsidP="00FE6E14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A72" w:rsidRPr="00CB5DE0" w:rsidRDefault="00AD2A7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:rsidR="00AD2A72" w:rsidRDefault="00AD2A7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1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D2A72" w:rsidRPr="00E2438C" w:rsidRDefault="00AD2A7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0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D2A72" w:rsidRPr="00E2438C" w:rsidRDefault="00AD2A7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AD2A72" w:rsidRDefault="00AD2A72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:rsidR="00AD2A72" w:rsidRPr="006B2A42" w:rsidRDefault="00AD2A72">
    <w:pPr>
      <w:pStyle w:val="Nagwek"/>
      <w:rPr>
        <w:noProof/>
        <w:sz w:val="12"/>
        <w:lang w:eastAsia="pl-PL"/>
      </w:rPr>
    </w:pPr>
  </w:p>
  <w:p w:rsidR="00AD2A72" w:rsidRDefault="00AD2A7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7" distR="114297" simplePos="0" relativeHeight="251658240" behindDoc="0" locked="0" layoutInCell="1" allowOverlap="1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5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A44757" id="Łącznik prosty 4" o:spid="_x0000_s1026" style="position:absolute;z-index:251658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tXl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PfrV5e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2A72" w:rsidRPr="00FE252C" w:rsidRDefault="00AD2A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AD2A72" w:rsidRPr="00FE252C" w:rsidRDefault="00AD2A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:rsidR="00AD2A72" w:rsidRPr="003439F1" w:rsidRDefault="00AD2A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GtuTaBAC&#10;AAD+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:rsidR="00AD2A72" w:rsidRPr="00FE252C" w:rsidRDefault="00AD2A7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AD2A72" w:rsidRPr="00FE252C" w:rsidRDefault="00AD2A7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:rsidR="00AD2A72" w:rsidRPr="003439F1" w:rsidRDefault="00AD2A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A72" w:rsidRDefault="00AD2A7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A72" w:rsidRDefault="00AD2A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4" type="#_x0000_t75" style="width:123.75pt;height:125.25pt;visibility:visible" o:bullet="t">
        <v:imagedata r:id="rId1" o:title=""/>
      </v:shape>
    </w:pict>
  </w:numPicBullet>
  <w:numPicBullet w:numPicBulletId="1">
    <w:pict>
      <v:shape id="_x0000_i1225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3"/>
  </w:num>
  <w:num w:numId="5">
    <w:abstractNumId w:val="10"/>
  </w:num>
  <w:num w:numId="6">
    <w:abstractNumId w:val="14"/>
  </w:num>
  <w:num w:numId="7">
    <w:abstractNumId w:val="21"/>
  </w:num>
  <w:num w:numId="8">
    <w:abstractNumId w:val="22"/>
  </w:num>
  <w:num w:numId="9">
    <w:abstractNumId w:val="15"/>
  </w:num>
  <w:num w:numId="10">
    <w:abstractNumId w:val="4"/>
  </w:num>
  <w:num w:numId="11">
    <w:abstractNumId w:val="20"/>
  </w:num>
  <w:num w:numId="12">
    <w:abstractNumId w:val="9"/>
  </w:num>
  <w:num w:numId="13">
    <w:abstractNumId w:val="17"/>
  </w:num>
  <w:num w:numId="14">
    <w:abstractNumId w:val="3"/>
  </w:num>
  <w:num w:numId="15">
    <w:abstractNumId w:val="5"/>
  </w:num>
  <w:num w:numId="16">
    <w:abstractNumId w:val="6"/>
  </w:num>
  <w:num w:numId="17">
    <w:abstractNumId w:val="7"/>
  </w:num>
  <w:num w:numId="18">
    <w:abstractNumId w:val="11"/>
  </w:num>
  <w:num w:numId="19">
    <w:abstractNumId w:val="13"/>
  </w:num>
  <w:num w:numId="20">
    <w:abstractNumId w:val="16"/>
  </w:num>
  <w:num w:numId="21">
    <w:abstractNumId w:val="12"/>
  </w:num>
  <w:num w:numId="22">
    <w:abstractNumId w:val="18"/>
  </w:num>
  <w:num w:numId="23">
    <w:abstractNumId w:val="24"/>
  </w:num>
  <w:num w:numId="24">
    <w:abstractNumId w:val="0"/>
  </w:num>
  <w:num w:numId="25">
    <w:abstractNumId w:val="14"/>
  </w:num>
  <w:num w:numId="26">
    <w:abstractNumId w:val="14"/>
  </w:num>
  <w:num w:numId="27">
    <w:abstractNumId w:val="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0AD6"/>
    <w:rsid w:val="00001C5B"/>
    <w:rsid w:val="00002E83"/>
    <w:rsid w:val="00003437"/>
    <w:rsid w:val="00003920"/>
    <w:rsid w:val="0000398C"/>
    <w:rsid w:val="00005527"/>
    <w:rsid w:val="0000643E"/>
    <w:rsid w:val="00006B39"/>
    <w:rsid w:val="0000709F"/>
    <w:rsid w:val="00010393"/>
    <w:rsid w:val="000108B8"/>
    <w:rsid w:val="00012660"/>
    <w:rsid w:val="0001269C"/>
    <w:rsid w:val="000130AB"/>
    <w:rsid w:val="00013526"/>
    <w:rsid w:val="000142A0"/>
    <w:rsid w:val="000152F5"/>
    <w:rsid w:val="000154B4"/>
    <w:rsid w:val="000155E2"/>
    <w:rsid w:val="000162C2"/>
    <w:rsid w:val="000202C0"/>
    <w:rsid w:val="000248F0"/>
    <w:rsid w:val="00024A2D"/>
    <w:rsid w:val="00024B09"/>
    <w:rsid w:val="000250D0"/>
    <w:rsid w:val="00033961"/>
    <w:rsid w:val="000361F3"/>
    <w:rsid w:val="00041A33"/>
    <w:rsid w:val="00043CB4"/>
    <w:rsid w:val="00044832"/>
    <w:rsid w:val="0004582E"/>
    <w:rsid w:val="00045A8D"/>
    <w:rsid w:val="00046258"/>
    <w:rsid w:val="000470AA"/>
    <w:rsid w:val="00047E5D"/>
    <w:rsid w:val="00050AE4"/>
    <w:rsid w:val="00052226"/>
    <w:rsid w:val="00053B21"/>
    <w:rsid w:val="00054993"/>
    <w:rsid w:val="0005543A"/>
    <w:rsid w:val="00055C06"/>
    <w:rsid w:val="000564C3"/>
    <w:rsid w:val="000564EC"/>
    <w:rsid w:val="000579D5"/>
    <w:rsid w:val="00057CA1"/>
    <w:rsid w:val="00063EEB"/>
    <w:rsid w:val="0006555D"/>
    <w:rsid w:val="000658AF"/>
    <w:rsid w:val="00065D27"/>
    <w:rsid w:val="000662E2"/>
    <w:rsid w:val="00066774"/>
    <w:rsid w:val="00066883"/>
    <w:rsid w:val="00066B9D"/>
    <w:rsid w:val="00067E65"/>
    <w:rsid w:val="000713BB"/>
    <w:rsid w:val="00071F9D"/>
    <w:rsid w:val="00074DD8"/>
    <w:rsid w:val="00075EE2"/>
    <w:rsid w:val="00077823"/>
    <w:rsid w:val="000806F7"/>
    <w:rsid w:val="0008108E"/>
    <w:rsid w:val="0008143E"/>
    <w:rsid w:val="00084CE0"/>
    <w:rsid w:val="00084DBB"/>
    <w:rsid w:val="0008554B"/>
    <w:rsid w:val="0008739A"/>
    <w:rsid w:val="00090045"/>
    <w:rsid w:val="00090E0C"/>
    <w:rsid w:val="000944F2"/>
    <w:rsid w:val="00095A00"/>
    <w:rsid w:val="00095C99"/>
    <w:rsid w:val="000960E9"/>
    <w:rsid w:val="000967D8"/>
    <w:rsid w:val="00097840"/>
    <w:rsid w:val="000A0F5B"/>
    <w:rsid w:val="000A0F6E"/>
    <w:rsid w:val="000A2B53"/>
    <w:rsid w:val="000A4F56"/>
    <w:rsid w:val="000A56BF"/>
    <w:rsid w:val="000A5E23"/>
    <w:rsid w:val="000A635B"/>
    <w:rsid w:val="000A6973"/>
    <w:rsid w:val="000A6A9C"/>
    <w:rsid w:val="000A6E1A"/>
    <w:rsid w:val="000A7FCB"/>
    <w:rsid w:val="000B0727"/>
    <w:rsid w:val="000B08B2"/>
    <w:rsid w:val="000B09EC"/>
    <w:rsid w:val="000B500A"/>
    <w:rsid w:val="000B7303"/>
    <w:rsid w:val="000C0190"/>
    <w:rsid w:val="000C023C"/>
    <w:rsid w:val="000C0332"/>
    <w:rsid w:val="000C135D"/>
    <w:rsid w:val="000C167B"/>
    <w:rsid w:val="000C3FAA"/>
    <w:rsid w:val="000C594A"/>
    <w:rsid w:val="000C6A90"/>
    <w:rsid w:val="000C6FB3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D71"/>
    <w:rsid w:val="000D6905"/>
    <w:rsid w:val="000E0918"/>
    <w:rsid w:val="000E1555"/>
    <w:rsid w:val="000E18C3"/>
    <w:rsid w:val="000E2D7B"/>
    <w:rsid w:val="000E3127"/>
    <w:rsid w:val="000E37F0"/>
    <w:rsid w:val="000E3BFF"/>
    <w:rsid w:val="000E4A92"/>
    <w:rsid w:val="000E6015"/>
    <w:rsid w:val="000E636E"/>
    <w:rsid w:val="000E7E55"/>
    <w:rsid w:val="000F0BA1"/>
    <w:rsid w:val="000F1CD1"/>
    <w:rsid w:val="000F228A"/>
    <w:rsid w:val="000F2F8F"/>
    <w:rsid w:val="00100317"/>
    <w:rsid w:val="00100497"/>
    <w:rsid w:val="00100538"/>
    <w:rsid w:val="00100C3D"/>
    <w:rsid w:val="0010108C"/>
    <w:rsid w:val="001011C3"/>
    <w:rsid w:val="001018D7"/>
    <w:rsid w:val="00102111"/>
    <w:rsid w:val="001027F2"/>
    <w:rsid w:val="00102E25"/>
    <w:rsid w:val="00103117"/>
    <w:rsid w:val="00103B3A"/>
    <w:rsid w:val="00104481"/>
    <w:rsid w:val="001046B1"/>
    <w:rsid w:val="0010480E"/>
    <w:rsid w:val="001053E4"/>
    <w:rsid w:val="001055AD"/>
    <w:rsid w:val="001057FF"/>
    <w:rsid w:val="001103DB"/>
    <w:rsid w:val="00110490"/>
    <w:rsid w:val="001108DD"/>
    <w:rsid w:val="00110D87"/>
    <w:rsid w:val="001110A5"/>
    <w:rsid w:val="001114BA"/>
    <w:rsid w:val="00111B77"/>
    <w:rsid w:val="00111C9B"/>
    <w:rsid w:val="00111FEA"/>
    <w:rsid w:val="00112C19"/>
    <w:rsid w:val="001141E9"/>
    <w:rsid w:val="00114DB9"/>
    <w:rsid w:val="0011504A"/>
    <w:rsid w:val="00116087"/>
    <w:rsid w:val="00117B4F"/>
    <w:rsid w:val="001203E3"/>
    <w:rsid w:val="0012230B"/>
    <w:rsid w:val="00122AAC"/>
    <w:rsid w:val="00124D97"/>
    <w:rsid w:val="00130296"/>
    <w:rsid w:val="001328CA"/>
    <w:rsid w:val="00133E41"/>
    <w:rsid w:val="00134A13"/>
    <w:rsid w:val="001357FC"/>
    <w:rsid w:val="00136CAE"/>
    <w:rsid w:val="00137FF8"/>
    <w:rsid w:val="001423B6"/>
    <w:rsid w:val="001448A7"/>
    <w:rsid w:val="00146621"/>
    <w:rsid w:val="001506AA"/>
    <w:rsid w:val="00150EFB"/>
    <w:rsid w:val="00152F9D"/>
    <w:rsid w:val="0015379F"/>
    <w:rsid w:val="001548E2"/>
    <w:rsid w:val="001553C1"/>
    <w:rsid w:val="00156974"/>
    <w:rsid w:val="00157D83"/>
    <w:rsid w:val="001605EE"/>
    <w:rsid w:val="00161230"/>
    <w:rsid w:val="00162325"/>
    <w:rsid w:val="0016455A"/>
    <w:rsid w:val="0016468B"/>
    <w:rsid w:val="00167815"/>
    <w:rsid w:val="00170419"/>
    <w:rsid w:val="001710C2"/>
    <w:rsid w:val="001718F8"/>
    <w:rsid w:val="001724BC"/>
    <w:rsid w:val="00173505"/>
    <w:rsid w:val="001743DC"/>
    <w:rsid w:val="00174D74"/>
    <w:rsid w:val="00176A02"/>
    <w:rsid w:val="00176DE8"/>
    <w:rsid w:val="00177EDD"/>
    <w:rsid w:val="00180E73"/>
    <w:rsid w:val="00180E8C"/>
    <w:rsid w:val="00181902"/>
    <w:rsid w:val="00182FD9"/>
    <w:rsid w:val="00183860"/>
    <w:rsid w:val="001842BB"/>
    <w:rsid w:val="001842F7"/>
    <w:rsid w:val="00184307"/>
    <w:rsid w:val="001864EC"/>
    <w:rsid w:val="00186DC7"/>
    <w:rsid w:val="00192FCC"/>
    <w:rsid w:val="001951DA"/>
    <w:rsid w:val="001A3952"/>
    <w:rsid w:val="001A5CE4"/>
    <w:rsid w:val="001A79F7"/>
    <w:rsid w:val="001A7E65"/>
    <w:rsid w:val="001B0959"/>
    <w:rsid w:val="001B2648"/>
    <w:rsid w:val="001B288A"/>
    <w:rsid w:val="001B2BFF"/>
    <w:rsid w:val="001B3453"/>
    <w:rsid w:val="001B6013"/>
    <w:rsid w:val="001B6926"/>
    <w:rsid w:val="001C0739"/>
    <w:rsid w:val="001C1B66"/>
    <w:rsid w:val="001C1F96"/>
    <w:rsid w:val="001C3269"/>
    <w:rsid w:val="001C38C6"/>
    <w:rsid w:val="001C3C4B"/>
    <w:rsid w:val="001D1B47"/>
    <w:rsid w:val="001D1DB4"/>
    <w:rsid w:val="001D2378"/>
    <w:rsid w:val="001D3C4A"/>
    <w:rsid w:val="001D3CB9"/>
    <w:rsid w:val="001D4D27"/>
    <w:rsid w:val="001D5BB3"/>
    <w:rsid w:val="001D5D89"/>
    <w:rsid w:val="001D6DA7"/>
    <w:rsid w:val="001D7C1C"/>
    <w:rsid w:val="001E0473"/>
    <w:rsid w:val="001E294B"/>
    <w:rsid w:val="001E338E"/>
    <w:rsid w:val="001E524F"/>
    <w:rsid w:val="001E70D0"/>
    <w:rsid w:val="001F18E2"/>
    <w:rsid w:val="001F2C24"/>
    <w:rsid w:val="001F2FC9"/>
    <w:rsid w:val="001F4561"/>
    <w:rsid w:val="001F590B"/>
    <w:rsid w:val="00201080"/>
    <w:rsid w:val="0020317E"/>
    <w:rsid w:val="00203944"/>
    <w:rsid w:val="0020592F"/>
    <w:rsid w:val="00205EDC"/>
    <w:rsid w:val="0020703A"/>
    <w:rsid w:val="00210C29"/>
    <w:rsid w:val="00211558"/>
    <w:rsid w:val="0021387F"/>
    <w:rsid w:val="00221526"/>
    <w:rsid w:val="00223BCD"/>
    <w:rsid w:val="0022461C"/>
    <w:rsid w:val="00227A67"/>
    <w:rsid w:val="0023070C"/>
    <w:rsid w:val="00230990"/>
    <w:rsid w:val="002320FA"/>
    <w:rsid w:val="00233557"/>
    <w:rsid w:val="00233EFC"/>
    <w:rsid w:val="0023463C"/>
    <w:rsid w:val="00236572"/>
    <w:rsid w:val="0024513B"/>
    <w:rsid w:val="00246CE5"/>
    <w:rsid w:val="00246FFA"/>
    <w:rsid w:val="00252006"/>
    <w:rsid w:val="00252189"/>
    <w:rsid w:val="00253691"/>
    <w:rsid w:val="00254EC6"/>
    <w:rsid w:val="002574F9"/>
    <w:rsid w:val="00260806"/>
    <w:rsid w:val="00261604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7AA1"/>
    <w:rsid w:val="002707E4"/>
    <w:rsid w:val="0027165A"/>
    <w:rsid w:val="002721D0"/>
    <w:rsid w:val="0027419C"/>
    <w:rsid w:val="0027474B"/>
    <w:rsid w:val="002747E1"/>
    <w:rsid w:val="002752C1"/>
    <w:rsid w:val="00276811"/>
    <w:rsid w:val="00277AFC"/>
    <w:rsid w:val="00282686"/>
    <w:rsid w:val="00282699"/>
    <w:rsid w:val="00283418"/>
    <w:rsid w:val="00284A78"/>
    <w:rsid w:val="00284BC6"/>
    <w:rsid w:val="00284CE4"/>
    <w:rsid w:val="00285591"/>
    <w:rsid w:val="00285B2A"/>
    <w:rsid w:val="0028695E"/>
    <w:rsid w:val="002926DF"/>
    <w:rsid w:val="00295BDF"/>
    <w:rsid w:val="002965B1"/>
    <w:rsid w:val="00296697"/>
    <w:rsid w:val="002967B4"/>
    <w:rsid w:val="002A13C0"/>
    <w:rsid w:val="002A2F32"/>
    <w:rsid w:val="002A644A"/>
    <w:rsid w:val="002A6CF4"/>
    <w:rsid w:val="002A7548"/>
    <w:rsid w:val="002B0472"/>
    <w:rsid w:val="002B127E"/>
    <w:rsid w:val="002B20E7"/>
    <w:rsid w:val="002B3410"/>
    <w:rsid w:val="002B4114"/>
    <w:rsid w:val="002B57C0"/>
    <w:rsid w:val="002B5B20"/>
    <w:rsid w:val="002B6892"/>
    <w:rsid w:val="002B6B12"/>
    <w:rsid w:val="002B746C"/>
    <w:rsid w:val="002C0678"/>
    <w:rsid w:val="002C1A99"/>
    <w:rsid w:val="002C20E2"/>
    <w:rsid w:val="002C2824"/>
    <w:rsid w:val="002C30A9"/>
    <w:rsid w:val="002C33DA"/>
    <w:rsid w:val="002C37B3"/>
    <w:rsid w:val="002C3C62"/>
    <w:rsid w:val="002C3CF0"/>
    <w:rsid w:val="002C5365"/>
    <w:rsid w:val="002C5730"/>
    <w:rsid w:val="002C5902"/>
    <w:rsid w:val="002C59A9"/>
    <w:rsid w:val="002C5E1C"/>
    <w:rsid w:val="002D114A"/>
    <w:rsid w:val="002D5AD7"/>
    <w:rsid w:val="002D639B"/>
    <w:rsid w:val="002D6CE8"/>
    <w:rsid w:val="002D7C27"/>
    <w:rsid w:val="002E29DF"/>
    <w:rsid w:val="002E35AC"/>
    <w:rsid w:val="002E3692"/>
    <w:rsid w:val="002E3A38"/>
    <w:rsid w:val="002E6140"/>
    <w:rsid w:val="002E62BB"/>
    <w:rsid w:val="002E6985"/>
    <w:rsid w:val="002E71B6"/>
    <w:rsid w:val="002F0E45"/>
    <w:rsid w:val="002F12AD"/>
    <w:rsid w:val="002F5212"/>
    <w:rsid w:val="002F5E41"/>
    <w:rsid w:val="002F77C8"/>
    <w:rsid w:val="0030049B"/>
    <w:rsid w:val="00301D2F"/>
    <w:rsid w:val="00301ECA"/>
    <w:rsid w:val="00303C8D"/>
    <w:rsid w:val="00304AD1"/>
    <w:rsid w:val="00304F22"/>
    <w:rsid w:val="0030551B"/>
    <w:rsid w:val="00306C7C"/>
    <w:rsid w:val="00306D7A"/>
    <w:rsid w:val="0031028B"/>
    <w:rsid w:val="00313213"/>
    <w:rsid w:val="0031603D"/>
    <w:rsid w:val="00317D96"/>
    <w:rsid w:val="00320592"/>
    <w:rsid w:val="00320CF8"/>
    <w:rsid w:val="00321AE9"/>
    <w:rsid w:val="00322164"/>
    <w:rsid w:val="00322EDD"/>
    <w:rsid w:val="003236B3"/>
    <w:rsid w:val="003240FA"/>
    <w:rsid w:val="00324179"/>
    <w:rsid w:val="003243F6"/>
    <w:rsid w:val="00331AA6"/>
    <w:rsid w:val="00332320"/>
    <w:rsid w:val="00332496"/>
    <w:rsid w:val="00332C63"/>
    <w:rsid w:val="00334ECF"/>
    <w:rsid w:val="00335363"/>
    <w:rsid w:val="00335B68"/>
    <w:rsid w:val="0033627D"/>
    <w:rsid w:val="00336BF0"/>
    <w:rsid w:val="00337985"/>
    <w:rsid w:val="00340B4B"/>
    <w:rsid w:val="00340DFF"/>
    <w:rsid w:val="00342D55"/>
    <w:rsid w:val="003439F1"/>
    <w:rsid w:val="00343B33"/>
    <w:rsid w:val="00343D4C"/>
    <w:rsid w:val="00344E71"/>
    <w:rsid w:val="00344F38"/>
    <w:rsid w:val="00345218"/>
    <w:rsid w:val="00345829"/>
    <w:rsid w:val="0034608A"/>
    <w:rsid w:val="0034794F"/>
    <w:rsid w:val="00347D72"/>
    <w:rsid w:val="0035002E"/>
    <w:rsid w:val="00350881"/>
    <w:rsid w:val="00351986"/>
    <w:rsid w:val="00352659"/>
    <w:rsid w:val="0035365E"/>
    <w:rsid w:val="0035558F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A16"/>
    <w:rsid w:val="00364E0D"/>
    <w:rsid w:val="00365AFC"/>
    <w:rsid w:val="00367237"/>
    <w:rsid w:val="00367DE0"/>
    <w:rsid w:val="00370407"/>
    <w:rsid w:val="0037077F"/>
    <w:rsid w:val="00370AED"/>
    <w:rsid w:val="00371CEB"/>
    <w:rsid w:val="003722BF"/>
    <w:rsid w:val="00372411"/>
    <w:rsid w:val="00373882"/>
    <w:rsid w:val="00373C5D"/>
    <w:rsid w:val="00374377"/>
    <w:rsid w:val="00374B78"/>
    <w:rsid w:val="00375215"/>
    <w:rsid w:val="0037531C"/>
    <w:rsid w:val="00375489"/>
    <w:rsid w:val="00376094"/>
    <w:rsid w:val="0038101A"/>
    <w:rsid w:val="00381106"/>
    <w:rsid w:val="00384103"/>
    <w:rsid w:val="003843DB"/>
    <w:rsid w:val="00386483"/>
    <w:rsid w:val="00386E18"/>
    <w:rsid w:val="00387D9B"/>
    <w:rsid w:val="00391632"/>
    <w:rsid w:val="00393761"/>
    <w:rsid w:val="003940D2"/>
    <w:rsid w:val="00394EB3"/>
    <w:rsid w:val="00397D18"/>
    <w:rsid w:val="003A0240"/>
    <w:rsid w:val="003A08F7"/>
    <w:rsid w:val="003A152A"/>
    <w:rsid w:val="003A1B36"/>
    <w:rsid w:val="003A1D45"/>
    <w:rsid w:val="003A41F4"/>
    <w:rsid w:val="003A50F5"/>
    <w:rsid w:val="003A6340"/>
    <w:rsid w:val="003B0EB7"/>
    <w:rsid w:val="003B1454"/>
    <w:rsid w:val="003B18B6"/>
    <w:rsid w:val="003B1E23"/>
    <w:rsid w:val="003B3FCC"/>
    <w:rsid w:val="003B40DF"/>
    <w:rsid w:val="003B45A4"/>
    <w:rsid w:val="003B68AE"/>
    <w:rsid w:val="003B7012"/>
    <w:rsid w:val="003C2825"/>
    <w:rsid w:val="003C40E6"/>
    <w:rsid w:val="003C40FF"/>
    <w:rsid w:val="003C59E0"/>
    <w:rsid w:val="003C6C8D"/>
    <w:rsid w:val="003D3049"/>
    <w:rsid w:val="003D33EE"/>
    <w:rsid w:val="003D4F95"/>
    <w:rsid w:val="003D5F42"/>
    <w:rsid w:val="003D60A9"/>
    <w:rsid w:val="003D7EDA"/>
    <w:rsid w:val="003E03EA"/>
    <w:rsid w:val="003E1019"/>
    <w:rsid w:val="003E158C"/>
    <w:rsid w:val="003E3139"/>
    <w:rsid w:val="003E360C"/>
    <w:rsid w:val="003E4751"/>
    <w:rsid w:val="003E5264"/>
    <w:rsid w:val="003E5D72"/>
    <w:rsid w:val="003E61CE"/>
    <w:rsid w:val="003F1539"/>
    <w:rsid w:val="003F435D"/>
    <w:rsid w:val="003F44E2"/>
    <w:rsid w:val="003F46A8"/>
    <w:rsid w:val="003F4C97"/>
    <w:rsid w:val="003F517F"/>
    <w:rsid w:val="003F721D"/>
    <w:rsid w:val="003F78DC"/>
    <w:rsid w:val="003F7BBD"/>
    <w:rsid w:val="003F7FE6"/>
    <w:rsid w:val="00400193"/>
    <w:rsid w:val="00400B68"/>
    <w:rsid w:val="004015A4"/>
    <w:rsid w:val="00402102"/>
    <w:rsid w:val="0040335A"/>
    <w:rsid w:val="0040535A"/>
    <w:rsid w:val="00405C7D"/>
    <w:rsid w:val="004062C2"/>
    <w:rsid w:val="00411826"/>
    <w:rsid w:val="004155E3"/>
    <w:rsid w:val="0041574D"/>
    <w:rsid w:val="00415996"/>
    <w:rsid w:val="004212E7"/>
    <w:rsid w:val="004214EA"/>
    <w:rsid w:val="00423504"/>
    <w:rsid w:val="00424227"/>
    <w:rsid w:val="0042446D"/>
    <w:rsid w:val="00425F66"/>
    <w:rsid w:val="00426A0A"/>
    <w:rsid w:val="004277E9"/>
    <w:rsid w:val="0042786B"/>
    <w:rsid w:val="00427BF8"/>
    <w:rsid w:val="00431C02"/>
    <w:rsid w:val="00431FC2"/>
    <w:rsid w:val="00432E82"/>
    <w:rsid w:val="00433AE8"/>
    <w:rsid w:val="00433CEB"/>
    <w:rsid w:val="004356BD"/>
    <w:rsid w:val="00435F83"/>
    <w:rsid w:val="004371EA"/>
    <w:rsid w:val="00437395"/>
    <w:rsid w:val="0043788D"/>
    <w:rsid w:val="00437A1D"/>
    <w:rsid w:val="0044056D"/>
    <w:rsid w:val="004409B8"/>
    <w:rsid w:val="00441708"/>
    <w:rsid w:val="00441A23"/>
    <w:rsid w:val="00442BA9"/>
    <w:rsid w:val="00443BBC"/>
    <w:rsid w:val="00443F7E"/>
    <w:rsid w:val="00444C92"/>
    <w:rsid w:val="00445047"/>
    <w:rsid w:val="00445BCF"/>
    <w:rsid w:val="00445D43"/>
    <w:rsid w:val="00446EF7"/>
    <w:rsid w:val="00450034"/>
    <w:rsid w:val="004535B7"/>
    <w:rsid w:val="0045364D"/>
    <w:rsid w:val="00453C51"/>
    <w:rsid w:val="00454F01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7D7F"/>
    <w:rsid w:val="004703CB"/>
    <w:rsid w:val="00470D3A"/>
    <w:rsid w:val="00471D9E"/>
    <w:rsid w:val="00472603"/>
    <w:rsid w:val="004733F6"/>
    <w:rsid w:val="00474E69"/>
    <w:rsid w:val="00477257"/>
    <w:rsid w:val="00482C4A"/>
    <w:rsid w:val="00482FA4"/>
    <w:rsid w:val="00485070"/>
    <w:rsid w:val="004859E7"/>
    <w:rsid w:val="00486CCA"/>
    <w:rsid w:val="00490D95"/>
    <w:rsid w:val="004930C3"/>
    <w:rsid w:val="00494E70"/>
    <w:rsid w:val="00496078"/>
    <w:rsid w:val="0049621B"/>
    <w:rsid w:val="004968EF"/>
    <w:rsid w:val="004A6923"/>
    <w:rsid w:val="004B22EF"/>
    <w:rsid w:val="004B2969"/>
    <w:rsid w:val="004B6A22"/>
    <w:rsid w:val="004C13F7"/>
    <w:rsid w:val="004C1748"/>
    <w:rsid w:val="004C1895"/>
    <w:rsid w:val="004C195B"/>
    <w:rsid w:val="004C2C80"/>
    <w:rsid w:val="004C46B4"/>
    <w:rsid w:val="004C4B9E"/>
    <w:rsid w:val="004C507D"/>
    <w:rsid w:val="004C5F32"/>
    <w:rsid w:val="004C6D40"/>
    <w:rsid w:val="004D0B4B"/>
    <w:rsid w:val="004D426A"/>
    <w:rsid w:val="004D7B0F"/>
    <w:rsid w:val="004E182F"/>
    <w:rsid w:val="004E34AF"/>
    <w:rsid w:val="004E66E8"/>
    <w:rsid w:val="004E68BF"/>
    <w:rsid w:val="004F0C3C"/>
    <w:rsid w:val="004F1ED7"/>
    <w:rsid w:val="004F6243"/>
    <w:rsid w:val="004F63FC"/>
    <w:rsid w:val="004F76B0"/>
    <w:rsid w:val="004F7A21"/>
    <w:rsid w:val="004F7EEC"/>
    <w:rsid w:val="00500164"/>
    <w:rsid w:val="005037BB"/>
    <w:rsid w:val="00505203"/>
    <w:rsid w:val="005053BC"/>
    <w:rsid w:val="00505A92"/>
    <w:rsid w:val="00510629"/>
    <w:rsid w:val="00511EDE"/>
    <w:rsid w:val="00512006"/>
    <w:rsid w:val="00514FE9"/>
    <w:rsid w:val="00515660"/>
    <w:rsid w:val="00515FC3"/>
    <w:rsid w:val="00516589"/>
    <w:rsid w:val="00516A75"/>
    <w:rsid w:val="005203F1"/>
    <w:rsid w:val="00521BC3"/>
    <w:rsid w:val="005226C0"/>
    <w:rsid w:val="0052338A"/>
    <w:rsid w:val="00526DB6"/>
    <w:rsid w:val="005324D3"/>
    <w:rsid w:val="0053255B"/>
    <w:rsid w:val="00532D02"/>
    <w:rsid w:val="005335B1"/>
    <w:rsid w:val="00533632"/>
    <w:rsid w:val="005344CA"/>
    <w:rsid w:val="00535576"/>
    <w:rsid w:val="005366C2"/>
    <w:rsid w:val="00537DFC"/>
    <w:rsid w:val="00537E67"/>
    <w:rsid w:val="005401F7"/>
    <w:rsid w:val="00541E6E"/>
    <w:rsid w:val="0054251F"/>
    <w:rsid w:val="0054334E"/>
    <w:rsid w:val="0054550C"/>
    <w:rsid w:val="005463FE"/>
    <w:rsid w:val="005467C5"/>
    <w:rsid w:val="00547609"/>
    <w:rsid w:val="0055021C"/>
    <w:rsid w:val="005520D8"/>
    <w:rsid w:val="005537D9"/>
    <w:rsid w:val="00554EAE"/>
    <w:rsid w:val="0055647D"/>
    <w:rsid w:val="00556C44"/>
    <w:rsid w:val="00556CF1"/>
    <w:rsid w:val="005574D4"/>
    <w:rsid w:val="00561EE2"/>
    <w:rsid w:val="005633E1"/>
    <w:rsid w:val="00563430"/>
    <w:rsid w:val="00564077"/>
    <w:rsid w:val="005645BA"/>
    <w:rsid w:val="005649C0"/>
    <w:rsid w:val="00565E83"/>
    <w:rsid w:val="005679D4"/>
    <w:rsid w:val="00567AAF"/>
    <w:rsid w:val="00567E25"/>
    <w:rsid w:val="00567FE8"/>
    <w:rsid w:val="00570A06"/>
    <w:rsid w:val="0057117F"/>
    <w:rsid w:val="00572364"/>
    <w:rsid w:val="005723FB"/>
    <w:rsid w:val="00572576"/>
    <w:rsid w:val="00573DAD"/>
    <w:rsid w:val="00575532"/>
    <w:rsid w:val="005762A7"/>
    <w:rsid w:val="00581F75"/>
    <w:rsid w:val="00582917"/>
    <w:rsid w:val="00584801"/>
    <w:rsid w:val="00586C39"/>
    <w:rsid w:val="00586DC5"/>
    <w:rsid w:val="00587AF2"/>
    <w:rsid w:val="005903EE"/>
    <w:rsid w:val="00590480"/>
    <w:rsid w:val="00590DD9"/>
    <w:rsid w:val="005916D7"/>
    <w:rsid w:val="00591DA8"/>
    <w:rsid w:val="00595BA5"/>
    <w:rsid w:val="00596945"/>
    <w:rsid w:val="005970B7"/>
    <w:rsid w:val="00597A8D"/>
    <w:rsid w:val="00597E2B"/>
    <w:rsid w:val="005A1C68"/>
    <w:rsid w:val="005A27D0"/>
    <w:rsid w:val="005A64EE"/>
    <w:rsid w:val="005A698C"/>
    <w:rsid w:val="005B01E8"/>
    <w:rsid w:val="005B097F"/>
    <w:rsid w:val="005B0D8E"/>
    <w:rsid w:val="005B19DC"/>
    <w:rsid w:val="005B23B1"/>
    <w:rsid w:val="005B36E5"/>
    <w:rsid w:val="005B521F"/>
    <w:rsid w:val="005B5E2C"/>
    <w:rsid w:val="005B63CB"/>
    <w:rsid w:val="005B69F4"/>
    <w:rsid w:val="005C0161"/>
    <w:rsid w:val="005C20DC"/>
    <w:rsid w:val="005C307B"/>
    <w:rsid w:val="005C40C4"/>
    <w:rsid w:val="005C5BC2"/>
    <w:rsid w:val="005C6555"/>
    <w:rsid w:val="005C7161"/>
    <w:rsid w:val="005D1546"/>
    <w:rsid w:val="005D3238"/>
    <w:rsid w:val="005D500B"/>
    <w:rsid w:val="005D56EA"/>
    <w:rsid w:val="005D750C"/>
    <w:rsid w:val="005E0799"/>
    <w:rsid w:val="005E191B"/>
    <w:rsid w:val="005E29CF"/>
    <w:rsid w:val="005E37D3"/>
    <w:rsid w:val="005E382F"/>
    <w:rsid w:val="005E4C12"/>
    <w:rsid w:val="005E56EC"/>
    <w:rsid w:val="005E5FF6"/>
    <w:rsid w:val="005F11D6"/>
    <w:rsid w:val="005F1B62"/>
    <w:rsid w:val="005F34E1"/>
    <w:rsid w:val="005F3BA8"/>
    <w:rsid w:val="005F509A"/>
    <w:rsid w:val="005F5A80"/>
    <w:rsid w:val="005F607C"/>
    <w:rsid w:val="005F7881"/>
    <w:rsid w:val="006044FF"/>
    <w:rsid w:val="00605580"/>
    <w:rsid w:val="00607CC5"/>
    <w:rsid w:val="00610CA9"/>
    <w:rsid w:val="00613A16"/>
    <w:rsid w:val="00614023"/>
    <w:rsid w:val="0062027E"/>
    <w:rsid w:val="006217ED"/>
    <w:rsid w:val="006229CF"/>
    <w:rsid w:val="006229E1"/>
    <w:rsid w:val="00624833"/>
    <w:rsid w:val="00624A6F"/>
    <w:rsid w:val="00624A8C"/>
    <w:rsid w:val="00625DE6"/>
    <w:rsid w:val="00626140"/>
    <w:rsid w:val="006269DE"/>
    <w:rsid w:val="006274ED"/>
    <w:rsid w:val="00630554"/>
    <w:rsid w:val="00633014"/>
    <w:rsid w:val="00634213"/>
    <w:rsid w:val="0063437B"/>
    <w:rsid w:val="006354DA"/>
    <w:rsid w:val="00635FF0"/>
    <w:rsid w:val="006379D8"/>
    <w:rsid w:val="0064227E"/>
    <w:rsid w:val="006451BF"/>
    <w:rsid w:val="00647512"/>
    <w:rsid w:val="0064777C"/>
    <w:rsid w:val="0065068C"/>
    <w:rsid w:val="00651209"/>
    <w:rsid w:val="0065178F"/>
    <w:rsid w:val="00652034"/>
    <w:rsid w:val="006522E5"/>
    <w:rsid w:val="00654F9A"/>
    <w:rsid w:val="0065546E"/>
    <w:rsid w:val="00657820"/>
    <w:rsid w:val="00657D23"/>
    <w:rsid w:val="00662E3B"/>
    <w:rsid w:val="0066338D"/>
    <w:rsid w:val="00664822"/>
    <w:rsid w:val="00664C91"/>
    <w:rsid w:val="006659FA"/>
    <w:rsid w:val="006673CA"/>
    <w:rsid w:val="00670BFD"/>
    <w:rsid w:val="00673C26"/>
    <w:rsid w:val="00673E78"/>
    <w:rsid w:val="00674D7B"/>
    <w:rsid w:val="00675A7F"/>
    <w:rsid w:val="00675DED"/>
    <w:rsid w:val="006768B4"/>
    <w:rsid w:val="00677197"/>
    <w:rsid w:val="00677E3C"/>
    <w:rsid w:val="006809ED"/>
    <w:rsid w:val="006812AF"/>
    <w:rsid w:val="006821DA"/>
    <w:rsid w:val="0068266B"/>
    <w:rsid w:val="0068327D"/>
    <w:rsid w:val="00684C12"/>
    <w:rsid w:val="006861A5"/>
    <w:rsid w:val="00686AF1"/>
    <w:rsid w:val="006879F3"/>
    <w:rsid w:val="00691E91"/>
    <w:rsid w:val="00692B50"/>
    <w:rsid w:val="00694AF0"/>
    <w:rsid w:val="00694FC2"/>
    <w:rsid w:val="006A003B"/>
    <w:rsid w:val="006A0B93"/>
    <w:rsid w:val="006A0EE2"/>
    <w:rsid w:val="006A339A"/>
    <w:rsid w:val="006A39CD"/>
    <w:rsid w:val="006A4686"/>
    <w:rsid w:val="006A5D1C"/>
    <w:rsid w:val="006A63CA"/>
    <w:rsid w:val="006A6D54"/>
    <w:rsid w:val="006A6DAB"/>
    <w:rsid w:val="006A7F04"/>
    <w:rsid w:val="006B0597"/>
    <w:rsid w:val="006B065A"/>
    <w:rsid w:val="006B0E9E"/>
    <w:rsid w:val="006B0F00"/>
    <w:rsid w:val="006B1F3F"/>
    <w:rsid w:val="006B1F88"/>
    <w:rsid w:val="006B20E6"/>
    <w:rsid w:val="006B2A42"/>
    <w:rsid w:val="006B50E8"/>
    <w:rsid w:val="006B5AE4"/>
    <w:rsid w:val="006B608D"/>
    <w:rsid w:val="006B77DF"/>
    <w:rsid w:val="006B7EFD"/>
    <w:rsid w:val="006C2938"/>
    <w:rsid w:val="006C2ADD"/>
    <w:rsid w:val="006C423B"/>
    <w:rsid w:val="006C51E2"/>
    <w:rsid w:val="006C543C"/>
    <w:rsid w:val="006C67FC"/>
    <w:rsid w:val="006D05DD"/>
    <w:rsid w:val="006D1507"/>
    <w:rsid w:val="006D2421"/>
    <w:rsid w:val="006D4054"/>
    <w:rsid w:val="006D656F"/>
    <w:rsid w:val="006D7A20"/>
    <w:rsid w:val="006D7B37"/>
    <w:rsid w:val="006E02EC"/>
    <w:rsid w:val="006E0770"/>
    <w:rsid w:val="006E3718"/>
    <w:rsid w:val="006E426D"/>
    <w:rsid w:val="006E44A0"/>
    <w:rsid w:val="006E4659"/>
    <w:rsid w:val="006E4A35"/>
    <w:rsid w:val="006E4C13"/>
    <w:rsid w:val="006E51F1"/>
    <w:rsid w:val="006E5EB2"/>
    <w:rsid w:val="006E678F"/>
    <w:rsid w:val="006E7BF9"/>
    <w:rsid w:val="006F0BFF"/>
    <w:rsid w:val="006F1184"/>
    <w:rsid w:val="006F15BF"/>
    <w:rsid w:val="006F2820"/>
    <w:rsid w:val="006F4744"/>
    <w:rsid w:val="006F69C4"/>
    <w:rsid w:val="006F6CE7"/>
    <w:rsid w:val="006F74A6"/>
    <w:rsid w:val="0070095A"/>
    <w:rsid w:val="007009AB"/>
    <w:rsid w:val="00701530"/>
    <w:rsid w:val="00701A03"/>
    <w:rsid w:val="00702E73"/>
    <w:rsid w:val="00703197"/>
    <w:rsid w:val="007037C9"/>
    <w:rsid w:val="00705BA6"/>
    <w:rsid w:val="007124E0"/>
    <w:rsid w:val="00712EA0"/>
    <w:rsid w:val="00713343"/>
    <w:rsid w:val="007151C0"/>
    <w:rsid w:val="007167B2"/>
    <w:rsid w:val="00716B29"/>
    <w:rsid w:val="007206F4"/>
    <w:rsid w:val="007211B1"/>
    <w:rsid w:val="0072221D"/>
    <w:rsid w:val="00727A98"/>
    <w:rsid w:val="00727D7A"/>
    <w:rsid w:val="007305AF"/>
    <w:rsid w:val="00732388"/>
    <w:rsid w:val="00735BDC"/>
    <w:rsid w:val="00740BB5"/>
    <w:rsid w:val="00742360"/>
    <w:rsid w:val="00742B4A"/>
    <w:rsid w:val="00743112"/>
    <w:rsid w:val="00745536"/>
    <w:rsid w:val="00746187"/>
    <w:rsid w:val="00746591"/>
    <w:rsid w:val="007506A0"/>
    <w:rsid w:val="00750FD8"/>
    <w:rsid w:val="00754AC8"/>
    <w:rsid w:val="00756E1B"/>
    <w:rsid w:val="007576BD"/>
    <w:rsid w:val="0076254F"/>
    <w:rsid w:val="0076258D"/>
    <w:rsid w:val="00762BFD"/>
    <w:rsid w:val="00763746"/>
    <w:rsid w:val="007645AA"/>
    <w:rsid w:val="00765940"/>
    <w:rsid w:val="00765F27"/>
    <w:rsid w:val="0076639C"/>
    <w:rsid w:val="00766E5E"/>
    <w:rsid w:val="00767A00"/>
    <w:rsid w:val="00767D53"/>
    <w:rsid w:val="00770B00"/>
    <w:rsid w:val="00771D24"/>
    <w:rsid w:val="0077392C"/>
    <w:rsid w:val="007750C8"/>
    <w:rsid w:val="007801F5"/>
    <w:rsid w:val="00781FF1"/>
    <w:rsid w:val="007821CA"/>
    <w:rsid w:val="007830E7"/>
    <w:rsid w:val="00783432"/>
    <w:rsid w:val="00783CA4"/>
    <w:rsid w:val="007842FB"/>
    <w:rsid w:val="007854CA"/>
    <w:rsid w:val="007858B7"/>
    <w:rsid w:val="00786124"/>
    <w:rsid w:val="00786925"/>
    <w:rsid w:val="00791122"/>
    <w:rsid w:val="0079141B"/>
    <w:rsid w:val="0079514B"/>
    <w:rsid w:val="00795190"/>
    <w:rsid w:val="0079590E"/>
    <w:rsid w:val="00796694"/>
    <w:rsid w:val="007A090E"/>
    <w:rsid w:val="007A1126"/>
    <w:rsid w:val="007A11C2"/>
    <w:rsid w:val="007A12A8"/>
    <w:rsid w:val="007A26BE"/>
    <w:rsid w:val="007A2D9A"/>
    <w:rsid w:val="007A2DC1"/>
    <w:rsid w:val="007A502D"/>
    <w:rsid w:val="007A603D"/>
    <w:rsid w:val="007A7386"/>
    <w:rsid w:val="007B0687"/>
    <w:rsid w:val="007B5184"/>
    <w:rsid w:val="007B652A"/>
    <w:rsid w:val="007B77E5"/>
    <w:rsid w:val="007C26E1"/>
    <w:rsid w:val="007C2807"/>
    <w:rsid w:val="007C2C2D"/>
    <w:rsid w:val="007C2D68"/>
    <w:rsid w:val="007C300C"/>
    <w:rsid w:val="007C4021"/>
    <w:rsid w:val="007C4B0E"/>
    <w:rsid w:val="007C64B7"/>
    <w:rsid w:val="007C73A8"/>
    <w:rsid w:val="007D2A99"/>
    <w:rsid w:val="007D3269"/>
    <w:rsid w:val="007D3319"/>
    <w:rsid w:val="007D335D"/>
    <w:rsid w:val="007D40D8"/>
    <w:rsid w:val="007D4942"/>
    <w:rsid w:val="007D66F4"/>
    <w:rsid w:val="007E3314"/>
    <w:rsid w:val="007E389F"/>
    <w:rsid w:val="007E4741"/>
    <w:rsid w:val="007E4B03"/>
    <w:rsid w:val="007E61A0"/>
    <w:rsid w:val="007E699B"/>
    <w:rsid w:val="007F0958"/>
    <w:rsid w:val="007F0E2D"/>
    <w:rsid w:val="007F23E3"/>
    <w:rsid w:val="007F31B7"/>
    <w:rsid w:val="007F324B"/>
    <w:rsid w:val="007F36E3"/>
    <w:rsid w:val="007F4412"/>
    <w:rsid w:val="007F44C3"/>
    <w:rsid w:val="007F4D01"/>
    <w:rsid w:val="007F5B1C"/>
    <w:rsid w:val="007F7450"/>
    <w:rsid w:val="008000C6"/>
    <w:rsid w:val="00804B58"/>
    <w:rsid w:val="0080553C"/>
    <w:rsid w:val="00805B46"/>
    <w:rsid w:val="00807B07"/>
    <w:rsid w:val="00811C5B"/>
    <w:rsid w:val="00811D80"/>
    <w:rsid w:val="00812F11"/>
    <w:rsid w:val="008141BF"/>
    <w:rsid w:val="008147E3"/>
    <w:rsid w:val="00815CEC"/>
    <w:rsid w:val="008205A5"/>
    <w:rsid w:val="00821F90"/>
    <w:rsid w:val="00822E2C"/>
    <w:rsid w:val="00822EDA"/>
    <w:rsid w:val="00822FB9"/>
    <w:rsid w:val="00825DC2"/>
    <w:rsid w:val="008271F2"/>
    <w:rsid w:val="00830501"/>
    <w:rsid w:val="008306AC"/>
    <w:rsid w:val="0083165E"/>
    <w:rsid w:val="00831F1F"/>
    <w:rsid w:val="008332FE"/>
    <w:rsid w:val="00833775"/>
    <w:rsid w:val="008342CF"/>
    <w:rsid w:val="00834AD3"/>
    <w:rsid w:val="008352B1"/>
    <w:rsid w:val="008353CE"/>
    <w:rsid w:val="008360ED"/>
    <w:rsid w:val="008377D0"/>
    <w:rsid w:val="00837A74"/>
    <w:rsid w:val="00840577"/>
    <w:rsid w:val="00840927"/>
    <w:rsid w:val="00841F15"/>
    <w:rsid w:val="00842C74"/>
    <w:rsid w:val="00842F9D"/>
    <w:rsid w:val="00843795"/>
    <w:rsid w:val="00843D29"/>
    <w:rsid w:val="00846AFB"/>
    <w:rsid w:val="00846FEB"/>
    <w:rsid w:val="008470EF"/>
    <w:rsid w:val="00847F0F"/>
    <w:rsid w:val="008518AF"/>
    <w:rsid w:val="00852448"/>
    <w:rsid w:val="00852AFB"/>
    <w:rsid w:val="00854C92"/>
    <w:rsid w:val="00856C9C"/>
    <w:rsid w:val="008571A0"/>
    <w:rsid w:val="008574E1"/>
    <w:rsid w:val="00866049"/>
    <w:rsid w:val="0086664B"/>
    <w:rsid w:val="00866CE0"/>
    <w:rsid w:val="00867CC4"/>
    <w:rsid w:val="008713F0"/>
    <w:rsid w:val="00872F57"/>
    <w:rsid w:val="00873AA5"/>
    <w:rsid w:val="0087424F"/>
    <w:rsid w:val="00874993"/>
    <w:rsid w:val="008756CC"/>
    <w:rsid w:val="00875A12"/>
    <w:rsid w:val="00875D9D"/>
    <w:rsid w:val="00877359"/>
    <w:rsid w:val="00877CDB"/>
    <w:rsid w:val="0088258A"/>
    <w:rsid w:val="00883AFC"/>
    <w:rsid w:val="00885E44"/>
    <w:rsid w:val="00886332"/>
    <w:rsid w:val="0089081E"/>
    <w:rsid w:val="008917B4"/>
    <w:rsid w:val="0089343D"/>
    <w:rsid w:val="00893663"/>
    <w:rsid w:val="0089415B"/>
    <w:rsid w:val="008A1802"/>
    <w:rsid w:val="008A223F"/>
    <w:rsid w:val="008A26D9"/>
    <w:rsid w:val="008A37A5"/>
    <w:rsid w:val="008A45C1"/>
    <w:rsid w:val="008A5144"/>
    <w:rsid w:val="008A550B"/>
    <w:rsid w:val="008A6E9C"/>
    <w:rsid w:val="008B0351"/>
    <w:rsid w:val="008B0FBD"/>
    <w:rsid w:val="008B79F6"/>
    <w:rsid w:val="008B7FC2"/>
    <w:rsid w:val="008C073C"/>
    <w:rsid w:val="008C0C29"/>
    <w:rsid w:val="008C23AF"/>
    <w:rsid w:val="008C3298"/>
    <w:rsid w:val="008C42F2"/>
    <w:rsid w:val="008C4A8A"/>
    <w:rsid w:val="008D0F14"/>
    <w:rsid w:val="008D126C"/>
    <w:rsid w:val="008D13D3"/>
    <w:rsid w:val="008D2DD6"/>
    <w:rsid w:val="008D428E"/>
    <w:rsid w:val="008D4B2F"/>
    <w:rsid w:val="008E185B"/>
    <w:rsid w:val="008E1A3C"/>
    <w:rsid w:val="008E4177"/>
    <w:rsid w:val="008E6023"/>
    <w:rsid w:val="008E6E02"/>
    <w:rsid w:val="008E7ACD"/>
    <w:rsid w:val="008F07F9"/>
    <w:rsid w:val="008F09C1"/>
    <w:rsid w:val="008F1302"/>
    <w:rsid w:val="008F1B9B"/>
    <w:rsid w:val="008F3472"/>
    <w:rsid w:val="008F3638"/>
    <w:rsid w:val="008F3A10"/>
    <w:rsid w:val="008F3D9F"/>
    <w:rsid w:val="008F4441"/>
    <w:rsid w:val="008F5CC5"/>
    <w:rsid w:val="008F6832"/>
    <w:rsid w:val="008F6F31"/>
    <w:rsid w:val="008F74DF"/>
    <w:rsid w:val="00900FED"/>
    <w:rsid w:val="0090117B"/>
    <w:rsid w:val="009028EF"/>
    <w:rsid w:val="00903EFA"/>
    <w:rsid w:val="009044B4"/>
    <w:rsid w:val="00904697"/>
    <w:rsid w:val="009048DA"/>
    <w:rsid w:val="009115E5"/>
    <w:rsid w:val="00911B7E"/>
    <w:rsid w:val="009127BA"/>
    <w:rsid w:val="00913D2E"/>
    <w:rsid w:val="00914064"/>
    <w:rsid w:val="00915CAF"/>
    <w:rsid w:val="00920672"/>
    <w:rsid w:val="00920F38"/>
    <w:rsid w:val="009227A6"/>
    <w:rsid w:val="00922D57"/>
    <w:rsid w:val="009251BD"/>
    <w:rsid w:val="00925C9F"/>
    <w:rsid w:val="009261F0"/>
    <w:rsid w:val="0092625F"/>
    <w:rsid w:val="009263A1"/>
    <w:rsid w:val="009267CC"/>
    <w:rsid w:val="009277D8"/>
    <w:rsid w:val="00927976"/>
    <w:rsid w:val="00930EDF"/>
    <w:rsid w:val="00932834"/>
    <w:rsid w:val="00933D60"/>
    <w:rsid w:val="00933EC1"/>
    <w:rsid w:val="009361D7"/>
    <w:rsid w:val="009400F1"/>
    <w:rsid w:val="00940ECE"/>
    <w:rsid w:val="0094177D"/>
    <w:rsid w:val="00941D0D"/>
    <w:rsid w:val="009420C4"/>
    <w:rsid w:val="009431BB"/>
    <w:rsid w:val="00945A44"/>
    <w:rsid w:val="00945AC5"/>
    <w:rsid w:val="009473BA"/>
    <w:rsid w:val="00947A4E"/>
    <w:rsid w:val="00947F61"/>
    <w:rsid w:val="00950BC5"/>
    <w:rsid w:val="009512C3"/>
    <w:rsid w:val="009530DB"/>
    <w:rsid w:val="009534B1"/>
    <w:rsid w:val="00953676"/>
    <w:rsid w:val="00953E64"/>
    <w:rsid w:val="009542E3"/>
    <w:rsid w:val="00957F53"/>
    <w:rsid w:val="009607AA"/>
    <w:rsid w:val="00960B1D"/>
    <w:rsid w:val="00961100"/>
    <w:rsid w:val="00963C09"/>
    <w:rsid w:val="0096470A"/>
    <w:rsid w:val="0096566D"/>
    <w:rsid w:val="00967D0E"/>
    <w:rsid w:val="00970129"/>
    <w:rsid w:val="009705EE"/>
    <w:rsid w:val="009706E8"/>
    <w:rsid w:val="00971C1F"/>
    <w:rsid w:val="00971F9B"/>
    <w:rsid w:val="00974D44"/>
    <w:rsid w:val="00975584"/>
    <w:rsid w:val="00977124"/>
    <w:rsid w:val="00977927"/>
    <w:rsid w:val="009801CE"/>
    <w:rsid w:val="009801DD"/>
    <w:rsid w:val="00980ACA"/>
    <w:rsid w:val="00980ADC"/>
    <w:rsid w:val="0098135C"/>
    <w:rsid w:val="0098156A"/>
    <w:rsid w:val="009819FD"/>
    <w:rsid w:val="00982019"/>
    <w:rsid w:val="00982047"/>
    <w:rsid w:val="00982237"/>
    <w:rsid w:val="0098249E"/>
    <w:rsid w:val="00982F1F"/>
    <w:rsid w:val="009836BB"/>
    <w:rsid w:val="009839B5"/>
    <w:rsid w:val="00983C2F"/>
    <w:rsid w:val="00983C62"/>
    <w:rsid w:val="00984E6C"/>
    <w:rsid w:val="00986C82"/>
    <w:rsid w:val="00991BAC"/>
    <w:rsid w:val="009929BB"/>
    <w:rsid w:val="009940F0"/>
    <w:rsid w:val="009951E7"/>
    <w:rsid w:val="00995CB5"/>
    <w:rsid w:val="0099723D"/>
    <w:rsid w:val="009A0CB7"/>
    <w:rsid w:val="009A0DA8"/>
    <w:rsid w:val="009A1AD0"/>
    <w:rsid w:val="009A432C"/>
    <w:rsid w:val="009A4A0A"/>
    <w:rsid w:val="009A5B0F"/>
    <w:rsid w:val="009A6267"/>
    <w:rsid w:val="009A6EA0"/>
    <w:rsid w:val="009B0D3C"/>
    <w:rsid w:val="009B1567"/>
    <w:rsid w:val="009B1B49"/>
    <w:rsid w:val="009B3063"/>
    <w:rsid w:val="009B312D"/>
    <w:rsid w:val="009B3E5A"/>
    <w:rsid w:val="009B4D45"/>
    <w:rsid w:val="009B63F0"/>
    <w:rsid w:val="009B6979"/>
    <w:rsid w:val="009B6C18"/>
    <w:rsid w:val="009B7CC3"/>
    <w:rsid w:val="009C1335"/>
    <w:rsid w:val="009C1AB2"/>
    <w:rsid w:val="009C1BDA"/>
    <w:rsid w:val="009C52B5"/>
    <w:rsid w:val="009C5959"/>
    <w:rsid w:val="009C7251"/>
    <w:rsid w:val="009C7D31"/>
    <w:rsid w:val="009D0157"/>
    <w:rsid w:val="009D0DD3"/>
    <w:rsid w:val="009D297C"/>
    <w:rsid w:val="009D33EA"/>
    <w:rsid w:val="009D5813"/>
    <w:rsid w:val="009D6B23"/>
    <w:rsid w:val="009D7EF4"/>
    <w:rsid w:val="009E0058"/>
    <w:rsid w:val="009E0DC9"/>
    <w:rsid w:val="009E17B4"/>
    <w:rsid w:val="009E2E61"/>
    <w:rsid w:val="009E2E91"/>
    <w:rsid w:val="009E5503"/>
    <w:rsid w:val="009E55FA"/>
    <w:rsid w:val="009E6D9D"/>
    <w:rsid w:val="009E7737"/>
    <w:rsid w:val="009E7935"/>
    <w:rsid w:val="009F0748"/>
    <w:rsid w:val="009F431B"/>
    <w:rsid w:val="009F67F8"/>
    <w:rsid w:val="009F7507"/>
    <w:rsid w:val="00A03789"/>
    <w:rsid w:val="00A05EB9"/>
    <w:rsid w:val="00A0640E"/>
    <w:rsid w:val="00A06D74"/>
    <w:rsid w:val="00A06FCF"/>
    <w:rsid w:val="00A07CB5"/>
    <w:rsid w:val="00A116EE"/>
    <w:rsid w:val="00A12C8B"/>
    <w:rsid w:val="00A1323E"/>
    <w:rsid w:val="00A139F5"/>
    <w:rsid w:val="00A15B93"/>
    <w:rsid w:val="00A258D3"/>
    <w:rsid w:val="00A25CA3"/>
    <w:rsid w:val="00A33989"/>
    <w:rsid w:val="00A33A75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B0A"/>
    <w:rsid w:val="00A43638"/>
    <w:rsid w:val="00A442EC"/>
    <w:rsid w:val="00A44455"/>
    <w:rsid w:val="00A44ACE"/>
    <w:rsid w:val="00A44D46"/>
    <w:rsid w:val="00A45548"/>
    <w:rsid w:val="00A45A12"/>
    <w:rsid w:val="00A47D80"/>
    <w:rsid w:val="00A520A5"/>
    <w:rsid w:val="00A53132"/>
    <w:rsid w:val="00A5316E"/>
    <w:rsid w:val="00A5342E"/>
    <w:rsid w:val="00A53755"/>
    <w:rsid w:val="00A54168"/>
    <w:rsid w:val="00A5492E"/>
    <w:rsid w:val="00A56065"/>
    <w:rsid w:val="00A563F2"/>
    <w:rsid w:val="00A566E8"/>
    <w:rsid w:val="00A5728E"/>
    <w:rsid w:val="00A63A7F"/>
    <w:rsid w:val="00A64C8F"/>
    <w:rsid w:val="00A64DD7"/>
    <w:rsid w:val="00A65593"/>
    <w:rsid w:val="00A66AB6"/>
    <w:rsid w:val="00A7069C"/>
    <w:rsid w:val="00A7196D"/>
    <w:rsid w:val="00A75532"/>
    <w:rsid w:val="00A75B2E"/>
    <w:rsid w:val="00A76892"/>
    <w:rsid w:val="00A76A78"/>
    <w:rsid w:val="00A76FB2"/>
    <w:rsid w:val="00A7730F"/>
    <w:rsid w:val="00A7747E"/>
    <w:rsid w:val="00A77AEA"/>
    <w:rsid w:val="00A806D5"/>
    <w:rsid w:val="00A810F9"/>
    <w:rsid w:val="00A823D9"/>
    <w:rsid w:val="00A83B55"/>
    <w:rsid w:val="00A84EE2"/>
    <w:rsid w:val="00A853D2"/>
    <w:rsid w:val="00A8662F"/>
    <w:rsid w:val="00A86909"/>
    <w:rsid w:val="00A86ECC"/>
    <w:rsid w:val="00A86FCC"/>
    <w:rsid w:val="00A8707C"/>
    <w:rsid w:val="00A903D9"/>
    <w:rsid w:val="00A91A06"/>
    <w:rsid w:val="00A936E9"/>
    <w:rsid w:val="00A94444"/>
    <w:rsid w:val="00A957A2"/>
    <w:rsid w:val="00A95EB4"/>
    <w:rsid w:val="00A9628C"/>
    <w:rsid w:val="00A96373"/>
    <w:rsid w:val="00A96FA0"/>
    <w:rsid w:val="00A97641"/>
    <w:rsid w:val="00AA11C1"/>
    <w:rsid w:val="00AA30F0"/>
    <w:rsid w:val="00AA51BF"/>
    <w:rsid w:val="00AA570D"/>
    <w:rsid w:val="00AA6894"/>
    <w:rsid w:val="00AA710D"/>
    <w:rsid w:val="00AA7A08"/>
    <w:rsid w:val="00AB0198"/>
    <w:rsid w:val="00AB2D52"/>
    <w:rsid w:val="00AB4DCD"/>
    <w:rsid w:val="00AB5851"/>
    <w:rsid w:val="00AB5A7B"/>
    <w:rsid w:val="00AB62A2"/>
    <w:rsid w:val="00AB6448"/>
    <w:rsid w:val="00AB6883"/>
    <w:rsid w:val="00AB6A97"/>
    <w:rsid w:val="00AB6D25"/>
    <w:rsid w:val="00AB7CAC"/>
    <w:rsid w:val="00AC0C78"/>
    <w:rsid w:val="00AC2E10"/>
    <w:rsid w:val="00AC305E"/>
    <w:rsid w:val="00AC34A6"/>
    <w:rsid w:val="00AC3F7C"/>
    <w:rsid w:val="00AC543C"/>
    <w:rsid w:val="00AC5A82"/>
    <w:rsid w:val="00AC5AAB"/>
    <w:rsid w:val="00AC633D"/>
    <w:rsid w:val="00AD0CA6"/>
    <w:rsid w:val="00AD0CF4"/>
    <w:rsid w:val="00AD14C3"/>
    <w:rsid w:val="00AD1F51"/>
    <w:rsid w:val="00AD24BA"/>
    <w:rsid w:val="00AD2A72"/>
    <w:rsid w:val="00AD2C4F"/>
    <w:rsid w:val="00AD2E46"/>
    <w:rsid w:val="00AD3827"/>
    <w:rsid w:val="00AD5428"/>
    <w:rsid w:val="00AD6416"/>
    <w:rsid w:val="00AD666E"/>
    <w:rsid w:val="00AE1021"/>
    <w:rsid w:val="00AE1250"/>
    <w:rsid w:val="00AE1AD0"/>
    <w:rsid w:val="00AE2705"/>
    <w:rsid w:val="00AE2A87"/>
    <w:rsid w:val="00AE2D4B"/>
    <w:rsid w:val="00AE3E11"/>
    <w:rsid w:val="00AE4B01"/>
    <w:rsid w:val="00AE4F99"/>
    <w:rsid w:val="00AE6D19"/>
    <w:rsid w:val="00AF0451"/>
    <w:rsid w:val="00AF13A8"/>
    <w:rsid w:val="00AF62E4"/>
    <w:rsid w:val="00AF661F"/>
    <w:rsid w:val="00AF785D"/>
    <w:rsid w:val="00B002F5"/>
    <w:rsid w:val="00B00E4E"/>
    <w:rsid w:val="00B03777"/>
    <w:rsid w:val="00B03DD4"/>
    <w:rsid w:val="00B06126"/>
    <w:rsid w:val="00B06F35"/>
    <w:rsid w:val="00B074E3"/>
    <w:rsid w:val="00B10ACF"/>
    <w:rsid w:val="00B11B69"/>
    <w:rsid w:val="00B11C65"/>
    <w:rsid w:val="00B12506"/>
    <w:rsid w:val="00B129FA"/>
    <w:rsid w:val="00B1403B"/>
    <w:rsid w:val="00B14952"/>
    <w:rsid w:val="00B17376"/>
    <w:rsid w:val="00B17D6F"/>
    <w:rsid w:val="00B20D28"/>
    <w:rsid w:val="00B20DEC"/>
    <w:rsid w:val="00B212E1"/>
    <w:rsid w:val="00B21502"/>
    <w:rsid w:val="00B2172B"/>
    <w:rsid w:val="00B22D41"/>
    <w:rsid w:val="00B23531"/>
    <w:rsid w:val="00B23666"/>
    <w:rsid w:val="00B23C62"/>
    <w:rsid w:val="00B249B5"/>
    <w:rsid w:val="00B258A6"/>
    <w:rsid w:val="00B261D6"/>
    <w:rsid w:val="00B26292"/>
    <w:rsid w:val="00B264EA"/>
    <w:rsid w:val="00B26577"/>
    <w:rsid w:val="00B27D6D"/>
    <w:rsid w:val="00B31DAC"/>
    <w:rsid w:val="00B31E5A"/>
    <w:rsid w:val="00B32A36"/>
    <w:rsid w:val="00B33DE3"/>
    <w:rsid w:val="00B34E74"/>
    <w:rsid w:val="00B34EB5"/>
    <w:rsid w:val="00B37A63"/>
    <w:rsid w:val="00B403E3"/>
    <w:rsid w:val="00B41709"/>
    <w:rsid w:val="00B4236B"/>
    <w:rsid w:val="00B423DA"/>
    <w:rsid w:val="00B42480"/>
    <w:rsid w:val="00B427E0"/>
    <w:rsid w:val="00B44F60"/>
    <w:rsid w:val="00B50447"/>
    <w:rsid w:val="00B5309A"/>
    <w:rsid w:val="00B535B9"/>
    <w:rsid w:val="00B6114A"/>
    <w:rsid w:val="00B61736"/>
    <w:rsid w:val="00B62B15"/>
    <w:rsid w:val="00B62BA1"/>
    <w:rsid w:val="00B62C39"/>
    <w:rsid w:val="00B63C54"/>
    <w:rsid w:val="00B653AB"/>
    <w:rsid w:val="00B659ED"/>
    <w:rsid w:val="00B65F9E"/>
    <w:rsid w:val="00B664DE"/>
    <w:rsid w:val="00B66B19"/>
    <w:rsid w:val="00B67B45"/>
    <w:rsid w:val="00B67E4B"/>
    <w:rsid w:val="00B72BB2"/>
    <w:rsid w:val="00B72E9B"/>
    <w:rsid w:val="00B74494"/>
    <w:rsid w:val="00B75811"/>
    <w:rsid w:val="00B762F3"/>
    <w:rsid w:val="00B808EB"/>
    <w:rsid w:val="00B81FFA"/>
    <w:rsid w:val="00B82D4E"/>
    <w:rsid w:val="00B831D9"/>
    <w:rsid w:val="00B83CC3"/>
    <w:rsid w:val="00B84E71"/>
    <w:rsid w:val="00B85367"/>
    <w:rsid w:val="00B85385"/>
    <w:rsid w:val="00B8566A"/>
    <w:rsid w:val="00B8577F"/>
    <w:rsid w:val="00B86DF9"/>
    <w:rsid w:val="00B914E9"/>
    <w:rsid w:val="00B9194E"/>
    <w:rsid w:val="00B928F2"/>
    <w:rsid w:val="00B92A7C"/>
    <w:rsid w:val="00B956EE"/>
    <w:rsid w:val="00B9593D"/>
    <w:rsid w:val="00B95B99"/>
    <w:rsid w:val="00B96535"/>
    <w:rsid w:val="00B966DC"/>
    <w:rsid w:val="00B9700A"/>
    <w:rsid w:val="00B9721E"/>
    <w:rsid w:val="00BA15E9"/>
    <w:rsid w:val="00BA2BA1"/>
    <w:rsid w:val="00BA3127"/>
    <w:rsid w:val="00BA3562"/>
    <w:rsid w:val="00BA40BD"/>
    <w:rsid w:val="00BA44CC"/>
    <w:rsid w:val="00BB082B"/>
    <w:rsid w:val="00BB0905"/>
    <w:rsid w:val="00BB12EF"/>
    <w:rsid w:val="00BB1B0A"/>
    <w:rsid w:val="00BB1C7E"/>
    <w:rsid w:val="00BB353B"/>
    <w:rsid w:val="00BB419B"/>
    <w:rsid w:val="00BB453C"/>
    <w:rsid w:val="00BB4F09"/>
    <w:rsid w:val="00BB5D63"/>
    <w:rsid w:val="00BB6FA8"/>
    <w:rsid w:val="00BB7FE6"/>
    <w:rsid w:val="00BC02D6"/>
    <w:rsid w:val="00BC03FB"/>
    <w:rsid w:val="00BC079F"/>
    <w:rsid w:val="00BC6CE7"/>
    <w:rsid w:val="00BD0ED9"/>
    <w:rsid w:val="00BD1B04"/>
    <w:rsid w:val="00BD206D"/>
    <w:rsid w:val="00BD2799"/>
    <w:rsid w:val="00BD3CFC"/>
    <w:rsid w:val="00BD4105"/>
    <w:rsid w:val="00BD4E33"/>
    <w:rsid w:val="00BD4E6B"/>
    <w:rsid w:val="00BD5B1B"/>
    <w:rsid w:val="00BD66FD"/>
    <w:rsid w:val="00BD6E79"/>
    <w:rsid w:val="00BD7EF6"/>
    <w:rsid w:val="00BE038F"/>
    <w:rsid w:val="00BE2915"/>
    <w:rsid w:val="00BE2F60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5465"/>
    <w:rsid w:val="00BF6582"/>
    <w:rsid w:val="00C00CA1"/>
    <w:rsid w:val="00C01657"/>
    <w:rsid w:val="00C030DE"/>
    <w:rsid w:val="00C0377A"/>
    <w:rsid w:val="00C0494A"/>
    <w:rsid w:val="00C061CE"/>
    <w:rsid w:val="00C066B1"/>
    <w:rsid w:val="00C10C05"/>
    <w:rsid w:val="00C12CAB"/>
    <w:rsid w:val="00C12E2F"/>
    <w:rsid w:val="00C13308"/>
    <w:rsid w:val="00C143FE"/>
    <w:rsid w:val="00C14F32"/>
    <w:rsid w:val="00C15BF1"/>
    <w:rsid w:val="00C16068"/>
    <w:rsid w:val="00C16466"/>
    <w:rsid w:val="00C17260"/>
    <w:rsid w:val="00C22105"/>
    <w:rsid w:val="00C22597"/>
    <w:rsid w:val="00C244B6"/>
    <w:rsid w:val="00C24F36"/>
    <w:rsid w:val="00C25E3C"/>
    <w:rsid w:val="00C26771"/>
    <w:rsid w:val="00C271B8"/>
    <w:rsid w:val="00C27661"/>
    <w:rsid w:val="00C27FA3"/>
    <w:rsid w:val="00C320DF"/>
    <w:rsid w:val="00C32409"/>
    <w:rsid w:val="00C3271C"/>
    <w:rsid w:val="00C32E3F"/>
    <w:rsid w:val="00C34EE7"/>
    <w:rsid w:val="00C356AC"/>
    <w:rsid w:val="00C357C5"/>
    <w:rsid w:val="00C35F10"/>
    <w:rsid w:val="00C3702F"/>
    <w:rsid w:val="00C402F7"/>
    <w:rsid w:val="00C404D2"/>
    <w:rsid w:val="00C40E3C"/>
    <w:rsid w:val="00C423FF"/>
    <w:rsid w:val="00C42567"/>
    <w:rsid w:val="00C444F5"/>
    <w:rsid w:val="00C44C7F"/>
    <w:rsid w:val="00C4500A"/>
    <w:rsid w:val="00C4546D"/>
    <w:rsid w:val="00C47130"/>
    <w:rsid w:val="00C47524"/>
    <w:rsid w:val="00C51803"/>
    <w:rsid w:val="00C51A5B"/>
    <w:rsid w:val="00C51BCB"/>
    <w:rsid w:val="00C54C48"/>
    <w:rsid w:val="00C56046"/>
    <w:rsid w:val="00C57517"/>
    <w:rsid w:val="00C57E9D"/>
    <w:rsid w:val="00C57F65"/>
    <w:rsid w:val="00C57FF5"/>
    <w:rsid w:val="00C60795"/>
    <w:rsid w:val="00C6176F"/>
    <w:rsid w:val="00C619C1"/>
    <w:rsid w:val="00C63519"/>
    <w:rsid w:val="00C63869"/>
    <w:rsid w:val="00C6405D"/>
    <w:rsid w:val="00C64A37"/>
    <w:rsid w:val="00C64D56"/>
    <w:rsid w:val="00C6558A"/>
    <w:rsid w:val="00C6571C"/>
    <w:rsid w:val="00C65773"/>
    <w:rsid w:val="00C66390"/>
    <w:rsid w:val="00C70377"/>
    <w:rsid w:val="00C7158E"/>
    <w:rsid w:val="00C7183A"/>
    <w:rsid w:val="00C7250B"/>
    <w:rsid w:val="00C72DA4"/>
    <w:rsid w:val="00C7346B"/>
    <w:rsid w:val="00C742CB"/>
    <w:rsid w:val="00C7473A"/>
    <w:rsid w:val="00C753D1"/>
    <w:rsid w:val="00C763CC"/>
    <w:rsid w:val="00C76D2A"/>
    <w:rsid w:val="00C77C0E"/>
    <w:rsid w:val="00C77D6E"/>
    <w:rsid w:val="00C85945"/>
    <w:rsid w:val="00C909F0"/>
    <w:rsid w:val="00C910AD"/>
    <w:rsid w:val="00C91687"/>
    <w:rsid w:val="00C924A8"/>
    <w:rsid w:val="00C945FE"/>
    <w:rsid w:val="00C94C0E"/>
    <w:rsid w:val="00C95375"/>
    <w:rsid w:val="00C9594E"/>
    <w:rsid w:val="00C96FAA"/>
    <w:rsid w:val="00C97A04"/>
    <w:rsid w:val="00C97C5F"/>
    <w:rsid w:val="00CA042C"/>
    <w:rsid w:val="00CA107B"/>
    <w:rsid w:val="00CA17B4"/>
    <w:rsid w:val="00CA27E8"/>
    <w:rsid w:val="00CA4303"/>
    <w:rsid w:val="00CA484D"/>
    <w:rsid w:val="00CA4FB6"/>
    <w:rsid w:val="00CA5477"/>
    <w:rsid w:val="00CA6FE7"/>
    <w:rsid w:val="00CB1816"/>
    <w:rsid w:val="00CB216C"/>
    <w:rsid w:val="00CB2D10"/>
    <w:rsid w:val="00CB33EC"/>
    <w:rsid w:val="00CB5DE0"/>
    <w:rsid w:val="00CB6E68"/>
    <w:rsid w:val="00CC39AB"/>
    <w:rsid w:val="00CC46CC"/>
    <w:rsid w:val="00CC4B1E"/>
    <w:rsid w:val="00CC4CFF"/>
    <w:rsid w:val="00CC561F"/>
    <w:rsid w:val="00CC66FD"/>
    <w:rsid w:val="00CC739E"/>
    <w:rsid w:val="00CC7608"/>
    <w:rsid w:val="00CD0840"/>
    <w:rsid w:val="00CD0BA9"/>
    <w:rsid w:val="00CD0DD0"/>
    <w:rsid w:val="00CD2B1E"/>
    <w:rsid w:val="00CD3556"/>
    <w:rsid w:val="00CD58B7"/>
    <w:rsid w:val="00CD765B"/>
    <w:rsid w:val="00CE10C7"/>
    <w:rsid w:val="00CE1C8B"/>
    <w:rsid w:val="00CE1D39"/>
    <w:rsid w:val="00CE284A"/>
    <w:rsid w:val="00CE6AD0"/>
    <w:rsid w:val="00CF0450"/>
    <w:rsid w:val="00CF1B9B"/>
    <w:rsid w:val="00CF20A2"/>
    <w:rsid w:val="00CF31C3"/>
    <w:rsid w:val="00CF3F72"/>
    <w:rsid w:val="00CF4099"/>
    <w:rsid w:val="00CF5B7D"/>
    <w:rsid w:val="00CF7F79"/>
    <w:rsid w:val="00D00796"/>
    <w:rsid w:val="00D01A7B"/>
    <w:rsid w:val="00D01FBB"/>
    <w:rsid w:val="00D03C44"/>
    <w:rsid w:val="00D04119"/>
    <w:rsid w:val="00D04403"/>
    <w:rsid w:val="00D04584"/>
    <w:rsid w:val="00D10B0E"/>
    <w:rsid w:val="00D11C25"/>
    <w:rsid w:val="00D126AB"/>
    <w:rsid w:val="00D12B1C"/>
    <w:rsid w:val="00D12C5D"/>
    <w:rsid w:val="00D133D5"/>
    <w:rsid w:val="00D14F84"/>
    <w:rsid w:val="00D15523"/>
    <w:rsid w:val="00D15CB8"/>
    <w:rsid w:val="00D1658F"/>
    <w:rsid w:val="00D20446"/>
    <w:rsid w:val="00D206D2"/>
    <w:rsid w:val="00D23D10"/>
    <w:rsid w:val="00D24037"/>
    <w:rsid w:val="00D25FE0"/>
    <w:rsid w:val="00D261A2"/>
    <w:rsid w:val="00D26839"/>
    <w:rsid w:val="00D26A26"/>
    <w:rsid w:val="00D26B5F"/>
    <w:rsid w:val="00D27E54"/>
    <w:rsid w:val="00D30E0D"/>
    <w:rsid w:val="00D312B3"/>
    <w:rsid w:val="00D34CBE"/>
    <w:rsid w:val="00D353B0"/>
    <w:rsid w:val="00D4012D"/>
    <w:rsid w:val="00D405E1"/>
    <w:rsid w:val="00D41FB2"/>
    <w:rsid w:val="00D42833"/>
    <w:rsid w:val="00D447C1"/>
    <w:rsid w:val="00D453DF"/>
    <w:rsid w:val="00D47718"/>
    <w:rsid w:val="00D500D3"/>
    <w:rsid w:val="00D518CB"/>
    <w:rsid w:val="00D533DC"/>
    <w:rsid w:val="00D53C2C"/>
    <w:rsid w:val="00D53CCF"/>
    <w:rsid w:val="00D549EE"/>
    <w:rsid w:val="00D55540"/>
    <w:rsid w:val="00D573FC"/>
    <w:rsid w:val="00D60294"/>
    <w:rsid w:val="00D61602"/>
    <w:rsid w:val="00D616D2"/>
    <w:rsid w:val="00D626B6"/>
    <w:rsid w:val="00D63800"/>
    <w:rsid w:val="00D63B5F"/>
    <w:rsid w:val="00D6402D"/>
    <w:rsid w:val="00D652C2"/>
    <w:rsid w:val="00D67ED7"/>
    <w:rsid w:val="00D70EF7"/>
    <w:rsid w:val="00D712E1"/>
    <w:rsid w:val="00D723AF"/>
    <w:rsid w:val="00D72DA8"/>
    <w:rsid w:val="00D741F2"/>
    <w:rsid w:val="00D742F0"/>
    <w:rsid w:val="00D74530"/>
    <w:rsid w:val="00D7562C"/>
    <w:rsid w:val="00D76684"/>
    <w:rsid w:val="00D77D84"/>
    <w:rsid w:val="00D80090"/>
    <w:rsid w:val="00D81123"/>
    <w:rsid w:val="00D81FDE"/>
    <w:rsid w:val="00D826AD"/>
    <w:rsid w:val="00D8397C"/>
    <w:rsid w:val="00D87066"/>
    <w:rsid w:val="00D8771B"/>
    <w:rsid w:val="00D90515"/>
    <w:rsid w:val="00D91181"/>
    <w:rsid w:val="00D91813"/>
    <w:rsid w:val="00D918EB"/>
    <w:rsid w:val="00D92AD3"/>
    <w:rsid w:val="00D94AA3"/>
    <w:rsid w:val="00D94EED"/>
    <w:rsid w:val="00D95716"/>
    <w:rsid w:val="00D96026"/>
    <w:rsid w:val="00D96D70"/>
    <w:rsid w:val="00DA068F"/>
    <w:rsid w:val="00DA0D27"/>
    <w:rsid w:val="00DA41BF"/>
    <w:rsid w:val="00DA5ADE"/>
    <w:rsid w:val="00DA7725"/>
    <w:rsid w:val="00DA7C1C"/>
    <w:rsid w:val="00DB147A"/>
    <w:rsid w:val="00DB1B7A"/>
    <w:rsid w:val="00DB2480"/>
    <w:rsid w:val="00DB3B9D"/>
    <w:rsid w:val="00DB5545"/>
    <w:rsid w:val="00DB5888"/>
    <w:rsid w:val="00DB60FF"/>
    <w:rsid w:val="00DB7459"/>
    <w:rsid w:val="00DC262E"/>
    <w:rsid w:val="00DC3644"/>
    <w:rsid w:val="00DC3ACF"/>
    <w:rsid w:val="00DC405B"/>
    <w:rsid w:val="00DC46ED"/>
    <w:rsid w:val="00DC48DB"/>
    <w:rsid w:val="00DC66DA"/>
    <w:rsid w:val="00DC6708"/>
    <w:rsid w:val="00DC69CD"/>
    <w:rsid w:val="00DC74DA"/>
    <w:rsid w:val="00DD141E"/>
    <w:rsid w:val="00DD19E2"/>
    <w:rsid w:val="00DD2607"/>
    <w:rsid w:val="00DD287E"/>
    <w:rsid w:val="00DD3357"/>
    <w:rsid w:val="00DD39DD"/>
    <w:rsid w:val="00DD43E9"/>
    <w:rsid w:val="00DD5720"/>
    <w:rsid w:val="00DD6BF1"/>
    <w:rsid w:val="00DD6CA5"/>
    <w:rsid w:val="00DD6F65"/>
    <w:rsid w:val="00DD7D6F"/>
    <w:rsid w:val="00DE17D0"/>
    <w:rsid w:val="00DE22F1"/>
    <w:rsid w:val="00DE47A6"/>
    <w:rsid w:val="00DE574C"/>
    <w:rsid w:val="00DE5C4A"/>
    <w:rsid w:val="00DE6758"/>
    <w:rsid w:val="00DE691B"/>
    <w:rsid w:val="00DE764B"/>
    <w:rsid w:val="00DF10BA"/>
    <w:rsid w:val="00DF1FA7"/>
    <w:rsid w:val="00DF1FD4"/>
    <w:rsid w:val="00DF6BD7"/>
    <w:rsid w:val="00DF6EF5"/>
    <w:rsid w:val="00E00977"/>
    <w:rsid w:val="00E01436"/>
    <w:rsid w:val="00E01750"/>
    <w:rsid w:val="00E045BD"/>
    <w:rsid w:val="00E06277"/>
    <w:rsid w:val="00E102D0"/>
    <w:rsid w:val="00E10592"/>
    <w:rsid w:val="00E13B8C"/>
    <w:rsid w:val="00E15FF3"/>
    <w:rsid w:val="00E167B2"/>
    <w:rsid w:val="00E16F29"/>
    <w:rsid w:val="00E176AC"/>
    <w:rsid w:val="00E17B77"/>
    <w:rsid w:val="00E222CA"/>
    <w:rsid w:val="00E22E4E"/>
    <w:rsid w:val="00E23160"/>
    <w:rsid w:val="00E23337"/>
    <w:rsid w:val="00E23597"/>
    <w:rsid w:val="00E23FCC"/>
    <w:rsid w:val="00E2438C"/>
    <w:rsid w:val="00E2500C"/>
    <w:rsid w:val="00E25295"/>
    <w:rsid w:val="00E2567B"/>
    <w:rsid w:val="00E259EA"/>
    <w:rsid w:val="00E25C0C"/>
    <w:rsid w:val="00E27EB0"/>
    <w:rsid w:val="00E3145F"/>
    <w:rsid w:val="00E32061"/>
    <w:rsid w:val="00E33887"/>
    <w:rsid w:val="00E36B50"/>
    <w:rsid w:val="00E409A0"/>
    <w:rsid w:val="00E41128"/>
    <w:rsid w:val="00E41802"/>
    <w:rsid w:val="00E41C34"/>
    <w:rsid w:val="00E42258"/>
    <w:rsid w:val="00E426A9"/>
    <w:rsid w:val="00E42FF9"/>
    <w:rsid w:val="00E4360A"/>
    <w:rsid w:val="00E43CA1"/>
    <w:rsid w:val="00E454C6"/>
    <w:rsid w:val="00E4714C"/>
    <w:rsid w:val="00E47504"/>
    <w:rsid w:val="00E47AFC"/>
    <w:rsid w:val="00E504E8"/>
    <w:rsid w:val="00E50C08"/>
    <w:rsid w:val="00E510C2"/>
    <w:rsid w:val="00E51AEB"/>
    <w:rsid w:val="00E522A7"/>
    <w:rsid w:val="00E54452"/>
    <w:rsid w:val="00E60620"/>
    <w:rsid w:val="00E61FFF"/>
    <w:rsid w:val="00E6457C"/>
    <w:rsid w:val="00E64FEF"/>
    <w:rsid w:val="00E652A5"/>
    <w:rsid w:val="00E65DAD"/>
    <w:rsid w:val="00E65F0E"/>
    <w:rsid w:val="00E66190"/>
    <w:rsid w:val="00E664C5"/>
    <w:rsid w:val="00E671A2"/>
    <w:rsid w:val="00E677BD"/>
    <w:rsid w:val="00E67DBA"/>
    <w:rsid w:val="00E7040A"/>
    <w:rsid w:val="00E7130F"/>
    <w:rsid w:val="00E71320"/>
    <w:rsid w:val="00E72123"/>
    <w:rsid w:val="00E7226E"/>
    <w:rsid w:val="00E72D84"/>
    <w:rsid w:val="00E733CE"/>
    <w:rsid w:val="00E74894"/>
    <w:rsid w:val="00E75631"/>
    <w:rsid w:val="00E76D26"/>
    <w:rsid w:val="00E809C1"/>
    <w:rsid w:val="00E80FF2"/>
    <w:rsid w:val="00E81375"/>
    <w:rsid w:val="00E837DB"/>
    <w:rsid w:val="00E839A3"/>
    <w:rsid w:val="00E844B8"/>
    <w:rsid w:val="00E8536F"/>
    <w:rsid w:val="00E8586F"/>
    <w:rsid w:val="00E86939"/>
    <w:rsid w:val="00E86F02"/>
    <w:rsid w:val="00E9152D"/>
    <w:rsid w:val="00E929AB"/>
    <w:rsid w:val="00E92EB5"/>
    <w:rsid w:val="00E93155"/>
    <w:rsid w:val="00E93770"/>
    <w:rsid w:val="00E960EF"/>
    <w:rsid w:val="00EA00DA"/>
    <w:rsid w:val="00EA058A"/>
    <w:rsid w:val="00EA0BE2"/>
    <w:rsid w:val="00EA1DDD"/>
    <w:rsid w:val="00EA1E85"/>
    <w:rsid w:val="00EA20BB"/>
    <w:rsid w:val="00EA4253"/>
    <w:rsid w:val="00EA4710"/>
    <w:rsid w:val="00EA4A3A"/>
    <w:rsid w:val="00EA4B6B"/>
    <w:rsid w:val="00EA6BEA"/>
    <w:rsid w:val="00EA7817"/>
    <w:rsid w:val="00EB0C80"/>
    <w:rsid w:val="00EB1390"/>
    <w:rsid w:val="00EB181E"/>
    <w:rsid w:val="00EB1B97"/>
    <w:rsid w:val="00EB2348"/>
    <w:rsid w:val="00EB2C71"/>
    <w:rsid w:val="00EB4340"/>
    <w:rsid w:val="00EB4A53"/>
    <w:rsid w:val="00EB556D"/>
    <w:rsid w:val="00EB5A7D"/>
    <w:rsid w:val="00EB5C88"/>
    <w:rsid w:val="00EB6C8A"/>
    <w:rsid w:val="00EC14C9"/>
    <w:rsid w:val="00EC2FB8"/>
    <w:rsid w:val="00EC43FF"/>
    <w:rsid w:val="00EC4512"/>
    <w:rsid w:val="00EC4B38"/>
    <w:rsid w:val="00EC4D7C"/>
    <w:rsid w:val="00ED0910"/>
    <w:rsid w:val="00ED175F"/>
    <w:rsid w:val="00ED4620"/>
    <w:rsid w:val="00ED5150"/>
    <w:rsid w:val="00ED55C0"/>
    <w:rsid w:val="00ED680A"/>
    <w:rsid w:val="00ED682B"/>
    <w:rsid w:val="00EE1A29"/>
    <w:rsid w:val="00EE20A5"/>
    <w:rsid w:val="00EE22B6"/>
    <w:rsid w:val="00EE382B"/>
    <w:rsid w:val="00EE40A8"/>
    <w:rsid w:val="00EE41D5"/>
    <w:rsid w:val="00EE41FB"/>
    <w:rsid w:val="00EE59E1"/>
    <w:rsid w:val="00EE6984"/>
    <w:rsid w:val="00EE7781"/>
    <w:rsid w:val="00EF12D0"/>
    <w:rsid w:val="00EF1F9D"/>
    <w:rsid w:val="00EF315E"/>
    <w:rsid w:val="00EF6C1C"/>
    <w:rsid w:val="00EF76AE"/>
    <w:rsid w:val="00EF77DD"/>
    <w:rsid w:val="00F00B21"/>
    <w:rsid w:val="00F0299B"/>
    <w:rsid w:val="00F037A4"/>
    <w:rsid w:val="00F03ABA"/>
    <w:rsid w:val="00F04B01"/>
    <w:rsid w:val="00F07B50"/>
    <w:rsid w:val="00F07E78"/>
    <w:rsid w:val="00F12DA1"/>
    <w:rsid w:val="00F14D55"/>
    <w:rsid w:val="00F16054"/>
    <w:rsid w:val="00F16342"/>
    <w:rsid w:val="00F16B43"/>
    <w:rsid w:val="00F2094E"/>
    <w:rsid w:val="00F21EC8"/>
    <w:rsid w:val="00F232A8"/>
    <w:rsid w:val="00F236F8"/>
    <w:rsid w:val="00F24530"/>
    <w:rsid w:val="00F245B0"/>
    <w:rsid w:val="00F264C8"/>
    <w:rsid w:val="00F2672D"/>
    <w:rsid w:val="00F27C8F"/>
    <w:rsid w:val="00F324BC"/>
    <w:rsid w:val="00F32749"/>
    <w:rsid w:val="00F3350A"/>
    <w:rsid w:val="00F34207"/>
    <w:rsid w:val="00F3684B"/>
    <w:rsid w:val="00F36FD5"/>
    <w:rsid w:val="00F37172"/>
    <w:rsid w:val="00F37696"/>
    <w:rsid w:val="00F37820"/>
    <w:rsid w:val="00F37D71"/>
    <w:rsid w:val="00F37E45"/>
    <w:rsid w:val="00F4242C"/>
    <w:rsid w:val="00F4477E"/>
    <w:rsid w:val="00F45647"/>
    <w:rsid w:val="00F469A3"/>
    <w:rsid w:val="00F47E37"/>
    <w:rsid w:val="00F5137D"/>
    <w:rsid w:val="00F5196C"/>
    <w:rsid w:val="00F536E5"/>
    <w:rsid w:val="00F55B8D"/>
    <w:rsid w:val="00F55FE6"/>
    <w:rsid w:val="00F578CE"/>
    <w:rsid w:val="00F61D4B"/>
    <w:rsid w:val="00F628AF"/>
    <w:rsid w:val="00F64917"/>
    <w:rsid w:val="00F65F8F"/>
    <w:rsid w:val="00F66BF7"/>
    <w:rsid w:val="00F677E2"/>
    <w:rsid w:val="00F67941"/>
    <w:rsid w:val="00F67D30"/>
    <w:rsid w:val="00F67D8F"/>
    <w:rsid w:val="00F71B60"/>
    <w:rsid w:val="00F72ECC"/>
    <w:rsid w:val="00F747E7"/>
    <w:rsid w:val="00F76B37"/>
    <w:rsid w:val="00F7729C"/>
    <w:rsid w:val="00F77604"/>
    <w:rsid w:val="00F778C5"/>
    <w:rsid w:val="00F802BE"/>
    <w:rsid w:val="00F80E93"/>
    <w:rsid w:val="00F811A2"/>
    <w:rsid w:val="00F8346B"/>
    <w:rsid w:val="00F8458A"/>
    <w:rsid w:val="00F86024"/>
    <w:rsid w:val="00F8611A"/>
    <w:rsid w:val="00F867A2"/>
    <w:rsid w:val="00F86B0C"/>
    <w:rsid w:val="00F9066B"/>
    <w:rsid w:val="00F914A6"/>
    <w:rsid w:val="00F9160C"/>
    <w:rsid w:val="00F91D19"/>
    <w:rsid w:val="00F94C91"/>
    <w:rsid w:val="00F95DE7"/>
    <w:rsid w:val="00F95FF8"/>
    <w:rsid w:val="00F97401"/>
    <w:rsid w:val="00F97D09"/>
    <w:rsid w:val="00FA1527"/>
    <w:rsid w:val="00FA354C"/>
    <w:rsid w:val="00FA3D98"/>
    <w:rsid w:val="00FA5128"/>
    <w:rsid w:val="00FA70BB"/>
    <w:rsid w:val="00FA730B"/>
    <w:rsid w:val="00FB0147"/>
    <w:rsid w:val="00FB036A"/>
    <w:rsid w:val="00FB0F41"/>
    <w:rsid w:val="00FB32D9"/>
    <w:rsid w:val="00FB3A90"/>
    <w:rsid w:val="00FB42D4"/>
    <w:rsid w:val="00FB4ABC"/>
    <w:rsid w:val="00FB5906"/>
    <w:rsid w:val="00FB661D"/>
    <w:rsid w:val="00FB7351"/>
    <w:rsid w:val="00FB762F"/>
    <w:rsid w:val="00FB7F71"/>
    <w:rsid w:val="00FC0004"/>
    <w:rsid w:val="00FC015D"/>
    <w:rsid w:val="00FC027E"/>
    <w:rsid w:val="00FC029F"/>
    <w:rsid w:val="00FC2448"/>
    <w:rsid w:val="00FC2AED"/>
    <w:rsid w:val="00FC2C6F"/>
    <w:rsid w:val="00FC37A9"/>
    <w:rsid w:val="00FC4B05"/>
    <w:rsid w:val="00FC5340"/>
    <w:rsid w:val="00FC5965"/>
    <w:rsid w:val="00FC620D"/>
    <w:rsid w:val="00FC68AC"/>
    <w:rsid w:val="00FC76C2"/>
    <w:rsid w:val="00FD0581"/>
    <w:rsid w:val="00FD1DE1"/>
    <w:rsid w:val="00FD1E84"/>
    <w:rsid w:val="00FD59A3"/>
    <w:rsid w:val="00FD5EA7"/>
    <w:rsid w:val="00FD5F7C"/>
    <w:rsid w:val="00FD62E9"/>
    <w:rsid w:val="00FD7389"/>
    <w:rsid w:val="00FD77E1"/>
    <w:rsid w:val="00FD783D"/>
    <w:rsid w:val="00FD79D3"/>
    <w:rsid w:val="00FD7EC1"/>
    <w:rsid w:val="00FE18E3"/>
    <w:rsid w:val="00FE210F"/>
    <w:rsid w:val="00FE252C"/>
    <w:rsid w:val="00FE28C2"/>
    <w:rsid w:val="00FE47CC"/>
    <w:rsid w:val="00FE6972"/>
    <w:rsid w:val="00FE6E14"/>
    <w:rsid w:val="00FF0714"/>
    <w:rsid w:val="00FF152C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4D6496-76C0-4B29-8CD9-5FA2C57E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03EFA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hyperlink" Target="https://stat.gov.pl/obszary-tematyczne/inne-opracowania/informacje-o-sytuacji-spoleczno-gospodarczej/sytuacja-spoleczno-gospodarcza-kraju-w-pierwszym-kwartale-2020-r-,1,95.html" TargetMode="External"/><Relationship Id="rId21" Type="http://schemas.openxmlformats.org/officeDocument/2006/relationships/chart" Target="charts/chart7.xml"/><Relationship Id="rId34" Type="http://schemas.openxmlformats.org/officeDocument/2006/relationships/hyperlink" Target="https://stat.gov.pl/obszary-tematyczne/inne-opracowania/informacje-o-sytuacji-spoleczno-gospodarczej/biuletyn-statystyczny-nr-32020,4,98.html" TargetMode="External"/><Relationship Id="rId42" Type="http://schemas.openxmlformats.org/officeDocument/2006/relationships/hyperlink" Target="https://bdl.stat.gov.pl/BDL/start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8.png"/><Relationship Id="rId3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40" Type="http://schemas.openxmlformats.org/officeDocument/2006/relationships/hyperlink" Target="https://stat.gov.pl/obszary-tematyczne/inne-opracowania/informacje-o-sytuacji-spoleczno-gospodarczej/biuletyn-statystyczny-nr-32020,4,98.html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footer" Target="footer3.xml"/><Relationship Id="rId36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7.png"/><Relationship Id="rId44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header" Target="header2.xml"/><Relationship Id="rId30" Type="http://schemas.openxmlformats.org/officeDocument/2006/relationships/image" Target="media/image6.png"/><Relationship Id="rId35" Type="http://schemas.openxmlformats.org/officeDocument/2006/relationships/hyperlink" Target="https://kielce.stat.gov.pl/opracowania-biezace/komunikaty-i-biuletyny/inne-opracowania/biuletyn-statystyczny-wojewodztwa-swietokrzyskiego-iv-kwartal-2019,3,40.html" TargetMode="External"/><Relationship Id="rId43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hyperlink" Target="https://stat.gov.pl/obszary-tematyczne/inne-opracowania/informacje-o-sytuacji-spoleczno-gospodarczej/sytuacja-spoleczno-gospodarcza-kraju-w-pierwszym-kwartale-2020-r-,1,95.html" TargetMode="External"/><Relationship Id="rId38" Type="http://schemas.openxmlformats.org/officeDocument/2006/relationships/hyperlink" Target="https://stat.gov.pl/metainformacje/slownik-pojec/pojecia-stosowane-w-statystyce-publicznej/" TargetMode="External"/><Relationship Id="rId46" Type="http://schemas.openxmlformats.org/officeDocument/2006/relationships/footer" Target="footer4.xml"/><Relationship Id="rId20" Type="http://schemas.openxmlformats.org/officeDocument/2006/relationships/chart" Target="charts/chart6.xml"/><Relationship Id="rId41" Type="http://schemas.openxmlformats.org/officeDocument/2006/relationships/hyperlink" Target="https://kielce.stat.gov.pl/opracowania-biezace/komunikaty-i-biuletyny/inne-opracowania/biuletyn-statystyczny-wojewodztwa-swietokrzyskiego-iv-kwartal-2019,3,40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Dynamika%20produkcji%20sprzedanej%20przemys&#322;u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dynamika_mieszka&#324;_oddanych_do_u&#380;ytkowania_baza_2015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0\Komunikat%2003.2020\wykresy\Mieszkania_III_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0\Komunikat%2003.2020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1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../embeddings/oleObject1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Przeci&#281;tne%20ceny%20skupu%20zb&#243;&#380;%20i%20ceny%20targowiskowe%20ziemniak&#243;w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Przeci&#281;tne%20ceny%20skupu%20&#380;ywca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3.2020\wykresy\Relacja%20przeci&#281;tnych%20cen%20skupu%20&#380;w%20do%20c&#3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zatr_wynagr!$A$10:$B$48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zatr_wynagr!$C$10:$C$48</c:f>
              <c:numCache>
                <c:formatCode>General</c:formatCode>
                <c:ptCount val="39"/>
                <c:pt idx="0" formatCode="0.0">
                  <c:v>106.4</c:v>
                </c:pt>
                <c:pt idx="1">
                  <c:v>106.7</c:v>
                </c:pt>
                <c:pt idx="2">
                  <c:v>106.8</c:v>
                </c:pt>
                <c:pt idx="3" formatCode="0.0">
                  <c:v>107</c:v>
                </c:pt>
                <c:pt idx="4" formatCode="0.0">
                  <c:v>107</c:v>
                </c:pt>
                <c:pt idx="5">
                  <c:v>107.2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 formatCode="0.0">
                  <c:v>107.8</c:v>
                </c:pt>
                <c:pt idx="10">
                  <c:v>108.1</c:v>
                </c:pt>
                <c:pt idx="11">
                  <c:v>108.3</c:v>
                </c:pt>
                <c:pt idx="12">
                  <c:v>110.5</c:v>
                </c:pt>
                <c:pt idx="13" formatCode="0.0">
                  <c:v>110.7</c:v>
                </c:pt>
                <c:pt idx="14">
                  <c:v>110.8</c:v>
                </c:pt>
                <c:pt idx="15">
                  <c:v>110.9</c:v>
                </c:pt>
                <c:pt idx="16" formatCode="0.0">
                  <c:v>110.9</c:v>
                </c:pt>
                <c:pt idx="17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>
                  <c:v>111.1</c:v>
                </c:pt>
                <c:pt idx="21">
                  <c:v>111.1</c:v>
                </c:pt>
                <c:pt idx="22">
                  <c:v>111.2</c:v>
                </c:pt>
                <c:pt idx="23">
                  <c:v>111.2</c:v>
                </c:pt>
                <c:pt idx="24">
                  <c:v>113.6</c:v>
                </c:pt>
                <c:pt idx="25">
                  <c:v>113.8</c:v>
                </c:pt>
                <c:pt idx="26" formatCode="0.0">
                  <c:v>114</c:v>
                </c:pt>
                <c:pt idx="27" formatCode="0.0">
                  <c:v>114</c:v>
                </c:pt>
                <c:pt idx="28">
                  <c:v>113.8</c:v>
                </c:pt>
                <c:pt idx="29" formatCode="0.0">
                  <c:v>114</c:v>
                </c:pt>
                <c:pt idx="30" formatCode="0.0">
                  <c:v>114.1</c:v>
                </c:pt>
                <c:pt idx="31" formatCode="0.0">
                  <c:v>114</c:v>
                </c:pt>
                <c:pt idx="32" formatCode="0.0">
                  <c:v>113.9</c:v>
                </c:pt>
                <c:pt idx="33" formatCode="0.0">
                  <c:v>113.9</c:v>
                </c:pt>
                <c:pt idx="34" formatCode="0.0">
                  <c:v>114.1</c:v>
                </c:pt>
                <c:pt idx="35" formatCode="0.0">
                  <c:v>114.1</c:v>
                </c:pt>
                <c:pt idx="36">
                  <c:v>114.9</c:v>
                </c:pt>
                <c:pt idx="37" formatCode="0.0">
                  <c:v>115</c:v>
                </c:pt>
                <c:pt idx="38" formatCode="0.0">
                  <c:v>114.4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zatr_wynagr!$A$10:$B$48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zatr_wynagr!$D$10:$D$48</c:f>
              <c:numCache>
                <c:formatCode>0.0</c:formatCode>
                <c:ptCount val="39"/>
                <c:pt idx="0">
                  <c:v>104.84409850243524</c:v>
                </c:pt>
                <c:pt idx="1">
                  <c:v>105.21006873321498</c:v>
                </c:pt>
                <c:pt idx="2">
                  <c:v>107.71450680504347</c:v>
                </c:pt>
                <c:pt idx="3">
                  <c:v>107.5934271018253</c:v>
                </c:pt>
                <c:pt idx="4">
                  <c:v>107.80281305475899</c:v>
                </c:pt>
                <c:pt idx="5">
                  <c:v>108.17242478037234</c:v>
                </c:pt>
                <c:pt idx="6">
                  <c:v>108.43370203468524</c:v>
                </c:pt>
                <c:pt idx="7">
                  <c:v>107.90295416268378</c:v>
                </c:pt>
                <c:pt idx="8">
                  <c:v>107.92662387910237</c:v>
                </c:pt>
                <c:pt idx="9">
                  <c:v>108.28349037279803</c:v>
                </c:pt>
                <c:pt idx="10">
                  <c:v>108.4291501661432</c:v>
                </c:pt>
                <c:pt idx="11">
                  <c:v>108.46283399335427</c:v>
                </c:pt>
                <c:pt idx="12">
                  <c:v>110.94451272247257</c:v>
                </c:pt>
                <c:pt idx="13">
                  <c:v>110.91173926896991</c:v>
                </c:pt>
                <c:pt idx="14" formatCode="General">
                  <c:v>111.2</c:v>
                </c:pt>
                <c:pt idx="15">
                  <c:v>111.36237425463153</c:v>
                </c:pt>
                <c:pt idx="16">
                  <c:v>111.8</c:v>
                </c:pt>
                <c:pt idx="17" formatCode="General">
                  <c:v>112.1</c:v>
                </c:pt>
                <c:pt idx="18">
                  <c:v>112.2</c:v>
                </c:pt>
                <c:pt idx="19">
                  <c:v>112.1</c:v>
                </c:pt>
                <c:pt idx="20" formatCode="General">
                  <c:v>112.2</c:v>
                </c:pt>
                <c:pt idx="21" formatCode="General">
                  <c:v>112.8</c:v>
                </c:pt>
                <c:pt idx="22" formatCode="General">
                  <c:v>112.9</c:v>
                </c:pt>
                <c:pt idx="23" formatCode="General">
                  <c:v>112.6</c:v>
                </c:pt>
                <c:pt idx="24" formatCode="General">
                  <c:v>115.3</c:v>
                </c:pt>
                <c:pt idx="25" formatCode="General">
                  <c:v>115.3</c:v>
                </c:pt>
                <c:pt idx="26" formatCode="General">
                  <c:v>115.3</c:v>
                </c:pt>
                <c:pt idx="27" formatCode="General">
                  <c:v>115.1</c:v>
                </c:pt>
                <c:pt idx="28" formatCode="General">
                  <c:v>114.9</c:v>
                </c:pt>
                <c:pt idx="29" formatCode="General">
                  <c:v>115.2</c:v>
                </c:pt>
                <c:pt idx="30" formatCode="General">
                  <c:v>115.2</c:v>
                </c:pt>
                <c:pt idx="31" formatCode="General">
                  <c:v>115.2</c:v>
                </c:pt>
                <c:pt idx="32" formatCode="General">
                  <c:v>115.1</c:v>
                </c:pt>
                <c:pt idx="33" formatCode="General">
                  <c:v>113.4</c:v>
                </c:pt>
                <c:pt idx="34" formatCode="General">
                  <c:v>113.3</c:v>
                </c:pt>
                <c:pt idx="35" formatCode="General">
                  <c:v>112.8</c:v>
                </c:pt>
                <c:pt idx="36" formatCode="General">
                  <c:v>112.8</c:v>
                </c:pt>
                <c:pt idx="37">
                  <c:v>114.95470890800674</c:v>
                </c:pt>
                <c:pt idx="38" formatCode="General">
                  <c:v>114.1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82818928"/>
        <c:axId val="1982813488"/>
      </c:lineChart>
      <c:catAx>
        <c:axId val="1982818928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82813488"/>
        <c:crosses val="autoZero"/>
        <c:auto val="1"/>
        <c:lblAlgn val="ctr"/>
        <c:lblOffset val="100"/>
        <c:noMultiLvlLbl val="0"/>
      </c:catAx>
      <c:valAx>
        <c:axId val="1982813488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8281892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42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20727771566318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(2)'!$A$32:$B$450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(2)'!$D$32:$D$70</c:f>
              <c:numCache>
                <c:formatCode>0.0</c:formatCode>
                <c:ptCount val="39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chemeClr val="bg1">
                  <a:lumMod val="65000"/>
                </a:schemeClr>
              </a:solidFill>
            </a:ln>
          </c:spPr>
          <c:marker>
            <c:symbol val="none"/>
          </c:marker>
          <c:cat>
            <c:multiLvlStrRef>
              <c:f>'Przemysł (2)'!$A$32:$B$450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(2)'!$C$32:$C$70</c:f>
              <c:numCache>
                <c:formatCode>0.0</c:formatCode>
                <c:ptCount val="39"/>
                <c:pt idx="0">
                  <c:v>88.020577016664561</c:v>
                </c:pt>
                <c:pt idx="1">
                  <c:v>85.535832662126495</c:v>
                </c:pt>
                <c:pt idx="2">
                  <c:v>119.24354208156494</c:v>
                </c:pt>
                <c:pt idx="3">
                  <c:v>103.77323175233116</c:v>
                </c:pt>
                <c:pt idx="4">
                  <c:v>111.11295245026443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114.23469345742858</c:v>
                </c:pt>
                <c:pt idx="8">
                  <c:v>118.63476438168267</c:v>
                </c:pt>
                <c:pt idx="9">
                  <c:v>129.31028434466867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</c:v>
                </c:pt>
                <c:pt idx="14">
                  <c:v>114.77797799329534</c:v>
                </c:pt>
                <c:pt idx="15">
                  <c:v>110.82724200702422</c:v>
                </c:pt>
                <c:pt idx="16">
                  <c:v>114.85626932486517</c:v>
                </c:pt>
                <c:pt idx="17">
                  <c:v>124.42796153353027</c:v>
                </c:pt>
                <c:pt idx="18">
                  <c:v>125.89609049538331</c:v>
                </c:pt>
                <c:pt idx="19">
                  <c:v>122.62279214250334</c:v>
                </c:pt>
                <c:pt idx="20">
                  <c:v>123.62974101057151</c:v>
                </c:pt>
                <c:pt idx="21">
                  <c:v>133.3768543307045</c:v>
                </c:pt>
                <c:pt idx="22">
                  <c:v>128.15460310308845</c:v>
                </c:pt>
                <c:pt idx="23">
                  <c:v>113.70759377645609</c:v>
                </c:pt>
                <c:pt idx="24">
                  <c:v>107.16245910775091</c:v>
                </c:pt>
                <c:pt idx="25">
                  <c:v>116.12454759523129</c:v>
                </c:pt>
                <c:pt idx="26">
                  <c:v>129.42983544029428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130.9526831507994</c:v>
                </c:pt>
                <c:pt idx="31">
                  <c:v>114.29441996022656</c:v>
                </c:pt>
                <c:pt idx="32">
                  <c:v>133.40933761842211</c:v>
                </c:pt>
                <c:pt idx="33">
                  <c:v>133.08815988550933</c:v>
                </c:pt>
                <c:pt idx="34">
                  <c:v>131.23499658143342</c:v>
                </c:pt>
                <c:pt idx="35">
                  <c:v>126.58001548325306</c:v>
                </c:pt>
                <c:pt idx="36">
                  <c:v>112.65621378009523</c:v>
                </c:pt>
                <c:pt idx="37">
                  <c:v>116.67256110305439</c:v>
                </c:pt>
                <c:pt idx="38">
                  <c:v>135.26297588474691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71249872"/>
        <c:axId val="1771250416"/>
      </c:lineChart>
      <c:catAx>
        <c:axId val="177124987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71250416"/>
        <c:crosses val="autoZero"/>
        <c:auto val="1"/>
        <c:lblAlgn val="ctr"/>
        <c:lblOffset val="100"/>
        <c:noMultiLvlLbl val="0"/>
      </c:catAx>
      <c:valAx>
        <c:axId val="1771250416"/>
        <c:scaling>
          <c:orientation val="minMax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712498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941723258804685E-2"/>
          <c:y val="5.6048532855548748E-2"/>
          <c:w val="0.9513419107914102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wykres_komunikat!$A$17:$B$55</c:f>
              <c:multiLvlStrCache>
                <c:ptCount val="39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wykres_komunikat!$C$17:$C$55</c:f>
              <c:numCache>
                <c:formatCode>0.0</c:formatCode>
                <c:ptCount val="39"/>
                <c:pt idx="0">
                  <c:v>130.4902962206333</c:v>
                </c:pt>
                <c:pt idx="1">
                  <c:v>126.31702838849395</c:v>
                </c:pt>
                <c:pt idx="2">
                  <c:v>127.75762546131281</c:v>
                </c:pt>
                <c:pt idx="3">
                  <c:v>122.92704921923206</c:v>
                </c:pt>
                <c:pt idx="4">
                  <c:v>124.5337596102611</c:v>
                </c:pt>
                <c:pt idx="5">
                  <c:v>122.38689303692587</c:v>
                </c:pt>
                <c:pt idx="6">
                  <c:v>124.42096497163379</c:v>
                </c:pt>
                <c:pt idx="7">
                  <c:v>124.93215392825915</c:v>
                </c:pt>
                <c:pt idx="8">
                  <c:v>122.6021651814351</c:v>
                </c:pt>
                <c:pt idx="9">
                  <c:v>121.79524661209329</c:v>
                </c:pt>
                <c:pt idx="10">
                  <c:v>122.87129322013044</c:v>
                </c:pt>
                <c:pt idx="11">
                  <c:v>120.7371150422108</c:v>
                </c:pt>
                <c:pt idx="12">
                  <c:v>127.72386789240721</c:v>
                </c:pt>
                <c:pt idx="13">
                  <c:v>140.88790546584434</c:v>
                </c:pt>
                <c:pt idx="14">
                  <c:v>140.78793805002681</c:v>
                </c:pt>
                <c:pt idx="15">
                  <c:v>138.81769424272628</c:v>
                </c:pt>
                <c:pt idx="16">
                  <c:v>134.10025119890386</c:v>
                </c:pt>
                <c:pt idx="17">
                  <c:v>129.42188037394865</c:v>
                </c:pt>
                <c:pt idx="18">
                  <c:v>129.36943736012074</c:v>
                </c:pt>
                <c:pt idx="19">
                  <c:v>131.53394574585261</c:v>
                </c:pt>
                <c:pt idx="20">
                  <c:v>128.04768530854329</c:v>
                </c:pt>
                <c:pt idx="21">
                  <c:v>127.79717273165028</c:v>
                </c:pt>
                <c:pt idx="22">
                  <c:v>126.96336286452565</c:v>
                </c:pt>
                <c:pt idx="23">
                  <c:v>125.28721625335959</c:v>
                </c:pt>
                <c:pt idx="24">
                  <c:v>147.46339802519577</c:v>
                </c:pt>
                <c:pt idx="25">
                  <c:v>152.44103384963043</c:v>
                </c:pt>
                <c:pt idx="26">
                  <c:v>149.59152130713181</c:v>
                </c:pt>
                <c:pt idx="27">
                  <c:v>154.4567848497793</c:v>
                </c:pt>
                <c:pt idx="28">
                  <c:v>152.34262008068814</c:v>
                </c:pt>
                <c:pt idx="29">
                  <c:v>147.78632398461681</c:v>
                </c:pt>
                <c:pt idx="30">
                  <c:v>145.05673242075679</c:v>
                </c:pt>
                <c:pt idx="31">
                  <c:v>146.28180816878057</c:v>
                </c:pt>
                <c:pt idx="32">
                  <c:v>143.79607425170974</c:v>
                </c:pt>
                <c:pt idx="33">
                  <c:v>142.96880374217514</c:v>
                </c:pt>
                <c:pt idx="34">
                  <c:v>142.56952134859111</c:v>
                </c:pt>
                <c:pt idx="35">
                  <c:v>140.46279559409928</c:v>
                </c:pt>
                <c:pt idx="36">
                  <c:v>148.18692543411643</c:v>
                </c:pt>
                <c:pt idx="37">
                  <c:v>157.52083235252579</c:v>
                </c:pt>
                <c:pt idx="38">
                  <c:v>156.20919155915846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wykres_komunikat!$A$17:$B$55</c:f>
              <c:multiLvlStrCache>
                <c:ptCount val="39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wykres_komunikat!$D$17:$D$55</c:f>
              <c:numCache>
                <c:formatCode>0.0</c:formatCode>
                <c:ptCount val="39"/>
                <c:pt idx="0">
                  <c:v>198.77300613496934</c:v>
                </c:pt>
                <c:pt idx="1">
                  <c:v>139.72972972972971</c:v>
                </c:pt>
                <c:pt idx="2">
                  <c:v>112.09800918836142</c:v>
                </c:pt>
                <c:pt idx="3">
                  <c:v>104.47247706422019</c:v>
                </c:pt>
                <c:pt idx="4">
                  <c:v>114.04741000877962</c:v>
                </c:pt>
                <c:pt idx="5">
                  <c:v>105.25252525252525</c:v>
                </c:pt>
                <c:pt idx="6">
                  <c:v>105</c:v>
                </c:pt>
                <c:pt idx="7">
                  <c:v>110.90047393364928</c:v>
                </c:pt>
                <c:pt idx="8">
                  <c:v>112.55453223460978</c:v>
                </c:pt>
                <c:pt idx="9">
                  <c:v>102.78338039532069</c:v>
                </c:pt>
                <c:pt idx="10">
                  <c:v>97.16814159292035</c:v>
                </c:pt>
                <c:pt idx="11">
                  <c:v>92.431798181284833</c:v>
                </c:pt>
                <c:pt idx="12">
                  <c:v>223.31288343558282</c:v>
                </c:pt>
                <c:pt idx="13">
                  <c:v>190.54054054054055</c:v>
                </c:pt>
                <c:pt idx="14">
                  <c:v>159.57120980091884</c:v>
                </c:pt>
                <c:pt idx="15">
                  <c:v>142.08715596330273</c:v>
                </c:pt>
                <c:pt idx="16">
                  <c:v>127.04126426690078</c:v>
                </c:pt>
                <c:pt idx="17">
                  <c:v>115.55555555555554</c:v>
                </c:pt>
                <c:pt idx="18">
                  <c:v>120.29411764705881</c:v>
                </c:pt>
                <c:pt idx="19">
                  <c:v>117.32490784623486</c:v>
                </c:pt>
                <c:pt idx="20">
                  <c:v>126.46631119728551</c:v>
                </c:pt>
                <c:pt idx="21">
                  <c:v>112.50504235578862</c:v>
                </c:pt>
                <c:pt idx="22">
                  <c:v>105.20353982300885</c:v>
                </c:pt>
                <c:pt idx="23">
                  <c:v>95.541214432384862</c:v>
                </c:pt>
                <c:pt idx="24">
                  <c:v>220.24539877300614</c:v>
                </c:pt>
                <c:pt idx="25">
                  <c:v>188.37837837837839</c:v>
                </c:pt>
                <c:pt idx="26">
                  <c:v>137.21286370597244</c:v>
                </c:pt>
                <c:pt idx="27">
                  <c:v>130.61926605504587</c:v>
                </c:pt>
                <c:pt idx="28">
                  <c:v>125.89991220368744</c:v>
                </c:pt>
                <c:pt idx="29">
                  <c:v>114.07407407407408</c:v>
                </c:pt>
                <c:pt idx="30">
                  <c:v>121.64705882352942</c:v>
                </c:pt>
                <c:pt idx="31">
                  <c:v>125.38177988414955</c:v>
                </c:pt>
                <c:pt idx="32">
                  <c:v>129.6655356277266</c:v>
                </c:pt>
                <c:pt idx="33">
                  <c:v>123.19483662767246</c:v>
                </c:pt>
                <c:pt idx="34">
                  <c:v>116.31858407079645</c:v>
                </c:pt>
                <c:pt idx="35">
                  <c:v>113.61102962745673</c:v>
                </c:pt>
                <c:pt idx="36">
                  <c:v>214.72392638036811</c:v>
                </c:pt>
                <c:pt idx="37">
                  <c:v>150.54054054054055</c:v>
                </c:pt>
                <c:pt idx="38">
                  <c:v>122.3583460949464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71251504"/>
        <c:axId val="1574127216"/>
      </c:lineChart>
      <c:catAx>
        <c:axId val="17712515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1574127216"/>
        <c:crosses val="autoZero"/>
        <c:auto val="1"/>
        <c:lblAlgn val="ctr"/>
        <c:lblOffset val="100"/>
        <c:noMultiLvlLbl val="0"/>
      </c:catAx>
      <c:valAx>
        <c:axId val="1574127216"/>
        <c:scaling>
          <c:orientation val="minMax"/>
          <c:max val="230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crossAx val="1771251504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Arkusz1!$A$27:$A$40</c:f>
              <c:strCache>
                <c:ptCount val="14"/>
                <c:pt idx="0">
                  <c:v>pińczowski</c:v>
                </c:pt>
                <c:pt idx="1">
                  <c:v>kazimierski</c:v>
                </c:pt>
                <c:pt idx="2">
                  <c:v>konecki</c:v>
                </c:pt>
                <c:pt idx="3">
                  <c:v>skarżyski</c:v>
                </c:pt>
                <c:pt idx="4">
                  <c:v>opatowski</c:v>
                </c:pt>
                <c:pt idx="5">
                  <c:v>sandomierski</c:v>
                </c:pt>
                <c:pt idx="6">
                  <c:v>starachowicki</c:v>
                </c:pt>
                <c:pt idx="7">
                  <c:v>włoszczowski</c:v>
                </c:pt>
                <c:pt idx="8">
                  <c:v>ostrowiecki</c:v>
                </c:pt>
                <c:pt idx="9">
                  <c:v>buski</c:v>
                </c:pt>
                <c:pt idx="10">
                  <c:v>staszowski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Arkusz1!$B$27:$B$40</c:f>
              <c:numCache>
                <c:formatCode>#,##0</c:formatCode>
                <c:ptCount val="14"/>
                <c:pt idx="0">
                  <c:v>9</c:v>
                </c:pt>
                <c:pt idx="1">
                  <c:v>11</c:v>
                </c:pt>
                <c:pt idx="2">
                  <c:v>12</c:v>
                </c:pt>
                <c:pt idx="3">
                  <c:v>14</c:v>
                </c:pt>
                <c:pt idx="4">
                  <c:v>19</c:v>
                </c:pt>
                <c:pt idx="5">
                  <c:v>30</c:v>
                </c:pt>
                <c:pt idx="6">
                  <c:v>30</c:v>
                </c:pt>
                <c:pt idx="7">
                  <c:v>32</c:v>
                </c:pt>
                <c:pt idx="8">
                  <c:v>32</c:v>
                </c:pt>
                <c:pt idx="9">
                  <c:v>43</c:v>
                </c:pt>
                <c:pt idx="10">
                  <c:v>48</c:v>
                </c:pt>
                <c:pt idx="11">
                  <c:v>50</c:v>
                </c:pt>
                <c:pt idx="12">
                  <c:v>205</c:v>
                </c:pt>
                <c:pt idx="13">
                  <c:v>264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574131568"/>
        <c:axId val="1574128848"/>
      </c:barChart>
      <c:catAx>
        <c:axId val="1574131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74128848"/>
        <c:crosses val="autoZero"/>
        <c:auto val="1"/>
        <c:lblAlgn val="ctr"/>
        <c:lblOffset val="100"/>
        <c:noMultiLvlLbl val="0"/>
      </c:catAx>
      <c:valAx>
        <c:axId val="1574128848"/>
        <c:scaling>
          <c:orientation val="minMax"/>
          <c:max val="28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74131568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811101865658727E-2"/>
          <c:y val="0.10245035500436336"/>
          <c:w val="0.95411719388315519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bezrobocie!$B$147:$C$185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bezrobocie!$D$147:$D$185</c:f>
              <c:numCache>
                <c:formatCode>0.0</c:formatCode>
                <c:ptCount val="39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 formatCode="General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 formatCode="General">
                  <c:v>6.1</c:v>
                </c:pt>
                <c:pt idx="17" formatCode="General">
                  <c:v>5.8</c:v>
                </c:pt>
                <c:pt idx="18" formatCode="General">
                  <c:v>5.8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  <c:pt idx="24" formatCode="General">
                  <c:v>6.1</c:v>
                </c:pt>
                <c:pt idx="25" formatCode="General">
                  <c:v>6.1</c:v>
                </c:pt>
                <c:pt idx="26" formatCode="General">
                  <c:v>5.9</c:v>
                </c:pt>
                <c:pt idx="27" formatCode="General">
                  <c:v>5.6</c:v>
                </c:pt>
                <c:pt idx="28">
                  <c:v>5.4</c:v>
                </c:pt>
                <c:pt idx="29" formatCode="General">
                  <c:v>5.3</c:v>
                </c:pt>
                <c:pt idx="30">
                  <c:v>5.2</c:v>
                </c:pt>
                <c:pt idx="31" formatCode="General">
                  <c:v>5.2</c:v>
                </c:pt>
                <c:pt idx="32" formatCode="General">
                  <c:v>5.0999999999999996</c:v>
                </c:pt>
                <c:pt idx="33">
                  <c:v>5</c:v>
                </c:pt>
                <c:pt idx="34" formatCode="General">
                  <c:v>5.0999999999999996</c:v>
                </c:pt>
                <c:pt idx="35" formatCode="General">
                  <c:v>5.2</c:v>
                </c:pt>
                <c:pt idx="36" formatCode="General">
                  <c:v>5.5</c:v>
                </c:pt>
                <c:pt idx="37" formatCode="General">
                  <c:v>5.5</c:v>
                </c:pt>
                <c:pt idx="38" formatCode="General">
                  <c:v>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bezrobocie!$B$147:$C$185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bezrobocie!$E$147:$E$185</c:f>
              <c:numCache>
                <c:formatCode>0.0</c:formatCode>
                <c:ptCount val="39"/>
                <c:pt idx="0">
                  <c:v>11.1</c:v>
                </c:pt>
                <c:pt idx="1">
                  <c:v>10.9</c:v>
                </c:pt>
                <c:pt idx="2">
                  <c:v>10.4</c:v>
                </c:pt>
                <c:pt idx="3">
                  <c:v>9.8000000000000007</c:v>
                </c:pt>
                <c:pt idx="4">
                  <c:v>9.5</c:v>
                </c:pt>
                <c:pt idx="5">
                  <c:v>9.1</c:v>
                </c:pt>
                <c:pt idx="6">
                  <c:v>9.1</c:v>
                </c:pt>
                <c:pt idx="7">
                  <c:v>9.1</c:v>
                </c:pt>
                <c:pt idx="8" formatCode="General">
                  <c:v>8.9</c:v>
                </c:pt>
                <c:pt idx="9">
                  <c:v>8.6</c:v>
                </c:pt>
                <c:pt idx="10">
                  <c:v>8.6</c:v>
                </c:pt>
                <c:pt idx="11">
                  <c:v>8.8000000000000007</c:v>
                </c:pt>
                <c:pt idx="12" formatCode="General">
                  <c:v>9.3000000000000007</c:v>
                </c:pt>
                <c:pt idx="13">
                  <c:v>9.3000000000000007</c:v>
                </c:pt>
                <c:pt idx="14">
                  <c:v>9.1</c:v>
                </c:pt>
                <c:pt idx="15">
                  <c:v>8.6999999999999993</c:v>
                </c:pt>
                <c:pt idx="16" formatCode="General">
                  <c:v>8.4</c:v>
                </c:pt>
                <c:pt idx="17" formatCode="General">
                  <c:v>8.1</c:v>
                </c:pt>
                <c:pt idx="18" formatCode="General">
                  <c:v>8.1999999999999993</c:v>
                </c:pt>
                <c:pt idx="19" formatCode="General">
                  <c:v>8.1999999999999993</c:v>
                </c:pt>
                <c:pt idx="20" formatCode="General">
                  <c:v>8.1</c:v>
                </c:pt>
                <c:pt idx="21" formatCode="General">
                  <c:v>7.9</c:v>
                </c:pt>
                <c:pt idx="22" formatCode="General">
                  <c:v>8.1</c:v>
                </c:pt>
                <c:pt idx="23" formatCode="General">
                  <c:v>8.3000000000000007</c:v>
                </c:pt>
                <c:pt idx="24" formatCode="General">
                  <c:v>8.8000000000000007</c:v>
                </c:pt>
                <c:pt idx="25" formatCode="General">
                  <c:v>8.6</c:v>
                </c:pt>
                <c:pt idx="26" formatCode="General">
                  <c:v>8.3000000000000007</c:v>
                </c:pt>
                <c:pt idx="27">
                  <c:v>8</c:v>
                </c:pt>
                <c:pt idx="28">
                  <c:v>7.8</c:v>
                </c:pt>
                <c:pt idx="29" formatCode="General">
                  <c:v>7.6</c:v>
                </c:pt>
                <c:pt idx="30">
                  <c:v>7.7</c:v>
                </c:pt>
                <c:pt idx="31" formatCode="General">
                  <c:v>7.7</c:v>
                </c:pt>
                <c:pt idx="32" formatCode="General">
                  <c:v>7.7</c:v>
                </c:pt>
                <c:pt idx="33" formatCode="General">
                  <c:v>7.6</c:v>
                </c:pt>
                <c:pt idx="34" formatCode="General">
                  <c:v>7.7</c:v>
                </c:pt>
                <c:pt idx="35" formatCode="General">
                  <c:v>7.9</c:v>
                </c:pt>
                <c:pt idx="36" formatCode="General">
                  <c:v>8.3000000000000007</c:v>
                </c:pt>
                <c:pt idx="37" formatCode="General">
                  <c:v>8.3000000000000007</c:v>
                </c:pt>
                <c:pt idx="38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82817296"/>
        <c:axId val="1982814032"/>
      </c:lineChart>
      <c:catAx>
        <c:axId val="198281729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82814032"/>
        <c:crosses val="autoZero"/>
        <c:auto val="1"/>
        <c:lblAlgn val="ctr"/>
        <c:lblOffset val="100"/>
        <c:noMultiLvlLbl val="0"/>
      </c:catAx>
      <c:valAx>
        <c:axId val="1982814032"/>
        <c:scaling>
          <c:orientation val="minMax"/>
          <c:max val="14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1.6474680799778367E-2"/>
              <c:y val="2.0668944107247258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82817296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Arkusz1!$A$124:$B$162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Arkusz1!$C$124:$C$162</c:f>
              <c:numCache>
                <c:formatCode>0</c:formatCode>
                <c:ptCount val="39"/>
                <c:pt idx="0">
                  <c:v>29.955734406438633</c:v>
                </c:pt>
                <c:pt idx="1">
                  <c:v>22</c:v>
                </c:pt>
                <c:pt idx="2">
                  <c:v>20</c:v>
                </c:pt>
                <c:pt idx="3">
                  <c:v>21.613184079601989</c:v>
                </c:pt>
                <c:pt idx="4">
                  <c:v>18.81624251497006</c:v>
                </c:pt>
                <c:pt idx="5">
                  <c:v>15.358859339955142</c:v>
                </c:pt>
                <c:pt idx="6">
                  <c:v>17</c:v>
                </c:pt>
                <c:pt idx="7">
                  <c:v>16</c:v>
                </c:pt>
                <c:pt idx="8">
                  <c:v>19</c:v>
                </c:pt>
                <c:pt idx="9">
                  <c:v>20.701834862385322</c:v>
                </c:pt>
                <c:pt idx="10">
                  <c:v>21.273492286115008</c:v>
                </c:pt>
                <c:pt idx="11">
                  <c:v>38</c:v>
                </c:pt>
                <c:pt idx="12">
                  <c:v>22</c:v>
                </c:pt>
                <c:pt idx="13">
                  <c:v>19</c:v>
                </c:pt>
                <c:pt idx="14">
                  <c:v>20</c:v>
                </c:pt>
                <c:pt idx="15">
                  <c:v>13</c:v>
                </c:pt>
                <c:pt idx="16">
                  <c:v>14</c:v>
                </c:pt>
                <c:pt idx="17">
                  <c:v>17</c:v>
                </c:pt>
                <c:pt idx="18">
                  <c:v>15</c:v>
                </c:pt>
                <c:pt idx="19">
                  <c:v>14</c:v>
                </c:pt>
                <c:pt idx="20">
                  <c:v>16</c:v>
                </c:pt>
                <c:pt idx="21">
                  <c:v>21</c:v>
                </c:pt>
                <c:pt idx="22">
                  <c:v>19</c:v>
                </c:pt>
                <c:pt idx="23">
                  <c:v>38</c:v>
                </c:pt>
                <c:pt idx="24">
                  <c:v>17</c:v>
                </c:pt>
                <c:pt idx="25">
                  <c:v>18</c:v>
                </c:pt>
                <c:pt idx="26">
                  <c:v>25</c:v>
                </c:pt>
                <c:pt idx="27">
                  <c:v>19</c:v>
                </c:pt>
                <c:pt idx="28">
                  <c:v>20.60475482912333</c:v>
                </c:pt>
                <c:pt idx="29" formatCode="General">
                  <c:v>19.157298063297119</c:v>
                </c:pt>
                <c:pt idx="30" formatCode="General">
                  <c:v>19.122997172478794</c:v>
                </c:pt>
                <c:pt idx="31">
                  <c:v>19</c:v>
                </c:pt>
                <c:pt idx="32">
                  <c:v>23</c:v>
                </c:pt>
                <c:pt idx="33">
                  <c:v>24</c:v>
                </c:pt>
                <c:pt idx="34" formatCode="General">
                  <c:v>28.78606615059817</c:v>
                </c:pt>
                <c:pt idx="35" formatCode="General">
                  <c:v>53.016393442622949</c:v>
                </c:pt>
                <c:pt idx="36">
                  <c:v>28</c:v>
                </c:pt>
                <c:pt idx="37">
                  <c:v>24</c:v>
                </c:pt>
                <c:pt idx="38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982814576"/>
        <c:axId val="1982815664"/>
      </c:barChart>
      <c:catAx>
        <c:axId val="198281457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82815664"/>
        <c:crosses val="autoZero"/>
        <c:auto val="1"/>
        <c:lblAlgn val="ctr"/>
        <c:lblOffset val="100"/>
        <c:noMultiLvlLbl val="0"/>
      </c:catAx>
      <c:valAx>
        <c:axId val="1982815664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98281457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59931303107659473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wynagrodzenia!$A$138:$B$176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wynagrodzenia!$D$138:$D$176</c:f>
              <c:numCache>
                <c:formatCode>0.0</c:formatCode>
                <c:ptCount val="39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111.0750932326558</c:v>
                </c:pt>
                <c:pt idx="3">
                  <c:v>108.92073343831359</c:v>
                </c:pt>
                <c:pt idx="4">
                  <c:v>106.54096534923727</c:v>
                </c:pt>
                <c:pt idx="5">
                  <c:v>109.38198335035824</c:v>
                </c:pt>
                <c:pt idx="6">
                  <c:v>109.22281452221449</c:v>
                </c:pt>
                <c:pt idx="7">
                  <c:v>109.00711164383064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111.87409163368847</c:v>
                </c:pt>
                <c:pt idx="11">
                  <c:v>120.68030115906933</c:v>
                </c:pt>
                <c:pt idx="12">
                  <c:v>111.33519839084197</c:v>
                </c:pt>
                <c:pt idx="13">
                  <c:v>111.60549423619588</c:v>
                </c:pt>
                <c:pt idx="14">
                  <c:v>118.56524830094557</c:v>
                </c:pt>
                <c:pt idx="15">
                  <c:v>117.44621379576407</c:v>
                </c:pt>
                <c:pt idx="16">
                  <c:v>113.95590344081273</c:v>
                </c:pt>
                <c:pt idx="17">
                  <c:v>117.6335283313235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120.50754474803524</c:v>
                </c:pt>
                <c:pt idx="23">
                  <c:v>127.98896494160979</c:v>
                </c:pt>
                <c:pt idx="24">
                  <c:v>119.66293089015653</c:v>
                </c:pt>
                <c:pt idx="25">
                  <c:v>120.09045448038414</c:v>
                </c:pt>
                <c:pt idx="26">
                  <c:v>125.3097847581289</c:v>
                </c:pt>
                <c:pt idx="27">
                  <c:v>125.83363460563254</c:v>
                </c:pt>
                <c:pt idx="28">
                  <c:v>122.72062231129638</c:v>
                </c:pt>
                <c:pt idx="29">
                  <c:v>123.85227385773315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123.36942939430925</c:v>
                </c:pt>
                <c:pt idx="33">
                  <c:v>126.49238974040439</c:v>
                </c:pt>
                <c:pt idx="34">
                  <c:v>126.88473119636241</c:v>
                </c:pt>
                <c:pt idx="35">
                  <c:v>135.97894895193636</c:v>
                </c:pt>
                <c:pt idx="36">
                  <c:v>128.17943373748304</c:v>
                </c:pt>
                <c:pt idx="37">
                  <c:v>129.33631936643042</c:v>
                </c:pt>
                <c:pt idx="38">
                  <c:v>133.1876712096103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wynagrodzenia!$A$138:$B$176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wynagrodzenia!$C$138:$C$176</c:f>
              <c:numCache>
                <c:formatCode>0.0</c:formatCode>
                <c:ptCount val="39"/>
                <c:pt idx="0">
                  <c:v>102.1540509469353</c:v>
                </c:pt>
                <c:pt idx="1">
                  <c:v>102.2312694667024</c:v>
                </c:pt>
                <c:pt idx="2">
                  <c:v>110.12196492319926</c:v>
                </c:pt>
                <c:pt idx="3">
                  <c:v>108.47963073412336</c:v>
                </c:pt>
                <c:pt idx="4">
                  <c:v>108.82509717143951</c:v>
                </c:pt>
                <c:pt idx="5">
                  <c:v>110.497684885051</c:v>
                </c:pt>
                <c:pt idx="6">
                  <c:v>112.3892504905393</c:v>
                </c:pt>
                <c:pt idx="7">
                  <c:v>110.49624424102551</c:v>
                </c:pt>
                <c:pt idx="8">
                  <c:v>110.43227964629307</c:v>
                </c:pt>
                <c:pt idx="9">
                  <c:v>113.007286777481</c:v>
                </c:pt>
                <c:pt idx="10">
                  <c:v>115.84996556860779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109.87993672691441</c:v>
                </c:pt>
                <c:pt idx="14">
                  <c:v>117.10332587079728</c:v>
                </c:pt>
                <c:pt idx="15">
                  <c:v>116.00699576738785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119.33661223913538</c:v>
                </c:pt>
                <c:pt idx="19">
                  <c:v>117.28340637398543</c:v>
                </c:pt>
                <c:pt idx="20">
                  <c:v>115.59295467445767</c:v>
                </c:pt>
                <c:pt idx="21">
                  <c:v>119.25507178729178</c:v>
                </c:pt>
                <c:pt idx="22">
                  <c:v>122.78609029380495</c:v>
                </c:pt>
                <c:pt idx="23">
                  <c:v>122.74604038989588</c:v>
                </c:pt>
                <c:pt idx="24">
                  <c:v>120.05290044861657</c:v>
                </c:pt>
                <c:pt idx="25">
                  <c:v>117.26467800165386</c:v>
                </c:pt>
                <c:pt idx="26">
                  <c:v>122.54636712796088</c:v>
                </c:pt>
                <c:pt idx="27">
                  <c:v>124.5615399908375</c:v>
                </c:pt>
                <c:pt idx="28">
                  <c:v>125.0332068447879</c:v>
                </c:pt>
                <c:pt idx="29">
                  <c:v>122.15912201390509</c:v>
                </c:pt>
                <c:pt idx="30">
                  <c:v>127.50045380286804</c:v>
                </c:pt>
                <c:pt idx="31">
                  <c:v>124.06682283247903</c:v>
                </c:pt>
                <c:pt idx="32">
                  <c:v>123.54675033927165</c:v>
                </c:pt>
                <c:pt idx="33">
                  <c:v>127.19935920153745</c:v>
                </c:pt>
                <c:pt idx="34">
                  <c:v>128.63798632540693</c:v>
                </c:pt>
                <c:pt idx="35">
                  <c:v>131.40892104406356</c:v>
                </c:pt>
                <c:pt idx="36">
                  <c:v>128.66074850100992</c:v>
                </c:pt>
                <c:pt idx="37">
                  <c:v>127.45723448210288</c:v>
                </c:pt>
                <c:pt idx="38">
                  <c:v>128.32104463979579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82816208"/>
        <c:axId val="192335424"/>
      </c:lineChart>
      <c:catAx>
        <c:axId val="198281620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335424"/>
        <c:crosses val="autoZero"/>
        <c:auto val="1"/>
        <c:lblAlgn val="ctr"/>
        <c:lblOffset val="100"/>
        <c:noMultiLvlLbl val="0"/>
      </c:catAx>
      <c:valAx>
        <c:axId val="192335424"/>
        <c:scaling>
          <c:orientation val="minMax"/>
          <c:max val="140"/>
          <c:min val="100"/>
        </c:scaling>
        <c:delete val="0"/>
        <c:axPos val="l"/>
        <c:majorGridlines>
          <c:spPr>
            <a:ln w="6350">
              <a:solidFill>
                <a:schemeClr val="tx1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8281620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5438714492"/>
          <c:y val="0.91375348669651579"/>
          <c:w val="0.29308717853567268"/>
          <c:h val="7.059029386032622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54268291880186"/>
          <c:y val="2.5886445263175462E-2"/>
          <c:w val="0.45987284300509351"/>
          <c:h val="0.875226134784057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6B23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9.2672252181763125E-3"/>
                  <c:y val="3.5062412847990064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5524440649446062E-3"/>
                  <c:y val="3.5430161129286785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Arkusz1!$A$25:$A$34</c:f>
              <c:strCache>
                <c:ptCount val="10"/>
                <c:pt idx="0">
                  <c:v>Obsługa rynku nieruchomości    </c:v>
                </c:pt>
                <c:pt idx="1">
                  <c:v>Informacja i komunikacja </c:v>
                </c:pt>
                <c:pt idx="2">
                  <c:v>Przetwórstwo przemysłowe </c:v>
                </c:pt>
                <c:pt idx="3">
                  <c:v>Dostawa wody; gospodarowanie ściekami i odpadami; rekultywacja    </c:v>
                </c:pt>
                <c:pt idx="4">
                  <c:v>Budownictwo </c:v>
                </c:pt>
                <c:pt idx="5">
                  <c:v>Handel; naprawa pojazdów samochodowych    </c:v>
                </c:pt>
                <c:pt idx="6">
                  <c:v>Działalność profesjonalna, naukowa i techniczna  </c:v>
                </c:pt>
                <c:pt idx="7">
                  <c:v>Transport i gospodarka magazynowa </c:v>
                </c:pt>
                <c:pt idx="8">
                  <c:v>Zakwaterowanie i gastronomia    </c:v>
                </c:pt>
                <c:pt idx="9">
                  <c:v>Administrowanie i działalność wspierająca    </c:v>
                </c:pt>
              </c:strCache>
            </c:strRef>
          </c:cat>
          <c:val>
            <c:numRef>
              <c:f>Arkusz1!$B$25:$B$34</c:f>
              <c:numCache>
                <c:formatCode>0.0</c:formatCode>
                <c:ptCount val="10"/>
                <c:pt idx="0">
                  <c:v>27.010521155865575</c:v>
                </c:pt>
                <c:pt idx="1">
                  <c:v>8.8158246818806418</c:v>
                </c:pt>
                <c:pt idx="2">
                  <c:v>6.7322805431695798</c:v>
                </c:pt>
                <c:pt idx="3">
                  <c:v>2.9629679598311895</c:v>
                </c:pt>
                <c:pt idx="4">
                  <c:v>-4.1745086267181932</c:v>
                </c:pt>
                <c:pt idx="5">
                  <c:v>-9.5679782696195019</c:v>
                </c:pt>
                <c:pt idx="6">
                  <c:v>-12.923550164934113</c:v>
                </c:pt>
                <c:pt idx="7">
                  <c:v>-18.005140278330543</c:v>
                </c:pt>
                <c:pt idx="8">
                  <c:v>-26.4823272014265</c:v>
                </c:pt>
                <c:pt idx="9">
                  <c:v>-28.051843507081927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92332160"/>
        <c:axId val="192334880"/>
      </c:barChart>
      <c:catAx>
        <c:axId val="1923321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334880"/>
        <c:crossesAt val="0"/>
        <c:auto val="1"/>
        <c:lblAlgn val="ctr"/>
        <c:lblOffset val="100"/>
        <c:noMultiLvlLbl val="0"/>
      </c:catAx>
      <c:valAx>
        <c:axId val="192334880"/>
        <c:scaling>
          <c:orientation val="minMax"/>
          <c:max val="35"/>
          <c:min val="-35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high"/>
        <c:spPr>
          <a:ln w="9525">
            <a:solidFill>
              <a:srgbClr val="868686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332160"/>
        <c:crosses val="max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54268291880192"/>
          <c:y val="2.3380819648522949E-3"/>
          <c:w val="0.45079921538312706"/>
          <c:h val="0.871301352681912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6B23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9.2672252181763143E-3"/>
                  <c:y val="3.5062412847990075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5524440649446071E-3"/>
                  <c:y val="3.54301611292868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Arkusz1!$A$24:$A$33</c:f>
              <c:strCache>
                <c:ptCount val="10"/>
                <c:pt idx="0">
                  <c:v>Obsługa rynku nieruchomości    </c:v>
                </c:pt>
                <c:pt idx="1">
                  <c:v>Przetwórstwo przemysłowe </c:v>
                </c:pt>
                <c:pt idx="2">
                  <c:v>Informacja i komunikacja </c:v>
                </c:pt>
                <c:pt idx="3">
                  <c:v>Dostawa wody; gospodarowanie ściekami i odpadami; rekultywacja    </c:v>
                </c:pt>
                <c:pt idx="4">
                  <c:v>Budownictwo </c:v>
                </c:pt>
                <c:pt idx="5">
                  <c:v>Handel; naprawa pojazdów samochodowych    </c:v>
                </c:pt>
                <c:pt idx="6">
                  <c:v>Działalność profesjonalna, naukowa i techniczna  </c:v>
                </c:pt>
                <c:pt idx="7">
                  <c:v>Transport i gospodarka magazynowa </c:v>
                </c:pt>
                <c:pt idx="8">
                  <c:v>Zakwaterowanie i gastronomia    </c:v>
                </c:pt>
                <c:pt idx="9">
                  <c:v>Administrowanie i działalność wspierająca    </c:v>
                </c:pt>
              </c:strCache>
            </c:strRef>
          </c:cat>
          <c:val>
            <c:numRef>
              <c:f>Arkusz1!$B$24:$B$33</c:f>
              <c:numCache>
                <c:formatCode>0.0</c:formatCode>
                <c:ptCount val="10"/>
                <c:pt idx="0">
                  <c:v>29.682961622613025</c:v>
                </c:pt>
                <c:pt idx="1">
                  <c:v>6.928622136028423</c:v>
                </c:pt>
                <c:pt idx="2">
                  <c:v>5.2595629944976725</c:v>
                </c:pt>
                <c:pt idx="3">
                  <c:v>-0.21901782375113046</c:v>
                </c:pt>
                <c:pt idx="4">
                  <c:v>-5.3341365479835039</c:v>
                </c:pt>
                <c:pt idx="5">
                  <c:v>-8.640902586336253</c:v>
                </c:pt>
                <c:pt idx="6">
                  <c:v>-14.13739897299004</c:v>
                </c:pt>
                <c:pt idx="7">
                  <c:v>-18.455050958594885</c:v>
                </c:pt>
                <c:pt idx="8">
                  <c:v>-24.800969232250726</c:v>
                </c:pt>
                <c:pt idx="9">
                  <c:v>-28.657295331426827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92331072"/>
        <c:axId val="192331616"/>
      </c:barChart>
      <c:catAx>
        <c:axId val="1923310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331616"/>
        <c:crosses val="autoZero"/>
        <c:auto val="1"/>
        <c:lblAlgn val="ctr"/>
        <c:lblOffset val="100"/>
        <c:noMultiLvlLbl val="0"/>
      </c:catAx>
      <c:valAx>
        <c:axId val="192331616"/>
        <c:scaling>
          <c:orientation val="minMax"/>
          <c:max val="30"/>
          <c:min val="-40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high"/>
        <c:spPr>
          <a:ln w="9525">
            <a:solidFill>
              <a:srgbClr val="868686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331072"/>
        <c:crosses val="max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ceny_zbóż_targ_ziemniaków!$A$148:$B$186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ceny_zbóż_targ_ziemniaków!$C$148:$C$186</c:f>
              <c:numCache>
                <c:formatCode>0.00</c:formatCode>
                <c:ptCount val="39"/>
                <c:pt idx="0">
                  <c:v>63.92</c:v>
                </c:pt>
                <c:pt idx="1">
                  <c:v>64.069999999999993</c:v>
                </c:pt>
                <c:pt idx="2">
                  <c:v>66.2</c:v>
                </c:pt>
                <c:pt idx="3">
                  <c:v>66.95</c:v>
                </c:pt>
                <c:pt idx="4">
                  <c:v>70.760000000000005</c:v>
                </c:pt>
                <c:pt idx="5">
                  <c:v>73.39</c:v>
                </c:pt>
                <c:pt idx="6">
                  <c:v>71.37</c:v>
                </c:pt>
                <c:pt idx="7">
                  <c:v>62.91</c:v>
                </c:pt>
                <c:pt idx="8" formatCode="General">
                  <c:v>63.93</c:v>
                </c:pt>
                <c:pt idx="9">
                  <c:v>63.11</c:v>
                </c:pt>
                <c:pt idx="10">
                  <c:v>66.209999999999994</c:v>
                </c:pt>
                <c:pt idx="11">
                  <c:v>67.650000000000006</c:v>
                </c:pt>
                <c:pt idx="12">
                  <c:v>65.95</c:v>
                </c:pt>
                <c:pt idx="13">
                  <c:v>65.239999999999995</c:v>
                </c:pt>
                <c:pt idx="14" formatCode="General">
                  <c:v>63.99</c:v>
                </c:pt>
                <c:pt idx="15">
                  <c:v>65.150000000000006</c:v>
                </c:pt>
                <c:pt idx="16">
                  <c:v>66.760000000000005</c:v>
                </c:pt>
                <c:pt idx="17">
                  <c:v>66.739999999999995</c:v>
                </c:pt>
                <c:pt idx="18">
                  <c:v>67.650000000000006</c:v>
                </c:pt>
                <c:pt idx="19">
                  <c:v>73.92</c:v>
                </c:pt>
                <c:pt idx="20">
                  <c:v>79.930000000000007</c:v>
                </c:pt>
                <c:pt idx="21">
                  <c:v>78.12</c:v>
                </c:pt>
                <c:pt idx="22">
                  <c:v>82.77</c:v>
                </c:pt>
                <c:pt idx="23">
                  <c:v>82.18</c:v>
                </c:pt>
                <c:pt idx="24">
                  <c:v>82.36</c:v>
                </c:pt>
                <c:pt idx="25">
                  <c:v>82.75</c:v>
                </c:pt>
                <c:pt idx="26">
                  <c:v>80.56</c:v>
                </c:pt>
                <c:pt idx="27">
                  <c:v>78.53</c:v>
                </c:pt>
                <c:pt idx="28">
                  <c:v>77.75</c:v>
                </c:pt>
                <c:pt idx="29">
                  <c:v>74.61</c:v>
                </c:pt>
                <c:pt idx="30">
                  <c:v>66.989999999999995</c:v>
                </c:pt>
                <c:pt idx="31">
                  <c:v>65.61</c:v>
                </c:pt>
                <c:pt idx="32">
                  <c:v>66.599999999999994</c:v>
                </c:pt>
                <c:pt idx="33">
                  <c:v>64.709999999999994</c:v>
                </c:pt>
                <c:pt idx="34">
                  <c:v>64.95</c:v>
                </c:pt>
                <c:pt idx="35">
                  <c:v>66.569999999999993</c:v>
                </c:pt>
                <c:pt idx="36">
                  <c:v>66.84</c:v>
                </c:pt>
                <c:pt idx="37">
                  <c:v>68.56</c:v>
                </c:pt>
                <c:pt idx="38">
                  <c:v>69.489999999999995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ceny_zbóż_targ_ziemniaków!$A$148:$B$186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ceny_zbóż_targ_ziemniaków!$D$148:$D$186</c:f>
              <c:numCache>
                <c:formatCode>0.00</c:formatCode>
                <c:ptCount val="39"/>
                <c:pt idx="0">
                  <c:v>51.99</c:v>
                </c:pt>
                <c:pt idx="1">
                  <c:v>52</c:v>
                </c:pt>
                <c:pt idx="2">
                  <c:v>55</c:v>
                </c:pt>
                <c:pt idx="3">
                  <c:v>57</c:v>
                </c:pt>
                <c:pt idx="4">
                  <c:v>60</c:v>
                </c:pt>
                <c:pt idx="5">
                  <c:v>62</c:v>
                </c:pt>
                <c:pt idx="6">
                  <c:v>62</c:v>
                </c:pt>
                <c:pt idx="7">
                  <c:v>55.45</c:v>
                </c:pt>
                <c:pt idx="8">
                  <c:v>58</c:v>
                </c:pt>
                <c:pt idx="9">
                  <c:v>57.19</c:v>
                </c:pt>
                <c:pt idx="10">
                  <c:v>57.19</c:v>
                </c:pt>
                <c:pt idx="11">
                  <c:v>57.19</c:v>
                </c:pt>
                <c:pt idx="12">
                  <c:v>58.03</c:v>
                </c:pt>
                <c:pt idx="13">
                  <c:v>58.03</c:v>
                </c:pt>
                <c:pt idx="14">
                  <c:v>58.03</c:v>
                </c:pt>
                <c:pt idx="15">
                  <c:v>58.03</c:v>
                </c:pt>
                <c:pt idx="16">
                  <c:v>58.03</c:v>
                </c:pt>
                <c:pt idx="17">
                  <c:v>58.03</c:v>
                </c:pt>
                <c:pt idx="18">
                  <c:v>62.08</c:v>
                </c:pt>
                <c:pt idx="19">
                  <c:v>61.11</c:v>
                </c:pt>
                <c:pt idx="20">
                  <c:v>59.44</c:v>
                </c:pt>
                <c:pt idx="21">
                  <c:v>64.040000000000006</c:v>
                </c:pt>
                <c:pt idx="22">
                  <c:v>64.040000000000006</c:v>
                </c:pt>
                <c:pt idx="23">
                  <c:v>60.59</c:v>
                </c:pt>
                <c:pt idx="24">
                  <c:v>36</c:v>
                </c:pt>
                <c:pt idx="25">
                  <c:v>36</c:v>
                </c:pt>
                <c:pt idx="26">
                  <c:v>36</c:v>
                </c:pt>
                <c:pt idx="27">
                  <c:v>65.150000000000006</c:v>
                </c:pt>
                <c:pt idx="28">
                  <c:v>70.33</c:v>
                </c:pt>
                <c:pt idx="29">
                  <c:v>72.92</c:v>
                </c:pt>
                <c:pt idx="30">
                  <c:v>65</c:v>
                </c:pt>
                <c:pt idx="31">
                  <c:v>59.68</c:v>
                </c:pt>
                <c:pt idx="32">
                  <c:v>61</c:v>
                </c:pt>
                <c:pt idx="33">
                  <c:v>47.17</c:v>
                </c:pt>
                <c:pt idx="34">
                  <c:v>47.17</c:v>
                </c:pt>
                <c:pt idx="35">
                  <c:v>50.08</c:v>
                </c:pt>
                <c:pt idx="36">
                  <c:v>50.62</c:v>
                </c:pt>
                <c:pt idx="37">
                  <c:v>50.04</c:v>
                </c:pt>
                <c:pt idx="38">
                  <c:v>49.96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ceny_zbóż_targ_ziemniaków!$A$148:$B$186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ceny_zbóż_targ_ziemniaków!$E$148:$E$186</c:f>
              <c:numCache>
                <c:formatCode>0.00</c:formatCode>
                <c:ptCount val="39"/>
                <c:pt idx="0">
                  <c:v>62.7</c:v>
                </c:pt>
                <c:pt idx="1">
                  <c:v>70.489999999999995</c:v>
                </c:pt>
                <c:pt idx="2">
                  <c:v>65.22</c:v>
                </c:pt>
                <c:pt idx="3">
                  <c:v>66.069999999999993</c:v>
                </c:pt>
                <c:pt idx="4">
                  <c:v>72.989999999999995</c:v>
                </c:pt>
                <c:pt idx="5">
                  <c:v>67.27</c:v>
                </c:pt>
                <c:pt idx="6">
                  <c:v>63.64</c:v>
                </c:pt>
                <c:pt idx="7">
                  <c:v>73.33</c:v>
                </c:pt>
                <c:pt idx="8">
                  <c:v>71.78</c:v>
                </c:pt>
                <c:pt idx="9">
                  <c:v>70.62</c:v>
                </c:pt>
                <c:pt idx="10">
                  <c:v>66.67</c:v>
                </c:pt>
                <c:pt idx="11">
                  <c:v>69.510000000000005</c:v>
                </c:pt>
                <c:pt idx="12">
                  <c:v>70.05</c:v>
                </c:pt>
                <c:pt idx="13">
                  <c:v>67.63</c:v>
                </c:pt>
                <c:pt idx="14">
                  <c:v>67.02</c:v>
                </c:pt>
                <c:pt idx="15">
                  <c:v>66.06</c:v>
                </c:pt>
                <c:pt idx="16">
                  <c:v>64.83</c:v>
                </c:pt>
                <c:pt idx="17">
                  <c:v>70.97</c:v>
                </c:pt>
                <c:pt idx="18">
                  <c:v>81.56</c:v>
                </c:pt>
                <c:pt idx="19">
                  <c:v>82.03</c:v>
                </c:pt>
                <c:pt idx="20">
                  <c:v>82.27</c:v>
                </c:pt>
                <c:pt idx="21">
                  <c:v>79.400000000000006</c:v>
                </c:pt>
                <c:pt idx="22">
                  <c:v>80.86</c:v>
                </c:pt>
                <c:pt idx="23">
                  <c:v>88.37</c:v>
                </c:pt>
                <c:pt idx="24">
                  <c:v>91.45</c:v>
                </c:pt>
                <c:pt idx="25">
                  <c:v>105.97</c:v>
                </c:pt>
                <c:pt idx="26">
                  <c:v>104.92</c:v>
                </c:pt>
                <c:pt idx="27">
                  <c:v>120.88</c:v>
                </c:pt>
                <c:pt idx="28">
                  <c:v>164.86</c:v>
                </c:pt>
                <c:pt idx="29">
                  <c:v>190.63</c:v>
                </c:pt>
                <c:pt idx="30">
                  <c:v>202</c:v>
                </c:pt>
                <c:pt idx="31">
                  <c:v>230</c:v>
                </c:pt>
                <c:pt idx="32">
                  <c:v>215.55</c:v>
                </c:pt>
                <c:pt idx="33">
                  <c:v>189.63</c:v>
                </c:pt>
                <c:pt idx="34">
                  <c:v>186.15</c:v>
                </c:pt>
                <c:pt idx="35">
                  <c:v>170.53</c:v>
                </c:pt>
                <c:pt idx="36">
                  <c:v>176.79</c:v>
                </c:pt>
                <c:pt idx="37">
                  <c:v>157.68</c:v>
                </c:pt>
                <c:pt idx="38">
                  <c:v>167.76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332704"/>
        <c:axId val="192329984"/>
      </c:lineChart>
      <c:catAx>
        <c:axId val="19233270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329984"/>
        <c:crosses val="autoZero"/>
        <c:auto val="1"/>
        <c:lblAlgn val="ctr"/>
        <c:lblOffset val="100"/>
        <c:noMultiLvlLbl val="0"/>
      </c:catAx>
      <c:valAx>
        <c:axId val="192329984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5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5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332704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376679991924086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przeciętne_c_skupu_żywca_i_mlek!$A$124:$B$162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przeciętne_c_skupu_żywca_i_mlek!$C$124:$C$162</c:f>
              <c:numCache>
                <c:formatCode>0.00</c:formatCode>
                <c:ptCount val="39"/>
                <c:pt idx="0">
                  <c:v>6.36</c:v>
                </c:pt>
                <c:pt idx="1">
                  <c:v>6.17</c:v>
                </c:pt>
                <c:pt idx="2">
                  <c:v>6.29</c:v>
                </c:pt>
                <c:pt idx="3">
                  <c:v>6.39</c:v>
                </c:pt>
                <c:pt idx="4">
                  <c:v>6.47</c:v>
                </c:pt>
                <c:pt idx="5">
                  <c:v>6.4</c:v>
                </c:pt>
                <c:pt idx="6">
                  <c:v>6.74</c:v>
                </c:pt>
                <c:pt idx="7">
                  <c:v>6.62</c:v>
                </c:pt>
                <c:pt idx="8">
                  <c:v>6.78</c:v>
                </c:pt>
                <c:pt idx="9">
                  <c:v>6.82</c:v>
                </c:pt>
                <c:pt idx="10">
                  <c:v>6.91</c:v>
                </c:pt>
                <c:pt idx="11">
                  <c:v>7.11</c:v>
                </c:pt>
                <c:pt idx="12">
                  <c:v>6.85</c:v>
                </c:pt>
                <c:pt idx="13">
                  <c:v>6.81</c:v>
                </c:pt>
                <c:pt idx="14">
                  <c:v>7.13</c:v>
                </c:pt>
                <c:pt idx="15">
                  <c:v>7.08</c:v>
                </c:pt>
                <c:pt idx="16">
                  <c:v>6.94</c:v>
                </c:pt>
                <c:pt idx="17">
                  <c:v>6.81</c:v>
                </c:pt>
                <c:pt idx="18">
                  <c:v>6.82</c:v>
                </c:pt>
                <c:pt idx="19">
                  <c:v>7.08</c:v>
                </c:pt>
                <c:pt idx="20">
                  <c:v>6.97</c:v>
                </c:pt>
                <c:pt idx="21">
                  <c:v>6.92</c:v>
                </c:pt>
                <c:pt idx="22">
                  <c:v>6.83</c:v>
                </c:pt>
                <c:pt idx="23">
                  <c:v>7</c:v>
                </c:pt>
                <c:pt idx="24">
                  <c:v>7.12</c:v>
                </c:pt>
                <c:pt idx="25">
                  <c:v>6.82</c:v>
                </c:pt>
                <c:pt idx="26">
                  <c:v>6.75</c:v>
                </c:pt>
                <c:pt idx="27">
                  <c:v>7</c:v>
                </c:pt>
                <c:pt idx="28">
                  <c:v>6.75</c:v>
                </c:pt>
                <c:pt idx="29">
                  <c:v>6.49</c:v>
                </c:pt>
                <c:pt idx="30">
                  <c:v>6.05</c:v>
                </c:pt>
                <c:pt idx="31">
                  <c:v>6.21</c:v>
                </c:pt>
                <c:pt idx="32">
                  <c:v>6.23</c:v>
                </c:pt>
                <c:pt idx="33">
                  <c:v>6.27</c:v>
                </c:pt>
                <c:pt idx="34">
                  <c:v>6.33</c:v>
                </c:pt>
                <c:pt idx="35">
                  <c:v>6.47</c:v>
                </c:pt>
                <c:pt idx="36">
                  <c:v>6.48</c:v>
                </c:pt>
                <c:pt idx="37">
                  <c:v>6.63</c:v>
                </c:pt>
                <c:pt idx="38">
                  <c:v>6.54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przeciętne_c_skupu_żywca_i_mlek!$A$124:$B$162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przeciętne_c_skupu_żywca_i_mlek!$D$124:$D$162</c:f>
              <c:numCache>
                <c:formatCode>0.00</c:formatCode>
                <c:ptCount val="39"/>
                <c:pt idx="0">
                  <c:v>4.7699999999999996</c:v>
                </c:pt>
                <c:pt idx="1">
                  <c:v>4.7699999999999996</c:v>
                </c:pt>
                <c:pt idx="2">
                  <c:v>4.8499999999999996</c:v>
                </c:pt>
                <c:pt idx="3">
                  <c:v>5.32</c:v>
                </c:pt>
                <c:pt idx="4">
                  <c:v>5.5</c:v>
                </c:pt>
                <c:pt idx="5">
                  <c:v>5.57</c:v>
                </c:pt>
                <c:pt idx="6">
                  <c:v>5.43</c:v>
                </c:pt>
                <c:pt idx="7">
                  <c:v>5.36</c:v>
                </c:pt>
                <c:pt idx="8">
                  <c:v>5.23</c:v>
                </c:pt>
                <c:pt idx="9">
                  <c:v>4.87</c:v>
                </c:pt>
                <c:pt idx="10">
                  <c:v>4.7</c:v>
                </c:pt>
                <c:pt idx="11">
                  <c:v>4.62</c:v>
                </c:pt>
                <c:pt idx="12">
                  <c:v>4.29</c:v>
                </c:pt>
                <c:pt idx="13">
                  <c:v>4.3899999999999997</c:v>
                </c:pt>
                <c:pt idx="14">
                  <c:v>4.62</c:v>
                </c:pt>
                <c:pt idx="15">
                  <c:v>4.53</c:v>
                </c:pt>
                <c:pt idx="16">
                  <c:v>4.41</c:v>
                </c:pt>
                <c:pt idx="17">
                  <c:v>4.62</c:v>
                </c:pt>
                <c:pt idx="18">
                  <c:v>4.67</c:v>
                </c:pt>
                <c:pt idx="19">
                  <c:v>4.99</c:v>
                </c:pt>
                <c:pt idx="20">
                  <c:v>4.72</c:v>
                </c:pt>
                <c:pt idx="21">
                  <c:v>4.4400000000000004</c:v>
                </c:pt>
                <c:pt idx="22">
                  <c:v>4.24</c:v>
                </c:pt>
                <c:pt idx="23">
                  <c:v>4.17</c:v>
                </c:pt>
                <c:pt idx="24">
                  <c:v>4.09</c:v>
                </c:pt>
                <c:pt idx="25">
                  <c:v>4.2</c:v>
                </c:pt>
                <c:pt idx="26">
                  <c:v>4.4800000000000004</c:v>
                </c:pt>
                <c:pt idx="27">
                  <c:v>5.8</c:v>
                </c:pt>
                <c:pt idx="28">
                  <c:v>5.41</c:v>
                </c:pt>
                <c:pt idx="29">
                  <c:v>5.81</c:v>
                </c:pt>
                <c:pt idx="30">
                  <c:v>5.69</c:v>
                </c:pt>
                <c:pt idx="31">
                  <c:v>5.81</c:v>
                </c:pt>
                <c:pt idx="32">
                  <c:v>5.9</c:v>
                </c:pt>
                <c:pt idx="33">
                  <c:v>5.97</c:v>
                </c:pt>
                <c:pt idx="34">
                  <c:v>6.07</c:v>
                </c:pt>
                <c:pt idx="35">
                  <c:v>6.39</c:v>
                </c:pt>
                <c:pt idx="36">
                  <c:v>6</c:v>
                </c:pt>
                <c:pt idx="37">
                  <c:v>6.24</c:v>
                </c:pt>
                <c:pt idx="38">
                  <c:v>6.35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przeciętne_c_skupu_żywca_i_mlek!$E$124:$E$162</c:f>
              <c:numCache>
                <c:formatCode>0.00</c:formatCode>
                <c:ptCount val="39"/>
                <c:pt idx="0">
                  <c:v>3.21</c:v>
                </c:pt>
                <c:pt idx="1">
                  <c:v>3.52</c:v>
                </c:pt>
                <c:pt idx="2">
                  <c:v>3.68</c:v>
                </c:pt>
                <c:pt idx="3">
                  <c:v>3.4</c:v>
                </c:pt>
                <c:pt idx="4">
                  <c:v>3.51</c:v>
                </c:pt>
                <c:pt idx="5">
                  <c:v>3.7</c:v>
                </c:pt>
                <c:pt idx="6">
                  <c:v>4.04</c:v>
                </c:pt>
                <c:pt idx="7">
                  <c:v>4.5199999999999996</c:v>
                </c:pt>
                <c:pt idx="8">
                  <c:v>3.87</c:v>
                </c:pt>
                <c:pt idx="9">
                  <c:v>3.81</c:v>
                </c:pt>
                <c:pt idx="10">
                  <c:v>3.63</c:v>
                </c:pt>
                <c:pt idx="11">
                  <c:v>3.48</c:v>
                </c:pt>
                <c:pt idx="12">
                  <c:v>3.28</c:v>
                </c:pt>
                <c:pt idx="13">
                  <c:v>3.73</c:v>
                </c:pt>
                <c:pt idx="14">
                  <c:v>3.56</c:v>
                </c:pt>
                <c:pt idx="15">
                  <c:v>3.46</c:v>
                </c:pt>
                <c:pt idx="16">
                  <c:v>3.67</c:v>
                </c:pt>
                <c:pt idx="17">
                  <c:v>3.82</c:v>
                </c:pt>
                <c:pt idx="18">
                  <c:v>4.2300000000000004</c:v>
                </c:pt>
                <c:pt idx="19">
                  <c:v>4.3899999999999997</c:v>
                </c:pt>
                <c:pt idx="20">
                  <c:v>4.1399999999999997</c:v>
                </c:pt>
                <c:pt idx="21">
                  <c:v>3.91</c:v>
                </c:pt>
                <c:pt idx="22">
                  <c:v>3.48</c:v>
                </c:pt>
                <c:pt idx="23">
                  <c:v>3.17</c:v>
                </c:pt>
                <c:pt idx="24">
                  <c:v>3.18</c:v>
                </c:pt>
                <c:pt idx="25">
                  <c:v>3.61</c:v>
                </c:pt>
                <c:pt idx="26">
                  <c:v>3.74</c:v>
                </c:pt>
                <c:pt idx="27">
                  <c:v>3.83</c:v>
                </c:pt>
                <c:pt idx="28">
                  <c:v>3.65</c:v>
                </c:pt>
                <c:pt idx="29">
                  <c:v>3.83</c:v>
                </c:pt>
                <c:pt idx="30">
                  <c:v>3.94</c:v>
                </c:pt>
                <c:pt idx="31">
                  <c:v>4.13</c:v>
                </c:pt>
                <c:pt idx="32">
                  <c:v>3.86</c:v>
                </c:pt>
                <c:pt idx="33">
                  <c:v>3.86</c:v>
                </c:pt>
                <c:pt idx="34">
                  <c:v>3.65</c:v>
                </c:pt>
                <c:pt idx="35">
                  <c:v>3.92</c:v>
                </c:pt>
                <c:pt idx="36">
                  <c:v>3.53</c:v>
                </c:pt>
                <c:pt idx="37">
                  <c:v>3.65</c:v>
                </c:pt>
                <c:pt idx="38">
                  <c:v>3.53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333792"/>
        <c:axId val="19232944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przeciętne_c_skupu_żywca_i_mlek!$F$124:$F$162</c:f>
              <c:numCache>
                <c:formatCode>0.00</c:formatCode>
                <c:ptCount val="39"/>
                <c:pt idx="0">
                  <c:v>1.27</c:v>
                </c:pt>
                <c:pt idx="1">
                  <c:v>1.26</c:v>
                </c:pt>
                <c:pt idx="2">
                  <c:v>1.23</c:v>
                </c:pt>
                <c:pt idx="3">
                  <c:v>1.22</c:v>
                </c:pt>
                <c:pt idx="4">
                  <c:v>1.24</c:v>
                </c:pt>
                <c:pt idx="5">
                  <c:v>1.23</c:v>
                </c:pt>
                <c:pt idx="6">
                  <c:v>1.26</c:v>
                </c:pt>
                <c:pt idx="7">
                  <c:v>1.32</c:v>
                </c:pt>
                <c:pt idx="8">
                  <c:v>1.35</c:v>
                </c:pt>
                <c:pt idx="9">
                  <c:v>1.38</c:v>
                </c:pt>
                <c:pt idx="10">
                  <c:v>1.39</c:v>
                </c:pt>
                <c:pt idx="11">
                  <c:v>1.41</c:v>
                </c:pt>
                <c:pt idx="12">
                  <c:v>1.32</c:v>
                </c:pt>
                <c:pt idx="13">
                  <c:v>1.24</c:v>
                </c:pt>
                <c:pt idx="14">
                  <c:v>1.22</c:v>
                </c:pt>
                <c:pt idx="15">
                  <c:v>1.21</c:v>
                </c:pt>
                <c:pt idx="16">
                  <c:v>1.2</c:v>
                </c:pt>
                <c:pt idx="17">
                  <c:v>1.22</c:v>
                </c:pt>
                <c:pt idx="18">
                  <c:v>1.21</c:v>
                </c:pt>
                <c:pt idx="19">
                  <c:v>1.21</c:v>
                </c:pt>
                <c:pt idx="20">
                  <c:v>1.23</c:v>
                </c:pt>
                <c:pt idx="21">
                  <c:v>1.28</c:v>
                </c:pt>
                <c:pt idx="22">
                  <c:v>1.3</c:v>
                </c:pt>
                <c:pt idx="23">
                  <c:v>1.32</c:v>
                </c:pt>
                <c:pt idx="24">
                  <c:v>1.31</c:v>
                </c:pt>
                <c:pt idx="25">
                  <c:v>1.29</c:v>
                </c:pt>
                <c:pt idx="26">
                  <c:v>1.29</c:v>
                </c:pt>
                <c:pt idx="27">
                  <c:v>1.28</c:v>
                </c:pt>
                <c:pt idx="28">
                  <c:v>1.28</c:v>
                </c:pt>
                <c:pt idx="29">
                  <c:v>1.26</c:v>
                </c:pt>
                <c:pt idx="30">
                  <c:v>1.22</c:v>
                </c:pt>
                <c:pt idx="31">
                  <c:v>1.22</c:v>
                </c:pt>
                <c:pt idx="32">
                  <c:v>1.24</c:v>
                </c:pt>
                <c:pt idx="33">
                  <c:v>1.27</c:v>
                </c:pt>
                <c:pt idx="34">
                  <c:v>1.21</c:v>
                </c:pt>
                <c:pt idx="35">
                  <c:v>1.32</c:v>
                </c:pt>
                <c:pt idx="36">
                  <c:v>1.32</c:v>
                </c:pt>
                <c:pt idx="37">
                  <c:v>1.32</c:v>
                </c:pt>
                <c:pt idx="38">
                  <c:v>1.31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336512"/>
        <c:axId val="192335968"/>
      </c:lineChart>
      <c:catAx>
        <c:axId val="19233379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329440"/>
        <c:crosses val="autoZero"/>
        <c:auto val="1"/>
        <c:lblAlgn val="ctr"/>
        <c:lblOffset val="100"/>
        <c:noMultiLvlLbl val="0"/>
      </c:catAx>
      <c:valAx>
        <c:axId val="19232944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5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5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333792"/>
        <c:crosses val="autoZero"/>
        <c:crossBetween val="between"/>
        <c:majorUnit val="1"/>
      </c:valAx>
      <c:valAx>
        <c:axId val="192335968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336512"/>
        <c:crosses val="max"/>
        <c:crossBetween val="between"/>
        <c:majorUnit val="0.25"/>
      </c:valAx>
      <c:catAx>
        <c:axId val="192336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2335968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rolnictwo!$A$148:$B$186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rolnictwo!$D$148:$D$186</c:f>
              <c:numCache>
                <c:formatCode>0.0</c:formatCode>
                <c:ptCount val="39"/>
                <c:pt idx="0" formatCode="General">
                  <c:v>8.3000000000000007</c:v>
                </c:pt>
                <c:pt idx="1">
                  <c:v>8</c:v>
                </c:pt>
                <c:pt idx="2" formatCode="General">
                  <c:v>8.1999999999999993</c:v>
                </c:pt>
                <c:pt idx="3" formatCode="General">
                  <c:v>8.8000000000000007</c:v>
                </c:pt>
                <c:pt idx="4" formatCode="General">
                  <c:v>8.6999999999999993</c:v>
                </c:pt>
                <c:pt idx="5" formatCode="General">
                  <c:v>8.8000000000000007</c:v>
                </c:pt>
                <c:pt idx="6">
                  <c:v>8</c:v>
                </c:pt>
                <c:pt idx="7" formatCode="General">
                  <c:v>8.1999999999999993</c:v>
                </c:pt>
                <c:pt idx="8" formatCode="General">
                  <c:v>8.1999999999999993</c:v>
                </c:pt>
                <c:pt idx="9" formatCode="General">
                  <c:v>7.5</c:v>
                </c:pt>
                <c:pt idx="10" formatCode="General">
                  <c:v>7.2</c:v>
                </c:pt>
                <c:pt idx="11">
                  <c:v>7</c:v>
                </c:pt>
                <c:pt idx="12" formatCode="General">
                  <c:v>6.5</c:v>
                </c:pt>
                <c:pt idx="13" formatCode="General">
                  <c:v>6.8</c:v>
                </c:pt>
                <c:pt idx="14" formatCode="General">
                  <c:v>7.1</c:v>
                </c:pt>
                <c:pt idx="15" formatCode="General">
                  <c:v>6.9</c:v>
                </c:pt>
                <c:pt idx="16" formatCode="General">
                  <c:v>6.8</c:v>
                </c:pt>
                <c:pt idx="17" formatCode="General">
                  <c:v>7.3</c:v>
                </c:pt>
                <c:pt idx="18" formatCode="General">
                  <c:v>7.2</c:v>
                </c:pt>
                <c:pt idx="19" formatCode="General">
                  <c:v>7.3</c:v>
                </c:pt>
                <c:pt idx="20" formatCode="General">
                  <c:v>6.7</c:v>
                </c:pt>
                <c:pt idx="21" formatCode="General">
                  <c:v>6.2</c:v>
                </c:pt>
                <c:pt idx="22" formatCode="General">
                  <c:v>5.9</c:v>
                </c:pt>
                <c:pt idx="23" formatCode="General">
                  <c:v>5.9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>
                  <c:v>6</c:v>
                </c:pt>
                <c:pt idx="27" formatCode="General">
                  <c:v>7.5</c:v>
                </c:pt>
                <c:pt idx="28" formatCode="General">
                  <c:v>7.7</c:v>
                </c:pt>
                <c:pt idx="29" formatCode="General">
                  <c:v>7.5</c:v>
                </c:pt>
                <c:pt idx="30" formatCode="General">
                  <c:v>7.5</c:v>
                </c:pt>
                <c:pt idx="31">
                  <c:v>8</c:v>
                </c:pt>
                <c:pt idx="32" formatCode="General">
                  <c:v>8.1999999999999993</c:v>
                </c:pt>
                <c:pt idx="33" formatCode="General">
                  <c:v>8.1999999999999993</c:v>
                </c:pt>
                <c:pt idx="34" formatCode="General">
                  <c:v>8.6</c:v>
                </c:pt>
                <c:pt idx="35" formatCode="General">
                  <c:v>8.9</c:v>
                </c:pt>
                <c:pt idx="36" formatCode="General">
                  <c:v>8.6</c:v>
                </c:pt>
                <c:pt idx="37" formatCode="General">
                  <c:v>9.1</c:v>
                </c:pt>
                <c:pt idx="38">
                  <c:v>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rolnictwo!$A$148:$B$186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rolnictwo!$C$148:$C$186</c:f>
              <c:numCache>
                <c:formatCode>General</c:formatCode>
                <c:ptCount val="39"/>
                <c:pt idx="0">
                  <c:v>8.8000000000000007</c:v>
                </c:pt>
                <c:pt idx="1">
                  <c:v>8.1999999999999993</c:v>
                </c:pt>
                <c:pt idx="2">
                  <c:v>8.5</c:v>
                </c:pt>
                <c:pt idx="3">
                  <c:v>9.3000000000000007</c:v>
                </c:pt>
                <c:pt idx="4">
                  <c:v>9.1</c:v>
                </c:pt>
                <c:pt idx="5">
                  <c:v>10.1</c:v>
                </c:pt>
                <c:pt idx="6">
                  <c:v>8.9</c:v>
                </c:pt>
                <c:pt idx="7">
                  <c:v>8.6999999999999993</c:v>
                </c:pt>
                <c:pt idx="8">
                  <c:v>8.9</c:v>
                </c:pt>
                <c:pt idx="9">
                  <c:v>8.4</c:v>
                </c:pt>
                <c:pt idx="10">
                  <c:v>7.9</c:v>
                </c:pt>
                <c:pt idx="11" formatCode="0.0">
                  <c:v>8</c:v>
                </c:pt>
                <c:pt idx="12">
                  <c:v>7.6</c:v>
                </c:pt>
                <c:pt idx="13">
                  <c:v>7.5</c:v>
                </c:pt>
                <c:pt idx="14">
                  <c:v>8.1</c:v>
                </c:pt>
                <c:pt idx="15">
                  <c:v>7.4</c:v>
                </c:pt>
                <c:pt idx="16">
                  <c:v>7.4</c:v>
                </c:pt>
                <c:pt idx="17">
                  <c:v>7.9</c:v>
                </c:pt>
                <c:pt idx="18">
                  <c:v>8.1</c:v>
                </c:pt>
                <c:pt idx="19">
                  <c:v>8.3000000000000007</c:v>
                </c:pt>
                <c:pt idx="20">
                  <c:v>7.1</c:v>
                </c:pt>
                <c:pt idx="21">
                  <c:v>6.9</c:v>
                </c:pt>
                <c:pt idx="22">
                  <c:v>6.5</c:v>
                </c:pt>
                <c:pt idx="23">
                  <c:v>6.3</c:v>
                </c:pt>
                <c:pt idx="24">
                  <c:v>6.3</c:v>
                </c:pt>
                <c:pt idx="25">
                  <c:v>6.5</c:v>
                </c:pt>
                <c:pt idx="26">
                  <c:v>6.7</c:v>
                </c:pt>
                <c:pt idx="27">
                  <c:v>7.7</c:v>
                </c:pt>
                <c:pt idx="28">
                  <c:v>7.6</c:v>
                </c:pt>
                <c:pt idx="29">
                  <c:v>8.4</c:v>
                </c:pt>
                <c:pt idx="30">
                  <c:v>8.4</c:v>
                </c:pt>
                <c:pt idx="31">
                  <c:v>9.4</c:v>
                </c:pt>
                <c:pt idx="32">
                  <c:v>9.1</c:v>
                </c:pt>
                <c:pt idx="33">
                  <c:v>9.1999999999999993</c:v>
                </c:pt>
                <c:pt idx="34">
                  <c:v>9.5</c:v>
                </c:pt>
                <c:pt idx="35">
                  <c:v>10.6</c:v>
                </c:pt>
                <c:pt idx="36">
                  <c:v>9.6</c:v>
                </c:pt>
                <c:pt idx="37">
                  <c:v>9.6</c:v>
                </c:pt>
                <c:pt idx="38">
                  <c:v>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330528"/>
        <c:axId val="1771254768"/>
      </c:lineChart>
      <c:catAx>
        <c:axId val="19233052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771254768"/>
        <c:crosses val="autoZero"/>
        <c:auto val="1"/>
        <c:lblAlgn val="ctr"/>
        <c:lblOffset val="100"/>
        <c:noMultiLvlLbl val="0"/>
      </c:catAx>
      <c:valAx>
        <c:axId val="177125476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330528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5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0.36333</cdr:x>
      <cdr:y>0.72511</cdr:y>
    </cdr:from>
    <cdr:to>
      <cdr:x>0.52233</cdr:x>
      <cdr:y>0.97026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1967279" y="285310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0.44177</cdr:x>
      <cdr:y>0.87273</cdr:y>
    </cdr:from>
    <cdr:to>
      <cdr:x>0.47324</cdr:x>
      <cdr:y>0.92602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2935983" y="2357497"/>
          <a:ext cx="209146" cy="1439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0.44695</cdr:x>
      <cdr:y>0</cdr:y>
    </cdr:from>
    <cdr:to>
      <cdr:x>0.47265</cdr:x>
      <cdr:y>0.06075</cdr:y>
    </cdr:to>
    <cdr:sp macro="" textlink="">
      <cdr:nvSpPr>
        <cdr:cNvPr id="9" name="pole tekstowe 1"/>
        <cdr:cNvSpPr txBox="1"/>
      </cdr:nvSpPr>
      <cdr:spPr bwMode="auto">
        <a:xfrm xmlns:a="http://schemas.openxmlformats.org/drawingml/2006/main">
          <a:off x="2970363" y="0"/>
          <a:ext cx="170800" cy="164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0.44435</cdr:x>
      <cdr:y>0.26928</cdr:y>
    </cdr:from>
    <cdr:to>
      <cdr:x>0.47408</cdr:x>
      <cdr:y>0.32061</cdr:y>
    </cdr:to>
    <cdr:sp macro="" textlink="">
      <cdr:nvSpPr>
        <cdr:cNvPr id="10" name="pole tekstowe 1"/>
        <cdr:cNvSpPr txBox="1"/>
      </cdr:nvSpPr>
      <cdr:spPr bwMode="auto">
        <a:xfrm xmlns:a="http://schemas.openxmlformats.org/drawingml/2006/main">
          <a:off x="2953105" y="727397"/>
          <a:ext cx="197583" cy="1386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0.44923</cdr:x>
      <cdr:y>0.44165</cdr:y>
    </cdr:from>
    <cdr:to>
      <cdr:x>0.46783</cdr:x>
      <cdr:y>0.50812</cdr:y>
    </cdr:to>
    <cdr:sp macro="" textlink="">
      <cdr:nvSpPr>
        <cdr:cNvPr id="30" name="pole tekstowe 1"/>
        <cdr:cNvSpPr txBox="1"/>
      </cdr:nvSpPr>
      <cdr:spPr bwMode="auto">
        <a:xfrm xmlns:a="http://schemas.openxmlformats.org/drawingml/2006/main">
          <a:off x="2985516" y="1193029"/>
          <a:ext cx="123614" cy="1795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0.44938</cdr:x>
      <cdr:y>0.69298</cdr:y>
    </cdr:from>
    <cdr:to>
      <cdr:x>0.46798</cdr:x>
      <cdr:y>0.75945</cdr:y>
    </cdr:to>
    <cdr:sp macro="" textlink="">
      <cdr:nvSpPr>
        <cdr:cNvPr id="31" name="pole tekstowe 1"/>
        <cdr:cNvSpPr txBox="1"/>
      </cdr:nvSpPr>
      <cdr:spPr bwMode="auto">
        <a:xfrm xmlns:a="http://schemas.openxmlformats.org/drawingml/2006/main">
          <a:off x="2986556" y="1871928"/>
          <a:ext cx="123613" cy="1795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0.44499</cdr:x>
      <cdr:y>0.78757</cdr:y>
    </cdr:from>
    <cdr:to>
      <cdr:x>0.46808</cdr:x>
      <cdr:y>0.8533</cdr:y>
    </cdr:to>
    <cdr:sp macro="" textlink="">
      <cdr:nvSpPr>
        <cdr:cNvPr id="32" name="pole tekstowe 1"/>
        <cdr:cNvSpPr txBox="1"/>
      </cdr:nvSpPr>
      <cdr:spPr bwMode="auto">
        <a:xfrm xmlns:a="http://schemas.openxmlformats.org/drawingml/2006/main">
          <a:off x="2957382" y="2127460"/>
          <a:ext cx="153454" cy="1775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0.96087</cdr:x>
      <cdr:y>0.87104</cdr:y>
    </cdr:from>
    <cdr:to>
      <cdr:x>0.99697</cdr:x>
      <cdr:y>0.93058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6385843" y="2352926"/>
          <a:ext cx="239918" cy="160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0.36333</cdr:x>
      <cdr:y>0.72511</cdr:y>
    </cdr:from>
    <cdr:to>
      <cdr:x>0.52233</cdr:x>
      <cdr:y>0.97026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1967279" y="285310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0.43391</cdr:x>
      <cdr:y>0.84533</cdr:y>
    </cdr:from>
    <cdr:to>
      <cdr:x>0.46538</cdr:x>
      <cdr:y>0.89862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2966343" y="2741256"/>
          <a:ext cx="215140" cy="1728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0.44102</cdr:x>
      <cdr:y>0</cdr:y>
    </cdr:from>
    <cdr:to>
      <cdr:x>0.47839</cdr:x>
      <cdr:y>0.11169</cdr:y>
    </cdr:to>
    <cdr:sp macro="" textlink="">
      <cdr:nvSpPr>
        <cdr:cNvPr id="9" name="pole tekstowe 1"/>
        <cdr:cNvSpPr txBox="1"/>
      </cdr:nvSpPr>
      <cdr:spPr bwMode="auto">
        <a:xfrm xmlns:a="http://schemas.openxmlformats.org/drawingml/2006/main">
          <a:off x="3014949" y="0"/>
          <a:ext cx="255474" cy="3623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0.43575</cdr:x>
      <cdr:y>0.25091</cdr:y>
    </cdr:from>
    <cdr:to>
      <cdr:x>0.46672</cdr:x>
      <cdr:y>0.34701</cdr:y>
    </cdr:to>
    <cdr:sp macro="" textlink="">
      <cdr:nvSpPr>
        <cdr:cNvPr id="10" name="pole tekstowe 1"/>
        <cdr:cNvSpPr txBox="1"/>
      </cdr:nvSpPr>
      <cdr:spPr bwMode="auto">
        <a:xfrm xmlns:a="http://schemas.openxmlformats.org/drawingml/2006/main">
          <a:off x="2978968" y="760415"/>
          <a:ext cx="211721" cy="291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0.44082</cdr:x>
      <cdr:y>0.42427</cdr:y>
    </cdr:from>
    <cdr:to>
      <cdr:x>0.45942</cdr:x>
      <cdr:y>0.49074</cdr:y>
    </cdr:to>
    <cdr:sp macro="" textlink="">
      <cdr:nvSpPr>
        <cdr:cNvPr id="30" name="pole tekstowe 1"/>
        <cdr:cNvSpPr txBox="1"/>
      </cdr:nvSpPr>
      <cdr:spPr bwMode="auto">
        <a:xfrm xmlns:a="http://schemas.openxmlformats.org/drawingml/2006/main">
          <a:off x="3013582" y="1285836"/>
          <a:ext cx="127156" cy="2014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0.43935</cdr:x>
      <cdr:y>0.68166</cdr:y>
    </cdr:from>
    <cdr:to>
      <cdr:x>0.45795</cdr:x>
      <cdr:y>0.74813</cdr:y>
    </cdr:to>
    <cdr:sp macro="" textlink="">
      <cdr:nvSpPr>
        <cdr:cNvPr id="31" name="pole tekstowe 1"/>
        <cdr:cNvSpPr txBox="1"/>
      </cdr:nvSpPr>
      <cdr:spPr bwMode="auto">
        <a:xfrm xmlns:a="http://schemas.openxmlformats.org/drawingml/2006/main">
          <a:off x="3003533" y="2065890"/>
          <a:ext cx="127156" cy="20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0.43555</cdr:x>
      <cdr:y>0.77273</cdr:y>
    </cdr:from>
    <cdr:to>
      <cdr:x>0.45864</cdr:x>
      <cdr:y>0.83846</cdr:y>
    </cdr:to>
    <cdr:sp macro="" textlink="">
      <cdr:nvSpPr>
        <cdr:cNvPr id="32" name="pole tekstowe 1"/>
        <cdr:cNvSpPr txBox="1"/>
      </cdr:nvSpPr>
      <cdr:spPr bwMode="auto">
        <a:xfrm xmlns:a="http://schemas.openxmlformats.org/drawingml/2006/main">
          <a:off x="2977601" y="2341894"/>
          <a:ext cx="157852" cy="1992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0.93606</cdr:x>
      <cdr:y>0.84349</cdr:y>
    </cdr:from>
    <cdr:to>
      <cdr:x>0.97216</cdr:x>
      <cdr:y>0.90303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6399261" y="2735288"/>
          <a:ext cx="246792" cy="1930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DEE2947-B8FB-43D8-84FE-6A00CD53E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22</Pages>
  <Words>7299</Words>
  <Characters>43797</Characters>
  <Application>Microsoft Office Word</Application>
  <DocSecurity>0</DocSecurity>
  <Lines>364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116</cp:revision>
  <cp:lastPrinted>2020-04-24T05:06:00Z</cp:lastPrinted>
  <dcterms:created xsi:type="dcterms:W3CDTF">2020-03-27T08:18:00Z</dcterms:created>
  <dcterms:modified xsi:type="dcterms:W3CDTF">2020-05-28T14:36:00Z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