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4.xml" ContentType="application/vnd.openxmlformats-officedocument.drawingml.chartshapes+xml"/>
  <Override PartName="/word/charts/chart11.xml" ContentType="application/vnd.openxmlformats-officedocument.drawingml.chart+xml"/>
  <Override PartName="/word/drawings/drawing5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6.xml" ContentType="application/vnd.openxmlformats-officedocument.drawingml.chartshap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 xml:space="preserve">województwa świętokrzyskiego w </w:t>
      </w:r>
      <w:r w:rsidR="00675A7F">
        <w:rPr>
          <w:shd w:val="clear" w:color="auto" w:fill="FFFFFF"/>
        </w:rPr>
        <w:t>styczniu</w:t>
      </w:r>
      <w:r w:rsidR="00F236F8">
        <w:rPr>
          <w:shd w:val="clear" w:color="auto" w:fill="FFFFFF"/>
        </w:rPr>
        <w:br/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EA058A" w:rsidTr="006E4A35">
        <w:trPr>
          <w:trHeight w:val="1553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84A78" w:rsidRPr="006E4A35" w:rsidRDefault="005B63CB" w:rsidP="005B63CB">
            <w:pPr>
              <w:pStyle w:val="tekstnapierwszejstronie"/>
              <w:numPr>
                <w:ilvl w:val="0"/>
                <w:numId w:val="27"/>
              </w:numPr>
              <w:ind w:left="357" w:hanging="357"/>
              <w:jc w:val="both"/>
              <w:rPr>
                <w:color w:val="auto"/>
                <w:szCs w:val="19"/>
              </w:rPr>
            </w:pPr>
            <w:r w:rsidRPr="005B63CB">
              <w:rPr>
                <w:color w:val="auto"/>
                <w:szCs w:val="19"/>
              </w:rPr>
              <w:t xml:space="preserve">W styczniu 2020 r. </w:t>
            </w:r>
            <w:r>
              <w:rPr>
                <w:color w:val="auto"/>
                <w:szCs w:val="19"/>
              </w:rPr>
              <w:t>nastąpił</w:t>
            </w:r>
            <w:r w:rsidRPr="005B63CB">
              <w:rPr>
                <w:color w:val="auto"/>
                <w:szCs w:val="19"/>
              </w:rPr>
              <w:t xml:space="preserve"> spadek przeciętnego zatrudnienia w skali roku</w:t>
            </w:r>
            <w:r>
              <w:rPr>
                <w:color w:val="auto"/>
                <w:szCs w:val="19"/>
              </w:rPr>
              <w:t xml:space="preserve"> (o 2,1%), podczas gdy rok wcześniej notowano wzrost (o 3,9%)</w:t>
            </w:r>
            <w:r w:rsidRPr="005B63CB">
              <w:rPr>
                <w:color w:val="auto"/>
                <w:szCs w:val="19"/>
              </w:rPr>
              <w:t xml:space="preserve">. </w:t>
            </w:r>
            <w:r w:rsidR="00F236F8" w:rsidRPr="006E4A35">
              <w:rPr>
                <w:color w:val="auto"/>
                <w:szCs w:val="19"/>
              </w:rPr>
              <w:t>S</w:t>
            </w:r>
            <w:r w:rsidR="00284A78" w:rsidRPr="006E4A35">
              <w:rPr>
                <w:color w:val="auto"/>
                <w:szCs w:val="19"/>
              </w:rPr>
              <w:t>topa bezrobocia ukształtowała się</w:t>
            </w:r>
            <w:r w:rsidR="00F37820" w:rsidRPr="006E4A35">
              <w:rPr>
                <w:color w:val="auto"/>
                <w:szCs w:val="19"/>
              </w:rPr>
              <w:t xml:space="preserve"> na poziomie </w:t>
            </w:r>
            <w:r w:rsidR="00CA6FE7">
              <w:rPr>
                <w:color w:val="auto"/>
                <w:szCs w:val="19"/>
              </w:rPr>
              <w:t>8,3</w:t>
            </w:r>
            <w:r w:rsidR="00C6405D" w:rsidRPr="006E4A35">
              <w:rPr>
                <w:color w:val="auto"/>
                <w:szCs w:val="19"/>
              </w:rPr>
              <w:t>% wobec 7,</w:t>
            </w:r>
            <w:r w:rsidR="00CA6FE7">
              <w:rPr>
                <w:color w:val="auto"/>
                <w:szCs w:val="19"/>
              </w:rPr>
              <w:t>9</w:t>
            </w:r>
            <w:r w:rsidR="00C6405D" w:rsidRPr="006E4A35">
              <w:rPr>
                <w:color w:val="auto"/>
                <w:szCs w:val="19"/>
              </w:rPr>
              <w:t>% przed miesiącem i</w:t>
            </w:r>
            <w:r w:rsidR="006E4A35">
              <w:rPr>
                <w:color w:val="auto"/>
                <w:szCs w:val="19"/>
              </w:rPr>
              <w:t> </w:t>
            </w:r>
            <w:r w:rsidR="007A603D" w:rsidRPr="006E4A35">
              <w:rPr>
                <w:color w:val="auto"/>
                <w:szCs w:val="19"/>
              </w:rPr>
              <w:t>8,</w:t>
            </w:r>
            <w:r w:rsidR="00CA6FE7">
              <w:rPr>
                <w:color w:val="auto"/>
                <w:szCs w:val="19"/>
              </w:rPr>
              <w:t>8</w:t>
            </w:r>
            <w:r w:rsidR="00C6405D" w:rsidRPr="006E4A35">
              <w:rPr>
                <w:color w:val="auto"/>
                <w:szCs w:val="19"/>
              </w:rPr>
              <w:t xml:space="preserve">% </w:t>
            </w:r>
            <w:r w:rsidR="00284A78" w:rsidRPr="006E4A35">
              <w:rPr>
                <w:color w:val="auto"/>
                <w:szCs w:val="19"/>
              </w:rPr>
              <w:t xml:space="preserve">przed rokiem. </w:t>
            </w:r>
          </w:p>
          <w:p w:rsidR="00E809C1" w:rsidRPr="00E809C1" w:rsidRDefault="00E809C1" w:rsidP="00E809C1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 w:rsidRPr="00E809C1">
              <w:rPr>
                <w:szCs w:val="19"/>
              </w:rPr>
              <w:t xml:space="preserve">Styczeń 2020 r. jest kolejnym miesiącem z rzędu, w którym zanotowano poprawę warunków płacowych w sektorze przedsiębiorstw r/r. Wzrost przeciętnych miesięcznych wynagrodzeń brutto w sektorze przedsiębiorstw </w:t>
            </w:r>
            <w:r w:rsidR="008F3472" w:rsidRPr="006E4A35">
              <w:rPr>
                <w:color w:val="auto"/>
                <w:szCs w:val="19"/>
              </w:rPr>
              <w:t xml:space="preserve">był </w:t>
            </w:r>
            <w:r w:rsidR="0072221D">
              <w:rPr>
                <w:color w:val="auto"/>
                <w:szCs w:val="19"/>
              </w:rPr>
              <w:t xml:space="preserve">jednak </w:t>
            </w:r>
            <w:r w:rsidR="00E7040A">
              <w:rPr>
                <w:color w:val="auto"/>
                <w:szCs w:val="19"/>
              </w:rPr>
              <w:t>ni</w:t>
            </w:r>
            <w:r w:rsidR="008F3472" w:rsidRPr="006E4A35">
              <w:rPr>
                <w:color w:val="auto"/>
                <w:szCs w:val="19"/>
              </w:rPr>
              <w:t>ższy niż przed rokiem</w:t>
            </w:r>
            <w:r w:rsidR="008F3472" w:rsidRPr="00E809C1">
              <w:rPr>
                <w:szCs w:val="19"/>
              </w:rPr>
              <w:t xml:space="preserve"> </w:t>
            </w:r>
            <w:r w:rsidR="008F3472">
              <w:rPr>
                <w:szCs w:val="19"/>
              </w:rPr>
              <w:t>i</w:t>
            </w:r>
            <w:r w:rsidRPr="00E809C1">
              <w:rPr>
                <w:szCs w:val="19"/>
              </w:rPr>
              <w:t xml:space="preserve"> wyniósł  7,2% (wobec </w:t>
            </w:r>
            <w:r>
              <w:rPr>
                <w:szCs w:val="19"/>
              </w:rPr>
              <w:t>8</w:t>
            </w:r>
            <w:r w:rsidRPr="00E809C1">
              <w:rPr>
                <w:szCs w:val="19"/>
              </w:rPr>
              <w:t>,9% przed rokiem).</w:t>
            </w:r>
          </w:p>
          <w:p w:rsidR="00365AFC" w:rsidRPr="006E4A35" w:rsidRDefault="00365AFC" w:rsidP="006E4A35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 w:rsidRPr="006E4A35">
              <w:rPr>
                <w:color w:val="auto"/>
                <w:szCs w:val="19"/>
              </w:rPr>
              <w:t xml:space="preserve">Na rynku rolnym w </w:t>
            </w:r>
            <w:r w:rsidR="002965B1">
              <w:rPr>
                <w:color w:val="auto"/>
                <w:szCs w:val="19"/>
              </w:rPr>
              <w:t>styczniu</w:t>
            </w:r>
            <w:r w:rsidRPr="006E4A35">
              <w:rPr>
                <w:color w:val="auto"/>
                <w:szCs w:val="19"/>
              </w:rPr>
              <w:t xml:space="preserve"> </w:t>
            </w:r>
            <w:r w:rsidR="009277D8" w:rsidRPr="006E4A35">
              <w:rPr>
                <w:color w:val="auto"/>
                <w:szCs w:val="19"/>
              </w:rPr>
              <w:t>20</w:t>
            </w:r>
            <w:r w:rsidR="002965B1">
              <w:rPr>
                <w:color w:val="auto"/>
                <w:szCs w:val="19"/>
              </w:rPr>
              <w:t>20</w:t>
            </w:r>
            <w:r w:rsidR="009277D8" w:rsidRPr="006E4A35">
              <w:rPr>
                <w:color w:val="auto"/>
                <w:szCs w:val="19"/>
              </w:rPr>
              <w:t xml:space="preserve"> </w:t>
            </w:r>
            <w:r w:rsidRPr="006E4A35">
              <w:rPr>
                <w:color w:val="auto"/>
                <w:szCs w:val="19"/>
              </w:rPr>
              <w:t>r. w porównaniu z analogicznym miesiącem poprzedniego roku wyższe były ceny skupu</w:t>
            </w:r>
            <w:r w:rsidR="00BA40BD" w:rsidRPr="006E4A35">
              <w:rPr>
                <w:color w:val="auto"/>
                <w:szCs w:val="19"/>
              </w:rPr>
              <w:t xml:space="preserve"> </w:t>
            </w:r>
            <w:r w:rsidR="002965B1">
              <w:rPr>
                <w:color w:val="auto"/>
                <w:szCs w:val="19"/>
              </w:rPr>
              <w:t xml:space="preserve">żyta, </w:t>
            </w:r>
            <w:r w:rsidR="00BA40BD" w:rsidRPr="006E4A35">
              <w:rPr>
                <w:color w:val="auto"/>
                <w:szCs w:val="19"/>
              </w:rPr>
              <w:t>ziemniaków</w:t>
            </w:r>
            <w:r w:rsidR="007C2807" w:rsidRPr="006E4A35">
              <w:rPr>
                <w:color w:val="auto"/>
                <w:szCs w:val="19"/>
              </w:rPr>
              <w:t>,</w:t>
            </w:r>
            <w:r w:rsidR="00D76684" w:rsidRPr="006E4A35">
              <w:rPr>
                <w:color w:val="auto"/>
                <w:szCs w:val="19"/>
              </w:rPr>
              <w:t xml:space="preserve"> żywca wieprzowego</w:t>
            </w:r>
            <w:r w:rsidR="007C2807" w:rsidRPr="006E4A35">
              <w:rPr>
                <w:color w:val="auto"/>
                <w:szCs w:val="19"/>
              </w:rPr>
              <w:t xml:space="preserve"> i drobiowego</w:t>
            </w:r>
            <w:r w:rsidR="002965B1">
              <w:rPr>
                <w:color w:val="auto"/>
                <w:szCs w:val="19"/>
              </w:rPr>
              <w:t xml:space="preserve"> oraz mleka</w:t>
            </w:r>
            <w:r w:rsidRPr="006E4A35">
              <w:rPr>
                <w:color w:val="auto"/>
                <w:szCs w:val="19"/>
              </w:rPr>
              <w:t>. W tym samym okresie na targowiskach wzrosły ceny</w:t>
            </w:r>
            <w:r w:rsidR="00D76684" w:rsidRPr="006E4A35">
              <w:rPr>
                <w:color w:val="auto"/>
                <w:szCs w:val="19"/>
              </w:rPr>
              <w:t xml:space="preserve"> </w:t>
            </w:r>
            <w:r w:rsidR="00E167B2" w:rsidRPr="006E4A35">
              <w:rPr>
                <w:color w:val="auto"/>
                <w:szCs w:val="19"/>
              </w:rPr>
              <w:t xml:space="preserve">ziemniaków, </w:t>
            </w:r>
            <w:r w:rsidR="002965B1">
              <w:rPr>
                <w:color w:val="auto"/>
                <w:szCs w:val="19"/>
              </w:rPr>
              <w:t>a spadły ceny zbóż</w:t>
            </w:r>
            <w:r w:rsidRPr="006E4A35">
              <w:rPr>
                <w:color w:val="auto"/>
                <w:szCs w:val="19"/>
              </w:rPr>
              <w:t xml:space="preserve">. </w:t>
            </w:r>
            <w:r w:rsidR="0000398C" w:rsidRPr="006E4A35">
              <w:rPr>
                <w:color w:val="auto"/>
                <w:szCs w:val="19"/>
              </w:rPr>
              <w:t>Po</w:t>
            </w:r>
            <w:r w:rsidR="002965B1">
              <w:rPr>
                <w:color w:val="auto"/>
                <w:szCs w:val="19"/>
              </w:rPr>
              <w:t xml:space="preserve">gorszył </w:t>
            </w:r>
            <w:r w:rsidR="0000398C" w:rsidRPr="006E4A35">
              <w:rPr>
                <w:color w:val="auto"/>
                <w:szCs w:val="19"/>
              </w:rPr>
              <w:t>się wskaźnik opłacalności tuczu trzody chlewnej.</w:t>
            </w:r>
          </w:p>
          <w:p w:rsidR="00D96D70" w:rsidRDefault="00D96D70" w:rsidP="008352B1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 styczniu 2020</w:t>
            </w:r>
            <w:r w:rsidR="00F232A8" w:rsidRPr="00D96D70">
              <w:rPr>
                <w:color w:val="auto"/>
                <w:szCs w:val="19"/>
              </w:rPr>
              <w:t xml:space="preserve"> r. </w:t>
            </w:r>
            <w:r>
              <w:rPr>
                <w:color w:val="auto"/>
                <w:szCs w:val="19"/>
              </w:rPr>
              <w:t>kolejny miesiąc</w:t>
            </w:r>
            <w:r w:rsidR="00111FEA" w:rsidRPr="00D96D70">
              <w:rPr>
                <w:color w:val="auto"/>
                <w:szCs w:val="19"/>
              </w:rPr>
              <w:t xml:space="preserve"> z rzędu</w:t>
            </w:r>
            <w:r w:rsidR="00C42567" w:rsidRPr="00D96D70">
              <w:rPr>
                <w:color w:val="auto"/>
                <w:szCs w:val="19"/>
              </w:rPr>
              <w:t xml:space="preserve"> </w:t>
            </w:r>
            <w:r w:rsidR="00CD0DD0" w:rsidRPr="00D96D70">
              <w:rPr>
                <w:color w:val="auto"/>
                <w:szCs w:val="19"/>
              </w:rPr>
              <w:t xml:space="preserve">notowano </w:t>
            </w:r>
            <w:r w:rsidR="00F232A8" w:rsidRPr="00D96D70">
              <w:rPr>
                <w:color w:val="auto"/>
                <w:szCs w:val="19"/>
              </w:rPr>
              <w:t xml:space="preserve">wzrost </w:t>
            </w:r>
            <w:r w:rsidR="00356D3A" w:rsidRPr="00D96D70">
              <w:rPr>
                <w:color w:val="auto"/>
                <w:szCs w:val="19"/>
              </w:rPr>
              <w:t>produkcji spr</w:t>
            </w:r>
            <w:r w:rsidR="007854CA" w:rsidRPr="00D96D70">
              <w:rPr>
                <w:color w:val="auto"/>
                <w:szCs w:val="19"/>
              </w:rPr>
              <w:t>zedanej przemysłu w skali roku</w:t>
            </w:r>
            <w:r w:rsidR="00000AD6">
              <w:rPr>
                <w:color w:val="auto"/>
                <w:szCs w:val="19"/>
              </w:rPr>
              <w:t>, natomiast spadek odnotowano w stosunku do miesiąca poprzedniego</w:t>
            </w:r>
            <w:r w:rsidR="00B17376" w:rsidRPr="00D96D70">
              <w:rPr>
                <w:color w:val="auto"/>
                <w:szCs w:val="19"/>
              </w:rPr>
              <w:t>.</w:t>
            </w:r>
            <w:r w:rsidR="00570A06" w:rsidRPr="00D96D70">
              <w:rPr>
                <w:color w:val="auto"/>
                <w:szCs w:val="19"/>
              </w:rPr>
              <w:t xml:space="preserve"> </w:t>
            </w:r>
          </w:p>
          <w:p w:rsidR="0042786B" w:rsidRDefault="00D96D70" w:rsidP="0042786B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>
              <w:rPr>
                <w:szCs w:val="19"/>
              </w:rPr>
              <w:t xml:space="preserve">Po wzroście w grudniu 2019 r. </w:t>
            </w:r>
            <w:r w:rsidR="00111FEA" w:rsidRPr="00D96D70">
              <w:rPr>
                <w:szCs w:val="19"/>
              </w:rPr>
              <w:t>produkcja budowlano-montażowa</w:t>
            </w:r>
            <w:r>
              <w:rPr>
                <w:szCs w:val="19"/>
              </w:rPr>
              <w:t xml:space="preserve"> znacznie się obniżyła. W styczniu 2020</w:t>
            </w:r>
            <w:r w:rsidR="00111FEA" w:rsidRPr="00D96D70">
              <w:rPr>
                <w:szCs w:val="19"/>
              </w:rPr>
              <w:t xml:space="preserve"> r. </w:t>
            </w:r>
            <w:r w:rsidR="00F232A8" w:rsidRPr="00D96D70">
              <w:rPr>
                <w:szCs w:val="19"/>
              </w:rPr>
              <w:t xml:space="preserve">była </w:t>
            </w:r>
            <w:r w:rsidR="00FE6972">
              <w:rPr>
                <w:szCs w:val="19"/>
              </w:rPr>
              <w:br/>
            </w:r>
            <w:r w:rsidR="00124D97" w:rsidRPr="00D96D70">
              <w:rPr>
                <w:szCs w:val="19"/>
              </w:rPr>
              <w:t xml:space="preserve">o </w:t>
            </w:r>
            <w:r>
              <w:rPr>
                <w:szCs w:val="19"/>
              </w:rPr>
              <w:t>20,4</w:t>
            </w:r>
            <w:r w:rsidR="00F232A8" w:rsidRPr="00D96D70">
              <w:rPr>
                <w:szCs w:val="19"/>
              </w:rPr>
              <w:t xml:space="preserve">% </w:t>
            </w:r>
            <w:r>
              <w:rPr>
                <w:szCs w:val="19"/>
              </w:rPr>
              <w:t>mniejsza</w:t>
            </w:r>
            <w:r w:rsidR="00F232A8" w:rsidRPr="00D96D70">
              <w:rPr>
                <w:szCs w:val="19"/>
              </w:rPr>
              <w:t xml:space="preserve"> niż rok wcześniej</w:t>
            </w:r>
            <w:r w:rsidR="00D7562C" w:rsidRPr="00D96D70">
              <w:rPr>
                <w:szCs w:val="19"/>
              </w:rPr>
              <w:t>.</w:t>
            </w:r>
            <w:r w:rsidR="00570A06" w:rsidRPr="00D96D70">
              <w:rPr>
                <w:color w:val="auto"/>
                <w:szCs w:val="19"/>
              </w:rPr>
              <w:t xml:space="preserve"> </w:t>
            </w:r>
          </w:p>
          <w:p w:rsidR="00F5196C" w:rsidRPr="0042786B" w:rsidRDefault="00F5196C" w:rsidP="0042786B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  <w:szCs w:val="19"/>
              </w:rPr>
            </w:pPr>
            <w:r w:rsidRPr="0042786B">
              <w:rPr>
                <w:szCs w:val="19"/>
              </w:rPr>
              <w:t>Według wstępnych danych, w badanym miesiącu</w:t>
            </w:r>
            <w:r w:rsidR="00000AD6">
              <w:rPr>
                <w:szCs w:val="19"/>
              </w:rPr>
              <w:t>,</w:t>
            </w:r>
            <w:r w:rsidRPr="0042786B">
              <w:rPr>
                <w:szCs w:val="19"/>
              </w:rPr>
              <w:t xml:space="preserve"> </w:t>
            </w:r>
            <w:r w:rsidR="0042786B" w:rsidRPr="0042786B">
              <w:rPr>
                <w:rFonts w:cs="Arial"/>
                <w:szCs w:val="19"/>
              </w:rPr>
              <w:t xml:space="preserve">przekazano do użytkowania o 2,5% mniej mieszkań niż w analogicznym miesiącu poprzedniego roku. Zwiększyła się natomiast liczba mieszkań, których budowę rozpoczęto </w:t>
            </w:r>
            <w:r w:rsidR="008C23AF">
              <w:rPr>
                <w:rFonts w:cs="Arial"/>
                <w:szCs w:val="19"/>
              </w:rPr>
              <w:br/>
            </w:r>
            <w:r w:rsidR="0042786B" w:rsidRPr="0042786B">
              <w:rPr>
                <w:rFonts w:cs="Arial"/>
                <w:szCs w:val="19"/>
              </w:rPr>
              <w:t>(o 39,6%) oraz liczba mieszkań, na realizację których wydano pozwolenia lub dokonano zgłoszenia z projektem budowlanym (o 55,2%).</w:t>
            </w:r>
          </w:p>
          <w:p w:rsidR="009A432C" w:rsidRPr="009A432C" w:rsidRDefault="001E70D0" w:rsidP="006E4A35">
            <w:pPr>
              <w:pStyle w:val="tekstnapierwszejstronie"/>
              <w:numPr>
                <w:ilvl w:val="0"/>
                <w:numId w:val="27"/>
              </w:numPr>
              <w:ind w:left="357" w:hanging="357"/>
              <w:rPr>
                <w:color w:val="auto"/>
              </w:rPr>
            </w:pPr>
            <w:r>
              <w:rPr>
                <w:szCs w:val="19"/>
              </w:rPr>
              <w:t>W styczniu 2020</w:t>
            </w:r>
            <w:r w:rsidRPr="006E4A35">
              <w:rPr>
                <w:szCs w:val="19"/>
              </w:rPr>
              <w:t xml:space="preserve"> r. sprzedaż detaliczna z</w:t>
            </w:r>
            <w:r>
              <w:rPr>
                <w:szCs w:val="19"/>
              </w:rPr>
              <w:t>większyła się w skali roku o 3,0</w:t>
            </w:r>
            <w:r w:rsidRPr="006E4A35">
              <w:rPr>
                <w:szCs w:val="19"/>
              </w:rPr>
              <w:t>%</w:t>
            </w:r>
            <w:r>
              <w:rPr>
                <w:szCs w:val="19"/>
              </w:rPr>
              <w:t xml:space="preserve"> (przed rokiem odnotowano spadek o 1,6%). Z kolei sprzedaż hurtowa była o 2,6</w:t>
            </w:r>
            <w:r w:rsidRPr="006E4A35">
              <w:rPr>
                <w:szCs w:val="19"/>
              </w:rPr>
              <w:t xml:space="preserve">% </w:t>
            </w:r>
            <w:r>
              <w:rPr>
                <w:szCs w:val="19"/>
              </w:rPr>
              <w:t>niższa niż w styczniu 2019 r., wobec ubiegłorocznego wzrostu na poziomie 25,9%</w:t>
            </w:r>
            <w:r w:rsidRPr="006E4A35">
              <w:rPr>
                <w:szCs w:val="19"/>
              </w:rPr>
              <w:t>.</w:t>
            </w:r>
          </w:p>
        </w:tc>
      </w:tr>
    </w:tbl>
    <w:p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:rsidR="003E5264" w:rsidRDefault="003E5264" w:rsidP="003E5264">
      <w:pPr>
        <w:pStyle w:val="Spistreci"/>
      </w:pPr>
      <w:r>
        <w:t xml:space="preserve">Rynek pracy </w:t>
      </w:r>
      <w:r>
        <w:tab/>
        <w:t>4</w:t>
      </w:r>
    </w:p>
    <w:p w:rsidR="003E5264" w:rsidRDefault="003E5264" w:rsidP="003E5264">
      <w:pPr>
        <w:pStyle w:val="Spistreci"/>
      </w:pPr>
      <w:r>
        <w:t>Wynagrodzenia</w:t>
      </w:r>
      <w:r>
        <w:tab/>
      </w:r>
      <w:r w:rsidR="00180E8C">
        <w:t>8</w:t>
      </w:r>
    </w:p>
    <w:p w:rsidR="003E5264" w:rsidRDefault="003E5264" w:rsidP="003E5264">
      <w:pPr>
        <w:pStyle w:val="Spistreci"/>
      </w:pPr>
      <w:r>
        <w:t>Rolnictwo</w:t>
      </w:r>
      <w:r w:rsidR="00AC3F7C">
        <w:t xml:space="preserve"> </w:t>
      </w:r>
      <w:r>
        <w:tab/>
      </w:r>
      <w:r w:rsidR="00DE17D0">
        <w:t xml:space="preserve"> 9</w:t>
      </w:r>
    </w:p>
    <w:p w:rsidR="003E5264" w:rsidRDefault="003E5264" w:rsidP="003E5264">
      <w:pPr>
        <w:pStyle w:val="Spistreci"/>
      </w:pPr>
      <w:r>
        <w:t>Przemysł i budownictwo</w:t>
      </w:r>
      <w:r w:rsidR="00AC3F7C">
        <w:t xml:space="preserve"> </w:t>
      </w:r>
      <w:r>
        <w:tab/>
        <w:t>1</w:t>
      </w:r>
      <w:r w:rsidR="00DE17D0">
        <w:t>3</w:t>
      </w:r>
    </w:p>
    <w:p w:rsidR="003E5264" w:rsidRDefault="003E5264" w:rsidP="003E5264">
      <w:pPr>
        <w:pStyle w:val="Spistreci"/>
      </w:pPr>
      <w:r>
        <w:t>Budownictwo mieszkaniowe</w:t>
      </w:r>
      <w:r>
        <w:tab/>
        <w:t>1</w:t>
      </w:r>
      <w:r w:rsidR="00DE17D0">
        <w:t>5</w:t>
      </w:r>
    </w:p>
    <w:p w:rsidR="003E5264" w:rsidRDefault="003E5264" w:rsidP="003E5264">
      <w:pPr>
        <w:pStyle w:val="Spistreci"/>
      </w:pPr>
      <w:r>
        <w:t>Rynek wewnętrzny</w:t>
      </w:r>
      <w:r w:rsidR="00E47AFC">
        <w:tab/>
      </w:r>
      <w:r w:rsidR="007A11C2">
        <w:t>1</w:t>
      </w:r>
      <w:r w:rsidR="00DE17D0">
        <w:t>7</w:t>
      </w:r>
    </w:p>
    <w:p w:rsidR="00F469A3" w:rsidRPr="009400F1" w:rsidRDefault="003E5264" w:rsidP="003E5264">
      <w:pPr>
        <w:pStyle w:val="Spistreci"/>
      </w:pPr>
      <w:r>
        <w:t>Wybrane dane o województwie świętokrzyskim</w:t>
      </w:r>
      <w:r>
        <w:tab/>
      </w:r>
      <w:r w:rsidR="00DE17D0">
        <w:t>19</w:t>
      </w:r>
    </w:p>
    <w:p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:rsidR="00FC015D" w:rsidRPr="00F65F8F" w:rsidRDefault="003E5264" w:rsidP="006B2A42">
      <w:pPr>
        <w:spacing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:rsidR="003E5264" w:rsidRPr="003E5264" w:rsidRDefault="003E5264" w:rsidP="008F1B9B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3E5264" w:rsidRPr="003E5264" w:rsidRDefault="003E5264" w:rsidP="008F1B9B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3E5264" w:rsidRPr="003E5264" w:rsidRDefault="003E5264" w:rsidP="008F1B9B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3E5264" w:rsidRPr="003E5264" w:rsidRDefault="003E5264" w:rsidP="008F1B9B">
      <w:pPr>
        <w:pStyle w:val="Tekstwypunktowany"/>
      </w:pPr>
      <w:r w:rsidRPr="003E5264">
        <w:t>o skupie produktów rolnych obejmują skup od producentów z terenu województwa; ceny podano bez podatku VAT,</w:t>
      </w:r>
    </w:p>
    <w:p w:rsidR="00FC015D" w:rsidRPr="003E5264" w:rsidRDefault="003E5264" w:rsidP="008F1B9B">
      <w:pPr>
        <w:pStyle w:val="Tekstwypunktowany"/>
        <w:spacing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:rsidR="00BF1AD1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:rsidR="00BF1AD1" w:rsidRDefault="00BF1AD1" w:rsidP="00BF1AD1">
      <w:pPr>
        <w:ind w:right="-2423"/>
        <w:rPr>
          <w:shd w:val="clear" w:color="auto" w:fill="FFFFFF"/>
        </w:rPr>
      </w:pPr>
    </w:p>
    <w:p w:rsidR="00FC015D" w:rsidRPr="003439F1" w:rsidRDefault="00770B00" w:rsidP="009A0CB7">
      <w:pPr>
        <w:pStyle w:val="Nagwek1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:rsidR="00043CB4" w:rsidRPr="00043CB4" w:rsidRDefault="00043CB4" w:rsidP="00770B00">
      <w:pPr>
        <w:rPr>
          <w:lang w:eastAsia="pl-PL"/>
        </w:rPr>
      </w:pPr>
    </w:p>
    <w:p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3439F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    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3439F1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shd w:val="clear" w:color="auto" w:fill="FFFFFF"/>
                <w:lang w:val="en-GB"/>
              </w:rPr>
              <w:t>zjawisko nie wystąpiło</w:t>
            </w:r>
          </w:p>
        </w:tc>
      </w:tr>
      <w:tr w:rsidR="00770B00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Znak 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(*)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B330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Znak  (∆)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:rsidR="00770B00" w:rsidRPr="007A090E" w:rsidRDefault="00770B00" w:rsidP="00582917">
      <w:pPr>
        <w:rPr>
          <w:lang w:eastAsia="pl-PL"/>
        </w:rPr>
      </w:pPr>
    </w:p>
    <w:p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w </w:t>
      </w:r>
      <w:r w:rsidR="00582917">
        <w:rPr>
          <w:shd w:val="clear" w:color="auto" w:fill="FFFFFF"/>
        </w:rPr>
        <w:t>styczniu</w:t>
      </w:r>
      <w:r w:rsidRPr="007167B2">
        <w:rPr>
          <w:shd w:val="clear" w:color="auto" w:fill="FFFFFF"/>
        </w:rPr>
        <w:t xml:space="preserve"> 20</w:t>
      </w:r>
      <w:r w:rsidR="00582917">
        <w:rPr>
          <w:shd w:val="clear" w:color="auto" w:fill="FFFFFF"/>
        </w:rPr>
        <w:t>20</w:t>
      </w:r>
      <w:r w:rsidRPr="007167B2">
        <w:rPr>
          <w:shd w:val="clear" w:color="auto" w:fill="FFFFFF"/>
        </w:rPr>
        <w:t xml:space="preserve"> r.” uka</w:t>
      </w:r>
      <w:r w:rsidR="00675A7F">
        <w:rPr>
          <w:shd w:val="clear" w:color="auto" w:fill="FFFFFF"/>
        </w:rPr>
        <w:t>zała</w:t>
      </w:r>
      <w:r w:rsidRPr="007167B2">
        <w:rPr>
          <w:shd w:val="clear" w:color="auto" w:fill="FFFFFF"/>
        </w:rPr>
        <w:t xml:space="preserve"> się na stronie głównej Urzędu Statystycznego w Kielcach: http://kielce.stat.gov.pl/ </w:t>
      </w:r>
      <w:r w:rsidR="00675A7F">
        <w:rPr>
          <w:shd w:val="clear" w:color="auto" w:fill="FFFFFF"/>
        </w:rPr>
        <w:t>27</w:t>
      </w:r>
      <w:r w:rsidR="007830E7">
        <w:rPr>
          <w:shd w:val="clear" w:color="auto" w:fill="FFFFFF"/>
        </w:rPr>
        <w:t xml:space="preserve"> </w:t>
      </w:r>
      <w:r w:rsidR="00675A7F">
        <w:rPr>
          <w:shd w:val="clear" w:color="auto" w:fill="FFFFFF"/>
        </w:rPr>
        <w:t>lutego</w:t>
      </w:r>
      <w:r w:rsidR="00180E8C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 xml:space="preserve">20 </w:t>
      </w:r>
      <w:r w:rsidRPr="007167B2">
        <w:rPr>
          <w:shd w:val="clear" w:color="auto" w:fill="FFFFFF"/>
        </w:rPr>
        <w:t>r.</w:t>
      </w:r>
    </w:p>
    <w:p w:rsidR="00746187" w:rsidRPr="007167B2" w:rsidRDefault="007167B2" w:rsidP="00582917">
      <w:pPr>
        <w:rPr>
          <w:b/>
          <w:spacing w:val="-2"/>
          <w:sz w:val="18"/>
        </w:rPr>
      </w:pPr>
      <w:r w:rsidRPr="007167B2">
        <w:rPr>
          <w:b/>
          <w:shd w:val="clear" w:color="auto" w:fill="FFFFFF"/>
        </w:rPr>
        <w:t>Przy publikowaniu danych U</w:t>
      </w:r>
      <w:r w:rsidR="006B608D">
        <w:rPr>
          <w:b/>
          <w:shd w:val="clear" w:color="auto" w:fill="FFFFFF"/>
        </w:rPr>
        <w:t xml:space="preserve">rzędu </w:t>
      </w:r>
      <w:r w:rsidRPr="007167B2">
        <w:rPr>
          <w:b/>
          <w:shd w:val="clear" w:color="auto" w:fill="FFFFFF"/>
        </w:rPr>
        <w:t>S</w:t>
      </w:r>
      <w:r w:rsidR="006B608D">
        <w:rPr>
          <w:b/>
          <w:shd w:val="clear" w:color="auto" w:fill="FFFFFF"/>
        </w:rPr>
        <w:t>tatystycznego</w:t>
      </w:r>
      <w:r w:rsidRPr="007167B2">
        <w:rPr>
          <w:b/>
          <w:shd w:val="clear" w:color="auto" w:fill="FFFFFF"/>
        </w:rPr>
        <w:t xml:space="preserve"> prosimy o podanie źródła.</w:t>
      </w:r>
    </w:p>
    <w:p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5B63CB" w:rsidRPr="00200E4D" w:rsidRDefault="005B63CB" w:rsidP="005B63CB">
      <w:pPr>
        <w:rPr>
          <w:shd w:val="clear" w:color="auto" w:fill="FFFFFF"/>
        </w:rPr>
      </w:pPr>
      <w:r w:rsidRPr="003D515B">
        <w:rPr>
          <w:shd w:val="clear" w:color="auto" w:fill="FFFFFF"/>
        </w:rPr>
        <w:t xml:space="preserve">W styczniu 2020 r. </w:t>
      </w:r>
      <w:r>
        <w:rPr>
          <w:shd w:val="clear" w:color="auto" w:fill="FFFFFF"/>
        </w:rPr>
        <w:t xml:space="preserve">odnotowano spadek </w:t>
      </w:r>
      <w:r w:rsidRPr="003D515B">
        <w:rPr>
          <w:shd w:val="clear" w:color="auto" w:fill="FFFFFF"/>
        </w:rPr>
        <w:t>przeciętne</w:t>
      </w:r>
      <w:r>
        <w:rPr>
          <w:shd w:val="clear" w:color="auto" w:fill="FFFFFF"/>
        </w:rPr>
        <w:t>go</w:t>
      </w:r>
      <w:r w:rsidRPr="003D515B">
        <w:rPr>
          <w:shd w:val="clear" w:color="auto" w:fill="FFFFFF"/>
        </w:rPr>
        <w:t xml:space="preserve"> zatrudnieni</w:t>
      </w:r>
      <w:r>
        <w:rPr>
          <w:shd w:val="clear" w:color="auto" w:fill="FFFFFF"/>
        </w:rPr>
        <w:t>a w skali roku</w:t>
      </w:r>
      <w:r w:rsidRPr="00200E4D">
        <w:rPr>
          <w:shd w:val="clear" w:color="auto" w:fill="FFFFFF"/>
        </w:rPr>
        <w:t>. Stopa bezrobocia była niższa niż przed rokiem (8,3% wobec 8,8%).</w:t>
      </w:r>
    </w:p>
    <w:p w:rsidR="005B63CB" w:rsidRPr="009845E7" w:rsidRDefault="005B63CB" w:rsidP="005B63CB">
      <w:pPr>
        <w:rPr>
          <w:b/>
          <w:spacing w:val="-2"/>
          <w:shd w:val="clear" w:color="auto" w:fill="FFFFFF"/>
        </w:rPr>
      </w:pPr>
      <w:r w:rsidRPr="00246C27">
        <w:rPr>
          <w:shd w:val="clear" w:color="auto" w:fill="FFFFFF"/>
        </w:rPr>
        <w:t>Przeciętne zatrudnienie w sektorze przedsiębiorstw ukształtowało się na poziomie 123,9 tys. osób, tj. o 2,1% niższym niż przed rokiem, podczas gdy w analogicznym miesiącu poprzedniego roku odnotowano wzrost o 3,9</w:t>
      </w:r>
      <w:r w:rsidRPr="009845E7">
        <w:rPr>
          <w:shd w:val="clear" w:color="auto" w:fill="FFFFFF"/>
        </w:rPr>
        <w:t xml:space="preserve">%. </w:t>
      </w:r>
      <w:r w:rsidRPr="009845E7">
        <w:rPr>
          <w:i/>
          <w:shd w:val="clear" w:color="auto" w:fill="FFFFFF"/>
        </w:rPr>
        <w:t>W kraju przeciętne zatrudnienie zwiększyło się w skali roku o 1,1% wobec 2,9% rok wcześniej.</w:t>
      </w:r>
    </w:p>
    <w:p w:rsidR="005B63CB" w:rsidRDefault="005B63CB" w:rsidP="005B63CB">
      <w:pPr>
        <w:spacing w:before="480"/>
        <w:rPr>
          <w:b/>
          <w:spacing w:val="-2"/>
          <w:shd w:val="clear" w:color="auto" w:fill="FFFFFF"/>
        </w:rPr>
      </w:pPr>
      <w:r w:rsidRPr="00C0260D">
        <w:rPr>
          <w:b/>
          <w:spacing w:val="-2"/>
          <w:shd w:val="clear" w:color="auto" w:fill="FFFFFF"/>
        </w:rPr>
        <w:t>Tablica 1. Przeciętne zatrudnienie w sektorze przedsiębiorstw</w:t>
      </w:r>
    </w:p>
    <w:p w:rsidR="005E5FF6" w:rsidRPr="005E5FF6" w:rsidRDefault="005E5FF6" w:rsidP="005E5FF6">
      <w:pPr>
        <w:rPr>
          <w:spacing w:val="-2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="108" w:tblpY="74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854"/>
        <w:gridCol w:w="2976"/>
        <w:gridCol w:w="2660"/>
      </w:tblGrid>
      <w:tr w:rsidR="005B63CB" w:rsidRPr="00C0260D" w:rsidTr="001E70D0">
        <w:trPr>
          <w:trHeight w:val="57"/>
        </w:trPr>
        <w:tc>
          <w:tcPr>
            <w:tcW w:w="485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B63CB" w:rsidRPr="00A11346" w:rsidRDefault="005B63CB" w:rsidP="001E70D0">
            <w:pPr>
              <w:keepNext/>
              <w:tabs>
                <w:tab w:val="right" w:leader="dot" w:pos="4139"/>
              </w:tabs>
              <w:spacing w:before="360" w:after="360" w:line="180" w:lineRule="exact"/>
              <w:jc w:val="center"/>
              <w:outlineLvl w:val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A1134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63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B63CB" w:rsidRPr="00C0260D" w:rsidRDefault="005B63CB" w:rsidP="001E70D0">
            <w:pPr>
              <w:keepNext/>
              <w:keepLines/>
              <w:spacing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0260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5B63CB" w:rsidRPr="00C0260D" w:rsidTr="001E70D0">
        <w:trPr>
          <w:trHeight w:val="57"/>
        </w:trPr>
        <w:tc>
          <w:tcPr>
            <w:tcW w:w="485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1E70D0">
            <w:pPr>
              <w:keepNext/>
              <w:tabs>
                <w:tab w:val="right" w:leader="dot" w:pos="4139"/>
              </w:tabs>
              <w:spacing w:before="360" w:after="360" w:line="180" w:lineRule="exact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1E70D0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C0260D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B63CB" w:rsidRPr="00C0260D" w:rsidRDefault="005B63CB" w:rsidP="001E70D0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C0260D">
              <w:rPr>
                <w:color w:val="000000" w:themeColor="text1"/>
                <w:sz w:val="16"/>
                <w:szCs w:val="16"/>
              </w:rPr>
              <w:t>I 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C0260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keepNext/>
              <w:keepLines/>
              <w:tabs>
                <w:tab w:val="right" w:leader="dot" w:pos="4156"/>
              </w:tabs>
              <w:spacing w:before="40" w:after="40"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C0260D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81DCF">
              <w:rPr>
                <w:rFonts w:cs="Arial"/>
                <w:b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b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63CB" w:rsidRPr="000E2401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B63CB" w:rsidRPr="007C286F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10,3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C0260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22,6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5B63CB" w:rsidRPr="007C286F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C0260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</w:tr>
      <w:tr w:rsidR="005B63CB" w:rsidRPr="009415E9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</w:tr>
      <w:tr w:rsidR="005B63CB" w:rsidRPr="00C0260D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C0260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5B63CB" w:rsidRPr="000E2401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C0260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5B63CB" w:rsidRPr="00436465" w:rsidTr="001E70D0"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B63CB" w:rsidRPr="00C0260D" w:rsidRDefault="005B63CB" w:rsidP="008C23AF">
            <w:pPr>
              <w:tabs>
                <w:tab w:val="right" w:leader="dot" w:pos="4854"/>
              </w:tabs>
              <w:spacing w:before="8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0260D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C0260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B63CB" w:rsidRPr="00C0260D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214C9"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2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B63CB" w:rsidRPr="00436465" w:rsidRDefault="005B63CB" w:rsidP="008C23AF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36465"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</w:tr>
    </w:tbl>
    <w:p w:rsidR="005B63CB" w:rsidRDefault="005B63CB" w:rsidP="005B63CB">
      <w:pPr>
        <w:ind w:firstLine="227"/>
        <w:rPr>
          <w:sz w:val="16"/>
          <w:szCs w:val="16"/>
        </w:rPr>
      </w:pPr>
      <w:r w:rsidRPr="00B35F5B">
        <w:rPr>
          <w:sz w:val="16"/>
          <w:szCs w:val="16"/>
        </w:rPr>
        <w:t>a  Nie obejmuje działów: Badania naukowe i prace rozwojowe oraz Działalność weterynaryjna.</w:t>
      </w:r>
    </w:p>
    <w:p w:rsidR="008C23AF" w:rsidRPr="00B35F5B" w:rsidRDefault="008C23AF" w:rsidP="005B63CB">
      <w:pPr>
        <w:ind w:firstLine="227"/>
        <w:rPr>
          <w:sz w:val="16"/>
          <w:szCs w:val="16"/>
        </w:rPr>
      </w:pPr>
    </w:p>
    <w:p w:rsidR="005B63CB" w:rsidRPr="00436465" w:rsidRDefault="005B63CB" w:rsidP="00EC14C9">
      <w:r w:rsidRPr="0039047C">
        <w:rPr>
          <w:szCs w:val="19"/>
        </w:rPr>
        <w:t>W stosunku do stycznia 2019 r. przeciętne zatrudnienie zmieniało się nierównomiernie w sekcjach</w:t>
      </w:r>
      <w:r w:rsidRPr="00436465">
        <w:rPr>
          <w:szCs w:val="19"/>
        </w:rPr>
        <w:t xml:space="preserve">. Spośród usług wzrosło w działalności profesjonalnej, naukowej i technicznej (o 3,3%) oraz </w:t>
      </w:r>
      <w:r w:rsidRPr="00436465">
        <w:t>transporcie i gospodarce magazynowej (o 3,0%)</w:t>
      </w:r>
      <w:r w:rsidRPr="00436465">
        <w:rPr>
          <w:szCs w:val="19"/>
        </w:rPr>
        <w:t xml:space="preserve">. </w:t>
      </w:r>
      <w:r w:rsidRPr="00436465">
        <w:rPr>
          <w:szCs w:val="19"/>
        </w:rPr>
        <w:br/>
        <w:t xml:space="preserve">W pozostałych usługach zatrudnienie spadło, w tym najmocniej w informacji i komunikacji (o 11,6%), a wyraźne ograniczenie miejsc pracy odnotowano także w handlu; naprawie pojazdów samochodowych (o 9,2%) oraz administrowaniu </w:t>
      </w:r>
      <w:r w:rsidRPr="00436465">
        <w:rPr>
          <w:szCs w:val="19"/>
        </w:rPr>
        <w:br/>
        <w:t xml:space="preserve">i działalności wspierającej (o 8,2%). W niewielkim stopniu wzrosła liczba pracowników w przemyśle (o 0,2%), przy czym </w:t>
      </w:r>
      <w:r w:rsidRPr="00436465">
        <w:rPr>
          <w:szCs w:val="19"/>
        </w:rPr>
        <w:br/>
        <w:t xml:space="preserve">w dominującym przetwórstwie przemysłowym pozostała na ubiegłorocznym poziomie. Spadek natomiast odnotowano </w:t>
      </w:r>
      <w:r w:rsidRPr="00436465">
        <w:rPr>
          <w:szCs w:val="19"/>
        </w:rPr>
        <w:br/>
        <w:t xml:space="preserve">w budownictwie </w:t>
      </w:r>
      <w:r w:rsidRPr="00436465">
        <w:t>(o 1,5%)</w:t>
      </w:r>
      <w:r w:rsidRPr="00436465">
        <w:rPr>
          <w:szCs w:val="19"/>
        </w:rPr>
        <w:t xml:space="preserve">. </w:t>
      </w:r>
    </w:p>
    <w:p w:rsidR="005B63CB" w:rsidRDefault="005B63CB" w:rsidP="00EC14C9">
      <w:r w:rsidRPr="00436465">
        <w:rPr>
          <w:szCs w:val="19"/>
        </w:rPr>
        <w:t xml:space="preserve">W relacji do grudnia 2019 r. wzrost zatrudnienia najsilniej zaznaczył się w działalności profesjonalnej, naukowej i technicznej </w:t>
      </w:r>
      <w:r w:rsidRPr="00436465">
        <w:t>(o 3,1%), a spadek – w budownictwie</w:t>
      </w:r>
      <w:r w:rsidRPr="00436465">
        <w:rPr>
          <w:szCs w:val="19"/>
        </w:rPr>
        <w:t xml:space="preserve"> </w:t>
      </w:r>
      <w:r w:rsidRPr="00436465">
        <w:t>(o 1,8%).</w:t>
      </w:r>
    </w:p>
    <w:p w:rsidR="005B63CB" w:rsidRDefault="005B63CB" w:rsidP="005B63CB">
      <w:pPr>
        <w:jc w:val="both"/>
      </w:pPr>
    </w:p>
    <w:p w:rsidR="005B63CB" w:rsidRPr="0025316C" w:rsidRDefault="005B63CB" w:rsidP="008C23AF">
      <w:pPr>
        <w:pageBreakBefore/>
        <w:spacing w:before="0" w:after="0"/>
        <w:rPr>
          <w:b/>
          <w:spacing w:val="-2"/>
          <w:shd w:val="clear" w:color="auto" w:fill="FFFFFF"/>
        </w:rPr>
      </w:pPr>
      <w:r w:rsidRPr="0025316C">
        <w:rPr>
          <w:b/>
          <w:spacing w:val="-2"/>
        </w:rPr>
        <w:lastRenderedPageBreak/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:rsidR="005B63CB" w:rsidRPr="0025316C" w:rsidRDefault="00E01750" w:rsidP="005B63CB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390525</wp:posOffset>
            </wp:positionV>
            <wp:extent cx="6610350" cy="2428875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3CB" w:rsidRPr="0025316C">
        <w:rPr>
          <w:spacing w:val="-2"/>
          <w:shd w:val="clear" w:color="auto" w:fill="FFFFFF"/>
        </w:rPr>
        <w:t xml:space="preserve">  (przeciętna miesięczna 2015=100)</w:t>
      </w:r>
    </w:p>
    <w:p w:rsidR="005B63CB" w:rsidRDefault="005B63CB" w:rsidP="005B63CB">
      <w:pPr>
        <w:jc w:val="both"/>
        <w:rPr>
          <w:rFonts w:cs="Arial"/>
          <w:szCs w:val="19"/>
        </w:rPr>
      </w:pPr>
    </w:p>
    <w:p w:rsidR="00866CE0" w:rsidRPr="00833775" w:rsidRDefault="00866CE0" w:rsidP="00866CE0">
      <w:pPr>
        <w:spacing w:before="240" w:after="0"/>
        <w:rPr>
          <w:rFonts w:cs="Arial"/>
          <w:szCs w:val="19"/>
        </w:rPr>
      </w:pPr>
      <w:r>
        <w:rPr>
          <w:rFonts w:cs="Arial"/>
          <w:szCs w:val="19"/>
        </w:rPr>
        <w:t>W końcu</w:t>
      </w:r>
      <w:r w:rsidRPr="0083377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stycznia</w:t>
      </w:r>
      <w:r w:rsidRPr="0083377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2020</w:t>
      </w:r>
      <w:r w:rsidRPr="00833775">
        <w:rPr>
          <w:rFonts w:cs="Arial"/>
          <w:szCs w:val="19"/>
        </w:rPr>
        <w:t xml:space="preserve"> r. liczba bezrobotnych zarejestrowanych w urzędach pracy wyniosła </w:t>
      </w:r>
      <w:r>
        <w:rPr>
          <w:rFonts w:cs="Arial"/>
          <w:szCs w:val="19"/>
        </w:rPr>
        <w:t>44,6</w:t>
      </w:r>
      <w:r w:rsidRPr="00833775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 xml:space="preserve">większa </w:t>
      </w:r>
      <w:r>
        <w:rPr>
          <w:rFonts w:cs="Arial"/>
          <w:szCs w:val="19"/>
        </w:rPr>
        <w:br/>
        <w:t>o 6,0</w:t>
      </w:r>
      <w:r w:rsidRPr="00833775">
        <w:rPr>
          <w:rFonts w:cs="Arial"/>
          <w:szCs w:val="19"/>
        </w:rPr>
        <w:t>% (</w:t>
      </w:r>
      <w:r>
        <w:rPr>
          <w:rFonts w:cs="Arial"/>
          <w:szCs w:val="19"/>
        </w:rPr>
        <w:t>2,5</w:t>
      </w:r>
      <w:r w:rsidRPr="00833775">
        <w:rPr>
          <w:rFonts w:cs="Arial"/>
          <w:szCs w:val="19"/>
        </w:rPr>
        <w:t xml:space="preserve"> tys. osób) niż przed miesiącem oraz mniejsza o </w:t>
      </w:r>
      <w:r>
        <w:rPr>
          <w:rFonts w:cs="Arial"/>
          <w:szCs w:val="19"/>
        </w:rPr>
        <w:t>5,2</w:t>
      </w:r>
      <w:r w:rsidRPr="00833775">
        <w:rPr>
          <w:rFonts w:cs="Arial"/>
          <w:szCs w:val="19"/>
        </w:rPr>
        <w:t>% (</w:t>
      </w:r>
      <w:r>
        <w:rPr>
          <w:rFonts w:cs="Arial"/>
          <w:szCs w:val="19"/>
        </w:rPr>
        <w:t>2,4</w:t>
      </w:r>
      <w:r w:rsidRPr="00833775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51,9</w:t>
      </w:r>
      <w:r w:rsidRPr="00833775">
        <w:rPr>
          <w:rFonts w:cs="Arial"/>
          <w:szCs w:val="19"/>
        </w:rPr>
        <w:t>% ogółu zarejestrowanych bezrobotnych</w:t>
      </w:r>
      <w:r>
        <w:rPr>
          <w:rFonts w:cs="Arial"/>
          <w:szCs w:val="19"/>
        </w:rPr>
        <w:t>.</w:t>
      </w:r>
    </w:p>
    <w:p w:rsidR="00866CE0" w:rsidRDefault="00866CE0" w:rsidP="00866CE0">
      <w:pPr>
        <w:pStyle w:val="tytuwykresu"/>
        <w:spacing w:line="240" w:lineRule="auto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Siatkatabelijasna1"/>
        <w:tblpPr w:leftFromText="141" w:rightFromText="141" w:vertAnchor="text" w:horzAnchor="margin" w:tblpY="48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854"/>
        <w:gridCol w:w="1831"/>
        <w:gridCol w:w="1831"/>
        <w:gridCol w:w="1974"/>
      </w:tblGrid>
      <w:tr w:rsidR="00866CE0" w:rsidRPr="00FA5128" w:rsidTr="001E70D0">
        <w:tc>
          <w:tcPr>
            <w:tcW w:w="485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66CE0" w:rsidRPr="009C7251" w:rsidRDefault="00866CE0" w:rsidP="001E70D0">
            <w:pPr>
              <w:pStyle w:val="Nagwek1"/>
              <w:tabs>
                <w:tab w:val="right" w:leader="dot" w:pos="4139"/>
              </w:tabs>
              <w:spacing w:before="120" w:after="12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2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pStyle w:val="Nagwek3"/>
              <w:spacing w:before="60" w:after="6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1974" w:type="dxa"/>
            <w:vMerge w:val="restart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:rsidR="00866CE0" w:rsidRPr="00FA5128" w:rsidRDefault="00866CE0" w:rsidP="001E70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2020</w:t>
            </w:r>
          </w:p>
        </w:tc>
      </w:tr>
      <w:tr w:rsidR="00866CE0" w:rsidRPr="00FA5128" w:rsidTr="001E70D0">
        <w:tc>
          <w:tcPr>
            <w:tcW w:w="485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pStyle w:val="Nagwek1"/>
              <w:tabs>
                <w:tab w:val="right" w:leader="dot" w:pos="4139"/>
              </w:tabs>
              <w:spacing w:before="120" w:after="12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</w:p>
        </w:tc>
        <w:tc>
          <w:tcPr>
            <w:tcW w:w="1974" w:type="dxa"/>
            <w:vMerge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66CE0" w:rsidRPr="00FA5128" w:rsidRDefault="00866CE0" w:rsidP="001E70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66CE0" w:rsidRPr="006C2CCB" w:rsidTr="001E70D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C2CCB" w:rsidRDefault="00866CE0" w:rsidP="001E70D0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</w:tr>
      <w:tr w:rsidR="00866CE0" w:rsidRPr="006C2CCB" w:rsidTr="001E70D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C2CCB" w:rsidRDefault="00866CE0" w:rsidP="001E70D0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866CE0" w:rsidRPr="006C2CCB" w:rsidTr="001E70D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C2CCB" w:rsidRDefault="00866CE0" w:rsidP="001E70D0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866CE0" w:rsidRPr="006C2CCB" w:rsidTr="001E70D0">
        <w:trPr>
          <w:trHeight w:val="20"/>
        </w:trPr>
        <w:tc>
          <w:tcPr>
            <w:tcW w:w="48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C2CCB" w:rsidRDefault="00866CE0" w:rsidP="001E70D0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511EDE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1EDE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19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2A3098" w:rsidRDefault="00866CE0" w:rsidP="001E70D0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:rsidR="00866CE0" w:rsidRPr="005F11D6" w:rsidRDefault="00866CE0" w:rsidP="00866CE0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p w:rsidR="00866CE0" w:rsidRDefault="00866CE0" w:rsidP="00866CE0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b/>
          <w:sz w:val="19"/>
          <w:szCs w:val="19"/>
        </w:rPr>
      </w:pPr>
    </w:p>
    <w:p w:rsidR="00866CE0" w:rsidRPr="00BC6CE7" w:rsidRDefault="00866CE0" w:rsidP="00866CE0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6CE7">
        <w:rPr>
          <w:rFonts w:ascii="Fira Sans" w:hAnsi="Fira Sans" w:cs="Arial"/>
          <w:b/>
          <w:sz w:val="19"/>
          <w:szCs w:val="19"/>
        </w:rPr>
        <w:t>Stopa bezrobocia rejestrowanego</w:t>
      </w:r>
      <w:r w:rsidRPr="00BC6CE7">
        <w:rPr>
          <w:rFonts w:ascii="Fira Sans" w:hAnsi="Fira Sans" w:cs="Arial"/>
          <w:sz w:val="19"/>
          <w:szCs w:val="19"/>
        </w:rPr>
        <w:t xml:space="preserve"> osiągnęła poziom </w:t>
      </w:r>
      <w:r>
        <w:rPr>
          <w:rFonts w:ascii="Fira Sans" w:hAnsi="Fira Sans" w:cs="Arial"/>
          <w:sz w:val="19"/>
          <w:szCs w:val="19"/>
        </w:rPr>
        <w:t>8,3</w:t>
      </w:r>
      <w:r w:rsidRPr="00BC6CE7">
        <w:rPr>
          <w:rFonts w:ascii="Fira Sans" w:hAnsi="Fira Sans" w:cs="Arial"/>
          <w:sz w:val="19"/>
          <w:szCs w:val="19"/>
        </w:rPr>
        <w:t>%, kształtując się niżej niż przed rokiem (8,</w:t>
      </w:r>
      <w:r>
        <w:rPr>
          <w:rFonts w:ascii="Fira Sans" w:hAnsi="Fira Sans" w:cs="Arial"/>
          <w:sz w:val="19"/>
          <w:szCs w:val="19"/>
        </w:rPr>
        <w:t>8</w:t>
      </w:r>
      <w:r w:rsidRPr="00BC6CE7">
        <w:rPr>
          <w:rFonts w:ascii="Fira Sans" w:hAnsi="Fira Sans" w:cs="Arial"/>
          <w:sz w:val="19"/>
          <w:szCs w:val="19"/>
        </w:rPr>
        <w:t xml:space="preserve">%). </w:t>
      </w:r>
      <w:r w:rsidRPr="00BC6CE7">
        <w:rPr>
          <w:rFonts w:ascii="Fira Sans" w:hAnsi="Fira Sans" w:cs="Arial"/>
          <w:i/>
          <w:sz w:val="19"/>
          <w:szCs w:val="19"/>
        </w:rPr>
        <w:t>W kraju stopa bezrobocia rejestrowanego wyniosła 5,</w:t>
      </w:r>
      <w:r>
        <w:rPr>
          <w:rFonts w:ascii="Fira Sans" w:hAnsi="Fira Sans" w:cs="Arial"/>
          <w:i/>
          <w:sz w:val="19"/>
          <w:szCs w:val="19"/>
        </w:rPr>
        <w:t>5</w:t>
      </w:r>
      <w:r w:rsidRPr="00BC6CE7">
        <w:rPr>
          <w:rFonts w:ascii="Fira Sans" w:hAnsi="Fira Sans" w:cs="Arial"/>
          <w:i/>
          <w:sz w:val="19"/>
          <w:szCs w:val="19"/>
        </w:rPr>
        <w:t>% wobec 5,</w:t>
      </w:r>
      <w:r>
        <w:rPr>
          <w:rFonts w:ascii="Fira Sans" w:hAnsi="Fira Sans" w:cs="Arial"/>
          <w:i/>
          <w:sz w:val="19"/>
          <w:szCs w:val="19"/>
        </w:rPr>
        <w:t>2</w:t>
      </w:r>
      <w:r w:rsidRPr="00BC6CE7">
        <w:rPr>
          <w:rFonts w:ascii="Fira Sans" w:hAnsi="Fira Sans" w:cs="Arial"/>
          <w:i/>
          <w:sz w:val="19"/>
          <w:szCs w:val="19"/>
        </w:rPr>
        <w:t xml:space="preserve">% przed miesiącem i </w:t>
      </w:r>
      <w:r>
        <w:rPr>
          <w:rFonts w:ascii="Fira Sans" w:hAnsi="Fira Sans" w:cs="Arial"/>
          <w:i/>
          <w:sz w:val="19"/>
          <w:szCs w:val="19"/>
        </w:rPr>
        <w:t>6,1</w:t>
      </w:r>
      <w:r w:rsidRPr="00BC6CE7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6CE7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 województwie wielkopolskim (</w:t>
      </w:r>
      <w:r>
        <w:rPr>
          <w:rFonts w:ascii="Fira Sans" w:hAnsi="Fira Sans" w:cs="Arial"/>
          <w:sz w:val="19"/>
          <w:szCs w:val="19"/>
        </w:rPr>
        <w:t>3,1</w:t>
      </w:r>
      <w:r w:rsidRPr="00BC6CE7">
        <w:rPr>
          <w:rFonts w:ascii="Fira Sans" w:hAnsi="Fira Sans" w:cs="Arial"/>
          <w:sz w:val="19"/>
          <w:szCs w:val="19"/>
        </w:rPr>
        <w:t>%), natomiast w równie trudnej lub w jeszcze trudniejszej sytuacji niż świętokrzyskie pozostawały województwa podkarpackie (</w:t>
      </w:r>
      <w:r>
        <w:rPr>
          <w:rFonts w:ascii="Fira Sans" w:hAnsi="Fira Sans" w:cs="Arial"/>
          <w:sz w:val="19"/>
          <w:szCs w:val="19"/>
        </w:rPr>
        <w:t>8,3</w:t>
      </w:r>
      <w:r w:rsidRPr="00BC6CE7">
        <w:rPr>
          <w:rFonts w:ascii="Fira Sans" w:hAnsi="Fira Sans" w:cs="Arial"/>
          <w:sz w:val="19"/>
          <w:szCs w:val="19"/>
        </w:rPr>
        <w:t>%) oraz warmińsko-mazurskie (9,</w:t>
      </w:r>
      <w:r>
        <w:rPr>
          <w:rFonts w:ascii="Fira Sans" w:hAnsi="Fira Sans" w:cs="Arial"/>
          <w:sz w:val="19"/>
          <w:szCs w:val="19"/>
        </w:rPr>
        <w:t>6</w:t>
      </w:r>
      <w:r w:rsidRPr="00BC6CE7">
        <w:rPr>
          <w:rFonts w:ascii="Fira Sans" w:hAnsi="Fira Sans" w:cs="Arial"/>
          <w:sz w:val="19"/>
          <w:szCs w:val="19"/>
        </w:rPr>
        <w:t>%).</w:t>
      </w:r>
    </w:p>
    <w:p w:rsidR="00866CE0" w:rsidRDefault="00B23531" w:rsidP="00866CE0">
      <w:pPr>
        <w:pStyle w:val="tytuwykresu"/>
        <w:spacing w:line="140" w:lineRule="exac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7334250</wp:posOffset>
            </wp:positionV>
            <wp:extent cx="6645910" cy="2228850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E0" w:rsidRPr="006473EA">
        <w:t>Wykres 2.</w:t>
      </w:r>
      <w:r w:rsidR="00866CE0" w:rsidRPr="006473EA">
        <w:rPr>
          <w:shd w:val="clear" w:color="auto" w:fill="FFFFFF"/>
        </w:rPr>
        <w:t xml:space="preserve"> Stopa bezrobocia rejestrowanego</w:t>
      </w:r>
      <w:r w:rsidR="00866CE0">
        <w:rPr>
          <w:shd w:val="clear" w:color="auto" w:fill="FFFFFF"/>
        </w:rPr>
        <w:t xml:space="preserve"> </w:t>
      </w:r>
      <w:r w:rsidR="00866CE0" w:rsidRPr="00E47AFC">
        <w:rPr>
          <w:b w:val="0"/>
          <w:shd w:val="clear" w:color="auto" w:fill="FFFFFF"/>
        </w:rPr>
        <w:t>(stan w końcu miesiąca)</w:t>
      </w:r>
      <w:r w:rsidR="00866CE0" w:rsidRPr="003E4751">
        <w:rPr>
          <w:noProof/>
          <w:lang w:eastAsia="pl-PL"/>
        </w:rPr>
        <w:t xml:space="preserve"> </w:t>
      </w:r>
    </w:p>
    <w:p w:rsidR="00866CE0" w:rsidRPr="00AD666E" w:rsidRDefault="00866CE0" w:rsidP="00866CE0">
      <w:pPr>
        <w:pageBreakBefore/>
        <w:spacing w:line="240" w:lineRule="auto"/>
        <w:rPr>
          <w:rFonts w:cs="Arial"/>
          <w:szCs w:val="19"/>
        </w:rPr>
      </w:pPr>
      <w:r w:rsidRPr="00AD666E"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590550</wp:posOffset>
            </wp:positionV>
            <wp:extent cx="3420110" cy="330898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IE01\WOBR_zasoby\Komunikaty\2019\Komunikat 10.2019\wykresy\STOPA-BEZR_mapa_X-2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2C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-1.8pt;margin-top:6pt;width:280.95pt;height:4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58 0 -58 21268 21600 21268 21600 0 -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" stroked="f">
            <v:textbox>
              <w:txbxContent>
                <w:p w:rsidR="00000AD6" w:rsidRPr="00B22D41" w:rsidRDefault="00000AD6" w:rsidP="00866CE0">
                  <w:pPr>
                    <w:spacing w:after="0"/>
                  </w:pPr>
                  <w:r w:rsidRPr="00DC69CD">
                    <w:rPr>
                      <w:b/>
                    </w:rPr>
                    <w:t>Mapa 1.</w:t>
                  </w:r>
                  <w:r w:rsidRPr="00DC69CD">
                    <w:rPr>
                      <w:b/>
                      <w:shd w:val="clear" w:color="auto" w:fill="FFFFFF"/>
                    </w:rPr>
                    <w:t xml:space="preserve"> Stopa bezrobocia rejestrowanego</w:t>
                  </w:r>
                  <w:r w:rsidRPr="00DC69CD">
                    <w:rPr>
                      <w:b/>
                      <w:shd w:val="clear" w:color="auto" w:fill="FFFFFF"/>
                    </w:rPr>
                    <w:br/>
                  </w:r>
                  <w:r w:rsidRPr="00B22D41">
                    <w:rPr>
                      <w:shd w:val="clear" w:color="auto" w:fill="FFFFFF"/>
                    </w:rPr>
                    <w:t>Stan w końcu stycznia</w:t>
                  </w:r>
                  <w:r>
                    <w:rPr>
                      <w:shd w:val="clear" w:color="auto" w:fill="FFFFFF"/>
                    </w:rPr>
                    <w:t xml:space="preserve"> 2020 r.</w:t>
                  </w:r>
                </w:p>
              </w:txbxContent>
            </v:textbox>
            <w10:wrap type="tight"/>
          </v:shape>
        </w:pict>
      </w:r>
      <w:r w:rsidRPr="00AD666E">
        <w:rPr>
          <w:rFonts w:cs="Arial"/>
          <w:szCs w:val="19"/>
        </w:rPr>
        <w:t>Do powiatów o najwyższej stopie bezrobocia należały: skarżyski (</w:t>
      </w:r>
      <w:r w:rsidR="00AD666E" w:rsidRPr="00AD666E">
        <w:rPr>
          <w:rFonts w:cs="Arial"/>
          <w:szCs w:val="19"/>
        </w:rPr>
        <w:t>15,2</w:t>
      </w:r>
      <w:r w:rsidRPr="00AD666E">
        <w:rPr>
          <w:rFonts w:cs="Arial"/>
          <w:szCs w:val="19"/>
        </w:rPr>
        <w:t xml:space="preserve">% wobec </w:t>
      </w:r>
      <w:r w:rsidR="00AD666E" w:rsidRPr="00AD666E">
        <w:rPr>
          <w:rFonts w:cs="Arial"/>
          <w:szCs w:val="19"/>
        </w:rPr>
        <w:t>16,3</w:t>
      </w:r>
      <w:r w:rsidRPr="00AD666E">
        <w:rPr>
          <w:rFonts w:cs="Arial"/>
          <w:szCs w:val="19"/>
        </w:rPr>
        <w:t xml:space="preserve">% przed rokiem), opatowski </w:t>
      </w:r>
      <w:r w:rsidR="00B23531">
        <w:rPr>
          <w:rFonts w:cs="Arial"/>
          <w:szCs w:val="19"/>
        </w:rPr>
        <w:t>(</w:t>
      </w:r>
      <w:r w:rsidR="00AD666E" w:rsidRPr="00AD666E">
        <w:rPr>
          <w:rFonts w:cs="Arial"/>
          <w:szCs w:val="19"/>
        </w:rPr>
        <w:t>13,5</w:t>
      </w:r>
      <w:r w:rsidRPr="00AD666E">
        <w:rPr>
          <w:rFonts w:cs="Arial"/>
          <w:szCs w:val="19"/>
        </w:rPr>
        <w:t>%</w:t>
      </w:r>
      <w:r w:rsidR="00AD666E" w:rsidRPr="00AD666E">
        <w:rPr>
          <w:rFonts w:cs="Arial"/>
          <w:szCs w:val="19"/>
        </w:rPr>
        <w:t xml:space="preserve"> wobec 13,9%</w:t>
      </w:r>
      <w:r w:rsidRPr="00AD666E">
        <w:rPr>
          <w:rFonts w:cs="Arial"/>
          <w:szCs w:val="19"/>
        </w:rPr>
        <w:t>) i konecki (</w:t>
      </w:r>
      <w:r w:rsidR="00AD666E" w:rsidRPr="00AD666E">
        <w:rPr>
          <w:rFonts w:cs="Arial"/>
          <w:szCs w:val="19"/>
        </w:rPr>
        <w:t>11</w:t>
      </w:r>
      <w:r w:rsidRPr="00AD666E">
        <w:rPr>
          <w:rFonts w:cs="Arial"/>
          <w:szCs w:val="19"/>
        </w:rPr>
        <w:t xml:space="preserve">,9% wobec </w:t>
      </w:r>
      <w:r w:rsidR="00AD666E" w:rsidRPr="00AD666E">
        <w:rPr>
          <w:rFonts w:cs="Arial"/>
          <w:szCs w:val="19"/>
        </w:rPr>
        <w:t>12,2</w:t>
      </w:r>
      <w:r w:rsidRPr="00AD666E">
        <w:rPr>
          <w:rFonts w:cs="Arial"/>
          <w:szCs w:val="19"/>
        </w:rPr>
        <w:t>%), a o najniższej — buski (3,</w:t>
      </w:r>
      <w:r w:rsidR="00AD666E" w:rsidRPr="00AD666E">
        <w:rPr>
          <w:rFonts w:cs="Arial"/>
          <w:szCs w:val="19"/>
        </w:rPr>
        <w:t>7</w:t>
      </w:r>
      <w:r w:rsidRPr="00AD666E">
        <w:rPr>
          <w:rFonts w:cs="Arial"/>
          <w:szCs w:val="19"/>
        </w:rPr>
        <w:t xml:space="preserve">% wobec </w:t>
      </w:r>
      <w:r w:rsidR="00AD666E" w:rsidRPr="00AD666E">
        <w:rPr>
          <w:rFonts w:cs="Arial"/>
          <w:szCs w:val="19"/>
        </w:rPr>
        <w:t>4,3</w:t>
      </w:r>
      <w:r w:rsidRPr="00AD666E">
        <w:rPr>
          <w:rFonts w:cs="Arial"/>
          <w:szCs w:val="19"/>
        </w:rPr>
        <w:t>%), pińczowski (6,</w:t>
      </w:r>
      <w:r w:rsidR="00AD666E" w:rsidRPr="00AD666E">
        <w:rPr>
          <w:rFonts w:cs="Arial"/>
          <w:szCs w:val="19"/>
        </w:rPr>
        <w:t>5</w:t>
      </w:r>
      <w:r w:rsidRPr="00AD666E">
        <w:rPr>
          <w:rFonts w:cs="Arial"/>
          <w:szCs w:val="19"/>
        </w:rPr>
        <w:t>% wobec 6,</w:t>
      </w:r>
      <w:r w:rsidR="00AD666E" w:rsidRPr="00AD666E">
        <w:rPr>
          <w:rFonts w:cs="Arial"/>
          <w:szCs w:val="19"/>
        </w:rPr>
        <w:t>9</w:t>
      </w:r>
      <w:r w:rsidRPr="00AD666E">
        <w:rPr>
          <w:rFonts w:cs="Arial"/>
          <w:szCs w:val="19"/>
        </w:rPr>
        <w:t>%) i miasto Kielce (</w:t>
      </w:r>
      <w:r w:rsidR="00AD666E" w:rsidRPr="00AD666E">
        <w:rPr>
          <w:rFonts w:cs="Arial"/>
          <w:szCs w:val="19"/>
        </w:rPr>
        <w:t>5,2</w:t>
      </w:r>
      <w:r w:rsidRPr="00AD666E">
        <w:rPr>
          <w:rFonts w:cs="Arial"/>
          <w:szCs w:val="19"/>
        </w:rPr>
        <w:t>% wobec 5,</w:t>
      </w:r>
      <w:r w:rsidR="00AD666E" w:rsidRPr="00AD666E">
        <w:rPr>
          <w:rFonts w:cs="Arial"/>
          <w:szCs w:val="19"/>
        </w:rPr>
        <w:t>7</w:t>
      </w:r>
      <w:r w:rsidRPr="00AD666E">
        <w:rPr>
          <w:rFonts w:cs="Arial"/>
          <w:szCs w:val="19"/>
        </w:rPr>
        <w:t>%). W porównaniu z analogicznym okresem 201</w:t>
      </w:r>
      <w:r w:rsidR="00AD666E" w:rsidRPr="00AD666E">
        <w:rPr>
          <w:rFonts w:cs="Arial"/>
          <w:szCs w:val="19"/>
        </w:rPr>
        <w:t>9</w:t>
      </w:r>
      <w:r w:rsidRPr="00AD666E">
        <w:rPr>
          <w:rFonts w:cs="Arial"/>
          <w:szCs w:val="19"/>
        </w:rPr>
        <w:t xml:space="preserve"> r. stopa bezrobocia obniżyła się w </w:t>
      </w:r>
      <w:r w:rsidR="00AD666E" w:rsidRPr="00AD666E">
        <w:rPr>
          <w:rFonts w:cs="Arial"/>
          <w:szCs w:val="19"/>
        </w:rPr>
        <w:t>jedenastu</w:t>
      </w:r>
      <w:r w:rsidRPr="00AD666E">
        <w:rPr>
          <w:rFonts w:cs="Arial"/>
          <w:szCs w:val="19"/>
        </w:rPr>
        <w:t xml:space="preserve"> powiatach województwa świętokrzyskiego, przy czym w największym stopniu w powiatach skarżyskim i ostrowieckim (</w:t>
      </w:r>
      <w:r w:rsidR="00AD666E" w:rsidRPr="00AD666E">
        <w:rPr>
          <w:rFonts w:cs="Arial"/>
          <w:szCs w:val="19"/>
        </w:rPr>
        <w:t>p</w:t>
      </w:r>
      <w:r w:rsidRPr="00AD666E">
        <w:rPr>
          <w:rFonts w:cs="Arial"/>
          <w:szCs w:val="19"/>
        </w:rPr>
        <w:t>o 1,1 p.proc.). Wzrost odnotowano w powiatach włoszczowskim (o 0,</w:t>
      </w:r>
      <w:r w:rsidR="00AD666E" w:rsidRPr="00AD666E">
        <w:rPr>
          <w:rFonts w:cs="Arial"/>
          <w:szCs w:val="19"/>
        </w:rPr>
        <w:t>3</w:t>
      </w:r>
      <w:r w:rsidRPr="00AD666E">
        <w:rPr>
          <w:rFonts w:cs="Arial"/>
          <w:szCs w:val="19"/>
        </w:rPr>
        <w:t xml:space="preserve"> p.proc.)</w:t>
      </w:r>
      <w:r w:rsidR="00AD666E" w:rsidRPr="00AD666E">
        <w:rPr>
          <w:rFonts w:cs="Arial"/>
          <w:szCs w:val="19"/>
        </w:rPr>
        <w:t>,</w:t>
      </w:r>
      <w:r w:rsidRPr="00AD666E">
        <w:rPr>
          <w:rFonts w:cs="Arial"/>
          <w:szCs w:val="19"/>
        </w:rPr>
        <w:t xml:space="preserve"> starachowickim (o 0,</w:t>
      </w:r>
      <w:r w:rsidR="00AD666E" w:rsidRPr="00AD666E">
        <w:rPr>
          <w:rFonts w:cs="Arial"/>
          <w:szCs w:val="19"/>
        </w:rPr>
        <w:t>2</w:t>
      </w:r>
      <w:r w:rsidRPr="00AD666E">
        <w:rPr>
          <w:rFonts w:cs="Arial"/>
          <w:szCs w:val="19"/>
        </w:rPr>
        <w:t xml:space="preserve"> p.proc.) </w:t>
      </w:r>
      <w:r w:rsidR="00AD666E" w:rsidRPr="00AD666E">
        <w:rPr>
          <w:rFonts w:cs="Arial"/>
          <w:szCs w:val="19"/>
        </w:rPr>
        <w:t>i</w:t>
      </w:r>
      <w:r w:rsidR="00B22D41">
        <w:rPr>
          <w:rFonts w:cs="Arial"/>
          <w:szCs w:val="19"/>
        </w:rPr>
        <w:t> </w:t>
      </w:r>
      <w:r w:rsidR="00AD666E" w:rsidRPr="00AD666E">
        <w:rPr>
          <w:rFonts w:cs="Arial"/>
          <w:szCs w:val="19"/>
        </w:rPr>
        <w:t xml:space="preserve">sandomierskim (o 0,1 p.proc.). </w:t>
      </w:r>
    </w:p>
    <w:p w:rsidR="00866CE0" w:rsidRPr="00C14F32" w:rsidRDefault="00866CE0" w:rsidP="00866CE0">
      <w:pPr>
        <w:autoSpaceDE w:val="0"/>
        <w:autoSpaceDN w:val="0"/>
        <w:adjustRightInd w:val="0"/>
        <w:spacing w:line="240" w:lineRule="auto"/>
        <w:rPr>
          <w:rFonts w:cs="Arial"/>
          <w:szCs w:val="19"/>
        </w:rPr>
      </w:pPr>
      <w:r w:rsidRPr="00C14F32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styczniu</w:t>
      </w:r>
      <w:r w:rsidRPr="00C14F32">
        <w:rPr>
          <w:rFonts w:cs="Arial"/>
          <w:szCs w:val="19"/>
        </w:rPr>
        <w:t xml:space="preserve"> 20</w:t>
      </w:r>
      <w:r>
        <w:rPr>
          <w:rFonts w:cs="Arial"/>
          <w:szCs w:val="19"/>
        </w:rPr>
        <w:t>20</w:t>
      </w:r>
      <w:r w:rsidRPr="00C14F32">
        <w:rPr>
          <w:rFonts w:cs="Arial"/>
          <w:szCs w:val="19"/>
        </w:rPr>
        <w:t xml:space="preserve"> r. w urzędach pracy </w:t>
      </w:r>
      <w:r w:rsidRPr="00C14F32">
        <w:rPr>
          <w:rFonts w:cs="Arial"/>
          <w:b/>
          <w:szCs w:val="19"/>
        </w:rPr>
        <w:t>zarejestrowano</w:t>
      </w:r>
      <w:r w:rsidRPr="00C14F3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6,8</w:t>
      </w:r>
      <w:r w:rsidRPr="00C14F32">
        <w:rPr>
          <w:rFonts w:cs="Arial"/>
          <w:szCs w:val="19"/>
        </w:rPr>
        <w:t xml:space="preserve"> tys. osób bezrobotnych, tj. więcej o </w:t>
      </w:r>
      <w:r>
        <w:rPr>
          <w:rFonts w:cs="Arial"/>
          <w:szCs w:val="19"/>
        </w:rPr>
        <w:t>28,7</w:t>
      </w:r>
      <w:r w:rsidRPr="00C14F32">
        <w:rPr>
          <w:rFonts w:cs="Arial"/>
          <w:szCs w:val="19"/>
        </w:rPr>
        <w:t xml:space="preserve">% niż przed miesiącem i mniej o </w:t>
      </w:r>
      <w:r>
        <w:rPr>
          <w:rFonts w:cs="Arial"/>
          <w:szCs w:val="19"/>
        </w:rPr>
        <w:t>11,6</w:t>
      </w:r>
      <w:r w:rsidRPr="00C14F32">
        <w:rPr>
          <w:rFonts w:cs="Arial"/>
          <w:szCs w:val="19"/>
        </w:rPr>
        <w:t>% niż przed rokiem. Stopa napływu bezrobotnych do urzędów pracy (tj. stosunek nowo zarejestrowanych do liczby aktywnych zawodowo) wyniosła 1,</w:t>
      </w:r>
      <w:r>
        <w:rPr>
          <w:rFonts w:cs="Arial"/>
          <w:szCs w:val="19"/>
        </w:rPr>
        <w:t>3</w:t>
      </w:r>
      <w:r w:rsidRPr="00C14F32">
        <w:rPr>
          <w:rFonts w:cs="Arial"/>
          <w:szCs w:val="19"/>
        </w:rPr>
        <w:t>% wobec 1,</w:t>
      </w:r>
      <w:r>
        <w:rPr>
          <w:rFonts w:cs="Arial"/>
          <w:szCs w:val="19"/>
        </w:rPr>
        <w:t>4</w:t>
      </w:r>
      <w:r w:rsidRPr="00C14F32">
        <w:rPr>
          <w:rFonts w:cs="Arial"/>
          <w:szCs w:val="19"/>
        </w:rPr>
        <w:t>%</w:t>
      </w:r>
      <w:r w:rsidR="00184307">
        <w:rPr>
          <w:rFonts w:cs="Arial"/>
          <w:szCs w:val="19"/>
        </w:rPr>
        <w:t>.</w:t>
      </w:r>
      <w:r w:rsidRPr="00C14F32">
        <w:rPr>
          <w:rFonts w:cs="Arial"/>
          <w:szCs w:val="19"/>
        </w:rPr>
        <w:t xml:space="preserve"> </w:t>
      </w:r>
      <w:r w:rsidR="00184307">
        <w:rPr>
          <w:rFonts w:cs="Arial"/>
          <w:szCs w:val="19"/>
        </w:rPr>
        <w:t>W</w:t>
      </w:r>
      <w:r w:rsidR="00184307" w:rsidRPr="00C14F32">
        <w:rPr>
          <w:rFonts w:cs="Arial"/>
          <w:szCs w:val="19"/>
        </w:rPr>
        <w:t xml:space="preserve">śród rejestrujących </w:t>
      </w:r>
      <w:r w:rsidR="00184307">
        <w:rPr>
          <w:rFonts w:cs="Arial"/>
          <w:szCs w:val="19"/>
        </w:rPr>
        <w:t xml:space="preserve">się, </w:t>
      </w:r>
      <w:r w:rsidR="00B23531">
        <w:rPr>
          <w:rFonts w:cs="Arial"/>
          <w:szCs w:val="19"/>
        </w:rPr>
        <w:t>n</w:t>
      </w:r>
      <w:r w:rsidRPr="00C14F32">
        <w:rPr>
          <w:rFonts w:cs="Arial"/>
          <w:szCs w:val="19"/>
        </w:rPr>
        <w:t>a przestrzeni roku</w:t>
      </w:r>
      <w:r w:rsidR="00184307">
        <w:rPr>
          <w:rFonts w:cs="Arial"/>
          <w:szCs w:val="19"/>
        </w:rPr>
        <w:t>,</w:t>
      </w:r>
      <w:r w:rsidRPr="00C14F32">
        <w:rPr>
          <w:rFonts w:cs="Arial"/>
          <w:szCs w:val="19"/>
        </w:rPr>
        <w:t xml:space="preserve"> zwiększył się odsetek osób poprzednio pracujących (o 1,</w:t>
      </w:r>
      <w:r>
        <w:rPr>
          <w:rFonts w:cs="Arial"/>
          <w:szCs w:val="19"/>
        </w:rPr>
        <w:t>4</w:t>
      </w:r>
      <w:r w:rsidRPr="00C14F32">
        <w:rPr>
          <w:rFonts w:cs="Arial"/>
          <w:szCs w:val="19"/>
        </w:rPr>
        <w:t xml:space="preserve"> p.proc. do </w:t>
      </w:r>
      <w:r>
        <w:rPr>
          <w:rFonts w:cs="Arial"/>
          <w:szCs w:val="19"/>
        </w:rPr>
        <w:t>88,9</w:t>
      </w:r>
      <w:r w:rsidRPr="00C14F32">
        <w:rPr>
          <w:rFonts w:cs="Arial"/>
          <w:szCs w:val="19"/>
        </w:rPr>
        <w:t>%). Wzrósł również udział osób zwolnionych z przyczyn dotyczących zakładu pracy (o 0,6 p.proc. do 3,7%). Zmniejszyły się odsetki: mieszkańców wsi (o 2,</w:t>
      </w:r>
      <w:r>
        <w:rPr>
          <w:rFonts w:cs="Arial"/>
          <w:szCs w:val="19"/>
        </w:rPr>
        <w:t>2</w:t>
      </w:r>
      <w:r w:rsidRPr="00C14F32">
        <w:rPr>
          <w:rFonts w:cs="Arial"/>
          <w:szCs w:val="19"/>
        </w:rPr>
        <w:t xml:space="preserve"> p.proc. do </w:t>
      </w:r>
      <w:r>
        <w:rPr>
          <w:rFonts w:cs="Arial"/>
          <w:szCs w:val="19"/>
        </w:rPr>
        <w:t>54,2</w:t>
      </w:r>
      <w:r w:rsidRPr="00C14F32">
        <w:rPr>
          <w:rFonts w:cs="Arial"/>
          <w:szCs w:val="19"/>
        </w:rPr>
        <w:t>%), osób rejestrujących się po raz kolejny (o 1,</w:t>
      </w:r>
      <w:r>
        <w:rPr>
          <w:rFonts w:cs="Arial"/>
          <w:szCs w:val="19"/>
        </w:rPr>
        <w:t>2</w:t>
      </w:r>
      <w:r w:rsidRPr="00C14F32">
        <w:rPr>
          <w:rFonts w:cs="Arial"/>
          <w:szCs w:val="19"/>
        </w:rPr>
        <w:t xml:space="preserve"> p.proc. do </w:t>
      </w:r>
      <w:r>
        <w:rPr>
          <w:rFonts w:cs="Arial"/>
          <w:szCs w:val="19"/>
        </w:rPr>
        <w:t>85,6</w:t>
      </w:r>
      <w:r w:rsidRPr="00C14F32">
        <w:rPr>
          <w:rFonts w:cs="Arial"/>
          <w:szCs w:val="19"/>
        </w:rPr>
        <w:t>%), absolwentów (o 0,</w:t>
      </w:r>
      <w:r>
        <w:rPr>
          <w:rFonts w:cs="Arial"/>
          <w:szCs w:val="19"/>
        </w:rPr>
        <w:t>1</w:t>
      </w:r>
      <w:r w:rsidRPr="00C14F32">
        <w:rPr>
          <w:rFonts w:cs="Arial"/>
          <w:szCs w:val="19"/>
        </w:rPr>
        <w:t xml:space="preserve"> p.proc. do 8,1%). </w:t>
      </w:r>
    </w:p>
    <w:p w:rsidR="00866CE0" w:rsidRPr="0045310C" w:rsidRDefault="00866CE0" w:rsidP="00866CE0">
      <w:pPr>
        <w:spacing w:line="240" w:lineRule="auto"/>
        <w:rPr>
          <w:rFonts w:cs="Arial"/>
          <w:szCs w:val="19"/>
        </w:rPr>
      </w:pPr>
      <w:r w:rsidRPr="00C14F32">
        <w:rPr>
          <w:rFonts w:cs="Arial"/>
          <w:szCs w:val="19"/>
        </w:rPr>
        <w:t xml:space="preserve">Z ewidencji bezrobotnych w </w:t>
      </w:r>
      <w:r>
        <w:rPr>
          <w:rFonts w:cs="Arial"/>
          <w:szCs w:val="19"/>
        </w:rPr>
        <w:t>styczniu 2020</w:t>
      </w:r>
      <w:r w:rsidRPr="00C14F32">
        <w:rPr>
          <w:rFonts w:cs="Arial"/>
          <w:szCs w:val="19"/>
        </w:rPr>
        <w:t xml:space="preserve"> r. </w:t>
      </w:r>
      <w:r w:rsidRPr="00C14F32">
        <w:rPr>
          <w:rFonts w:cs="Arial"/>
          <w:b/>
          <w:szCs w:val="19"/>
        </w:rPr>
        <w:t>wyrejestrowano</w:t>
      </w:r>
      <w:r w:rsidRPr="00C14F32">
        <w:rPr>
          <w:rFonts w:cs="Arial"/>
          <w:szCs w:val="19"/>
        </w:rPr>
        <w:t xml:space="preserve"> 4,</w:t>
      </w:r>
      <w:r>
        <w:rPr>
          <w:rFonts w:cs="Arial"/>
          <w:szCs w:val="19"/>
        </w:rPr>
        <w:t>3</w:t>
      </w:r>
      <w:r w:rsidR="00B23531">
        <w:rPr>
          <w:rFonts w:cs="Arial"/>
          <w:szCs w:val="19"/>
        </w:rPr>
        <w:t xml:space="preserve"> </w:t>
      </w:r>
      <w:r w:rsidRPr="00C14F32">
        <w:rPr>
          <w:rFonts w:cs="Arial"/>
          <w:szCs w:val="19"/>
        </w:rPr>
        <w:t xml:space="preserve">tys. osób, tj. </w:t>
      </w:r>
      <w:r>
        <w:rPr>
          <w:rFonts w:cs="Arial"/>
          <w:szCs w:val="19"/>
        </w:rPr>
        <w:t xml:space="preserve">więcej </w:t>
      </w:r>
      <w:r w:rsidRPr="00C14F3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3,3</w:t>
      </w:r>
      <w:r w:rsidRPr="00C14F32">
        <w:rPr>
          <w:rFonts w:cs="Arial"/>
          <w:szCs w:val="19"/>
        </w:rPr>
        <w:t>% niż przed miesiącem i mniej o</w:t>
      </w:r>
      <w:r w:rsidR="00B22D41">
        <w:rPr>
          <w:rFonts w:cs="Arial"/>
          <w:szCs w:val="19"/>
        </w:rPr>
        <w:t> </w:t>
      </w:r>
      <w:r>
        <w:rPr>
          <w:rFonts w:cs="Arial"/>
          <w:szCs w:val="19"/>
        </w:rPr>
        <w:t>11,0</w:t>
      </w:r>
      <w:r w:rsidRPr="00C14F32">
        <w:rPr>
          <w:rFonts w:cs="Arial"/>
          <w:szCs w:val="19"/>
        </w:rPr>
        <w:t>% niż rok wcześniej. Stopa odpływu bezrobotnych z urzędów pracy (tj. stosunek liczby bezrobotnych wyrejestrowanych w</w:t>
      </w:r>
      <w:r>
        <w:rPr>
          <w:rFonts w:cs="Arial"/>
          <w:szCs w:val="19"/>
        </w:rPr>
        <w:t> </w:t>
      </w:r>
      <w:r w:rsidRPr="00C14F32">
        <w:rPr>
          <w:rFonts w:cs="Arial"/>
          <w:szCs w:val="19"/>
        </w:rPr>
        <w:t xml:space="preserve">danym miesiącu do liczby bezrobotnych </w:t>
      </w:r>
      <w:r w:rsidR="00B23531">
        <w:rPr>
          <w:rFonts w:cs="Arial"/>
          <w:szCs w:val="19"/>
        </w:rPr>
        <w:br/>
      </w:r>
      <w:r w:rsidRPr="00C14F32">
        <w:rPr>
          <w:rFonts w:cs="Arial"/>
          <w:szCs w:val="19"/>
        </w:rPr>
        <w:t xml:space="preserve">na koniec ub. miesiąca) wyniosła </w:t>
      </w:r>
      <w:r>
        <w:rPr>
          <w:rFonts w:cs="Arial"/>
          <w:szCs w:val="19"/>
        </w:rPr>
        <w:t xml:space="preserve">podobnie, jak </w:t>
      </w:r>
      <w:r w:rsidRPr="00C14F32">
        <w:rPr>
          <w:rFonts w:cs="Arial"/>
          <w:szCs w:val="19"/>
        </w:rPr>
        <w:t>przed rokiem 10,2%. Z</w:t>
      </w:r>
      <w:r w:rsidR="00B22D41">
        <w:rPr>
          <w:rFonts w:cs="Arial"/>
          <w:szCs w:val="19"/>
        </w:rPr>
        <w:t> </w:t>
      </w:r>
      <w:r w:rsidRPr="00C14F32">
        <w:rPr>
          <w:rFonts w:cs="Arial"/>
          <w:szCs w:val="19"/>
        </w:rPr>
        <w:t>tytułu podjęcia pracy (głównej przyczyny wyrejestrowania) z rejestru bezrobotnych wyłączono 2,</w:t>
      </w:r>
      <w:r>
        <w:rPr>
          <w:rFonts w:cs="Arial"/>
          <w:szCs w:val="19"/>
        </w:rPr>
        <w:t>2</w:t>
      </w:r>
      <w:r w:rsidRPr="00C14F32">
        <w:rPr>
          <w:rFonts w:cs="Arial"/>
          <w:szCs w:val="19"/>
        </w:rPr>
        <w:t xml:space="preserve"> tys. osób wobec 2</w:t>
      </w:r>
      <w:r>
        <w:rPr>
          <w:rFonts w:cs="Arial"/>
          <w:szCs w:val="19"/>
        </w:rPr>
        <w:t>,5</w:t>
      </w:r>
      <w:r w:rsidRPr="00C14F32">
        <w:rPr>
          <w:rFonts w:cs="Arial"/>
          <w:szCs w:val="19"/>
        </w:rPr>
        <w:t xml:space="preserve"> tys. przed rokiem. Udział tej kategorii osób w ogólnej liczbie wyrejestrowanych zmniejszył się o </w:t>
      </w:r>
      <w:r>
        <w:rPr>
          <w:rFonts w:cs="Arial"/>
          <w:szCs w:val="19"/>
        </w:rPr>
        <w:t xml:space="preserve">2,6 </w:t>
      </w:r>
      <w:r w:rsidRPr="00C14F32">
        <w:rPr>
          <w:rFonts w:cs="Arial"/>
          <w:szCs w:val="19"/>
        </w:rPr>
        <w:t xml:space="preserve">p.proc. w ujęciu rocznym (do </w:t>
      </w:r>
      <w:r>
        <w:rPr>
          <w:rFonts w:cs="Arial"/>
          <w:szCs w:val="19"/>
        </w:rPr>
        <w:t>50,1</w:t>
      </w:r>
      <w:r w:rsidRPr="00C14F32">
        <w:rPr>
          <w:rFonts w:cs="Arial"/>
          <w:szCs w:val="19"/>
        </w:rPr>
        <w:t>%). Zmniejszył się także odsetek osób wykreślonych z ewidencji urzędów pracy w wyniku: podjęcia stażu u</w:t>
      </w:r>
      <w:r w:rsidR="00B22D41">
        <w:rPr>
          <w:rFonts w:cs="Arial"/>
          <w:szCs w:val="19"/>
        </w:rPr>
        <w:t> </w:t>
      </w:r>
      <w:r w:rsidRPr="00C14F32">
        <w:rPr>
          <w:rFonts w:cs="Arial"/>
          <w:szCs w:val="19"/>
        </w:rPr>
        <w:t xml:space="preserve">pracodawców (o </w:t>
      </w:r>
      <w:r>
        <w:rPr>
          <w:rFonts w:cs="Arial"/>
          <w:szCs w:val="19"/>
        </w:rPr>
        <w:t>0,4</w:t>
      </w:r>
      <w:r w:rsidRPr="00C14F32">
        <w:rPr>
          <w:rFonts w:cs="Arial"/>
          <w:szCs w:val="19"/>
        </w:rPr>
        <w:t xml:space="preserve"> p.proc. do 2,</w:t>
      </w:r>
      <w:r>
        <w:rPr>
          <w:rFonts w:cs="Arial"/>
          <w:szCs w:val="19"/>
        </w:rPr>
        <w:t>8</w:t>
      </w:r>
      <w:r w:rsidRPr="00C14F32">
        <w:rPr>
          <w:rFonts w:cs="Arial"/>
          <w:szCs w:val="19"/>
        </w:rPr>
        <w:t xml:space="preserve">%), </w:t>
      </w:r>
      <w:r w:rsidRPr="0045310C">
        <w:rPr>
          <w:rFonts w:cs="Arial"/>
          <w:szCs w:val="19"/>
        </w:rPr>
        <w:t>nabycia praw do świadczenia przedemerytalnego (o 0,3 p.proc. do 0,6%)</w:t>
      </w:r>
      <w:r>
        <w:rPr>
          <w:rFonts w:cs="Arial"/>
          <w:szCs w:val="19"/>
        </w:rPr>
        <w:t xml:space="preserve">. </w:t>
      </w:r>
      <w:r w:rsidRPr="00D21CBB">
        <w:rPr>
          <w:rFonts w:cs="Arial"/>
          <w:szCs w:val="19"/>
        </w:rPr>
        <w:t>Zwiększyły się natomiast odsetki osób, które utraciły status bezrobotnego w wyniku: niepotwierdzenia gotowości do podjęcia pracy (o</w:t>
      </w:r>
      <w:r w:rsidR="00B22D41">
        <w:rPr>
          <w:rFonts w:cs="Arial"/>
          <w:szCs w:val="19"/>
        </w:rPr>
        <w:t> </w:t>
      </w:r>
      <w:r w:rsidRPr="00D21CBB">
        <w:rPr>
          <w:rFonts w:cs="Arial"/>
          <w:szCs w:val="19"/>
        </w:rPr>
        <w:t xml:space="preserve">1,1 p.proc. do 16,0%), odmowy bez uzasadnionej przyczyny propozycji pracy lub innej formy pomocy (o 0,9 p.proc. do </w:t>
      </w:r>
      <w:r w:rsidRPr="0045310C">
        <w:rPr>
          <w:rFonts w:cs="Arial"/>
          <w:szCs w:val="19"/>
        </w:rPr>
        <w:t xml:space="preserve">5,8%), dobrowolnej rezygnacji (o 0,2 p.proc. do 12,8%), nabycia praw emerytalnych lub rentowych (o 0,2 p.proc. do 0,6%). </w:t>
      </w:r>
    </w:p>
    <w:p w:rsidR="00866CE0" w:rsidRPr="00C14F32" w:rsidRDefault="00866CE0" w:rsidP="00866CE0">
      <w:pPr>
        <w:pStyle w:val="Tekstpodstawowywcity"/>
        <w:tabs>
          <w:tab w:val="left" w:pos="567"/>
        </w:tabs>
        <w:spacing w:before="120" w:after="120"/>
        <w:ind w:firstLine="0"/>
        <w:jc w:val="left"/>
        <w:rPr>
          <w:rFonts w:ascii="Fira Sans" w:hAnsi="Fira Sans" w:cs="Arial"/>
          <w:sz w:val="19"/>
          <w:szCs w:val="19"/>
        </w:rPr>
      </w:pPr>
      <w:r w:rsidRPr="00C14F32">
        <w:rPr>
          <w:rFonts w:ascii="Fira Sans" w:hAnsi="Fira Sans" w:cs="Arial"/>
          <w:sz w:val="19"/>
          <w:szCs w:val="19"/>
        </w:rPr>
        <w:t xml:space="preserve">W końcu </w:t>
      </w:r>
      <w:r>
        <w:rPr>
          <w:rFonts w:ascii="Fira Sans" w:hAnsi="Fira Sans" w:cs="Arial"/>
          <w:sz w:val="19"/>
          <w:szCs w:val="19"/>
        </w:rPr>
        <w:t>stycznia 2020</w:t>
      </w:r>
      <w:r w:rsidRPr="00C14F32">
        <w:rPr>
          <w:rFonts w:ascii="Fira Sans" w:hAnsi="Fira Sans" w:cs="Arial"/>
          <w:sz w:val="19"/>
          <w:szCs w:val="19"/>
        </w:rPr>
        <w:t xml:space="preserve"> r. </w:t>
      </w:r>
      <w:r w:rsidRPr="00C14F32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C14F32">
        <w:rPr>
          <w:rFonts w:ascii="Fira Sans" w:hAnsi="Fira Sans" w:cs="Arial"/>
          <w:sz w:val="19"/>
          <w:szCs w:val="19"/>
        </w:rPr>
        <w:t xml:space="preserve">pozostawało </w:t>
      </w:r>
      <w:r>
        <w:rPr>
          <w:rFonts w:ascii="Fira Sans" w:hAnsi="Fira Sans" w:cs="Arial"/>
          <w:sz w:val="19"/>
          <w:szCs w:val="19"/>
        </w:rPr>
        <w:t>36,9</w:t>
      </w:r>
      <w:r w:rsidRPr="00C14F32">
        <w:rPr>
          <w:rFonts w:ascii="Fira Sans" w:hAnsi="Fira Sans" w:cs="Arial"/>
          <w:sz w:val="19"/>
          <w:szCs w:val="19"/>
        </w:rPr>
        <w:t xml:space="preserve"> tys. bezrobotnych, a ich udział w liczbie bezrobotnych wyniósł</w:t>
      </w:r>
      <w:r>
        <w:rPr>
          <w:rFonts w:ascii="Fira Sans" w:hAnsi="Fira Sans" w:cs="Arial"/>
          <w:sz w:val="19"/>
          <w:szCs w:val="19"/>
        </w:rPr>
        <w:t xml:space="preserve"> 82,7</w:t>
      </w:r>
      <w:r w:rsidRPr="00C14F32">
        <w:rPr>
          <w:rFonts w:ascii="Fira Sans" w:hAnsi="Fira Sans" w:cs="Arial"/>
          <w:sz w:val="19"/>
          <w:szCs w:val="19"/>
        </w:rPr>
        <w:t>%,</w:t>
      </w:r>
      <w:r>
        <w:rPr>
          <w:rFonts w:ascii="Fira Sans" w:hAnsi="Fira Sans" w:cs="Arial"/>
          <w:sz w:val="19"/>
          <w:szCs w:val="19"/>
        </w:rPr>
        <w:t xml:space="preserve"> tj. o 0,1 p.proc. mniej niż</w:t>
      </w:r>
      <w:r w:rsidRPr="00C14F32">
        <w:rPr>
          <w:rFonts w:ascii="Fira Sans" w:hAnsi="Fira Sans" w:cs="Arial"/>
          <w:sz w:val="19"/>
          <w:szCs w:val="19"/>
        </w:rPr>
        <w:t xml:space="preserve"> przed rokiem</w:t>
      </w:r>
      <w:r>
        <w:rPr>
          <w:rFonts w:ascii="Fira Sans" w:hAnsi="Fira Sans" w:cs="Arial"/>
          <w:sz w:val="19"/>
          <w:szCs w:val="19"/>
        </w:rPr>
        <w:t>.</w:t>
      </w:r>
    </w:p>
    <w:p w:rsidR="00866CE0" w:rsidRPr="00C14F32" w:rsidRDefault="00866CE0" w:rsidP="00866CE0">
      <w:pPr>
        <w:spacing w:line="240" w:lineRule="auto"/>
        <w:rPr>
          <w:rFonts w:cs="Arial"/>
          <w:szCs w:val="19"/>
        </w:rPr>
      </w:pPr>
      <w:r w:rsidRPr="00C14F32">
        <w:rPr>
          <w:rFonts w:cs="Arial"/>
          <w:szCs w:val="19"/>
        </w:rPr>
        <w:t xml:space="preserve">Bezrobotni będący </w:t>
      </w:r>
      <w:r w:rsidRPr="00C14F32">
        <w:rPr>
          <w:rFonts w:cs="Arial"/>
          <w:b/>
          <w:szCs w:val="19"/>
        </w:rPr>
        <w:t>w szczególnej sytuacji na rynku pracy</w:t>
      </w:r>
      <w:r w:rsidRPr="00C14F32">
        <w:rPr>
          <w:rFonts w:cs="Arial"/>
          <w:szCs w:val="19"/>
        </w:rPr>
        <w:t xml:space="preserve"> stanowili </w:t>
      </w:r>
      <w:r>
        <w:rPr>
          <w:rFonts w:cs="Arial"/>
          <w:szCs w:val="19"/>
        </w:rPr>
        <w:t>83,3</w:t>
      </w:r>
      <w:r w:rsidRPr="00C14F32">
        <w:rPr>
          <w:rFonts w:cs="Arial"/>
          <w:szCs w:val="19"/>
        </w:rPr>
        <w:t>% ogółu bezrobotnych, tj. o 0,</w:t>
      </w:r>
      <w:r>
        <w:rPr>
          <w:rFonts w:cs="Arial"/>
          <w:szCs w:val="19"/>
        </w:rPr>
        <w:t>5</w:t>
      </w:r>
      <w:r w:rsidRPr="00C14F32">
        <w:rPr>
          <w:rFonts w:cs="Arial"/>
          <w:szCs w:val="19"/>
        </w:rPr>
        <w:t xml:space="preserve"> p.proc. więcej niż przed rokiem. Liczebność omawianej subpopulacji zmniejszyła się natomiast o 4,</w:t>
      </w:r>
      <w:r>
        <w:rPr>
          <w:rFonts w:cs="Arial"/>
          <w:szCs w:val="19"/>
        </w:rPr>
        <w:t>7</w:t>
      </w:r>
      <w:r w:rsidRPr="00C14F32">
        <w:rPr>
          <w:rFonts w:cs="Arial"/>
          <w:szCs w:val="19"/>
        </w:rPr>
        <w:t xml:space="preserve">%. W omawianym okresie nadal </w:t>
      </w:r>
      <w:r>
        <w:rPr>
          <w:rFonts w:cs="Arial"/>
          <w:szCs w:val="19"/>
        </w:rPr>
        <w:t>największy odsetek</w:t>
      </w:r>
      <w:r w:rsidRPr="00C14F32">
        <w:rPr>
          <w:rFonts w:cs="Arial"/>
          <w:szCs w:val="19"/>
        </w:rPr>
        <w:t xml:space="preserve"> stanowiły osoby długotrwale bezrobotne (</w:t>
      </w:r>
      <w:r>
        <w:rPr>
          <w:rFonts w:cs="Arial"/>
          <w:szCs w:val="19"/>
        </w:rPr>
        <w:t>48,4</w:t>
      </w:r>
      <w:r w:rsidRPr="00C14F32">
        <w:rPr>
          <w:rFonts w:cs="Arial"/>
          <w:szCs w:val="19"/>
        </w:rPr>
        <w:t>%). Udział osób bezrobotnych w wieku do 30 lat wyniósł 28,</w:t>
      </w:r>
      <w:r>
        <w:rPr>
          <w:rFonts w:cs="Arial"/>
          <w:szCs w:val="19"/>
        </w:rPr>
        <w:t>5</w:t>
      </w:r>
      <w:r w:rsidRPr="00C14F32">
        <w:rPr>
          <w:rFonts w:cs="Arial"/>
          <w:szCs w:val="19"/>
        </w:rPr>
        <w:t>%, w</w:t>
      </w:r>
      <w:r>
        <w:rPr>
          <w:rFonts w:cs="Arial"/>
          <w:szCs w:val="19"/>
        </w:rPr>
        <w:t> </w:t>
      </w:r>
      <w:r w:rsidRPr="00C14F32">
        <w:rPr>
          <w:rFonts w:cs="Arial"/>
          <w:szCs w:val="19"/>
        </w:rPr>
        <w:t>tym osób w wieku do 25 roku życia 13,</w:t>
      </w:r>
      <w:r>
        <w:rPr>
          <w:rFonts w:cs="Arial"/>
          <w:szCs w:val="19"/>
        </w:rPr>
        <w:t>7</w:t>
      </w:r>
      <w:r w:rsidRPr="00C14F32">
        <w:rPr>
          <w:rFonts w:cs="Arial"/>
          <w:szCs w:val="19"/>
        </w:rPr>
        <w:t xml:space="preserve">%. Z kolei odsetek bezrobotnych powyżej 50 roku życia ukształtował się na poziomie </w:t>
      </w:r>
      <w:r>
        <w:rPr>
          <w:rFonts w:cs="Arial"/>
          <w:szCs w:val="19"/>
        </w:rPr>
        <w:t>24,7</w:t>
      </w:r>
      <w:r w:rsidRPr="00C14F32">
        <w:rPr>
          <w:rFonts w:cs="Arial"/>
          <w:szCs w:val="19"/>
        </w:rPr>
        <w:t>%. Udział posiadających co najmniej jedno dziecko do 6 roku życia wyniósł 18,</w:t>
      </w:r>
      <w:r>
        <w:rPr>
          <w:rFonts w:cs="Arial"/>
          <w:szCs w:val="19"/>
        </w:rPr>
        <w:t>4</w:t>
      </w:r>
      <w:r w:rsidRPr="00C14F32">
        <w:rPr>
          <w:rFonts w:cs="Arial"/>
          <w:szCs w:val="19"/>
        </w:rPr>
        <w:t>%, a poszukujących pracy niepełnosprawnych 6,</w:t>
      </w:r>
      <w:r>
        <w:rPr>
          <w:rFonts w:cs="Arial"/>
          <w:szCs w:val="19"/>
        </w:rPr>
        <w:t>4</w:t>
      </w:r>
      <w:r w:rsidRPr="00C14F32">
        <w:rPr>
          <w:rFonts w:cs="Arial"/>
          <w:szCs w:val="19"/>
        </w:rPr>
        <w:t xml:space="preserve">%. W ujęciu rocznym, liczebność osób bezrobotnych w wieku do 30 lat zmniejszyła się o </w:t>
      </w:r>
      <w:r>
        <w:rPr>
          <w:rFonts w:cs="Arial"/>
          <w:szCs w:val="19"/>
        </w:rPr>
        <w:t>5,9</w:t>
      </w:r>
      <w:r w:rsidRPr="00C14F32">
        <w:rPr>
          <w:rFonts w:cs="Arial"/>
          <w:szCs w:val="19"/>
        </w:rPr>
        <w:t>%, w</w:t>
      </w:r>
      <w:r w:rsidR="00B22D41">
        <w:rPr>
          <w:rFonts w:cs="Arial"/>
          <w:szCs w:val="19"/>
        </w:rPr>
        <w:t> </w:t>
      </w:r>
      <w:r w:rsidRPr="00C14F32">
        <w:rPr>
          <w:rFonts w:cs="Arial"/>
          <w:szCs w:val="19"/>
        </w:rPr>
        <w:t xml:space="preserve">tym osób do 25 roku życia ubyło </w:t>
      </w:r>
      <w:r>
        <w:rPr>
          <w:rFonts w:cs="Arial"/>
          <w:szCs w:val="19"/>
        </w:rPr>
        <w:t>5,6</w:t>
      </w:r>
      <w:r w:rsidRPr="00C14F32">
        <w:rPr>
          <w:rFonts w:cs="Arial"/>
          <w:szCs w:val="19"/>
        </w:rPr>
        <w:t xml:space="preserve">%, a osób w wieku 50 lat i więcej odnotowano mniej o </w:t>
      </w:r>
      <w:r>
        <w:rPr>
          <w:rFonts w:cs="Arial"/>
          <w:szCs w:val="19"/>
        </w:rPr>
        <w:t>3,4</w:t>
      </w:r>
      <w:r w:rsidRPr="00C14F32">
        <w:rPr>
          <w:rFonts w:cs="Arial"/>
          <w:szCs w:val="19"/>
        </w:rPr>
        <w:t>%. Z kolei osób długotrwale bezrobotnych i niepełnosprawnych odnotowano mniej odpowiednio o 5,3% i o 2,</w:t>
      </w:r>
      <w:r>
        <w:rPr>
          <w:rFonts w:cs="Arial"/>
          <w:szCs w:val="19"/>
        </w:rPr>
        <w:t>2</w:t>
      </w:r>
      <w:r w:rsidRPr="00C14F32">
        <w:rPr>
          <w:rFonts w:cs="Arial"/>
          <w:szCs w:val="19"/>
        </w:rPr>
        <w:t xml:space="preserve">%. Zmniejszyła się również liczebność subpopulacji osób, które korzystały ze świadczeń pomocy społecznej (o </w:t>
      </w:r>
      <w:r>
        <w:rPr>
          <w:rFonts w:cs="Arial"/>
          <w:szCs w:val="19"/>
        </w:rPr>
        <w:t>20,5</w:t>
      </w:r>
      <w:r w:rsidRPr="00C14F32">
        <w:rPr>
          <w:rFonts w:cs="Arial"/>
          <w:szCs w:val="19"/>
        </w:rPr>
        <w:t>%), osób posiadających co najmniej jedno dziecko do 6 roku życia (o 5,</w:t>
      </w:r>
      <w:r>
        <w:rPr>
          <w:rFonts w:cs="Arial"/>
          <w:szCs w:val="19"/>
        </w:rPr>
        <w:t>7</w:t>
      </w:r>
      <w:r w:rsidRPr="00C14F32">
        <w:rPr>
          <w:rFonts w:cs="Arial"/>
          <w:szCs w:val="19"/>
        </w:rPr>
        <w:t>%). Wzrosła liczba osób posiadających co najmniej jedno dziecko niepełnosprawne do 18 roku życia (o</w:t>
      </w:r>
      <w:r>
        <w:rPr>
          <w:rFonts w:cs="Arial"/>
          <w:szCs w:val="19"/>
        </w:rPr>
        <w:t> 4,4</w:t>
      </w:r>
      <w:r w:rsidRPr="00C14F32">
        <w:rPr>
          <w:rFonts w:cs="Arial"/>
          <w:szCs w:val="19"/>
        </w:rPr>
        <w:t>%).</w:t>
      </w:r>
    </w:p>
    <w:p w:rsidR="00866CE0" w:rsidRDefault="00866CE0" w:rsidP="00866CE0">
      <w:pPr>
        <w:pStyle w:val="tytuwykresu"/>
        <w:pageBreakBefore/>
        <w:spacing w:before="360"/>
        <w:rPr>
          <w:shd w:val="clear" w:color="auto" w:fill="FFFFFF"/>
        </w:rPr>
      </w:pPr>
      <w:r w:rsidRPr="006473EA">
        <w:rPr>
          <w:shd w:val="clear" w:color="auto" w:fill="FFFFFF"/>
        </w:rPr>
        <w:lastRenderedPageBreak/>
        <w:t>Tablica 3. Kategorie osób bezrobotnych będących w szczególnej sytuacji na rynku pracy</w:t>
      </w:r>
    </w:p>
    <w:p w:rsidR="00866CE0" w:rsidRPr="00C14F32" w:rsidRDefault="00866CE0" w:rsidP="00866CE0">
      <w:pPr>
        <w:pStyle w:val="tytuwykresu"/>
        <w:spacing w:before="120" w:after="120" w:line="240" w:lineRule="auto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24"/>
        <w:tblW w:w="0" w:type="auto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77"/>
        <w:gridCol w:w="1211"/>
        <w:gridCol w:w="1215"/>
        <w:gridCol w:w="1274"/>
      </w:tblGrid>
      <w:tr w:rsidR="00866CE0" w:rsidRPr="00FA5128" w:rsidTr="001E70D0">
        <w:trPr>
          <w:trHeight w:val="57"/>
        </w:trPr>
        <w:tc>
          <w:tcPr>
            <w:tcW w:w="677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66CE0" w:rsidRPr="009C7251" w:rsidRDefault="00866CE0" w:rsidP="001E70D0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26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1274" w:type="dxa"/>
            <w:vMerge w:val="restart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:rsidR="00866CE0" w:rsidRPr="00FA5128" w:rsidRDefault="00866CE0" w:rsidP="001E70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2020</w:t>
            </w:r>
          </w:p>
        </w:tc>
      </w:tr>
      <w:tr w:rsidR="00866CE0" w:rsidRPr="00FA5128" w:rsidTr="001E70D0">
        <w:trPr>
          <w:trHeight w:val="57"/>
        </w:trPr>
        <w:tc>
          <w:tcPr>
            <w:tcW w:w="6777" w:type="dxa"/>
            <w:vMerge/>
            <w:tcBorders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1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</w:p>
        </w:tc>
        <w:tc>
          <w:tcPr>
            <w:tcW w:w="1274" w:type="dxa"/>
            <w:vMerge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:rsidR="00866CE0" w:rsidRPr="00FA5128" w:rsidRDefault="00866CE0" w:rsidP="001E70D0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66CE0" w:rsidRPr="00FA5128" w:rsidTr="001E70D0">
        <w:tc>
          <w:tcPr>
            <w:tcW w:w="677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866CE0" w:rsidRPr="00FA5128" w:rsidRDefault="00866CE0" w:rsidP="001E70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:rsidR="00866CE0" w:rsidRPr="00FA5128" w:rsidRDefault="00866CE0" w:rsidP="001E70D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EF5C7A">
              <w:rPr>
                <w:rFonts w:ascii="Fira Sans" w:hAnsi="Fira Sans" w:cs="Arial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48,4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866CE0" w:rsidRPr="006C2CCB" w:rsidTr="001E70D0">
        <w:tc>
          <w:tcPr>
            <w:tcW w:w="677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EF5C7A" w:rsidRDefault="00866CE0" w:rsidP="001E70D0">
            <w:pPr>
              <w:pStyle w:val="Default"/>
              <w:tabs>
                <w:tab w:val="right" w:leader="dot" w:pos="5103"/>
              </w:tabs>
              <w:spacing w:before="60" w:line="264" w:lineRule="auto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796E78" w:rsidRDefault="00866CE0" w:rsidP="001E70D0">
            <w:pPr>
              <w:spacing w:before="60" w:after="0" w:line="264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6E78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2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66CE0" w:rsidRPr="0062483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4833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27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66CE0" w:rsidRPr="001F7443" w:rsidRDefault="00866CE0" w:rsidP="001E70D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443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</w:tbl>
    <w:p w:rsidR="00866CE0" w:rsidRPr="00F61FFA" w:rsidRDefault="00866CE0" w:rsidP="00866CE0">
      <w:pPr>
        <w:ind w:left="170"/>
        <w:rPr>
          <w:sz w:val="16"/>
          <w:szCs w:val="16"/>
        </w:rPr>
      </w:pPr>
      <w:r w:rsidRPr="00F61FFA">
        <w:rPr>
          <w:i/>
          <w:sz w:val="16"/>
          <w:szCs w:val="16"/>
          <w:vertAlign w:val="superscript"/>
        </w:rPr>
        <w:t xml:space="preserve">a </w:t>
      </w:r>
      <w:r w:rsidRPr="00F61FFA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F61FFA">
        <w:rPr>
          <w:sz w:val="16"/>
          <w:szCs w:val="16"/>
        </w:rPr>
        <w:br/>
        <w:t>w okresie ostatnich 2 lat, z wyłączeniem okresów odbywania stażu i przygotowania zawodowego w miejscu pracy.</w:t>
      </w:r>
    </w:p>
    <w:p w:rsidR="00866CE0" w:rsidRDefault="00866CE0" w:rsidP="00866CE0">
      <w:pPr>
        <w:tabs>
          <w:tab w:val="left" w:pos="426"/>
        </w:tabs>
        <w:spacing w:before="0" w:after="0" w:line="240" w:lineRule="auto"/>
        <w:jc w:val="both"/>
        <w:rPr>
          <w:rFonts w:cs="Arial"/>
          <w:szCs w:val="19"/>
        </w:rPr>
      </w:pPr>
    </w:p>
    <w:p w:rsidR="00866CE0" w:rsidRPr="00FF6F01" w:rsidRDefault="00866CE0" w:rsidP="00866CE0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31 </w:t>
      </w:r>
      <w:r>
        <w:rPr>
          <w:rFonts w:cs="Arial"/>
          <w:szCs w:val="19"/>
        </w:rPr>
        <w:t>stycznia 2020</w:t>
      </w:r>
      <w:r w:rsidRPr="00FF6F01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3</w:t>
      </w:r>
      <w:r w:rsidRPr="00FF6F01">
        <w:rPr>
          <w:rFonts w:cs="Arial"/>
          <w:szCs w:val="19"/>
        </w:rPr>
        <w:t xml:space="preserve"> zakłady pracy zapowiedziały zwolnienia grupowe, podczas gdy przed rokiem </w:t>
      </w:r>
      <w:r>
        <w:rPr>
          <w:rFonts w:cs="Arial"/>
          <w:szCs w:val="19"/>
        </w:rPr>
        <w:t>– 1 zakład</w:t>
      </w:r>
      <w:r w:rsidRPr="00FF6F01">
        <w:rPr>
          <w:rFonts w:cs="Arial"/>
          <w:szCs w:val="19"/>
        </w:rPr>
        <w:t>.</w:t>
      </w:r>
    </w:p>
    <w:p w:rsidR="00866CE0" w:rsidRPr="00FF6F01" w:rsidRDefault="00866CE0" w:rsidP="00866CE0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styczniu 2020</w:t>
      </w:r>
      <w:r w:rsidRPr="00FF6F01">
        <w:rPr>
          <w:rFonts w:cs="Arial"/>
          <w:szCs w:val="19"/>
        </w:rPr>
        <w:t xml:space="preserve"> r. do urzędów pracy zgłoszono </w:t>
      </w:r>
      <w:r>
        <w:rPr>
          <w:rFonts w:cs="Arial"/>
          <w:szCs w:val="19"/>
        </w:rPr>
        <w:t>2,0</w:t>
      </w:r>
      <w:r w:rsidRPr="00FF6F01">
        <w:rPr>
          <w:rFonts w:cs="Arial"/>
          <w:szCs w:val="19"/>
        </w:rPr>
        <w:t xml:space="preserve"> tys. </w:t>
      </w:r>
      <w:r w:rsidRPr="00FF6F01">
        <w:rPr>
          <w:rFonts w:cs="Arial"/>
          <w:b/>
          <w:szCs w:val="19"/>
        </w:rPr>
        <w:t>ofert zatrudnienia</w:t>
      </w:r>
      <w:r w:rsidRPr="00FF6F01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 xml:space="preserve">więcej </w:t>
      </w:r>
      <w:r w:rsidRPr="00FF6F01">
        <w:rPr>
          <w:rFonts w:cs="Arial"/>
          <w:szCs w:val="19"/>
        </w:rPr>
        <w:t>o 1,</w:t>
      </w:r>
      <w:r>
        <w:rPr>
          <w:rFonts w:cs="Arial"/>
          <w:szCs w:val="19"/>
        </w:rPr>
        <w:t>3</w:t>
      </w:r>
      <w:r w:rsidRPr="00FF6F01">
        <w:rPr>
          <w:rFonts w:cs="Arial"/>
          <w:szCs w:val="19"/>
        </w:rPr>
        <w:t xml:space="preserve"> tys. niż przed miesiącem i mniej o </w:t>
      </w:r>
      <w:r>
        <w:rPr>
          <w:rFonts w:cs="Arial"/>
          <w:szCs w:val="19"/>
        </w:rPr>
        <w:t>1,1</w:t>
      </w:r>
      <w:r w:rsidRPr="00FF6F01">
        <w:rPr>
          <w:rFonts w:cs="Arial"/>
          <w:szCs w:val="19"/>
        </w:rPr>
        <w:t xml:space="preserve"> tys. niż przed rokiem. W końcu miesiąca na 1 ofertę pracy przypadało </w:t>
      </w:r>
      <w:r>
        <w:rPr>
          <w:rFonts w:cs="Arial"/>
          <w:szCs w:val="19"/>
        </w:rPr>
        <w:t>28</w:t>
      </w:r>
      <w:r w:rsidRPr="00FF6F01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53</w:t>
      </w:r>
      <w:r w:rsidRPr="00FF6F01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17</w:t>
      </w:r>
      <w:r w:rsidRPr="00FF6F01">
        <w:rPr>
          <w:rFonts w:cs="Arial"/>
          <w:szCs w:val="19"/>
        </w:rPr>
        <w:t xml:space="preserve">). </w:t>
      </w:r>
    </w:p>
    <w:p w:rsidR="00866CE0" w:rsidRDefault="00866CE0" w:rsidP="00866CE0">
      <w:pPr>
        <w:pStyle w:val="tytuwykresu"/>
        <w:spacing w:before="360" w:after="120"/>
        <w:rPr>
          <w:shd w:val="clear" w:color="auto" w:fill="FFFFFF"/>
        </w:rPr>
      </w:pPr>
      <w:r w:rsidRPr="006473EA">
        <w:t>Wykres 3.</w:t>
      </w:r>
      <w:r w:rsidRPr="006473EA">
        <w:rPr>
          <w:shd w:val="clear" w:color="auto" w:fill="FFFFFF"/>
        </w:rPr>
        <w:t xml:space="preserve"> Bezrobotni na 1 ofertę pracy</w:t>
      </w:r>
    </w:p>
    <w:p w:rsidR="00866CE0" w:rsidRDefault="00184307" w:rsidP="00866CE0">
      <w:pPr>
        <w:spacing w:after="80" w:line="274" w:lineRule="auto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01F813EC" wp14:editId="53B14ABC">
            <wp:extent cx="6620256" cy="2816225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A12A8" w:rsidRPr="00D723AF" w:rsidRDefault="00DC46ED" w:rsidP="00EA0BE2">
      <w:pPr>
        <w:spacing w:after="80" w:line="274" w:lineRule="auto"/>
        <w:rPr>
          <w:rFonts w:cs="Arial"/>
        </w:rPr>
      </w:pPr>
      <w:r w:rsidRPr="006C7B03">
        <w:rPr>
          <w:rFonts w:cs="Arial"/>
        </w:rPr>
        <w:t>W</w:t>
      </w:r>
      <w:r w:rsidRPr="006C7B03">
        <w:rPr>
          <w:rFonts w:cs="Arial"/>
          <w:spacing w:val="-2"/>
        </w:rPr>
        <w:t xml:space="preserve"> styczniu 2020 r. wydatkowano z </w:t>
      </w:r>
      <w:r w:rsidRPr="006C7B03">
        <w:rPr>
          <w:rFonts w:cs="Arial"/>
          <w:b/>
          <w:spacing w:val="-2"/>
        </w:rPr>
        <w:t xml:space="preserve">Funduszu Pracy </w:t>
      </w:r>
      <w:r w:rsidRPr="006C7B03">
        <w:rPr>
          <w:rFonts w:cs="Arial"/>
          <w:spacing w:val="-2"/>
        </w:rPr>
        <w:t>8728 tys. zł wobec 9761 tys. zł</w:t>
      </w:r>
      <w:r w:rsidRPr="006C7B03">
        <w:rPr>
          <w:rFonts w:cs="Arial"/>
        </w:rPr>
        <w:t xml:space="preserve"> w analogicznym okresie poprzedniego roku. Najwięcej przeznaczono na realizację programów na zasiłki dla bezrobotnych (72,2%)</w:t>
      </w:r>
      <w:r>
        <w:rPr>
          <w:rFonts w:cs="Arial"/>
        </w:rPr>
        <w:t xml:space="preserve"> </w:t>
      </w:r>
      <w:r w:rsidRPr="006C7B03">
        <w:rPr>
          <w:rFonts w:cs="Arial"/>
        </w:rPr>
        <w:t>oraz na rzecz promocji zatrudnienia (18,5%).</w:t>
      </w:r>
    </w:p>
    <w:p w:rsidR="00284CE4" w:rsidRPr="00EF2D6D" w:rsidRDefault="00284CE4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:rsidR="001D3C4A" w:rsidRPr="001D3C4A" w:rsidRDefault="001D3C4A" w:rsidP="001D3C4A">
      <w:pPr>
        <w:rPr>
          <w:rFonts w:cs="Arial"/>
        </w:rPr>
      </w:pPr>
      <w:r w:rsidRPr="001D3C4A">
        <w:rPr>
          <w:rFonts w:cs="Arial"/>
        </w:rPr>
        <w:t>Styczeń br. to kolejny miesiąc z rzędu, w którym odnotowano poprawę warunków płacowych w sektorze przedsiębiorstw</w:t>
      </w:r>
      <w:r w:rsidR="00D03C44">
        <w:rPr>
          <w:rFonts w:cs="Arial"/>
        </w:rPr>
        <w:t xml:space="preserve"> </w:t>
      </w:r>
      <w:r w:rsidRPr="001D3C4A">
        <w:rPr>
          <w:rFonts w:cs="Arial"/>
        </w:rPr>
        <w:t xml:space="preserve">w skali roku, jednak przeciętne miesięczne wynagrodzenie brutto w województwie świętokrzyskim wzrosło w mniejszym stopniu niż przed rokiem. Zanotowany wzrost wynagrodzeń był wyższy niż w poprzednich miesiącach ub.r. </w:t>
      </w:r>
    </w:p>
    <w:p w:rsidR="001D3C4A" w:rsidRPr="001D3C4A" w:rsidRDefault="001D3C4A" w:rsidP="001D3C4A">
      <w:pPr>
        <w:rPr>
          <w:rFonts w:cs="Arial"/>
        </w:rPr>
      </w:pPr>
      <w:r w:rsidRPr="001D3C4A">
        <w:rPr>
          <w:rFonts w:cs="Arial"/>
          <w:b/>
        </w:rPr>
        <w:t>Przeciętne miesięczne wynagrodzenie brutto w sektorze przedsiębiorstw</w:t>
      </w:r>
      <w:r w:rsidRPr="001D3C4A">
        <w:rPr>
          <w:rFonts w:cs="Arial"/>
        </w:rPr>
        <w:t xml:space="preserve"> w województwie świętokrzyskim w styczniu 2020 r. wyniosło 4465,39 i było o 7,2% wyższe niż w analogicznym okresie ub. roku (rok wcześniej wzrosło odpowiednio o</w:t>
      </w:r>
      <w:r>
        <w:rPr>
          <w:rFonts w:cs="Arial"/>
        </w:rPr>
        <w:t> </w:t>
      </w:r>
      <w:r w:rsidRPr="001D3C4A">
        <w:rPr>
          <w:rFonts w:cs="Arial"/>
        </w:rPr>
        <w:t xml:space="preserve">8,9%). </w:t>
      </w:r>
      <w:r w:rsidRPr="00D03C44">
        <w:rPr>
          <w:rFonts w:cs="Arial"/>
          <w:i/>
        </w:rPr>
        <w:t>W kraju przeciętne miesięczne wynagrodzenie brutto w styczniu br. ukształtowało się na poziomie 5282,80 zł i było o 7,1% wyższe niż w styczniu 2019 r. (przed rokiem wzrosło o 7,5%).</w:t>
      </w:r>
    </w:p>
    <w:p w:rsidR="00284CE4" w:rsidRDefault="00284CE4" w:rsidP="00C14F32">
      <w:pPr>
        <w:spacing w:before="480" w:after="0"/>
        <w:ind w:left="851" w:hanging="851"/>
      </w:pPr>
      <w:r w:rsidRPr="00335735">
        <w:rPr>
          <w:b/>
        </w:rPr>
        <w:t xml:space="preserve">Wykres 4. Dynamika przeciętnego miesięcznego wynagrodzenia brutto w sektorze przedsiębiorstw </w:t>
      </w:r>
      <w:r w:rsidRPr="00335735">
        <w:rPr>
          <w:b/>
        </w:rPr>
        <w:br/>
      </w:r>
      <w:r w:rsidRPr="00335735">
        <w:t xml:space="preserve">(przeciętna miesięczna 2015=100) </w:t>
      </w:r>
    </w:p>
    <w:p w:rsidR="00284CE4" w:rsidRDefault="00184307" w:rsidP="00EC2FB8">
      <w:pPr>
        <w:spacing w:before="0" w:after="0" w:line="240" w:lineRule="auto"/>
        <w:jc w:val="center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376B4C5B" wp14:editId="7FD99F5B">
            <wp:extent cx="6467475" cy="2428875"/>
            <wp:effectExtent l="0" t="0" r="9525" b="952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10C05" w:rsidRPr="00B261D6" w:rsidRDefault="00C10C05" w:rsidP="00EA0BE2">
      <w:pPr>
        <w:rPr>
          <w:rFonts w:cs="Arial"/>
        </w:rPr>
      </w:pPr>
      <w:r w:rsidRPr="00C10C05">
        <w:rPr>
          <w:rFonts w:cs="Arial"/>
        </w:rPr>
        <w:t>W porównaniu do stycznia ub. roku wzrost przeciętnych miesięcznych wynagrodzeń brutto odnotowano we wszystkich analizowanych sekcjach sektora przedsiębiorstw, związanych zarówno ze sferą produkcyjną jak i usługową. W największym stopniu wzrosły płace w administrowaniu i działalności wspierającej (o 18,7%) oraz w informacji i komunikacji (</w:t>
      </w:r>
      <w:r w:rsidRPr="00C10C05">
        <w:t>o</w:t>
      </w:r>
      <w:r>
        <w:t> </w:t>
      </w:r>
      <w:r w:rsidRPr="00C10C05">
        <w:t>13</w:t>
      </w:r>
      <w:r w:rsidRPr="00C10C05">
        <w:rPr>
          <w:rFonts w:cs="Arial"/>
        </w:rPr>
        <w:t>,0%). Wynagrodzenia wyższe niż przeciętnie w województwie wypłacono także pracującym w przetwórstwie przemysłowym (o 7,5%) oraz handlu; naprawie pojazdów samochodowych (o 7,4%). Najniższy wzrost wynagrodzeń zanotowano w</w:t>
      </w:r>
      <w:r>
        <w:rPr>
          <w:rFonts w:cs="Arial"/>
        </w:rPr>
        <w:t> </w:t>
      </w:r>
      <w:r w:rsidRPr="00C10C05">
        <w:rPr>
          <w:rFonts w:cs="Arial"/>
        </w:rPr>
        <w:t>działalności profesjonalnej, naukowej i technicznej (o 0,3%).</w:t>
      </w:r>
    </w:p>
    <w:p w:rsidR="00454F01" w:rsidRDefault="00454F01" w:rsidP="0086664B">
      <w:pPr>
        <w:pStyle w:val="tytuwykresu"/>
        <w:spacing w:after="120"/>
        <w:rPr>
          <w:szCs w:val="19"/>
          <w:shd w:val="clear" w:color="auto" w:fill="FFFFFF"/>
        </w:rPr>
      </w:pPr>
      <w:r w:rsidRPr="00335735">
        <w:rPr>
          <w:szCs w:val="19"/>
          <w:shd w:val="clear" w:color="auto" w:fill="FFFFFF"/>
        </w:rPr>
        <w:t>Tablica 4.  Przeciętne miesięczne wynagrodzenia brutto w sektorze przedsiębiorstw</w:t>
      </w:r>
    </w:p>
    <w:p w:rsidR="005E5FF6" w:rsidRPr="005E5FF6" w:rsidRDefault="005E5FF6" w:rsidP="005E5FF6">
      <w:pPr>
        <w:pStyle w:val="tytuwykresu"/>
        <w:spacing w:before="120" w:after="120"/>
        <w:rPr>
          <w:b w:val="0"/>
          <w:sz w:val="18"/>
          <w:szCs w:val="19"/>
          <w:shd w:val="clear" w:color="auto" w:fill="FFFFFF"/>
        </w:rPr>
      </w:pPr>
    </w:p>
    <w:tbl>
      <w:tblPr>
        <w:tblStyle w:val="Tabela-Siatka"/>
        <w:tblW w:w="10353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7132"/>
        <w:gridCol w:w="1614"/>
        <w:gridCol w:w="1607"/>
      </w:tblGrid>
      <w:tr w:rsidR="00C10C05" w:rsidRPr="00DA7725" w:rsidTr="00C10C05">
        <w:trPr>
          <w:trHeight w:val="314"/>
          <w:jc w:val="center"/>
        </w:trPr>
        <w:tc>
          <w:tcPr>
            <w:tcW w:w="7132" w:type="dxa"/>
            <w:vMerge w:val="restart"/>
            <w:tcBorders>
              <w:left w:val="nil"/>
            </w:tcBorders>
            <w:vAlign w:val="center"/>
          </w:tcPr>
          <w:p w:rsidR="00C10C05" w:rsidRPr="00DA7725" w:rsidRDefault="00C10C05" w:rsidP="00454F01">
            <w:pPr>
              <w:pStyle w:val="tytuwykresu"/>
              <w:spacing w:before="0" w:line="240" w:lineRule="auto"/>
              <w:jc w:val="center"/>
              <w:rPr>
                <w:b w:val="0"/>
                <w:sz w:val="16"/>
                <w:szCs w:val="16"/>
                <w:shd w:val="clear" w:color="auto" w:fill="FFFFFF"/>
              </w:rPr>
            </w:pPr>
            <w:r w:rsidRPr="00DA7725">
              <w:rPr>
                <w:rFonts w:cs="Arial"/>
                <w:b w:val="0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21" w:type="dxa"/>
            <w:gridSpan w:val="2"/>
            <w:tcBorders>
              <w:right w:val="nil"/>
            </w:tcBorders>
            <w:vAlign w:val="center"/>
          </w:tcPr>
          <w:p w:rsidR="00C10C05" w:rsidRPr="00DA7725" w:rsidRDefault="00C10C05" w:rsidP="00C10C05">
            <w:pPr>
              <w:pStyle w:val="tytuwykresu"/>
              <w:spacing w:before="60" w:after="60" w:line="240" w:lineRule="auto"/>
              <w:jc w:val="center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rFonts w:eastAsia="Calibri" w:cs="Arial"/>
                <w:b w:val="0"/>
                <w:sz w:val="16"/>
                <w:szCs w:val="16"/>
              </w:rPr>
              <w:t>I</w:t>
            </w:r>
            <w:r w:rsidRPr="00DA7725">
              <w:rPr>
                <w:rFonts w:eastAsia="Calibri" w:cs="Arial"/>
                <w:b w:val="0"/>
                <w:sz w:val="16"/>
                <w:szCs w:val="16"/>
              </w:rPr>
              <w:t xml:space="preserve"> 20</w:t>
            </w:r>
            <w:r>
              <w:rPr>
                <w:rFonts w:eastAsia="Calibri" w:cs="Arial"/>
                <w:b w:val="0"/>
                <w:sz w:val="16"/>
                <w:szCs w:val="16"/>
              </w:rPr>
              <w:t>20</w:t>
            </w:r>
          </w:p>
        </w:tc>
      </w:tr>
      <w:tr w:rsidR="00C10C05" w:rsidRPr="00DA7725" w:rsidTr="00C10C05">
        <w:trPr>
          <w:trHeight w:val="324"/>
          <w:jc w:val="center"/>
        </w:trPr>
        <w:tc>
          <w:tcPr>
            <w:tcW w:w="7132" w:type="dxa"/>
            <w:vMerge/>
            <w:tcBorders>
              <w:left w:val="nil"/>
            </w:tcBorders>
          </w:tcPr>
          <w:p w:rsidR="00C10C05" w:rsidRPr="00DA7725" w:rsidRDefault="00C10C05" w:rsidP="00454F01">
            <w:pPr>
              <w:pStyle w:val="tytuwykresu"/>
              <w:spacing w:before="0" w:line="240" w:lineRule="auto"/>
              <w:rPr>
                <w:b w:val="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614" w:type="dxa"/>
            <w:vAlign w:val="center"/>
          </w:tcPr>
          <w:p w:rsidR="00C10C05" w:rsidRPr="00DA7725" w:rsidRDefault="00C10C05" w:rsidP="00454F01">
            <w:pPr>
              <w:spacing w:before="60" w:after="60" w:line="240" w:lineRule="auto"/>
              <w:jc w:val="center"/>
              <w:rPr>
                <w:rFonts w:eastAsia="Calibri" w:cs="Arial"/>
                <w:sz w:val="16"/>
                <w:szCs w:val="16"/>
              </w:rPr>
            </w:pPr>
            <w:r w:rsidRPr="00DA7725">
              <w:rPr>
                <w:rFonts w:eastAsia="Calibri" w:cs="Arial"/>
                <w:sz w:val="16"/>
                <w:szCs w:val="16"/>
              </w:rPr>
              <w:t>w zł</w:t>
            </w:r>
          </w:p>
        </w:tc>
        <w:tc>
          <w:tcPr>
            <w:tcW w:w="1607" w:type="dxa"/>
            <w:tcBorders>
              <w:right w:val="nil"/>
            </w:tcBorders>
            <w:vAlign w:val="center"/>
          </w:tcPr>
          <w:p w:rsidR="00C10C05" w:rsidRPr="00DA7725" w:rsidRDefault="00C10C05" w:rsidP="00454F01">
            <w:pPr>
              <w:spacing w:before="60" w:after="60" w:line="240" w:lineRule="auto"/>
              <w:jc w:val="center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I 2019</w:t>
            </w:r>
            <w:r w:rsidRPr="00DA7725">
              <w:rPr>
                <w:rFonts w:eastAsia="Calibri" w:cs="Arial"/>
                <w:sz w:val="16"/>
                <w:szCs w:val="16"/>
              </w:rPr>
              <w:t xml:space="preserve"> = 100</w:t>
            </w:r>
          </w:p>
        </w:tc>
      </w:tr>
      <w:tr w:rsidR="00C10C05" w:rsidRPr="00DA7725" w:rsidTr="002747E1">
        <w:trPr>
          <w:trHeight w:val="357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120"/>
              <w:rPr>
                <w:sz w:val="16"/>
                <w:szCs w:val="16"/>
                <w:shd w:val="clear" w:color="auto" w:fill="FFFFFF"/>
              </w:rPr>
            </w:pPr>
            <w:r w:rsidRPr="00CA17B4">
              <w:rPr>
                <w:rFonts w:eastAsia="Times New Roman" w:cs="Times New Roman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614" w:type="dxa"/>
            <w:vAlign w:val="bottom"/>
          </w:tcPr>
          <w:p w:rsidR="00C10C05" w:rsidRPr="00C10C05" w:rsidRDefault="00C10C05" w:rsidP="002747E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C10C05">
              <w:rPr>
                <w:b/>
                <w:sz w:val="16"/>
                <w:szCs w:val="16"/>
              </w:rPr>
              <w:t>4465,39</w:t>
            </w:r>
          </w:p>
        </w:tc>
        <w:tc>
          <w:tcPr>
            <w:tcW w:w="1607" w:type="dxa"/>
            <w:tcBorders>
              <w:right w:val="nil"/>
            </w:tcBorders>
            <w:vAlign w:val="bottom"/>
          </w:tcPr>
          <w:p w:rsidR="00C10C05" w:rsidRPr="00C10C05" w:rsidRDefault="00C10C05" w:rsidP="002747E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C10C05">
              <w:rPr>
                <w:b/>
                <w:sz w:val="16"/>
                <w:szCs w:val="16"/>
              </w:rPr>
              <w:t>107,2</w:t>
            </w:r>
          </w:p>
        </w:tc>
      </w:tr>
      <w:tr w:rsidR="00C10C05" w:rsidRPr="00DA7725" w:rsidTr="00C10C05">
        <w:trPr>
          <w:trHeight w:val="260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B261D6">
            <w:pPr>
              <w:pStyle w:val="tytuwykresu"/>
              <w:spacing w:before="20"/>
              <w:ind w:left="226" w:hanging="113"/>
              <w:rPr>
                <w:b w:val="0"/>
                <w:sz w:val="16"/>
                <w:szCs w:val="16"/>
                <w:shd w:val="clear" w:color="auto" w:fill="FFFFFF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w tym: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</w:tr>
      <w:tr w:rsidR="00C10C05" w:rsidRPr="00DA7725" w:rsidTr="00C10C05">
        <w:trPr>
          <w:trHeight w:val="342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rPr>
                <w:b w:val="0"/>
                <w:sz w:val="16"/>
                <w:szCs w:val="16"/>
                <w:shd w:val="clear" w:color="auto" w:fill="FFFFFF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Przemysł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4797,85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106,8</w:t>
            </w:r>
          </w:p>
        </w:tc>
      </w:tr>
      <w:tr w:rsidR="00C10C05" w:rsidRPr="00DA7725" w:rsidTr="00C10C05">
        <w:trPr>
          <w:trHeight w:val="284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9594E">
            <w:pPr>
              <w:pStyle w:val="tytuwykresu"/>
              <w:spacing w:before="0"/>
              <w:ind w:left="397" w:hanging="113"/>
              <w:rPr>
                <w:b w:val="0"/>
                <w:sz w:val="16"/>
                <w:szCs w:val="16"/>
                <w:shd w:val="clear" w:color="auto" w:fill="FFFFFF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w tym: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</w:tr>
      <w:tr w:rsidR="00C10C05" w:rsidRPr="00DA7725" w:rsidTr="00C10C05">
        <w:trPr>
          <w:trHeight w:val="237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ind w:left="226" w:hanging="113"/>
              <w:rPr>
                <w:b w:val="0"/>
                <w:sz w:val="16"/>
                <w:szCs w:val="16"/>
                <w:shd w:val="clear" w:color="auto" w:fill="FFFFFF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przetwórstwo przemysłowe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4774,78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107,5</w:t>
            </w:r>
          </w:p>
        </w:tc>
      </w:tr>
      <w:tr w:rsidR="00C10C05" w:rsidRPr="00DA7725" w:rsidTr="00C10C05">
        <w:trPr>
          <w:trHeight w:val="249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ind w:left="113"/>
              <w:rPr>
                <w:b w:val="0"/>
                <w:sz w:val="16"/>
                <w:szCs w:val="16"/>
                <w:shd w:val="clear" w:color="auto" w:fill="FFFFFF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 xml:space="preserve">dostawa wody; gospodarowanie ściekami i odpadami; rekultywacja </w:t>
            </w:r>
            <w:r w:rsidRPr="00CA17B4">
              <w:rPr>
                <w:rFonts w:eastAsia="Calibri" w:cs="Arial"/>
                <w:b w:val="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4455,61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103,2</w:t>
            </w:r>
          </w:p>
        </w:tc>
      </w:tr>
      <w:tr w:rsidR="00C10C05" w:rsidRPr="00DA7725" w:rsidTr="00C10C05">
        <w:trPr>
          <w:trHeight w:val="237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Budownictwo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4227,20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107,1</w:t>
            </w:r>
          </w:p>
        </w:tc>
      </w:tr>
      <w:tr w:rsidR="00C10C05" w:rsidRPr="00DA7725" w:rsidTr="00C10C05">
        <w:trPr>
          <w:trHeight w:val="237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 xml:space="preserve">Handel; naprawa pojazdów samochodowych </w:t>
            </w:r>
            <w:r w:rsidRPr="00CA17B4">
              <w:rPr>
                <w:rFonts w:eastAsia="Calibri" w:cs="Arial"/>
                <w:b w:val="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4079,54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107,4</w:t>
            </w:r>
          </w:p>
        </w:tc>
      </w:tr>
      <w:tr w:rsidR="00C10C05" w:rsidRPr="00DA7725" w:rsidTr="00C10C05">
        <w:trPr>
          <w:trHeight w:val="237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Transport i gospodarka magazynowa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3641,30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103,8</w:t>
            </w:r>
          </w:p>
        </w:tc>
      </w:tr>
      <w:tr w:rsidR="00C10C05" w:rsidRPr="00DA7725" w:rsidTr="00C10C05">
        <w:trPr>
          <w:trHeight w:val="249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 xml:space="preserve">Zakwaterowanie i gastronomia </w:t>
            </w:r>
            <w:r w:rsidRPr="00CA17B4">
              <w:rPr>
                <w:rFonts w:eastAsia="Calibri" w:cs="Arial"/>
                <w:b w:val="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3357,93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105,3</w:t>
            </w:r>
          </w:p>
        </w:tc>
      </w:tr>
      <w:tr w:rsidR="00C10C05" w:rsidRPr="00DA7725" w:rsidTr="00C10C05">
        <w:trPr>
          <w:trHeight w:val="74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2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Informacja i komunikacja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4700,25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113,0</w:t>
            </w:r>
          </w:p>
        </w:tc>
      </w:tr>
      <w:tr w:rsidR="00C10C05" w:rsidRPr="00DA7725" w:rsidTr="00C10C05">
        <w:trPr>
          <w:trHeight w:val="260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2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 xml:space="preserve">Obsługa rynku nieruchomości </w:t>
            </w:r>
            <w:r w:rsidRPr="00CA17B4">
              <w:rPr>
                <w:rFonts w:eastAsia="Calibri" w:cs="Arial"/>
                <w:b w:val="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14" w:type="dxa"/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5790,85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C10C05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C10C05">
              <w:rPr>
                <w:sz w:val="16"/>
                <w:szCs w:val="16"/>
              </w:rPr>
              <w:t>103,2</w:t>
            </w:r>
          </w:p>
        </w:tc>
      </w:tr>
      <w:tr w:rsidR="00C10C05" w:rsidRPr="00DA7725" w:rsidTr="00C10C05">
        <w:trPr>
          <w:trHeight w:val="260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2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>Działalność profesjonalna, naukowa i techniczna</w:t>
            </w:r>
            <w:r w:rsidRPr="00CA17B4">
              <w:rPr>
                <w:rFonts w:eastAsia="Calibri" w:cs="Arial"/>
                <w:b w:val="0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614" w:type="dxa"/>
          </w:tcPr>
          <w:p w:rsidR="00C10C05" w:rsidRPr="0086664B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6664B">
              <w:rPr>
                <w:sz w:val="16"/>
                <w:szCs w:val="16"/>
              </w:rPr>
              <w:t>3834,10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86664B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6664B">
              <w:rPr>
                <w:sz w:val="16"/>
                <w:szCs w:val="16"/>
              </w:rPr>
              <w:t>100,3</w:t>
            </w:r>
          </w:p>
        </w:tc>
      </w:tr>
      <w:tr w:rsidR="00C10C05" w:rsidRPr="00DA7725" w:rsidTr="00C10C05">
        <w:trPr>
          <w:trHeight w:val="271"/>
          <w:jc w:val="center"/>
        </w:trPr>
        <w:tc>
          <w:tcPr>
            <w:tcW w:w="7132" w:type="dxa"/>
            <w:tcBorders>
              <w:left w:val="nil"/>
            </w:tcBorders>
            <w:vAlign w:val="bottom"/>
          </w:tcPr>
          <w:p w:rsidR="00C10C05" w:rsidRPr="00CA17B4" w:rsidRDefault="00C10C05" w:rsidP="00C10C05">
            <w:pPr>
              <w:pStyle w:val="tytuwykresu"/>
              <w:spacing w:before="20"/>
              <w:rPr>
                <w:rFonts w:eastAsia="Calibri" w:cs="Arial"/>
                <w:b w:val="0"/>
                <w:sz w:val="16"/>
                <w:szCs w:val="16"/>
              </w:rPr>
            </w:pPr>
            <w:r w:rsidRPr="00CA17B4">
              <w:rPr>
                <w:rFonts w:eastAsia="Calibri" w:cs="Arial"/>
                <w:b w:val="0"/>
                <w:sz w:val="16"/>
                <w:szCs w:val="16"/>
              </w:rPr>
              <w:t xml:space="preserve">Administrowanie i działalność wspierająca </w:t>
            </w:r>
            <w:r w:rsidRPr="00CA17B4">
              <w:rPr>
                <w:rFonts w:eastAsia="Calibri" w:cs="Arial"/>
                <w:b w:val="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14" w:type="dxa"/>
          </w:tcPr>
          <w:p w:rsidR="00C10C05" w:rsidRPr="0086664B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6664B">
              <w:rPr>
                <w:sz w:val="16"/>
                <w:szCs w:val="16"/>
              </w:rPr>
              <w:t>3185,73</w:t>
            </w:r>
          </w:p>
        </w:tc>
        <w:tc>
          <w:tcPr>
            <w:tcW w:w="1607" w:type="dxa"/>
            <w:tcBorders>
              <w:right w:val="nil"/>
            </w:tcBorders>
          </w:tcPr>
          <w:p w:rsidR="00C10C05" w:rsidRPr="0086664B" w:rsidRDefault="00C10C05" w:rsidP="0086664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6664B">
              <w:rPr>
                <w:sz w:val="16"/>
                <w:szCs w:val="16"/>
              </w:rPr>
              <w:t>118,7</w:t>
            </w:r>
          </w:p>
        </w:tc>
      </w:tr>
    </w:tbl>
    <w:p w:rsidR="00284CE4" w:rsidRDefault="00284CE4" w:rsidP="00317D96">
      <w:pPr>
        <w:ind w:firstLine="227"/>
        <w:jc w:val="both"/>
        <w:rPr>
          <w:rFonts w:cs="Arial"/>
        </w:rPr>
      </w:pPr>
      <w:r w:rsidRPr="00CC3A43">
        <w:rPr>
          <w:rFonts w:eastAsia="Calibri" w:cs="Arial"/>
          <w:i/>
          <w:sz w:val="16"/>
          <w:szCs w:val="16"/>
          <w:vertAlign w:val="superscript"/>
        </w:rPr>
        <w:t>a</w:t>
      </w:r>
      <w:r w:rsidRPr="00F31CEF">
        <w:rPr>
          <w:rFonts w:eastAsia="Calibri" w:cs="Arial"/>
          <w:i/>
          <w:sz w:val="16"/>
          <w:szCs w:val="16"/>
        </w:rPr>
        <w:t xml:space="preserve"> </w:t>
      </w:r>
      <w:r w:rsidRPr="00F31CEF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86664B" w:rsidRDefault="00565E83" w:rsidP="00EE59E1">
      <w:pPr>
        <w:pageBreakBefore/>
      </w:pPr>
      <w:r>
        <w:rPr>
          <w:noProof/>
          <w:lang w:eastAsia="pl-PL"/>
        </w:rPr>
        <w:lastRenderedPageBreak/>
        <w:drawing>
          <wp:inline distT="0" distB="0" distL="0" distR="0" wp14:anchorId="798576C2" wp14:editId="58B30001">
            <wp:extent cx="6645910" cy="3152140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86664B" w:rsidRPr="0086664B">
        <w:t xml:space="preserve">W styczniu 2020 r. przeciętne miesięczne wynagrodzenie brutto, znacznie przekraczające średnie w województwie wypłacono </w:t>
      </w:r>
      <w:r w:rsidR="002C2824">
        <w:t xml:space="preserve">pracującym </w:t>
      </w:r>
      <w:r w:rsidR="002C2824" w:rsidRPr="0086664B">
        <w:t xml:space="preserve">w </w:t>
      </w:r>
      <w:r w:rsidR="0086664B" w:rsidRPr="0086664B">
        <w:t>obsłudze rynku nieruchomości (o</w:t>
      </w:r>
      <w:r w:rsidR="0086664B">
        <w:t> </w:t>
      </w:r>
      <w:r w:rsidR="0086664B" w:rsidRPr="0086664B">
        <w:t>29,7%)</w:t>
      </w:r>
      <w:r w:rsidR="0086664B">
        <w:t>.</w:t>
      </w:r>
      <w:r w:rsidR="0086664B" w:rsidRPr="0086664B">
        <w:t xml:space="preserve"> W wyraźnie mniejszym stopniu różnice te zanotowano w</w:t>
      </w:r>
      <w:r w:rsidR="002C2824">
        <w:t> </w:t>
      </w:r>
      <w:r w:rsidR="0086664B" w:rsidRPr="0086664B">
        <w:t>przetwórstwie przemysłowym (o 6,9%) oraz informacj</w:t>
      </w:r>
      <w:r w:rsidR="005C6555">
        <w:t>i</w:t>
      </w:r>
      <w:r w:rsidR="0086664B" w:rsidRPr="0086664B">
        <w:t xml:space="preserve"> i komunikacj</w:t>
      </w:r>
      <w:r w:rsidR="005C6555">
        <w:t>i</w:t>
      </w:r>
      <w:r w:rsidR="0086664B" w:rsidRPr="0086664B">
        <w:t xml:space="preserve"> (o 5,3%). Z kolei najniższe wynagrodzenie, znacznie poniżej średniego, otrzymali zatrudnieni w administrowaniu i działalności wspierającej (o 28,7%) oraz zakwaterowaniu i</w:t>
      </w:r>
      <w:r w:rsidR="002C2824">
        <w:t> </w:t>
      </w:r>
      <w:r w:rsidR="0086664B" w:rsidRPr="0086664B">
        <w:t>gastronomii (o 24,8%).</w:t>
      </w:r>
    </w:p>
    <w:p w:rsidR="0086664B" w:rsidRPr="00C910AD" w:rsidRDefault="00C910AD" w:rsidP="0086664B">
      <w:pPr>
        <w:tabs>
          <w:tab w:val="left" w:pos="1027"/>
        </w:tabs>
        <w:spacing w:before="480" w:after="0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1597114</wp:posOffset>
            </wp:positionV>
            <wp:extent cx="6645910" cy="2343150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86664B" w:rsidRPr="00335735">
        <w:rPr>
          <w:b/>
        </w:rPr>
        <w:t>Wykres 5. Odchylenia względne przeciętnych miesięcznych wynagrodzeń brutto w sekcjach od przeciętnego</w:t>
      </w:r>
      <w:r w:rsidR="0086664B" w:rsidRPr="00335735">
        <w:rPr>
          <w:b/>
        </w:rPr>
        <w:br/>
        <w:t xml:space="preserve">                    wynagrodzenia w sektorze przedsiębiorstw </w:t>
      </w:r>
      <w:r w:rsidR="0086664B">
        <w:rPr>
          <w:b/>
        </w:rPr>
        <w:t xml:space="preserve">w </w:t>
      </w:r>
      <w:r w:rsidR="00565E83">
        <w:rPr>
          <w:b/>
        </w:rPr>
        <w:t xml:space="preserve">styczniu 2020 </w:t>
      </w:r>
      <w:r w:rsidR="0086664B" w:rsidRPr="00335735">
        <w:rPr>
          <w:b/>
        </w:rPr>
        <w:t xml:space="preserve">r. </w:t>
      </w:r>
      <w:r w:rsidR="000564EC">
        <w:rPr>
          <w:b/>
        </w:rPr>
        <w:t xml:space="preserve"> </w:t>
      </w:r>
    </w:p>
    <w:p w:rsidR="00983C62" w:rsidRDefault="00983C62" w:rsidP="00C910AD">
      <w:pPr>
        <w:tabs>
          <w:tab w:val="left" w:pos="1027"/>
        </w:tabs>
        <w:spacing w:before="360" w:after="0"/>
        <w:rPr>
          <w:b/>
        </w:rPr>
      </w:pPr>
    </w:p>
    <w:p w:rsidR="00284CE4" w:rsidRPr="00006F36" w:rsidRDefault="00284CE4" w:rsidP="005053B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735BDC" w:rsidRPr="00BB08E2" w:rsidRDefault="00735BDC" w:rsidP="00735BDC">
      <w:pPr>
        <w:rPr>
          <w:shd w:val="clear" w:color="auto" w:fill="FFFFFF"/>
        </w:rPr>
      </w:pPr>
      <w:r w:rsidRPr="004926FC">
        <w:rPr>
          <w:shd w:val="clear" w:color="auto" w:fill="FFFFFF"/>
        </w:rPr>
        <w:t xml:space="preserve">Na rynku rolnym w styczniu 2020 r. przeciętne ceny skupu produktów roślinnych były na ogół wyższe niż przed miesiącem. W ujęciu rocznym mniej płacono za pszenicę i żywiec wołowy, natomiast więcej – za </w:t>
      </w:r>
      <w:r w:rsidR="002965B1">
        <w:rPr>
          <w:shd w:val="clear" w:color="auto" w:fill="FFFFFF"/>
        </w:rPr>
        <w:t xml:space="preserve">żyto, </w:t>
      </w:r>
      <w:r w:rsidRPr="004926FC">
        <w:rPr>
          <w:shd w:val="clear" w:color="auto" w:fill="FFFFFF"/>
        </w:rPr>
        <w:t>ziemniaki, żywiec wieprzowy</w:t>
      </w:r>
      <w:r w:rsidR="002965B1">
        <w:rPr>
          <w:shd w:val="clear" w:color="auto" w:fill="FFFFFF"/>
        </w:rPr>
        <w:t xml:space="preserve"> </w:t>
      </w:r>
      <w:r w:rsidRPr="004926FC">
        <w:rPr>
          <w:shd w:val="clear" w:color="auto" w:fill="FFFFFF"/>
        </w:rPr>
        <w:t xml:space="preserve">i drobiowy oraz </w:t>
      </w:r>
      <w:r w:rsidRPr="00BB08E2">
        <w:rPr>
          <w:shd w:val="clear" w:color="auto" w:fill="FFFFFF"/>
        </w:rPr>
        <w:t xml:space="preserve">mleko. Pogorszyła się opłacalność tuczu trzody chlewnej </w:t>
      </w:r>
    </w:p>
    <w:p w:rsidR="00735BDC" w:rsidRPr="00493F69" w:rsidRDefault="00735BDC" w:rsidP="00735BDC">
      <w:pPr>
        <w:rPr>
          <w:shd w:val="clear" w:color="auto" w:fill="FFFFFF"/>
        </w:rPr>
      </w:pPr>
      <w:r w:rsidRPr="00493F69">
        <w:rPr>
          <w:shd w:val="clear" w:color="auto" w:fill="FFFFFF"/>
        </w:rPr>
        <w:t>W styczniu 2020 r. średnia temperatura powietrza na obszarze województwa świętokrzyskiego wyniosła 0,7°C i była o 3,2°C wyższa od przeciętnej z lat 1971-2000, przy czym maksymalna temperatura osiągnęła 9,5°C (w Sandomierzu), a minimalna wyniosła minus 7,7°C (w Kielcach). Średnia suma opadów atmosferycznych (ok. 19 mm) stanowiła 63% normy z wielolecia</w:t>
      </w:r>
      <w:r w:rsidRPr="00493F69">
        <w:rPr>
          <w:rStyle w:val="Odwoanieprzypisudolnego"/>
          <w:i/>
        </w:rPr>
        <w:footnoteReference w:id="1"/>
      </w:r>
      <w:r w:rsidRPr="00493F69">
        <w:rPr>
          <w:rFonts w:cs="Arial"/>
        </w:rPr>
        <w:t xml:space="preserve">. </w:t>
      </w:r>
      <w:r w:rsidRPr="00493F69">
        <w:rPr>
          <w:shd w:val="clear" w:color="auto" w:fill="FFFFFF"/>
        </w:rPr>
        <w:t>Liczba dni z opadami, w zależności od regionu, wynosiła od 7 do 12.</w:t>
      </w:r>
    </w:p>
    <w:p w:rsidR="00735BDC" w:rsidRPr="00FF7015" w:rsidRDefault="00735BDC" w:rsidP="00735BDC">
      <w:pPr>
        <w:pStyle w:val="tytuwykresu"/>
        <w:jc w:val="both"/>
        <w:rPr>
          <w:shd w:val="clear" w:color="auto" w:fill="FFFFFF"/>
        </w:rPr>
      </w:pPr>
      <w:r w:rsidRPr="00FF7015">
        <w:rPr>
          <w:shd w:val="clear" w:color="auto" w:fill="FFFFFF"/>
        </w:rPr>
        <w:t>Tablica 5. Skup zbóż</w:t>
      </w:r>
      <w:r w:rsidRPr="00FF7015">
        <w:rPr>
          <w:shd w:val="clear" w:color="auto" w:fill="FFFFFF"/>
          <w:vertAlign w:val="superscript"/>
        </w:rPr>
        <w:t>a</w:t>
      </w:r>
      <w:r w:rsidRPr="00FF7015">
        <w:rPr>
          <w:shd w:val="clear" w:color="auto" w:fill="FFFFFF"/>
        </w:rPr>
        <w:t xml:space="preserve"> </w:t>
      </w:r>
    </w:p>
    <w:p w:rsidR="00735BDC" w:rsidRPr="00FF7015" w:rsidRDefault="00735BDC" w:rsidP="00735BDC">
      <w:pPr>
        <w:pStyle w:val="tytuwykresu"/>
        <w:spacing w:before="120" w:after="120"/>
        <w:jc w:val="both"/>
        <w:rPr>
          <w:b w:val="0"/>
          <w:sz w:val="18"/>
          <w:shd w:val="clear" w:color="auto" w:fill="FFFFFF"/>
        </w:rPr>
      </w:pP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47"/>
        <w:gridCol w:w="1440"/>
        <w:gridCol w:w="1545"/>
        <w:gridCol w:w="1438"/>
        <w:gridCol w:w="1452"/>
        <w:gridCol w:w="1445"/>
      </w:tblGrid>
      <w:tr w:rsidR="00735BDC" w:rsidRPr="00FF7015" w:rsidTr="00C10C05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35BDC" w:rsidRPr="00FF7015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F701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FF7015" w:rsidRDefault="00735BDC" w:rsidP="00EE59E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F7015">
              <w:rPr>
                <w:rFonts w:ascii="Fira Sans" w:hAnsi="Fira Sans"/>
                <w:color w:val="auto"/>
                <w:sz w:val="16"/>
                <w:szCs w:val="16"/>
              </w:rPr>
              <w:t>VII 2019-I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FF7015" w:rsidRDefault="00735BDC" w:rsidP="00EE59E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F7015">
              <w:rPr>
                <w:rFonts w:ascii="Fira Sans" w:hAnsi="Fira Sans"/>
                <w:color w:val="auto"/>
                <w:sz w:val="16"/>
                <w:szCs w:val="16"/>
              </w:rPr>
              <w:t>I 2020</w:t>
            </w:r>
          </w:p>
        </w:tc>
      </w:tr>
      <w:tr w:rsidR="00735BDC" w:rsidRPr="00157A49" w:rsidTr="00C10C05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57A4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57A49">
              <w:rPr>
                <w:sz w:val="16"/>
                <w:szCs w:val="16"/>
              </w:rPr>
              <w:t>analogiczny</w:t>
            </w:r>
            <w:r w:rsidRPr="00157A49">
              <w:rPr>
                <w:sz w:val="16"/>
                <w:szCs w:val="16"/>
              </w:rPr>
              <w:br/>
              <w:t>okres roku</w:t>
            </w:r>
            <w:r w:rsidRPr="00157A49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57A4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57A49">
              <w:rPr>
                <w:sz w:val="16"/>
                <w:szCs w:val="16"/>
              </w:rPr>
              <w:t>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57A49">
              <w:rPr>
                <w:sz w:val="16"/>
                <w:szCs w:val="16"/>
              </w:rPr>
              <w:t>XII 2019 = 100</w:t>
            </w:r>
          </w:p>
        </w:tc>
      </w:tr>
      <w:tr w:rsidR="00735BDC" w:rsidRPr="00157A49" w:rsidTr="00C10C05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pStyle w:val="Tekstpodstawowy"/>
              <w:tabs>
                <w:tab w:val="right" w:leader="dot" w:pos="1911"/>
              </w:tabs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7A49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157A4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7A49">
              <w:rPr>
                <w:rFonts w:cs="Arial"/>
                <w:sz w:val="16"/>
                <w:szCs w:val="16"/>
              </w:rPr>
              <w:t>31,6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7A4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7A4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7A49">
              <w:rPr>
                <w:rFonts w:cs="Arial"/>
                <w:sz w:val="16"/>
                <w:szCs w:val="16"/>
              </w:rPr>
              <w:t>156,9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57A49">
              <w:rPr>
                <w:rFonts w:cs="Arial"/>
                <w:sz w:val="16"/>
                <w:szCs w:val="16"/>
              </w:rPr>
              <w:t>137,4</w:t>
            </w:r>
          </w:p>
        </w:tc>
      </w:tr>
      <w:tr w:rsidR="00735BDC" w:rsidRPr="00157A49" w:rsidTr="00C10C05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157A49" w:rsidRDefault="00735BDC" w:rsidP="00EE59E1">
            <w:pPr>
              <w:pStyle w:val="Tekstpodstawowy"/>
              <w:tabs>
                <w:tab w:val="right" w:leader="dot" w:pos="1911"/>
              </w:tabs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7A4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157A49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5BDC" w:rsidRPr="00C23761" w:rsidTr="00C10C05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C23761" w:rsidRDefault="00735BDC" w:rsidP="00EE59E1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23761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170,5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122,5</w:t>
            </w:r>
          </w:p>
        </w:tc>
      </w:tr>
      <w:tr w:rsidR="00735BDC" w:rsidRPr="00C23761" w:rsidTr="00C10C05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C23761" w:rsidRDefault="00735BDC" w:rsidP="00EE59E1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23761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254,9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754-krotnie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23761" w:rsidRDefault="00735BDC" w:rsidP="00C10C0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23761">
              <w:rPr>
                <w:rFonts w:cs="Arial"/>
                <w:sz w:val="16"/>
                <w:szCs w:val="16"/>
              </w:rPr>
              <w:t>285,6</w:t>
            </w:r>
          </w:p>
        </w:tc>
      </w:tr>
    </w:tbl>
    <w:p w:rsidR="00735BDC" w:rsidRPr="000B580B" w:rsidRDefault="00735BDC" w:rsidP="00735BDC">
      <w:pPr>
        <w:spacing w:line="240" w:lineRule="auto"/>
        <w:ind w:left="227"/>
        <w:rPr>
          <w:rFonts w:cs="Arial"/>
          <w:sz w:val="16"/>
          <w:szCs w:val="16"/>
        </w:rPr>
      </w:pPr>
      <w:r w:rsidRPr="00C23761">
        <w:rPr>
          <w:rFonts w:cs="Arial"/>
          <w:sz w:val="16"/>
          <w:szCs w:val="16"/>
          <w:vertAlign w:val="superscript"/>
        </w:rPr>
        <w:t>a</w:t>
      </w:r>
      <w:r w:rsidRPr="00C23761">
        <w:rPr>
          <w:rFonts w:cs="Arial"/>
          <w:sz w:val="16"/>
          <w:szCs w:val="16"/>
        </w:rPr>
        <w:t xml:space="preserve"> Bez skupu realizowanego przez osoby fizyczne. </w:t>
      </w:r>
      <w:r w:rsidRPr="00C23761">
        <w:rPr>
          <w:rFonts w:cs="Arial"/>
          <w:sz w:val="16"/>
          <w:szCs w:val="16"/>
          <w:vertAlign w:val="superscript"/>
        </w:rPr>
        <w:t>b</w:t>
      </w:r>
      <w:r w:rsidRPr="00C23761">
        <w:rPr>
          <w:rFonts w:cs="Arial"/>
          <w:sz w:val="16"/>
          <w:szCs w:val="16"/>
        </w:rPr>
        <w:t xml:space="preserve"> Obejmuje: pszenicę, żyto, jęczmień, owies, pszenżyto; łącznie z mieszankami zbożowymi,</w:t>
      </w:r>
      <w:r w:rsidRPr="000B580B">
        <w:rPr>
          <w:rFonts w:cs="Arial"/>
          <w:sz w:val="16"/>
          <w:szCs w:val="16"/>
        </w:rPr>
        <w:t xml:space="preserve"> bez ziarna siewnego.</w:t>
      </w:r>
    </w:p>
    <w:p w:rsidR="00735BDC" w:rsidRPr="00C23761" w:rsidRDefault="00735BDC" w:rsidP="002C59A9">
      <w:pPr>
        <w:pageBreakBefore/>
        <w:rPr>
          <w:shd w:val="clear" w:color="auto" w:fill="FFFFFF"/>
        </w:rPr>
      </w:pPr>
      <w:r w:rsidRPr="00C23761">
        <w:rPr>
          <w:shd w:val="clear" w:color="auto" w:fill="FFFFFF"/>
        </w:rPr>
        <w:lastRenderedPageBreak/>
        <w:t xml:space="preserve">W okresie lipiec 2019 r.-styczeń 2020 r. </w:t>
      </w:r>
      <w:r w:rsidRPr="00C23761">
        <w:rPr>
          <w:b/>
          <w:shd w:val="clear" w:color="auto" w:fill="FFFFFF"/>
        </w:rPr>
        <w:t>skup zbóż podstawowych</w:t>
      </w:r>
      <w:r w:rsidRPr="00C23761">
        <w:rPr>
          <w:shd w:val="clear" w:color="auto" w:fill="FFFFFF"/>
        </w:rPr>
        <w:t xml:space="preserve"> (z mieszankami zbożowymi, bez ziarna siewnego) wyniósł 31,6 tys. t i był o 3,8% większy niż odpowiednio przed rokiem. Skup pszenicy w tym okresie był o 3,1% mniejszy,</w:t>
      </w:r>
      <w:r w:rsidRPr="00C23761">
        <w:rPr>
          <w:shd w:val="clear" w:color="auto" w:fill="FFFFFF"/>
        </w:rPr>
        <w:br/>
        <w:t>a żyta o 154,9% większy. W styczniu 2020 r. dostawy zbóż do skupu były większe niż przed rokiem i przed miesiącem odpowiednio: o 56,9% i o 37,4%.</w:t>
      </w:r>
    </w:p>
    <w:p w:rsidR="00735BDC" w:rsidRPr="009F42D7" w:rsidRDefault="00735BDC" w:rsidP="002C59A9">
      <w:pPr>
        <w:pStyle w:val="tytuwykresu"/>
        <w:rPr>
          <w:shd w:val="clear" w:color="auto" w:fill="FFFFFF"/>
        </w:rPr>
      </w:pPr>
      <w:r w:rsidRPr="009F42D7">
        <w:rPr>
          <w:shd w:val="clear" w:color="auto" w:fill="FFFFFF"/>
        </w:rPr>
        <w:t>Tablica 6. Skup podstawowych produktów zwierzęcych</w:t>
      </w:r>
      <w:r w:rsidRPr="009F42D7">
        <w:rPr>
          <w:shd w:val="clear" w:color="auto" w:fill="FFFFFF"/>
          <w:vertAlign w:val="superscript"/>
        </w:rPr>
        <w:t>a</w:t>
      </w:r>
      <w:r w:rsidRPr="009F42D7">
        <w:rPr>
          <w:shd w:val="clear" w:color="auto" w:fill="FFFFFF"/>
        </w:rPr>
        <w:t xml:space="preserve"> </w:t>
      </w:r>
    </w:p>
    <w:p w:rsidR="00735BDC" w:rsidRPr="009F42D7" w:rsidRDefault="00735BDC" w:rsidP="00735BDC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33"/>
        <w:gridCol w:w="2438"/>
        <w:gridCol w:w="2438"/>
        <w:gridCol w:w="2581"/>
      </w:tblGrid>
      <w:tr w:rsidR="00735BDC" w:rsidRPr="00912150" w:rsidTr="00C10C05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35BDC" w:rsidRPr="00912150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1215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45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912150" w:rsidRDefault="00735BDC" w:rsidP="00C10C05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 2020</w:t>
            </w:r>
          </w:p>
        </w:tc>
      </w:tr>
      <w:tr w:rsidR="00735BDC" w:rsidRPr="00912150" w:rsidTr="00C10C05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967767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967767" w:rsidRDefault="00735BDC" w:rsidP="00C10C05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w tys. t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967767" w:rsidRDefault="00735BDC" w:rsidP="00C10C05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I 201</w:t>
            </w:r>
            <w:r>
              <w:rPr>
                <w:sz w:val="16"/>
                <w:szCs w:val="16"/>
              </w:rPr>
              <w:t>9</w:t>
            </w:r>
            <w:r w:rsidRPr="00967767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967767" w:rsidRDefault="00735BDC" w:rsidP="00C10C05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XII 201</w:t>
            </w:r>
            <w:r>
              <w:rPr>
                <w:sz w:val="16"/>
                <w:szCs w:val="16"/>
              </w:rPr>
              <w:t>9</w:t>
            </w:r>
            <w:r w:rsidRPr="00967767">
              <w:rPr>
                <w:sz w:val="16"/>
                <w:szCs w:val="16"/>
              </w:rPr>
              <w:t xml:space="preserve"> = 100</w:t>
            </w:r>
          </w:p>
        </w:tc>
      </w:tr>
      <w:tr w:rsidR="00735BDC" w:rsidRPr="001F7297" w:rsidTr="00C10C0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231680" w:rsidRDefault="00735BDC" w:rsidP="00C10C05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31680">
              <w:rPr>
                <w:rFonts w:ascii="Fira Sans" w:hAnsi="Fira Sans"/>
                <w:sz w:val="16"/>
                <w:szCs w:val="16"/>
              </w:rPr>
              <w:t>Żywiec rzeźny</w:t>
            </w:r>
            <w:r w:rsidRPr="00231680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231680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F7297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F7297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F7297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F7297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F7297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1F7297">
              <w:rPr>
                <w:rFonts w:cs="Arial"/>
                <w:sz w:val="16"/>
                <w:szCs w:val="16"/>
              </w:rPr>
              <w:t>74,3</w:t>
            </w:r>
          </w:p>
        </w:tc>
      </w:tr>
      <w:tr w:rsidR="00735BDC" w:rsidRPr="001F7297" w:rsidTr="00C10C0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231680" w:rsidRDefault="00735BDC" w:rsidP="00C10C05">
            <w:pPr>
              <w:pStyle w:val="Tekstpodstawowy"/>
              <w:tabs>
                <w:tab w:val="right" w:leader="dot" w:pos="1911"/>
              </w:tabs>
              <w:spacing w:line="23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3168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F7297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F7297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F7297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5BDC" w:rsidRPr="006B75AB" w:rsidTr="00C10C0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48059B" w:rsidRDefault="00735BDC" w:rsidP="00C10C05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8059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78,7</w:t>
            </w:r>
          </w:p>
        </w:tc>
      </w:tr>
      <w:tr w:rsidR="00735BDC" w:rsidRPr="006B75AB" w:rsidTr="00C10C0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48059B" w:rsidRDefault="00735BDC" w:rsidP="00C10C05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8059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83,2</w:t>
            </w:r>
          </w:p>
        </w:tc>
      </w:tr>
      <w:tr w:rsidR="00735BDC" w:rsidRPr="006B75AB" w:rsidTr="00C10C0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48059B" w:rsidRDefault="00735BDC" w:rsidP="00C10C05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8059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65,1</w:t>
            </w:r>
          </w:p>
        </w:tc>
      </w:tr>
      <w:tr w:rsidR="00735BDC" w:rsidRPr="006B75AB" w:rsidTr="00C10C05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48059B" w:rsidRDefault="00735BDC" w:rsidP="00C10C05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8059B">
              <w:rPr>
                <w:rFonts w:ascii="Fira Sans" w:hAnsi="Fira Sans"/>
                <w:sz w:val="16"/>
                <w:szCs w:val="16"/>
              </w:rPr>
              <w:t>Mleko</w:t>
            </w:r>
            <w:r w:rsidRPr="0048059B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48059B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21,9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B75AB" w:rsidRDefault="00735BDC" w:rsidP="00C10C05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B75AB">
              <w:rPr>
                <w:rFonts w:cs="Arial"/>
                <w:sz w:val="16"/>
                <w:szCs w:val="16"/>
              </w:rPr>
              <w:t>150,8</w:t>
            </w:r>
          </w:p>
        </w:tc>
      </w:tr>
    </w:tbl>
    <w:p w:rsidR="00735BDC" w:rsidRPr="009F42D7" w:rsidRDefault="00735BDC" w:rsidP="00735BDC">
      <w:pPr>
        <w:spacing w:after="0"/>
        <w:ind w:left="227"/>
        <w:rPr>
          <w:rFonts w:cs="Arial"/>
          <w:sz w:val="16"/>
          <w:szCs w:val="16"/>
        </w:rPr>
      </w:pPr>
      <w:r w:rsidRPr="009F42D7">
        <w:rPr>
          <w:rFonts w:cs="Arial"/>
          <w:sz w:val="16"/>
          <w:szCs w:val="16"/>
          <w:vertAlign w:val="superscript"/>
        </w:rPr>
        <w:t xml:space="preserve">a </w:t>
      </w:r>
      <w:r w:rsidRPr="009F42D7">
        <w:rPr>
          <w:rFonts w:cs="Arial"/>
          <w:sz w:val="16"/>
          <w:szCs w:val="16"/>
        </w:rPr>
        <w:t xml:space="preserve">Bez skupu realizowanego przez osoby fizyczne. </w:t>
      </w:r>
      <w:r w:rsidRPr="009F42D7">
        <w:rPr>
          <w:rFonts w:cs="Arial"/>
          <w:sz w:val="16"/>
          <w:szCs w:val="16"/>
          <w:vertAlign w:val="superscript"/>
        </w:rPr>
        <w:t>b</w:t>
      </w:r>
      <w:r w:rsidRPr="009F42D7">
        <w:rPr>
          <w:rFonts w:cs="Arial"/>
          <w:sz w:val="16"/>
          <w:szCs w:val="16"/>
        </w:rPr>
        <w:t xml:space="preserve"> Obejmuje bydło, cielęta, trzodę chlewną, owce, konie i drób;</w:t>
      </w:r>
      <w:r w:rsidR="002C59A9">
        <w:rPr>
          <w:rFonts w:cs="Arial"/>
          <w:sz w:val="16"/>
          <w:szCs w:val="16"/>
        </w:rPr>
        <w:t xml:space="preserve"> </w:t>
      </w:r>
      <w:r w:rsidRPr="009F42D7">
        <w:rPr>
          <w:rFonts w:cs="Arial"/>
          <w:sz w:val="16"/>
          <w:szCs w:val="16"/>
        </w:rPr>
        <w:t xml:space="preserve">w wadze żywej. </w:t>
      </w:r>
      <w:r w:rsidR="002C59A9">
        <w:rPr>
          <w:rFonts w:cs="Arial"/>
          <w:sz w:val="16"/>
          <w:szCs w:val="16"/>
        </w:rPr>
        <w:br/>
      </w:r>
      <w:r w:rsidRPr="009F42D7">
        <w:rPr>
          <w:rFonts w:cs="Arial"/>
          <w:sz w:val="16"/>
          <w:szCs w:val="16"/>
          <w:vertAlign w:val="superscript"/>
        </w:rPr>
        <w:t>c</w:t>
      </w:r>
      <w:r w:rsidRPr="009F42D7">
        <w:rPr>
          <w:rFonts w:cs="Arial"/>
          <w:sz w:val="16"/>
          <w:szCs w:val="16"/>
        </w:rPr>
        <w:t xml:space="preserve"> W milionach litrów.</w:t>
      </w:r>
    </w:p>
    <w:p w:rsidR="00735BDC" w:rsidRPr="006B75AB" w:rsidRDefault="00735BDC" w:rsidP="002C59A9">
      <w:pPr>
        <w:spacing w:before="0" w:after="0"/>
        <w:ind w:left="227"/>
        <w:jc w:val="both"/>
        <w:rPr>
          <w:rFonts w:cs="Arial"/>
          <w:sz w:val="18"/>
          <w:szCs w:val="16"/>
        </w:rPr>
      </w:pPr>
    </w:p>
    <w:p w:rsidR="00735BDC" w:rsidRPr="006B75AB" w:rsidRDefault="00735BDC" w:rsidP="00735BDC">
      <w:pPr>
        <w:rPr>
          <w:shd w:val="clear" w:color="auto" w:fill="FFFFFF"/>
        </w:rPr>
      </w:pPr>
      <w:r w:rsidRPr="006B75AB">
        <w:rPr>
          <w:shd w:val="clear" w:color="auto" w:fill="FFFFFF"/>
        </w:rPr>
        <w:t xml:space="preserve">W styczniu br. producenci z województwa świętokrzyskiego dostarczyli do skupu 5,3 tys. t </w:t>
      </w:r>
      <w:r w:rsidRPr="006B75AB">
        <w:rPr>
          <w:b/>
          <w:shd w:val="clear" w:color="auto" w:fill="FFFFFF"/>
        </w:rPr>
        <w:t>żywca rzeźnego</w:t>
      </w:r>
      <w:r w:rsidRPr="006B75AB">
        <w:rPr>
          <w:shd w:val="clear" w:color="auto" w:fill="FFFFFF"/>
        </w:rPr>
        <w:t xml:space="preserve"> (w wadze żywej), tj. o 16,7% mniej niż przed rokiem i o 25,7% mniej niż przed miesiącem. Zarówno w ujęciu miesięcznym, jak i rocznym spadek skupu dotyczył żywca wołowego, wieprzowego i drobiowego.</w:t>
      </w:r>
    </w:p>
    <w:p w:rsidR="00735BDC" w:rsidRDefault="00735BDC" w:rsidP="00735BDC">
      <w:pPr>
        <w:rPr>
          <w:shd w:val="clear" w:color="auto" w:fill="FFFFFF"/>
        </w:rPr>
      </w:pPr>
      <w:r w:rsidRPr="006B75AB">
        <w:rPr>
          <w:shd w:val="clear" w:color="auto" w:fill="FFFFFF"/>
        </w:rPr>
        <w:t xml:space="preserve">Dostawy </w:t>
      </w:r>
      <w:r w:rsidRPr="006B75AB">
        <w:rPr>
          <w:b/>
          <w:shd w:val="clear" w:color="auto" w:fill="FFFFFF"/>
        </w:rPr>
        <w:t>mleka</w:t>
      </w:r>
      <w:r w:rsidRPr="006B75AB">
        <w:rPr>
          <w:shd w:val="clear" w:color="auto" w:fill="FFFFFF"/>
        </w:rPr>
        <w:t xml:space="preserve"> do skupu (21,9 mln l) były większe o 44,1% niż rok temu i o 50,8% niż miesiąc temu.</w:t>
      </w:r>
    </w:p>
    <w:p w:rsidR="00735BDC" w:rsidRPr="006B75AB" w:rsidRDefault="00735BDC" w:rsidP="00735BDC">
      <w:pPr>
        <w:pStyle w:val="tytuwykresu"/>
        <w:rPr>
          <w:shd w:val="clear" w:color="auto" w:fill="FFFFFF"/>
        </w:rPr>
      </w:pPr>
      <w:r w:rsidRPr="006B75AB">
        <w:rPr>
          <w:shd w:val="clear" w:color="auto" w:fill="FFFFFF"/>
        </w:rPr>
        <w:t xml:space="preserve">Tablica 7. Przeciętne ceny podstawowych produktów rolnych </w:t>
      </w:r>
    </w:p>
    <w:p w:rsidR="00735BDC" w:rsidRPr="00563786" w:rsidRDefault="00735BDC" w:rsidP="00735BDC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02"/>
        <w:gridCol w:w="1417"/>
        <w:gridCol w:w="1276"/>
        <w:gridCol w:w="1249"/>
        <w:gridCol w:w="1303"/>
        <w:gridCol w:w="1304"/>
        <w:gridCol w:w="1139"/>
      </w:tblGrid>
      <w:tr w:rsidR="00735BDC" w:rsidRPr="00FA5128" w:rsidTr="00C10C05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35BDC" w:rsidRPr="009C7251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9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636944" w:rsidRDefault="00735BDC" w:rsidP="00C10C05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36944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74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35BDC" w:rsidRPr="00636944" w:rsidRDefault="00735BDC" w:rsidP="00C10C05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36944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735BDC" w:rsidRPr="00FA5128" w:rsidTr="00C10C05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:rsidR="00735BDC" w:rsidRPr="00FA5128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88" w:type="dxa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636944" w:rsidRDefault="00735BDC" w:rsidP="00C10C05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636944">
              <w:rPr>
                <w:sz w:val="16"/>
                <w:szCs w:val="16"/>
              </w:rPr>
              <w:t>I 20</w:t>
            </w:r>
            <w:r>
              <w:rPr>
                <w:sz w:val="16"/>
                <w:szCs w:val="16"/>
              </w:rPr>
              <w:t>20</w:t>
            </w:r>
          </w:p>
        </w:tc>
      </w:tr>
      <w:tr w:rsidR="00735BDC" w:rsidRPr="00C86EB5" w:rsidTr="00C10C05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2F0F2F" w:rsidRDefault="00735BDC" w:rsidP="00C10C05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F0F2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2F0F2F" w:rsidRDefault="00735BDC" w:rsidP="00C10C05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F0F2F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2F0F2F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2F0F2F" w:rsidRDefault="00735BDC" w:rsidP="00C10C05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2F0F2F">
              <w:rPr>
                <w:rFonts w:cs="Arial"/>
                <w:sz w:val="16"/>
                <w:szCs w:val="16"/>
              </w:rPr>
              <w:t>XII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2F0F2F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86EB5" w:rsidRDefault="00735BDC" w:rsidP="00C10C05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86EB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86EB5" w:rsidRDefault="00735BDC" w:rsidP="00C10C05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86EB5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C86EB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86EB5" w:rsidRDefault="00735BDC" w:rsidP="00C10C05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86EB5">
              <w:rPr>
                <w:rFonts w:cs="Arial"/>
                <w:sz w:val="16"/>
                <w:szCs w:val="16"/>
              </w:rPr>
              <w:t>XII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C86EB5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735BDC" w:rsidRPr="00C86EB5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 w:rsidRPr="00700763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BA67F0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BA67F0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BA67F0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C86EB5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C86EB5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C86EB5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5BDC" w:rsidRPr="00AE2A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DC1F32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C1F32">
              <w:rPr>
                <w:rFonts w:cs="Arial"/>
                <w:sz w:val="16"/>
                <w:szCs w:val="16"/>
              </w:rPr>
              <w:t>66,84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DC1F32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C1F3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DC1F32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C1F32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79,19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735BDC" w:rsidRPr="00AE2A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DC1F32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C1F32">
              <w:rPr>
                <w:rFonts w:cs="Arial"/>
                <w:sz w:val="16"/>
                <w:szCs w:val="16"/>
              </w:rPr>
              <w:t>50,62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DC1F32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C1F32"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DC1F32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C1F32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62,82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735BDC" w:rsidRPr="00AE2A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120DD0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E33A6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E33A6">
              <w:rPr>
                <w:rFonts w:cs="Arial"/>
                <w:sz w:val="16"/>
                <w:szCs w:val="16"/>
              </w:rPr>
              <w:t>93,09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E33A6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E33A6">
              <w:rPr>
                <w:rFonts w:cs="Arial"/>
                <w:sz w:val="16"/>
                <w:szCs w:val="16"/>
              </w:rPr>
              <w:t>153,3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E33A6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E33A6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176,79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193,3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E2A59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735BDC" w:rsidRPr="00AE2A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00763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E33A6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E33A6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1E33A6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5BDC" w:rsidRPr="00AE2A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0076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A7710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A7710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A7710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5BDC" w:rsidRPr="00AE2A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884200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6,48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E2A5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35BDC" w:rsidRPr="007555E0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884200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6,00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146,7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735BDC" w:rsidP="00C10C05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E2A5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E2A59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35BDC" w:rsidRPr="007555E0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700763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00763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3,53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E51F9E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51F9E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5E3274" w:rsidRDefault="00735BDC" w:rsidP="00C10C05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5E327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5E3274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5E3274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35BDC" w:rsidRPr="009A2D59" w:rsidTr="00C10C05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9F25DD" w:rsidRDefault="00735BDC" w:rsidP="00C10C05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25DD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F25DD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25DD">
              <w:rPr>
                <w:rFonts w:cs="Arial"/>
                <w:sz w:val="16"/>
                <w:szCs w:val="16"/>
              </w:rPr>
              <w:t>132,38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F25DD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25DD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F25DD" w:rsidRDefault="00735BDC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F25DD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0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5E3274" w:rsidRDefault="00735BDC" w:rsidP="00C10C05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5E327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5E3274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5E3274" w:rsidRDefault="004C2C80" w:rsidP="00C10C05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  <w:bookmarkStart w:id="0" w:name="_GoBack"/>
            <w:bookmarkEnd w:id="0"/>
          </w:p>
        </w:tc>
      </w:tr>
    </w:tbl>
    <w:p w:rsidR="00735BDC" w:rsidRPr="009F25DD" w:rsidRDefault="00735BDC" w:rsidP="00735BDC">
      <w:pPr>
        <w:ind w:left="227"/>
      </w:pPr>
      <w:r w:rsidRPr="009F25DD">
        <w:rPr>
          <w:rFonts w:cs="Arial"/>
          <w:sz w:val="16"/>
          <w:szCs w:val="16"/>
          <w:vertAlign w:val="superscript"/>
        </w:rPr>
        <w:t>a</w:t>
      </w:r>
      <w:r w:rsidRPr="009F25DD">
        <w:rPr>
          <w:rFonts w:cs="Arial"/>
          <w:sz w:val="16"/>
          <w:szCs w:val="16"/>
        </w:rPr>
        <w:t xml:space="preserve"> W skupie bez ziarna siewnego. </w:t>
      </w:r>
      <w:r w:rsidRPr="009F25DD">
        <w:rPr>
          <w:rFonts w:cs="Arial"/>
          <w:sz w:val="16"/>
          <w:szCs w:val="16"/>
          <w:vertAlign w:val="superscript"/>
        </w:rPr>
        <w:t>b</w:t>
      </w:r>
      <w:r w:rsidRPr="009F25DD">
        <w:rPr>
          <w:rFonts w:cs="Arial"/>
          <w:sz w:val="16"/>
          <w:szCs w:val="16"/>
        </w:rPr>
        <w:t xml:space="preserve"> Na targowiskach — jadalne późne.</w:t>
      </w:r>
    </w:p>
    <w:p w:rsidR="00735BDC" w:rsidRPr="00A76831" w:rsidRDefault="00735BDC" w:rsidP="002C59A9">
      <w:pPr>
        <w:spacing w:before="360"/>
        <w:rPr>
          <w:shd w:val="clear" w:color="auto" w:fill="FFFFFF"/>
        </w:rPr>
      </w:pPr>
      <w:r w:rsidRPr="00E80673">
        <w:rPr>
          <w:shd w:val="clear" w:color="auto" w:fill="FFFFFF"/>
        </w:rPr>
        <w:t xml:space="preserve">W styczniu br. za 1 dt </w:t>
      </w:r>
      <w:r w:rsidRPr="00E80673">
        <w:rPr>
          <w:b/>
          <w:shd w:val="clear" w:color="auto" w:fill="FFFFFF"/>
        </w:rPr>
        <w:t>pszenicy</w:t>
      </w:r>
      <w:r w:rsidRPr="00E80673">
        <w:rPr>
          <w:shd w:val="clear" w:color="auto" w:fill="FFFFFF"/>
        </w:rPr>
        <w:t xml:space="preserve"> w skupie płacono 66,84 zł, tj. o 0,4% więcej niż przed miesiącem i o 18,8% mniej niż przed rokiem. Na targowiskach przeciętna cena pszenicy ukształtowała się na poziomie 79</w:t>
      </w:r>
      <w:r w:rsidR="0011504A">
        <w:rPr>
          <w:shd w:val="clear" w:color="auto" w:fill="FFFFFF"/>
        </w:rPr>
        <w:t>,</w:t>
      </w:r>
      <w:r w:rsidRPr="00E80673">
        <w:rPr>
          <w:shd w:val="clear" w:color="auto" w:fill="FFFFFF"/>
        </w:rPr>
        <w:t>19 zł/dt i była o 1,2% wyższa niż</w:t>
      </w:r>
      <w:r w:rsidRPr="00E80673">
        <w:rPr>
          <w:shd w:val="clear" w:color="auto" w:fill="FFFFFF"/>
        </w:rPr>
        <w:br/>
        <w:t xml:space="preserve">w grudniu 2019 r. oraz o 5,3% niższa od ceny ze stycznia 2019 r. Cena skupu </w:t>
      </w:r>
      <w:r w:rsidRPr="00E80673">
        <w:rPr>
          <w:b/>
          <w:shd w:val="clear" w:color="auto" w:fill="FFFFFF"/>
        </w:rPr>
        <w:t>żyta</w:t>
      </w:r>
      <w:r w:rsidRPr="00E80673">
        <w:rPr>
          <w:shd w:val="clear" w:color="auto" w:fill="FFFFFF"/>
        </w:rPr>
        <w:t xml:space="preserve"> w porównaniu z poprzednim miesiącem wzrosła 1,1% (do 50,62 zł/dt)</w:t>
      </w:r>
      <w:r>
        <w:rPr>
          <w:shd w:val="clear" w:color="auto" w:fill="FFFFFF"/>
        </w:rPr>
        <w:t xml:space="preserve">, a cena targowiskowa – </w:t>
      </w:r>
      <w:r w:rsidRPr="00A76831">
        <w:rPr>
          <w:shd w:val="clear" w:color="auto" w:fill="FFFFFF"/>
        </w:rPr>
        <w:t>o 4,2% (do 62,82 zł/dt). W porównaniu ze styczniem 2019 r. za żyto</w:t>
      </w:r>
      <w:r w:rsidRPr="00A76831">
        <w:rPr>
          <w:shd w:val="clear" w:color="auto" w:fill="FFFFFF"/>
        </w:rPr>
        <w:br/>
        <w:t>w skupie płacono o 40,6% więcej, a na targowiskach o 3,9% mniej.</w:t>
      </w:r>
    </w:p>
    <w:p w:rsidR="00735BDC" w:rsidRDefault="0011504A" w:rsidP="002C59A9">
      <w:pPr>
        <w:pageBreakBefore/>
        <w:spacing w:before="480" w:after="0"/>
        <w:rPr>
          <w:i/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509270</wp:posOffset>
            </wp:positionV>
            <wp:extent cx="6574329" cy="2764486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735BDC" w:rsidRPr="00A76831">
        <w:rPr>
          <w:b/>
        </w:rPr>
        <w:t xml:space="preserve">Wykres </w:t>
      </w:r>
      <w:r w:rsidR="00E92EB5">
        <w:rPr>
          <w:b/>
        </w:rPr>
        <w:t>6</w:t>
      </w:r>
      <w:r w:rsidR="00735BDC" w:rsidRPr="00A76831">
        <w:rPr>
          <w:b/>
        </w:rPr>
        <w:t>.</w:t>
      </w:r>
      <w:r w:rsidR="00735BDC" w:rsidRPr="00A76831">
        <w:rPr>
          <w:b/>
          <w:shd w:val="clear" w:color="auto" w:fill="FFFFFF"/>
        </w:rPr>
        <w:t xml:space="preserve"> Przeciętne ceny skupu zbóż</w:t>
      </w:r>
      <w:r w:rsidR="00735BDC" w:rsidRPr="00A76831">
        <w:rPr>
          <w:b/>
          <w:i/>
          <w:shd w:val="clear" w:color="auto" w:fill="FFFFFF"/>
          <w:vertAlign w:val="superscript"/>
        </w:rPr>
        <w:t>a</w:t>
      </w:r>
      <w:r w:rsidR="00735BDC" w:rsidRPr="00A76831">
        <w:rPr>
          <w:b/>
          <w:shd w:val="clear" w:color="auto" w:fill="FFFFFF"/>
        </w:rPr>
        <w:t xml:space="preserve"> i targowiskowe ceny ziemniaków</w:t>
      </w:r>
      <w:r w:rsidR="00735BDC" w:rsidRPr="00A76831">
        <w:rPr>
          <w:i/>
          <w:noProof/>
          <w:lang w:eastAsia="pl-PL"/>
        </w:rPr>
        <w:t xml:space="preserve"> </w:t>
      </w:r>
    </w:p>
    <w:p w:rsidR="00735BDC" w:rsidRPr="00A76831" w:rsidRDefault="00735BDC" w:rsidP="00735BDC">
      <w:pPr>
        <w:ind w:left="227"/>
      </w:pPr>
      <w:r w:rsidRPr="00A76831">
        <w:rPr>
          <w:rFonts w:cs="Arial"/>
          <w:sz w:val="16"/>
          <w:szCs w:val="16"/>
          <w:vertAlign w:val="superscript"/>
        </w:rPr>
        <w:t>a</w:t>
      </w:r>
      <w:r w:rsidRPr="00A76831">
        <w:rPr>
          <w:rFonts w:cs="Arial"/>
          <w:sz w:val="16"/>
          <w:szCs w:val="16"/>
        </w:rPr>
        <w:t xml:space="preserve"> W okresie styczeń-maj 2019 r. cena żyta bez konsumpcyjnego.</w:t>
      </w:r>
    </w:p>
    <w:p w:rsidR="00735BDC" w:rsidRPr="00A76831" w:rsidRDefault="00735BDC" w:rsidP="00735BDC">
      <w:pPr>
        <w:jc w:val="both"/>
        <w:rPr>
          <w:sz w:val="18"/>
          <w:shd w:val="clear" w:color="auto" w:fill="FFFFFF"/>
        </w:rPr>
      </w:pPr>
    </w:p>
    <w:p w:rsidR="00735BDC" w:rsidRPr="00A76831" w:rsidRDefault="00735BDC" w:rsidP="00735BDC">
      <w:pPr>
        <w:rPr>
          <w:shd w:val="clear" w:color="auto" w:fill="FFFFFF"/>
        </w:rPr>
      </w:pPr>
      <w:r w:rsidRPr="00A76831">
        <w:rPr>
          <w:shd w:val="clear" w:color="auto" w:fill="FFFFFF"/>
        </w:rPr>
        <w:t xml:space="preserve">W styczniu 2020 r. notowano wzrost cen </w:t>
      </w:r>
      <w:r w:rsidRPr="00A76831">
        <w:rPr>
          <w:b/>
          <w:shd w:val="clear" w:color="auto" w:fill="FFFFFF"/>
        </w:rPr>
        <w:t>ziemniaków</w:t>
      </w:r>
      <w:r w:rsidRPr="00A76831">
        <w:rPr>
          <w:shd w:val="clear" w:color="auto" w:fill="FFFFFF"/>
        </w:rPr>
        <w:t xml:space="preserve"> w skupie i na targowiskach. Średnia cena skupu ziemniaków wyniosła 93,09 zł/dt i była wyższa w ujęciu miesięcznym o 19,2%, a w ujęciu rocznym – o 53,3%. Na targowiskach za 1 dt ziemniaków płacono 176,79 zł, tj. o 3,7% więcej niż miesiąc temu i o 93,3% więcej niż rok temu.</w:t>
      </w:r>
    </w:p>
    <w:p w:rsidR="00735BDC" w:rsidRDefault="0011504A" w:rsidP="00C6558A">
      <w:pPr>
        <w:spacing w:before="48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4829810</wp:posOffset>
            </wp:positionV>
            <wp:extent cx="6645910" cy="2658110"/>
            <wp:effectExtent l="0" t="0" r="0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735BDC" w:rsidRPr="00A76831">
        <w:rPr>
          <w:b/>
        </w:rPr>
        <w:t xml:space="preserve">Wykres </w:t>
      </w:r>
      <w:r w:rsidR="00E92EB5">
        <w:rPr>
          <w:b/>
        </w:rPr>
        <w:t>7</w:t>
      </w:r>
      <w:r w:rsidR="00735BDC" w:rsidRPr="00A76831">
        <w:rPr>
          <w:b/>
        </w:rPr>
        <w:t>.</w:t>
      </w:r>
      <w:r w:rsidR="00735BDC" w:rsidRPr="00A76831">
        <w:rPr>
          <w:b/>
          <w:shd w:val="clear" w:color="auto" w:fill="FFFFFF"/>
        </w:rPr>
        <w:t xml:space="preserve"> Przeciętne ceny skupu żywca i mleka</w:t>
      </w:r>
      <w:r w:rsidR="00735BDC" w:rsidRPr="00A76831">
        <w:rPr>
          <w:noProof/>
          <w:lang w:eastAsia="pl-PL"/>
        </w:rPr>
        <w:t xml:space="preserve"> </w:t>
      </w:r>
    </w:p>
    <w:p w:rsidR="00C6558A" w:rsidRPr="00A76831" w:rsidRDefault="00C6558A" w:rsidP="00735BDC">
      <w:pPr>
        <w:spacing w:before="240"/>
        <w:jc w:val="both"/>
        <w:rPr>
          <w:noProof/>
          <w:lang w:eastAsia="pl-PL"/>
        </w:rPr>
      </w:pPr>
    </w:p>
    <w:p w:rsidR="0011504A" w:rsidRPr="0040535A" w:rsidRDefault="00735BDC" w:rsidP="00C6558A">
      <w:pPr>
        <w:rPr>
          <w:shd w:val="clear" w:color="auto" w:fill="FFFFFF"/>
        </w:rPr>
      </w:pPr>
      <w:r w:rsidRPr="00A76831">
        <w:rPr>
          <w:shd w:val="clear" w:color="auto" w:fill="FFFFFF"/>
        </w:rPr>
        <w:t xml:space="preserve">Od kwietnia 2019 r. obserwowana jest tendencja wzrostowa cen </w:t>
      </w:r>
      <w:r w:rsidRPr="00A76831">
        <w:rPr>
          <w:b/>
          <w:shd w:val="clear" w:color="auto" w:fill="FFFFFF"/>
        </w:rPr>
        <w:t>żywca wieprzowego</w:t>
      </w:r>
      <w:r w:rsidRPr="00A7683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skupie </w:t>
      </w:r>
      <w:r w:rsidRPr="00A76831">
        <w:rPr>
          <w:shd w:val="clear" w:color="auto" w:fill="FFFFFF"/>
        </w:rPr>
        <w:t>w ujęciu rocznym. W styczniu 2020 r. za 1 kg tego surowca płacono 6,00 zł, tj. o 46,7% więcej niż przed rokiem i o 6,1% mniej niż przed miesiącem</w:t>
      </w:r>
      <w:r w:rsidRPr="005E3274">
        <w:rPr>
          <w:shd w:val="clear" w:color="auto" w:fill="FFFFFF"/>
        </w:rPr>
        <w:t xml:space="preserve">. </w:t>
      </w:r>
      <w:r w:rsidRPr="003C0623">
        <w:rPr>
          <w:shd w:val="clear" w:color="auto" w:fill="FFFFFF"/>
        </w:rPr>
        <w:t xml:space="preserve">Spadek cen żywca wieprzowego w skupie </w:t>
      </w:r>
      <w:r w:rsidR="0011504A">
        <w:rPr>
          <w:shd w:val="clear" w:color="auto" w:fill="FFFFFF"/>
        </w:rPr>
        <w:t xml:space="preserve">w ujęciu miesięcznym </w:t>
      </w:r>
      <w:r w:rsidRPr="00936B64">
        <w:rPr>
          <w:shd w:val="clear" w:color="auto" w:fill="FFFFFF"/>
        </w:rPr>
        <w:t>i jednoczesny wzrost cen żyta na targowiskach skutkowały pogorszeniem wskaźnika rentowności produkcji trzody chlewnej. Relacja cen skupu trzody do cen żyta na targowiskach w styczniu br. wyniosła 9,6 (wobec 10,6 przed miesiącem i 6,3 przed rokiem</w:t>
      </w:r>
      <w:r w:rsidRPr="0040535A">
        <w:rPr>
          <w:shd w:val="clear" w:color="auto" w:fill="FFFFFF"/>
        </w:rPr>
        <w:t xml:space="preserve">). </w:t>
      </w:r>
    </w:p>
    <w:p w:rsidR="00735BDC" w:rsidRDefault="00590DD9" w:rsidP="0011504A">
      <w:pPr>
        <w:pageBreakBefore/>
        <w:rPr>
          <w:b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233680</wp:posOffset>
            </wp:positionV>
            <wp:extent cx="6645910" cy="2743835"/>
            <wp:effectExtent l="0" t="0" r="0" b="0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735BDC" w:rsidRPr="0032086A">
        <w:rPr>
          <w:b/>
        </w:rPr>
        <w:t xml:space="preserve">Wykres </w:t>
      </w:r>
      <w:r>
        <w:rPr>
          <w:b/>
        </w:rPr>
        <w:t>8</w:t>
      </w:r>
      <w:r w:rsidR="00735BDC" w:rsidRPr="0032086A">
        <w:rPr>
          <w:b/>
        </w:rPr>
        <w:t>.</w:t>
      </w:r>
      <w:r w:rsidR="00735BDC" w:rsidRPr="0032086A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:rsidR="00735BDC" w:rsidRPr="00670AF1" w:rsidRDefault="00735BDC" w:rsidP="00C6558A">
      <w:pPr>
        <w:rPr>
          <w:shd w:val="clear" w:color="auto" w:fill="FFFFFF"/>
        </w:rPr>
      </w:pPr>
      <w:r w:rsidRPr="00670AF1">
        <w:rPr>
          <w:shd w:val="clear" w:color="auto" w:fill="FFFFFF"/>
        </w:rPr>
        <w:t xml:space="preserve">Styczeń 2020 r. był trzecim z kolei miesiącem, w którym notowano wzrost cen skupu </w:t>
      </w:r>
      <w:r w:rsidRPr="00670AF1">
        <w:rPr>
          <w:b/>
          <w:shd w:val="clear" w:color="auto" w:fill="FFFFFF"/>
        </w:rPr>
        <w:t>żywca drobiowego</w:t>
      </w:r>
      <w:r w:rsidRPr="00670AF1">
        <w:rPr>
          <w:shd w:val="clear" w:color="auto" w:fill="FFFFFF"/>
        </w:rPr>
        <w:t xml:space="preserve"> w ujęciu rocznym. </w:t>
      </w:r>
      <w:r>
        <w:rPr>
          <w:shd w:val="clear" w:color="auto" w:fill="FFFFFF"/>
        </w:rPr>
        <w:t xml:space="preserve">Za 1 kg drobiu </w:t>
      </w:r>
      <w:r w:rsidRPr="00670AF1">
        <w:rPr>
          <w:shd w:val="clear" w:color="auto" w:fill="FFFFFF"/>
        </w:rPr>
        <w:t>rzeźnego płacono przeciętnie 3,53 zł, tj. o</w:t>
      </w:r>
      <w:r w:rsidR="0040535A">
        <w:rPr>
          <w:shd w:val="clear" w:color="auto" w:fill="FFFFFF"/>
        </w:rPr>
        <w:t xml:space="preserve"> </w:t>
      </w:r>
      <w:r w:rsidRPr="00670AF1">
        <w:rPr>
          <w:shd w:val="clear" w:color="auto" w:fill="FFFFFF"/>
        </w:rPr>
        <w:t>11,0% więcej w porównaniu ze styczniem ub. roku i o 10,1% mniej w porównaniu z grudniem ub. roku.</w:t>
      </w:r>
    </w:p>
    <w:p w:rsidR="00735BDC" w:rsidRPr="0032086A" w:rsidRDefault="00735BDC" w:rsidP="00590DD9">
      <w:pPr>
        <w:rPr>
          <w:shd w:val="clear" w:color="auto" w:fill="FFFFFF"/>
        </w:rPr>
      </w:pPr>
      <w:r w:rsidRPr="0032086A">
        <w:rPr>
          <w:shd w:val="clear" w:color="auto" w:fill="FFFFFF"/>
        </w:rPr>
        <w:t xml:space="preserve">W styczniu br. notowano nieznaczny wzrost cen </w:t>
      </w:r>
      <w:r w:rsidRPr="0032086A">
        <w:rPr>
          <w:b/>
          <w:shd w:val="clear" w:color="auto" w:fill="FFFFFF"/>
        </w:rPr>
        <w:t>żywca wołowego</w:t>
      </w:r>
      <w:r w:rsidRPr="0032086A">
        <w:rPr>
          <w:shd w:val="clear" w:color="auto" w:fill="FFFFFF"/>
        </w:rPr>
        <w:t xml:space="preserve"> w skupie w ujęciu miesięcznym. Za 1 kg tego surowca płacono średnio 6,48 zł, tj. o 0,2% więcej niż przed miesiącem i o 9,0% mniej niż przed rokiem.</w:t>
      </w:r>
    </w:p>
    <w:p w:rsidR="00735BDC" w:rsidRPr="0032086A" w:rsidRDefault="00735BDC" w:rsidP="00735BDC">
      <w:pPr>
        <w:rPr>
          <w:shd w:val="clear" w:color="auto" w:fill="FFFFFF"/>
        </w:rPr>
      </w:pPr>
      <w:r w:rsidRPr="0032086A">
        <w:rPr>
          <w:shd w:val="clear" w:color="auto" w:fill="FFFFFF"/>
        </w:rPr>
        <w:t>W styczniu br., podobnie jak w grudniu ub. roku, wzrosła cena</w:t>
      </w:r>
      <w:r w:rsidRPr="0032086A">
        <w:rPr>
          <w:b/>
          <w:shd w:val="clear" w:color="auto" w:fill="FFFFFF"/>
        </w:rPr>
        <w:t xml:space="preserve"> mleka </w:t>
      </w:r>
      <w:r w:rsidRPr="0032086A">
        <w:rPr>
          <w:shd w:val="clear" w:color="auto" w:fill="FFFFFF"/>
        </w:rPr>
        <w:t xml:space="preserve">w skupie. Za 100 l tego surowca płacono dostawcom przeciętnie 132,38 zł, czyli o 0,6% więcej niż przed miesiącem i o 1,1% więcej niż rok temu. </w:t>
      </w:r>
    </w:p>
    <w:p w:rsidR="00735BDC" w:rsidRDefault="00735BDC" w:rsidP="00735BDC">
      <w:pPr>
        <w:pStyle w:val="tytuwykresu"/>
        <w:spacing w:after="120"/>
        <w:rPr>
          <w:shd w:val="clear" w:color="auto" w:fill="FFFFFF"/>
        </w:rPr>
      </w:pPr>
      <w:r w:rsidRPr="00DD7B34">
        <w:rPr>
          <w:shd w:val="clear" w:color="auto" w:fill="FFFFFF"/>
        </w:rPr>
        <w:t>Tablica 8. Pogłowie trzody chlewnej</w:t>
      </w:r>
      <w:r w:rsidRPr="00DD7B34">
        <w:rPr>
          <w:shd w:val="clear" w:color="auto" w:fill="FFFFFF"/>
          <w:vertAlign w:val="superscript"/>
        </w:rPr>
        <w:t xml:space="preserve">a </w:t>
      </w:r>
      <w:r w:rsidRPr="00DD7B34">
        <w:rPr>
          <w:shd w:val="clear" w:color="auto" w:fill="FFFFFF"/>
        </w:rPr>
        <w:t>(według stanu w grudniu 201</w:t>
      </w:r>
      <w:r>
        <w:rPr>
          <w:shd w:val="clear" w:color="auto" w:fill="FFFFFF"/>
        </w:rPr>
        <w:t>9</w:t>
      </w:r>
      <w:r w:rsidRPr="00DD7B34">
        <w:rPr>
          <w:shd w:val="clear" w:color="auto" w:fill="FFFFFF"/>
        </w:rPr>
        <w:t xml:space="preserve"> r.) </w:t>
      </w:r>
    </w:p>
    <w:p w:rsidR="00B074E3" w:rsidRPr="005E5FF6" w:rsidRDefault="00B074E3" w:rsidP="00B074E3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97"/>
        <w:gridCol w:w="2412"/>
        <w:gridCol w:w="2414"/>
        <w:gridCol w:w="2233"/>
      </w:tblGrid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ED5256" w:rsidRDefault="00735BDC" w:rsidP="00C10C05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ED525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ED5256" w:rsidRDefault="00735BDC" w:rsidP="00C10C05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ED5256">
              <w:rPr>
                <w:sz w:val="16"/>
                <w:szCs w:val="16"/>
              </w:rPr>
              <w:t>W sztukach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ED5256" w:rsidRDefault="00735BDC" w:rsidP="00C10C05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ED5256">
              <w:rPr>
                <w:sz w:val="16"/>
                <w:szCs w:val="16"/>
              </w:rPr>
              <w:t>W odsetkach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ED5256" w:rsidRDefault="00735BDC" w:rsidP="00C10C05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ED5256">
              <w:rPr>
                <w:sz w:val="16"/>
                <w:szCs w:val="16"/>
              </w:rPr>
              <w:t>XII 201</w:t>
            </w:r>
            <w:r>
              <w:rPr>
                <w:sz w:val="16"/>
                <w:szCs w:val="16"/>
              </w:rPr>
              <w:t>8</w:t>
            </w:r>
            <w:r w:rsidRPr="00ED5256">
              <w:rPr>
                <w:sz w:val="16"/>
                <w:szCs w:val="16"/>
              </w:rPr>
              <w:t xml:space="preserve"> = 100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1911"/>
              </w:tabs>
              <w:spacing w:before="160" w:after="3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D5256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2360E4">
              <w:rPr>
                <w:rFonts w:cs="Arial"/>
                <w:b/>
                <w:sz w:val="16"/>
                <w:szCs w:val="16"/>
              </w:rPr>
              <w:t>196873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2360E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34194">
              <w:rPr>
                <w:rFonts w:cs="Arial"/>
                <w:b/>
                <w:sz w:val="16"/>
                <w:szCs w:val="16"/>
              </w:rPr>
              <w:t>99,1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1911"/>
              </w:tabs>
              <w:spacing w:before="120" w:after="3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46796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23,8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34194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1911"/>
              </w:tabs>
              <w:spacing w:before="120" w:after="3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60647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34194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1911"/>
              </w:tabs>
              <w:spacing w:before="120" w:after="3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rPr>
                <w:rFonts w:cs="Arial"/>
                <w:sz w:val="16"/>
                <w:szCs w:val="16"/>
              </w:rPr>
            </w:pP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3504"/>
              </w:tabs>
              <w:spacing w:before="100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69081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35,1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34194">
              <w:rPr>
                <w:rFonts w:cs="Arial"/>
                <w:sz w:val="16"/>
                <w:szCs w:val="16"/>
              </w:rPr>
              <w:t>97,0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3504"/>
              </w:tabs>
              <w:spacing w:before="100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20349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34194"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3504"/>
              </w:tabs>
              <w:spacing w:before="100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20026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34194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735BDC" w:rsidRPr="00ED5256" w:rsidTr="00C10C05">
        <w:trPr>
          <w:trHeight w:val="57"/>
        </w:trPr>
        <w:tc>
          <w:tcPr>
            <w:tcW w:w="33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ED5256" w:rsidRDefault="00735BDC" w:rsidP="00C10C05">
            <w:pPr>
              <w:pStyle w:val="Tekstpodstawowy"/>
              <w:tabs>
                <w:tab w:val="right" w:leader="dot" w:pos="3504"/>
              </w:tabs>
              <w:spacing w:before="100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D5256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13915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2360E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360E4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2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A34194" w:rsidRDefault="00735BDC" w:rsidP="00C10C0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34194">
              <w:rPr>
                <w:rFonts w:cs="Arial"/>
                <w:sz w:val="16"/>
                <w:szCs w:val="16"/>
              </w:rPr>
              <w:t>111,5</w:t>
            </w:r>
          </w:p>
        </w:tc>
      </w:tr>
    </w:tbl>
    <w:p w:rsidR="00735BDC" w:rsidRPr="00ED5256" w:rsidRDefault="00735BDC" w:rsidP="00735BDC">
      <w:pPr>
        <w:spacing w:after="80"/>
        <w:ind w:left="227"/>
        <w:rPr>
          <w:shd w:val="clear" w:color="auto" w:fill="FFFFFF"/>
        </w:rPr>
      </w:pPr>
      <w:r w:rsidRPr="00D85634">
        <w:rPr>
          <w:rFonts w:cs="Arial"/>
          <w:i/>
          <w:sz w:val="16"/>
          <w:szCs w:val="16"/>
          <w:vertAlign w:val="superscript"/>
        </w:rPr>
        <w:t>a</w:t>
      </w:r>
      <w:r w:rsidRPr="00ED5256">
        <w:rPr>
          <w:rFonts w:cs="Arial"/>
          <w:i/>
          <w:sz w:val="16"/>
          <w:szCs w:val="16"/>
        </w:rPr>
        <w:t xml:space="preserve"> </w:t>
      </w:r>
      <w:r w:rsidRPr="00ED5256">
        <w:rPr>
          <w:rFonts w:cs="Arial"/>
          <w:sz w:val="16"/>
          <w:szCs w:val="16"/>
        </w:rPr>
        <w:t>Dane wstępne.</w:t>
      </w:r>
    </w:p>
    <w:p w:rsidR="00B074E3" w:rsidRPr="00A76831" w:rsidRDefault="00B074E3" w:rsidP="00B074E3">
      <w:pPr>
        <w:jc w:val="both"/>
        <w:rPr>
          <w:sz w:val="18"/>
          <w:shd w:val="clear" w:color="auto" w:fill="FFFFFF"/>
        </w:rPr>
      </w:pPr>
    </w:p>
    <w:p w:rsidR="00735BDC" w:rsidRPr="00363A92" w:rsidRDefault="00735BDC" w:rsidP="00C6558A">
      <w:pPr>
        <w:spacing w:after="80"/>
        <w:rPr>
          <w:shd w:val="clear" w:color="auto" w:fill="FFFFFF"/>
        </w:rPr>
      </w:pPr>
      <w:r w:rsidRPr="00912CD2">
        <w:rPr>
          <w:shd w:val="clear" w:color="auto" w:fill="FFFFFF"/>
        </w:rPr>
        <w:t xml:space="preserve">Według wstępnych danych </w:t>
      </w:r>
      <w:r w:rsidRPr="00912CD2">
        <w:rPr>
          <w:b/>
          <w:shd w:val="clear" w:color="auto" w:fill="FFFFFF"/>
        </w:rPr>
        <w:t xml:space="preserve">pogłowie trzody </w:t>
      </w:r>
      <w:r w:rsidRPr="00363A92">
        <w:rPr>
          <w:b/>
          <w:shd w:val="clear" w:color="auto" w:fill="FFFFFF"/>
        </w:rPr>
        <w:t>chlewnej</w:t>
      </w:r>
      <w:r w:rsidRPr="00363A92">
        <w:rPr>
          <w:shd w:val="clear" w:color="auto" w:fill="FFFFFF"/>
        </w:rPr>
        <w:t xml:space="preserve"> w grudniu 2019 r. liczyło 196,9 tys. sztuk i w porównaniu z grudniem 2018 r</w:t>
      </w:r>
      <w:r w:rsidR="00590DD9">
        <w:rPr>
          <w:shd w:val="clear" w:color="auto" w:fill="FFFFFF"/>
        </w:rPr>
        <w:t>.</w:t>
      </w:r>
      <w:r w:rsidRPr="00363A92">
        <w:rPr>
          <w:shd w:val="clear" w:color="auto" w:fill="FFFFFF"/>
        </w:rPr>
        <w:t xml:space="preserve"> zmniejszyło się o 1,7 tys. sztuk (o 0,9%). Spadek pogłowia był wynikiem zmniejszenia liczebności stada warchlaków (o 4,8%) i trzody chlewnej na ubój o wadze 50 kg i więcej (o 3,0%). Udział województwa świętokrzyskiego w krajowym pogłowiu świń ogółem wyniósł 1,8%. </w:t>
      </w:r>
    </w:p>
    <w:p w:rsidR="00735BDC" w:rsidRDefault="00590DD9" w:rsidP="00590DD9">
      <w:pPr>
        <w:pageBreakBefore/>
        <w:rPr>
          <w:b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285115</wp:posOffset>
            </wp:positionV>
            <wp:extent cx="6645910" cy="2524125"/>
            <wp:effectExtent l="0" t="0" r="0" b="0"/>
            <wp:wrapSquare wrapText="bothSides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DC" w:rsidRPr="005A14F6">
        <w:rPr>
          <w:b/>
        </w:rPr>
        <w:t xml:space="preserve">Wykres </w:t>
      </w:r>
      <w:r>
        <w:rPr>
          <w:b/>
        </w:rPr>
        <w:t>9</w:t>
      </w:r>
      <w:r w:rsidR="00735BDC" w:rsidRPr="005A14F6">
        <w:rPr>
          <w:b/>
        </w:rPr>
        <w:t>.</w:t>
      </w:r>
      <w:r w:rsidR="00735BDC" w:rsidRPr="005A14F6">
        <w:rPr>
          <w:b/>
          <w:shd w:val="clear" w:color="auto" w:fill="FFFFFF"/>
        </w:rPr>
        <w:t xml:space="preserve"> Pogłowie trzody chlewnej</w:t>
      </w:r>
    </w:p>
    <w:p w:rsidR="00735BDC" w:rsidRDefault="00735BDC" w:rsidP="00735BDC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D85634">
        <w:rPr>
          <w:rFonts w:cs="Arial"/>
          <w:i/>
          <w:sz w:val="16"/>
          <w:szCs w:val="16"/>
          <w:vertAlign w:val="superscript"/>
        </w:rPr>
        <w:t>a</w:t>
      </w:r>
      <w:r w:rsidRPr="005A14F6">
        <w:rPr>
          <w:rFonts w:cs="Arial"/>
          <w:i/>
          <w:sz w:val="16"/>
          <w:szCs w:val="16"/>
        </w:rPr>
        <w:t xml:space="preserve"> </w:t>
      </w:r>
      <w:r w:rsidRPr="005A14F6">
        <w:rPr>
          <w:rFonts w:cs="Arial"/>
          <w:sz w:val="16"/>
          <w:szCs w:val="16"/>
        </w:rPr>
        <w:t>Dane wstępne.</w:t>
      </w:r>
    </w:p>
    <w:p w:rsidR="00590DD9" w:rsidRPr="00590DD9" w:rsidRDefault="00590DD9" w:rsidP="00735BDC">
      <w:pPr>
        <w:spacing w:before="0" w:after="80"/>
        <w:ind w:left="227"/>
        <w:jc w:val="both"/>
        <w:rPr>
          <w:sz w:val="18"/>
          <w:shd w:val="clear" w:color="auto" w:fill="FFFFFF"/>
        </w:rPr>
      </w:pPr>
    </w:p>
    <w:p w:rsidR="00735BDC" w:rsidRDefault="00735BDC" w:rsidP="00590DD9">
      <w:pPr>
        <w:pStyle w:val="tytuwykresu"/>
        <w:spacing w:before="120" w:after="120"/>
        <w:rPr>
          <w:shd w:val="clear" w:color="auto" w:fill="FFFFFF"/>
        </w:rPr>
      </w:pPr>
      <w:r w:rsidRPr="00C70F89">
        <w:rPr>
          <w:shd w:val="clear" w:color="auto" w:fill="FFFFFF"/>
        </w:rPr>
        <w:t>Tablica 9. Pogłowie bydła</w:t>
      </w:r>
      <w:r w:rsidRPr="00C70F89">
        <w:rPr>
          <w:shd w:val="clear" w:color="auto" w:fill="FFFFFF"/>
          <w:vertAlign w:val="superscript"/>
        </w:rPr>
        <w:t xml:space="preserve">a </w:t>
      </w:r>
      <w:r w:rsidRPr="00C70F89">
        <w:rPr>
          <w:shd w:val="clear" w:color="auto" w:fill="FFFFFF"/>
        </w:rPr>
        <w:t>(według stanu w grudniu 201</w:t>
      </w:r>
      <w:r>
        <w:rPr>
          <w:shd w:val="clear" w:color="auto" w:fill="FFFFFF"/>
        </w:rPr>
        <w:t>9</w:t>
      </w:r>
      <w:r w:rsidRPr="00C70F89">
        <w:rPr>
          <w:shd w:val="clear" w:color="auto" w:fill="FFFFFF"/>
        </w:rPr>
        <w:t xml:space="preserve"> r.) </w:t>
      </w:r>
    </w:p>
    <w:p w:rsidR="00352659" w:rsidRPr="005E5FF6" w:rsidRDefault="00352659" w:rsidP="00352659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83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97"/>
        <w:gridCol w:w="2412"/>
        <w:gridCol w:w="2414"/>
        <w:gridCol w:w="2767"/>
      </w:tblGrid>
      <w:tr w:rsidR="00735BDC" w:rsidRPr="00C70F89" w:rsidTr="00C10C05">
        <w:trPr>
          <w:trHeight w:val="57"/>
        </w:trPr>
        <w:tc>
          <w:tcPr>
            <w:tcW w:w="2897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:rsidR="00735BDC" w:rsidRPr="00C70F89" w:rsidRDefault="00735BDC" w:rsidP="00C10C0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C70F8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70F89" w:rsidRDefault="00735BDC" w:rsidP="00C10C0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70F89">
              <w:rPr>
                <w:sz w:val="16"/>
                <w:szCs w:val="16"/>
              </w:rPr>
              <w:t>W sztukach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70F89" w:rsidRDefault="00735BDC" w:rsidP="00C10C0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70F89">
              <w:rPr>
                <w:sz w:val="16"/>
                <w:szCs w:val="16"/>
              </w:rPr>
              <w:t>W odsetkach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35BDC" w:rsidRPr="00C70F89" w:rsidRDefault="00735BDC" w:rsidP="00C10C0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70F89">
              <w:rPr>
                <w:sz w:val="16"/>
                <w:szCs w:val="16"/>
              </w:rPr>
              <w:t>XII 201</w:t>
            </w:r>
            <w:r>
              <w:rPr>
                <w:sz w:val="16"/>
                <w:szCs w:val="16"/>
              </w:rPr>
              <w:t>8</w:t>
            </w:r>
            <w:r w:rsidRPr="00C70F89">
              <w:rPr>
                <w:sz w:val="16"/>
                <w:szCs w:val="16"/>
              </w:rPr>
              <w:t xml:space="preserve"> = 100</w:t>
            </w:r>
          </w:p>
        </w:tc>
      </w:tr>
      <w:tr w:rsidR="00735BDC" w:rsidRPr="00922CF4" w:rsidTr="00C10C05">
        <w:trPr>
          <w:trHeight w:val="57"/>
        </w:trPr>
        <w:tc>
          <w:tcPr>
            <w:tcW w:w="2897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:rsidR="00735BDC" w:rsidRPr="00C70F89" w:rsidRDefault="00735BDC" w:rsidP="00C10C05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70F89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53AAE">
              <w:rPr>
                <w:rFonts w:cs="Arial"/>
                <w:b/>
                <w:sz w:val="16"/>
                <w:szCs w:val="16"/>
              </w:rPr>
              <w:t>158429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53AA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22CF4" w:rsidRDefault="00735BDC" w:rsidP="00C10C0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922CF4">
              <w:rPr>
                <w:rFonts w:cs="Arial"/>
                <w:b/>
                <w:sz w:val="16"/>
                <w:szCs w:val="16"/>
              </w:rPr>
              <w:t>103,3</w:t>
            </w:r>
          </w:p>
        </w:tc>
      </w:tr>
      <w:tr w:rsidR="00735BDC" w:rsidRPr="00922CF4" w:rsidTr="00C10C05">
        <w:trPr>
          <w:trHeight w:val="57"/>
        </w:trPr>
        <w:tc>
          <w:tcPr>
            <w:tcW w:w="2897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C70F89" w:rsidRDefault="00735BDC" w:rsidP="00C10C05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C70F89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46523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22CF4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22CF4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735BDC" w:rsidRPr="00922CF4" w:rsidTr="00C10C05">
        <w:trPr>
          <w:trHeight w:val="57"/>
        </w:trPr>
        <w:tc>
          <w:tcPr>
            <w:tcW w:w="28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C70F89" w:rsidRDefault="00735BDC" w:rsidP="00C10C05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0F89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52195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22CF4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22CF4"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735BDC" w:rsidRPr="00922CF4" w:rsidTr="00C10C05">
        <w:trPr>
          <w:trHeight w:val="57"/>
        </w:trPr>
        <w:tc>
          <w:tcPr>
            <w:tcW w:w="28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C70F89" w:rsidRDefault="00735BDC" w:rsidP="00C10C05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0F89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59711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22CF4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22CF4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735BDC" w:rsidRPr="00922CF4" w:rsidTr="00C10C05">
        <w:trPr>
          <w:trHeight w:val="57"/>
        </w:trPr>
        <w:tc>
          <w:tcPr>
            <w:tcW w:w="28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C70F89" w:rsidRDefault="00735BDC" w:rsidP="00C10C05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0F89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53517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33,8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22CF4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22CF4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735BDC" w:rsidRPr="00922CF4" w:rsidTr="00C10C05">
        <w:trPr>
          <w:trHeight w:val="57"/>
        </w:trPr>
        <w:tc>
          <w:tcPr>
            <w:tcW w:w="289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735BDC" w:rsidRPr="00C70F89" w:rsidRDefault="00735BDC" w:rsidP="00C10C05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70F89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47129</w:t>
            </w:r>
          </w:p>
        </w:tc>
        <w:tc>
          <w:tcPr>
            <w:tcW w:w="2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653AAE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53AAE"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2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35BDC" w:rsidRPr="00922CF4" w:rsidRDefault="00735BDC" w:rsidP="00C10C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22CF4">
              <w:rPr>
                <w:rFonts w:cs="Arial"/>
                <w:sz w:val="16"/>
                <w:szCs w:val="16"/>
              </w:rPr>
              <w:t>96,7</w:t>
            </w:r>
          </w:p>
        </w:tc>
      </w:tr>
    </w:tbl>
    <w:p w:rsidR="00735BDC" w:rsidRPr="00ED5256" w:rsidRDefault="00735BDC" w:rsidP="00735BDC">
      <w:pPr>
        <w:spacing w:after="80"/>
        <w:ind w:left="227"/>
        <w:rPr>
          <w:shd w:val="clear" w:color="auto" w:fill="FFFFFF"/>
        </w:rPr>
      </w:pPr>
      <w:r w:rsidRPr="00D85634">
        <w:rPr>
          <w:rFonts w:cs="Arial"/>
          <w:i/>
          <w:sz w:val="16"/>
          <w:szCs w:val="16"/>
          <w:vertAlign w:val="superscript"/>
        </w:rPr>
        <w:t>a</w:t>
      </w:r>
      <w:r w:rsidRPr="00ED5256">
        <w:rPr>
          <w:rFonts w:cs="Arial"/>
          <w:i/>
          <w:sz w:val="16"/>
          <w:szCs w:val="16"/>
        </w:rPr>
        <w:t xml:space="preserve"> </w:t>
      </w:r>
      <w:r w:rsidRPr="00ED5256">
        <w:rPr>
          <w:rFonts w:cs="Arial"/>
          <w:sz w:val="16"/>
          <w:szCs w:val="16"/>
        </w:rPr>
        <w:t>Dane wstępne.</w:t>
      </w:r>
    </w:p>
    <w:p w:rsidR="00735BDC" w:rsidRPr="005E3274" w:rsidRDefault="00735BDC" w:rsidP="00352659">
      <w:pPr>
        <w:spacing w:before="360" w:after="80"/>
        <w:rPr>
          <w:shd w:val="clear" w:color="auto" w:fill="FFFFFF"/>
        </w:rPr>
      </w:pPr>
      <w:r w:rsidRPr="005E3274">
        <w:rPr>
          <w:shd w:val="clear" w:color="auto" w:fill="FFFFFF"/>
        </w:rPr>
        <w:t>W grudniu 201</w:t>
      </w:r>
      <w:r w:rsidR="00590DD9">
        <w:rPr>
          <w:shd w:val="clear" w:color="auto" w:fill="FFFFFF"/>
        </w:rPr>
        <w:t>9</w:t>
      </w:r>
      <w:r w:rsidRPr="005E3274">
        <w:rPr>
          <w:shd w:val="clear" w:color="auto" w:fill="FFFFFF"/>
        </w:rPr>
        <w:t xml:space="preserve"> r. </w:t>
      </w:r>
      <w:r w:rsidRPr="005E3274">
        <w:rPr>
          <w:b/>
          <w:shd w:val="clear" w:color="auto" w:fill="FFFFFF"/>
        </w:rPr>
        <w:t>pogłowie bydła</w:t>
      </w:r>
      <w:r w:rsidRPr="005E3274">
        <w:rPr>
          <w:shd w:val="clear" w:color="auto" w:fill="FFFFFF"/>
        </w:rPr>
        <w:t xml:space="preserve"> ogółem liczyło 158,4 tys. sztuk i było większe o 5,0 tys. sztuk (o 3,3%) niż w grudniu 2018</w:t>
      </w:r>
      <w:r w:rsidR="00352659">
        <w:rPr>
          <w:shd w:val="clear" w:color="auto" w:fill="FFFFFF"/>
        </w:rPr>
        <w:t> </w:t>
      </w:r>
      <w:r w:rsidRPr="005E3274">
        <w:rPr>
          <w:shd w:val="clear" w:color="auto" w:fill="FFFFFF"/>
        </w:rPr>
        <w:t>r. Relatywnie największy przyrost (o 3,9%) dotyczył stada młodego bydła od 1 do 2 lat. Udział województwa świętokrzyskiego w krajowym pogłowiu bydła ogółem wyniósł 2,5%.</w:t>
      </w:r>
    </w:p>
    <w:p w:rsidR="00735BDC" w:rsidRDefault="00590DD9" w:rsidP="00B074E3">
      <w:pPr>
        <w:spacing w:before="480" w:after="0"/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6790055</wp:posOffset>
            </wp:positionV>
            <wp:extent cx="6645910" cy="2527935"/>
            <wp:effectExtent l="0" t="0" r="0" b="0"/>
            <wp:wrapSquare wrapText="bothSides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DC" w:rsidRPr="004F64D3">
        <w:rPr>
          <w:b/>
        </w:rPr>
        <w:t xml:space="preserve">Wykres </w:t>
      </w:r>
      <w:r w:rsidR="002B20E7">
        <w:rPr>
          <w:b/>
        </w:rPr>
        <w:t>10</w:t>
      </w:r>
      <w:r w:rsidR="00735BDC" w:rsidRPr="004F64D3">
        <w:rPr>
          <w:b/>
        </w:rPr>
        <w:t>.</w:t>
      </w:r>
      <w:r w:rsidR="00735BDC" w:rsidRPr="004F64D3">
        <w:rPr>
          <w:b/>
          <w:shd w:val="clear" w:color="auto" w:fill="FFFFFF"/>
        </w:rPr>
        <w:t xml:space="preserve"> Pogłowie bydła</w:t>
      </w:r>
    </w:p>
    <w:p w:rsidR="00735BDC" w:rsidRDefault="00735BDC" w:rsidP="00735BDC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D85634">
        <w:rPr>
          <w:rFonts w:cs="Arial"/>
          <w:i/>
          <w:sz w:val="16"/>
          <w:szCs w:val="16"/>
          <w:vertAlign w:val="superscript"/>
        </w:rPr>
        <w:t>a</w:t>
      </w:r>
      <w:r w:rsidRPr="004F64D3">
        <w:rPr>
          <w:rFonts w:cs="Arial"/>
          <w:i/>
          <w:sz w:val="16"/>
          <w:szCs w:val="16"/>
        </w:rPr>
        <w:t xml:space="preserve"> </w:t>
      </w:r>
      <w:r w:rsidRPr="004F64D3">
        <w:rPr>
          <w:rFonts w:cs="Arial"/>
          <w:sz w:val="16"/>
          <w:szCs w:val="16"/>
        </w:rPr>
        <w:t>Dane wstępne.</w:t>
      </w:r>
    </w:p>
    <w:p w:rsidR="00284CE4" w:rsidRPr="009863B2" w:rsidRDefault="00284CE4" w:rsidP="006A0B93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:rsidR="00657820" w:rsidRPr="00010D9B" w:rsidRDefault="00657820" w:rsidP="00597A8D">
      <w:pPr>
        <w:rPr>
          <w:shd w:val="clear" w:color="auto" w:fill="FFFFFF"/>
        </w:rPr>
      </w:pPr>
      <w:r w:rsidRPr="00010D9B">
        <w:rPr>
          <w:shd w:val="clear" w:color="auto" w:fill="FFFFFF"/>
        </w:rPr>
        <w:t xml:space="preserve">Produkcja sprzedana przemysłu </w:t>
      </w:r>
      <w:r w:rsidR="009B7CC3">
        <w:rPr>
          <w:shd w:val="clear" w:color="auto" w:fill="FFFFFF"/>
        </w:rPr>
        <w:t xml:space="preserve">w </w:t>
      </w:r>
      <w:r w:rsidR="000A2B53">
        <w:rPr>
          <w:shd w:val="clear" w:color="auto" w:fill="FFFFFF"/>
        </w:rPr>
        <w:t>styczniu 2020</w:t>
      </w:r>
      <w:r w:rsidRPr="00010D9B">
        <w:rPr>
          <w:shd w:val="clear" w:color="auto" w:fill="FFFFFF"/>
        </w:rPr>
        <w:t xml:space="preserve"> r. osiągnęła wartość (w cenach bieżących) </w:t>
      </w:r>
      <w:r w:rsidR="000A2B53">
        <w:rPr>
          <w:shd w:val="clear" w:color="auto" w:fill="FFFFFF"/>
        </w:rPr>
        <w:t>2324,7</w:t>
      </w:r>
      <w:r>
        <w:rPr>
          <w:shd w:val="clear" w:color="auto" w:fill="FFFFFF"/>
        </w:rPr>
        <w:t xml:space="preserve"> </w:t>
      </w:r>
      <w:r w:rsidRPr="00010D9B">
        <w:rPr>
          <w:shd w:val="clear" w:color="auto" w:fill="FFFFFF"/>
        </w:rPr>
        <w:t>mln zł i była (w cenach stałych) o</w:t>
      </w:r>
      <w:r w:rsidR="00BD6E79">
        <w:rPr>
          <w:shd w:val="clear" w:color="auto" w:fill="FFFFFF"/>
        </w:rPr>
        <w:t xml:space="preserve"> </w:t>
      </w:r>
      <w:r w:rsidR="00122AAC">
        <w:rPr>
          <w:shd w:val="clear" w:color="auto" w:fill="FFFFFF"/>
        </w:rPr>
        <w:t>5,2</w:t>
      </w:r>
      <w:r w:rsidRPr="00010D9B">
        <w:rPr>
          <w:shd w:val="clear" w:color="auto" w:fill="FFFFFF"/>
        </w:rPr>
        <w:t xml:space="preserve">% </w:t>
      </w:r>
      <w:r w:rsidR="00E25295">
        <w:rPr>
          <w:shd w:val="clear" w:color="auto" w:fill="FFFFFF"/>
        </w:rPr>
        <w:t>większa</w:t>
      </w:r>
      <w:r w:rsidRPr="00010D9B">
        <w:rPr>
          <w:shd w:val="clear" w:color="auto" w:fill="FFFFFF"/>
        </w:rPr>
        <w:t xml:space="preserve"> niż przed rokiem oraz o </w:t>
      </w:r>
      <w:r w:rsidR="00122AAC">
        <w:rPr>
          <w:shd w:val="clear" w:color="auto" w:fill="FFFFFF"/>
        </w:rPr>
        <w:t>11,0</w:t>
      </w:r>
      <w:r w:rsidRPr="00010D9B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="00E25295">
        <w:rPr>
          <w:shd w:val="clear" w:color="auto" w:fill="FFFFFF"/>
        </w:rPr>
        <w:t xml:space="preserve">mniejsza </w:t>
      </w:r>
      <w:r w:rsidRPr="00010D9B">
        <w:rPr>
          <w:shd w:val="clear" w:color="auto" w:fill="FFFFFF"/>
        </w:rPr>
        <w:t xml:space="preserve">niż przed miesiącem. </w:t>
      </w:r>
    </w:p>
    <w:p w:rsidR="00657820" w:rsidRPr="00FA7FF0" w:rsidRDefault="00657820" w:rsidP="00597A8D">
      <w:pPr>
        <w:rPr>
          <w:shd w:val="clear" w:color="auto" w:fill="FFFFFF"/>
        </w:rPr>
      </w:pPr>
      <w:r w:rsidRPr="00FA7FF0">
        <w:rPr>
          <w:shd w:val="clear" w:color="auto" w:fill="FFFFFF"/>
        </w:rPr>
        <w:t xml:space="preserve">Produkcja sprzedana w przetwórstwie przemysłowym, stanowiąca </w:t>
      </w:r>
      <w:r w:rsidR="00122AAC">
        <w:rPr>
          <w:shd w:val="clear" w:color="auto" w:fill="FFFFFF"/>
        </w:rPr>
        <w:t>83,7</w:t>
      </w:r>
      <w:r w:rsidRPr="00FA7FF0">
        <w:rPr>
          <w:shd w:val="clear" w:color="auto" w:fill="FFFFFF"/>
        </w:rPr>
        <w:t xml:space="preserve">% produkcji przemysłowej, w porównaniu </w:t>
      </w:r>
      <w:r>
        <w:rPr>
          <w:shd w:val="clear" w:color="auto" w:fill="FFFFFF"/>
        </w:rPr>
        <w:t>z</w:t>
      </w:r>
      <w:r w:rsidR="00122AAC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="00122AAC">
        <w:rPr>
          <w:shd w:val="clear" w:color="auto" w:fill="FFFFFF"/>
        </w:rPr>
        <w:t>styczniem</w:t>
      </w:r>
      <w:r w:rsidR="009B7CC3">
        <w:rPr>
          <w:shd w:val="clear" w:color="auto" w:fill="FFFFFF"/>
        </w:rPr>
        <w:t xml:space="preserve"> </w:t>
      </w:r>
      <w:r w:rsidRPr="00FA7FF0">
        <w:rPr>
          <w:shd w:val="clear" w:color="auto" w:fill="FFFFFF"/>
        </w:rPr>
        <w:t>201</w:t>
      </w:r>
      <w:r w:rsidR="00122AAC">
        <w:rPr>
          <w:shd w:val="clear" w:color="auto" w:fill="FFFFFF"/>
        </w:rPr>
        <w:t>9</w:t>
      </w:r>
      <w:r w:rsidRPr="00FA7FF0">
        <w:rPr>
          <w:shd w:val="clear" w:color="auto" w:fill="FFFFFF"/>
        </w:rPr>
        <w:t xml:space="preserve"> r</w:t>
      </w:r>
      <w:r w:rsidR="00626140">
        <w:rPr>
          <w:shd w:val="clear" w:color="auto" w:fill="FFFFFF"/>
        </w:rPr>
        <w:t>.</w:t>
      </w:r>
      <w:r w:rsidRPr="00FA7FF0">
        <w:rPr>
          <w:shd w:val="clear" w:color="auto" w:fill="FFFFFF"/>
        </w:rPr>
        <w:t xml:space="preserve"> </w:t>
      </w:r>
      <w:r w:rsidR="00E25295">
        <w:rPr>
          <w:shd w:val="clear" w:color="auto" w:fill="FFFFFF"/>
        </w:rPr>
        <w:t>zwiększył</w:t>
      </w:r>
      <w:r w:rsidR="00BD6E79">
        <w:rPr>
          <w:shd w:val="clear" w:color="auto" w:fill="FFFFFF"/>
        </w:rPr>
        <w:t>a</w:t>
      </w:r>
      <w:r w:rsidRPr="00FA7FF0">
        <w:rPr>
          <w:shd w:val="clear" w:color="auto" w:fill="FFFFFF"/>
        </w:rPr>
        <w:t xml:space="preserve"> się o </w:t>
      </w:r>
      <w:r w:rsidR="00122AAC">
        <w:rPr>
          <w:shd w:val="clear" w:color="auto" w:fill="FFFFFF"/>
        </w:rPr>
        <w:t>8,8</w:t>
      </w:r>
      <w:r w:rsidRPr="00FA7FF0">
        <w:rPr>
          <w:shd w:val="clear" w:color="auto" w:fill="FFFFFF"/>
        </w:rPr>
        <w:t xml:space="preserve">%. </w:t>
      </w:r>
      <w:r w:rsidR="00D01A7B">
        <w:rPr>
          <w:shd w:val="clear" w:color="auto" w:fill="FFFFFF"/>
        </w:rPr>
        <w:t>W dostawie</w:t>
      </w:r>
      <w:r w:rsidRPr="00FA7FF0">
        <w:rPr>
          <w:shd w:val="clear" w:color="auto" w:fill="FFFFFF"/>
        </w:rPr>
        <w:t xml:space="preserve"> wody; gospodarowani</w:t>
      </w:r>
      <w:r w:rsidR="00D01A7B">
        <w:rPr>
          <w:shd w:val="clear" w:color="auto" w:fill="FFFFFF"/>
        </w:rPr>
        <w:t>u</w:t>
      </w:r>
      <w:r w:rsidRPr="00FA7FF0">
        <w:rPr>
          <w:shd w:val="clear" w:color="auto" w:fill="FFFFFF"/>
        </w:rPr>
        <w:t xml:space="preserve"> ś</w:t>
      </w:r>
      <w:r w:rsidR="00D01A7B">
        <w:rPr>
          <w:shd w:val="clear" w:color="auto" w:fill="FFFFFF"/>
        </w:rPr>
        <w:t>ciekami i odpadami; rekultywacji</w:t>
      </w:r>
      <w:r w:rsidRPr="009B0D3C">
        <w:rPr>
          <w:shd w:val="clear" w:color="auto" w:fill="FFFFFF"/>
        </w:rPr>
        <w:t xml:space="preserve"> </w:t>
      </w:r>
      <w:r w:rsidR="00122AAC">
        <w:rPr>
          <w:shd w:val="clear" w:color="auto" w:fill="FFFFFF"/>
        </w:rPr>
        <w:t>również odnotowano wzrost (o 1,0%)</w:t>
      </w:r>
      <w:r>
        <w:rPr>
          <w:shd w:val="clear" w:color="auto" w:fill="FFFFFF"/>
        </w:rPr>
        <w:t>.</w:t>
      </w:r>
    </w:p>
    <w:p w:rsidR="00657820" w:rsidRDefault="00657820" w:rsidP="00597A8D">
      <w:pPr>
        <w:rPr>
          <w:shd w:val="clear" w:color="auto" w:fill="FFFFFF"/>
        </w:rPr>
      </w:pPr>
      <w:r w:rsidRPr="00F417BF">
        <w:rPr>
          <w:shd w:val="clear" w:color="auto" w:fill="FFFFFF"/>
        </w:rPr>
        <w:t>Wyższy niż w analogicznym miesiącu 201</w:t>
      </w:r>
      <w:r w:rsidR="00122AAC">
        <w:rPr>
          <w:shd w:val="clear" w:color="auto" w:fill="FFFFFF"/>
        </w:rPr>
        <w:t>9</w:t>
      </w:r>
      <w:r w:rsidRPr="00F417BF">
        <w:rPr>
          <w:shd w:val="clear" w:color="auto" w:fill="FFFFFF"/>
        </w:rPr>
        <w:t xml:space="preserve"> r</w:t>
      </w:r>
      <w:r w:rsidR="004D426A">
        <w:rPr>
          <w:shd w:val="clear" w:color="auto" w:fill="FFFFFF"/>
        </w:rPr>
        <w:t>.</w:t>
      </w:r>
      <w:r w:rsidRPr="00F417BF">
        <w:rPr>
          <w:shd w:val="clear" w:color="auto" w:fill="FFFFFF"/>
        </w:rPr>
        <w:t xml:space="preserve"> poziom produkcji sprzedanej wystąpił w </w:t>
      </w:r>
      <w:r w:rsidR="00C7183A">
        <w:rPr>
          <w:shd w:val="clear" w:color="auto" w:fill="FFFFFF"/>
        </w:rPr>
        <w:t>1</w:t>
      </w:r>
      <w:r w:rsidR="00D41FB2">
        <w:rPr>
          <w:shd w:val="clear" w:color="auto" w:fill="FFFFFF"/>
        </w:rPr>
        <w:t>6</w:t>
      </w:r>
      <w:r w:rsidRPr="00F417BF">
        <w:rPr>
          <w:shd w:val="clear" w:color="auto" w:fill="FFFFFF"/>
        </w:rPr>
        <w:t xml:space="preserve"> działach przemysłu (spośród </w:t>
      </w:r>
      <w:r w:rsidR="00BD6E79">
        <w:rPr>
          <w:shd w:val="clear" w:color="auto" w:fill="FFFFFF"/>
        </w:rPr>
        <w:t>2</w:t>
      </w:r>
      <w:r w:rsidR="00D41FB2">
        <w:rPr>
          <w:shd w:val="clear" w:color="auto" w:fill="FFFFFF"/>
        </w:rPr>
        <w:t>8</w:t>
      </w:r>
      <w:r w:rsidRPr="00F417BF">
        <w:rPr>
          <w:shd w:val="clear" w:color="auto" w:fill="FFFFFF"/>
        </w:rPr>
        <w:t xml:space="preserve"> występujący</w:t>
      </w:r>
      <w:r>
        <w:rPr>
          <w:shd w:val="clear" w:color="auto" w:fill="FFFFFF"/>
        </w:rPr>
        <w:t xml:space="preserve">ch w województwie), niższy – w </w:t>
      </w:r>
      <w:r w:rsidR="00C7183A">
        <w:rPr>
          <w:shd w:val="clear" w:color="auto" w:fill="FFFFFF"/>
        </w:rPr>
        <w:t>1</w:t>
      </w:r>
      <w:r w:rsidR="00D41FB2">
        <w:rPr>
          <w:shd w:val="clear" w:color="auto" w:fill="FFFFFF"/>
        </w:rPr>
        <w:t>2</w:t>
      </w:r>
      <w:r w:rsidRPr="00F417BF">
        <w:rPr>
          <w:shd w:val="clear" w:color="auto" w:fill="FFFFFF"/>
        </w:rPr>
        <w:t xml:space="preserve">. </w:t>
      </w:r>
      <w:r w:rsidR="00102E25">
        <w:rPr>
          <w:shd w:val="clear" w:color="auto" w:fill="FFFFFF"/>
        </w:rPr>
        <w:t>W</w:t>
      </w:r>
      <w:r w:rsidRPr="00F417BF">
        <w:rPr>
          <w:shd w:val="clear" w:color="auto" w:fill="FFFFFF"/>
        </w:rPr>
        <w:t>śród działów przemysłu o znaczącym udziale w sprzedaży</w:t>
      </w:r>
      <w:r>
        <w:rPr>
          <w:shd w:val="clear" w:color="auto" w:fill="FFFFFF"/>
        </w:rPr>
        <w:t>,</w:t>
      </w:r>
      <w:r w:rsidRPr="00F417BF">
        <w:rPr>
          <w:shd w:val="clear" w:color="auto" w:fill="FFFFFF"/>
        </w:rPr>
        <w:t xml:space="preserve"> </w:t>
      </w:r>
      <w:r w:rsidR="00102E25">
        <w:rPr>
          <w:shd w:val="clear" w:color="auto" w:fill="FFFFFF"/>
        </w:rPr>
        <w:t xml:space="preserve">w dalszym ciągu dynamicznie zwiększała się </w:t>
      </w:r>
      <w:r w:rsidR="00102E25" w:rsidRPr="00102E25">
        <w:rPr>
          <w:shd w:val="clear" w:color="auto" w:fill="FFFFFF"/>
        </w:rPr>
        <w:t>produkcja wyrobów z gumy i tworzyw sztucznych</w:t>
      </w:r>
      <w:r w:rsidR="00716B29">
        <w:rPr>
          <w:shd w:val="clear" w:color="auto" w:fill="FFFFFF"/>
        </w:rPr>
        <w:t xml:space="preserve">, która wzrosła o </w:t>
      </w:r>
      <w:r w:rsidR="00102E25">
        <w:rPr>
          <w:shd w:val="clear" w:color="auto" w:fill="FFFFFF"/>
        </w:rPr>
        <w:t>31,0</w:t>
      </w:r>
      <w:r w:rsidR="00716B29">
        <w:rPr>
          <w:shd w:val="clear" w:color="auto" w:fill="FFFFFF"/>
        </w:rPr>
        <w:t>%.</w:t>
      </w:r>
      <w:r w:rsidR="00FE6972">
        <w:rPr>
          <w:shd w:val="clear" w:color="auto" w:fill="FFFFFF"/>
        </w:rPr>
        <w:t xml:space="preserve"> </w:t>
      </w:r>
      <w:r w:rsidR="00102E25">
        <w:rPr>
          <w:shd w:val="clear" w:color="auto" w:fill="FFFFFF"/>
        </w:rPr>
        <w:t>Wysoki wzrost utrzymał się także m.in. w produkcji artykułów spożywczych (o 10,4%). Wyraźnie wolniej niż przed miesiącem zwiększała się</w:t>
      </w:r>
      <w:r w:rsidR="000B08B2">
        <w:rPr>
          <w:shd w:val="clear" w:color="auto" w:fill="FFFFFF"/>
        </w:rPr>
        <w:t xml:space="preserve"> </w:t>
      </w:r>
      <w:r w:rsidR="00432E82">
        <w:t>produkcj</w:t>
      </w:r>
      <w:r w:rsidR="00102E25">
        <w:t>a</w:t>
      </w:r>
      <w:r w:rsidR="00432E82">
        <w:t xml:space="preserve"> </w:t>
      </w:r>
      <w:r w:rsidR="00432E82" w:rsidRPr="00851A64">
        <w:rPr>
          <w:shd w:val="clear" w:color="auto" w:fill="FFFFFF"/>
        </w:rPr>
        <w:t>wyrobów z drewna, korka, słomy i wiklin</w:t>
      </w:r>
      <w:r w:rsidR="00432E82">
        <w:rPr>
          <w:shd w:val="clear" w:color="auto" w:fill="FFFFFF"/>
        </w:rPr>
        <w:t>y</w:t>
      </w:r>
      <w:r w:rsidR="000B08B2" w:rsidRPr="000B08B2">
        <w:rPr>
          <w:shd w:val="clear" w:color="auto" w:fill="FFFFFF"/>
        </w:rPr>
        <w:t xml:space="preserve"> </w:t>
      </w:r>
      <w:r w:rsidR="000B08B2">
        <w:rPr>
          <w:shd w:val="clear" w:color="auto" w:fill="FFFFFF"/>
        </w:rPr>
        <w:t>oraz produkcj</w:t>
      </w:r>
      <w:r w:rsidR="00102E25">
        <w:rPr>
          <w:shd w:val="clear" w:color="auto" w:fill="FFFFFF"/>
        </w:rPr>
        <w:t>a</w:t>
      </w:r>
      <w:r w:rsidR="000B08B2">
        <w:rPr>
          <w:shd w:val="clear" w:color="auto" w:fill="FFFFFF"/>
        </w:rPr>
        <w:t xml:space="preserve"> </w:t>
      </w:r>
      <w:r w:rsidR="000B08B2" w:rsidRPr="00873AA5">
        <w:rPr>
          <w:shd w:val="clear" w:color="auto" w:fill="FFFFFF"/>
        </w:rPr>
        <w:t>wyrobów z pozosta</w:t>
      </w:r>
      <w:r w:rsidR="000B08B2">
        <w:rPr>
          <w:shd w:val="clear" w:color="auto" w:fill="FFFFFF"/>
        </w:rPr>
        <w:t>łych mineralnych surowców nieme</w:t>
      </w:r>
      <w:r w:rsidR="000B08B2" w:rsidRPr="00873AA5">
        <w:rPr>
          <w:shd w:val="clear" w:color="auto" w:fill="FFFFFF"/>
        </w:rPr>
        <w:t>talicznych</w:t>
      </w:r>
      <w:r w:rsidR="00432E82">
        <w:rPr>
          <w:shd w:val="clear" w:color="auto" w:fill="FFFFFF"/>
        </w:rPr>
        <w:t xml:space="preserve"> </w:t>
      </w:r>
      <w:r w:rsidR="000B08B2">
        <w:rPr>
          <w:shd w:val="clear" w:color="auto" w:fill="FFFFFF"/>
        </w:rPr>
        <w:t>(odpowiednio</w:t>
      </w:r>
      <w:r w:rsidR="00432E82">
        <w:rPr>
          <w:shd w:val="clear" w:color="auto" w:fill="FFFFFF"/>
        </w:rPr>
        <w:t xml:space="preserve"> </w:t>
      </w:r>
      <w:r w:rsidR="000B08B2">
        <w:rPr>
          <w:shd w:val="clear" w:color="auto" w:fill="FFFFFF"/>
        </w:rPr>
        <w:t xml:space="preserve">o </w:t>
      </w:r>
      <w:r w:rsidR="00102E25">
        <w:rPr>
          <w:shd w:val="clear" w:color="auto" w:fill="FFFFFF"/>
        </w:rPr>
        <w:t>0,5</w:t>
      </w:r>
      <w:r w:rsidR="00432E82">
        <w:rPr>
          <w:shd w:val="clear" w:color="auto" w:fill="FFFFFF"/>
        </w:rPr>
        <w:t>%</w:t>
      </w:r>
      <w:r w:rsidR="000B08B2">
        <w:rPr>
          <w:shd w:val="clear" w:color="auto" w:fill="FFFFFF"/>
        </w:rPr>
        <w:t xml:space="preserve"> i</w:t>
      </w:r>
      <w:r w:rsidR="00716B29">
        <w:rPr>
          <w:shd w:val="clear" w:color="auto" w:fill="FFFFFF"/>
        </w:rPr>
        <w:t xml:space="preserve"> </w:t>
      </w:r>
      <w:r w:rsidR="00102E25">
        <w:rPr>
          <w:shd w:val="clear" w:color="auto" w:fill="FFFFFF"/>
        </w:rPr>
        <w:t>2,3</w:t>
      </w:r>
      <w:r w:rsidR="00873AA5">
        <w:rPr>
          <w:shd w:val="clear" w:color="auto" w:fill="FFFFFF"/>
        </w:rPr>
        <w:t>%</w:t>
      </w:r>
      <w:r w:rsidR="000B08B2">
        <w:rPr>
          <w:shd w:val="clear" w:color="auto" w:fill="FFFFFF"/>
        </w:rPr>
        <w:t>)</w:t>
      </w:r>
      <w:r w:rsidR="00873AA5">
        <w:rPr>
          <w:shd w:val="clear" w:color="auto" w:fill="FFFFFF"/>
        </w:rPr>
        <w:t>.</w:t>
      </w:r>
      <w:r w:rsidR="00873AA5" w:rsidRPr="00873AA5">
        <w:rPr>
          <w:shd w:val="clear" w:color="auto" w:fill="FFFFFF"/>
        </w:rPr>
        <w:t xml:space="preserve"> </w:t>
      </w:r>
      <w:r w:rsidR="00716B29">
        <w:rPr>
          <w:shd w:val="clear" w:color="auto" w:fill="FFFFFF"/>
        </w:rPr>
        <w:t xml:space="preserve">Na przeciwnym biegunie znalazła się </w:t>
      </w:r>
      <w:r w:rsidR="00102E25">
        <w:rPr>
          <w:shd w:val="clear" w:color="auto" w:fill="FFFFFF"/>
        </w:rPr>
        <w:t>produkcja</w:t>
      </w:r>
      <w:r w:rsidR="00102E25" w:rsidRPr="00102E25">
        <w:rPr>
          <w:shd w:val="clear" w:color="auto" w:fill="FFFFFF"/>
        </w:rPr>
        <w:t xml:space="preserve"> pojazdów samochodowych, przyczep i naczep</w:t>
      </w:r>
      <w:r w:rsidR="00102E25">
        <w:rPr>
          <w:shd w:val="clear" w:color="auto" w:fill="FFFFFF"/>
        </w:rPr>
        <w:t xml:space="preserve">, która po wysokim wzroście </w:t>
      </w:r>
      <w:r w:rsidR="00FE6972">
        <w:rPr>
          <w:shd w:val="clear" w:color="auto" w:fill="FFFFFF"/>
        </w:rPr>
        <w:t>miesiąc wcześniej,</w:t>
      </w:r>
      <w:r w:rsidR="00102E25">
        <w:rPr>
          <w:shd w:val="clear" w:color="auto" w:fill="FFFFFF"/>
        </w:rPr>
        <w:t xml:space="preserve"> obniżyła się o 13,2%. S</w:t>
      </w:r>
      <w:r w:rsidR="00716B29">
        <w:rPr>
          <w:shd w:val="clear" w:color="auto" w:fill="FFFFFF"/>
        </w:rPr>
        <w:t xml:space="preserve">padek </w:t>
      </w:r>
      <w:r w:rsidR="00102E25">
        <w:rPr>
          <w:shd w:val="clear" w:color="auto" w:fill="FFFFFF"/>
        </w:rPr>
        <w:t>produkcji sprzedanej wystąpił także m.in. w produkcji wyrobów z metali (o 8,1%) i w produkcji maszyn i urządzeń (o 1,3%)</w:t>
      </w:r>
      <w:r w:rsidR="006451BF">
        <w:rPr>
          <w:shd w:val="clear" w:color="auto" w:fill="FFFFFF"/>
        </w:rPr>
        <w:t>.</w:t>
      </w:r>
      <w:r w:rsidR="00102E25" w:rsidRPr="00102E25">
        <w:t xml:space="preserve"> </w:t>
      </w:r>
    </w:p>
    <w:p w:rsidR="00352659" w:rsidRPr="00DD7B34" w:rsidRDefault="00284CE4" w:rsidP="00590DD9">
      <w:pPr>
        <w:pStyle w:val="tytuwykresu"/>
        <w:spacing w:after="120"/>
        <w:rPr>
          <w:shd w:val="clear" w:color="auto" w:fill="FFFFFF"/>
        </w:rPr>
      </w:pPr>
      <w:r w:rsidRPr="00221F66">
        <w:rPr>
          <w:shd w:val="clear" w:color="auto" w:fill="FFFFFF"/>
        </w:rPr>
        <w:t xml:space="preserve">Tablica </w:t>
      </w:r>
      <w:r w:rsidR="00DE17D0">
        <w:rPr>
          <w:shd w:val="clear" w:color="auto" w:fill="FFFFFF"/>
        </w:rPr>
        <w:t>10</w:t>
      </w:r>
      <w:r w:rsidRPr="00221F66">
        <w:rPr>
          <w:shd w:val="clear" w:color="auto" w:fill="FFFFFF"/>
        </w:rPr>
        <w:t>. Dynamika (w cenach stałych) i struktura (w cenach bieżących) produkcji sprzedanej przemysłu</w:t>
      </w:r>
    </w:p>
    <w:p w:rsidR="000F2F8F" w:rsidRPr="005E5FF6" w:rsidRDefault="000F2F8F" w:rsidP="00352659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="108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211"/>
        <w:gridCol w:w="2586"/>
        <w:gridCol w:w="2693"/>
      </w:tblGrid>
      <w:tr w:rsidR="000A2B53" w:rsidRPr="00FA5128" w:rsidTr="00A75532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A2B53" w:rsidRPr="009C7251" w:rsidRDefault="000A2B53" w:rsidP="000A2B53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A2B53" w:rsidRPr="00FA5128" w:rsidRDefault="000A2B53" w:rsidP="000A2B53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</w:p>
        </w:tc>
      </w:tr>
      <w:tr w:rsidR="000A2B53" w:rsidRPr="00FA5128" w:rsidTr="00A75532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A2B53" w:rsidRPr="00FA5128" w:rsidRDefault="000A2B53" w:rsidP="000A2B53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A2B53" w:rsidRDefault="000A2B53" w:rsidP="000A2B5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analogiczny okres roku</w:t>
            </w:r>
          </w:p>
          <w:p w:rsidR="000A2B53" w:rsidRPr="00FA5128" w:rsidRDefault="000A2B53" w:rsidP="000A2B5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A2B53" w:rsidRPr="00FA5128" w:rsidRDefault="000A2B53" w:rsidP="000A2B5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A2B53" w:rsidRPr="00FA5128" w:rsidRDefault="000A2B53" w:rsidP="000A2B53">
            <w:pPr>
              <w:pStyle w:val="Nagwek5"/>
              <w:tabs>
                <w:tab w:val="right" w:leader="dot" w:pos="4156"/>
              </w:tabs>
              <w:spacing w:before="0" w:line="20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A2B53" w:rsidRPr="0081468A" w:rsidRDefault="000A2B53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0A2B53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A2B53" w:rsidRPr="0081468A" w:rsidRDefault="000A2B53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83,7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0A2B53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0A2B53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131,0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metali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maszyn i urządzeń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>pojazdów samochodowych, przyczep i 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0A2B53" w:rsidRPr="0081468A" w:rsidTr="000A2B53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4A67E5" w:rsidRDefault="000A2B53" w:rsidP="000A2B53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Dostawa wody; gospodarowanie ściekami i odpadami: rekultywacja 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A2B53" w:rsidRPr="00FA5128" w:rsidRDefault="00122AAC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A2B53" w:rsidRPr="0081468A" w:rsidRDefault="00D41FB2" w:rsidP="000A2B53">
            <w:pPr>
              <w:spacing w:before="0" w:after="0" w:line="200" w:lineRule="exact"/>
              <w:ind w:right="17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</w:tbl>
    <w:p w:rsidR="000A2B53" w:rsidRDefault="000A2B53" w:rsidP="000A2B53">
      <w:pPr>
        <w:pStyle w:val="tytuwykresu"/>
        <w:spacing w:before="0"/>
        <w:rPr>
          <w:shd w:val="clear" w:color="auto" w:fill="FFFFFF"/>
        </w:rPr>
      </w:pPr>
    </w:p>
    <w:p w:rsidR="00657820" w:rsidRPr="00DF6F50" w:rsidRDefault="00657820" w:rsidP="000F2F8F">
      <w:pPr>
        <w:rPr>
          <w:shd w:val="clear" w:color="auto" w:fill="FFFFFF"/>
        </w:rPr>
      </w:pPr>
      <w:r w:rsidRPr="00DF6F50">
        <w:rPr>
          <w:shd w:val="clear" w:color="auto" w:fill="FFFFFF"/>
        </w:rPr>
        <w:t xml:space="preserve">W porównaniu </w:t>
      </w:r>
      <w:r w:rsidR="00E22E4E">
        <w:rPr>
          <w:shd w:val="clear" w:color="auto" w:fill="FFFFFF"/>
        </w:rPr>
        <w:t xml:space="preserve">z </w:t>
      </w:r>
      <w:r w:rsidR="00537DFC">
        <w:rPr>
          <w:shd w:val="clear" w:color="auto" w:fill="FFFFFF"/>
        </w:rPr>
        <w:t>grudni</w:t>
      </w:r>
      <w:r w:rsidR="00F3684B">
        <w:rPr>
          <w:shd w:val="clear" w:color="auto" w:fill="FFFFFF"/>
        </w:rPr>
        <w:t>em</w:t>
      </w:r>
      <w:r>
        <w:rPr>
          <w:shd w:val="clear" w:color="auto" w:fill="FFFFFF"/>
        </w:rPr>
        <w:t xml:space="preserve"> </w:t>
      </w:r>
      <w:r w:rsidRPr="00DF6F50">
        <w:rPr>
          <w:shd w:val="clear" w:color="auto" w:fill="FFFFFF"/>
        </w:rPr>
        <w:t>201</w:t>
      </w:r>
      <w:r>
        <w:rPr>
          <w:shd w:val="clear" w:color="auto" w:fill="FFFFFF"/>
        </w:rPr>
        <w:t>9</w:t>
      </w:r>
      <w:r w:rsidRPr="00DF6F50">
        <w:rPr>
          <w:shd w:val="clear" w:color="auto" w:fill="FFFFFF"/>
        </w:rPr>
        <w:t xml:space="preserve"> r. produkcja sprzedana w przetwórstwie przemysłowym </w:t>
      </w:r>
      <w:r w:rsidR="00567E25">
        <w:rPr>
          <w:shd w:val="clear" w:color="auto" w:fill="FFFFFF"/>
        </w:rPr>
        <w:t>zmalała</w:t>
      </w:r>
      <w:r w:rsidR="00E22E4E">
        <w:rPr>
          <w:shd w:val="clear" w:color="auto" w:fill="FFFFFF"/>
        </w:rPr>
        <w:t xml:space="preserve"> </w:t>
      </w:r>
      <w:r w:rsidRPr="00DF6F50">
        <w:rPr>
          <w:shd w:val="clear" w:color="auto" w:fill="FFFFFF"/>
        </w:rPr>
        <w:t>o</w:t>
      </w:r>
      <w:r w:rsidR="00B1403B">
        <w:rPr>
          <w:shd w:val="clear" w:color="auto" w:fill="FFFFFF"/>
        </w:rPr>
        <w:t xml:space="preserve"> </w:t>
      </w:r>
      <w:r w:rsidR="00F3684B">
        <w:rPr>
          <w:shd w:val="clear" w:color="auto" w:fill="FFFFFF"/>
        </w:rPr>
        <w:t>13,0</w:t>
      </w:r>
      <w:r w:rsidRPr="00DF6F50">
        <w:rPr>
          <w:shd w:val="clear" w:color="auto" w:fill="FFFFFF"/>
        </w:rPr>
        <w:t xml:space="preserve">%, a w dostawie wody; gospodarowaniu ściekami i odpadami; rekultywacji </w:t>
      </w:r>
      <w:r>
        <w:rPr>
          <w:shd w:val="clear" w:color="auto" w:fill="FFFFFF"/>
        </w:rPr>
        <w:t>–</w:t>
      </w:r>
      <w:r w:rsidR="008352B1">
        <w:rPr>
          <w:shd w:val="clear" w:color="auto" w:fill="FFFFFF"/>
        </w:rPr>
        <w:t xml:space="preserve"> </w:t>
      </w:r>
      <w:r w:rsidRPr="00DF6F50">
        <w:rPr>
          <w:shd w:val="clear" w:color="auto" w:fill="FFFFFF"/>
        </w:rPr>
        <w:t xml:space="preserve">o </w:t>
      </w:r>
      <w:r w:rsidR="00F3684B">
        <w:rPr>
          <w:shd w:val="clear" w:color="auto" w:fill="FFFFFF"/>
        </w:rPr>
        <w:t>20,8</w:t>
      </w:r>
      <w:r w:rsidRPr="00DF6F50">
        <w:rPr>
          <w:shd w:val="clear" w:color="auto" w:fill="FFFFFF"/>
        </w:rPr>
        <w:t xml:space="preserve">%. </w:t>
      </w:r>
    </w:p>
    <w:p w:rsidR="00657820" w:rsidRDefault="00657820" w:rsidP="000F2F8F">
      <w:pPr>
        <w:rPr>
          <w:shd w:val="clear" w:color="auto" w:fill="FFFFFF"/>
        </w:rPr>
      </w:pPr>
      <w:r w:rsidRPr="00E968E3">
        <w:rPr>
          <w:shd w:val="clear" w:color="auto" w:fill="FFFFFF"/>
        </w:rPr>
        <w:t xml:space="preserve">Wydajność pracy w przemyśle, mierzona produkcją sprzedaną na 1 zatrudnionego, </w:t>
      </w:r>
      <w:r w:rsidR="00567E25">
        <w:rPr>
          <w:shd w:val="clear" w:color="auto" w:fill="FFFFFF"/>
        </w:rPr>
        <w:t>w</w:t>
      </w:r>
      <w:r w:rsidR="00F3684B">
        <w:rPr>
          <w:shd w:val="clear" w:color="auto" w:fill="FFFFFF"/>
        </w:rPr>
        <w:t xml:space="preserve"> styczniu</w:t>
      </w:r>
      <w:r w:rsidR="00567E25">
        <w:rPr>
          <w:shd w:val="clear" w:color="auto" w:fill="FFFFFF"/>
        </w:rPr>
        <w:t xml:space="preserve"> </w:t>
      </w:r>
      <w:r w:rsidR="00F3684B">
        <w:rPr>
          <w:shd w:val="clear" w:color="auto" w:fill="FFFFFF"/>
        </w:rPr>
        <w:t>2020</w:t>
      </w:r>
      <w:r w:rsidRPr="00E968E3">
        <w:rPr>
          <w:shd w:val="clear" w:color="auto" w:fill="FFFFFF"/>
        </w:rPr>
        <w:t xml:space="preserve"> r. wyniosła (w cenach bieżących) </w:t>
      </w:r>
      <w:r w:rsidR="00B9721E">
        <w:rPr>
          <w:shd w:val="clear" w:color="auto" w:fill="FFFFFF"/>
        </w:rPr>
        <w:t>3</w:t>
      </w:r>
      <w:r w:rsidR="00F3684B">
        <w:rPr>
          <w:shd w:val="clear" w:color="auto" w:fill="FFFFFF"/>
        </w:rPr>
        <w:t>4,6</w:t>
      </w:r>
      <w:r w:rsidRPr="00E968E3">
        <w:rPr>
          <w:shd w:val="clear" w:color="auto" w:fill="FFFFFF"/>
        </w:rPr>
        <w:t xml:space="preserve"> tys. zł</w:t>
      </w:r>
      <w:r>
        <w:rPr>
          <w:shd w:val="clear" w:color="auto" w:fill="FFFFFF"/>
        </w:rPr>
        <w:t xml:space="preserve"> i była (w cenach stałych) o </w:t>
      </w:r>
      <w:r w:rsidR="00F3684B">
        <w:rPr>
          <w:shd w:val="clear" w:color="auto" w:fill="FFFFFF"/>
        </w:rPr>
        <w:t>5,0</w:t>
      </w:r>
      <w:r w:rsidR="00567E25">
        <w:rPr>
          <w:shd w:val="clear" w:color="auto" w:fill="FFFFFF"/>
        </w:rPr>
        <w:t xml:space="preserve">% </w:t>
      </w:r>
      <w:r w:rsidR="00B9721E">
        <w:rPr>
          <w:shd w:val="clear" w:color="auto" w:fill="FFFFFF"/>
        </w:rPr>
        <w:t>wy</w:t>
      </w:r>
      <w:r w:rsidR="00AC543C">
        <w:rPr>
          <w:shd w:val="clear" w:color="auto" w:fill="FFFFFF"/>
        </w:rPr>
        <w:t>ż</w:t>
      </w:r>
      <w:r>
        <w:rPr>
          <w:shd w:val="clear" w:color="auto" w:fill="FFFFFF"/>
        </w:rPr>
        <w:t xml:space="preserve">sza </w:t>
      </w:r>
      <w:r w:rsidRPr="00E968E3">
        <w:rPr>
          <w:shd w:val="clear" w:color="auto" w:fill="FFFFFF"/>
        </w:rPr>
        <w:t xml:space="preserve">niż przed rokiem, przy większym o </w:t>
      </w:r>
      <w:r w:rsidR="00F14D55">
        <w:rPr>
          <w:shd w:val="clear" w:color="auto" w:fill="FFFFFF"/>
        </w:rPr>
        <w:t>0,</w:t>
      </w:r>
      <w:r w:rsidR="00F3684B">
        <w:rPr>
          <w:shd w:val="clear" w:color="auto" w:fill="FFFFFF"/>
        </w:rPr>
        <w:t>2</w:t>
      </w:r>
      <w:r w:rsidRPr="00E968E3">
        <w:rPr>
          <w:shd w:val="clear" w:color="auto" w:fill="FFFFFF"/>
        </w:rPr>
        <w:t xml:space="preserve">% przeciętnym zatrudnieniu i wzroście przeciętnych miesięcznych wynagrodzeń brutto o </w:t>
      </w:r>
      <w:r w:rsidR="00F3684B">
        <w:rPr>
          <w:shd w:val="clear" w:color="auto" w:fill="FFFFFF"/>
        </w:rPr>
        <w:t>6,8</w:t>
      </w:r>
      <w:r w:rsidRPr="00E968E3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:rsidR="00F3684B" w:rsidRDefault="001F2C24" w:rsidP="000F2F8F">
      <w:pPr>
        <w:spacing w:before="480" w:after="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7940040</wp:posOffset>
            </wp:positionV>
            <wp:extent cx="6645910" cy="1586865"/>
            <wp:effectExtent l="0" t="0" r="0" b="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CE4" w:rsidRPr="004C075E">
        <w:rPr>
          <w:b/>
        </w:rPr>
        <w:t>Wykres 1</w:t>
      </w:r>
      <w:r w:rsidR="002B20E7">
        <w:rPr>
          <w:b/>
        </w:rPr>
        <w:t>1</w:t>
      </w:r>
      <w:r w:rsidR="00284CE4" w:rsidRPr="004C075E">
        <w:rPr>
          <w:b/>
        </w:rPr>
        <w:t>.</w:t>
      </w:r>
      <w:r w:rsidR="00284CE4" w:rsidRPr="004C075E">
        <w:rPr>
          <w:b/>
          <w:shd w:val="clear" w:color="auto" w:fill="FFFFFF"/>
        </w:rPr>
        <w:t xml:space="preserve"> Dynamika produkcji sprzedanej przemysłu </w:t>
      </w:r>
      <w:r w:rsidR="00284CE4" w:rsidRPr="004C075E">
        <w:rPr>
          <w:shd w:val="clear" w:color="auto" w:fill="FFFFFF"/>
        </w:rPr>
        <w:t>(przeciętna miesięczna 2015=100)</w:t>
      </w:r>
    </w:p>
    <w:p w:rsidR="00157D83" w:rsidRPr="00940CA2" w:rsidRDefault="00157D83" w:rsidP="00071F9D">
      <w:pPr>
        <w:rPr>
          <w:shd w:val="clear" w:color="auto" w:fill="FFFFFF"/>
        </w:rPr>
      </w:pPr>
      <w:r w:rsidRPr="00940CA2">
        <w:rPr>
          <w:shd w:val="clear" w:color="auto" w:fill="FFFFFF"/>
        </w:rPr>
        <w:lastRenderedPageBreak/>
        <w:t xml:space="preserve">Produkcja sprzedana budownictwa (w cenach bieżących) </w:t>
      </w:r>
      <w:r w:rsidR="00F14D55">
        <w:rPr>
          <w:shd w:val="clear" w:color="auto" w:fill="FFFFFF"/>
        </w:rPr>
        <w:t xml:space="preserve">w </w:t>
      </w:r>
      <w:r w:rsidR="00F3684B">
        <w:rPr>
          <w:shd w:val="clear" w:color="auto" w:fill="FFFFFF"/>
        </w:rPr>
        <w:t>styczniu 2020</w:t>
      </w:r>
      <w:r w:rsidRPr="00940CA2">
        <w:rPr>
          <w:shd w:val="clear" w:color="auto" w:fill="FFFFFF"/>
        </w:rPr>
        <w:t xml:space="preserve"> r. wyniosła </w:t>
      </w:r>
      <w:r w:rsidR="00F3684B">
        <w:rPr>
          <w:shd w:val="clear" w:color="auto" w:fill="FFFFFF"/>
        </w:rPr>
        <w:t>283,8</w:t>
      </w:r>
      <w:r w:rsidRPr="00940CA2">
        <w:rPr>
          <w:shd w:val="clear" w:color="auto" w:fill="FFFFFF"/>
        </w:rPr>
        <w:t xml:space="preserve"> mln zł i była o </w:t>
      </w:r>
      <w:r w:rsidR="00F3684B">
        <w:rPr>
          <w:shd w:val="clear" w:color="auto" w:fill="FFFFFF"/>
        </w:rPr>
        <w:t>3,3</w:t>
      </w:r>
      <w:r>
        <w:rPr>
          <w:shd w:val="clear" w:color="auto" w:fill="FFFFFF"/>
        </w:rPr>
        <w:t>%</w:t>
      </w:r>
      <w:r w:rsidRPr="00940CA2">
        <w:rPr>
          <w:shd w:val="clear" w:color="auto" w:fill="FFFFFF"/>
        </w:rPr>
        <w:t xml:space="preserve"> </w:t>
      </w:r>
      <w:r>
        <w:rPr>
          <w:shd w:val="clear" w:color="auto" w:fill="FFFFFF"/>
        </w:rPr>
        <w:t>większa</w:t>
      </w:r>
      <w:r w:rsidRPr="00940CA2">
        <w:rPr>
          <w:shd w:val="clear" w:color="auto" w:fill="FFFFFF"/>
        </w:rPr>
        <w:t xml:space="preserve"> niż przed rokiem. </w:t>
      </w:r>
    </w:p>
    <w:p w:rsidR="00157D83" w:rsidRPr="00940CA2" w:rsidRDefault="00157D83" w:rsidP="00AD3827">
      <w:pPr>
        <w:rPr>
          <w:shd w:val="clear" w:color="auto" w:fill="FFFFFF"/>
        </w:rPr>
      </w:pPr>
      <w:r w:rsidRPr="00940CA2">
        <w:rPr>
          <w:shd w:val="clear" w:color="auto" w:fill="FFFFFF"/>
        </w:rPr>
        <w:t>Wydajność pracy w budownictwie, mierzona produkcją sprzedaną na 1 zatrudnionego</w:t>
      </w:r>
      <w:r>
        <w:rPr>
          <w:shd w:val="clear" w:color="auto" w:fill="FFFFFF"/>
        </w:rPr>
        <w:t>,</w:t>
      </w:r>
      <w:r w:rsidRPr="00940CA2">
        <w:rPr>
          <w:shd w:val="clear" w:color="auto" w:fill="FFFFFF"/>
        </w:rPr>
        <w:t xml:space="preserve"> wyniosła (w cenach bieżących) </w:t>
      </w:r>
      <w:r w:rsidR="00356D6B">
        <w:rPr>
          <w:shd w:val="clear" w:color="auto" w:fill="FFFFFF"/>
        </w:rPr>
        <w:br/>
      </w:r>
      <w:r w:rsidR="00F3684B">
        <w:rPr>
          <w:shd w:val="clear" w:color="auto" w:fill="FFFFFF"/>
        </w:rPr>
        <w:t>27,6</w:t>
      </w:r>
      <w:r w:rsidR="00C26771">
        <w:rPr>
          <w:shd w:val="clear" w:color="auto" w:fill="FFFFFF"/>
        </w:rPr>
        <w:t xml:space="preserve"> </w:t>
      </w:r>
      <w:r w:rsidRPr="00940CA2">
        <w:rPr>
          <w:shd w:val="clear" w:color="auto" w:fill="FFFFFF"/>
        </w:rPr>
        <w:t xml:space="preserve">tys. zł i była większa niż przed rokiem o </w:t>
      </w:r>
      <w:r w:rsidR="00F3684B">
        <w:rPr>
          <w:shd w:val="clear" w:color="auto" w:fill="FFFFFF"/>
        </w:rPr>
        <w:t>4,9</w:t>
      </w:r>
      <w:r w:rsidRPr="00940CA2">
        <w:rPr>
          <w:shd w:val="clear" w:color="auto" w:fill="FFFFFF"/>
        </w:rPr>
        <w:t>%.</w:t>
      </w:r>
    </w:p>
    <w:p w:rsidR="00157D83" w:rsidRPr="00F23387" w:rsidRDefault="00157D83" w:rsidP="00AD3827">
      <w:pPr>
        <w:rPr>
          <w:shd w:val="clear" w:color="auto" w:fill="FFFFFF"/>
        </w:rPr>
      </w:pPr>
      <w:r w:rsidRPr="00F23387">
        <w:rPr>
          <w:shd w:val="clear" w:color="auto" w:fill="FFFFFF"/>
        </w:rPr>
        <w:t xml:space="preserve">Przeciętne zatrudnienie w budownictwie było </w:t>
      </w:r>
      <w:r w:rsidR="00C26771">
        <w:rPr>
          <w:shd w:val="clear" w:color="auto" w:fill="FFFFFF"/>
        </w:rPr>
        <w:t xml:space="preserve">w </w:t>
      </w:r>
      <w:r w:rsidR="00F3684B">
        <w:rPr>
          <w:shd w:val="clear" w:color="auto" w:fill="FFFFFF"/>
        </w:rPr>
        <w:t>styczniu</w:t>
      </w:r>
      <w:r w:rsidRPr="00F23387">
        <w:rPr>
          <w:shd w:val="clear" w:color="auto" w:fill="FFFFFF"/>
        </w:rPr>
        <w:t xml:space="preserve"> 20</w:t>
      </w:r>
      <w:r w:rsidR="00F3684B">
        <w:rPr>
          <w:shd w:val="clear" w:color="auto" w:fill="FFFFFF"/>
        </w:rPr>
        <w:t>20</w:t>
      </w:r>
      <w:r w:rsidRPr="00F23387">
        <w:rPr>
          <w:shd w:val="clear" w:color="auto" w:fill="FFFFFF"/>
        </w:rPr>
        <w:t xml:space="preserve"> r. o </w:t>
      </w:r>
      <w:r w:rsidR="00F3684B">
        <w:rPr>
          <w:shd w:val="clear" w:color="auto" w:fill="FFFFFF"/>
        </w:rPr>
        <w:t>1,5</w:t>
      </w:r>
      <w:r w:rsidRPr="00F23387">
        <w:rPr>
          <w:shd w:val="clear" w:color="auto" w:fill="FFFFFF"/>
        </w:rPr>
        <w:t xml:space="preserve">% </w:t>
      </w:r>
      <w:r w:rsidR="00F3684B">
        <w:rPr>
          <w:shd w:val="clear" w:color="auto" w:fill="FFFFFF"/>
        </w:rPr>
        <w:t>mniejsze</w:t>
      </w:r>
      <w:r w:rsidRPr="00F23387">
        <w:rPr>
          <w:shd w:val="clear" w:color="auto" w:fill="FFFFFF"/>
        </w:rPr>
        <w:t xml:space="preserve"> niż przed rokiem, przy wzroście przeciętnego miesięcznego wynagrodzenia brutto o </w:t>
      </w:r>
      <w:r w:rsidR="00F3684B">
        <w:rPr>
          <w:shd w:val="clear" w:color="auto" w:fill="FFFFFF"/>
        </w:rPr>
        <w:t>7,1</w:t>
      </w:r>
      <w:r w:rsidRPr="00F23387">
        <w:rPr>
          <w:shd w:val="clear" w:color="auto" w:fill="FFFFFF"/>
        </w:rPr>
        <w:t>%.</w:t>
      </w:r>
    </w:p>
    <w:p w:rsidR="00157D83" w:rsidRDefault="00157D83" w:rsidP="002B20E7">
      <w:pPr>
        <w:rPr>
          <w:shd w:val="clear" w:color="auto" w:fill="FFFFFF"/>
        </w:rPr>
      </w:pPr>
      <w:r w:rsidRPr="00F23387">
        <w:rPr>
          <w:shd w:val="clear" w:color="auto" w:fill="FFFFFF"/>
        </w:rPr>
        <w:t xml:space="preserve">Produkcja budowlano-montażowa (w cenach bieżących) </w:t>
      </w:r>
      <w:r w:rsidR="00C26771">
        <w:rPr>
          <w:shd w:val="clear" w:color="auto" w:fill="FFFFFF"/>
        </w:rPr>
        <w:t xml:space="preserve">w </w:t>
      </w:r>
      <w:r w:rsidR="00F3684B">
        <w:rPr>
          <w:shd w:val="clear" w:color="auto" w:fill="FFFFFF"/>
        </w:rPr>
        <w:t>styczniu</w:t>
      </w:r>
      <w:r w:rsidR="00C26771">
        <w:rPr>
          <w:shd w:val="clear" w:color="auto" w:fill="FFFFFF"/>
        </w:rPr>
        <w:t xml:space="preserve"> </w:t>
      </w:r>
      <w:r>
        <w:rPr>
          <w:shd w:val="clear" w:color="auto" w:fill="FFFFFF"/>
        </w:rPr>
        <w:t>20</w:t>
      </w:r>
      <w:r w:rsidR="00F3684B">
        <w:rPr>
          <w:shd w:val="clear" w:color="auto" w:fill="FFFFFF"/>
        </w:rPr>
        <w:t>20</w:t>
      </w:r>
      <w:r w:rsidRPr="00F23387">
        <w:rPr>
          <w:shd w:val="clear" w:color="auto" w:fill="FFFFFF"/>
        </w:rPr>
        <w:t xml:space="preserve"> r. ukształtowała się na poziomie </w:t>
      </w:r>
      <w:r w:rsidR="00F3684B">
        <w:rPr>
          <w:shd w:val="clear" w:color="auto" w:fill="FFFFFF"/>
        </w:rPr>
        <w:t>111,6</w:t>
      </w:r>
      <w:r w:rsidRPr="00F23387">
        <w:rPr>
          <w:shd w:val="clear" w:color="auto" w:fill="FFFFFF"/>
        </w:rPr>
        <w:t xml:space="preserve"> mln zł </w:t>
      </w:r>
      <w:r>
        <w:rPr>
          <w:shd w:val="clear" w:color="auto" w:fill="FFFFFF"/>
        </w:rPr>
        <w:br/>
      </w:r>
      <w:r w:rsidRPr="00F23387">
        <w:rPr>
          <w:shd w:val="clear" w:color="auto" w:fill="FFFFFF"/>
        </w:rPr>
        <w:t xml:space="preserve">i stanowiła </w:t>
      </w:r>
      <w:r w:rsidR="00F3684B">
        <w:rPr>
          <w:shd w:val="clear" w:color="auto" w:fill="FFFFFF"/>
        </w:rPr>
        <w:t>39,3</w:t>
      </w:r>
      <w:r w:rsidRPr="00F23387">
        <w:rPr>
          <w:shd w:val="clear" w:color="auto" w:fill="FFFFFF"/>
        </w:rPr>
        <w:t>% ogółu produkcji sprzedanej budownictwa. W stosunku do</w:t>
      </w:r>
      <w:r>
        <w:rPr>
          <w:shd w:val="clear" w:color="auto" w:fill="FFFFFF"/>
        </w:rPr>
        <w:t xml:space="preserve"> </w:t>
      </w:r>
      <w:r w:rsidR="00F3684B">
        <w:rPr>
          <w:shd w:val="clear" w:color="auto" w:fill="FFFFFF"/>
        </w:rPr>
        <w:t>grudnia</w:t>
      </w:r>
      <w:r w:rsidRPr="00F23387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23387">
        <w:rPr>
          <w:shd w:val="clear" w:color="auto" w:fill="FFFFFF"/>
        </w:rPr>
        <w:t xml:space="preserve"> r. produkcja b</w:t>
      </w:r>
      <w:r>
        <w:rPr>
          <w:shd w:val="clear" w:color="auto" w:fill="FFFFFF"/>
        </w:rPr>
        <w:t xml:space="preserve">udowlano-montażowa </w:t>
      </w:r>
      <w:r w:rsidR="00F3684B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F3684B">
        <w:rPr>
          <w:shd w:val="clear" w:color="auto" w:fill="FFFFFF"/>
        </w:rPr>
        <w:t>61,0</w:t>
      </w:r>
      <w:r w:rsidRPr="00F23387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F3684B">
        <w:rPr>
          <w:shd w:val="clear" w:color="auto" w:fill="FFFFFF"/>
        </w:rPr>
        <w:t>stycznia</w:t>
      </w:r>
      <w:r w:rsidR="00C26771">
        <w:rPr>
          <w:shd w:val="clear" w:color="auto" w:fill="FFFFFF"/>
        </w:rPr>
        <w:t xml:space="preserve"> 201</w:t>
      </w:r>
      <w:r w:rsidR="00F3684B">
        <w:rPr>
          <w:shd w:val="clear" w:color="auto" w:fill="FFFFFF"/>
        </w:rPr>
        <w:t>9</w:t>
      </w:r>
      <w:r w:rsidR="00C26771">
        <w:rPr>
          <w:shd w:val="clear" w:color="auto" w:fill="FFFFFF"/>
        </w:rPr>
        <w:t xml:space="preserve"> r. o </w:t>
      </w:r>
      <w:r w:rsidR="00F3684B">
        <w:rPr>
          <w:shd w:val="clear" w:color="auto" w:fill="FFFFFF"/>
        </w:rPr>
        <w:t>20,4</w:t>
      </w:r>
      <w:r w:rsidRPr="00F23387">
        <w:rPr>
          <w:shd w:val="clear" w:color="auto" w:fill="FFFFFF"/>
        </w:rPr>
        <w:t xml:space="preserve">%. </w:t>
      </w:r>
      <w:r w:rsidR="00F3684B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produkcji </w:t>
      </w:r>
      <w:r w:rsidRPr="00F23387">
        <w:rPr>
          <w:shd w:val="clear" w:color="auto" w:fill="FFFFFF"/>
        </w:rPr>
        <w:t>bu</w:t>
      </w:r>
      <w:r>
        <w:rPr>
          <w:shd w:val="clear" w:color="auto" w:fill="FFFFFF"/>
        </w:rPr>
        <w:t xml:space="preserve">dowlano-montażowej </w:t>
      </w:r>
      <w:r w:rsidR="00356D6B">
        <w:rPr>
          <w:shd w:val="clear" w:color="auto" w:fill="FFFFFF"/>
        </w:rPr>
        <w:br/>
      </w:r>
      <w:r>
        <w:rPr>
          <w:shd w:val="clear" w:color="auto" w:fill="FFFFFF"/>
        </w:rPr>
        <w:t>w skali roku wystąpił</w:t>
      </w:r>
      <w:r w:rsidR="00C51BCB" w:rsidRPr="00C51BCB">
        <w:rPr>
          <w:shd w:val="clear" w:color="auto" w:fill="FFFFFF"/>
        </w:rPr>
        <w:t xml:space="preserve"> </w:t>
      </w:r>
      <w:r w:rsidR="00C51BCB">
        <w:rPr>
          <w:shd w:val="clear" w:color="auto" w:fill="FFFFFF"/>
        </w:rPr>
        <w:t>w podmiotach specjalizujących się w</w:t>
      </w:r>
      <w:r w:rsidR="00C51BCB" w:rsidRPr="00624A6F">
        <w:rPr>
          <w:shd w:val="clear" w:color="auto" w:fill="FFFFFF"/>
        </w:rPr>
        <w:t xml:space="preserve"> </w:t>
      </w:r>
      <w:r w:rsidR="00B9721E">
        <w:rPr>
          <w:shd w:val="clear" w:color="auto" w:fill="FFFFFF"/>
        </w:rPr>
        <w:t xml:space="preserve">budowie budynków (o </w:t>
      </w:r>
      <w:r w:rsidR="001506AA">
        <w:rPr>
          <w:shd w:val="clear" w:color="auto" w:fill="FFFFFF"/>
        </w:rPr>
        <w:t>55,9</w:t>
      </w:r>
      <w:r w:rsidR="00B9721E">
        <w:rPr>
          <w:shd w:val="clear" w:color="auto" w:fill="FFFFFF"/>
        </w:rPr>
        <w:t>%)</w:t>
      </w:r>
      <w:r w:rsidR="001506AA" w:rsidRPr="001506AA">
        <w:rPr>
          <w:shd w:val="clear" w:color="auto" w:fill="FFFFFF"/>
        </w:rPr>
        <w:t xml:space="preserve"> </w:t>
      </w:r>
      <w:r w:rsidR="001506AA">
        <w:rPr>
          <w:shd w:val="clear" w:color="auto" w:fill="FFFFFF"/>
        </w:rPr>
        <w:t>i w jednostkach prowadzących działalność</w:t>
      </w:r>
      <w:r w:rsidR="001506AA" w:rsidRPr="00B4122C">
        <w:rPr>
          <w:shd w:val="clear" w:color="auto" w:fill="FFFFFF"/>
        </w:rPr>
        <w:t xml:space="preserve"> </w:t>
      </w:r>
      <w:r w:rsidR="001506AA">
        <w:rPr>
          <w:shd w:val="clear" w:color="auto" w:fill="FFFFFF"/>
        </w:rPr>
        <w:t>głównie w zakresie robót budowlanych specjalistycznych (o 11,5%)</w:t>
      </w:r>
      <w:r>
        <w:rPr>
          <w:shd w:val="clear" w:color="auto" w:fill="FFFFFF"/>
        </w:rPr>
        <w:t xml:space="preserve">. </w:t>
      </w:r>
      <w:r w:rsidR="001506AA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odnotowano natomiast w</w:t>
      </w:r>
      <w:r w:rsidRPr="00DC74DA">
        <w:rPr>
          <w:shd w:val="clear" w:color="auto" w:fill="FFFFFF"/>
        </w:rPr>
        <w:t xml:space="preserve"> </w:t>
      </w:r>
      <w:r w:rsidR="001506AA">
        <w:rPr>
          <w:shd w:val="clear" w:color="auto" w:fill="FFFFFF"/>
        </w:rPr>
        <w:t>budowie</w:t>
      </w:r>
      <w:r w:rsidR="001506AA" w:rsidRPr="00B4122C">
        <w:rPr>
          <w:shd w:val="clear" w:color="auto" w:fill="FFFFFF"/>
        </w:rPr>
        <w:t xml:space="preserve"> obiektów inżynierii lądowej i wodnej</w:t>
      </w:r>
      <w:r w:rsidR="001506AA">
        <w:rPr>
          <w:shd w:val="clear" w:color="auto" w:fill="FFFFFF"/>
        </w:rPr>
        <w:t xml:space="preserve"> (o 114,9%)</w:t>
      </w:r>
      <w:r w:rsidR="00356D6B">
        <w:rPr>
          <w:shd w:val="clear" w:color="auto" w:fill="FFFFFF"/>
        </w:rPr>
        <w:t>.</w:t>
      </w:r>
    </w:p>
    <w:p w:rsidR="00157D83" w:rsidRDefault="001506AA" w:rsidP="00AD3827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157D83">
        <w:rPr>
          <w:shd w:val="clear" w:color="auto" w:fill="FFFFFF"/>
        </w:rPr>
        <w:t xml:space="preserve"> </w:t>
      </w:r>
      <w:r w:rsidR="00157D83" w:rsidRPr="007124E0">
        <w:rPr>
          <w:shd w:val="clear" w:color="auto" w:fill="FFFFFF"/>
        </w:rPr>
        <w:t xml:space="preserve">produkcji budowlano-montażowej w porównaniu z </w:t>
      </w:r>
      <w:r>
        <w:rPr>
          <w:shd w:val="clear" w:color="auto" w:fill="FFFFFF"/>
        </w:rPr>
        <w:t>grudniem</w:t>
      </w:r>
      <w:r w:rsidR="00C51BCB">
        <w:rPr>
          <w:shd w:val="clear" w:color="auto" w:fill="FFFFFF"/>
        </w:rPr>
        <w:t xml:space="preserve"> </w:t>
      </w:r>
      <w:r w:rsidR="00157D83" w:rsidRPr="007124E0">
        <w:rPr>
          <w:shd w:val="clear" w:color="auto" w:fill="FFFFFF"/>
        </w:rPr>
        <w:t xml:space="preserve">2019 r. </w:t>
      </w:r>
      <w:r w:rsidR="00157D83">
        <w:rPr>
          <w:shd w:val="clear" w:color="auto" w:fill="FFFFFF"/>
        </w:rPr>
        <w:t xml:space="preserve">wystąpił </w:t>
      </w:r>
      <w:r w:rsidR="00C51BCB">
        <w:rPr>
          <w:shd w:val="clear" w:color="auto" w:fill="FFFFFF"/>
        </w:rPr>
        <w:t>we wszystkich działach budownictwa. Naj</w:t>
      </w:r>
      <w:r w:rsidR="004B6A22">
        <w:rPr>
          <w:shd w:val="clear" w:color="auto" w:fill="FFFFFF"/>
        </w:rPr>
        <w:t>większy</w:t>
      </w:r>
      <w:r w:rsidR="00C51BCB">
        <w:rPr>
          <w:shd w:val="clear" w:color="auto" w:fill="FFFFFF"/>
        </w:rPr>
        <w:t xml:space="preserve"> był </w:t>
      </w:r>
      <w:r w:rsidR="00BF5465">
        <w:rPr>
          <w:shd w:val="clear" w:color="auto" w:fill="FFFFFF"/>
        </w:rPr>
        <w:t>w</w:t>
      </w:r>
      <w:r w:rsidR="00BF5465" w:rsidRPr="00C51BCB">
        <w:t xml:space="preserve"> </w:t>
      </w:r>
      <w:r w:rsidR="00BF5465" w:rsidRPr="00C51BCB">
        <w:rPr>
          <w:shd w:val="clear" w:color="auto" w:fill="FFFFFF"/>
        </w:rPr>
        <w:t>podmiotach, których podstawowy rodzaj działalności stanowiła budowa obiektów inżynierii lądowej i</w:t>
      </w:r>
      <w:r w:rsidR="001724BC">
        <w:rPr>
          <w:shd w:val="clear" w:color="auto" w:fill="FFFFFF"/>
        </w:rPr>
        <w:t> </w:t>
      </w:r>
      <w:r w:rsidR="00BF5465" w:rsidRPr="00C51BCB">
        <w:rPr>
          <w:shd w:val="clear" w:color="auto" w:fill="FFFFFF"/>
        </w:rPr>
        <w:t>wodnej</w:t>
      </w:r>
      <w:r w:rsidR="00BF5465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74,0</w:t>
      </w:r>
      <w:r w:rsidR="00BF5465">
        <w:rPr>
          <w:shd w:val="clear" w:color="auto" w:fill="FFFFFF"/>
        </w:rPr>
        <w:t>%)</w:t>
      </w:r>
      <w:r w:rsidR="00C51BCB">
        <w:rPr>
          <w:shd w:val="clear" w:color="auto" w:fill="FFFFFF"/>
        </w:rPr>
        <w:t xml:space="preserve">. W </w:t>
      </w:r>
      <w:r w:rsidR="00652034">
        <w:rPr>
          <w:shd w:val="clear" w:color="auto" w:fill="FFFFFF"/>
        </w:rPr>
        <w:t>przedsiębiorstwach specjalizujących się w budowie budynków produkcja budowlano-montażowa z</w:t>
      </w:r>
      <w:r>
        <w:rPr>
          <w:shd w:val="clear" w:color="auto" w:fill="FFFFFF"/>
        </w:rPr>
        <w:t>mniejszyła</w:t>
      </w:r>
      <w:r w:rsidR="00652034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68,7</w:t>
      </w:r>
      <w:r w:rsidR="00652034">
        <w:rPr>
          <w:shd w:val="clear" w:color="auto" w:fill="FFFFFF"/>
        </w:rPr>
        <w:t>%</w:t>
      </w:r>
      <w:r w:rsidR="00C51BCB">
        <w:rPr>
          <w:shd w:val="clear" w:color="auto" w:fill="FFFFFF"/>
        </w:rPr>
        <w:t>, a</w:t>
      </w:r>
      <w:r w:rsidR="00157D83">
        <w:rPr>
          <w:shd w:val="clear" w:color="auto" w:fill="FFFFFF"/>
        </w:rPr>
        <w:t xml:space="preserve"> </w:t>
      </w:r>
      <w:r w:rsidR="00BF5465">
        <w:rPr>
          <w:shd w:val="clear" w:color="auto" w:fill="FFFFFF"/>
        </w:rPr>
        <w:t>w</w:t>
      </w:r>
      <w:r w:rsidR="00652034" w:rsidRPr="00652034">
        <w:rPr>
          <w:shd w:val="clear" w:color="auto" w:fill="FFFFFF"/>
        </w:rPr>
        <w:t xml:space="preserve"> </w:t>
      </w:r>
      <w:r w:rsidR="00652034" w:rsidRPr="007124E0">
        <w:rPr>
          <w:shd w:val="clear" w:color="auto" w:fill="FFFFFF"/>
        </w:rPr>
        <w:t>jednostkach zajmujących się przede wszystkim robotami budowlanymi specjalistycznymi</w:t>
      </w:r>
      <w:r w:rsidR="00652034" w:rsidRPr="00652034">
        <w:rPr>
          <w:shd w:val="clear" w:color="auto" w:fill="FFFFFF"/>
        </w:rPr>
        <w:t xml:space="preserve"> </w:t>
      </w:r>
      <w:r w:rsidR="00DA5ADE">
        <w:rPr>
          <w:shd w:val="clear" w:color="auto" w:fill="FFFFFF"/>
        </w:rPr>
        <w:t xml:space="preserve">– o </w:t>
      </w:r>
      <w:r>
        <w:rPr>
          <w:shd w:val="clear" w:color="auto" w:fill="FFFFFF"/>
        </w:rPr>
        <w:t>21,0</w:t>
      </w:r>
      <w:r w:rsidR="00652034">
        <w:rPr>
          <w:shd w:val="clear" w:color="auto" w:fill="FFFFFF"/>
        </w:rPr>
        <w:t>%</w:t>
      </w:r>
      <w:r w:rsidR="00BF5465">
        <w:rPr>
          <w:shd w:val="clear" w:color="auto" w:fill="FFFFFF"/>
        </w:rPr>
        <w:t>.</w:t>
      </w:r>
    </w:p>
    <w:p w:rsidR="00284CE4" w:rsidRDefault="00284CE4" w:rsidP="00684C12">
      <w:pPr>
        <w:pStyle w:val="tytuwykresu"/>
        <w:spacing w:after="120"/>
        <w:rPr>
          <w:shd w:val="clear" w:color="auto" w:fill="FFFFFF"/>
        </w:rPr>
      </w:pPr>
      <w:r w:rsidRPr="00523039">
        <w:rPr>
          <w:shd w:val="clear" w:color="auto" w:fill="FFFFFF"/>
        </w:rPr>
        <w:t xml:space="preserve">Tablica </w:t>
      </w:r>
      <w:r w:rsidR="00DE17D0">
        <w:rPr>
          <w:shd w:val="clear" w:color="auto" w:fill="FFFFFF"/>
        </w:rPr>
        <w:t>11</w:t>
      </w:r>
      <w:r w:rsidRPr="00523039">
        <w:rPr>
          <w:shd w:val="clear" w:color="auto" w:fill="FFFFFF"/>
        </w:rPr>
        <w:t>. Dynamika i struktura produkcji budowlano-montażowej (w cenach bieżących)</w:t>
      </w:r>
    </w:p>
    <w:p w:rsidR="00684C12" w:rsidRPr="005E5FF6" w:rsidRDefault="00684C12" w:rsidP="00684C12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="108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936"/>
        <w:gridCol w:w="3260"/>
        <w:gridCol w:w="3294"/>
      </w:tblGrid>
      <w:tr w:rsidR="00F3684B" w:rsidRPr="00FA5128" w:rsidTr="008352B1">
        <w:trPr>
          <w:trHeight w:val="57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F3684B" w:rsidRPr="009C7251" w:rsidRDefault="00F3684B" w:rsidP="008352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3684B" w:rsidRPr="00FA5128" w:rsidRDefault="00F3684B" w:rsidP="001F2C2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2020</w:t>
            </w:r>
          </w:p>
        </w:tc>
      </w:tr>
      <w:tr w:rsidR="00F3684B" w:rsidRPr="00FA5128" w:rsidTr="008352B1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F3684B" w:rsidRPr="00FA5128" w:rsidRDefault="00F3684B" w:rsidP="008352B1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3684B" w:rsidRPr="00FA5128" w:rsidRDefault="00F3684B" w:rsidP="001F2C2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3684B" w:rsidRPr="00FA5128" w:rsidRDefault="00F3684B" w:rsidP="001F2C2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F3684B" w:rsidRPr="00FA5128" w:rsidTr="008352B1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pStyle w:val="Nagwek5"/>
              <w:tabs>
                <w:tab w:val="right" w:leader="dot" w:pos="4156"/>
              </w:tabs>
              <w:spacing w:after="4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79,6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3684B" w:rsidRPr="00FA5128" w:rsidTr="008352B1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3684B" w:rsidRPr="007B23AB" w:rsidRDefault="00F3684B" w:rsidP="00684C12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budynków 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  <w:r w:rsidRPr="007B23A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44,1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28,1</w:t>
            </w:r>
          </w:p>
        </w:tc>
      </w:tr>
      <w:tr w:rsidR="00F3684B" w:rsidRPr="00FA5128" w:rsidTr="008352B1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3684B" w:rsidRPr="007B23AB" w:rsidRDefault="00F3684B" w:rsidP="00684C12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obiektów inżynierii lądowej i wodnej 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214,9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29,1</w:t>
            </w:r>
          </w:p>
        </w:tc>
      </w:tr>
      <w:tr w:rsidR="00F3684B" w:rsidRPr="00FA5128" w:rsidTr="008352B1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3684B" w:rsidRPr="007B23AB" w:rsidRDefault="00F3684B" w:rsidP="00684C12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3684B" w:rsidRPr="00FA5128" w:rsidRDefault="00F3684B" w:rsidP="00684C12">
            <w:pPr>
              <w:spacing w:before="40" w:after="40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42,7</w:t>
            </w:r>
          </w:p>
        </w:tc>
      </w:tr>
    </w:tbl>
    <w:p w:rsidR="00B62BA1" w:rsidRDefault="00B62BA1" w:rsidP="00684C12">
      <w:pPr>
        <w:spacing w:before="360" w:after="0"/>
        <w:jc w:val="both"/>
        <w:rPr>
          <w:rFonts w:cs="Arial"/>
        </w:rPr>
      </w:pPr>
    </w:p>
    <w:p w:rsidR="001E338E" w:rsidRDefault="001E338E" w:rsidP="001E338E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821F90" w:rsidRDefault="00821F90" w:rsidP="00821F90">
      <w:pPr>
        <w:rPr>
          <w:rFonts w:cs="Arial"/>
          <w:szCs w:val="19"/>
        </w:rPr>
      </w:pPr>
      <w:r>
        <w:rPr>
          <w:rFonts w:cs="Arial"/>
          <w:szCs w:val="19"/>
        </w:rPr>
        <w:t>W styczniu 2020 r. przekazano do użytkowania o 2,5% mniej mieszkań niż w analogicznym miesiącu poprzedniego roku. Zwiększyła się natomiast liczba mieszkań, których budowę rozpoczęto (o 39,6%) oraz liczba mieszkań, na realizację których wydano pozwolenia lub dokonano zgłoszenia z projektem budowlanym (o 55,2%).</w:t>
      </w:r>
    </w:p>
    <w:p w:rsidR="00821F90" w:rsidRDefault="00821F90" w:rsidP="00821F90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styczniu 2020 r. przekazano do użytkowania 350 mieszkań, tj. o 9 mniej niż przed rokiem. W</w:t>
      </w:r>
      <w:r w:rsidR="005E5FF6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badanym miesiącu inwestorzy indywidualni przekazali 228 mieszkań (65,1% ogólnej liczby oddanych mieszkań, </w:t>
      </w:r>
      <w:r>
        <w:rPr>
          <w:rFonts w:cs="Arial"/>
          <w:szCs w:val="19"/>
        </w:rPr>
        <w:br/>
        <w:t xml:space="preserve">w styczniu 2019 r. – 56,8%). Ponadto oddano do użytkowania 122 mieszkania przeznaczone na sprzedaż lub wynajem (34,9% ogółu, w styczniu 2019 r. – 43,2%). Efekty budownictwa mieszkaniowego uzyskane w województwie świętokrzyskim w styczniu 2020 r. stanowiły 2,0% efektów krajowych. </w:t>
      </w:r>
    </w:p>
    <w:p w:rsidR="00821F90" w:rsidRDefault="00821F90" w:rsidP="001F2C24">
      <w:pPr>
        <w:pStyle w:val="tytuwykresu"/>
        <w:pageBreakBefore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DE17D0">
        <w:rPr>
          <w:shd w:val="clear" w:color="auto" w:fill="FFFFFF"/>
        </w:rPr>
        <w:t>2</w:t>
      </w:r>
      <w:r>
        <w:rPr>
          <w:shd w:val="clear" w:color="auto" w:fill="FFFFFF"/>
        </w:rPr>
        <w:t>. Liczba mieszkań oddanych do użytkowania w styczniu 2020 r.</w:t>
      </w:r>
    </w:p>
    <w:p w:rsidR="00684C12" w:rsidRDefault="00684C12" w:rsidP="00684C12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821F90" w:rsidTr="0020394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pStyle w:val="Nagwek3"/>
              <w:spacing w:before="60" w:after="6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 w:rsidP="001F2C24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821F90" w:rsidTr="0020394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>
            <w:pPr>
              <w:spacing w:before="0" w:after="0" w:line="240" w:lineRule="auto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821F90" w:rsidRDefault="00821F90" w:rsidP="001F2C24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</w:p>
        </w:tc>
      </w:tr>
      <w:tr w:rsidR="00821F90" w:rsidTr="0020394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350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103,8</w:t>
            </w:r>
          </w:p>
        </w:tc>
      </w:tr>
      <w:tr w:rsidR="00821F90" w:rsidTr="0020394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 w:rsidP="001F2C24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</w:tr>
      <w:tr w:rsidR="00821F90" w:rsidTr="0020394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 w:rsidP="001F2C24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 w:rsidP="001F2C2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</w:tr>
    </w:tbl>
    <w:p w:rsidR="00821F90" w:rsidRDefault="00203944" w:rsidP="002B20E7">
      <w:pPr>
        <w:spacing w:before="48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2417445</wp:posOffset>
            </wp:positionV>
            <wp:extent cx="6649085" cy="2318385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F90">
        <w:rPr>
          <w:b/>
        </w:rPr>
        <w:t>Wykres 1</w:t>
      </w:r>
      <w:r w:rsidR="002B20E7">
        <w:rPr>
          <w:b/>
        </w:rPr>
        <w:t>2</w:t>
      </w:r>
      <w:r w:rsidR="00821F90">
        <w:rPr>
          <w:b/>
        </w:rPr>
        <w:t>.</w:t>
      </w:r>
      <w:r w:rsidR="00821F90">
        <w:rPr>
          <w:b/>
          <w:shd w:val="clear" w:color="auto" w:fill="FFFFFF"/>
        </w:rPr>
        <w:t xml:space="preserve"> Dynamika mieszkań oddanych do użytkowania </w:t>
      </w:r>
      <w:r w:rsidR="00821F90">
        <w:rPr>
          <w:shd w:val="clear" w:color="auto" w:fill="FFFFFF"/>
        </w:rPr>
        <w:t>(analogiczny okres 2015=100)</w:t>
      </w:r>
    </w:p>
    <w:p w:rsidR="00821F90" w:rsidRDefault="00821F90" w:rsidP="00821F90">
      <w:pPr>
        <w:rPr>
          <w:rFonts w:cs="Arial"/>
          <w:szCs w:val="19"/>
        </w:rPr>
      </w:pPr>
    </w:p>
    <w:p w:rsidR="00821F90" w:rsidRDefault="00821F90" w:rsidP="001F2C24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styczniu 2020 r. wyniosła 103,8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3,7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Spadek odnotowano </w:t>
      </w:r>
      <w:r>
        <w:rPr>
          <w:spacing w:val="-3"/>
          <w:szCs w:val="19"/>
        </w:rPr>
        <w:t>zarówno w budownictwie przeznaczonym na sprzedaż lub wynajem – 3,3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, jak i w budownictwie indywidualnym – 1,3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:rsidR="00821F90" w:rsidRDefault="00AB4DCD" w:rsidP="005E5FF6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323850" simplePos="0" relativeHeight="251655168" behindDoc="0" locked="0" layoutInCell="1" allowOverlap="1" wp14:anchorId="6DCEE5DA" wp14:editId="3554C578">
            <wp:simplePos x="0" y="0"/>
            <wp:positionH relativeFrom="column">
              <wp:posOffset>3175</wp:posOffset>
            </wp:positionH>
            <wp:positionV relativeFrom="paragraph">
              <wp:posOffset>427990</wp:posOffset>
            </wp:positionV>
            <wp:extent cx="3646170" cy="3379470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80">
        <w:pict>
          <v:shape id="Pole tekstowe 5" o:spid="_x0000_s1085" type="#_x0000_t202" style="position:absolute;margin-left:-7.5pt;margin-top:1.75pt;width:310.35pt;height:31.1pt;z-index:-251650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-51 0 -51 21185 21600 21185 21600 0 -5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" stroked="f">
            <v:textbox style="mso-next-textbox:#Pole tekstowe 5">
              <w:txbxContent>
                <w:p w:rsidR="00000AD6" w:rsidRDefault="00000AD6" w:rsidP="005E5FF6">
                  <w:pPr>
                    <w:spacing w:before="0" w:after="80"/>
                    <w:ind w:left="992" w:hanging="992"/>
                    <w:rPr>
                      <w:rFonts w:cs="Arial"/>
                      <w:b/>
                      <w:szCs w:val="19"/>
                    </w:rPr>
                  </w:pPr>
                  <w:r>
                    <w:rPr>
                      <w:rFonts w:cs="Arial"/>
                      <w:b/>
                      <w:szCs w:val="19"/>
                    </w:rPr>
                    <w:t>Wykres 12. Mieszkania oddane do użytkowania według powiatów</w:t>
                  </w:r>
                  <w:r>
                    <w:rPr>
                      <w:rFonts w:cs="Arial"/>
                      <w:b/>
                      <w:szCs w:val="19"/>
                    </w:rPr>
                    <w:br/>
                    <w:t>w styczniu 2020 r.</w:t>
                  </w:r>
                </w:p>
                <w:p w:rsidR="00000AD6" w:rsidRDefault="00000AD6" w:rsidP="00821F90">
                  <w:pPr>
                    <w:spacing w:before="0" w:after="80"/>
                    <w:ind w:left="709" w:hanging="709"/>
                    <w:rPr>
                      <w:rFonts w:cs="Arial"/>
                      <w:b/>
                      <w:szCs w:val="19"/>
                    </w:rPr>
                  </w:pPr>
                </w:p>
              </w:txbxContent>
            </v:textbox>
            <w10:wrap type="tight"/>
          </v:shape>
        </w:pict>
      </w:r>
      <w:r w:rsidR="00821F90">
        <w:rPr>
          <w:rFonts w:cs="Arial"/>
          <w:szCs w:val="19"/>
        </w:rPr>
        <w:t>Najwięcej mieszkań przekazano do użytkowania w m. Kielce (139) oraz w powiecie kieleckim (75). Najmniej mieszkań wybudowano w powiatach koneckim (3) oraz pińczowskim (4).</w:t>
      </w:r>
    </w:p>
    <w:p w:rsidR="00821F90" w:rsidRDefault="00821F90" w:rsidP="00821F90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ostrowieckim (161,9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kazimierskim (161,5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a najmniejszej </w:t>
      </w:r>
      <w:r w:rsidR="002B20E7">
        <w:rPr>
          <w:rFonts w:cs="Arial"/>
          <w:szCs w:val="19"/>
        </w:rPr>
        <w:br/>
      </w:r>
      <w:r>
        <w:rPr>
          <w:rFonts w:cs="Arial"/>
          <w:szCs w:val="19"/>
        </w:rPr>
        <w:t>w</w:t>
      </w:r>
      <w:r w:rsidR="009B3E5A">
        <w:rPr>
          <w:rFonts w:cs="Arial"/>
          <w:szCs w:val="19"/>
        </w:rPr>
        <w:t> </w:t>
      </w:r>
      <w:r>
        <w:rPr>
          <w:rFonts w:cs="Arial"/>
          <w:szCs w:val="19"/>
        </w:rPr>
        <w:t>m. Kielce (62,2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:rsidR="00821F90" w:rsidRDefault="00821F90" w:rsidP="00821F90">
      <w:pPr>
        <w:rPr>
          <w:rFonts w:cs="Arial"/>
          <w:szCs w:val="19"/>
        </w:rPr>
      </w:pPr>
      <w:r>
        <w:rPr>
          <w:rFonts w:cs="Arial"/>
          <w:szCs w:val="19"/>
        </w:rPr>
        <w:t>W styczniu br. wydano pozwolenia lub dokonano zgłoszenia z projektem budowlanym na realizację 326 mieszkań – o 55,2% więcej niż w analogicznym miesiącu 2019 r. Z ogólnej liczby mieszkań, na realizację których wydano pozwolenia lub dokonano zgłoszenia z projektem budowlanym 62,3% stanowiły inwestycje indywidualne, a</w:t>
      </w:r>
      <w:r w:rsidR="009B3E5A">
        <w:rPr>
          <w:rFonts w:cs="Arial"/>
          <w:szCs w:val="19"/>
        </w:rPr>
        <w:t> </w:t>
      </w:r>
      <w:r>
        <w:rPr>
          <w:rFonts w:cs="Arial"/>
          <w:szCs w:val="19"/>
        </w:rPr>
        <w:t>32,8% mieszkania przeznaczone na sprzedaż lub wynajem.</w:t>
      </w:r>
    </w:p>
    <w:p w:rsidR="00821F90" w:rsidRDefault="00821F90" w:rsidP="00821F90">
      <w:pPr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236 mieszkań – o 39,6% więcej niż przed rokiem. Z ogólnej liczby rozpoczętych budów mieszkań 79,2% stanowiły inwestycje indywidualne, a</w:t>
      </w:r>
      <w:r w:rsidR="009B3E5A">
        <w:rPr>
          <w:rFonts w:cs="Arial"/>
          <w:szCs w:val="19"/>
        </w:rPr>
        <w:t> </w:t>
      </w:r>
      <w:r>
        <w:rPr>
          <w:rFonts w:cs="Arial"/>
          <w:szCs w:val="19"/>
        </w:rPr>
        <w:t>mieszkania przeznaczone na sprzedaż lub wynajem 20,8%.</w:t>
      </w:r>
    </w:p>
    <w:p w:rsidR="00821F90" w:rsidRDefault="00821F90" w:rsidP="00821F90">
      <w:pPr>
        <w:rPr>
          <w:rFonts w:cs="Arial"/>
          <w:szCs w:val="19"/>
        </w:rPr>
      </w:pPr>
    </w:p>
    <w:p w:rsidR="00821F90" w:rsidRDefault="00821F90" w:rsidP="002B20E7">
      <w:pPr>
        <w:pStyle w:val="tytuwykresu"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DE17D0">
        <w:rPr>
          <w:shd w:val="clear" w:color="auto" w:fill="FFFFFF"/>
        </w:rPr>
        <w:t>3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styczniu 2020 r.</w:t>
      </w:r>
    </w:p>
    <w:p w:rsidR="00821F90" w:rsidRDefault="00821F90" w:rsidP="00821F90">
      <w:pPr>
        <w:pStyle w:val="tytuwykresu"/>
        <w:spacing w:before="120" w:after="120"/>
        <w:ind w:left="907" w:hanging="907"/>
        <w:rPr>
          <w:b w:val="0"/>
          <w:sz w:val="18"/>
          <w:shd w:val="clear" w:color="auto" w:fill="FFFFFF"/>
        </w:rPr>
      </w:pP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821F90" w:rsidTr="00821F90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pozwolenia lub dokonano zgłoszenia </w:t>
            </w:r>
            <w:r>
              <w:rPr>
                <w:rFonts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21F90" w:rsidTr="00821F90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2019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1F90" w:rsidRDefault="00821F90" w:rsidP="001E70D0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2019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821F90" w:rsidTr="00821F9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tabs>
                <w:tab w:val="left" w:leader="dot" w:pos="2052"/>
              </w:tabs>
              <w:spacing w:before="80" w:after="4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326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155,2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236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139,6</w:t>
            </w:r>
          </w:p>
        </w:tc>
      </w:tr>
      <w:tr w:rsidR="00821F90" w:rsidTr="00821F9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62,3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136,5</w:t>
            </w:r>
          </w:p>
        </w:tc>
      </w:tr>
      <w:tr w:rsidR="00821F90" w:rsidTr="00821F9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32,8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509,5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153,1</w:t>
            </w:r>
          </w:p>
        </w:tc>
      </w:tr>
      <w:tr w:rsidR="00821F90" w:rsidTr="00821F90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tabs>
                <w:tab w:val="left" w:leader="dot" w:pos="2052"/>
                <w:tab w:val="right" w:leader="dot" w:pos="2552"/>
              </w:tabs>
              <w:spacing w:before="80" w:after="40" w:line="240" w:lineRule="auto"/>
              <w:ind w:left="34" w:hanging="34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Pr="004C2C80" w:rsidRDefault="004C2C80">
            <w:pPr>
              <w:spacing w:before="80" w:after="40" w:line="240" w:lineRule="auto"/>
              <w:ind w:right="176"/>
              <w:jc w:val="right"/>
              <w:rPr>
                <w:rFonts w:cs="Arial"/>
                <w:b/>
                <w:spacing w:val="-8"/>
                <w:sz w:val="16"/>
                <w:szCs w:val="16"/>
              </w:rPr>
            </w:pPr>
            <w:r w:rsidRPr="004C2C80">
              <w:rPr>
                <w:rFonts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821F90" w:rsidRDefault="00821F90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21F90" w:rsidRDefault="008B7FC2">
            <w:pPr>
              <w:spacing w:before="8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821F90" w:rsidRDefault="008B7FC2">
            <w:pPr>
              <w:spacing w:before="80" w:after="4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</w:tr>
    </w:tbl>
    <w:p w:rsidR="001E338E" w:rsidRDefault="001E338E" w:rsidP="005C7161">
      <w:pPr>
        <w:spacing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E338E" w:rsidRPr="004C46B4" w:rsidRDefault="001E338E" w:rsidP="00203944">
      <w:pPr>
        <w:spacing w:before="360" w:after="0"/>
        <w:jc w:val="both"/>
        <w:rPr>
          <w:rFonts w:cs="Times New Roman"/>
          <w:szCs w:val="19"/>
          <w:lang w:eastAsia="pl-PL"/>
        </w:rPr>
      </w:pPr>
    </w:p>
    <w:p w:rsidR="00953E64" w:rsidRPr="00881EAF" w:rsidRDefault="00953E64" w:rsidP="00203944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1E70D0" w:rsidRPr="00351B54" w:rsidRDefault="001E70D0" w:rsidP="001E70D0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styczniu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351B54">
        <w:rPr>
          <w:rFonts w:cs="Arial"/>
          <w:bCs/>
          <w:szCs w:val="19"/>
        </w:rPr>
        <w:t xml:space="preserve">r. w </w:t>
      </w:r>
      <w:r>
        <w:rPr>
          <w:rFonts w:cs="Arial"/>
          <w:bCs/>
          <w:szCs w:val="19"/>
        </w:rPr>
        <w:t>ujęciu rocznym zanotowano wzrost</w:t>
      </w:r>
      <w:r w:rsidRPr="00351B54">
        <w:rPr>
          <w:rFonts w:cs="Arial"/>
          <w:bCs/>
          <w:szCs w:val="19"/>
        </w:rPr>
        <w:t xml:space="preserve"> (w cenach bieżący</w:t>
      </w:r>
      <w:r>
        <w:rPr>
          <w:rFonts w:cs="Arial"/>
          <w:bCs/>
          <w:szCs w:val="19"/>
        </w:rPr>
        <w:t xml:space="preserve">ch) sprzedaży detalicznej (o 3,0%) oraz spadek 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2,6</w:t>
      </w:r>
      <w:r w:rsidRPr="00351B54">
        <w:rPr>
          <w:rFonts w:cs="Arial"/>
          <w:bCs/>
          <w:szCs w:val="19"/>
        </w:rPr>
        <w:t>%).</w:t>
      </w:r>
    </w:p>
    <w:p w:rsidR="001E70D0" w:rsidRDefault="001E70D0" w:rsidP="001E70D0">
      <w:pPr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>Wśród grup podmiotów handlowych i niehandlowych o znaczącym udziale w sprzedaży detalicznej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wzrost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 w odniesieniu do stycznia 2019</w:t>
      </w:r>
      <w:r w:rsidRPr="00774BC5">
        <w:rPr>
          <w:rFonts w:cs="Arial"/>
          <w:bCs/>
          <w:szCs w:val="19"/>
        </w:rPr>
        <w:t xml:space="preserve"> r.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zaklasyfikowane do grupy pozostałe (o 13,7%). Większą</w:t>
      </w:r>
      <w:r w:rsidRPr="00774BC5">
        <w:rPr>
          <w:rFonts w:cs="Arial"/>
          <w:bCs/>
          <w:szCs w:val="19"/>
        </w:rPr>
        <w:t xml:space="preserve"> niż przed rokiem sprzedaż zanotowały także jednostki </w:t>
      </w:r>
      <w:r>
        <w:rPr>
          <w:rFonts w:cs="Arial"/>
          <w:bCs/>
          <w:szCs w:val="19"/>
        </w:rPr>
        <w:t xml:space="preserve">handlujące żywnością, napojami i wyrobami tytoniowymi (o 5,7%) oraz prowadzące sprzedaż farmaceutyków, kosmetyków i sprzętu ortopedycznego (o 2,8%). Spośród grup o niższym udziale w sprzedaży detalicznej ogółem największy wzrost odnotowano w jednostkach zajmujących się handlem prasą, książkami oraz pozostałą sprzedażą w wyspecjalizowanych sklepach (o 41,2%). Z kolei spadek sprzedaży detalicznej wystąpił wśród jednostek zgrupowanych w kategoriach: </w:t>
      </w:r>
      <w:r w:rsidRPr="00774BC5">
        <w:rPr>
          <w:rFonts w:cs="Arial"/>
          <w:bCs/>
          <w:szCs w:val="19"/>
        </w:rPr>
        <w:t xml:space="preserve">meble, RTV, AGD </w:t>
      </w:r>
      <w:r>
        <w:rPr>
          <w:rFonts w:cs="Arial"/>
          <w:bCs/>
          <w:szCs w:val="19"/>
        </w:rPr>
        <w:t xml:space="preserve">(o 12,4%), paliwa stałe, ciekłe i gazowe (o 11,8%) oraz pojazdy samochodowe, motocykle, części (o 7,5%). </w:t>
      </w:r>
    </w:p>
    <w:p w:rsidR="001E70D0" w:rsidRDefault="001E70D0" w:rsidP="009B3E5A">
      <w:pPr>
        <w:spacing w:before="48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DE17D0">
        <w:rPr>
          <w:rFonts w:cs="Arial"/>
          <w:b/>
          <w:spacing w:val="-2"/>
          <w:szCs w:val="19"/>
        </w:rPr>
        <w:t>4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p w:rsidR="001E70D0" w:rsidRDefault="001E70D0" w:rsidP="001E70D0">
      <w:pPr>
        <w:pStyle w:val="tytuwykresu"/>
        <w:spacing w:before="120" w:after="120"/>
        <w:ind w:left="907" w:hanging="907"/>
        <w:rPr>
          <w:rFonts w:cs="Arial"/>
          <w:b w:val="0"/>
          <w:szCs w:val="19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29"/>
        <w:gridCol w:w="2480"/>
        <w:gridCol w:w="2481"/>
      </w:tblGrid>
      <w:tr w:rsidR="001E70D0" w:rsidRPr="0083095D" w:rsidTr="001E70D0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1E70D0" w:rsidRPr="0083095D" w:rsidRDefault="001E70D0" w:rsidP="001E70D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E70D0" w:rsidRPr="0083095D" w:rsidTr="001E70D0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E70D0" w:rsidRPr="0083095D" w:rsidTr="001E70D0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2481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1E70D0" w:rsidRPr="0083095D" w:rsidTr="001E70D0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tabs>
                <w:tab w:val="left" w:leader="dot" w:pos="4143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E70D0" w:rsidRPr="0083095D" w:rsidRDefault="001E70D0" w:rsidP="001E70D0">
            <w:pPr>
              <w:spacing w:before="4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</w:tbl>
    <w:p w:rsidR="001E70D0" w:rsidRPr="0083095D" w:rsidRDefault="001E70D0" w:rsidP="001E70D0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1E70D0" w:rsidRDefault="001E70D0" w:rsidP="002B20E7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lastRenderedPageBreak/>
        <w:t>W</w:t>
      </w:r>
      <w:r w:rsidRPr="0013417F">
        <w:rPr>
          <w:rFonts w:cs="Arial"/>
          <w:bCs/>
          <w:szCs w:val="19"/>
        </w:rPr>
        <w:t>artość sprzedaży det</w:t>
      </w:r>
      <w:r>
        <w:rPr>
          <w:rFonts w:cs="Arial"/>
          <w:bCs/>
          <w:szCs w:val="19"/>
        </w:rPr>
        <w:t>alicznej zrealizowanej w styczniu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13417F">
        <w:rPr>
          <w:rFonts w:cs="Arial"/>
          <w:bCs/>
          <w:szCs w:val="19"/>
        </w:rPr>
        <w:t>r. przez jednostki handlowe i </w:t>
      </w:r>
      <w:r>
        <w:rPr>
          <w:rFonts w:cs="Arial"/>
          <w:bCs/>
          <w:szCs w:val="19"/>
        </w:rPr>
        <w:t>niehandlowe zmniejszyła się w stosunku do grudnia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2019 </w:t>
      </w:r>
      <w:r w:rsidRPr="0013417F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o 19,1%. Największy spadek zanotowały </w:t>
      </w:r>
      <w:r w:rsidRPr="0013417F">
        <w:rPr>
          <w:rFonts w:cs="Arial"/>
          <w:bCs/>
          <w:szCs w:val="19"/>
        </w:rPr>
        <w:t xml:space="preserve">przedsiębiorstwa </w:t>
      </w:r>
      <w:r>
        <w:rPr>
          <w:rFonts w:cs="Arial"/>
          <w:bCs/>
          <w:szCs w:val="19"/>
        </w:rPr>
        <w:t xml:space="preserve">handlujące pojazdami samochodowymi, motocyklami, częściami (o 39,2%). Znacznie zmniejszyła się również, w porównaniu z grudniem 2019 r., sprzedaż detaliczna wśród jednostek zaklasyfikowanych do grup: </w:t>
      </w:r>
      <w:r w:rsidRPr="008A23D7">
        <w:rPr>
          <w:rFonts w:cs="Arial"/>
          <w:bCs/>
          <w:szCs w:val="19"/>
        </w:rPr>
        <w:t>meble</w:t>
      </w:r>
      <w:r>
        <w:rPr>
          <w:rFonts w:cs="Arial"/>
          <w:bCs/>
          <w:szCs w:val="19"/>
        </w:rPr>
        <w:t xml:space="preserve">, RTV, AGD (o 30,1%), paliwa stałe, ciekłe i gazowe (o 20,1%), pozostałe (o 18,6%) oraz </w:t>
      </w:r>
      <w:r w:rsidRPr="008A23D7">
        <w:rPr>
          <w:rFonts w:cs="Arial"/>
          <w:bCs/>
          <w:szCs w:val="19"/>
        </w:rPr>
        <w:t>żywność, na</w:t>
      </w:r>
      <w:r>
        <w:rPr>
          <w:rFonts w:cs="Arial"/>
          <w:bCs/>
          <w:szCs w:val="19"/>
        </w:rPr>
        <w:t>poje i wyroby tytoniowe (o 18,3</w:t>
      </w:r>
      <w:r w:rsidRPr="008A23D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Wzrost sprzedaży wystąpił natomiast wśród jednostek prowadzących sprzedaż farmaceutyków, kosmetyków oraz sprzętu ortopedycznego (o 8,7%). </w:t>
      </w:r>
    </w:p>
    <w:p w:rsidR="001E70D0" w:rsidRDefault="001E70D0" w:rsidP="001E70D0">
      <w:pPr>
        <w:rPr>
          <w:rFonts w:cs="Arial"/>
          <w:bCs/>
          <w:szCs w:val="19"/>
        </w:rPr>
      </w:pPr>
      <w:r w:rsidRPr="0013417F">
        <w:rPr>
          <w:rFonts w:cs="Arial"/>
          <w:bCs/>
          <w:szCs w:val="19"/>
        </w:rPr>
        <w:t>Sprzedaż hurtowa (w cenach bieżących) w przedsiębiorstwach handlowych województwa świę</w:t>
      </w:r>
      <w:r>
        <w:rPr>
          <w:rFonts w:cs="Arial"/>
          <w:bCs/>
          <w:szCs w:val="19"/>
        </w:rPr>
        <w:t>tokrzyskiego w styczniu 2020 r. była większa o 12,3%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mniejsza o 0,7% niż w styczniu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wyższym </w:t>
      </w:r>
      <w:r w:rsidRPr="0013417F">
        <w:rPr>
          <w:rFonts w:cs="Arial"/>
          <w:bCs/>
          <w:szCs w:val="19"/>
        </w:rPr>
        <w:t>w odniesieniu do miesiąca poprzedniego</w:t>
      </w:r>
      <w:r>
        <w:rPr>
          <w:rFonts w:cs="Arial"/>
          <w:bCs/>
          <w:szCs w:val="19"/>
        </w:rPr>
        <w:t xml:space="preserve"> (o 8,7%) i niższym </w:t>
      </w:r>
      <w:r w:rsidRPr="0013417F">
        <w:rPr>
          <w:rFonts w:cs="Arial"/>
          <w:bCs/>
          <w:szCs w:val="19"/>
        </w:rPr>
        <w:t>w s</w:t>
      </w:r>
      <w:r>
        <w:rPr>
          <w:rFonts w:cs="Arial"/>
          <w:bCs/>
          <w:szCs w:val="19"/>
        </w:rPr>
        <w:t>tosunku do roku ubiegłego (o 0,7</w:t>
      </w:r>
      <w:r w:rsidRPr="0013417F">
        <w:rPr>
          <w:rFonts w:cs="Arial"/>
          <w:bCs/>
          <w:szCs w:val="19"/>
        </w:rPr>
        <w:t>%).</w:t>
      </w:r>
    </w:p>
    <w:p w:rsidR="00433AE8" w:rsidRPr="007C26E1" w:rsidRDefault="00433AE8" w:rsidP="005A64EE">
      <w:pPr>
        <w:jc w:val="both"/>
        <w:rPr>
          <w:rFonts w:cs="Arial"/>
          <w:bCs/>
          <w:szCs w:val="19"/>
        </w:rPr>
      </w:pPr>
    </w:p>
    <w:p w:rsidR="002A644A" w:rsidRPr="00881EAF" w:rsidRDefault="002A644A" w:rsidP="00284CE4">
      <w:pPr>
        <w:sectPr w:rsidR="002A644A" w:rsidRPr="00881EAF" w:rsidSect="002C0678">
          <w:headerReference w:type="default" r:id="rId29"/>
          <w:footerReference w:type="default" r:id="rId30"/>
          <w:pgSz w:w="11906" w:h="16838" w:code="9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5"/>
        <w:gridCol w:w="321"/>
        <w:gridCol w:w="909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Tr="00675A7F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675A7F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:rsidTr="00675A7F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:rsidTr="00675A7F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675A7F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Stopa bezrobocia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bc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675A7F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4339,</w:t>
            </w:r>
            <w:r w:rsidRPr="00A5316E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3E1019" w:rsidTr="00675A7F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</w:rPr>
            </w:pPr>
            <w:r w:rsidRPr="00BE3E03">
              <w:rPr>
                <w:rFonts w:ascii="Fira Sans" w:hAnsi="Fira Sans"/>
                <w:sz w:val="16"/>
                <w:szCs w:val="16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A5316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5316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A5316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106,</w:t>
            </w:r>
            <w:r w:rsidRPr="00F07E78">
              <w:rPr>
                <w:rFonts w:ascii="Fira Sans" w:hAnsi="Fira Sans"/>
              </w:rPr>
              <w:t xml:space="preserve">9  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020D79" w:rsidTr="00675A7F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CC7608">
              <w:rPr>
                <w:rFonts w:ascii="Fira Sans" w:hAnsi="Fira Sans"/>
                <w:b/>
              </w:rPr>
              <w:t>.</w:t>
            </w:r>
          </w:p>
        </w:tc>
      </w:tr>
      <w:tr w:rsidR="003E1019" w:rsidTr="00675A7F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Tr="00675A7F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675A7F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:rsidTr="00675A7F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C85945" w:rsidTr="00675A7F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C85945" w:rsidTr="00675A7F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9B3E5A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588" w:type="dxa"/>
            <w:gridSpan w:val="2"/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RPr="00FD0BC6" w:rsidTr="00675A7F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:rsidTr="00675A7F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:rsidTr="00675A7F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1434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1694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2068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2675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3028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3323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3825</w:t>
            </w:r>
          </w:p>
        </w:tc>
      </w:tr>
      <w:tr w:rsidR="00284CE4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EB0C80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EB0C80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EB0C80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284CE4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B23C62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B23C62" w:rsidRPr="00FD0BC6" w:rsidRDefault="00B23C62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B23C62" w:rsidRPr="00FD0BC6" w:rsidRDefault="00B23C62" w:rsidP="00F65F8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284CE4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B23C62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B23C62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B23C62" w:rsidRPr="00FD0BC6" w:rsidRDefault="00B23C62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B23C62" w:rsidRPr="00FD0BC6" w:rsidRDefault="00B23C62" w:rsidP="00F65F8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B23C62" w:rsidRPr="00FD0BC6" w:rsidRDefault="00B23C62" w:rsidP="00E809C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284CE4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B23C62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284CE4" w:rsidRPr="00FD0BC6" w:rsidTr="00675A7F">
        <w:tc>
          <w:tcPr>
            <w:tcW w:w="4588" w:type="dxa"/>
            <w:gridSpan w:val="2"/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445D43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45D43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033961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033961">
              <w:rPr>
                <w:rFonts w:ascii="Fira Sans" w:hAnsi="Fira Sans"/>
                <w:b/>
              </w:rPr>
              <w:t>.</w:t>
            </w: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4A2D3A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767DD5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445D43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45D43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033961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033961">
              <w:rPr>
                <w:rFonts w:ascii="Fira Sans" w:hAnsi="Fira Sans"/>
                <w:b/>
              </w:rPr>
              <w:t>.</w:t>
            </w:r>
          </w:p>
        </w:tc>
      </w:tr>
      <w:tr w:rsidR="00CA6FE7" w:rsidRPr="00033961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179DE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C5C7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7109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971098" w:rsidTr="00675A7F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CA6FE7" w:rsidRPr="00FD0BC6" w:rsidTr="00675A7F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179DE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C5C7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2224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BA2224" w:rsidTr="00675A7F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CA6FE7" w:rsidRPr="00FD0BC6" w:rsidTr="00675A7F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26B5F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9B3E5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</w:t>
            </w:r>
            <w:r w:rsidR="00BF086D">
              <w:rPr>
                <w:rFonts w:ascii="Fira Sans" w:hAnsi="Fira Sans"/>
              </w:rPr>
              <w:t>06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BF086D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A6FE7" w:rsidRPr="00FD0BC6" w:rsidTr="00675A7F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BF086D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Bez osób prowadzących gospodarstwa indywidualne </w:t>
      </w:r>
      <w:r w:rsidRPr="00FD0BC6">
        <w:rPr>
          <w:rFonts w:ascii="Fira Sans" w:hAnsi="Fira Sans"/>
        </w:rPr>
        <w:br/>
        <w:t>w rolnictwie</w:t>
      </w:r>
      <w:r>
        <w:rPr>
          <w:rFonts w:ascii="Fira Sans" w:hAnsi="Fira Sans"/>
        </w:rPr>
        <w:t xml:space="preserve">. </w:t>
      </w:r>
      <w:r w:rsidRPr="00ED4527">
        <w:rPr>
          <w:rFonts w:ascii="Fira Sans" w:hAnsi="Fira Sans"/>
          <w:i/>
          <w:vertAlign w:val="superscript"/>
        </w:rPr>
        <w:t>f</w:t>
      </w:r>
      <w:r w:rsidRPr="00ED4527">
        <w:t xml:space="preserve"> </w:t>
      </w:r>
      <w:r>
        <w:t>W</w:t>
      </w:r>
      <w:r w:rsidRPr="00ED4527">
        <w:rPr>
          <w:rFonts w:ascii="Fira Sans" w:hAnsi="Fira Sans"/>
        </w:rPr>
        <w:t xml:space="preserve"> lipcu 2018 r. wystąpił spadek liczby podmiotów</w:t>
      </w:r>
      <w:r>
        <w:rPr>
          <w:rFonts w:ascii="Fira Sans" w:hAnsi="Fira Sans"/>
        </w:rPr>
        <w:t>,</w:t>
      </w:r>
      <w:r w:rsidRPr="00ED4527">
        <w:rPr>
          <w:rFonts w:ascii="Fira Sans" w:hAnsi="Fira Sans"/>
        </w:rPr>
        <w:t xml:space="preserve"> na skutek wykreślenia z rejestru REGON podmiotów - które pozostawały wpisane do rejestru w oparciu o wpisy dokonane w rejestrach sądowych na podstawie przepisów obowiązujących do dnia wejścia w życie ustawy o Krajowym Rejestrze Sądowym - których wpisy nie zostały odnalezione w zbiorach KRS.</w:t>
      </w:r>
    </w:p>
    <w:p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  <w:sectPr w:rsidR="00284CE4" w:rsidSect="002C0678"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7A26BE" w:rsidRDefault="007A26BE" w:rsidP="007A26BE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:rsidTr="007A26BE">
        <w:trPr>
          <w:trHeight w:val="1912"/>
        </w:trPr>
        <w:tc>
          <w:tcPr>
            <w:tcW w:w="4379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20"/>
        </w:rPr>
      </w:pPr>
    </w:p>
    <w:p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57"/>
        <w:gridCol w:w="781"/>
        <w:gridCol w:w="4042"/>
      </w:tblGrid>
      <w:tr w:rsidR="007A26BE" w:rsidTr="00675A7F">
        <w:trPr>
          <w:trHeight w:val="610"/>
        </w:trPr>
        <w:tc>
          <w:tcPr>
            <w:tcW w:w="2721" w:type="pct"/>
            <w:vMerge w:val="restart"/>
          </w:tcPr>
          <w:p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31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7A26BE" w:rsidRPr="00001C5B" w:rsidRDefault="004C2C80" w:rsidP="007A26BE">
      <w:pPr>
        <w:rPr>
          <w:sz w:val="18"/>
        </w:rPr>
      </w:pPr>
      <w:r>
        <w:rPr>
          <w:noProof/>
        </w:rPr>
        <w:pict>
          <v:shape id="Pole tekstowe 2" o:spid="_x0000_s1075" type="#_x0000_t202" style="position:absolute;margin-left:1.5pt;margin-top:33.5pt;width:516.5pt;height:349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<v:textbox style="mso-next-textbox:#Pole tekstowe 2">
              <w:txbxContent>
                <w:p w:rsidR="00000AD6" w:rsidRDefault="00000AD6" w:rsidP="007A26BE">
                  <w:pPr>
                    <w:rPr>
                      <w:b/>
                    </w:rPr>
                  </w:pPr>
                </w:p>
                <w:p w:rsidR="00000AD6" w:rsidRPr="00675A7F" w:rsidRDefault="00000AD6" w:rsidP="007A26BE">
                  <w:pPr>
                    <w:rPr>
                      <w:b/>
                    </w:rPr>
                  </w:pPr>
                  <w:r w:rsidRPr="00675A7F">
                    <w:rPr>
                      <w:b/>
                    </w:rPr>
                    <w:t>Powiązane opracowania</w:t>
                  </w:r>
                </w:p>
                <w:p w:rsidR="00000AD6" w:rsidRPr="00BD206D" w:rsidRDefault="004C2C80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5" w:history="1"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Sytuacja społeczno-gospodarcza kraju w </w:t>
                    </w:r>
                    <w:r w:rsidR="008C073C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styczniu </w:t>
                    </w:r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 w:rsidR="008C073C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r.</w:t>
                    </w:r>
                  </w:hyperlink>
                </w:p>
                <w:p w:rsidR="00000AD6" w:rsidRPr="00BD206D" w:rsidRDefault="004C2C80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6" w:history="1"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 GUS</w:t>
                    </w:r>
                  </w:hyperlink>
                </w:p>
                <w:p w:rsidR="00000AD6" w:rsidRPr="00BD206D" w:rsidRDefault="004C2C80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7" w:history="1"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 województwa świętokrzyskiego</w:t>
                    </w:r>
                  </w:hyperlink>
                </w:p>
                <w:p w:rsidR="00000AD6" w:rsidRPr="00675A7F" w:rsidRDefault="00000AD6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000AD6" w:rsidRPr="00BD206D" w:rsidRDefault="00000AD6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BD206D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000AD6" w:rsidRPr="00BD206D" w:rsidRDefault="004C2C80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8" w:history="1"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000AD6" w:rsidRPr="00BD206D" w:rsidRDefault="004C2C80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9" w:history="1"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Dziedzinowe Bazy Wiedzy (DBW)</w:t>
                    </w:r>
                  </w:hyperlink>
                </w:p>
                <w:p w:rsidR="00000AD6" w:rsidRPr="00BD206D" w:rsidRDefault="00000AD6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000AD6" w:rsidRDefault="00000AD6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000AD6" w:rsidRPr="00BD206D" w:rsidRDefault="004C2C80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40" w:history="1">
                    <w:r w:rsidR="00000AD6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Pojęcia stosowane w statystyce publicznej</w:t>
                    </w:r>
                  </w:hyperlink>
                </w:p>
                <w:p w:rsidR="00000AD6" w:rsidRPr="007A26BE" w:rsidRDefault="00000AD6" w:rsidP="007A26BE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p w:rsidR="00591DA8" w:rsidRDefault="00591DA8" w:rsidP="00591DA8"/>
    <w:p w:rsidR="007A26BE" w:rsidRDefault="007A26BE" w:rsidP="00591DA8"/>
    <w:p w:rsidR="007A26BE" w:rsidRDefault="007A26BE" w:rsidP="00591DA8"/>
    <w:sectPr w:rsidR="007A26BE" w:rsidSect="002C0678">
      <w:headerReference w:type="default" r:id="rId41"/>
      <w:footerReference w:type="default" r:id="rId4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AD6" w:rsidRDefault="00000AD6" w:rsidP="000662E2">
      <w:pPr>
        <w:spacing w:after="0" w:line="240" w:lineRule="auto"/>
      </w:pPr>
      <w:r>
        <w:separator/>
      </w:r>
    </w:p>
  </w:endnote>
  <w:endnote w:type="continuationSeparator" w:id="0">
    <w:p w:rsidR="00000AD6" w:rsidRDefault="00000A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168437D-EEFF-4DB4-B97E-40930ABC2C02}"/>
    <w:embedBold r:id="rId2" w:fontKey="{54F1ED24-B146-446B-BF19-0796AC50AEA3}"/>
    <w:embedItalic r:id="rId3" w:fontKey="{9D9E5C9A-D736-4B59-A3E0-AE5275C9A0AF}"/>
    <w:embedBoldItalic r:id="rId4" w:fontKey="{0143FA49-C4A2-4ACE-9496-E06F7D8FEF91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6C46509-A5A5-4C04-A1E2-57ED2BE4AFF7}"/>
    <w:embedBold r:id="rId6" w:fontKey="{B07F48C4-AD17-4A00-B846-C082EADEBF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7E2970-ACB4-4672-B1D4-826B0993C806}"/>
    <w:embedItalic r:id="rId8" w:fontKey="{C8C0DA6A-0FE7-48A4-8407-6D24809F4B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011792A-CFB2-450C-B815-876E74D382BE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6BCE983-58B5-4C20-933D-556BD9C6A55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FB4E9EE0-660F-449D-BC29-908E8A22E0C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12" w:fontKey="{1A0EC32E-15A0-417C-8C88-B726524310E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629A846B-E11D-4CED-9C73-8E7EF39AC43F}"/>
    <w:embedBold r:id="rId14" w:fontKey="{8F2496A8-AA8C-48E9-8E2D-7D27CA69A80F}"/>
    <w:embedItalic r:id="rId15" w:fontKey="{825FC8AC-291B-4CAB-ADD5-1E21B07E5760}"/>
    <w:embedBoldItalic r:id="rId16" w:fontKey="{47F07252-24D0-428B-8C80-FFE93393DA1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8BB16F77-6544-4B65-8A1C-3D2D613E6AB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:rsidR="00000AD6" w:rsidRDefault="00000A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0AD6" w:rsidRDefault="00000AD6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:rsidR="00000AD6" w:rsidRDefault="00000A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C2C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0AD6" w:rsidRDefault="00000AD6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:rsidR="00000AD6" w:rsidRDefault="00000A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C2C8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00AD6" w:rsidRDefault="00000AD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:rsidR="00000AD6" w:rsidRDefault="00000A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C2C8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00AD6" w:rsidRDefault="00000AD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AD6" w:rsidRDefault="00000AD6" w:rsidP="000662E2">
      <w:pPr>
        <w:spacing w:after="0" w:line="240" w:lineRule="auto"/>
      </w:pPr>
      <w:r>
        <w:separator/>
      </w:r>
    </w:p>
  </w:footnote>
  <w:footnote w:type="continuationSeparator" w:id="0">
    <w:p w:rsidR="00000AD6" w:rsidRDefault="00000AD6" w:rsidP="000662E2">
      <w:pPr>
        <w:spacing w:after="0" w:line="240" w:lineRule="auto"/>
      </w:pPr>
      <w:r>
        <w:continuationSeparator/>
      </w:r>
    </w:p>
  </w:footnote>
  <w:footnote w:id="1">
    <w:p w:rsidR="00000AD6" w:rsidRPr="00EC4C66" w:rsidRDefault="00000AD6" w:rsidP="00735BDC">
      <w:pPr>
        <w:pStyle w:val="Tekstprzypisudolnego"/>
        <w:ind w:left="113" w:hanging="113"/>
        <w:jc w:val="both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:rsidR="00000AD6" w:rsidRDefault="00000AD6" w:rsidP="00821F90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AD6" w:rsidRPr="00CB5DE0" w:rsidRDefault="00000AD6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:rsidR="00000AD6" w:rsidRDefault="004C2C8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5iSA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" adj="-11796480,,5400" path="m,l3220948,v169038,,306070,137032,306070,306070c3527018,475108,3389986,612140,3220948,612140l,612140,,xe" fillcolor="#522398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000AD6" w:rsidRPr="00E2438C" w:rsidRDefault="00000AD6" w:rsidP="00100C3D">
                <w:pPr>
                  <w:spacing w:before="0" w:after="0" w:line="240" w:lineRule="auto"/>
                  <w:ind w:left="227" w:firstLine="57"/>
                  <w:jc w:val="both"/>
                  <w:rPr>
                    <w:rFonts w:ascii="Fira Sans SemiBold" w:hAnsi="Fira Sans SemiBold"/>
                    <w:color w:val="FFFFFF" w:themeColor="background1"/>
                  </w:rPr>
                </w:pP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INFORMACJE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</w:rPr>
                  <w:t xml:space="preserve"> 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SYGNALNE</w:t>
                </w:r>
              </w:p>
            </w:txbxContent>
          </v:textbox>
        </v:shape>
      </w:pict>
    </w:r>
  </w:p>
  <w:p w:rsidR="00000AD6" w:rsidRDefault="00000AD6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:rsidR="00000AD6" w:rsidRPr="006B2A42" w:rsidRDefault="00000AD6">
    <w:pPr>
      <w:pStyle w:val="Nagwek"/>
      <w:rPr>
        <w:noProof/>
        <w:sz w:val="12"/>
        <w:lang w:eastAsia="pl-PL"/>
      </w:rPr>
    </w:pPr>
  </w:p>
  <w:p w:rsidR="00000AD6" w:rsidRDefault="004C2C80">
    <w:pPr>
      <w:pStyle w:val="Nagwek"/>
      <w:rPr>
        <w:noProof/>
        <w:lang w:eastAsia="pl-PL"/>
      </w:rPr>
    </w:pPr>
    <w:r>
      <w:rPr>
        <w:noProof/>
        <w:lang w:eastAsia="pl-PL"/>
      </w:rPr>
      <w:pict>
        <v:line id="Łącznik prosty 4" o:spid="_x0000_s2050" style="position:absolute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tXl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PfrV5e8BAAAoBAAADgAAAAAAAAAAAAAAAAAuAgAAZHJzL2Uy&#10;b0RvYy54bWxQSwECLQAUAAYACAAAACEAY35yoN8AAAAKAQAADwAAAAAAAAAAAAAAAABJBAAAZHJz&#10;L2Rvd25yZXYueG1sUEsFBgAAAAAEAAQA8wAAAFUFAAAAAA==&#10;" strokecolor="#212e79" strokeweight="1pt">
          <v:stroke joinstyle="miter"/>
          <o:lock v:ext="edit" shapetype="f"/>
        </v:lin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73.7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GtuTaBAC&#10;AAD+AwAADgAAAAAAAAAAAAAAAAAuAgAAZHJzL2Uyb0RvYy54bWxQSwECLQAUAAYACAAAACEAhY3L&#10;h9wAAAAHAQAADwAAAAAAAAAAAAAAAABqBAAAZHJzL2Rvd25yZXYueG1sUEsFBgAAAAAEAAQA8wAA&#10;AHMFAAAAAA==&#10;" filled="f" stroked="f">
          <v:textbox>
            <w:txbxContent>
              <w:p w:rsidR="00000AD6" w:rsidRPr="00FE252C" w:rsidRDefault="00000AD6" w:rsidP="00F37172">
                <w:pPr>
                  <w:jc w:val="both"/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</w:pP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28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02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 r.</w:t>
                </w:r>
              </w:p>
              <w:p w:rsidR="00000AD6" w:rsidRPr="00FE252C" w:rsidRDefault="00000AD6" w:rsidP="00F37172">
                <w:pPr>
                  <w:jc w:val="both"/>
                  <w:rPr>
                    <w:rFonts w:ascii="Fira Sans SemiBold" w:hAnsi="Fira Sans SemiBold"/>
                    <w:color w:val="522398"/>
                    <w:lang w:val="en-GB"/>
                  </w:rPr>
                </w:pP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Nr 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1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/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</w:p>
              <w:p w:rsidR="00000AD6" w:rsidRPr="003439F1" w:rsidRDefault="00000AD6" w:rsidP="00F37172">
                <w:pPr>
                  <w:jc w:val="both"/>
                  <w:rPr>
                    <w:rFonts w:ascii="Fira Sans SemiBold" w:hAnsi="Fira Sans SemiBold"/>
                    <w:color w:val="001D77"/>
                    <w:lang w:val="en-GB"/>
                  </w:rPr>
                </w:pPr>
              </w:p>
            </w:txbxContent>
          </v:textbox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AD6" w:rsidRDefault="00000AD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AD6" w:rsidRDefault="00000AD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3"/>
  </w:num>
  <w:num w:numId="5">
    <w:abstractNumId w:val="10"/>
  </w:num>
  <w:num w:numId="6">
    <w:abstractNumId w:val="14"/>
  </w:num>
  <w:num w:numId="7">
    <w:abstractNumId w:val="21"/>
  </w:num>
  <w:num w:numId="8">
    <w:abstractNumId w:val="22"/>
  </w:num>
  <w:num w:numId="9">
    <w:abstractNumId w:val="15"/>
  </w:num>
  <w:num w:numId="10">
    <w:abstractNumId w:val="4"/>
  </w:num>
  <w:num w:numId="11">
    <w:abstractNumId w:val="20"/>
  </w:num>
  <w:num w:numId="12">
    <w:abstractNumId w:val="9"/>
  </w:num>
  <w:num w:numId="13">
    <w:abstractNumId w:val="17"/>
  </w:num>
  <w:num w:numId="14">
    <w:abstractNumId w:val="3"/>
  </w:num>
  <w:num w:numId="15">
    <w:abstractNumId w:val="5"/>
  </w:num>
  <w:num w:numId="16">
    <w:abstractNumId w:val="6"/>
  </w:num>
  <w:num w:numId="17">
    <w:abstractNumId w:val="7"/>
  </w:num>
  <w:num w:numId="18">
    <w:abstractNumId w:val="11"/>
  </w:num>
  <w:num w:numId="19">
    <w:abstractNumId w:val="13"/>
  </w:num>
  <w:num w:numId="20">
    <w:abstractNumId w:val="16"/>
  </w:num>
  <w:num w:numId="21">
    <w:abstractNumId w:val="12"/>
  </w:num>
  <w:num w:numId="22">
    <w:abstractNumId w:val="18"/>
  </w:num>
  <w:num w:numId="23">
    <w:abstractNumId w:val="24"/>
  </w:num>
  <w:num w:numId="24">
    <w:abstractNumId w:val="0"/>
  </w:num>
  <w:num w:numId="25">
    <w:abstractNumId w:val="14"/>
  </w:num>
  <w:num w:numId="26">
    <w:abstractNumId w:val="1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0AD6"/>
    <w:rsid w:val="00001C5B"/>
    <w:rsid w:val="00003437"/>
    <w:rsid w:val="00003920"/>
    <w:rsid w:val="0000398C"/>
    <w:rsid w:val="00005527"/>
    <w:rsid w:val="0000643E"/>
    <w:rsid w:val="0000709F"/>
    <w:rsid w:val="00010393"/>
    <w:rsid w:val="000108B8"/>
    <w:rsid w:val="00012660"/>
    <w:rsid w:val="000130AB"/>
    <w:rsid w:val="00013526"/>
    <w:rsid w:val="000142A0"/>
    <w:rsid w:val="000152F5"/>
    <w:rsid w:val="000154B4"/>
    <w:rsid w:val="000155E2"/>
    <w:rsid w:val="00024A2D"/>
    <w:rsid w:val="000250D0"/>
    <w:rsid w:val="00033961"/>
    <w:rsid w:val="000361F3"/>
    <w:rsid w:val="00041A33"/>
    <w:rsid w:val="00043CB4"/>
    <w:rsid w:val="0004582E"/>
    <w:rsid w:val="00045A8D"/>
    <w:rsid w:val="00046258"/>
    <w:rsid w:val="000470AA"/>
    <w:rsid w:val="00047E5D"/>
    <w:rsid w:val="00050AE4"/>
    <w:rsid w:val="00053B21"/>
    <w:rsid w:val="00054993"/>
    <w:rsid w:val="00055C06"/>
    <w:rsid w:val="000564EC"/>
    <w:rsid w:val="00057CA1"/>
    <w:rsid w:val="00063EEB"/>
    <w:rsid w:val="0006555D"/>
    <w:rsid w:val="000658AF"/>
    <w:rsid w:val="00065D27"/>
    <w:rsid w:val="000662E2"/>
    <w:rsid w:val="00066883"/>
    <w:rsid w:val="00066B9D"/>
    <w:rsid w:val="00067E65"/>
    <w:rsid w:val="000713BB"/>
    <w:rsid w:val="00071F9D"/>
    <w:rsid w:val="00074DD8"/>
    <w:rsid w:val="00075EE2"/>
    <w:rsid w:val="00077823"/>
    <w:rsid w:val="000806F7"/>
    <w:rsid w:val="0008108E"/>
    <w:rsid w:val="0008143E"/>
    <w:rsid w:val="00084CE0"/>
    <w:rsid w:val="00084DBB"/>
    <w:rsid w:val="0008554B"/>
    <w:rsid w:val="0008739A"/>
    <w:rsid w:val="00090045"/>
    <w:rsid w:val="00090E0C"/>
    <w:rsid w:val="00095A00"/>
    <w:rsid w:val="000960E9"/>
    <w:rsid w:val="00097840"/>
    <w:rsid w:val="000A0F5B"/>
    <w:rsid w:val="000A0F6E"/>
    <w:rsid w:val="000A2B53"/>
    <w:rsid w:val="000A56BF"/>
    <w:rsid w:val="000A5E23"/>
    <w:rsid w:val="000A635B"/>
    <w:rsid w:val="000A6973"/>
    <w:rsid w:val="000A6E1A"/>
    <w:rsid w:val="000A7FCB"/>
    <w:rsid w:val="000B0727"/>
    <w:rsid w:val="000B08B2"/>
    <w:rsid w:val="000B09EC"/>
    <w:rsid w:val="000C0190"/>
    <w:rsid w:val="000C023C"/>
    <w:rsid w:val="000C0332"/>
    <w:rsid w:val="000C135D"/>
    <w:rsid w:val="000C167B"/>
    <w:rsid w:val="000C594A"/>
    <w:rsid w:val="000C6FB3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4D3"/>
    <w:rsid w:val="000D6905"/>
    <w:rsid w:val="000E0918"/>
    <w:rsid w:val="000E1555"/>
    <w:rsid w:val="000E37F0"/>
    <w:rsid w:val="000E3BFF"/>
    <w:rsid w:val="000E6015"/>
    <w:rsid w:val="000E636E"/>
    <w:rsid w:val="000E7E55"/>
    <w:rsid w:val="000F1CD1"/>
    <w:rsid w:val="000F2F8F"/>
    <w:rsid w:val="00100497"/>
    <w:rsid w:val="00100538"/>
    <w:rsid w:val="00100C3D"/>
    <w:rsid w:val="001011C3"/>
    <w:rsid w:val="00102111"/>
    <w:rsid w:val="001027F2"/>
    <w:rsid w:val="00102E25"/>
    <w:rsid w:val="00103117"/>
    <w:rsid w:val="00103B3A"/>
    <w:rsid w:val="00104481"/>
    <w:rsid w:val="001046B1"/>
    <w:rsid w:val="0010480E"/>
    <w:rsid w:val="001053E4"/>
    <w:rsid w:val="001055AD"/>
    <w:rsid w:val="001057FF"/>
    <w:rsid w:val="001103DB"/>
    <w:rsid w:val="00110490"/>
    <w:rsid w:val="001108DD"/>
    <w:rsid w:val="00110D87"/>
    <w:rsid w:val="001110A5"/>
    <w:rsid w:val="001114BA"/>
    <w:rsid w:val="00111B77"/>
    <w:rsid w:val="00111C9B"/>
    <w:rsid w:val="00111FEA"/>
    <w:rsid w:val="00112C19"/>
    <w:rsid w:val="00114DB9"/>
    <w:rsid w:val="0011504A"/>
    <w:rsid w:val="00116087"/>
    <w:rsid w:val="00117B4F"/>
    <w:rsid w:val="001203E3"/>
    <w:rsid w:val="0012230B"/>
    <w:rsid w:val="00122AAC"/>
    <w:rsid w:val="00124D97"/>
    <w:rsid w:val="00130296"/>
    <w:rsid w:val="001328CA"/>
    <w:rsid w:val="00134A13"/>
    <w:rsid w:val="00136CAE"/>
    <w:rsid w:val="00137FF8"/>
    <w:rsid w:val="001423B6"/>
    <w:rsid w:val="001448A7"/>
    <w:rsid w:val="00146621"/>
    <w:rsid w:val="001506AA"/>
    <w:rsid w:val="00150EFB"/>
    <w:rsid w:val="00152F9D"/>
    <w:rsid w:val="0015379F"/>
    <w:rsid w:val="00156974"/>
    <w:rsid w:val="00157D83"/>
    <w:rsid w:val="00161230"/>
    <w:rsid w:val="00162325"/>
    <w:rsid w:val="0016455A"/>
    <w:rsid w:val="00167815"/>
    <w:rsid w:val="00170419"/>
    <w:rsid w:val="001710C2"/>
    <w:rsid w:val="001718F8"/>
    <w:rsid w:val="001724BC"/>
    <w:rsid w:val="00173505"/>
    <w:rsid w:val="001743DC"/>
    <w:rsid w:val="00174D74"/>
    <w:rsid w:val="00176A02"/>
    <w:rsid w:val="00176DE8"/>
    <w:rsid w:val="00177EDD"/>
    <w:rsid w:val="00180E8C"/>
    <w:rsid w:val="00181902"/>
    <w:rsid w:val="00183860"/>
    <w:rsid w:val="001842BB"/>
    <w:rsid w:val="001842F7"/>
    <w:rsid w:val="00184307"/>
    <w:rsid w:val="001864EC"/>
    <w:rsid w:val="00186DC7"/>
    <w:rsid w:val="00192FCC"/>
    <w:rsid w:val="001951DA"/>
    <w:rsid w:val="001A3952"/>
    <w:rsid w:val="001A5CE4"/>
    <w:rsid w:val="001A79F7"/>
    <w:rsid w:val="001A7E65"/>
    <w:rsid w:val="001B0959"/>
    <w:rsid w:val="001B2648"/>
    <w:rsid w:val="001B288A"/>
    <w:rsid w:val="001B2BFF"/>
    <w:rsid w:val="001B3453"/>
    <w:rsid w:val="001B6926"/>
    <w:rsid w:val="001C0739"/>
    <w:rsid w:val="001C1B66"/>
    <w:rsid w:val="001C1F96"/>
    <w:rsid w:val="001C3269"/>
    <w:rsid w:val="001C3C4B"/>
    <w:rsid w:val="001D1B47"/>
    <w:rsid w:val="001D1DB4"/>
    <w:rsid w:val="001D2378"/>
    <w:rsid w:val="001D3C4A"/>
    <w:rsid w:val="001D3CB9"/>
    <w:rsid w:val="001D5BB3"/>
    <w:rsid w:val="001D5D89"/>
    <w:rsid w:val="001D7C1C"/>
    <w:rsid w:val="001E0473"/>
    <w:rsid w:val="001E294B"/>
    <w:rsid w:val="001E338E"/>
    <w:rsid w:val="001E70D0"/>
    <w:rsid w:val="001F18E2"/>
    <w:rsid w:val="001F2C24"/>
    <w:rsid w:val="001F2FC9"/>
    <w:rsid w:val="001F4561"/>
    <w:rsid w:val="001F590B"/>
    <w:rsid w:val="00201080"/>
    <w:rsid w:val="00203944"/>
    <w:rsid w:val="0020592F"/>
    <w:rsid w:val="00205EDC"/>
    <w:rsid w:val="00210C29"/>
    <w:rsid w:val="00211558"/>
    <w:rsid w:val="00221526"/>
    <w:rsid w:val="00223BCD"/>
    <w:rsid w:val="0022461C"/>
    <w:rsid w:val="00227A67"/>
    <w:rsid w:val="0023070C"/>
    <w:rsid w:val="002320FA"/>
    <w:rsid w:val="00233557"/>
    <w:rsid w:val="00233EFC"/>
    <w:rsid w:val="00236572"/>
    <w:rsid w:val="0024513B"/>
    <w:rsid w:val="00246CE5"/>
    <w:rsid w:val="00246FFA"/>
    <w:rsid w:val="00252006"/>
    <w:rsid w:val="00253691"/>
    <w:rsid w:val="00254EC6"/>
    <w:rsid w:val="002574F9"/>
    <w:rsid w:val="00260806"/>
    <w:rsid w:val="00262ABB"/>
    <w:rsid w:val="00262B61"/>
    <w:rsid w:val="00262E8B"/>
    <w:rsid w:val="0026324A"/>
    <w:rsid w:val="002633FA"/>
    <w:rsid w:val="002635D0"/>
    <w:rsid w:val="002642BF"/>
    <w:rsid w:val="00267AA1"/>
    <w:rsid w:val="002707E4"/>
    <w:rsid w:val="0027165A"/>
    <w:rsid w:val="002721D0"/>
    <w:rsid w:val="0027419C"/>
    <w:rsid w:val="0027474B"/>
    <w:rsid w:val="002747E1"/>
    <w:rsid w:val="002752C1"/>
    <w:rsid w:val="00276811"/>
    <w:rsid w:val="00277AFC"/>
    <w:rsid w:val="00282686"/>
    <w:rsid w:val="00282699"/>
    <w:rsid w:val="00283418"/>
    <w:rsid w:val="00284A78"/>
    <w:rsid w:val="00284BC6"/>
    <w:rsid w:val="00284CE4"/>
    <w:rsid w:val="002926DF"/>
    <w:rsid w:val="00295BDF"/>
    <w:rsid w:val="002965B1"/>
    <w:rsid w:val="00296697"/>
    <w:rsid w:val="002967B4"/>
    <w:rsid w:val="002A13C0"/>
    <w:rsid w:val="002A644A"/>
    <w:rsid w:val="002A6CF4"/>
    <w:rsid w:val="002A7548"/>
    <w:rsid w:val="002B0472"/>
    <w:rsid w:val="002B127E"/>
    <w:rsid w:val="002B20E7"/>
    <w:rsid w:val="002B3410"/>
    <w:rsid w:val="002B4114"/>
    <w:rsid w:val="002B6892"/>
    <w:rsid w:val="002B6B12"/>
    <w:rsid w:val="002B746C"/>
    <w:rsid w:val="002C0678"/>
    <w:rsid w:val="002C1A99"/>
    <w:rsid w:val="002C20E2"/>
    <w:rsid w:val="002C2824"/>
    <w:rsid w:val="002C30A9"/>
    <w:rsid w:val="002C37B3"/>
    <w:rsid w:val="002C3C62"/>
    <w:rsid w:val="002C3CF0"/>
    <w:rsid w:val="002C5365"/>
    <w:rsid w:val="002C5902"/>
    <w:rsid w:val="002C59A9"/>
    <w:rsid w:val="002C5E1C"/>
    <w:rsid w:val="002D114A"/>
    <w:rsid w:val="002D5AD7"/>
    <w:rsid w:val="002D639B"/>
    <w:rsid w:val="002D7C27"/>
    <w:rsid w:val="002E35AC"/>
    <w:rsid w:val="002E3692"/>
    <w:rsid w:val="002E3A38"/>
    <w:rsid w:val="002E6140"/>
    <w:rsid w:val="002E6985"/>
    <w:rsid w:val="002E71B6"/>
    <w:rsid w:val="002F0E45"/>
    <w:rsid w:val="002F12AD"/>
    <w:rsid w:val="002F5212"/>
    <w:rsid w:val="002F5E41"/>
    <w:rsid w:val="002F77C8"/>
    <w:rsid w:val="0030049B"/>
    <w:rsid w:val="00301D2F"/>
    <w:rsid w:val="00301ECA"/>
    <w:rsid w:val="00303C8D"/>
    <w:rsid w:val="00304AD1"/>
    <w:rsid w:val="00304F22"/>
    <w:rsid w:val="0030551B"/>
    <w:rsid w:val="00306C7C"/>
    <w:rsid w:val="00306D7A"/>
    <w:rsid w:val="0031028B"/>
    <w:rsid w:val="00313213"/>
    <w:rsid w:val="00317D96"/>
    <w:rsid w:val="00320CF8"/>
    <w:rsid w:val="00322164"/>
    <w:rsid w:val="00322EDD"/>
    <w:rsid w:val="003236B3"/>
    <w:rsid w:val="003240FA"/>
    <w:rsid w:val="00324179"/>
    <w:rsid w:val="003243F6"/>
    <w:rsid w:val="00331AA6"/>
    <w:rsid w:val="00332320"/>
    <w:rsid w:val="00332496"/>
    <w:rsid w:val="00332C63"/>
    <w:rsid w:val="00334ECF"/>
    <w:rsid w:val="00335363"/>
    <w:rsid w:val="00335B68"/>
    <w:rsid w:val="0033627D"/>
    <w:rsid w:val="00340DFF"/>
    <w:rsid w:val="00342D55"/>
    <w:rsid w:val="003439F1"/>
    <w:rsid w:val="00343B33"/>
    <w:rsid w:val="00343D4C"/>
    <w:rsid w:val="00344E71"/>
    <w:rsid w:val="00344F38"/>
    <w:rsid w:val="0034608A"/>
    <w:rsid w:val="0034794F"/>
    <w:rsid w:val="00347D72"/>
    <w:rsid w:val="0035002E"/>
    <w:rsid w:val="00351986"/>
    <w:rsid w:val="00352659"/>
    <w:rsid w:val="0035365E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5AFC"/>
    <w:rsid w:val="00367237"/>
    <w:rsid w:val="00367DE0"/>
    <w:rsid w:val="00370407"/>
    <w:rsid w:val="0037077F"/>
    <w:rsid w:val="00370AED"/>
    <w:rsid w:val="00371CEB"/>
    <w:rsid w:val="00372411"/>
    <w:rsid w:val="00373882"/>
    <w:rsid w:val="00374377"/>
    <w:rsid w:val="00374B78"/>
    <w:rsid w:val="0037531C"/>
    <w:rsid w:val="00376094"/>
    <w:rsid w:val="0038101A"/>
    <w:rsid w:val="00381106"/>
    <w:rsid w:val="00384103"/>
    <w:rsid w:val="003843DB"/>
    <w:rsid w:val="00386483"/>
    <w:rsid w:val="00387D9B"/>
    <w:rsid w:val="00391632"/>
    <w:rsid w:val="00393761"/>
    <w:rsid w:val="003940D2"/>
    <w:rsid w:val="00394EB3"/>
    <w:rsid w:val="00397D18"/>
    <w:rsid w:val="003A0240"/>
    <w:rsid w:val="003A08F7"/>
    <w:rsid w:val="003A152A"/>
    <w:rsid w:val="003A1B36"/>
    <w:rsid w:val="003A1D45"/>
    <w:rsid w:val="003A41F4"/>
    <w:rsid w:val="003A50F5"/>
    <w:rsid w:val="003A6340"/>
    <w:rsid w:val="003B0EB7"/>
    <w:rsid w:val="003B1454"/>
    <w:rsid w:val="003B18B6"/>
    <w:rsid w:val="003B1E23"/>
    <w:rsid w:val="003B3FCC"/>
    <w:rsid w:val="003B40DF"/>
    <w:rsid w:val="003B45A4"/>
    <w:rsid w:val="003B68AE"/>
    <w:rsid w:val="003B7012"/>
    <w:rsid w:val="003C40FF"/>
    <w:rsid w:val="003C59E0"/>
    <w:rsid w:val="003C6C8D"/>
    <w:rsid w:val="003D3049"/>
    <w:rsid w:val="003D33EE"/>
    <w:rsid w:val="003D4F95"/>
    <w:rsid w:val="003D5F42"/>
    <w:rsid w:val="003D60A9"/>
    <w:rsid w:val="003D7EDA"/>
    <w:rsid w:val="003E03EA"/>
    <w:rsid w:val="003E1019"/>
    <w:rsid w:val="003E158C"/>
    <w:rsid w:val="003E3139"/>
    <w:rsid w:val="003E360C"/>
    <w:rsid w:val="003E4751"/>
    <w:rsid w:val="003E5264"/>
    <w:rsid w:val="003E61CE"/>
    <w:rsid w:val="003F1539"/>
    <w:rsid w:val="003F435D"/>
    <w:rsid w:val="003F44E2"/>
    <w:rsid w:val="003F46A8"/>
    <w:rsid w:val="003F4C97"/>
    <w:rsid w:val="003F721D"/>
    <w:rsid w:val="003F7BBD"/>
    <w:rsid w:val="003F7FE6"/>
    <w:rsid w:val="00400193"/>
    <w:rsid w:val="00400B68"/>
    <w:rsid w:val="004015A4"/>
    <w:rsid w:val="00402102"/>
    <w:rsid w:val="0040335A"/>
    <w:rsid w:val="0040535A"/>
    <w:rsid w:val="004062C2"/>
    <w:rsid w:val="00411826"/>
    <w:rsid w:val="0041574D"/>
    <w:rsid w:val="00415996"/>
    <w:rsid w:val="004212E7"/>
    <w:rsid w:val="00423504"/>
    <w:rsid w:val="00424227"/>
    <w:rsid w:val="0042446D"/>
    <w:rsid w:val="00425F66"/>
    <w:rsid w:val="00426A0A"/>
    <w:rsid w:val="004277E9"/>
    <w:rsid w:val="0042786B"/>
    <w:rsid w:val="00427BF8"/>
    <w:rsid w:val="00431C02"/>
    <w:rsid w:val="00431FC2"/>
    <w:rsid w:val="00432E82"/>
    <w:rsid w:val="00433AE8"/>
    <w:rsid w:val="004356BD"/>
    <w:rsid w:val="00435F83"/>
    <w:rsid w:val="004371EA"/>
    <w:rsid w:val="00437395"/>
    <w:rsid w:val="00437A1D"/>
    <w:rsid w:val="0044056D"/>
    <w:rsid w:val="004409B8"/>
    <w:rsid w:val="00441708"/>
    <w:rsid w:val="00442BA9"/>
    <w:rsid w:val="00443BBC"/>
    <w:rsid w:val="00443F7E"/>
    <w:rsid w:val="00444C92"/>
    <w:rsid w:val="00445047"/>
    <w:rsid w:val="00445BCF"/>
    <w:rsid w:val="00445D43"/>
    <w:rsid w:val="004535B7"/>
    <w:rsid w:val="0045364D"/>
    <w:rsid w:val="00453C51"/>
    <w:rsid w:val="00454F01"/>
    <w:rsid w:val="00457FDF"/>
    <w:rsid w:val="004601FE"/>
    <w:rsid w:val="004602E2"/>
    <w:rsid w:val="00460477"/>
    <w:rsid w:val="004604C9"/>
    <w:rsid w:val="004615BB"/>
    <w:rsid w:val="004632FC"/>
    <w:rsid w:val="00463E39"/>
    <w:rsid w:val="00464C0A"/>
    <w:rsid w:val="00464FE9"/>
    <w:rsid w:val="004657FC"/>
    <w:rsid w:val="00467D7F"/>
    <w:rsid w:val="004703CB"/>
    <w:rsid w:val="00470D3A"/>
    <w:rsid w:val="00471D9E"/>
    <w:rsid w:val="004733F6"/>
    <w:rsid w:val="00474E69"/>
    <w:rsid w:val="00482FA4"/>
    <w:rsid w:val="004859E7"/>
    <w:rsid w:val="00486CCA"/>
    <w:rsid w:val="00490D95"/>
    <w:rsid w:val="004930C3"/>
    <w:rsid w:val="00494E70"/>
    <w:rsid w:val="00496078"/>
    <w:rsid w:val="0049621B"/>
    <w:rsid w:val="004968EF"/>
    <w:rsid w:val="004A6923"/>
    <w:rsid w:val="004B22EF"/>
    <w:rsid w:val="004B2969"/>
    <w:rsid w:val="004B6A22"/>
    <w:rsid w:val="004C13F7"/>
    <w:rsid w:val="004C1748"/>
    <w:rsid w:val="004C1895"/>
    <w:rsid w:val="004C195B"/>
    <w:rsid w:val="004C2C80"/>
    <w:rsid w:val="004C46B4"/>
    <w:rsid w:val="004C5F32"/>
    <w:rsid w:val="004C6D40"/>
    <w:rsid w:val="004D0B4B"/>
    <w:rsid w:val="004D426A"/>
    <w:rsid w:val="004D7B0F"/>
    <w:rsid w:val="004E34AF"/>
    <w:rsid w:val="004E66E8"/>
    <w:rsid w:val="004E68BF"/>
    <w:rsid w:val="004F0C3C"/>
    <w:rsid w:val="004F6243"/>
    <w:rsid w:val="004F63FC"/>
    <w:rsid w:val="004F76B0"/>
    <w:rsid w:val="004F7A21"/>
    <w:rsid w:val="00500164"/>
    <w:rsid w:val="005037BB"/>
    <w:rsid w:val="00505203"/>
    <w:rsid w:val="005053BC"/>
    <w:rsid w:val="00505A92"/>
    <w:rsid w:val="00510629"/>
    <w:rsid w:val="00511EDE"/>
    <w:rsid w:val="00512006"/>
    <w:rsid w:val="00514FE9"/>
    <w:rsid w:val="00515FC3"/>
    <w:rsid w:val="00516A75"/>
    <w:rsid w:val="005203F1"/>
    <w:rsid w:val="00521BC3"/>
    <w:rsid w:val="005226C0"/>
    <w:rsid w:val="0052338A"/>
    <w:rsid w:val="00526DB6"/>
    <w:rsid w:val="0053255B"/>
    <w:rsid w:val="00532D02"/>
    <w:rsid w:val="005335B1"/>
    <w:rsid w:val="00533632"/>
    <w:rsid w:val="00535576"/>
    <w:rsid w:val="005366C2"/>
    <w:rsid w:val="00537DFC"/>
    <w:rsid w:val="00537E67"/>
    <w:rsid w:val="00541E6E"/>
    <w:rsid w:val="0054251F"/>
    <w:rsid w:val="0054334E"/>
    <w:rsid w:val="005520D8"/>
    <w:rsid w:val="005537D9"/>
    <w:rsid w:val="00554EAE"/>
    <w:rsid w:val="0055647D"/>
    <w:rsid w:val="00556C44"/>
    <w:rsid w:val="00556CF1"/>
    <w:rsid w:val="005574D4"/>
    <w:rsid w:val="00561EE2"/>
    <w:rsid w:val="00564077"/>
    <w:rsid w:val="005645BA"/>
    <w:rsid w:val="005649C0"/>
    <w:rsid w:val="00565E83"/>
    <w:rsid w:val="005679D4"/>
    <w:rsid w:val="00567AAF"/>
    <w:rsid w:val="00567E25"/>
    <w:rsid w:val="00567FE8"/>
    <w:rsid w:val="00570A06"/>
    <w:rsid w:val="0057117F"/>
    <w:rsid w:val="00572364"/>
    <w:rsid w:val="005723FB"/>
    <w:rsid w:val="00572576"/>
    <w:rsid w:val="00573DAD"/>
    <w:rsid w:val="00575532"/>
    <w:rsid w:val="005762A7"/>
    <w:rsid w:val="00582917"/>
    <w:rsid w:val="00584801"/>
    <w:rsid w:val="00586C39"/>
    <w:rsid w:val="00586DC5"/>
    <w:rsid w:val="00587AF2"/>
    <w:rsid w:val="005903EE"/>
    <w:rsid w:val="00590480"/>
    <w:rsid w:val="00590DD9"/>
    <w:rsid w:val="005916D7"/>
    <w:rsid w:val="00591DA8"/>
    <w:rsid w:val="00595BA5"/>
    <w:rsid w:val="00596945"/>
    <w:rsid w:val="005970B7"/>
    <w:rsid w:val="00597A8D"/>
    <w:rsid w:val="005A1C68"/>
    <w:rsid w:val="005A64EE"/>
    <w:rsid w:val="005A698C"/>
    <w:rsid w:val="005B01E8"/>
    <w:rsid w:val="005B0D8E"/>
    <w:rsid w:val="005B19DC"/>
    <w:rsid w:val="005B23B1"/>
    <w:rsid w:val="005B36E5"/>
    <w:rsid w:val="005B521F"/>
    <w:rsid w:val="005B5E2C"/>
    <w:rsid w:val="005B63CB"/>
    <w:rsid w:val="005B69F4"/>
    <w:rsid w:val="005C0161"/>
    <w:rsid w:val="005C20DC"/>
    <w:rsid w:val="005C307B"/>
    <w:rsid w:val="005C40C4"/>
    <w:rsid w:val="005C6555"/>
    <w:rsid w:val="005C7161"/>
    <w:rsid w:val="005D1546"/>
    <w:rsid w:val="005D3238"/>
    <w:rsid w:val="005D500B"/>
    <w:rsid w:val="005D750C"/>
    <w:rsid w:val="005E0799"/>
    <w:rsid w:val="005E191B"/>
    <w:rsid w:val="005E29CF"/>
    <w:rsid w:val="005E37D3"/>
    <w:rsid w:val="005E4C12"/>
    <w:rsid w:val="005E56EC"/>
    <w:rsid w:val="005E5FF6"/>
    <w:rsid w:val="005F11D6"/>
    <w:rsid w:val="005F1B62"/>
    <w:rsid w:val="005F3BA8"/>
    <w:rsid w:val="005F509A"/>
    <w:rsid w:val="005F5A80"/>
    <w:rsid w:val="005F607C"/>
    <w:rsid w:val="005F7881"/>
    <w:rsid w:val="006044FF"/>
    <w:rsid w:val="00605580"/>
    <w:rsid w:val="00607CC5"/>
    <w:rsid w:val="00610CA9"/>
    <w:rsid w:val="00613A16"/>
    <w:rsid w:val="00614023"/>
    <w:rsid w:val="0062027E"/>
    <w:rsid w:val="006217ED"/>
    <w:rsid w:val="006229CF"/>
    <w:rsid w:val="00624833"/>
    <w:rsid w:val="00624A6F"/>
    <w:rsid w:val="00625DE6"/>
    <w:rsid w:val="00626140"/>
    <w:rsid w:val="006269DE"/>
    <w:rsid w:val="006274ED"/>
    <w:rsid w:val="00630554"/>
    <w:rsid w:val="00633014"/>
    <w:rsid w:val="00634213"/>
    <w:rsid w:val="0063437B"/>
    <w:rsid w:val="006354DA"/>
    <w:rsid w:val="00635FF0"/>
    <w:rsid w:val="0064227E"/>
    <w:rsid w:val="006451BF"/>
    <w:rsid w:val="00647512"/>
    <w:rsid w:val="0064777C"/>
    <w:rsid w:val="0065068C"/>
    <w:rsid w:val="00651209"/>
    <w:rsid w:val="0065178F"/>
    <w:rsid w:val="00652034"/>
    <w:rsid w:val="006522E5"/>
    <w:rsid w:val="0065546E"/>
    <w:rsid w:val="00657820"/>
    <w:rsid w:val="00657D23"/>
    <w:rsid w:val="0066338D"/>
    <w:rsid w:val="00664C91"/>
    <w:rsid w:val="006673CA"/>
    <w:rsid w:val="00670BFD"/>
    <w:rsid w:val="00673C26"/>
    <w:rsid w:val="00674D7B"/>
    <w:rsid w:val="00675A7F"/>
    <w:rsid w:val="006768B4"/>
    <w:rsid w:val="00677197"/>
    <w:rsid w:val="00677E3C"/>
    <w:rsid w:val="006812AF"/>
    <w:rsid w:val="006821DA"/>
    <w:rsid w:val="0068327D"/>
    <w:rsid w:val="00684C12"/>
    <w:rsid w:val="006861A5"/>
    <w:rsid w:val="006879F3"/>
    <w:rsid w:val="00691E91"/>
    <w:rsid w:val="00694AF0"/>
    <w:rsid w:val="00694FC2"/>
    <w:rsid w:val="006A003B"/>
    <w:rsid w:val="006A0B93"/>
    <w:rsid w:val="006A0EE2"/>
    <w:rsid w:val="006A339A"/>
    <w:rsid w:val="006A39CD"/>
    <w:rsid w:val="006A4686"/>
    <w:rsid w:val="006A5D1C"/>
    <w:rsid w:val="006A63CA"/>
    <w:rsid w:val="006A6D54"/>
    <w:rsid w:val="006A6DAB"/>
    <w:rsid w:val="006A7F04"/>
    <w:rsid w:val="006B0597"/>
    <w:rsid w:val="006B0E9E"/>
    <w:rsid w:val="006B0F00"/>
    <w:rsid w:val="006B1F3F"/>
    <w:rsid w:val="006B20E6"/>
    <w:rsid w:val="006B2A42"/>
    <w:rsid w:val="006B50E8"/>
    <w:rsid w:val="006B5AE4"/>
    <w:rsid w:val="006B608D"/>
    <w:rsid w:val="006B77DF"/>
    <w:rsid w:val="006C2938"/>
    <w:rsid w:val="006C2ADD"/>
    <w:rsid w:val="006C423B"/>
    <w:rsid w:val="006C51E2"/>
    <w:rsid w:val="006C543C"/>
    <w:rsid w:val="006C67FC"/>
    <w:rsid w:val="006D05DD"/>
    <w:rsid w:val="006D1507"/>
    <w:rsid w:val="006D4054"/>
    <w:rsid w:val="006D656F"/>
    <w:rsid w:val="006D7A20"/>
    <w:rsid w:val="006D7B37"/>
    <w:rsid w:val="006E02EC"/>
    <w:rsid w:val="006E0770"/>
    <w:rsid w:val="006E3718"/>
    <w:rsid w:val="006E44A0"/>
    <w:rsid w:val="006E4659"/>
    <w:rsid w:val="006E4A35"/>
    <w:rsid w:val="006E4C13"/>
    <w:rsid w:val="006E51F1"/>
    <w:rsid w:val="006E5EB2"/>
    <w:rsid w:val="006E678F"/>
    <w:rsid w:val="006E7BF9"/>
    <w:rsid w:val="006F0BFF"/>
    <w:rsid w:val="006F15BF"/>
    <w:rsid w:val="006F2820"/>
    <w:rsid w:val="006F69C4"/>
    <w:rsid w:val="006F6CE7"/>
    <w:rsid w:val="0070095A"/>
    <w:rsid w:val="007009AB"/>
    <w:rsid w:val="00701530"/>
    <w:rsid w:val="00701A03"/>
    <w:rsid w:val="00702E73"/>
    <w:rsid w:val="00703197"/>
    <w:rsid w:val="007037C9"/>
    <w:rsid w:val="007124E0"/>
    <w:rsid w:val="00712EA0"/>
    <w:rsid w:val="00713343"/>
    <w:rsid w:val="007151C0"/>
    <w:rsid w:val="007167B2"/>
    <w:rsid w:val="00716B29"/>
    <w:rsid w:val="007206F4"/>
    <w:rsid w:val="007211B1"/>
    <w:rsid w:val="0072221D"/>
    <w:rsid w:val="00727A98"/>
    <w:rsid w:val="00727D7A"/>
    <w:rsid w:val="007305AF"/>
    <w:rsid w:val="00735BDC"/>
    <w:rsid w:val="00740BB5"/>
    <w:rsid w:val="00742360"/>
    <w:rsid w:val="00742B4A"/>
    <w:rsid w:val="00743112"/>
    <w:rsid w:val="00746187"/>
    <w:rsid w:val="00746591"/>
    <w:rsid w:val="00750FD8"/>
    <w:rsid w:val="00754AC8"/>
    <w:rsid w:val="00756E1B"/>
    <w:rsid w:val="007576BD"/>
    <w:rsid w:val="0076254F"/>
    <w:rsid w:val="0076258D"/>
    <w:rsid w:val="00762BFD"/>
    <w:rsid w:val="00763746"/>
    <w:rsid w:val="00765940"/>
    <w:rsid w:val="00765F27"/>
    <w:rsid w:val="0076639C"/>
    <w:rsid w:val="00766E5E"/>
    <w:rsid w:val="00767D53"/>
    <w:rsid w:val="00770B00"/>
    <w:rsid w:val="00771D24"/>
    <w:rsid w:val="0077392C"/>
    <w:rsid w:val="007750C8"/>
    <w:rsid w:val="007801F5"/>
    <w:rsid w:val="00781FF1"/>
    <w:rsid w:val="007821CA"/>
    <w:rsid w:val="007830E7"/>
    <w:rsid w:val="00783CA4"/>
    <w:rsid w:val="007842FB"/>
    <w:rsid w:val="007854CA"/>
    <w:rsid w:val="007858B7"/>
    <w:rsid w:val="00786124"/>
    <w:rsid w:val="00791122"/>
    <w:rsid w:val="0079141B"/>
    <w:rsid w:val="0079514B"/>
    <w:rsid w:val="00795190"/>
    <w:rsid w:val="0079590E"/>
    <w:rsid w:val="00796694"/>
    <w:rsid w:val="007A090E"/>
    <w:rsid w:val="007A1126"/>
    <w:rsid w:val="007A11C2"/>
    <w:rsid w:val="007A12A8"/>
    <w:rsid w:val="007A26BE"/>
    <w:rsid w:val="007A2D9A"/>
    <w:rsid w:val="007A2DC1"/>
    <w:rsid w:val="007A502D"/>
    <w:rsid w:val="007A603D"/>
    <w:rsid w:val="007A7386"/>
    <w:rsid w:val="007B0687"/>
    <w:rsid w:val="007B5184"/>
    <w:rsid w:val="007B652A"/>
    <w:rsid w:val="007B77E5"/>
    <w:rsid w:val="007C26E1"/>
    <w:rsid w:val="007C2807"/>
    <w:rsid w:val="007C2D68"/>
    <w:rsid w:val="007C300C"/>
    <w:rsid w:val="007C4021"/>
    <w:rsid w:val="007C4B0E"/>
    <w:rsid w:val="007C64B7"/>
    <w:rsid w:val="007C73A8"/>
    <w:rsid w:val="007D2A99"/>
    <w:rsid w:val="007D3269"/>
    <w:rsid w:val="007D3319"/>
    <w:rsid w:val="007D335D"/>
    <w:rsid w:val="007D40D8"/>
    <w:rsid w:val="007D4942"/>
    <w:rsid w:val="007D66F4"/>
    <w:rsid w:val="007E3314"/>
    <w:rsid w:val="007E389F"/>
    <w:rsid w:val="007E4741"/>
    <w:rsid w:val="007E4B03"/>
    <w:rsid w:val="007E61A0"/>
    <w:rsid w:val="007E699B"/>
    <w:rsid w:val="007F0958"/>
    <w:rsid w:val="007F0E2D"/>
    <w:rsid w:val="007F23E3"/>
    <w:rsid w:val="007F31B7"/>
    <w:rsid w:val="007F324B"/>
    <w:rsid w:val="007F36E3"/>
    <w:rsid w:val="007F4412"/>
    <w:rsid w:val="007F44C3"/>
    <w:rsid w:val="007F4D01"/>
    <w:rsid w:val="007F5B1C"/>
    <w:rsid w:val="007F7450"/>
    <w:rsid w:val="00804B58"/>
    <w:rsid w:val="0080553C"/>
    <w:rsid w:val="00805B46"/>
    <w:rsid w:val="00807B07"/>
    <w:rsid w:val="00811C5B"/>
    <w:rsid w:val="00811D80"/>
    <w:rsid w:val="008141BF"/>
    <w:rsid w:val="008205A5"/>
    <w:rsid w:val="00821F90"/>
    <w:rsid w:val="00822E2C"/>
    <w:rsid w:val="00822EDA"/>
    <w:rsid w:val="00825DC2"/>
    <w:rsid w:val="008271F2"/>
    <w:rsid w:val="00830501"/>
    <w:rsid w:val="008306AC"/>
    <w:rsid w:val="0083165E"/>
    <w:rsid w:val="00831F1F"/>
    <w:rsid w:val="008332FE"/>
    <w:rsid w:val="00833775"/>
    <w:rsid w:val="00834AD3"/>
    <w:rsid w:val="008352B1"/>
    <w:rsid w:val="008353CE"/>
    <w:rsid w:val="008360ED"/>
    <w:rsid w:val="008377D0"/>
    <w:rsid w:val="00837A74"/>
    <w:rsid w:val="00840577"/>
    <w:rsid w:val="00840927"/>
    <w:rsid w:val="00842C74"/>
    <w:rsid w:val="00842F9D"/>
    <w:rsid w:val="00843795"/>
    <w:rsid w:val="00846AFB"/>
    <w:rsid w:val="00846FEB"/>
    <w:rsid w:val="008470EF"/>
    <w:rsid w:val="00847F0F"/>
    <w:rsid w:val="008518AF"/>
    <w:rsid w:val="00852448"/>
    <w:rsid w:val="00852AFB"/>
    <w:rsid w:val="00854C92"/>
    <w:rsid w:val="008571A0"/>
    <w:rsid w:val="008574E1"/>
    <w:rsid w:val="00866049"/>
    <w:rsid w:val="0086664B"/>
    <w:rsid w:val="00866CE0"/>
    <w:rsid w:val="00867CC4"/>
    <w:rsid w:val="00872F57"/>
    <w:rsid w:val="00873AA5"/>
    <w:rsid w:val="0087424F"/>
    <w:rsid w:val="008756CC"/>
    <w:rsid w:val="00875A12"/>
    <w:rsid w:val="00877359"/>
    <w:rsid w:val="0088258A"/>
    <w:rsid w:val="00883AFC"/>
    <w:rsid w:val="00885E44"/>
    <w:rsid w:val="00886332"/>
    <w:rsid w:val="008917B4"/>
    <w:rsid w:val="008A223F"/>
    <w:rsid w:val="008A26D9"/>
    <w:rsid w:val="008A37A5"/>
    <w:rsid w:val="008A45C1"/>
    <w:rsid w:val="008A5144"/>
    <w:rsid w:val="008A550B"/>
    <w:rsid w:val="008B0351"/>
    <w:rsid w:val="008B0FBD"/>
    <w:rsid w:val="008B7FC2"/>
    <w:rsid w:val="008C073C"/>
    <w:rsid w:val="008C0C29"/>
    <w:rsid w:val="008C23AF"/>
    <w:rsid w:val="008C3298"/>
    <w:rsid w:val="008C42F2"/>
    <w:rsid w:val="008C4A8A"/>
    <w:rsid w:val="008D0F14"/>
    <w:rsid w:val="008D126C"/>
    <w:rsid w:val="008D13D3"/>
    <w:rsid w:val="008D428E"/>
    <w:rsid w:val="008E185B"/>
    <w:rsid w:val="008E1A3C"/>
    <w:rsid w:val="008E4177"/>
    <w:rsid w:val="008E6023"/>
    <w:rsid w:val="008E6E02"/>
    <w:rsid w:val="008E7ACD"/>
    <w:rsid w:val="008F07F9"/>
    <w:rsid w:val="008F1302"/>
    <w:rsid w:val="008F1B9B"/>
    <w:rsid w:val="008F3472"/>
    <w:rsid w:val="008F3638"/>
    <w:rsid w:val="008F3A10"/>
    <w:rsid w:val="008F3D9F"/>
    <w:rsid w:val="008F4441"/>
    <w:rsid w:val="008F5CC5"/>
    <w:rsid w:val="008F6832"/>
    <w:rsid w:val="008F6F31"/>
    <w:rsid w:val="008F74DF"/>
    <w:rsid w:val="00900FED"/>
    <w:rsid w:val="0090117B"/>
    <w:rsid w:val="009044B4"/>
    <w:rsid w:val="00904697"/>
    <w:rsid w:val="009048DA"/>
    <w:rsid w:val="009115E5"/>
    <w:rsid w:val="00911B7E"/>
    <w:rsid w:val="009127BA"/>
    <w:rsid w:val="00913D2E"/>
    <w:rsid w:val="00914064"/>
    <w:rsid w:val="00920F38"/>
    <w:rsid w:val="009227A6"/>
    <w:rsid w:val="00922D57"/>
    <w:rsid w:val="009251BD"/>
    <w:rsid w:val="00925C9F"/>
    <w:rsid w:val="009261F0"/>
    <w:rsid w:val="0092625F"/>
    <w:rsid w:val="009277D8"/>
    <w:rsid w:val="00927976"/>
    <w:rsid w:val="00930EDF"/>
    <w:rsid w:val="00932834"/>
    <w:rsid w:val="00933D60"/>
    <w:rsid w:val="00933EC1"/>
    <w:rsid w:val="009361D7"/>
    <w:rsid w:val="009400F1"/>
    <w:rsid w:val="00940ECE"/>
    <w:rsid w:val="0094177D"/>
    <w:rsid w:val="00941D0D"/>
    <w:rsid w:val="009420C4"/>
    <w:rsid w:val="009431BB"/>
    <w:rsid w:val="00945A44"/>
    <w:rsid w:val="00945AC5"/>
    <w:rsid w:val="009473BA"/>
    <w:rsid w:val="00947F61"/>
    <w:rsid w:val="00950BC5"/>
    <w:rsid w:val="009512C3"/>
    <w:rsid w:val="009530DB"/>
    <w:rsid w:val="009534B1"/>
    <w:rsid w:val="00953676"/>
    <w:rsid w:val="00953E64"/>
    <w:rsid w:val="009542E3"/>
    <w:rsid w:val="00957F53"/>
    <w:rsid w:val="009607AA"/>
    <w:rsid w:val="00960B1D"/>
    <w:rsid w:val="00961100"/>
    <w:rsid w:val="0096470A"/>
    <w:rsid w:val="00967D0E"/>
    <w:rsid w:val="00970129"/>
    <w:rsid w:val="009705EE"/>
    <w:rsid w:val="009706E8"/>
    <w:rsid w:val="00971C1F"/>
    <w:rsid w:val="00971F9B"/>
    <w:rsid w:val="00974D44"/>
    <w:rsid w:val="00975584"/>
    <w:rsid w:val="00977124"/>
    <w:rsid w:val="00977927"/>
    <w:rsid w:val="009801CE"/>
    <w:rsid w:val="009801DD"/>
    <w:rsid w:val="00980ACA"/>
    <w:rsid w:val="00980ADC"/>
    <w:rsid w:val="0098135C"/>
    <w:rsid w:val="0098156A"/>
    <w:rsid w:val="009819FD"/>
    <w:rsid w:val="00982019"/>
    <w:rsid w:val="00982237"/>
    <w:rsid w:val="00982F1F"/>
    <w:rsid w:val="009836BB"/>
    <w:rsid w:val="009839B5"/>
    <w:rsid w:val="00983C2F"/>
    <w:rsid w:val="00983C62"/>
    <w:rsid w:val="00986C82"/>
    <w:rsid w:val="00991BAC"/>
    <w:rsid w:val="009929BB"/>
    <w:rsid w:val="009940F0"/>
    <w:rsid w:val="00995CB5"/>
    <w:rsid w:val="0099723D"/>
    <w:rsid w:val="009A0CB7"/>
    <w:rsid w:val="009A0DA8"/>
    <w:rsid w:val="009A432C"/>
    <w:rsid w:val="009A4A0A"/>
    <w:rsid w:val="009A6267"/>
    <w:rsid w:val="009A6EA0"/>
    <w:rsid w:val="009B0D3C"/>
    <w:rsid w:val="009B1567"/>
    <w:rsid w:val="009B1B49"/>
    <w:rsid w:val="009B3063"/>
    <w:rsid w:val="009B3E5A"/>
    <w:rsid w:val="009B4D45"/>
    <w:rsid w:val="009B63F0"/>
    <w:rsid w:val="009B6979"/>
    <w:rsid w:val="009B6C18"/>
    <w:rsid w:val="009B7CC3"/>
    <w:rsid w:val="009C1335"/>
    <w:rsid w:val="009C1AB2"/>
    <w:rsid w:val="009C1BDA"/>
    <w:rsid w:val="009C52B5"/>
    <w:rsid w:val="009C5959"/>
    <w:rsid w:val="009C7251"/>
    <w:rsid w:val="009C7D31"/>
    <w:rsid w:val="009D0157"/>
    <w:rsid w:val="009D33EA"/>
    <w:rsid w:val="009D5813"/>
    <w:rsid w:val="009D6B23"/>
    <w:rsid w:val="009D7EF4"/>
    <w:rsid w:val="009E0058"/>
    <w:rsid w:val="009E0DC9"/>
    <w:rsid w:val="009E17B4"/>
    <w:rsid w:val="009E2E61"/>
    <w:rsid w:val="009E2E91"/>
    <w:rsid w:val="009E5503"/>
    <w:rsid w:val="009E6D9D"/>
    <w:rsid w:val="009E7737"/>
    <w:rsid w:val="009E7935"/>
    <w:rsid w:val="009F431B"/>
    <w:rsid w:val="009F7507"/>
    <w:rsid w:val="00A03789"/>
    <w:rsid w:val="00A05EB9"/>
    <w:rsid w:val="00A06D74"/>
    <w:rsid w:val="00A116EE"/>
    <w:rsid w:val="00A12C8B"/>
    <w:rsid w:val="00A1323E"/>
    <w:rsid w:val="00A139F5"/>
    <w:rsid w:val="00A258D3"/>
    <w:rsid w:val="00A33989"/>
    <w:rsid w:val="00A33A75"/>
    <w:rsid w:val="00A3645B"/>
    <w:rsid w:val="00A365F4"/>
    <w:rsid w:val="00A36884"/>
    <w:rsid w:val="00A379BC"/>
    <w:rsid w:val="00A40985"/>
    <w:rsid w:val="00A41E04"/>
    <w:rsid w:val="00A442EC"/>
    <w:rsid w:val="00A44455"/>
    <w:rsid w:val="00A44ACE"/>
    <w:rsid w:val="00A44D46"/>
    <w:rsid w:val="00A45548"/>
    <w:rsid w:val="00A45A12"/>
    <w:rsid w:val="00A47D80"/>
    <w:rsid w:val="00A53132"/>
    <w:rsid w:val="00A5316E"/>
    <w:rsid w:val="00A5342E"/>
    <w:rsid w:val="00A53755"/>
    <w:rsid w:val="00A54168"/>
    <w:rsid w:val="00A5492E"/>
    <w:rsid w:val="00A56065"/>
    <w:rsid w:val="00A563F2"/>
    <w:rsid w:val="00A566E8"/>
    <w:rsid w:val="00A5728E"/>
    <w:rsid w:val="00A63A7F"/>
    <w:rsid w:val="00A64C8F"/>
    <w:rsid w:val="00A64DD7"/>
    <w:rsid w:val="00A65593"/>
    <w:rsid w:val="00A7069C"/>
    <w:rsid w:val="00A7196D"/>
    <w:rsid w:val="00A75532"/>
    <w:rsid w:val="00A75B2E"/>
    <w:rsid w:val="00A76892"/>
    <w:rsid w:val="00A76A78"/>
    <w:rsid w:val="00A7730F"/>
    <w:rsid w:val="00A7747E"/>
    <w:rsid w:val="00A806D5"/>
    <w:rsid w:val="00A810F9"/>
    <w:rsid w:val="00A83B55"/>
    <w:rsid w:val="00A84EE2"/>
    <w:rsid w:val="00A853D2"/>
    <w:rsid w:val="00A8662F"/>
    <w:rsid w:val="00A86909"/>
    <w:rsid w:val="00A86ECC"/>
    <w:rsid w:val="00A86FCC"/>
    <w:rsid w:val="00A8707C"/>
    <w:rsid w:val="00A903D9"/>
    <w:rsid w:val="00A91A06"/>
    <w:rsid w:val="00A936E9"/>
    <w:rsid w:val="00A94444"/>
    <w:rsid w:val="00A957A2"/>
    <w:rsid w:val="00A95EB4"/>
    <w:rsid w:val="00A9628C"/>
    <w:rsid w:val="00A96373"/>
    <w:rsid w:val="00A96FA0"/>
    <w:rsid w:val="00A97641"/>
    <w:rsid w:val="00AA11C1"/>
    <w:rsid w:val="00AA51BF"/>
    <w:rsid w:val="00AA710D"/>
    <w:rsid w:val="00AA7A08"/>
    <w:rsid w:val="00AB0198"/>
    <w:rsid w:val="00AB2D52"/>
    <w:rsid w:val="00AB4DCD"/>
    <w:rsid w:val="00AB5851"/>
    <w:rsid w:val="00AB5A7B"/>
    <w:rsid w:val="00AB6448"/>
    <w:rsid w:val="00AB6A97"/>
    <w:rsid w:val="00AB6D25"/>
    <w:rsid w:val="00AB7CAC"/>
    <w:rsid w:val="00AC0C78"/>
    <w:rsid w:val="00AC305E"/>
    <w:rsid w:val="00AC34A6"/>
    <w:rsid w:val="00AC3F7C"/>
    <w:rsid w:val="00AC543C"/>
    <w:rsid w:val="00AC5A82"/>
    <w:rsid w:val="00AC5AAB"/>
    <w:rsid w:val="00AC633D"/>
    <w:rsid w:val="00AD0CA6"/>
    <w:rsid w:val="00AD0CF4"/>
    <w:rsid w:val="00AD14C3"/>
    <w:rsid w:val="00AD1F51"/>
    <w:rsid w:val="00AD24BA"/>
    <w:rsid w:val="00AD2C4F"/>
    <w:rsid w:val="00AD2E46"/>
    <w:rsid w:val="00AD3827"/>
    <w:rsid w:val="00AD5428"/>
    <w:rsid w:val="00AD6416"/>
    <w:rsid w:val="00AD666E"/>
    <w:rsid w:val="00AE1021"/>
    <w:rsid w:val="00AE1250"/>
    <w:rsid w:val="00AE1AD0"/>
    <w:rsid w:val="00AE2705"/>
    <w:rsid w:val="00AE2A87"/>
    <w:rsid w:val="00AE2D4B"/>
    <w:rsid w:val="00AE3E11"/>
    <w:rsid w:val="00AE4B01"/>
    <w:rsid w:val="00AE4F99"/>
    <w:rsid w:val="00AE6D19"/>
    <w:rsid w:val="00AF0451"/>
    <w:rsid w:val="00AF13A8"/>
    <w:rsid w:val="00AF661F"/>
    <w:rsid w:val="00AF785D"/>
    <w:rsid w:val="00B00E4E"/>
    <w:rsid w:val="00B03777"/>
    <w:rsid w:val="00B03DD4"/>
    <w:rsid w:val="00B06F35"/>
    <w:rsid w:val="00B074E3"/>
    <w:rsid w:val="00B10ACF"/>
    <w:rsid w:val="00B11B69"/>
    <w:rsid w:val="00B11C65"/>
    <w:rsid w:val="00B129FA"/>
    <w:rsid w:val="00B1403B"/>
    <w:rsid w:val="00B14952"/>
    <w:rsid w:val="00B17376"/>
    <w:rsid w:val="00B17D6F"/>
    <w:rsid w:val="00B20D28"/>
    <w:rsid w:val="00B20DEC"/>
    <w:rsid w:val="00B21502"/>
    <w:rsid w:val="00B22D41"/>
    <w:rsid w:val="00B23531"/>
    <w:rsid w:val="00B23666"/>
    <w:rsid w:val="00B23C62"/>
    <w:rsid w:val="00B258A6"/>
    <w:rsid w:val="00B261D6"/>
    <w:rsid w:val="00B26292"/>
    <w:rsid w:val="00B264EA"/>
    <w:rsid w:val="00B27D6D"/>
    <w:rsid w:val="00B31DAC"/>
    <w:rsid w:val="00B31E5A"/>
    <w:rsid w:val="00B32A36"/>
    <w:rsid w:val="00B34E74"/>
    <w:rsid w:val="00B34EB5"/>
    <w:rsid w:val="00B37A63"/>
    <w:rsid w:val="00B403E3"/>
    <w:rsid w:val="00B41709"/>
    <w:rsid w:val="00B4236B"/>
    <w:rsid w:val="00B423DA"/>
    <w:rsid w:val="00B42480"/>
    <w:rsid w:val="00B427E0"/>
    <w:rsid w:val="00B44F60"/>
    <w:rsid w:val="00B50447"/>
    <w:rsid w:val="00B6114A"/>
    <w:rsid w:val="00B61736"/>
    <w:rsid w:val="00B62BA1"/>
    <w:rsid w:val="00B62C39"/>
    <w:rsid w:val="00B63C54"/>
    <w:rsid w:val="00B653AB"/>
    <w:rsid w:val="00B659ED"/>
    <w:rsid w:val="00B65F9E"/>
    <w:rsid w:val="00B664DE"/>
    <w:rsid w:val="00B66B19"/>
    <w:rsid w:val="00B67E4B"/>
    <w:rsid w:val="00B72BB2"/>
    <w:rsid w:val="00B72E9B"/>
    <w:rsid w:val="00B74494"/>
    <w:rsid w:val="00B75811"/>
    <w:rsid w:val="00B762F3"/>
    <w:rsid w:val="00B808EB"/>
    <w:rsid w:val="00B82D4E"/>
    <w:rsid w:val="00B831D9"/>
    <w:rsid w:val="00B83CC3"/>
    <w:rsid w:val="00B84E71"/>
    <w:rsid w:val="00B85367"/>
    <w:rsid w:val="00B85385"/>
    <w:rsid w:val="00B8577F"/>
    <w:rsid w:val="00B914E9"/>
    <w:rsid w:val="00B9194E"/>
    <w:rsid w:val="00B928F2"/>
    <w:rsid w:val="00B92A7C"/>
    <w:rsid w:val="00B956EE"/>
    <w:rsid w:val="00B9593D"/>
    <w:rsid w:val="00B95B99"/>
    <w:rsid w:val="00B96535"/>
    <w:rsid w:val="00B966DC"/>
    <w:rsid w:val="00B9700A"/>
    <w:rsid w:val="00B9721E"/>
    <w:rsid w:val="00BA15E9"/>
    <w:rsid w:val="00BA2BA1"/>
    <w:rsid w:val="00BA3127"/>
    <w:rsid w:val="00BA3562"/>
    <w:rsid w:val="00BA40BD"/>
    <w:rsid w:val="00BB12EF"/>
    <w:rsid w:val="00BB1B0A"/>
    <w:rsid w:val="00BB353B"/>
    <w:rsid w:val="00BB419B"/>
    <w:rsid w:val="00BB4F09"/>
    <w:rsid w:val="00BB5D63"/>
    <w:rsid w:val="00BB6FA8"/>
    <w:rsid w:val="00BB7FE6"/>
    <w:rsid w:val="00BC02D6"/>
    <w:rsid w:val="00BC03FB"/>
    <w:rsid w:val="00BC6CE7"/>
    <w:rsid w:val="00BD0ED9"/>
    <w:rsid w:val="00BD1B04"/>
    <w:rsid w:val="00BD206D"/>
    <w:rsid w:val="00BD2799"/>
    <w:rsid w:val="00BD3CFC"/>
    <w:rsid w:val="00BD4105"/>
    <w:rsid w:val="00BD4E33"/>
    <w:rsid w:val="00BD4E6B"/>
    <w:rsid w:val="00BD5B1B"/>
    <w:rsid w:val="00BD66FD"/>
    <w:rsid w:val="00BD6E79"/>
    <w:rsid w:val="00BD7EF6"/>
    <w:rsid w:val="00BE038F"/>
    <w:rsid w:val="00BE3E03"/>
    <w:rsid w:val="00BE44DA"/>
    <w:rsid w:val="00BE5AF6"/>
    <w:rsid w:val="00BE5CB1"/>
    <w:rsid w:val="00BF008A"/>
    <w:rsid w:val="00BF086D"/>
    <w:rsid w:val="00BF1AD1"/>
    <w:rsid w:val="00BF1FEE"/>
    <w:rsid w:val="00BF2FB1"/>
    <w:rsid w:val="00BF3592"/>
    <w:rsid w:val="00BF4750"/>
    <w:rsid w:val="00BF5465"/>
    <w:rsid w:val="00BF6582"/>
    <w:rsid w:val="00C00CA1"/>
    <w:rsid w:val="00C01657"/>
    <w:rsid w:val="00C030DE"/>
    <w:rsid w:val="00C0377A"/>
    <w:rsid w:val="00C0494A"/>
    <w:rsid w:val="00C061CE"/>
    <w:rsid w:val="00C10C05"/>
    <w:rsid w:val="00C12CAB"/>
    <w:rsid w:val="00C12E2F"/>
    <w:rsid w:val="00C13308"/>
    <w:rsid w:val="00C143FE"/>
    <w:rsid w:val="00C14F32"/>
    <w:rsid w:val="00C15BF1"/>
    <w:rsid w:val="00C16068"/>
    <w:rsid w:val="00C16466"/>
    <w:rsid w:val="00C22105"/>
    <w:rsid w:val="00C244B6"/>
    <w:rsid w:val="00C24F36"/>
    <w:rsid w:val="00C25E3C"/>
    <w:rsid w:val="00C26771"/>
    <w:rsid w:val="00C271B8"/>
    <w:rsid w:val="00C27661"/>
    <w:rsid w:val="00C27FA3"/>
    <w:rsid w:val="00C320DF"/>
    <w:rsid w:val="00C32409"/>
    <w:rsid w:val="00C3271C"/>
    <w:rsid w:val="00C32E3F"/>
    <w:rsid w:val="00C34EE7"/>
    <w:rsid w:val="00C356AC"/>
    <w:rsid w:val="00C357C5"/>
    <w:rsid w:val="00C3702F"/>
    <w:rsid w:val="00C404D2"/>
    <w:rsid w:val="00C40E3C"/>
    <w:rsid w:val="00C42567"/>
    <w:rsid w:val="00C444F5"/>
    <w:rsid w:val="00C4500A"/>
    <w:rsid w:val="00C4546D"/>
    <w:rsid w:val="00C47524"/>
    <w:rsid w:val="00C51A5B"/>
    <w:rsid w:val="00C51BCB"/>
    <w:rsid w:val="00C56046"/>
    <w:rsid w:val="00C57517"/>
    <w:rsid w:val="00C57E9D"/>
    <w:rsid w:val="00C57F65"/>
    <w:rsid w:val="00C57FF5"/>
    <w:rsid w:val="00C60795"/>
    <w:rsid w:val="00C6176F"/>
    <w:rsid w:val="00C619C1"/>
    <w:rsid w:val="00C63519"/>
    <w:rsid w:val="00C6405D"/>
    <w:rsid w:val="00C64A37"/>
    <w:rsid w:val="00C64D56"/>
    <w:rsid w:val="00C6558A"/>
    <w:rsid w:val="00C6571C"/>
    <w:rsid w:val="00C66390"/>
    <w:rsid w:val="00C70377"/>
    <w:rsid w:val="00C7158E"/>
    <w:rsid w:val="00C7183A"/>
    <w:rsid w:val="00C7250B"/>
    <w:rsid w:val="00C72DA4"/>
    <w:rsid w:val="00C7346B"/>
    <w:rsid w:val="00C7473A"/>
    <w:rsid w:val="00C753D1"/>
    <w:rsid w:val="00C763CC"/>
    <w:rsid w:val="00C76D2A"/>
    <w:rsid w:val="00C77C0E"/>
    <w:rsid w:val="00C77D6E"/>
    <w:rsid w:val="00C85945"/>
    <w:rsid w:val="00C909F0"/>
    <w:rsid w:val="00C910AD"/>
    <w:rsid w:val="00C91687"/>
    <w:rsid w:val="00C924A8"/>
    <w:rsid w:val="00C945FE"/>
    <w:rsid w:val="00C94C0E"/>
    <w:rsid w:val="00C95375"/>
    <w:rsid w:val="00C9594E"/>
    <w:rsid w:val="00C96FAA"/>
    <w:rsid w:val="00C97A04"/>
    <w:rsid w:val="00C97C5F"/>
    <w:rsid w:val="00CA107B"/>
    <w:rsid w:val="00CA17B4"/>
    <w:rsid w:val="00CA27E8"/>
    <w:rsid w:val="00CA4303"/>
    <w:rsid w:val="00CA484D"/>
    <w:rsid w:val="00CA4FB6"/>
    <w:rsid w:val="00CA6FE7"/>
    <w:rsid w:val="00CB2D10"/>
    <w:rsid w:val="00CB33EC"/>
    <w:rsid w:val="00CB5DE0"/>
    <w:rsid w:val="00CB6E68"/>
    <w:rsid w:val="00CC39AB"/>
    <w:rsid w:val="00CC4B1E"/>
    <w:rsid w:val="00CC4CFF"/>
    <w:rsid w:val="00CC739E"/>
    <w:rsid w:val="00CC7608"/>
    <w:rsid w:val="00CD0840"/>
    <w:rsid w:val="00CD0BA9"/>
    <w:rsid w:val="00CD0DD0"/>
    <w:rsid w:val="00CD2B1E"/>
    <w:rsid w:val="00CD3556"/>
    <w:rsid w:val="00CD58B7"/>
    <w:rsid w:val="00CD765B"/>
    <w:rsid w:val="00CE10C7"/>
    <w:rsid w:val="00CE1C8B"/>
    <w:rsid w:val="00CE1D39"/>
    <w:rsid w:val="00CE284A"/>
    <w:rsid w:val="00CF1B9B"/>
    <w:rsid w:val="00CF20A2"/>
    <w:rsid w:val="00CF31C3"/>
    <w:rsid w:val="00CF3F72"/>
    <w:rsid w:val="00CF4099"/>
    <w:rsid w:val="00CF5B7D"/>
    <w:rsid w:val="00CF7F79"/>
    <w:rsid w:val="00D00796"/>
    <w:rsid w:val="00D01A7B"/>
    <w:rsid w:val="00D03C44"/>
    <w:rsid w:val="00D04119"/>
    <w:rsid w:val="00D04584"/>
    <w:rsid w:val="00D10B0E"/>
    <w:rsid w:val="00D11C25"/>
    <w:rsid w:val="00D126AB"/>
    <w:rsid w:val="00D12B1C"/>
    <w:rsid w:val="00D12C5D"/>
    <w:rsid w:val="00D133D5"/>
    <w:rsid w:val="00D15523"/>
    <w:rsid w:val="00D15CB8"/>
    <w:rsid w:val="00D1658F"/>
    <w:rsid w:val="00D20446"/>
    <w:rsid w:val="00D206D2"/>
    <w:rsid w:val="00D23D10"/>
    <w:rsid w:val="00D24037"/>
    <w:rsid w:val="00D25FE0"/>
    <w:rsid w:val="00D261A2"/>
    <w:rsid w:val="00D26839"/>
    <w:rsid w:val="00D26A26"/>
    <w:rsid w:val="00D26B5F"/>
    <w:rsid w:val="00D27E54"/>
    <w:rsid w:val="00D30E0D"/>
    <w:rsid w:val="00D312B3"/>
    <w:rsid w:val="00D34CBE"/>
    <w:rsid w:val="00D353B0"/>
    <w:rsid w:val="00D4012D"/>
    <w:rsid w:val="00D405E1"/>
    <w:rsid w:val="00D41FB2"/>
    <w:rsid w:val="00D42833"/>
    <w:rsid w:val="00D447C1"/>
    <w:rsid w:val="00D453DF"/>
    <w:rsid w:val="00D47718"/>
    <w:rsid w:val="00D500D3"/>
    <w:rsid w:val="00D518CB"/>
    <w:rsid w:val="00D533DC"/>
    <w:rsid w:val="00D53C2C"/>
    <w:rsid w:val="00D53CCF"/>
    <w:rsid w:val="00D549EE"/>
    <w:rsid w:val="00D573FC"/>
    <w:rsid w:val="00D61602"/>
    <w:rsid w:val="00D616D2"/>
    <w:rsid w:val="00D63800"/>
    <w:rsid w:val="00D63B5F"/>
    <w:rsid w:val="00D6402D"/>
    <w:rsid w:val="00D652C2"/>
    <w:rsid w:val="00D67ED7"/>
    <w:rsid w:val="00D70EF7"/>
    <w:rsid w:val="00D712E1"/>
    <w:rsid w:val="00D723AF"/>
    <w:rsid w:val="00D72DA8"/>
    <w:rsid w:val="00D741F2"/>
    <w:rsid w:val="00D742F0"/>
    <w:rsid w:val="00D74530"/>
    <w:rsid w:val="00D7562C"/>
    <w:rsid w:val="00D76684"/>
    <w:rsid w:val="00D77D84"/>
    <w:rsid w:val="00D81123"/>
    <w:rsid w:val="00D826AD"/>
    <w:rsid w:val="00D8397C"/>
    <w:rsid w:val="00D8771B"/>
    <w:rsid w:val="00D90515"/>
    <w:rsid w:val="00D92AD3"/>
    <w:rsid w:val="00D94AA3"/>
    <w:rsid w:val="00D94EED"/>
    <w:rsid w:val="00D95716"/>
    <w:rsid w:val="00D96026"/>
    <w:rsid w:val="00D96D70"/>
    <w:rsid w:val="00DA068F"/>
    <w:rsid w:val="00DA0D27"/>
    <w:rsid w:val="00DA41BF"/>
    <w:rsid w:val="00DA5ADE"/>
    <w:rsid w:val="00DA7725"/>
    <w:rsid w:val="00DA7C1C"/>
    <w:rsid w:val="00DB147A"/>
    <w:rsid w:val="00DB1B7A"/>
    <w:rsid w:val="00DB2480"/>
    <w:rsid w:val="00DB3B9D"/>
    <w:rsid w:val="00DB5545"/>
    <w:rsid w:val="00DB7459"/>
    <w:rsid w:val="00DC262E"/>
    <w:rsid w:val="00DC3644"/>
    <w:rsid w:val="00DC3ACF"/>
    <w:rsid w:val="00DC46ED"/>
    <w:rsid w:val="00DC48DB"/>
    <w:rsid w:val="00DC66DA"/>
    <w:rsid w:val="00DC6708"/>
    <w:rsid w:val="00DC69CD"/>
    <w:rsid w:val="00DC74DA"/>
    <w:rsid w:val="00DD141E"/>
    <w:rsid w:val="00DD19E2"/>
    <w:rsid w:val="00DD2607"/>
    <w:rsid w:val="00DD3357"/>
    <w:rsid w:val="00DD39DD"/>
    <w:rsid w:val="00DD43E9"/>
    <w:rsid w:val="00DD5720"/>
    <w:rsid w:val="00DD6CA5"/>
    <w:rsid w:val="00DD6F65"/>
    <w:rsid w:val="00DD7D6F"/>
    <w:rsid w:val="00DE17D0"/>
    <w:rsid w:val="00DE22F1"/>
    <w:rsid w:val="00DE47A6"/>
    <w:rsid w:val="00DE574C"/>
    <w:rsid w:val="00DE5C4A"/>
    <w:rsid w:val="00DE6758"/>
    <w:rsid w:val="00DE691B"/>
    <w:rsid w:val="00DF10BA"/>
    <w:rsid w:val="00DF1FD4"/>
    <w:rsid w:val="00E00977"/>
    <w:rsid w:val="00E01436"/>
    <w:rsid w:val="00E01750"/>
    <w:rsid w:val="00E045BD"/>
    <w:rsid w:val="00E06277"/>
    <w:rsid w:val="00E102D0"/>
    <w:rsid w:val="00E10592"/>
    <w:rsid w:val="00E13B8C"/>
    <w:rsid w:val="00E15FF3"/>
    <w:rsid w:val="00E167B2"/>
    <w:rsid w:val="00E16F29"/>
    <w:rsid w:val="00E176AC"/>
    <w:rsid w:val="00E17B77"/>
    <w:rsid w:val="00E22E4E"/>
    <w:rsid w:val="00E23160"/>
    <w:rsid w:val="00E23337"/>
    <w:rsid w:val="00E23597"/>
    <w:rsid w:val="00E23FCC"/>
    <w:rsid w:val="00E2438C"/>
    <w:rsid w:val="00E2500C"/>
    <w:rsid w:val="00E25295"/>
    <w:rsid w:val="00E259EA"/>
    <w:rsid w:val="00E25C0C"/>
    <w:rsid w:val="00E27EB0"/>
    <w:rsid w:val="00E3145F"/>
    <w:rsid w:val="00E32061"/>
    <w:rsid w:val="00E36B50"/>
    <w:rsid w:val="00E409A0"/>
    <w:rsid w:val="00E41128"/>
    <w:rsid w:val="00E41C34"/>
    <w:rsid w:val="00E42258"/>
    <w:rsid w:val="00E426A9"/>
    <w:rsid w:val="00E42FF9"/>
    <w:rsid w:val="00E4360A"/>
    <w:rsid w:val="00E454C6"/>
    <w:rsid w:val="00E4714C"/>
    <w:rsid w:val="00E47504"/>
    <w:rsid w:val="00E47AFC"/>
    <w:rsid w:val="00E510C2"/>
    <w:rsid w:val="00E51AEB"/>
    <w:rsid w:val="00E522A7"/>
    <w:rsid w:val="00E54452"/>
    <w:rsid w:val="00E60620"/>
    <w:rsid w:val="00E61FFF"/>
    <w:rsid w:val="00E64FEF"/>
    <w:rsid w:val="00E652A5"/>
    <w:rsid w:val="00E65DAD"/>
    <w:rsid w:val="00E65F0E"/>
    <w:rsid w:val="00E66190"/>
    <w:rsid w:val="00E664C5"/>
    <w:rsid w:val="00E671A2"/>
    <w:rsid w:val="00E677BD"/>
    <w:rsid w:val="00E67DBA"/>
    <w:rsid w:val="00E7040A"/>
    <w:rsid w:val="00E71320"/>
    <w:rsid w:val="00E72123"/>
    <w:rsid w:val="00E733CE"/>
    <w:rsid w:val="00E74894"/>
    <w:rsid w:val="00E76D26"/>
    <w:rsid w:val="00E809C1"/>
    <w:rsid w:val="00E80FF2"/>
    <w:rsid w:val="00E837DB"/>
    <w:rsid w:val="00E844B8"/>
    <w:rsid w:val="00E8536F"/>
    <w:rsid w:val="00E86939"/>
    <w:rsid w:val="00E86F02"/>
    <w:rsid w:val="00E9152D"/>
    <w:rsid w:val="00E929AB"/>
    <w:rsid w:val="00E92EB5"/>
    <w:rsid w:val="00E93155"/>
    <w:rsid w:val="00E93770"/>
    <w:rsid w:val="00E960EF"/>
    <w:rsid w:val="00EA00DA"/>
    <w:rsid w:val="00EA058A"/>
    <w:rsid w:val="00EA0BE2"/>
    <w:rsid w:val="00EA1DDD"/>
    <w:rsid w:val="00EA20BB"/>
    <w:rsid w:val="00EA4253"/>
    <w:rsid w:val="00EA4A3A"/>
    <w:rsid w:val="00EA4B6B"/>
    <w:rsid w:val="00EA6BEA"/>
    <w:rsid w:val="00EA7817"/>
    <w:rsid w:val="00EB0C80"/>
    <w:rsid w:val="00EB1390"/>
    <w:rsid w:val="00EB2348"/>
    <w:rsid w:val="00EB2C71"/>
    <w:rsid w:val="00EB4340"/>
    <w:rsid w:val="00EB4A53"/>
    <w:rsid w:val="00EB556D"/>
    <w:rsid w:val="00EB5A7D"/>
    <w:rsid w:val="00EB5C88"/>
    <w:rsid w:val="00EB6C8A"/>
    <w:rsid w:val="00EC14C9"/>
    <w:rsid w:val="00EC2FB8"/>
    <w:rsid w:val="00EC43FF"/>
    <w:rsid w:val="00EC4512"/>
    <w:rsid w:val="00EC4B38"/>
    <w:rsid w:val="00EC4D7C"/>
    <w:rsid w:val="00ED4620"/>
    <w:rsid w:val="00ED5150"/>
    <w:rsid w:val="00ED55C0"/>
    <w:rsid w:val="00ED680A"/>
    <w:rsid w:val="00ED682B"/>
    <w:rsid w:val="00EE1A29"/>
    <w:rsid w:val="00EE20A5"/>
    <w:rsid w:val="00EE22B6"/>
    <w:rsid w:val="00EE382B"/>
    <w:rsid w:val="00EE40A8"/>
    <w:rsid w:val="00EE41D5"/>
    <w:rsid w:val="00EE41FB"/>
    <w:rsid w:val="00EE59E1"/>
    <w:rsid w:val="00EE6984"/>
    <w:rsid w:val="00EE7781"/>
    <w:rsid w:val="00EF1F9D"/>
    <w:rsid w:val="00EF315E"/>
    <w:rsid w:val="00EF6C1C"/>
    <w:rsid w:val="00EF76AE"/>
    <w:rsid w:val="00EF77DD"/>
    <w:rsid w:val="00F00B21"/>
    <w:rsid w:val="00F037A4"/>
    <w:rsid w:val="00F07B50"/>
    <w:rsid w:val="00F07E78"/>
    <w:rsid w:val="00F14D55"/>
    <w:rsid w:val="00F16054"/>
    <w:rsid w:val="00F16342"/>
    <w:rsid w:val="00F16B43"/>
    <w:rsid w:val="00F2094E"/>
    <w:rsid w:val="00F21EC8"/>
    <w:rsid w:val="00F232A8"/>
    <w:rsid w:val="00F236F8"/>
    <w:rsid w:val="00F24530"/>
    <w:rsid w:val="00F245B0"/>
    <w:rsid w:val="00F264C8"/>
    <w:rsid w:val="00F2672D"/>
    <w:rsid w:val="00F27C8F"/>
    <w:rsid w:val="00F324BC"/>
    <w:rsid w:val="00F32749"/>
    <w:rsid w:val="00F3350A"/>
    <w:rsid w:val="00F3684B"/>
    <w:rsid w:val="00F36FD5"/>
    <w:rsid w:val="00F37172"/>
    <w:rsid w:val="00F37820"/>
    <w:rsid w:val="00F37D71"/>
    <w:rsid w:val="00F37E45"/>
    <w:rsid w:val="00F4242C"/>
    <w:rsid w:val="00F4477E"/>
    <w:rsid w:val="00F45647"/>
    <w:rsid w:val="00F469A3"/>
    <w:rsid w:val="00F47E37"/>
    <w:rsid w:val="00F5137D"/>
    <w:rsid w:val="00F5196C"/>
    <w:rsid w:val="00F536E5"/>
    <w:rsid w:val="00F55B8D"/>
    <w:rsid w:val="00F55FE6"/>
    <w:rsid w:val="00F578CE"/>
    <w:rsid w:val="00F61D4B"/>
    <w:rsid w:val="00F628AF"/>
    <w:rsid w:val="00F65F8F"/>
    <w:rsid w:val="00F66BF7"/>
    <w:rsid w:val="00F677E2"/>
    <w:rsid w:val="00F67941"/>
    <w:rsid w:val="00F67D30"/>
    <w:rsid w:val="00F67D8F"/>
    <w:rsid w:val="00F72ECC"/>
    <w:rsid w:val="00F76B37"/>
    <w:rsid w:val="00F7729C"/>
    <w:rsid w:val="00F77604"/>
    <w:rsid w:val="00F802BE"/>
    <w:rsid w:val="00F80E93"/>
    <w:rsid w:val="00F811A2"/>
    <w:rsid w:val="00F8346B"/>
    <w:rsid w:val="00F86024"/>
    <w:rsid w:val="00F8611A"/>
    <w:rsid w:val="00F867A2"/>
    <w:rsid w:val="00F9160C"/>
    <w:rsid w:val="00F91D19"/>
    <w:rsid w:val="00F95DE7"/>
    <w:rsid w:val="00F95FF8"/>
    <w:rsid w:val="00FA354C"/>
    <w:rsid w:val="00FA5128"/>
    <w:rsid w:val="00FA70BB"/>
    <w:rsid w:val="00FA730B"/>
    <w:rsid w:val="00FB0147"/>
    <w:rsid w:val="00FB036A"/>
    <w:rsid w:val="00FB0F41"/>
    <w:rsid w:val="00FB42D4"/>
    <w:rsid w:val="00FB4ABC"/>
    <w:rsid w:val="00FB5906"/>
    <w:rsid w:val="00FB7351"/>
    <w:rsid w:val="00FB762F"/>
    <w:rsid w:val="00FB7F71"/>
    <w:rsid w:val="00FC0004"/>
    <w:rsid w:val="00FC015D"/>
    <w:rsid w:val="00FC027E"/>
    <w:rsid w:val="00FC2448"/>
    <w:rsid w:val="00FC2AED"/>
    <w:rsid w:val="00FC2C6F"/>
    <w:rsid w:val="00FC4B05"/>
    <w:rsid w:val="00FC5340"/>
    <w:rsid w:val="00FC620D"/>
    <w:rsid w:val="00FC76C2"/>
    <w:rsid w:val="00FD1E84"/>
    <w:rsid w:val="00FD5EA7"/>
    <w:rsid w:val="00FD62E9"/>
    <w:rsid w:val="00FD7389"/>
    <w:rsid w:val="00FD77E1"/>
    <w:rsid w:val="00FD783D"/>
    <w:rsid w:val="00FD79D3"/>
    <w:rsid w:val="00FD7EC1"/>
    <w:rsid w:val="00FE210F"/>
    <w:rsid w:val="00FE252C"/>
    <w:rsid w:val="00FE28C2"/>
    <w:rsid w:val="00FE47CC"/>
    <w:rsid w:val="00FE6972"/>
    <w:rsid w:val="00FF0714"/>
    <w:rsid w:val="00FF3518"/>
    <w:rsid w:val="00FF4414"/>
    <w:rsid w:val="00FF451A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92C6987-F174-47AF-8AE0-3EFCB976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chart" Target="charts/chart6.xml"/><Relationship Id="rId29" Type="http://schemas.openxmlformats.org/officeDocument/2006/relationships/header" Target="header2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7.png"/><Relationship Id="rId37" Type="http://schemas.openxmlformats.org/officeDocument/2006/relationships/hyperlink" Target="https://kielce.stat.gov.pl/opracowania-biezace/komunikaty-i-biuletyny/inne-opracowania/biuletyn-statystyczny-wojewodztwa-swietokrzyskiego-iii-kwartal-2019,3,37.html" TargetMode="External"/><Relationship Id="rId40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hyperlink" Target="https://stat.gov.pl/obszary-tematyczne/inne-opracowania/informacje-o-sytuacji-spoleczno-gospodarczej/biuletyn-statystyczny-nr-12020,4,9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footer" Target="footer3.xml"/><Relationship Id="rId35" Type="http://schemas.openxmlformats.org/officeDocument/2006/relationships/hyperlink" Target="https://stat.gov.pl/obszary-tematyczne/inne-opracowania/informacje-o-sytuacji-spoleczno-gospodarczej/sytuacja-spoleczno-gospodarcza-kraju-w-styczniu-2020-r-,1,93.htm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8.png"/><Relationship Id="rId38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vmfkie01\WOBR_zasoby\Komunikaty\2020\Komunikat%2001.2020\wykresy\pog&#322;owie%20trzody%20chlewnej%20w%20tym%20loch%20na%20ch&#243;w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vmfkie01\WOBR_zasoby\Komunikaty\2020\Komunikat%2001.2020\wykresy\Pog&#322;owie%20byd&#322;a%20w%20tym%20krow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Dynamika%20produkcji%20sprzedanej%20przemys&#322;u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dynamika_mieszka&#324;_oddanych_do_u&#380;ytkowania_baza_2015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0\Komunikat%2001.2020\wykresy\Mieszkania_I_2020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0\Komunikat%2001.2020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0\Komunikat%2001.2020\wykresy\I%202020%20Wynagrodzenia%20CHOINKA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mfkie01\WOBR_zasoby\Komunikaty\2020\Komunikat%2001.2020\wykresy\I%202020%20Wynagrodzenia%20CHOINKA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Przeci&#281;tne%20ceny%20skupu%20zb&#243;&#380;%20i%20ceny%20targowiskowe%20ziemniak&#243;w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Przeci&#281;tne%20ceny%20skupu%20&#380;ywca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1.2020\wykresy\Relacja%20przeci&#281;tnych%20cen%20skupu%20&#380;w%20do%20c&#3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3.6778755596726879E-2"/>
          <c:w val="0.94637296860595599"/>
          <c:h val="0.65825907055735677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zatr_wynagr!$A$10:$B$47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zatr_wynagr!$C$10:$C$47</c:f>
              <c:numCache>
                <c:formatCode>General</c:formatCode>
                <c:ptCount val="38"/>
                <c:pt idx="0" formatCode="0.0">
                  <c:v>106.4</c:v>
                </c:pt>
                <c:pt idx="1">
                  <c:v>106.7</c:v>
                </c:pt>
                <c:pt idx="2">
                  <c:v>106.8</c:v>
                </c:pt>
                <c:pt idx="3" formatCode="0.0">
                  <c:v>107</c:v>
                </c:pt>
                <c:pt idx="4" formatCode="0.0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 formatCode="0.0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 formatCode="0.0">
                  <c:v>110.7</c:v>
                </c:pt>
                <c:pt idx="14">
                  <c:v>110.8</c:v>
                </c:pt>
                <c:pt idx="15">
                  <c:v>110.9</c:v>
                </c:pt>
                <c:pt idx="16" formatCode="0.0">
                  <c:v>110.9</c:v>
                </c:pt>
                <c:pt idx="17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 formatCode="0.0">
                  <c:v>114</c:v>
                </c:pt>
                <c:pt idx="27" formatCode="0.0">
                  <c:v>114</c:v>
                </c:pt>
                <c:pt idx="28">
                  <c:v>113.8</c:v>
                </c:pt>
                <c:pt idx="29" formatCode="0.0">
                  <c:v>114</c:v>
                </c:pt>
                <c:pt idx="30" formatCode="0.0">
                  <c:v>114.1</c:v>
                </c:pt>
                <c:pt idx="31" formatCode="0.0">
                  <c:v>114</c:v>
                </c:pt>
                <c:pt idx="32" formatCode="0.0">
                  <c:v>113.9</c:v>
                </c:pt>
                <c:pt idx="33" formatCode="0.0">
                  <c:v>113.9</c:v>
                </c:pt>
                <c:pt idx="34" formatCode="0.0">
                  <c:v>114.1</c:v>
                </c:pt>
                <c:pt idx="35" formatCode="0.0">
                  <c:v>114.1</c:v>
                </c:pt>
                <c:pt idx="36">
                  <c:v>114.9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zatr_wynagr!$A$10:$B$47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zatr_wynagr!$D$10:$D$47</c:f>
              <c:numCache>
                <c:formatCode>0.0</c:formatCode>
                <c:ptCount val="38"/>
                <c:pt idx="0">
                  <c:v>104.84409850243524</c:v>
                </c:pt>
                <c:pt idx="1">
                  <c:v>105.21006873321498</c:v>
                </c:pt>
                <c:pt idx="2">
                  <c:v>107.71450680504347</c:v>
                </c:pt>
                <c:pt idx="3">
                  <c:v>107.5934271018253</c:v>
                </c:pt>
                <c:pt idx="4">
                  <c:v>107.80281305475899</c:v>
                </c:pt>
                <c:pt idx="5">
                  <c:v>108.17242478037234</c:v>
                </c:pt>
                <c:pt idx="6">
                  <c:v>108.43370203468524</c:v>
                </c:pt>
                <c:pt idx="7">
                  <c:v>107.90295416268378</c:v>
                </c:pt>
                <c:pt idx="8">
                  <c:v>107.92662387910237</c:v>
                </c:pt>
                <c:pt idx="9">
                  <c:v>108.28349037279803</c:v>
                </c:pt>
                <c:pt idx="10">
                  <c:v>108.4291501661432</c:v>
                </c:pt>
                <c:pt idx="11">
                  <c:v>108.46283399335427</c:v>
                </c:pt>
                <c:pt idx="12">
                  <c:v>110.94451272247257</c:v>
                </c:pt>
                <c:pt idx="13">
                  <c:v>110.91173926896991</c:v>
                </c:pt>
                <c:pt idx="14" formatCode="General">
                  <c:v>111.2</c:v>
                </c:pt>
                <c:pt idx="15">
                  <c:v>111.36237425463153</c:v>
                </c:pt>
                <c:pt idx="16">
                  <c:v>111.8</c:v>
                </c:pt>
                <c:pt idx="17" formatCode="General">
                  <c:v>112.1</c:v>
                </c:pt>
                <c:pt idx="18">
                  <c:v>112.2</c:v>
                </c:pt>
                <c:pt idx="19">
                  <c:v>112.1</c:v>
                </c:pt>
                <c:pt idx="20" formatCode="General">
                  <c:v>112.2</c:v>
                </c:pt>
                <c:pt idx="21" formatCode="General">
                  <c:v>112.8</c:v>
                </c:pt>
                <c:pt idx="22" formatCode="General">
                  <c:v>112.9</c:v>
                </c:pt>
                <c:pt idx="23" formatCode="General">
                  <c:v>112.6</c:v>
                </c:pt>
                <c:pt idx="24" formatCode="General">
                  <c:v>115.3</c:v>
                </c:pt>
                <c:pt idx="25" formatCode="General">
                  <c:v>115.3</c:v>
                </c:pt>
                <c:pt idx="26" formatCode="General">
                  <c:v>115.3</c:v>
                </c:pt>
                <c:pt idx="27" formatCode="General">
                  <c:v>115.1</c:v>
                </c:pt>
                <c:pt idx="28" formatCode="General">
                  <c:v>114.9</c:v>
                </c:pt>
                <c:pt idx="29" formatCode="General">
                  <c:v>115.2</c:v>
                </c:pt>
                <c:pt idx="30" formatCode="General">
                  <c:v>115.2</c:v>
                </c:pt>
                <c:pt idx="31" formatCode="General">
                  <c:v>115.2</c:v>
                </c:pt>
                <c:pt idx="32" formatCode="General">
                  <c:v>115.1</c:v>
                </c:pt>
                <c:pt idx="33" formatCode="General">
                  <c:v>113.4</c:v>
                </c:pt>
                <c:pt idx="34" formatCode="General">
                  <c:v>113.3</c:v>
                </c:pt>
                <c:pt idx="35" formatCode="General">
                  <c:v>112.8</c:v>
                </c:pt>
                <c:pt idx="36" formatCode="General">
                  <c:v>112.8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87347968"/>
        <c:axId val="-1287344160"/>
      </c:lineChart>
      <c:catAx>
        <c:axId val="-1287347968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44160"/>
        <c:crosses val="autoZero"/>
        <c:auto val="1"/>
        <c:lblAlgn val="ctr"/>
        <c:lblOffset val="100"/>
        <c:noMultiLvlLbl val="0"/>
      </c:catAx>
      <c:valAx>
        <c:axId val="-1287344160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4796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17015555982333E-2"/>
          <c:y val="0.17516978346456691"/>
          <c:w val="0.88392804557966842"/>
          <c:h val="0.5080757874015747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Arkusz1!$C$2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2700">
              <a:noFill/>
              <a:prstDash val="solid"/>
            </a:ln>
          </c:spPr>
          <c:invertIfNegative val="0"/>
          <c:cat>
            <c:multiLvlStrRef>
              <c:f>Arkusz1!$A$48:$B$58</c:f>
              <c:multiLvlStrCache>
                <c:ptCount val="11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III</c:v>
                  </c:pt>
                  <c:pt idx="7">
                    <c:v>VI</c:v>
                  </c:pt>
                  <c:pt idx="8">
                    <c:v>XII </c:v>
                  </c:pt>
                  <c:pt idx="9">
                    <c:v>VI</c:v>
                  </c:pt>
                  <c:pt idx="10">
                    <c:v>XII</c:v>
                  </c:pt>
                </c:lvl>
                <c:lvl>
                  <c:pt idx="0">
                    <c:v>2016</c:v>
                  </c:pt>
                  <c:pt idx="3">
                    <c:v>2017</c:v>
                  </c:pt>
                  <c:pt idx="6">
                    <c:v>2018</c:v>
                  </c:pt>
                  <c:pt idx="9">
                    <c:v>2019</c:v>
                  </c:pt>
                </c:lvl>
              </c:multiLvlStrCache>
            </c:multiLvlStrRef>
          </c:cat>
          <c:val>
            <c:numRef>
              <c:f>Arkusz1!$C$48:$C$58</c:f>
              <c:numCache>
                <c:formatCode>0.0</c:formatCode>
                <c:ptCount val="11"/>
                <c:pt idx="0">
                  <c:v>201.8</c:v>
                </c:pt>
                <c:pt idx="1">
                  <c:v>206.8</c:v>
                </c:pt>
                <c:pt idx="2">
                  <c:v>209.5</c:v>
                </c:pt>
                <c:pt idx="3">
                  <c:v>209.1</c:v>
                </c:pt>
                <c:pt idx="4">
                  <c:v>222.9</c:v>
                </c:pt>
                <c:pt idx="5">
                  <c:v>232.3</c:v>
                </c:pt>
                <c:pt idx="6">
                  <c:v>225.1</c:v>
                </c:pt>
                <c:pt idx="7">
                  <c:v>230.8</c:v>
                </c:pt>
                <c:pt idx="8">
                  <c:v>198.6</c:v>
                </c:pt>
                <c:pt idx="9">
                  <c:v>181.3</c:v>
                </c:pt>
                <c:pt idx="10">
                  <c:v>196.9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77-4A2D-99E3-A01FD68A7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222230064"/>
        <c:axId val="-1222228976"/>
      </c:barChart>
      <c:lineChart>
        <c:grouping val="standard"/>
        <c:varyColors val="0"/>
        <c:ser>
          <c:idx val="0"/>
          <c:order val="1"/>
          <c:tx>
            <c:strRef>
              <c:f>Arkusz1!$D$2</c:f>
              <c:strCache>
                <c:ptCount val="1"/>
                <c:pt idx="0">
                  <c:v>w tym lochy</c:v>
                </c:pt>
              </c:strCache>
            </c:strRef>
          </c:tx>
          <c:spPr>
            <a:ln w="28575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Arkusz1!$A$48:$B$58</c:f>
              <c:multiLvlStrCache>
                <c:ptCount val="11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III</c:v>
                  </c:pt>
                  <c:pt idx="7">
                    <c:v>VI</c:v>
                  </c:pt>
                  <c:pt idx="8">
                    <c:v>XII </c:v>
                  </c:pt>
                  <c:pt idx="9">
                    <c:v>VI</c:v>
                  </c:pt>
                  <c:pt idx="10">
                    <c:v>XII</c:v>
                  </c:pt>
                </c:lvl>
                <c:lvl>
                  <c:pt idx="0">
                    <c:v>2016</c:v>
                  </c:pt>
                  <c:pt idx="3">
                    <c:v>2017</c:v>
                  </c:pt>
                  <c:pt idx="6">
                    <c:v>2018</c:v>
                  </c:pt>
                  <c:pt idx="9">
                    <c:v>2019</c:v>
                  </c:pt>
                </c:lvl>
              </c:multiLvlStrCache>
            </c:multiLvlStrRef>
          </c:cat>
          <c:val>
            <c:numRef>
              <c:f>Arkusz1!$D$48:$D$58</c:f>
              <c:numCache>
                <c:formatCode>0.0</c:formatCode>
                <c:ptCount val="11"/>
                <c:pt idx="0">
                  <c:v>23.5</c:v>
                </c:pt>
                <c:pt idx="1">
                  <c:v>21.7</c:v>
                </c:pt>
                <c:pt idx="2">
                  <c:v>23</c:v>
                </c:pt>
                <c:pt idx="3">
                  <c:v>24.5</c:v>
                </c:pt>
                <c:pt idx="4">
                  <c:v>24.1</c:v>
                </c:pt>
                <c:pt idx="5">
                  <c:v>24.7</c:v>
                </c:pt>
                <c:pt idx="6">
                  <c:v>24.4</c:v>
                </c:pt>
                <c:pt idx="7">
                  <c:v>25.8</c:v>
                </c:pt>
                <c:pt idx="8">
                  <c:v>18.7</c:v>
                </c:pt>
                <c:pt idx="9">
                  <c:v>18.2</c:v>
                </c:pt>
                <c:pt idx="10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7-4A2D-99E3-A01FD68A7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22233872"/>
        <c:axId val="-1222232240"/>
      </c:lineChart>
      <c:catAx>
        <c:axId val="-1222230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2222897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-1222228976"/>
        <c:scaling>
          <c:orientation val="minMax"/>
          <c:max val="30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trzoda 
 w tys. szt.</a:t>
                </a:r>
              </a:p>
            </c:rich>
          </c:tx>
          <c:layout>
            <c:manualLayout>
              <c:xMode val="edge"/>
              <c:yMode val="edge"/>
              <c:x val="1.2173506502383061E-2"/>
              <c:y val="9.1922674583666802E-3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22230064"/>
        <c:crosses val="autoZero"/>
        <c:crossBetween val="between"/>
        <c:majorUnit val="100"/>
      </c:valAx>
      <c:catAx>
        <c:axId val="-1222233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222232240"/>
        <c:crosses val="autoZero"/>
        <c:auto val="0"/>
        <c:lblAlgn val="ctr"/>
        <c:lblOffset val="100"/>
        <c:noMultiLvlLbl val="0"/>
      </c:catAx>
      <c:valAx>
        <c:axId val="-1222232240"/>
        <c:scaling>
          <c:orientation val="minMax"/>
          <c:max val="3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lochy
w tys. szt.</a:t>
                </a:r>
              </a:p>
            </c:rich>
          </c:tx>
          <c:layout>
            <c:manualLayout>
              <c:xMode val="edge"/>
              <c:yMode val="edge"/>
              <c:x val="0.91890141513021362"/>
              <c:y val="2.0133096119499129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22233872"/>
        <c:crosses val="max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161012397183271"/>
          <c:y val="0.89885486247868096"/>
          <c:w val="0.42892928103613215"/>
          <c:h val="8.125823229151574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87984892060798E-2"/>
          <c:y val="0.16588980280810625"/>
          <c:w val="0.8615702479338847"/>
          <c:h val="0.513176845571247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'w tys. 2001 -2008'!$C$1</c:f>
              <c:strCache>
                <c:ptCount val="1"/>
                <c:pt idx="0">
                  <c:v>bydło ogółem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2700">
              <a:noFill/>
              <a:prstDash val="solid"/>
            </a:ln>
          </c:spPr>
          <c:invertIfNegative val="0"/>
          <c:cat>
            <c:multiLvlStrRef>
              <c:f>'w tys. 2001 -2008'!$A$32:$B$39</c:f>
              <c:multiLvlStrCache>
                <c:ptCount val="8"/>
                <c:lvl>
                  <c:pt idx="0">
                    <c:v>VI</c:v>
                  </c:pt>
                  <c:pt idx="1">
                    <c:v>XII</c:v>
                  </c:pt>
                  <c:pt idx="2">
                    <c:v>VI 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 </c:v>
                  </c:pt>
                  <c:pt idx="7">
                    <c:v>XII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  <c:pt idx="6">
                    <c:v>2019</c:v>
                  </c:pt>
                </c:lvl>
              </c:multiLvlStrCache>
            </c:multiLvlStrRef>
          </c:cat>
          <c:val>
            <c:numRef>
              <c:f>'w tys. 2001 -2008'!$C$32:$C$39</c:f>
              <c:numCache>
                <c:formatCode>0.0</c:formatCode>
                <c:ptCount val="8"/>
                <c:pt idx="0">
                  <c:v>166.4</c:v>
                </c:pt>
                <c:pt idx="1">
                  <c:v>161.9</c:v>
                </c:pt>
                <c:pt idx="2">
                  <c:v>164.4</c:v>
                </c:pt>
                <c:pt idx="3">
                  <c:v>157</c:v>
                </c:pt>
                <c:pt idx="4">
                  <c:v>153.80000000000001</c:v>
                </c:pt>
                <c:pt idx="5">
                  <c:v>153.4</c:v>
                </c:pt>
                <c:pt idx="6">
                  <c:v>157.80000000000001</c:v>
                </c:pt>
                <c:pt idx="7">
                  <c:v>158.4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7E-4426-86F0-EB135C021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222229520"/>
        <c:axId val="-1222231696"/>
      </c:barChart>
      <c:lineChart>
        <c:grouping val="standard"/>
        <c:varyColors val="0"/>
        <c:ser>
          <c:idx val="0"/>
          <c:order val="1"/>
          <c:tx>
            <c:strRef>
              <c:f>'w tys. 2001 -2008'!$D$1</c:f>
              <c:strCache>
                <c:ptCount val="1"/>
                <c:pt idx="0">
                  <c:v>krowy</c:v>
                </c:pt>
              </c:strCache>
            </c:strRef>
          </c:tx>
          <c:spPr>
            <a:ln w="28575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'w tys. 2001 -2008'!$A$32:$B$39</c:f>
              <c:multiLvlStrCache>
                <c:ptCount val="8"/>
                <c:lvl>
                  <c:pt idx="0">
                    <c:v>VI</c:v>
                  </c:pt>
                  <c:pt idx="1">
                    <c:v>XII</c:v>
                  </c:pt>
                  <c:pt idx="2">
                    <c:v>VI 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 </c:v>
                  </c:pt>
                  <c:pt idx="7">
                    <c:v>XII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  <c:pt idx="6">
                    <c:v>2019</c:v>
                  </c:pt>
                </c:lvl>
              </c:multiLvlStrCache>
            </c:multiLvlStrRef>
          </c:cat>
          <c:val>
            <c:numRef>
              <c:f>'w tys. 2001 -2008'!$D$32:$D$39</c:f>
              <c:numCache>
                <c:formatCode>0.0</c:formatCode>
                <c:ptCount val="8"/>
                <c:pt idx="0">
                  <c:v>64.7</c:v>
                </c:pt>
                <c:pt idx="1">
                  <c:v>60.6</c:v>
                </c:pt>
                <c:pt idx="2">
                  <c:v>57.2</c:v>
                </c:pt>
                <c:pt idx="3">
                  <c:v>54.3</c:v>
                </c:pt>
                <c:pt idx="4">
                  <c:v>55.5</c:v>
                </c:pt>
                <c:pt idx="5">
                  <c:v>53.5</c:v>
                </c:pt>
                <c:pt idx="6">
                  <c:v>53.4</c:v>
                </c:pt>
                <c:pt idx="7">
                  <c:v>53.5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47E-4426-86F0-EB135C021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22231152"/>
        <c:axId val="-1222230608"/>
      </c:lineChart>
      <c:catAx>
        <c:axId val="-122222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222316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-1222231696"/>
        <c:scaling>
          <c:orientation val="minMax"/>
          <c:max val="180"/>
          <c:min val="10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bydło 
 w tys. szt.</a:t>
                </a:r>
              </a:p>
            </c:rich>
          </c:tx>
          <c:layout>
            <c:manualLayout>
              <c:xMode val="edge"/>
              <c:yMode val="edge"/>
              <c:x val="2.9958650192054143E-2"/>
              <c:y val="3.0232443966086972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22229520"/>
        <c:crosses val="autoZero"/>
        <c:crossBetween val="between"/>
        <c:majorUnit val="20"/>
      </c:valAx>
      <c:catAx>
        <c:axId val="-12222311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222230608"/>
        <c:crosses val="autoZero"/>
        <c:auto val="0"/>
        <c:lblAlgn val="ctr"/>
        <c:lblOffset val="100"/>
        <c:noMultiLvlLbl val="0"/>
      </c:catAx>
      <c:valAx>
        <c:axId val="-1222230608"/>
        <c:scaling>
          <c:orientation val="minMax"/>
          <c:max val="70"/>
          <c:min val="5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krowy
w tys. szt.</a:t>
                </a:r>
              </a:p>
            </c:rich>
          </c:tx>
          <c:layout>
            <c:manualLayout>
              <c:xMode val="edge"/>
              <c:yMode val="edge"/>
              <c:x val="0.90289252723658375"/>
              <c:y val="2.3255726127759207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22231152"/>
        <c:crosses val="max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6475306449835295"/>
          <c:y val="0.86945599425971032"/>
          <c:w val="0.42892919100509014"/>
          <c:h val="0.1098880265866046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132784196887948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(2)'!$A$32:$B$69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(2)'!$D$32:$D$69</c:f>
              <c:numCache>
                <c:formatCode>0.0</c:formatCode>
                <c:ptCount val="38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cat>
            <c:multiLvlStrRef>
              <c:f>'Przemysł (2)'!$A$32:$B$69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(2)'!$C$32:$C$69</c:f>
              <c:numCache>
                <c:formatCode>0.0</c:formatCode>
                <c:ptCount val="38"/>
                <c:pt idx="0">
                  <c:v>88.020577016664561</c:v>
                </c:pt>
                <c:pt idx="1">
                  <c:v>85.535832662126495</c:v>
                </c:pt>
                <c:pt idx="2">
                  <c:v>119.24354208156494</c:v>
                </c:pt>
                <c:pt idx="3">
                  <c:v>103.77323175233116</c:v>
                </c:pt>
                <c:pt idx="4">
                  <c:v>111.11295245026443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114.23469345742858</c:v>
                </c:pt>
                <c:pt idx="8">
                  <c:v>118.63476438168267</c:v>
                </c:pt>
                <c:pt idx="9">
                  <c:v>129.31028434466867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</c:v>
                </c:pt>
                <c:pt idx="14">
                  <c:v>114.77797799329534</c:v>
                </c:pt>
                <c:pt idx="15">
                  <c:v>110.82724200702422</c:v>
                </c:pt>
                <c:pt idx="16">
                  <c:v>114.85626932486517</c:v>
                </c:pt>
                <c:pt idx="17">
                  <c:v>124.42796153353027</c:v>
                </c:pt>
                <c:pt idx="18">
                  <c:v>125.89609049538331</c:v>
                </c:pt>
                <c:pt idx="19">
                  <c:v>122.62279214250334</c:v>
                </c:pt>
                <c:pt idx="20">
                  <c:v>123.62974101057151</c:v>
                </c:pt>
                <c:pt idx="21">
                  <c:v>133.3768543307045</c:v>
                </c:pt>
                <c:pt idx="22">
                  <c:v>128.15460310308845</c:v>
                </c:pt>
                <c:pt idx="23">
                  <c:v>113.70759377645609</c:v>
                </c:pt>
                <c:pt idx="24">
                  <c:v>107.16245910775091</c:v>
                </c:pt>
                <c:pt idx="25">
                  <c:v>116.12454759523129</c:v>
                </c:pt>
                <c:pt idx="26">
                  <c:v>129.42983544029428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</c:v>
                </c:pt>
                <c:pt idx="31">
                  <c:v>114.29441996022656</c:v>
                </c:pt>
                <c:pt idx="32">
                  <c:v>133.40933761842211</c:v>
                </c:pt>
                <c:pt idx="33">
                  <c:v>133.08815988550933</c:v>
                </c:pt>
                <c:pt idx="34">
                  <c:v>131.23499658143342</c:v>
                </c:pt>
                <c:pt idx="35">
                  <c:v>126.58001548325306</c:v>
                </c:pt>
                <c:pt idx="36">
                  <c:v>112.71191802378742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22228432"/>
        <c:axId val="-1222233328"/>
      </c:lineChart>
      <c:catAx>
        <c:axId val="-122222843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2233328"/>
        <c:crosses val="autoZero"/>
        <c:auto val="1"/>
        <c:lblAlgn val="ctr"/>
        <c:lblOffset val="100"/>
        <c:noMultiLvlLbl val="0"/>
      </c:catAx>
      <c:valAx>
        <c:axId val="-1222233328"/>
        <c:scaling>
          <c:orientation val="minMax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222284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18540587833"/>
          <c:w val="0.27947882011437314"/>
          <c:h val="5.4055945709489017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5315129826133971"/>
          <c:h val="0.58115929839090574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wykres_komunikat!$A$17:$B$54</c:f>
              <c:multiLvlStrCache>
                <c:ptCount val="38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wykres_komunikat!$C$17:$C$54</c:f>
              <c:numCache>
                <c:formatCode>0.0</c:formatCode>
                <c:ptCount val="38"/>
                <c:pt idx="0">
                  <c:v>130.4902962206333</c:v>
                </c:pt>
                <c:pt idx="1">
                  <c:v>126.31702838849395</c:v>
                </c:pt>
                <c:pt idx="2">
                  <c:v>127.75762546131281</c:v>
                </c:pt>
                <c:pt idx="3">
                  <c:v>122.92704921923206</c:v>
                </c:pt>
                <c:pt idx="4">
                  <c:v>124.5337596102611</c:v>
                </c:pt>
                <c:pt idx="5">
                  <c:v>122.38689303692587</c:v>
                </c:pt>
                <c:pt idx="6">
                  <c:v>124.42096497163379</c:v>
                </c:pt>
                <c:pt idx="7">
                  <c:v>124.93215392825915</c:v>
                </c:pt>
                <c:pt idx="8">
                  <c:v>122.6021651814351</c:v>
                </c:pt>
                <c:pt idx="9">
                  <c:v>121.79524661209329</c:v>
                </c:pt>
                <c:pt idx="10">
                  <c:v>122.87129322013044</c:v>
                </c:pt>
                <c:pt idx="11">
                  <c:v>120.7371150422108</c:v>
                </c:pt>
                <c:pt idx="12">
                  <c:v>127.72386789240721</c:v>
                </c:pt>
                <c:pt idx="13">
                  <c:v>140.88790546584434</c:v>
                </c:pt>
                <c:pt idx="14">
                  <c:v>140.78793805002681</c:v>
                </c:pt>
                <c:pt idx="15">
                  <c:v>138.81769424272628</c:v>
                </c:pt>
                <c:pt idx="16">
                  <c:v>134.10025119890386</c:v>
                </c:pt>
                <c:pt idx="17">
                  <c:v>129.42188037394865</c:v>
                </c:pt>
                <c:pt idx="18">
                  <c:v>129.36943736012074</c:v>
                </c:pt>
                <c:pt idx="19">
                  <c:v>131.53394574585261</c:v>
                </c:pt>
                <c:pt idx="20">
                  <c:v>128.04768530854329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147.46339802519577</c:v>
                </c:pt>
                <c:pt idx="25">
                  <c:v>152.44103384963043</c:v>
                </c:pt>
                <c:pt idx="26">
                  <c:v>149.59152130713181</c:v>
                </c:pt>
                <c:pt idx="27">
                  <c:v>154.4567848497793</c:v>
                </c:pt>
                <c:pt idx="28">
                  <c:v>152.34262008068814</c:v>
                </c:pt>
                <c:pt idx="29">
                  <c:v>147.78632398461681</c:v>
                </c:pt>
                <c:pt idx="30">
                  <c:v>145.05673242075679</c:v>
                </c:pt>
                <c:pt idx="31">
                  <c:v>146.28180816878057</c:v>
                </c:pt>
                <c:pt idx="32">
                  <c:v>143.79607425170974</c:v>
                </c:pt>
                <c:pt idx="33">
                  <c:v>141.69704890967876</c:v>
                </c:pt>
                <c:pt idx="34">
                  <c:v>141.72895902547066</c:v>
                </c:pt>
                <c:pt idx="35">
                  <c:v>140.29016119314065</c:v>
                </c:pt>
                <c:pt idx="36">
                  <c:v>148.18692543411643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wykres_komunikat!$A$17:$B$54</c:f>
              <c:multiLvlStrCache>
                <c:ptCount val="38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wykres_komunikat!$D$17:$D$54</c:f>
              <c:numCache>
                <c:formatCode>0.0</c:formatCode>
                <c:ptCount val="38"/>
                <c:pt idx="0">
                  <c:v>198.77300613496934</c:v>
                </c:pt>
                <c:pt idx="1">
                  <c:v>139.72972972972971</c:v>
                </c:pt>
                <c:pt idx="2">
                  <c:v>112.09800918836142</c:v>
                </c:pt>
                <c:pt idx="3">
                  <c:v>104.47247706422019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112.55453223460978</c:v>
                </c:pt>
                <c:pt idx="9">
                  <c:v>102.78338039532069</c:v>
                </c:pt>
                <c:pt idx="10">
                  <c:v>97.16814159292035</c:v>
                </c:pt>
                <c:pt idx="11">
                  <c:v>92.431798181284833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142.08715596330273</c:v>
                </c:pt>
                <c:pt idx="16">
                  <c:v>127.04126426690078</c:v>
                </c:pt>
                <c:pt idx="17">
                  <c:v>115.55555555555554</c:v>
                </c:pt>
                <c:pt idx="18">
                  <c:v>120.29411764705881</c:v>
                </c:pt>
                <c:pt idx="19">
                  <c:v>117.32490784623486</c:v>
                </c:pt>
                <c:pt idx="20">
                  <c:v>126.46631119728551</c:v>
                </c:pt>
                <c:pt idx="21">
                  <c:v>112.50504235578862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220.24539877300614</c:v>
                </c:pt>
                <c:pt idx="25">
                  <c:v>188.37837837837839</c:v>
                </c:pt>
                <c:pt idx="26">
                  <c:v>137.21286370597244</c:v>
                </c:pt>
                <c:pt idx="27">
                  <c:v>130.61926605504587</c:v>
                </c:pt>
                <c:pt idx="28">
                  <c:v>125.89991220368744</c:v>
                </c:pt>
                <c:pt idx="29">
                  <c:v>114.07407407407408</c:v>
                </c:pt>
                <c:pt idx="30">
                  <c:v>121.64705882352942</c:v>
                </c:pt>
                <c:pt idx="31">
                  <c:v>125.38177988414955</c:v>
                </c:pt>
                <c:pt idx="32">
                  <c:v>129.6655356277266</c:v>
                </c:pt>
                <c:pt idx="33">
                  <c:v>122.14602662363856</c:v>
                </c:pt>
                <c:pt idx="34">
                  <c:v>117.6283185840708</c:v>
                </c:pt>
                <c:pt idx="35">
                  <c:v>112.20299207978879</c:v>
                </c:pt>
                <c:pt idx="36">
                  <c:v>214.72392638036811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22232784"/>
        <c:axId val="-1221468480"/>
      </c:lineChart>
      <c:catAx>
        <c:axId val="-122223278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-1221468480"/>
        <c:crosses val="autoZero"/>
        <c:auto val="1"/>
        <c:lblAlgn val="ctr"/>
        <c:lblOffset val="100"/>
        <c:noMultiLvlLbl val="0"/>
      </c:catAx>
      <c:valAx>
        <c:axId val="-1221468480"/>
        <c:scaling>
          <c:orientation val="minMax"/>
          <c:max val="230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-1222232784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konecki</c:v>
                </c:pt>
                <c:pt idx="1">
                  <c:v>pińczowski</c:v>
                </c:pt>
                <c:pt idx="2">
                  <c:v>kazimierski</c:v>
                </c:pt>
                <c:pt idx="3">
                  <c:v>skarżyski</c:v>
                </c:pt>
                <c:pt idx="4">
                  <c:v>opatowski</c:v>
                </c:pt>
                <c:pt idx="5">
                  <c:v>sandomierski</c:v>
                </c:pt>
                <c:pt idx="6">
                  <c:v>starachowicki</c:v>
                </c:pt>
                <c:pt idx="7">
                  <c:v>ostrowiecki</c:v>
                </c:pt>
                <c:pt idx="8">
                  <c:v>włoszczowski</c:v>
                </c:pt>
                <c:pt idx="9">
                  <c:v>staszowski</c:v>
                </c:pt>
                <c:pt idx="10">
                  <c:v>jędrzejowski</c:v>
                </c:pt>
                <c:pt idx="11">
                  <c:v>buski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  <c:pt idx="7">
                  <c:v>11</c:v>
                </c:pt>
                <c:pt idx="8">
                  <c:v>13</c:v>
                </c:pt>
                <c:pt idx="9">
                  <c:v>15</c:v>
                </c:pt>
                <c:pt idx="10">
                  <c:v>21</c:v>
                </c:pt>
                <c:pt idx="11">
                  <c:v>29</c:v>
                </c:pt>
                <c:pt idx="12">
                  <c:v>75</c:v>
                </c:pt>
                <c:pt idx="13">
                  <c:v>139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221467392"/>
        <c:axId val="-1221461952"/>
      </c:barChart>
      <c:catAx>
        <c:axId val="-122146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1461952"/>
        <c:crosses val="autoZero"/>
        <c:auto val="1"/>
        <c:lblAlgn val="ctr"/>
        <c:lblOffset val="100"/>
        <c:noMultiLvlLbl val="0"/>
      </c:catAx>
      <c:valAx>
        <c:axId val="-1221461952"/>
        <c:scaling>
          <c:orientation val="minMax"/>
          <c:max val="1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146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91541623334882E-2"/>
          <c:y val="0.11954415954415955"/>
          <c:w val="0.93405088143509662"/>
          <c:h val="0.5618314377369495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bezrobocie!$B$147:$C$184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bezrobocie!$D$147:$D$184</c:f>
              <c:numCache>
                <c:formatCode>0.0</c:formatCode>
                <c:ptCount val="38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bezrobocie!$B$147:$C$184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bezrobocie!$E$147:$E$184</c:f>
              <c:numCache>
                <c:formatCode>0.0</c:formatCode>
                <c:ptCount val="38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8.6999999999999993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8.1999999999999993</c:v>
                </c:pt>
                <c:pt idx="19" formatCode="General">
                  <c:v>8.1999999999999993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 formatCode="General">
                  <c:v>7.9</c:v>
                </c:pt>
                <c:pt idx="36" formatCode="General">
                  <c:v>8.3000000000000007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87339264"/>
        <c:axId val="-1287337088"/>
      </c:lineChart>
      <c:catAx>
        <c:axId val="-128733926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87337088"/>
        <c:crosses val="autoZero"/>
        <c:auto val="1"/>
        <c:lblAlgn val="ctr"/>
        <c:lblOffset val="100"/>
        <c:noMultiLvlLbl val="0"/>
      </c:catAx>
      <c:valAx>
        <c:axId val="-1287337088"/>
        <c:scaling>
          <c:orientation val="minMax"/>
          <c:max val="14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1.6474680799778367E-2"/>
              <c:y val="2.0668944107247258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87339264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Arkusz1!$C$124:$C$161</c:f>
              <c:numCache>
                <c:formatCode>0</c:formatCode>
                <c:ptCount val="38"/>
                <c:pt idx="0">
                  <c:v>29.955734406438633</c:v>
                </c:pt>
                <c:pt idx="1">
                  <c:v>22</c:v>
                </c:pt>
                <c:pt idx="2">
                  <c:v>20</c:v>
                </c:pt>
                <c:pt idx="3">
                  <c:v>21.613184079601989</c:v>
                </c:pt>
                <c:pt idx="4">
                  <c:v>18.81624251497006</c:v>
                </c:pt>
                <c:pt idx="5">
                  <c:v>15.358859339955142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21.273492286115008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20.60475482912333</c:v>
                </c:pt>
                <c:pt idx="29" formatCode="General">
                  <c:v>19.157298063297119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 formatCode="General">
                  <c:v>28.78606615059817</c:v>
                </c:pt>
                <c:pt idx="35" formatCode="General">
                  <c:v>53.016393442622949</c:v>
                </c:pt>
                <c:pt idx="36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287338720"/>
        <c:axId val="-1287347424"/>
      </c:barChart>
      <c:catAx>
        <c:axId val="-128733872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287347424"/>
        <c:crosses val="autoZero"/>
        <c:auto val="1"/>
        <c:lblAlgn val="ctr"/>
        <c:lblOffset val="100"/>
        <c:noMultiLvlLbl val="0"/>
      </c:catAx>
      <c:valAx>
        <c:axId val="-1287347424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"/>
                <a:cs typeface="Arial"/>
              </a:defRPr>
            </a:pPr>
            <a:endParaRPr lang="pl-PL"/>
          </a:p>
        </c:txPr>
        <c:crossAx val="-128733872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2930847387909166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wynagrodzenia!$A$138:$B$175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wynagrodzenia!$D$138:$D$175</c:f>
              <c:numCache>
                <c:formatCode>0.0</c:formatCode>
                <c:ptCount val="38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111.0750932326558</c:v>
                </c:pt>
                <c:pt idx="3">
                  <c:v>108.92073343831359</c:v>
                </c:pt>
                <c:pt idx="4">
                  <c:v>106.54096534923727</c:v>
                </c:pt>
                <c:pt idx="5">
                  <c:v>109.38198335035824</c:v>
                </c:pt>
                <c:pt idx="6">
                  <c:v>109.22281452221449</c:v>
                </c:pt>
                <c:pt idx="7">
                  <c:v>109.00711164383064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111.87409163368847</c:v>
                </c:pt>
                <c:pt idx="11">
                  <c:v>120.68030115906933</c:v>
                </c:pt>
                <c:pt idx="12">
                  <c:v>111.33519839084197</c:v>
                </c:pt>
                <c:pt idx="13">
                  <c:v>111.60549423619588</c:v>
                </c:pt>
                <c:pt idx="14">
                  <c:v>118.56524830094557</c:v>
                </c:pt>
                <c:pt idx="15">
                  <c:v>117.44621379576407</c:v>
                </c:pt>
                <c:pt idx="16">
                  <c:v>113.95590344081273</c:v>
                </c:pt>
                <c:pt idx="17">
                  <c:v>117.6335283313235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120.50754474803524</c:v>
                </c:pt>
                <c:pt idx="23">
                  <c:v>127.98896494160979</c:v>
                </c:pt>
                <c:pt idx="24">
                  <c:v>119.66293089015653</c:v>
                </c:pt>
                <c:pt idx="25">
                  <c:v>120.09045448038414</c:v>
                </c:pt>
                <c:pt idx="26">
                  <c:v>125.3097847581289</c:v>
                </c:pt>
                <c:pt idx="27">
                  <c:v>125.83363460563254</c:v>
                </c:pt>
                <c:pt idx="28">
                  <c:v>122.72062231129638</c:v>
                </c:pt>
                <c:pt idx="29">
                  <c:v>123.85227385773315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123.36942939430925</c:v>
                </c:pt>
                <c:pt idx="33">
                  <c:v>126.49238974040439</c:v>
                </c:pt>
                <c:pt idx="34">
                  <c:v>126.88473119636241</c:v>
                </c:pt>
                <c:pt idx="35">
                  <c:v>135.97894895193636</c:v>
                </c:pt>
                <c:pt idx="36">
                  <c:v>128.17943373748304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wynagrodzenia!$A$138:$B$175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wynagrodzenia!$C$138:$C$175</c:f>
              <c:numCache>
                <c:formatCode>0.0</c:formatCode>
                <c:ptCount val="38"/>
                <c:pt idx="0">
                  <c:v>102.1540509469353</c:v>
                </c:pt>
                <c:pt idx="1">
                  <c:v>102.2312694667024</c:v>
                </c:pt>
                <c:pt idx="2">
                  <c:v>110.12196492319926</c:v>
                </c:pt>
                <c:pt idx="3">
                  <c:v>108.47963073412336</c:v>
                </c:pt>
                <c:pt idx="4">
                  <c:v>108.82509717143951</c:v>
                </c:pt>
                <c:pt idx="5">
                  <c:v>110.497684885051</c:v>
                </c:pt>
                <c:pt idx="6">
                  <c:v>112.3892504905393</c:v>
                </c:pt>
                <c:pt idx="7">
                  <c:v>110.49624424102551</c:v>
                </c:pt>
                <c:pt idx="8">
                  <c:v>110.43227964629307</c:v>
                </c:pt>
                <c:pt idx="9">
                  <c:v>113.007286777481</c:v>
                </c:pt>
                <c:pt idx="10">
                  <c:v>115.84996556860779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109.87993672691441</c:v>
                </c:pt>
                <c:pt idx="14">
                  <c:v>117.10332587079728</c:v>
                </c:pt>
                <c:pt idx="15">
                  <c:v>116.00699576738785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119.33661223913538</c:v>
                </c:pt>
                <c:pt idx="19">
                  <c:v>117.28340637398543</c:v>
                </c:pt>
                <c:pt idx="20">
                  <c:v>115.59295467445767</c:v>
                </c:pt>
                <c:pt idx="21">
                  <c:v>119.25507178729178</c:v>
                </c:pt>
                <c:pt idx="22">
                  <c:v>122.78609029380495</c:v>
                </c:pt>
                <c:pt idx="23">
                  <c:v>122.74604038989588</c:v>
                </c:pt>
                <c:pt idx="24">
                  <c:v>120.05290044861657</c:v>
                </c:pt>
                <c:pt idx="25">
                  <c:v>117.26467800165386</c:v>
                </c:pt>
                <c:pt idx="26">
                  <c:v>122.54636712796088</c:v>
                </c:pt>
                <c:pt idx="27">
                  <c:v>124.5615399908375</c:v>
                </c:pt>
                <c:pt idx="28">
                  <c:v>125.0332068447879</c:v>
                </c:pt>
                <c:pt idx="29">
                  <c:v>122.15912201390509</c:v>
                </c:pt>
                <c:pt idx="30">
                  <c:v>127.50045380286804</c:v>
                </c:pt>
                <c:pt idx="31">
                  <c:v>124.06682283247903</c:v>
                </c:pt>
                <c:pt idx="32">
                  <c:v>123.54675033927165</c:v>
                </c:pt>
                <c:pt idx="33">
                  <c:v>127.19935920153745</c:v>
                </c:pt>
                <c:pt idx="34">
                  <c:v>128.63798632540693</c:v>
                </c:pt>
                <c:pt idx="35">
                  <c:v>131.40892104406356</c:v>
                </c:pt>
                <c:pt idx="36">
                  <c:v>128.66074850100992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87343072"/>
        <c:axId val="-1287346880"/>
      </c:lineChart>
      <c:catAx>
        <c:axId val="-128734307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46880"/>
        <c:crosses val="autoZero"/>
        <c:auto val="1"/>
        <c:lblAlgn val="ctr"/>
        <c:lblOffset val="100"/>
        <c:noMultiLvlLbl val="0"/>
      </c:catAx>
      <c:valAx>
        <c:axId val="-1287346880"/>
        <c:scaling>
          <c:orientation val="minMax"/>
          <c:max val="140"/>
          <c:min val="95"/>
        </c:scaling>
        <c:delete val="0"/>
        <c:axPos val="l"/>
        <c:majorGridlines>
          <c:spPr>
            <a:ln w="6350">
              <a:solidFill>
                <a:schemeClr val="tx1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4307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5438714492"/>
          <c:y val="0.91375348669651579"/>
          <c:w val="0.29308717853567268"/>
          <c:h val="7.059029386032622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654268291880186"/>
          <c:y val="2.3380819648522945E-3"/>
          <c:w val="0.45079921538312712"/>
          <c:h val="0.8713013526819123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9.2672252181763125E-3"/>
                  <c:y val="3.5062412847990064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062E-3"/>
                  <c:y val="3.5430161129286785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Arkusz1!$A$24:$A$33</c:f>
              <c:strCache>
                <c:ptCount val="10"/>
                <c:pt idx="0">
                  <c:v>Obsługa rynku nieruchomości    </c:v>
                </c:pt>
                <c:pt idx="1">
                  <c:v>Przetwórstwo przemysłowe </c:v>
                </c:pt>
                <c:pt idx="2">
                  <c:v>Informacja i komunikacja </c:v>
                </c:pt>
                <c:pt idx="3">
                  <c:v>Dostawa wody; gospodarowanie ściekami i odpadami; rekultywacja    </c:v>
                </c:pt>
                <c:pt idx="4">
                  <c:v>Budownictwo 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Zakwaterowanie i gastronomia    </c:v>
                </c:pt>
                <c:pt idx="9">
                  <c:v>Administrowanie i działalność wspierająca    </c:v>
                </c:pt>
              </c:strCache>
            </c:strRef>
          </c:cat>
          <c:val>
            <c:numRef>
              <c:f>Arkusz1!$B$24:$B$33</c:f>
              <c:numCache>
                <c:formatCode>0.0</c:formatCode>
                <c:ptCount val="10"/>
                <c:pt idx="0">
                  <c:v>29.682961622613021</c:v>
                </c:pt>
                <c:pt idx="1">
                  <c:v>6.928622136028423</c:v>
                </c:pt>
                <c:pt idx="2">
                  <c:v>5.2595629944976707</c:v>
                </c:pt>
                <c:pt idx="3">
                  <c:v>-0.21901782375113044</c:v>
                </c:pt>
                <c:pt idx="4">
                  <c:v>-5.3341365479835048</c:v>
                </c:pt>
                <c:pt idx="5">
                  <c:v>-8.640902586336253</c:v>
                </c:pt>
                <c:pt idx="6">
                  <c:v>-14.137398972990042</c:v>
                </c:pt>
                <c:pt idx="7">
                  <c:v>-18.455050958594882</c:v>
                </c:pt>
                <c:pt idx="8">
                  <c:v>-24.800969232250722</c:v>
                </c:pt>
                <c:pt idx="9">
                  <c:v>-28.657295331426823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-1287340352"/>
        <c:axId val="-1287337632"/>
      </c:barChart>
      <c:catAx>
        <c:axId val="-1287340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37632"/>
        <c:crosses val="autoZero"/>
        <c:auto val="1"/>
        <c:lblAlgn val="ctr"/>
        <c:lblOffset val="100"/>
        <c:noMultiLvlLbl val="0"/>
      </c:catAx>
      <c:valAx>
        <c:axId val="-1287337632"/>
        <c:scaling>
          <c:orientation val="minMax"/>
          <c:max val="30"/>
          <c:min val="-40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high"/>
        <c:spPr>
          <a:ln w="9525">
            <a:solidFill>
              <a:srgbClr val="868686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40352"/>
        <c:crosses val="max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919664876593273"/>
          <c:y val="2.5886445263175462E-2"/>
          <c:w val="0.4580945273107821"/>
          <c:h val="0.875226134784057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9.2672252181763125E-3"/>
                  <c:y val="3.5062412847990064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062E-3"/>
                  <c:y val="3.5430161129286785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Arkusz1!$A$24:$A$33</c:f>
              <c:strCache>
                <c:ptCount val="10"/>
                <c:pt idx="0">
                  <c:v>Obsługa rynku nieruchomości    </c:v>
                </c:pt>
                <c:pt idx="1">
                  <c:v>Przetwórstwo przemysłowe </c:v>
                </c:pt>
                <c:pt idx="2">
                  <c:v>Informacja i komunikacja </c:v>
                </c:pt>
                <c:pt idx="3">
                  <c:v>Dostawa wody; gospodarowanie ściekami i odpadami; rekultywacja    </c:v>
                </c:pt>
                <c:pt idx="4">
                  <c:v>Budownictwo 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Zakwaterowanie i gastronomia    </c:v>
                </c:pt>
                <c:pt idx="9">
                  <c:v>Administrowanie i działalność wspierająca    </c:v>
                </c:pt>
              </c:strCache>
            </c:strRef>
          </c:cat>
          <c:val>
            <c:numRef>
              <c:f>Arkusz1!$B$24:$B$33</c:f>
              <c:numCache>
                <c:formatCode>0.0</c:formatCode>
                <c:ptCount val="10"/>
                <c:pt idx="0">
                  <c:v>29.682961622613021</c:v>
                </c:pt>
                <c:pt idx="1">
                  <c:v>6.928622136028423</c:v>
                </c:pt>
                <c:pt idx="2">
                  <c:v>5.2595629944976707</c:v>
                </c:pt>
                <c:pt idx="3">
                  <c:v>-0.21901782375113044</c:v>
                </c:pt>
                <c:pt idx="4">
                  <c:v>-5.3341365479835048</c:v>
                </c:pt>
                <c:pt idx="5">
                  <c:v>-8.640902586336253</c:v>
                </c:pt>
                <c:pt idx="6">
                  <c:v>-14.137398972990042</c:v>
                </c:pt>
                <c:pt idx="7">
                  <c:v>-18.455050958594882</c:v>
                </c:pt>
                <c:pt idx="8">
                  <c:v>-24.800969232250722</c:v>
                </c:pt>
                <c:pt idx="9">
                  <c:v>-28.657295331426823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-1287336544"/>
        <c:axId val="-1287336000"/>
      </c:barChart>
      <c:catAx>
        <c:axId val="-12873365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36000"/>
        <c:crosses val="autoZero"/>
        <c:auto val="1"/>
        <c:lblAlgn val="ctr"/>
        <c:lblOffset val="100"/>
        <c:noMultiLvlLbl val="0"/>
      </c:catAx>
      <c:valAx>
        <c:axId val="-1287336000"/>
        <c:scaling>
          <c:orientation val="minMax"/>
          <c:max val="35"/>
          <c:min val="-35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high"/>
        <c:spPr>
          <a:ln w="9525">
            <a:solidFill>
              <a:srgbClr val="868686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87336544"/>
        <c:crosses val="max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ceny_zbóż_targ_ziemniaków!$A$148:$B$185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ceny_zbóż_targ_ziemniaków!$C$148:$C$185</c:f>
              <c:numCache>
                <c:formatCode>0.00</c:formatCode>
                <c:ptCount val="38"/>
                <c:pt idx="0">
                  <c:v>63.92</c:v>
                </c:pt>
                <c:pt idx="1">
                  <c:v>64.069999999999993</c:v>
                </c:pt>
                <c:pt idx="2">
                  <c:v>66.2</c:v>
                </c:pt>
                <c:pt idx="3">
                  <c:v>66.95</c:v>
                </c:pt>
                <c:pt idx="4">
                  <c:v>70.760000000000005</c:v>
                </c:pt>
                <c:pt idx="5">
                  <c:v>73.39</c:v>
                </c:pt>
                <c:pt idx="6">
                  <c:v>71.37</c:v>
                </c:pt>
                <c:pt idx="7">
                  <c:v>62.91</c:v>
                </c:pt>
                <c:pt idx="8" formatCode="General">
                  <c:v>63.93</c:v>
                </c:pt>
                <c:pt idx="9">
                  <c:v>63.11</c:v>
                </c:pt>
                <c:pt idx="10">
                  <c:v>66.209999999999994</c:v>
                </c:pt>
                <c:pt idx="11">
                  <c:v>67.650000000000006</c:v>
                </c:pt>
                <c:pt idx="12">
                  <c:v>65.95</c:v>
                </c:pt>
                <c:pt idx="13">
                  <c:v>65.239999999999995</c:v>
                </c:pt>
                <c:pt idx="14" formatCode="General">
                  <c:v>63.99</c:v>
                </c:pt>
                <c:pt idx="15">
                  <c:v>65.150000000000006</c:v>
                </c:pt>
                <c:pt idx="16">
                  <c:v>66.760000000000005</c:v>
                </c:pt>
                <c:pt idx="17">
                  <c:v>66.739999999999995</c:v>
                </c:pt>
                <c:pt idx="18">
                  <c:v>67.650000000000006</c:v>
                </c:pt>
                <c:pt idx="19">
                  <c:v>73.92</c:v>
                </c:pt>
                <c:pt idx="20">
                  <c:v>79.930000000000007</c:v>
                </c:pt>
                <c:pt idx="21">
                  <c:v>78.12</c:v>
                </c:pt>
                <c:pt idx="22">
                  <c:v>82.77</c:v>
                </c:pt>
                <c:pt idx="23">
                  <c:v>82.18</c:v>
                </c:pt>
                <c:pt idx="24">
                  <c:v>82.36</c:v>
                </c:pt>
                <c:pt idx="25">
                  <c:v>82.75</c:v>
                </c:pt>
                <c:pt idx="26">
                  <c:v>80.56</c:v>
                </c:pt>
                <c:pt idx="27">
                  <c:v>78.53</c:v>
                </c:pt>
                <c:pt idx="28">
                  <c:v>77.75</c:v>
                </c:pt>
                <c:pt idx="29">
                  <c:v>74.61</c:v>
                </c:pt>
                <c:pt idx="30">
                  <c:v>66.989999999999995</c:v>
                </c:pt>
                <c:pt idx="31">
                  <c:v>65.61</c:v>
                </c:pt>
                <c:pt idx="32">
                  <c:v>66.599999999999994</c:v>
                </c:pt>
                <c:pt idx="33">
                  <c:v>64.709999999999994</c:v>
                </c:pt>
                <c:pt idx="34">
                  <c:v>64.95</c:v>
                </c:pt>
                <c:pt idx="35">
                  <c:v>66.569999999999993</c:v>
                </c:pt>
                <c:pt idx="36">
                  <c:v>66.84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ceny_zbóż_targ_ziemniaków!$A$148:$B$185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ceny_zbóż_targ_ziemniaków!$D$148:$D$185</c:f>
              <c:numCache>
                <c:formatCode>0.00</c:formatCode>
                <c:ptCount val="38"/>
                <c:pt idx="0">
                  <c:v>51.99</c:v>
                </c:pt>
                <c:pt idx="1">
                  <c:v>52</c:v>
                </c:pt>
                <c:pt idx="2">
                  <c:v>55</c:v>
                </c:pt>
                <c:pt idx="3">
                  <c:v>57</c:v>
                </c:pt>
                <c:pt idx="4">
                  <c:v>60</c:v>
                </c:pt>
                <c:pt idx="5">
                  <c:v>62</c:v>
                </c:pt>
                <c:pt idx="6">
                  <c:v>62</c:v>
                </c:pt>
                <c:pt idx="7">
                  <c:v>55.45</c:v>
                </c:pt>
                <c:pt idx="8">
                  <c:v>58</c:v>
                </c:pt>
                <c:pt idx="9">
                  <c:v>57.19</c:v>
                </c:pt>
                <c:pt idx="10">
                  <c:v>57.19</c:v>
                </c:pt>
                <c:pt idx="11">
                  <c:v>57.19</c:v>
                </c:pt>
                <c:pt idx="12">
                  <c:v>58.03</c:v>
                </c:pt>
                <c:pt idx="13">
                  <c:v>58.03</c:v>
                </c:pt>
                <c:pt idx="14">
                  <c:v>58.03</c:v>
                </c:pt>
                <c:pt idx="15">
                  <c:v>58.03</c:v>
                </c:pt>
                <c:pt idx="16">
                  <c:v>58.03</c:v>
                </c:pt>
                <c:pt idx="17">
                  <c:v>58.03</c:v>
                </c:pt>
                <c:pt idx="18">
                  <c:v>62.08</c:v>
                </c:pt>
                <c:pt idx="19">
                  <c:v>61.11</c:v>
                </c:pt>
                <c:pt idx="20">
                  <c:v>59.44</c:v>
                </c:pt>
                <c:pt idx="21">
                  <c:v>64.040000000000006</c:v>
                </c:pt>
                <c:pt idx="22">
                  <c:v>64.040000000000006</c:v>
                </c:pt>
                <c:pt idx="23">
                  <c:v>60.59</c:v>
                </c:pt>
                <c:pt idx="24">
                  <c:v>36</c:v>
                </c:pt>
                <c:pt idx="25">
                  <c:v>36</c:v>
                </c:pt>
                <c:pt idx="26">
                  <c:v>36</c:v>
                </c:pt>
                <c:pt idx="27">
                  <c:v>65.150000000000006</c:v>
                </c:pt>
                <c:pt idx="28">
                  <c:v>70.33</c:v>
                </c:pt>
                <c:pt idx="29">
                  <c:v>72.92</c:v>
                </c:pt>
                <c:pt idx="30">
                  <c:v>65</c:v>
                </c:pt>
                <c:pt idx="31">
                  <c:v>59.68</c:v>
                </c:pt>
                <c:pt idx="32">
                  <c:v>61</c:v>
                </c:pt>
                <c:pt idx="33">
                  <c:v>47.17</c:v>
                </c:pt>
                <c:pt idx="34">
                  <c:v>47.17</c:v>
                </c:pt>
                <c:pt idx="35">
                  <c:v>50.08</c:v>
                </c:pt>
                <c:pt idx="36">
                  <c:v>50.62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ceny_zbóż_targ_ziemniaków!$A$148:$B$185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ceny_zbóż_targ_ziemniaków!$E$148:$E$185</c:f>
              <c:numCache>
                <c:formatCode>0.00</c:formatCode>
                <c:ptCount val="38"/>
                <c:pt idx="0">
                  <c:v>62.7</c:v>
                </c:pt>
                <c:pt idx="1">
                  <c:v>70.489999999999995</c:v>
                </c:pt>
                <c:pt idx="2">
                  <c:v>65.22</c:v>
                </c:pt>
                <c:pt idx="3">
                  <c:v>66.069999999999993</c:v>
                </c:pt>
                <c:pt idx="4">
                  <c:v>72.989999999999995</c:v>
                </c:pt>
                <c:pt idx="5">
                  <c:v>67.27</c:v>
                </c:pt>
                <c:pt idx="6">
                  <c:v>63.64</c:v>
                </c:pt>
                <c:pt idx="7">
                  <c:v>73.33</c:v>
                </c:pt>
                <c:pt idx="8">
                  <c:v>71.78</c:v>
                </c:pt>
                <c:pt idx="9">
                  <c:v>70.62</c:v>
                </c:pt>
                <c:pt idx="10">
                  <c:v>66.67</c:v>
                </c:pt>
                <c:pt idx="11">
                  <c:v>69.510000000000005</c:v>
                </c:pt>
                <c:pt idx="12">
                  <c:v>70.05</c:v>
                </c:pt>
                <c:pt idx="13">
                  <c:v>67.63</c:v>
                </c:pt>
                <c:pt idx="14">
                  <c:v>67.02</c:v>
                </c:pt>
                <c:pt idx="15">
                  <c:v>66.06</c:v>
                </c:pt>
                <c:pt idx="16">
                  <c:v>64.83</c:v>
                </c:pt>
                <c:pt idx="17">
                  <c:v>70.97</c:v>
                </c:pt>
                <c:pt idx="18">
                  <c:v>81.56</c:v>
                </c:pt>
                <c:pt idx="19">
                  <c:v>82.03</c:v>
                </c:pt>
                <c:pt idx="20">
                  <c:v>82.27</c:v>
                </c:pt>
                <c:pt idx="21">
                  <c:v>79.400000000000006</c:v>
                </c:pt>
                <c:pt idx="22">
                  <c:v>80.86</c:v>
                </c:pt>
                <c:pt idx="23">
                  <c:v>88.37</c:v>
                </c:pt>
                <c:pt idx="24">
                  <c:v>91.45</c:v>
                </c:pt>
                <c:pt idx="25">
                  <c:v>105.97</c:v>
                </c:pt>
                <c:pt idx="26">
                  <c:v>104.92</c:v>
                </c:pt>
                <c:pt idx="27">
                  <c:v>120.88</c:v>
                </c:pt>
                <c:pt idx="28">
                  <c:v>164.86</c:v>
                </c:pt>
                <c:pt idx="29">
                  <c:v>190.63</c:v>
                </c:pt>
                <c:pt idx="30">
                  <c:v>202</c:v>
                </c:pt>
                <c:pt idx="31">
                  <c:v>230</c:v>
                </c:pt>
                <c:pt idx="32">
                  <c:v>215.55</c:v>
                </c:pt>
                <c:pt idx="33">
                  <c:v>189.63</c:v>
                </c:pt>
                <c:pt idx="34">
                  <c:v>186.15</c:v>
                </c:pt>
                <c:pt idx="35">
                  <c:v>170.53</c:v>
                </c:pt>
                <c:pt idx="36">
                  <c:v>176.79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87350144"/>
        <c:axId val="-1287346336"/>
      </c:lineChart>
      <c:catAx>
        <c:axId val="-128735014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87346336"/>
        <c:crosses val="autoZero"/>
        <c:auto val="1"/>
        <c:lblAlgn val="ctr"/>
        <c:lblOffset val="100"/>
        <c:noMultiLvlLbl val="0"/>
      </c:catAx>
      <c:valAx>
        <c:axId val="-1287346336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87350144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przeciętne_c_skupu_żywca_i_mlek!$C$124:$C$161</c:f>
              <c:numCache>
                <c:formatCode>0.00</c:formatCode>
                <c:ptCount val="38"/>
                <c:pt idx="0">
                  <c:v>6.36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</c:v>
                </c:pt>
                <c:pt idx="5">
                  <c:v>6.4</c:v>
                </c:pt>
                <c:pt idx="6">
                  <c:v>6.74</c:v>
                </c:pt>
                <c:pt idx="7">
                  <c:v>6.62</c:v>
                </c:pt>
                <c:pt idx="8">
                  <c:v>6.78</c:v>
                </c:pt>
                <c:pt idx="9">
                  <c:v>6.82</c:v>
                </c:pt>
                <c:pt idx="10">
                  <c:v>6.91</c:v>
                </c:pt>
                <c:pt idx="11">
                  <c:v>7.11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6.82</c:v>
                </c:pt>
                <c:pt idx="19">
                  <c:v>7.08</c:v>
                </c:pt>
                <c:pt idx="20">
                  <c:v>6.97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7.12</c:v>
                </c:pt>
                <c:pt idx="25">
                  <c:v>6.82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</c:v>
                </c:pt>
                <c:pt idx="34">
                  <c:v>6.33</c:v>
                </c:pt>
                <c:pt idx="35">
                  <c:v>6.47</c:v>
                </c:pt>
                <c:pt idx="36">
                  <c:v>6.48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przeciętne_c_skupu_żywca_i_mlek!$D$124:$D$161</c:f>
              <c:numCache>
                <c:formatCode>0.00</c:formatCode>
                <c:ptCount val="38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5.32</c:v>
                </c:pt>
                <c:pt idx="4">
                  <c:v>5.5</c:v>
                </c:pt>
                <c:pt idx="5">
                  <c:v>5.57</c:v>
                </c:pt>
                <c:pt idx="6">
                  <c:v>5.43</c:v>
                </c:pt>
                <c:pt idx="7">
                  <c:v>5.36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4.62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4.62</c:v>
                </c:pt>
                <c:pt idx="15">
                  <c:v>4.53</c:v>
                </c:pt>
                <c:pt idx="16">
                  <c:v>4.41</c:v>
                </c:pt>
                <c:pt idx="17">
                  <c:v>4.62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5.69</c:v>
                </c:pt>
                <c:pt idx="31">
                  <c:v>5.81</c:v>
                </c:pt>
                <c:pt idx="32">
                  <c:v>5.9</c:v>
                </c:pt>
                <c:pt idx="33">
                  <c:v>5.97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przeciętne_c_skupu_żywca_i_mlek!$E$124:$E$161</c:f>
              <c:numCache>
                <c:formatCode>0.00</c:formatCode>
                <c:ptCount val="38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3.87</c:v>
                </c:pt>
                <c:pt idx="9">
                  <c:v>3.81</c:v>
                </c:pt>
                <c:pt idx="10">
                  <c:v>3.63</c:v>
                </c:pt>
                <c:pt idx="11">
                  <c:v>3.48</c:v>
                </c:pt>
                <c:pt idx="12">
                  <c:v>3.28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3.91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3.83</c:v>
                </c:pt>
                <c:pt idx="28">
                  <c:v>3.65</c:v>
                </c:pt>
                <c:pt idx="29">
                  <c:v>3.83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87335456"/>
        <c:axId val="-128734252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przeciętne_c_skupu_żywca_i_mlek!$F$124:$F$161</c:f>
              <c:numCache>
                <c:formatCode>0.00</c:formatCode>
                <c:ptCount val="38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</c:v>
                </c:pt>
                <c:pt idx="10">
                  <c:v>1.39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22234960"/>
        <c:axId val="-1287340896"/>
      </c:lineChart>
      <c:catAx>
        <c:axId val="-128733545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87342528"/>
        <c:crosses val="autoZero"/>
        <c:auto val="1"/>
        <c:lblAlgn val="ctr"/>
        <c:lblOffset val="100"/>
        <c:noMultiLvlLbl val="0"/>
      </c:catAx>
      <c:valAx>
        <c:axId val="-128734252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87335456"/>
        <c:crosses val="autoZero"/>
        <c:crossBetween val="between"/>
        <c:majorUnit val="1"/>
      </c:valAx>
      <c:valAx>
        <c:axId val="-1287340896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22234960"/>
        <c:crosses val="max"/>
        <c:crossBetween val="between"/>
        <c:majorUnit val="0.25"/>
      </c:valAx>
      <c:catAx>
        <c:axId val="-1222234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28734089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980241983415364E-2"/>
          <c:y val="8.8168823005661395E-2"/>
          <c:w val="0.95110978030096704"/>
          <c:h val="0.58376725170366828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rolnictwo!$A$148:$B$185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rolnictwo!$D$148:$D$185</c:f>
              <c:numCache>
                <c:formatCode>0.0</c:formatCode>
                <c:ptCount val="38"/>
                <c:pt idx="0" formatCode="General">
                  <c:v>8.3000000000000007</c:v>
                </c:pt>
                <c:pt idx="1">
                  <c:v>8</c:v>
                </c:pt>
                <c:pt idx="2" formatCode="General">
                  <c:v>8.1999999999999993</c:v>
                </c:pt>
                <c:pt idx="3" formatCode="General">
                  <c:v>8.8000000000000007</c:v>
                </c:pt>
                <c:pt idx="4" formatCode="General">
                  <c:v>8.6999999999999993</c:v>
                </c:pt>
                <c:pt idx="5" formatCode="General">
                  <c:v>8.8000000000000007</c:v>
                </c:pt>
                <c:pt idx="6">
                  <c:v>8</c:v>
                </c:pt>
                <c:pt idx="7" formatCode="General">
                  <c:v>8.1999999999999993</c:v>
                </c:pt>
                <c:pt idx="8" formatCode="General">
                  <c:v>8.1999999999999993</c:v>
                </c:pt>
                <c:pt idx="9" formatCode="General">
                  <c:v>7.5</c:v>
                </c:pt>
                <c:pt idx="10" formatCode="General">
                  <c:v>7.2</c:v>
                </c:pt>
                <c:pt idx="11">
                  <c:v>7</c:v>
                </c:pt>
                <c:pt idx="12" formatCode="General">
                  <c:v>6.5</c:v>
                </c:pt>
                <c:pt idx="13" formatCode="General">
                  <c:v>6.8</c:v>
                </c:pt>
                <c:pt idx="14" formatCode="General">
                  <c:v>7.1</c:v>
                </c:pt>
                <c:pt idx="15" formatCode="General">
                  <c:v>6.9</c:v>
                </c:pt>
                <c:pt idx="16" formatCode="General">
                  <c:v>6.8</c:v>
                </c:pt>
                <c:pt idx="17" formatCode="General">
                  <c:v>7.3</c:v>
                </c:pt>
                <c:pt idx="18" formatCode="General">
                  <c:v>7.2</c:v>
                </c:pt>
                <c:pt idx="19" formatCode="General">
                  <c:v>7.3</c:v>
                </c:pt>
                <c:pt idx="20" formatCode="General">
                  <c:v>6.7</c:v>
                </c:pt>
                <c:pt idx="21" formatCode="General">
                  <c:v>6.2</c:v>
                </c:pt>
                <c:pt idx="22" formatCode="General">
                  <c:v>5.9</c:v>
                </c:pt>
                <c:pt idx="23" formatCode="General">
                  <c:v>5.9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>
                  <c:v>6</c:v>
                </c:pt>
                <c:pt idx="27" formatCode="General">
                  <c:v>7.5</c:v>
                </c:pt>
                <c:pt idx="28" formatCode="General">
                  <c:v>7.7</c:v>
                </c:pt>
                <c:pt idx="29" formatCode="General">
                  <c:v>7.5</c:v>
                </c:pt>
                <c:pt idx="30" formatCode="General">
                  <c:v>7.5</c:v>
                </c:pt>
                <c:pt idx="31">
                  <c:v>8</c:v>
                </c:pt>
                <c:pt idx="32" formatCode="General">
                  <c:v>8.1999999999999993</c:v>
                </c:pt>
                <c:pt idx="33" formatCode="General">
                  <c:v>8.1999999999999993</c:v>
                </c:pt>
                <c:pt idx="34" formatCode="General">
                  <c:v>8.6</c:v>
                </c:pt>
                <c:pt idx="35" formatCode="General">
                  <c:v>8.9</c:v>
                </c:pt>
                <c:pt idx="36" formatCode="General">
                  <c:v>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rolnictwo!$A$148:$B$185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rolnictwo!$C$148:$C$185</c:f>
              <c:numCache>
                <c:formatCode>General</c:formatCode>
                <c:ptCount val="38"/>
                <c:pt idx="0">
                  <c:v>8.8000000000000007</c:v>
                </c:pt>
                <c:pt idx="1">
                  <c:v>8.1999999999999993</c:v>
                </c:pt>
                <c:pt idx="2">
                  <c:v>8.5</c:v>
                </c:pt>
                <c:pt idx="3">
                  <c:v>9.3000000000000007</c:v>
                </c:pt>
                <c:pt idx="4">
                  <c:v>9.1</c:v>
                </c:pt>
                <c:pt idx="5">
                  <c:v>10.1</c:v>
                </c:pt>
                <c:pt idx="6">
                  <c:v>8.9</c:v>
                </c:pt>
                <c:pt idx="7">
                  <c:v>8.6999999999999993</c:v>
                </c:pt>
                <c:pt idx="8">
                  <c:v>8.9</c:v>
                </c:pt>
                <c:pt idx="9">
                  <c:v>8.4</c:v>
                </c:pt>
                <c:pt idx="10">
                  <c:v>7.9</c:v>
                </c:pt>
                <c:pt idx="11" formatCode="0.0">
                  <c:v>8</c:v>
                </c:pt>
                <c:pt idx="12">
                  <c:v>7.6</c:v>
                </c:pt>
                <c:pt idx="13">
                  <c:v>7.5</c:v>
                </c:pt>
                <c:pt idx="14">
                  <c:v>8.1</c:v>
                </c:pt>
                <c:pt idx="15">
                  <c:v>7.4</c:v>
                </c:pt>
                <c:pt idx="16">
                  <c:v>7.4</c:v>
                </c:pt>
                <c:pt idx="17">
                  <c:v>7.9</c:v>
                </c:pt>
                <c:pt idx="18">
                  <c:v>8.1</c:v>
                </c:pt>
                <c:pt idx="19">
                  <c:v>8.3000000000000007</c:v>
                </c:pt>
                <c:pt idx="20">
                  <c:v>7.1</c:v>
                </c:pt>
                <c:pt idx="21">
                  <c:v>6.9</c:v>
                </c:pt>
                <c:pt idx="22">
                  <c:v>6.5</c:v>
                </c:pt>
                <c:pt idx="23">
                  <c:v>6.3</c:v>
                </c:pt>
                <c:pt idx="24">
                  <c:v>6.3</c:v>
                </c:pt>
                <c:pt idx="25">
                  <c:v>6.5</c:v>
                </c:pt>
                <c:pt idx="26">
                  <c:v>6.7</c:v>
                </c:pt>
                <c:pt idx="27">
                  <c:v>7.7</c:v>
                </c:pt>
                <c:pt idx="28">
                  <c:v>7.6</c:v>
                </c:pt>
                <c:pt idx="29">
                  <c:v>8.4</c:v>
                </c:pt>
                <c:pt idx="30">
                  <c:v>8.4</c:v>
                </c:pt>
                <c:pt idx="31">
                  <c:v>9.4</c:v>
                </c:pt>
                <c:pt idx="32">
                  <c:v>9.1</c:v>
                </c:pt>
                <c:pt idx="33">
                  <c:v>9.1999999999999993</c:v>
                </c:pt>
                <c:pt idx="34">
                  <c:v>9.5</c:v>
                </c:pt>
                <c:pt idx="35">
                  <c:v>10.6</c:v>
                </c:pt>
                <c:pt idx="36">
                  <c:v>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22234416"/>
        <c:axId val="-1222227888"/>
      </c:lineChart>
      <c:catAx>
        <c:axId val="-122223441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22227888"/>
        <c:crosses val="autoZero"/>
        <c:auto val="1"/>
        <c:lblAlgn val="ctr"/>
        <c:lblOffset val="100"/>
        <c:noMultiLvlLbl val="0"/>
      </c:catAx>
      <c:valAx>
        <c:axId val="-122222788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22234416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89049029079472786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0.43391</cdr:x>
      <cdr:y>0.84533</cdr:y>
    </cdr:from>
    <cdr:to>
      <cdr:x>0.46538</cdr:x>
      <cdr:y>0.89862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2966343" y="2741256"/>
          <a:ext cx="215140" cy="1728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0.44102</cdr:x>
      <cdr:y>0</cdr:y>
    </cdr:from>
    <cdr:to>
      <cdr:x>0.47839</cdr:x>
      <cdr:y>0.11169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3014949" y="0"/>
          <a:ext cx="255474" cy="3623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0.43575</cdr:x>
      <cdr:y>0.25091</cdr:y>
    </cdr:from>
    <cdr:to>
      <cdr:x>0.46672</cdr:x>
      <cdr:y>0.34701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2978968" y="760415"/>
          <a:ext cx="211721" cy="291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0.44082</cdr:x>
      <cdr:y>0.42427</cdr:y>
    </cdr:from>
    <cdr:to>
      <cdr:x>0.45942</cdr:x>
      <cdr:y>0.49074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3013582" y="1285836"/>
          <a:ext cx="127156" cy="2014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0.43935</cdr:x>
      <cdr:y>0.68166</cdr:y>
    </cdr:from>
    <cdr:to>
      <cdr:x>0.45795</cdr:x>
      <cdr:y>0.74813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3003533" y="2065890"/>
          <a:ext cx="127156" cy="20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0.43555</cdr:x>
      <cdr:y>0.77273</cdr:y>
    </cdr:from>
    <cdr:to>
      <cdr:x>0.45864</cdr:x>
      <cdr:y>0.83846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2977601" y="2341894"/>
          <a:ext cx="157852" cy="1992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0.93606</cdr:x>
      <cdr:y>0.84349</cdr:y>
    </cdr:from>
    <cdr:to>
      <cdr:x>0.97216</cdr:x>
      <cdr:y>0.90303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6399261" y="2735288"/>
          <a:ext cx="246792" cy="1930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0.44916</cdr:x>
      <cdr:y>0.90462</cdr:y>
    </cdr:from>
    <cdr:to>
      <cdr:x>0.48063</cdr:x>
      <cdr:y>0.95791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2985060" y="2119660"/>
          <a:ext cx="209147" cy="1248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0.46181</cdr:x>
      <cdr:y>0.0058</cdr:y>
    </cdr:from>
    <cdr:to>
      <cdr:x>0.48111</cdr:x>
      <cdr:y>0.085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3069124" y="13580"/>
          <a:ext cx="128319" cy="1855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0.46249</cdr:x>
      <cdr:y>0.26853</cdr:y>
    </cdr:from>
    <cdr:to>
      <cdr:x>0.47898</cdr:x>
      <cdr:y>0.33155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3073651" y="629216"/>
          <a:ext cx="109609" cy="1476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0.46262</cdr:x>
      <cdr:y>0.44552</cdr:y>
    </cdr:from>
    <cdr:to>
      <cdr:x>0.48122</cdr:x>
      <cdr:y>0.51199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3074506" y="1043923"/>
          <a:ext cx="123614" cy="1557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0.46183</cdr:x>
      <cdr:y>0.71064</cdr:y>
    </cdr:from>
    <cdr:to>
      <cdr:x>0.48043</cdr:x>
      <cdr:y>0.77711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3069264" y="1665133"/>
          <a:ext cx="123613" cy="1557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0.46317</cdr:x>
      <cdr:y>0.79594</cdr:y>
    </cdr:from>
    <cdr:to>
      <cdr:x>0.47976</cdr:x>
      <cdr:y>0.85778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3078179" y="1865014"/>
          <a:ext cx="110230" cy="1448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0.9596</cdr:x>
      <cdr:y>0.90278</cdr:y>
    </cdr:from>
    <cdr:to>
      <cdr:x>0.9957</cdr:x>
      <cdr:y>0.96232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6377417" y="2115348"/>
          <a:ext cx="239918" cy="139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0.01713</cdr:x>
      <cdr:y>0.91411</cdr:y>
    </cdr:from>
    <cdr:to>
      <cdr:x>0.68847</cdr:x>
      <cdr:y>0.97853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4780" y="2838449"/>
          <a:ext cx="4105277" cy="200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800" i="1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0.9099</cdr:x>
      <cdr:y>0.7044</cdr:y>
    </cdr:from>
    <cdr:to>
      <cdr:x>0.93759</cdr:x>
      <cdr:y>0.7483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6496481" y="2029522"/>
          <a:ext cx="197697" cy="1264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600">
              <a:latin typeface="Fira Sans" panose="020B0503050000020004" pitchFamily="34" charset="0"/>
              <a:ea typeface="Fira Sans" panose="020B0503050000020004" pitchFamily="34" charset="0"/>
            </a:rPr>
            <a:t>a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0.86607</cdr:x>
      <cdr:y>0.6856</cdr:y>
    </cdr:from>
    <cdr:to>
      <cdr:x>0.89583</cdr:x>
      <cdr:y>0.73454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752353" y="1772023"/>
          <a:ext cx="197700" cy="1264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600">
              <a:latin typeface="Fira Sans" panose="020B0503050000020004" pitchFamily="34" charset="0"/>
              <a:ea typeface="Fira Sans" panose="020B0503050000020004" pitchFamily="34" charset="0"/>
            </a:rPr>
            <a:t>a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0.57276</cdr:x>
      <cdr:y>0.6216</cdr:y>
    </cdr:from>
    <cdr:to>
      <cdr:x>0.88624</cdr:x>
      <cdr:y>0.73509</cdr:y>
    </cdr:to>
    <cdr:grpSp>
      <cdr:nvGrpSpPr>
        <cdr:cNvPr id="5" name="Grupa 4"/>
        <cdr:cNvGrpSpPr/>
      </cdr:nvGrpSpPr>
      <cdr:grpSpPr>
        <a:xfrm xmlns:a="http://schemas.openxmlformats.org/drawingml/2006/main">
          <a:off x="2088397" y="2170548"/>
          <a:ext cx="1142999" cy="396274"/>
          <a:chOff x="2019386" y="2412088"/>
          <a:chExt cx="1142999" cy="396274"/>
        </a:xfrm>
      </cdr:grpSpPr>
      <cdr:sp macro="" textlink="">
        <cdr:nvSpPr>
          <cdr:cNvPr id="4" name="pole tekstowe 4"/>
          <cdr:cNvSpPr txBox="1"/>
        </cdr:nvSpPr>
        <cdr:spPr>
          <a:xfrm xmlns:a="http://schemas.openxmlformats.org/drawingml/2006/main">
            <a:off x="2019386" y="2419725"/>
            <a:ext cx="1142999" cy="38100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lt1"/>
          </a:solidFill>
          <a:ln xmlns:a="http://schemas.openxmlformats.org/drawingml/2006/main" w="9525" cmpd="sng">
            <a:noFill/>
          </a:ln>
        </cdr:spPr>
        <cdr:style>
          <a:lnRef xmlns:a="http://schemas.openxmlformats.org/drawingml/2006/main" idx="0">
            <a:scrgbClr r="0" g="0" b="0"/>
          </a:lnRef>
          <a:fillRef xmlns:a="http://schemas.openxmlformats.org/drawingml/2006/main" idx="0">
            <a:scrgbClr r="0" g="0" b="0"/>
          </a:fillRef>
          <a:effectRef xmlns:a="http://schemas.openxmlformats.org/drawingml/2006/main" idx="0">
            <a:scrgbClr r="0" g="0" b="0"/>
          </a:effectRef>
          <a:fontRef xmlns:a="http://schemas.openxmlformats.org/drawingml/2006/main" idx="minor">
            <a:schemeClr val="dk1"/>
          </a:fontRef>
        </cdr:style>
      </cdr:sp>
      <cdr:pic>
        <cdr:nvPicPr>
          <cdr:cNvPr id="3" name="chart"/>
          <cdr:cNvPicPr>
            <a:picLocks xmlns:a="http://schemas.openxmlformats.org/drawingml/2006/main" noChangeAspect="1"/>
          </cdr:cNvPicPr>
        </cdr:nvPicPr>
        <cdr:blipFill>
          <a:blip xmlns:a="http://schemas.openxmlformats.org/drawingml/2006/main" xmlns:r="http://schemas.openxmlformats.org/officeDocument/2006/relationships" r:embed="rId1"/>
          <a:stretch xmlns:a="http://schemas.openxmlformats.org/drawingml/2006/main">
            <a:fillRect/>
          </a:stretch>
        </cdr:blipFill>
        <cdr:spPr>
          <a:xfrm xmlns:a="http://schemas.openxmlformats.org/drawingml/2006/main">
            <a:off x="2019386" y="2412088"/>
            <a:ext cx="1085182" cy="396274"/>
          </a:xfrm>
          <a:prstGeom xmlns:a="http://schemas.openxmlformats.org/drawingml/2006/main" prst="rect">
            <a:avLst/>
          </a:prstGeom>
        </cdr:spPr>
      </cdr:pic>
    </cdr:grp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06AE431-921A-4ADE-B350-A609A2C09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9055</TotalTime>
  <Pages>22</Pages>
  <Words>6176</Words>
  <Characters>37058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803</cp:revision>
  <cp:lastPrinted>2020-02-27T13:35:00Z</cp:lastPrinted>
  <dcterms:created xsi:type="dcterms:W3CDTF">2019-04-26T06:48:00Z</dcterms:created>
  <dcterms:modified xsi:type="dcterms:W3CDTF">2020-02-28T12:02:00Z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