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2B321B">
        <w:rPr>
          <w:spacing w:val="-2"/>
        </w:rPr>
        <w:t>listopadzie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4A6600" w:rsidRDefault="004A6600" w:rsidP="004A6600">
            <w:pPr>
              <w:pStyle w:val="Tekstkomunikat1str"/>
            </w:pPr>
            <w:r>
              <w:t xml:space="preserve">W listopadzie </w:t>
            </w:r>
            <w:r w:rsidRPr="005F3134">
              <w:t>br. przeciętne zatrudnienie w sekt</w:t>
            </w:r>
            <w:r>
              <w:t xml:space="preserve">orze przedsiębiorstw zwiększyło się w skali miesiąca (o 0,2%) </w:t>
            </w:r>
            <w:r>
              <w:br/>
              <w:t>i w skali roku (o 0,1</w:t>
            </w:r>
            <w:r w:rsidRPr="005F3134">
              <w:t>%). Stopa bezro</w:t>
            </w:r>
            <w:r>
              <w:t>bocia rejestrowanego wyniosła 5,1% i wzrosła w skali roku, a w skali miesiąca pozostała bez zmian.</w:t>
            </w:r>
          </w:p>
          <w:p w:rsidR="001B5E37" w:rsidRDefault="004A6600" w:rsidP="004A66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 xml:space="preserve">w listopadzie br. było niższe </w:t>
            </w:r>
            <w:r w:rsidRPr="005F3134">
              <w:t>o</w:t>
            </w:r>
            <w:r>
              <w:t>d notowanego miesiąc wcześniej (o 3,1%), a wyższe niż przed rokiem (o 2,8</w:t>
            </w:r>
            <w:r w:rsidRPr="00942C70">
              <w:t>%).</w:t>
            </w:r>
          </w:p>
          <w:p w:rsidR="00840631" w:rsidRPr="00C61B83" w:rsidRDefault="00840631" w:rsidP="00316EAB">
            <w:pPr>
              <w:pStyle w:val="Tekstkomunikat1str"/>
            </w:pPr>
            <w:r w:rsidRPr="00C61B83">
              <w:t>Ceny towarów i usług konsumpcyjnych w III kwartale 20</w:t>
            </w:r>
            <w:r w:rsidR="00C61B83" w:rsidRPr="00C61B83">
              <w:t>20</w:t>
            </w:r>
            <w:r w:rsidRPr="00C61B83">
              <w:t xml:space="preserve"> r. wzrosły o </w:t>
            </w:r>
            <w:r w:rsidR="00C61B83" w:rsidRPr="00C61B83">
              <w:t>3,1</w:t>
            </w:r>
            <w:r w:rsidRPr="00C61B83">
              <w:t xml:space="preserve">% w skali roku (wobec wzrostu odpowiednio o </w:t>
            </w:r>
            <w:r w:rsidR="00C61B83" w:rsidRPr="00C61B83">
              <w:t>3,3</w:t>
            </w:r>
            <w:r w:rsidRPr="00C61B83">
              <w:t>% w II kwartale br.).</w:t>
            </w:r>
          </w:p>
          <w:p w:rsidR="002F3FD1" w:rsidRPr="0033032D" w:rsidRDefault="00E41FEB" w:rsidP="00EB7EB1">
            <w:pPr>
              <w:pStyle w:val="Tekstkomunikat1str"/>
            </w:pPr>
            <w:r>
              <w:t xml:space="preserve">Na rynku rolnym w listopadzie br. przeciętne ceny skupu pszenicy, żyta oraz mleka ukształtowały się powyżej poziomu sprzed roku i sprzed miesiąca. W obu ujęciach niższe były natomiast ceny ziemniaków, żywca wieprzowego </w:t>
            </w:r>
            <w:r>
              <w:br/>
              <w:t>i drobiowego.</w:t>
            </w:r>
          </w:p>
          <w:p w:rsidR="00FD6119" w:rsidRPr="00FD6119" w:rsidRDefault="00FD6119" w:rsidP="00FD6119">
            <w:pPr>
              <w:pStyle w:val="Tekstkomunikat1str"/>
            </w:pPr>
            <w:r w:rsidRPr="00FD6119">
              <w:t xml:space="preserve">W listopadzie br. produkcja sprzedana przemysłu (w cenach stałych) zwiększyła się zarówno w skali roku (o 4,2%), jak i miesiąca (o 0,7%). Produkcja budowlano-montażowa (w cenach bieżących) była niższa o 1,8% niż przed rokiem i o 0,9% niż miesiąc wcześniej.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CE2EC0">
              <w:t>listopadzie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EE7260">
              <w:t xml:space="preserve">mniejsza </w:t>
            </w:r>
            <w:r w:rsidR="00856896">
              <w:t xml:space="preserve">o </w:t>
            </w:r>
            <w:r w:rsidR="00CE2EC0">
              <w:t>0,8</w:t>
            </w:r>
            <w:r w:rsidR="00856896">
              <w:t xml:space="preserve">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CE2EC0">
              <w:t xml:space="preserve">większa </w:t>
            </w:r>
            <w:r w:rsidR="00CE2EC0">
              <w:br/>
            </w:r>
            <w:r w:rsidR="00856896" w:rsidRPr="00C83152">
              <w:t xml:space="preserve">o </w:t>
            </w:r>
            <w:r w:rsidR="00CE2EC0">
              <w:t>6,3</w:t>
            </w:r>
            <w:r w:rsidR="00856896" w:rsidRPr="00C83152">
              <w:t>%</w:t>
            </w:r>
            <w:r w:rsidR="00856896">
              <w:t xml:space="preserve"> </w:t>
            </w:r>
            <w:r w:rsidR="00CA1228">
              <w:t>w porównaniu z poprzednim miesiącem.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957D53" w:rsidRDefault="00165442" w:rsidP="00165442">
            <w:pPr>
              <w:pStyle w:val="Tekstkomunikat1str"/>
            </w:pPr>
            <w:r w:rsidRPr="00165442">
              <w:t>W listopadzie br. odnotowano wzrost sprzedaży hurtowej w skali roku (o 4,2%). Niższa niż przed rokiem była sprzedaż detaliczna (o 12,2%).</w:t>
            </w:r>
          </w:p>
          <w:p w:rsidR="00B50600" w:rsidRDefault="00B50600" w:rsidP="00B50600">
            <w:pPr>
              <w:pStyle w:val="Tekstkomunikat1str"/>
            </w:pPr>
            <w:r w:rsidRPr="00BA544A">
              <w:t>W końcu II</w:t>
            </w:r>
            <w:r w:rsidR="00BA544A" w:rsidRPr="00BA544A">
              <w:t>I</w:t>
            </w:r>
            <w:r w:rsidRPr="00BA544A">
              <w:t xml:space="preserve"> kwartału br. w województwie mazowieckim z możliwości pracy zdalnej w związku z sytuacją epidemiczną korzystało </w:t>
            </w:r>
            <w:r w:rsidR="00BA544A" w:rsidRPr="00BA544A">
              <w:t>13,3</w:t>
            </w:r>
            <w:r w:rsidRPr="00BA544A">
              <w:t>% pracujących. Możliwość tę częściej stosowano w sektorze prywatnym niż publicznym.</w:t>
            </w:r>
          </w:p>
          <w:p w:rsidR="00850B89" w:rsidRDefault="00850B89" w:rsidP="00850B89">
            <w:pPr>
              <w:pStyle w:val="Tekstkomunikat1str"/>
            </w:pPr>
            <w:r w:rsidRPr="00BA544A">
              <w:t xml:space="preserve">W </w:t>
            </w:r>
            <w:r w:rsidR="00BA544A" w:rsidRPr="00BA544A">
              <w:t>listopadzie</w:t>
            </w:r>
            <w:r w:rsidRPr="00BA544A">
              <w:t xml:space="preserve"> br. </w:t>
            </w:r>
            <w:r w:rsidR="00BA544A" w:rsidRPr="00BA544A">
              <w:t>3,0</w:t>
            </w:r>
            <w:r w:rsidRPr="00BA544A">
              <w:t>% podmiotów gospodarczych, które złożyły meldunek DG1, wskazało pandemię COVID-19 jako czynnik wywołujący istotne zmiany w prowadzeniu działalności gospodarczej.</w:t>
            </w:r>
          </w:p>
          <w:p w:rsidR="00E5115A" w:rsidRDefault="00AA3F79" w:rsidP="00A37A5C">
            <w:pPr>
              <w:pStyle w:val="Tekstkomunikat1str"/>
            </w:pPr>
            <w:r>
              <w:t xml:space="preserve">W listopadzie </w:t>
            </w:r>
            <w:r w:rsidRPr="00E5115A">
              <w:t>br. liczba podmiotów gospodarki narodowej wpisanych do r</w:t>
            </w:r>
            <w:r>
              <w:t>ejestru REGON była większa o 3,7% niż przed rokiem i o 0,3% niż miesiąc wcześniej.</w:t>
            </w:r>
          </w:p>
          <w:p w:rsidR="00367811" w:rsidRPr="00C83152" w:rsidRDefault="00362BBD" w:rsidP="00907513">
            <w:pPr>
              <w:pStyle w:val="Tekstkomunikat1str"/>
            </w:pPr>
            <w:r w:rsidRPr="00165442">
              <w:rPr>
                <w:rFonts w:eastAsiaTheme="minorEastAsia" w:cs="Fira Sans"/>
                <w:bCs/>
                <w:color w:val="000000"/>
                <w:szCs w:val="19"/>
              </w:rPr>
              <w:t>W</w:t>
            </w:r>
            <w:r w:rsidR="00907513">
              <w:rPr>
                <w:rFonts w:eastAsiaTheme="minorEastAsia" w:cs="Fira Sans"/>
                <w:bCs/>
                <w:color w:val="000000"/>
                <w:szCs w:val="19"/>
              </w:rPr>
              <w:t>e</w:t>
            </w:r>
            <w:r w:rsidR="00560BD3" w:rsidRPr="00165442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  <w:r w:rsidR="00907513">
              <w:rPr>
                <w:rFonts w:eastAsiaTheme="minorEastAsia" w:cs="Fira Sans"/>
                <w:bCs/>
                <w:color w:val="000000"/>
                <w:szCs w:val="19"/>
              </w:rPr>
              <w:t xml:space="preserve">wszystkich </w:t>
            </w:r>
            <w:r w:rsidRPr="00165442">
              <w:rPr>
                <w:rFonts w:eastAsiaTheme="minorEastAsia" w:cs="Fira Sans"/>
                <w:bCs/>
                <w:color w:val="000000"/>
                <w:szCs w:val="19"/>
              </w:rPr>
              <w:t>badanych obszar</w:t>
            </w:r>
            <w:r w:rsidR="00907513">
              <w:rPr>
                <w:rFonts w:eastAsiaTheme="minorEastAsia" w:cs="Fira Sans"/>
                <w:bCs/>
                <w:color w:val="000000"/>
                <w:szCs w:val="19"/>
              </w:rPr>
              <w:t>ach</w:t>
            </w:r>
            <w:r w:rsidRPr="00165442">
              <w:rPr>
                <w:rFonts w:eastAsiaTheme="minorEastAsia" w:cs="Fira Sans"/>
                <w:bCs/>
                <w:color w:val="000000"/>
                <w:szCs w:val="19"/>
              </w:rPr>
              <w:t xml:space="preserve"> przedsiębiorcy w</w:t>
            </w:r>
            <w:r w:rsidR="00560BD3" w:rsidRPr="00165442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  <w:r w:rsidR="00907513">
              <w:rPr>
                <w:rFonts w:eastAsiaTheme="minorEastAsia" w:cs="Fira Sans"/>
                <w:bCs/>
                <w:color w:val="000000"/>
                <w:szCs w:val="19"/>
              </w:rPr>
              <w:t>grudniu</w:t>
            </w:r>
            <w:r w:rsidRPr="00165442">
              <w:rPr>
                <w:rFonts w:eastAsiaTheme="minorEastAsia" w:cs="Fira Sans"/>
                <w:bCs/>
                <w:color w:val="000000"/>
                <w:szCs w:val="19"/>
              </w:rPr>
              <w:t xml:space="preserve"> br. oceniają koniunkturę </w:t>
            </w:r>
            <w:r w:rsidR="00907513" w:rsidRPr="00531476">
              <w:rPr>
                <w:rFonts w:eastAsiaTheme="minorEastAsia" w:cs="Fira Sans"/>
                <w:bCs/>
                <w:color w:val="000000"/>
                <w:szCs w:val="19"/>
              </w:rPr>
              <w:t>mniej pesymistycznie lub podobnie jak w listopadzie br. Największa poprawa ocen nastąpiła w sekcji handel detaliczny.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6009B9" w:rsidRDefault="006009B9" w:rsidP="00DC18A9">
      <w:pPr>
        <w:pStyle w:val="Tekstkomunikatspis"/>
      </w:pPr>
      <w:r w:rsidRPr="00165442">
        <w:t>Ceny detaliczne</w:t>
      </w:r>
      <w:r w:rsidRPr="00165442">
        <w:tab/>
      </w:r>
      <w:r w:rsidR="00836235" w:rsidRPr="00165442"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836235">
        <w:t>10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5B0F1F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5B0F1F">
        <w:t>5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5B0F1F">
        <w:t>7</w:t>
      </w:r>
    </w:p>
    <w:p w:rsidR="00B50600" w:rsidRDefault="00B50600" w:rsidP="00B50600">
      <w:pPr>
        <w:pStyle w:val="Tekstkomunikatspis"/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</w:t>
      </w:r>
      <w:r>
        <w:rPr>
          <w:shd w:val="clear" w:color="auto" w:fill="FFFFFF"/>
        </w:rPr>
        <w:t>I</w:t>
      </w:r>
      <w:r w:rsidRPr="00C559B7">
        <w:rPr>
          <w:shd w:val="clear" w:color="auto" w:fill="FFFFFF"/>
        </w:rPr>
        <w:t>I kwartale 2020 r.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  <w:t>18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5B0F1F">
        <w:t>19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F959EC">
        <w:t>2</w:t>
      </w:r>
      <w:r w:rsidR="005B0F1F">
        <w:t>1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5B0F1F">
        <w:t>3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5B0F1F">
        <w:t>7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165442">
        <w:rPr>
          <w:b/>
        </w:rPr>
        <w:t>grudniu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</w:t>
      </w:r>
      <w:r w:rsidR="002C064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F148D2">
        <w:rPr>
          <w:b/>
        </w:rPr>
        <w:t>30</w:t>
      </w:r>
      <w:r w:rsidRPr="00667AF4">
        <w:rPr>
          <w:b/>
        </w:rPr>
        <w:t xml:space="preserve"> </w:t>
      </w:r>
      <w:r w:rsidR="00165442">
        <w:rPr>
          <w:b/>
        </w:rPr>
        <w:t xml:space="preserve">grudnia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4A6600" w:rsidP="00AA3F79">
            <w:pPr>
              <w:pStyle w:val="Tekstkomunikatlid"/>
            </w:pPr>
            <w:r>
              <w:t>W listopadzie br. przeciętne zatrudnienie</w:t>
            </w:r>
            <w:r w:rsidRPr="00EA323D">
              <w:t xml:space="preserve"> w </w:t>
            </w:r>
            <w:r>
              <w:t>sektorze przedsiębiorstw zwiększyło się w porównaniu z poprzednim rokiem i miesiącem</w:t>
            </w:r>
            <w:r w:rsidRPr="00EA323D">
              <w:t>. Stopa bez</w:t>
            </w:r>
            <w:r>
              <w:t>robocia rejestrowanego wzrosła w skali roku, a w skali miesiąca pozostała bez zmian</w:t>
            </w:r>
            <w:r w:rsidRPr="005F3134">
              <w:t>.</w:t>
            </w:r>
          </w:p>
        </w:tc>
      </w:tr>
    </w:tbl>
    <w:p w:rsidR="004A6600" w:rsidRDefault="004A6600" w:rsidP="004A6600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listopadzie br. wyniosło 1537,7 tys. osób i było o 0,1% wyższe niż </w:t>
      </w:r>
      <w:r w:rsidRPr="005F3134">
        <w:t xml:space="preserve">przed rokiem (w poprzednim miesiącu </w:t>
      </w:r>
      <w:r>
        <w:t xml:space="preserve">zanotowano wzrost o 0,3%). Największy wzrost nastąpił w administrowaniu i działalności </w:t>
      </w:r>
      <w:r w:rsidRPr="002A1B1A">
        <w:t>wspierającej</w:t>
      </w:r>
      <w:r>
        <w:t xml:space="preserve"> (o 5,3%), a ponadto </w:t>
      </w:r>
      <w:r w:rsidRPr="00C53D9B">
        <w:t>w</w:t>
      </w:r>
      <w:r>
        <w:t xml:space="preserve"> działalności profesjonalnej, naukowej i technicznej oraz przetwórstwie przemysłowym (po 1,8%) i budownictwie (o 1,1%). Największy spadek wystąpił w </w:t>
      </w:r>
      <w:r w:rsidRPr="00E32CC8">
        <w:t>zakw</w:t>
      </w:r>
      <w:r>
        <w:t xml:space="preserve">aterowaniu i gastronomii (o 9,1%), a ponadto m.in. </w:t>
      </w:r>
      <w:r w:rsidRPr="00C53D9B">
        <w:t>w</w:t>
      </w:r>
      <w:r w:rsidRPr="00945D56">
        <w:t xml:space="preserve"> </w:t>
      </w:r>
      <w:r>
        <w:t>wytwarzaniu i zaopatrywaniu w energię elektryczną, gaz, parę wodną i gorącą wodę (o 4,3%) oraz obsłudze rynku nieruchomości (o 2,5%).</w:t>
      </w:r>
    </w:p>
    <w:p w:rsidR="00C665B7" w:rsidRDefault="004A6600" w:rsidP="004A6600">
      <w:pPr>
        <w:pStyle w:val="Tekstkomunikat"/>
      </w:pPr>
      <w:r>
        <w:t>W porównaniu z październikiem</w:t>
      </w:r>
      <w:r w:rsidRPr="00EA323D">
        <w:t xml:space="preserve"> br. przeciętne za</w:t>
      </w:r>
      <w:r>
        <w:t>trudnienie zwiększyło się o 0,2</w:t>
      </w:r>
      <w:r w:rsidRPr="00EA323D">
        <w:t xml:space="preserve">%. </w:t>
      </w:r>
      <w:r>
        <w:t>Największy wzrost odnotowano</w:t>
      </w:r>
      <w:r w:rsidRPr="00844B1C">
        <w:t xml:space="preserve"> </w:t>
      </w:r>
      <w:r>
        <w:t xml:space="preserve">w </w:t>
      </w:r>
      <w:r w:rsidRPr="002A1B1A">
        <w:t>administrowaniu i działalności wspierającej</w:t>
      </w:r>
      <w:r>
        <w:t xml:space="preserve"> (o 4,2%), a ponadto w informacji i komunikacji (0,1%). Największy spadek wystąpił w </w:t>
      </w:r>
      <w:r w:rsidRPr="00E32CC8">
        <w:t>zakw</w:t>
      </w:r>
      <w:r>
        <w:t>aterowaniu i gastronomii (o 2,4</w:t>
      </w:r>
      <w:r w:rsidRPr="00E32CC8">
        <w:t>%)</w:t>
      </w:r>
      <w:r>
        <w:t xml:space="preserve">, a ponadto m.in. </w:t>
      </w:r>
      <w:r w:rsidRPr="00C53D9B">
        <w:t>w</w:t>
      </w:r>
      <w:r w:rsidRPr="00945D56">
        <w:t xml:space="preserve"> </w:t>
      </w:r>
      <w:r>
        <w:t>wytwarzaniu i zaopatrywaniu w energię elektryczną, gaz, parę wodną i gorącą wodę (o 0,8%), handlu; naprawie</w:t>
      </w:r>
      <w:r w:rsidRPr="005F3134">
        <w:t xml:space="preserve"> pojazdów samochodowych</w:t>
      </w:r>
      <w:r>
        <w:t xml:space="preserve"> oraz transporcie i gospodarce magazynowej (po 0,3%).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 w:rsidR="00316EAB">
        <w:t xml:space="preserve">w </w:t>
      </w:r>
      <w:r w:rsidR="004A6600">
        <w:t xml:space="preserve">listopadzie </w:t>
      </w:r>
      <w:r w:rsidR="00316EAB" w:rsidRPr="005F3134">
        <w:t>2020</w:t>
      </w:r>
      <w:r w:rsidRPr="005F3134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A6600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4A6600" w:rsidRPr="005F3134" w:rsidRDefault="004A6600" w:rsidP="004A6600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  <w:r>
              <w:t xml:space="preserve">XI </w:t>
            </w:r>
            <w:r w:rsidRPr="005F3134">
              <w:t>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  <w:r w:rsidRPr="005F3134">
              <w:t>I–</w:t>
            </w:r>
            <w:r>
              <w:t xml:space="preserve">XI </w:t>
            </w:r>
            <w:r w:rsidRPr="005F3134">
              <w:t>2020</w:t>
            </w:r>
          </w:p>
        </w:tc>
      </w:tr>
      <w:tr w:rsidR="004A6600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</w:pPr>
            <w:r>
              <w:t>XI</w:t>
            </w:r>
            <w:r w:rsidRPr="005F3134"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</w:pPr>
            <w:r>
              <w:t>I–XI</w:t>
            </w:r>
            <w:r w:rsidRPr="005F3134">
              <w:t xml:space="preserve"> 2019=100</w:t>
            </w:r>
          </w:p>
        </w:tc>
      </w:tr>
      <w:tr w:rsidR="004A6600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rPr>
                <w:b/>
              </w:rPr>
            </w:pPr>
            <w:r>
              <w:rPr>
                <w:b/>
              </w:rPr>
              <w:t>1537,7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rPr>
                <w:b/>
              </w:rPr>
            </w:pPr>
            <w:r>
              <w:rPr>
                <w:b/>
              </w:rPr>
              <w:t>100,1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33,4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rPr>
                <w:b/>
              </w:rPr>
            </w:pPr>
            <w:r>
              <w:rPr>
                <w:b/>
              </w:rPr>
              <w:t>100,4</w:t>
            </w:r>
          </w:p>
        </w:tc>
      </w:tr>
      <w:tr w:rsidR="004A6600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388,3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101,4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38</w:t>
            </w:r>
            <w:r>
              <w:t>8,0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102,1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  <w:rPr>
                <w:rFonts w:cs="Arial"/>
              </w:rPr>
            </w:pP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342,2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101,8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341,4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102,4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24,7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95,7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25,2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98,0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89,5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101,1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90,</w:t>
            </w:r>
            <w: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100,4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341,5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97,9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3</w:t>
            </w:r>
            <w:r>
              <w:t>42,2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98,6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274,5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99,5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2</w:t>
            </w:r>
            <w:r>
              <w:t>75,4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100,5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31,3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90,9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3</w:t>
            </w:r>
            <w:r>
              <w:t>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96,3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113,9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98,5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113,9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98,9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97,5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23,8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100,7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1</w:t>
            </w:r>
            <w:r>
              <w:t>01,8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9</w:t>
            </w:r>
            <w:r>
              <w:t>7,0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10</w:t>
            </w:r>
            <w:r>
              <w:t>2,8</w:t>
            </w:r>
          </w:p>
        </w:tc>
      </w:tr>
      <w:tr w:rsidR="004A6600" w:rsidRPr="005F3134" w:rsidTr="00105651">
        <w:tc>
          <w:tcPr>
            <w:tcW w:w="3934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144,6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105,3</w:t>
            </w:r>
          </w:p>
        </w:tc>
        <w:tc>
          <w:tcPr>
            <w:tcW w:w="1638" w:type="dxa"/>
            <w:vAlign w:val="center"/>
          </w:tcPr>
          <w:p w:rsidR="004A6600" w:rsidRPr="005F3134" w:rsidRDefault="004A6600" w:rsidP="004A6600">
            <w:pPr>
              <w:pStyle w:val="Tekstkomunikatliczby"/>
            </w:pPr>
            <w:r w:rsidRPr="005F3134">
              <w:t>1</w:t>
            </w:r>
            <w:r>
              <w:t>35,9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</w:pPr>
            <w:r>
              <w:t>99,5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4A6600" w:rsidP="001B5E37">
      <w:pPr>
        <w:pStyle w:val="Tekstkomunikat"/>
      </w:pPr>
      <w:r w:rsidRPr="005F3134">
        <w:t>W okresie styczeń–</w:t>
      </w:r>
      <w:r>
        <w:t>listopad 2020 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1533,4 tys. osób i było </w:t>
      </w:r>
      <w:r>
        <w:br/>
        <w:t>o 0,4% wy</w:t>
      </w:r>
      <w:r w:rsidRPr="00FA3F17">
        <w:t xml:space="preserve">ższe niż w analogicznym okresie 2019 r. (przed rokiem </w:t>
      </w:r>
      <w:r w:rsidRPr="00B33D03">
        <w:t>wy</w:t>
      </w:r>
      <w:r w:rsidRPr="00EB6527">
        <w:t>ż</w:t>
      </w:r>
      <w:r w:rsidRPr="00F44407">
        <w:t>sze o 2,0%).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432C59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4A6600" w:rsidP="004A6600">
      <w:pPr>
        <w:pStyle w:val="Tekstkomunikat"/>
      </w:pPr>
      <w:r w:rsidRPr="005F3134">
        <w:t xml:space="preserve">W końcu </w:t>
      </w:r>
      <w:r>
        <w:t>listopada</w:t>
      </w:r>
      <w:r w:rsidRPr="005F3134">
        <w:t xml:space="preserve"> br.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44,1 tys. osób i zwiększyła się </w:t>
      </w:r>
      <w:r>
        <w:br/>
      </w:r>
      <w:r w:rsidRPr="005F3134">
        <w:t xml:space="preserve">w skali miesiąca o </w:t>
      </w:r>
      <w:r>
        <w:t>0,3</w:t>
      </w:r>
      <w:r w:rsidRPr="005F3134">
        <w:t xml:space="preserve"> tys. osób (tj. o </w:t>
      </w:r>
      <w:r>
        <w:t>0,2%), a</w:t>
      </w:r>
      <w:r w:rsidRPr="005F3134">
        <w:t xml:space="preserve"> w porównaniu </w:t>
      </w:r>
      <w:r>
        <w:t>z listopadem 2019 r. o 22,3</w:t>
      </w:r>
      <w:r w:rsidRPr="005F3134">
        <w:t xml:space="preserve"> tys.</w:t>
      </w:r>
      <w:r>
        <w:t xml:space="preserve"> (tj. o 18,3</w:t>
      </w:r>
      <w:r w:rsidRPr="005F3134">
        <w:t>%). Kobiety stanowiły 5</w:t>
      </w:r>
      <w:r>
        <w:t>0,8</w:t>
      </w:r>
      <w:r w:rsidRPr="005F3134">
        <w:t>% ogółu zarejestrowanych bezrobotnych (przed rokiem 5</w:t>
      </w:r>
      <w:r>
        <w:t>2,2</w:t>
      </w:r>
      <w:r w:rsidRPr="005F3134">
        <w:t>%).</w:t>
      </w:r>
    </w:p>
    <w:p w:rsidR="004A6600" w:rsidRPr="00F65763" w:rsidRDefault="004A6600" w:rsidP="004A6600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A6600" w:rsidRPr="00F65763" w:rsidTr="00AA3F79">
        <w:trPr>
          <w:trHeight w:val="480"/>
        </w:trPr>
        <w:tc>
          <w:tcPr>
            <w:tcW w:w="5245" w:type="dxa"/>
            <w:vMerge w:val="restart"/>
            <w:vAlign w:val="center"/>
          </w:tcPr>
          <w:p w:rsidR="004A6600" w:rsidRPr="00F65763" w:rsidRDefault="004A6600" w:rsidP="00AA3F7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4A6600" w:rsidRPr="00D24C76" w:rsidRDefault="004A6600" w:rsidP="00AA3F79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4A6600" w:rsidRPr="00D24C76" w:rsidRDefault="004A6600" w:rsidP="00AA3F7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4A6600" w:rsidRPr="00F65763" w:rsidTr="00AA3F7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A6600" w:rsidRPr="00F65763" w:rsidRDefault="004A6600" w:rsidP="00AA3F7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A6600" w:rsidRPr="00F65763" w:rsidRDefault="004A6600" w:rsidP="00AA3F79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A6600" w:rsidRPr="0030522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A6600" w:rsidRPr="0030522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XI</w:t>
            </w:r>
          </w:p>
        </w:tc>
      </w:tr>
      <w:tr w:rsidR="004A6600" w:rsidRPr="00F65763" w:rsidTr="00AA3F7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A6600" w:rsidRPr="00F65763" w:rsidRDefault="004A6600" w:rsidP="00AA3F79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121,9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143,8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144,1</w:t>
            </w:r>
          </w:p>
        </w:tc>
      </w:tr>
      <w:tr w:rsidR="004A6600" w:rsidRPr="00F65763" w:rsidTr="00AA3F7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4A6600" w:rsidRPr="00F65763" w:rsidRDefault="004A6600" w:rsidP="00AA3F79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14,5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13,7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11,4</w:t>
            </w:r>
          </w:p>
        </w:tc>
      </w:tr>
      <w:tr w:rsidR="004A6600" w:rsidRPr="00F65763" w:rsidTr="00AA3F79">
        <w:trPr>
          <w:trHeight w:val="480"/>
        </w:trPr>
        <w:tc>
          <w:tcPr>
            <w:tcW w:w="5245" w:type="dxa"/>
            <w:vAlign w:val="center"/>
          </w:tcPr>
          <w:p w:rsidR="004A6600" w:rsidRPr="00F65763" w:rsidRDefault="004A6600" w:rsidP="00AA3F79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13,5</w:t>
            </w:r>
          </w:p>
        </w:tc>
        <w:tc>
          <w:tcPr>
            <w:tcW w:w="1748" w:type="dxa"/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15,0</w:t>
            </w:r>
          </w:p>
        </w:tc>
        <w:tc>
          <w:tcPr>
            <w:tcW w:w="1749" w:type="dxa"/>
            <w:vAlign w:val="bottom"/>
          </w:tcPr>
          <w:p w:rsidR="004A6600" w:rsidRPr="005F3134" w:rsidRDefault="004A6600" w:rsidP="00AA3F79">
            <w:pPr>
              <w:pStyle w:val="Tekstkomunikatliczby"/>
            </w:pPr>
            <w:r>
              <w:t>11,1</w:t>
            </w:r>
          </w:p>
        </w:tc>
      </w:tr>
      <w:tr w:rsidR="004A6600" w:rsidRPr="00F45643" w:rsidTr="00AA3F79">
        <w:trPr>
          <w:trHeight w:val="480"/>
        </w:trPr>
        <w:tc>
          <w:tcPr>
            <w:tcW w:w="5245" w:type="dxa"/>
            <w:vAlign w:val="center"/>
          </w:tcPr>
          <w:p w:rsidR="004A6600" w:rsidRPr="00F65763" w:rsidRDefault="004A6600" w:rsidP="00AA3F79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A6600" w:rsidRPr="00D86521" w:rsidRDefault="004A6600" w:rsidP="00AA3F79">
            <w:pPr>
              <w:pStyle w:val="Tekstkomunikatliczby"/>
            </w:pPr>
            <w:r>
              <w:t>4,3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A6600" w:rsidRPr="00D86521" w:rsidRDefault="004A6600" w:rsidP="00AA3F79">
            <w:pPr>
              <w:pStyle w:val="Tekstkomunikatliczby"/>
            </w:pPr>
            <w:r>
              <w:t>5,1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4A6600" w:rsidRPr="00D86521" w:rsidRDefault="004A6600" w:rsidP="00AA3F79">
            <w:pPr>
              <w:pStyle w:val="Tekstkomunikatliczby"/>
            </w:pPr>
            <w:r>
              <w:t>5,1</w:t>
            </w:r>
          </w:p>
        </w:tc>
      </w:tr>
    </w:tbl>
    <w:p w:rsidR="00C27F99" w:rsidRDefault="004A6600" w:rsidP="00DF5C3B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432C59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693676" cy="2776734"/>
            <wp:effectExtent l="0" t="0" r="254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67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4A6600" w:rsidRPr="005F3134" w:rsidRDefault="004A6600" w:rsidP="004A6600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listopada br. wyniosła 5,1</w:t>
      </w:r>
      <w:r w:rsidRPr="005F3134">
        <w:t xml:space="preserve">% i była </w:t>
      </w:r>
      <w:r>
        <w:t>niższa niż w kraju (średnia – 6,1</w:t>
      </w:r>
      <w:r w:rsidRPr="005F3134">
        <w:t xml:space="preserve">%). W skali </w:t>
      </w:r>
      <w:r>
        <w:t>roku wzrosła o 0,8 p. proc., a w skali miesiąca pozostała bez zmian.</w:t>
      </w:r>
    </w:p>
    <w:p w:rsidR="004A6600" w:rsidRPr="005F3134" w:rsidRDefault="004A6600" w:rsidP="004A6600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4,0% wobec 22,4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 listopadzie </w:t>
      </w:r>
      <w:r w:rsidRPr="005F3134">
        <w:rPr>
          <w:shd w:val="clear" w:color="auto" w:fill="FFFFFF"/>
        </w:rPr>
        <w:t>2019 r.), radomski (1</w:t>
      </w:r>
      <w:r>
        <w:rPr>
          <w:shd w:val="clear" w:color="auto" w:fill="FFFFFF"/>
        </w:rPr>
        <w:t>7,5% wobec 16,0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7,2% wobec 17,5%)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(1,8% wobec 1,3%), warszawski zachodni (2,3% wobec 1,6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6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2,0</w:t>
      </w:r>
      <w:r w:rsidRPr="005F3134">
        <w:rPr>
          <w:shd w:val="clear" w:color="auto" w:fill="FFFFFF"/>
        </w:rPr>
        <w:t>%).</w:t>
      </w:r>
    </w:p>
    <w:p w:rsidR="004A6600" w:rsidRDefault="004A6600" w:rsidP="004A6600">
      <w:pPr>
        <w:spacing w:before="100" w:after="100" w:line="232" w:lineRule="exact"/>
      </w:pPr>
      <w:r w:rsidRPr="005F3134">
        <w:t xml:space="preserve">W porównaniu </w:t>
      </w:r>
      <w:r>
        <w:t xml:space="preserve">listopadem </w:t>
      </w:r>
      <w:r w:rsidRPr="005F3134">
        <w:t>2</w:t>
      </w:r>
      <w:r>
        <w:t>019 r. stopa bezrobocia wzrosła</w:t>
      </w:r>
      <w:r w:rsidRPr="005F3134">
        <w:t xml:space="preserve"> w</w:t>
      </w:r>
      <w:r>
        <w:t xml:space="preserve"> 40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gostynińskim (o 2,3 p. proc.), zwoleńskim (o 2,0 p. proc.) oraz legionowskim i mińskim (po 1,8 p. proc.). Spadek nastąpił w powiatach przysuskim i żuromińskim (po 0,3 p. proc.).</w:t>
      </w:r>
    </w:p>
    <w:p w:rsidR="006E44DC" w:rsidRPr="00BF37F3" w:rsidRDefault="004A6600" w:rsidP="004A6600">
      <w:pPr>
        <w:spacing w:before="100" w:after="100" w:line="232" w:lineRule="exact"/>
      </w:pPr>
      <w:r>
        <w:t>W stosunku do października 2020 r. wzrost stopy bezrobocia w granicach 0,1–0,6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13 powiatach. Spadek w granicach 0,1–0,2 miał miejsce w 4 powiatach. W 25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20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432C59">
        <w:t>listopada</w:t>
      </w:r>
      <w:r w:rsidR="0040289C" w:rsidRPr="00446ED2">
        <w:t>)</w:t>
      </w:r>
    </w:p>
    <w:p w:rsidR="00C27F99" w:rsidRDefault="0061319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4A6600" w:rsidRPr="005F3134" w:rsidRDefault="004A6600" w:rsidP="004A6600">
      <w:pPr>
        <w:pStyle w:val="Tekstkomunikatpustywiersz"/>
        <w:spacing w:after="100" w:line="236" w:lineRule="exact"/>
      </w:pPr>
      <w:r>
        <w:t xml:space="preserve">W listopadzie </w:t>
      </w:r>
      <w:r w:rsidRPr="005F3134">
        <w:t xml:space="preserve">br.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1,4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 xml:space="preserve">16,6% niż przed miesiącem </w:t>
      </w:r>
      <w:r>
        <w:br/>
        <w:t>i o 21,5</w:t>
      </w:r>
      <w:r w:rsidRPr="005F3134">
        <w:t xml:space="preserve">% niż przed rokiem. Wśród osób nowo zarejestrowanych </w:t>
      </w:r>
      <w:r>
        <w:t>75,1</w:t>
      </w:r>
      <w:r w:rsidRPr="005F3134">
        <w:t>% stanowiły osoby rejestrujące si</w:t>
      </w:r>
      <w:r>
        <w:t>ę po raz kolejny (przed rokiem 80,8</w:t>
      </w:r>
      <w:r w:rsidRPr="005F3134">
        <w:t>%). Udział osób dot</w:t>
      </w:r>
      <w:r>
        <w:t>ychczas niepracujących wyniósł 14,2% (spadek</w:t>
      </w:r>
      <w:r w:rsidRPr="005F3134">
        <w:t xml:space="preserve"> o </w:t>
      </w:r>
      <w:r>
        <w:t>1,1</w:t>
      </w:r>
      <w:r w:rsidRPr="005F3134">
        <w:t xml:space="preserve"> p. proc. w skali roku), osób zwolnionych z przyczyn dotyczących zakładu pracy było </w:t>
      </w:r>
      <w:r>
        <w:t>5,3% (wzrost o 1,3</w:t>
      </w:r>
      <w:r w:rsidRPr="005F3134">
        <w:t xml:space="preserve"> p. proc.). Spośród bezrobotnych nowo zarejestrowanych 4</w:t>
      </w:r>
      <w:r>
        <w:t>2,4% mieszkało na wsi (spadek o 1,0 p. proc.</w:t>
      </w:r>
      <w:r w:rsidRPr="005F3134">
        <w:t xml:space="preserve">). Absolwenci stanowili </w:t>
      </w:r>
      <w:r>
        <w:t>8,1</w:t>
      </w:r>
      <w:r w:rsidRPr="005F3134">
        <w:t>% nowo zarej</w:t>
      </w:r>
      <w:r>
        <w:t>estrowanych bezrobotnych (wzrost</w:t>
      </w:r>
      <w:r w:rsidRPr="005F3134">
        <w:t xml:space="preserve"> o </w:t>
      </w:r>
      <w:r>
        <w:t>1,2</w:t>
      </w:r>
      <w:r w:rsidRPr="005F3134">
        <w:t xml:space="preserve"> p. proc.).</w:t>
      </w:r>
    </w:p>
    <w:p w:rsidR="004A6600" w:rsidRDefault="004A6600" w:rsidP="004A6600">
      <w:pPr>
        <w:pStyle w:val="Tekstkomunikat"/>
        <w:spacing w:before="100" w:after="100" w:line="236" w:lineRule="exact"/>
      </w:pPr>
      <w:r>
        <w:t xml:space="preserve">W listopadzie </w:t>
      </w:r>
      <w:r w:rsidRPr="005F3134">
        <w:t xml:space="preserve">br. </w:t>
      </w:r>
      <w:r w:rsidRPr="005F3134">
        <w:rPr>
          <w:b/>
        </w:rPr>
        <w:t>z ewidencji bezrobotnych skreślono</w:t>
      </w:r>
      <w:r>
        <w:t xml:space="preserve"> 11,1</w:t>
      </w:r>
      <w:r w:rsidRPr="005F3134">
        <w:t xml:space="preserve"> tys. osób, tj. </w:t>
      </w:r>
      <w:r>
        <w:t>mniej</w:t>
      </w:r>
      <w:r w:rsidRPr="005F3134">
        <w:t xml:space="preserve"> o </w:t>
      </w:r>
      <w:r>
        <w:t xml:space="preserve">25,9% niż przed miesiącem i </w:t>
      </w:r>
      <w:r w:rsidRPr="005F3134">
        <w:t xml:space="preserve">o </w:t>
      </w:r>
      <w:r>
        <w:t>18,0</w:t>
      </w:r>
      <w:r w:rsidRPr="005F3134">
        <w:t>% niż przed rokiem. Z powodu podjęcia pracy z rej</w:t>
      </w:r>
      <w:r>
        <w:t>estru bezrobotnych wyłączono 7,3</w:t>
      </w:r>
      <w:r w:rsidRPr="005F3134">
        <w:t xml:space="preserve"> tys. osób (przed rokiem </w:t>
      </w:r>
      <w:r>
        <w:t xml:space="preserve">7,5 </w:t>
      </w:r>
      <w:r w:rsidRPr="005F3134">
        <w:t xml:space="preserve">tys.). Udział tej kategorii osób w ogólnej liczbie wyrejestrowanych zwiększył się w skali roku o </w:t>
      </w:r>
      <w:r>
        <w:t>10,2 p. proc. i wyniósł 65,3</w:t>
      </w:r>
      <w:r w:rsidRPr="005F3134">
        <w:t xml:space="preserve">%. </w:t>
      </w:r>
      <w:r>
        <w:t xml:space="preserve">Zwiększył się również odsetek </w:t>
      </w:r>
      <w:r w:rsidRPr="00E54535">
        <w:t>osób, które rozpoczęły szkolenie lub staż u pracod</w:t>
      </w:r>
      <w:r>
        <w:t xml:space="preserve">awców (o 1,2 p. proc. do 3,7%). </w:t>
      </w:r>
      <w:r w:rsidRPr="005F3134">
        <w:t>Z</w:t>
      </w:r>
      <w:r>
        <w:t xml:space="preserve">mniejszył się natomiast udział osób, </w:t>
      </w:r>
      <w:r w:rsidRPr="008F3E90">
        <w:t>które utraciły status bezrobotnego w wyniku niepotwierdzenia gotowości do pod</w:t>
      </w:r>
      <w:r>
        <w:t>jęcia pracy (o 9,0</w:t>
      </w:r>
      <w:r>
        <w:br/>
        <w:t>p. proc. do 14,2</w:t>
      </w:r>
      <w:r w:rsidRPr="008F3E90">
        <w:t>%)</w:t>
      </w:r>
      <w:r>
        <w:t xml:space="preserve"> oraz o</w:t>
      </w:r>
      <w:r w:rsidRPr="0045542F">
        <w:t>sób, które dobrowolnie zrezy</w:t>
      </w:r>
      <w:r>
        <w:t>gnowały ze statusu bezrobotnego (o 3,1 p. proc. do 3,3</w:t>
      </w:r>
      <w:r w:rsidRPr="0045542F">
        <w:t>%)</w:t>
      </w:r>
      <w:r>
        <w:t xml:space="preserve">. Odsetek </w:t>
      </w:r>
      <w:r w:rsidRPr="008F3E90">
        <w:t>osób, które nabyły pra</w:t>
      </w:r>
      <w:r>
        <w:t>wa emerytalne lub rentowe nie zmienił się i wyniósł 0,5%.</w:t>
      </w:r>
    </w:p>
    <w:p w:rsidR="004A6600" w:rsidRPr="005F3134" w:rsidRDefault="004A6600" w:rsidP="004A6600">
      <w:pPr>
        <w:pStyle w:val="Tekstkomunikat"/>
        <w:spacing w:before="100" w:after="100" w:line="236" w:lineRule="exact"/>
      </w:pPr>
      <w:r w:rsidRPr="005F3134">
        <w:t xml:space="preserve">W końcu </w:t>
      </w:r>
      <w:r>
        <w:t>listopada</w:t>
      </w:r>
      <w:r w:rsidRPr="005F3134">
        <w:t xml:space="preserve"> br. bez</w:t>
      </w:r>
      <w:r>
        <w:t xml:space="preserve"> prawa do zasiłku pozostawało 120,3</w:t>
      </w:r>
      <w:r w:rsidRPr="005F3134">
        <w:t xml:space="preserve"> tys. osób bezrobotnych, a ich udział w ogólnej liczbie bezrobotnych zarejestrowanych wyniósł 8</w:t>
      </w:r>
      <w:r>
        <w:t>3,5% (wzrost o 0,2</w:t>
      </w:r>
      <w:r w:rsidRPr="005F3134">
        <w:t xml:space="preserve"> p. proc. w skali roku).</w:t>
      </w:r>
    </w:p>
    <w:p w:rsidR="005851C6" w:rsidRDefault="004A6600" w:rsidP="004A6600">
      <w:pPr>
        <w:pStyle w:val="Tekstkomunikat"/>
        <w:spacing w:before="100" w:after="100" w:line="236" w:lineRule="exact"/>
      </w:pPr>
      <w:r w:rsidRPr="005F3134">
        <w:t>Na koniec badanego miesiąca wśród</w:t>
      </w:r>
      <w:r>
        <w:t xml:space="preserve"> bezrobotnych zarejestrowanych 74,3 tys., tj. 51,6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35,7</w:t>
      </w:r>
      <w:r w:rsidRPr="005F3134">
        <w:t xml:space="preserve"> tys., co stanowiło 2</w:t>
      </w:r>
      <w:r>
        <w:t>4,8</w:t>
      </w:r>
      <w:r w:rsidRPr="005F3134">
        <w:t xml:space="preserve"> % ogółu bezrobotnych (w tym osoby w wieku poni</w:t>
      </w:r>
      <w:r>
        <w:t>żej 25 roku życia stanowiły 11,8</w:t>
      </w:r>
      <w:r w:rsidRPr="005F3134">
        <w:t>%). Osób w wieku powyżej 50 roku życia było 3</w:t>
      </w:r>
      <w:r>
        <w:t>7,3 tys. (25,9</w:t>
      </w:r>
      <w:r w:rsidRPr="005F3134">
        <w:t>%). Ze świadczeń pomocy społecznej korzystało 1,</w:t>
      </w:r>
      <w:r>
        <w:t>0</w:t>
      </w:r>
      <w:r w:rsidRPr="005F3134">
        <w:t xml:space="preserve"> tys. bezrobotnych, tj. </w:t>
      </w:r>
      <w:r>
        <w:t>0,7</w:t>
      </w:r>
      <w:r w:rsidRPr="005F3134">
        <w:t xml:space="preserve">% ogólnej ich liczby. Osób bezrobotnych posiadających co najmniej jedno dziecko </w:t>
      </w:r>
      <w:r>
        <w:t>w wieku do 6 roku życia było 23,1 tys. (tj. 16,0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48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2 tys. (tj. 4,3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432C59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4A6600" w:rsidRPr="005F3134" w:rsidRDefault="004A6600" w:rsidP="004A6600">
      <w:pPr>
        <w:pStyle w:val="Tekstkomunikat"/>
        <w:rPr>
          <w:sz w:val="24"/>
          <w:szCs w:val="24"/>
        </w:rPr>
      </w:pPr>
      <w:r>
        <w:t>W listopadzie br. do urzędów pracy zgłoszono 13,3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więcej niż przed miesiącem (o 2,4%)</w:t>
      </w:r>
      <w:r w:rsidRPr="005F3134">
        <w:t xml:space="preserve"> </w:t>
      </w:r>
      <w:r>
        <w:rPr>
          <w:spacing w:val="-2"/>
        </w:rPr>
        <w:t>i przed rokiem (o 10,4%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przypadało 20 osób bezrobotnych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15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4A6600" w:rsidRPr="001418F1" w:rsidRDefault="004A6600" w:rsidP="004A6600">
      <w:pPr>
        <w:pStyle w:val="Tekstkomunikat"/>
      </w:pPr>
      <w:r w:rsidRPr="005F3134">
        <w:t xml:space="preserve">Z danych urzędów pracy wynika, że według stanu w końcu </w:t>
      </w:r>
      <w:r>
        <w:t>listopada</w:t>
      </w:r>
      <w:r w:rsidRPr="005F3134">
        <w:t xml:space="preserve"> br. </w:t>
      </w:r>
      <w:r>
        <w:t>90</w:t>
      </w:r>
      <w:r w:rsidRPr="005F3134">
        <w:t xml:space="preserve"> zakład</w:t>
      </w:r>
      <w:r>
        <w:t>ów pracy zapowiedziało</w:t>
      </w:r>
      <w:r w:rsidRPr="005F3134">
        <w:t xml:space="preserve"> zwolnienie w najbliższym czasie </w:t>
      </w:r>
      <w:r>
        <w:t>15,8</w:t>
      </w:r>
      <w:r w:rsidRPr="005F3134">
        <w:t xml:space="preserve"> tys. pracowników (przed rokiem odpowiednio </w:t>
      </w:r>
      <w:r>
        <w:t xml:space="preserve">37 zakładów </w:t>
      </w:r>
      <w:r w:rsidRPr="005F3134">
        <w:t xml:space="preserve">– </w:t>
      </w:r>
      <w:r>
        <w:t>10,4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4A6600" w:rsidP="00AA3F79">
            <w:pPr>
              <w:pStyle w:val="Tekstkomunikatlid"/>
            </w:pPr>
            <w:r>
              <w:t xml:space="preserve">W listopadzie </w:t>
            </w:r>
            <w:r w:rsidRPr="00942C70">
              <w:t>br.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zwiększyło się w skali roku, a zmniejszyło się w skali miesiąca</w:t>
            </w:r>
            <w:r w:rsidRPr="00942C70">
              <w:t>.</w:t>
            </w:r>
          </w:p>
        </w:tc>
      </w:tr>
    </w:tbl>
    <w:p w:rsidR="004A6600" w:rsidRPr="00C72F5A" w:rsidRDefault="004A6600" w:rsidP="004A6600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 listopadzie </w:t>
      </w:r>
      <w:r w:rsidRPr="005F3134">
        <w:rPr>
          <w:bCs/>
        </w:rPr>
        <w:t xml:space="preserve">br. </w:t>
      </w:r>
      <w:r>
        <w:rPr>
          <w:bCs/>
        </w:rPr>
        <w:t xml:space="preserve">wyniosło 6267,09 zł i było </w:t>
      </w:r>
      <w:r>
        <w:rPr>
          <w:bCs/>
        </w:rPr>
        <w:br/>
        <w:t>o 2,8% wyż</w:t>
      </w:r>
      <w:r w:rsidRPr="005F3134">
        <w:rPr>
          <w:bCs/>
        </w:rPr>
        <w:t xml:space="preserve">sze niż przed rokiem (w poprzednim miesiącu </w:t>
      </w:r>
      <w:r>
        <w:rPr>
          <w:bCs/>
        </w:rPr>
        <w:t>zanotowano w</w:t>
      </w:r>
      <w:r w:rsidRPr="005F3134">
        <w:rPr>
          <w:bCs/>
        </w:rPr>
        <w:t>zrost</w:t>
      </w:r>
      <w:r>
        <w:rPr>
          <w:bCs/>
        </w:rPr>
        <w:t xml:space="preserve"> o 3,1</w:t>
      </w:r>
      <w:r w:rsidRPr="005F3134">
        <w:rPr>
          <w:bCs/>
        </w:rPr>
        <w:t>%). Przeciętne wyn</w:t>
      </w:r>
      <w:r>
        <w:rPr>
          <w:bCs/>
        </w:rPr>
        <w:t>agrodzenie zwiększył</w:t>
      </w:r>
      <w:r w:rsidR="006340C6">
        <w:rPr>
          <w:bCs/>
        </w:rPr>
        <w:t>o</w:t>
      </w:r>
      <w:r>
        <w:rPr>
          <w:bCs/>
        </w:rPr>
        <w:t xml:space="preserve"> się najbardziej </w:t>
      </w:r>
      <w:r w:rsidRPr="00864A5B">
        <w:rPr>
          <w:bCs/>
        </w:rPr>
        <w:t xml:space="preserve">w </w:t>
      </w:r>
      <w:r w:rsidRPr="001F2740">
        <w:rPr>
          <w:bCs/>
        </w:rPr>
        <w:t>wytwarzaniu i zaopatrywaniu w energię elektryczną, gaz,</w:t>
      </w:r>
      <w:r>
        <w:rPr>
          <w:bCs/>
        </w:rPr>
        <w:t xml:space="preserve"> parę wodną i gorącą wodę (o 6,5</w:t>
      </w:r>
      <w:r w:rsidRPr="001F2740">
        <w:rPr>
          <w:bCs/>
        </w:rPr>
        <w:t>%)</w:t>
      </w:r>
      <w:r>
        <w:rPr>
          <w:bCs/>
        </w:rPr>
        <w:t xml:space="preserve">, </w:t>
      </w:r>
      <w:r w:rsidR="008951E8">
        <w:rPr>
          <w:bCs/>
        </w:rPr>
        <w:br/>
      </w:r>
      <w:r>
        <w:rPr>
          <w:bCs/>
        </w:rPr>
        <w:t xml:space="preserve">a ponadto m.in. w </w:t>
      </w:r>
      <w:r>
        <w:t xml:space="preserve">przetwórstwie przemysłowym (o 5,5%) oraz obsłudze rynku nieruchomości (o 5,4%). Spadek wystąpił </w:t>
      </w:r>
      <w:r w:rsidR="008951E8">
        <w:br/>
      </w:r>
      <w:r>
        <w:t xml:space="preserve">w zakwaterowaniu i gastronomii (o 2,1%) oraz </w:t>
      </w:r>
      <w:r w:rsidRPr="00BC728D">
        <w:t>transporci</w:t>
      </w:r>
      <w:r>
        <w:t>e i gospodarce magazynowej (o 1</w:t>
      </w:r>
      <w:r w:rsidRPr="00BC728D">
        <w:t>,3%)</w:t>
      </w:r>
      <w:r>
        <w:t>.</w:t>
      </w:r>
      <w:r w:rsidRPr="00AB74D1">
        <w:t xml:space="preserve"> </w:t>
      </w:r>
    </w:p>
    <w:p w:rsidR="000B1EA5" w:rsidRPr="008D784A" w:rsidRDefault="004A6600" w:rsidP="004A6600">
      <w:pPr>
        <w:pStyle w:val="Tekstkomunikat"/>
        <w:rPr>
          <w:bCs/>
        </w:rPr>
      </w:pPr>
      <w:r w:rsidRPr="007F23F5">
        <w:t>W porównaniu z</w:t>
      </w:r>
      <w:r>
        <w:t xml:space="preserve"> październikiem br. przeciętne wynagrodzenie zmniejszyło się o 3,1%. Największy spadek </w:t>
      </w:r>
      <w:r w:rsidRPr="00864A5B">
        <w:t xml:space="preserve">wystąpił </w:t>
      </w:r>
      <w:r>
        <w:br/>
      </w:r>
      <w:r w:rsidRPr="00864A5B">
        <w:t xml:space="preserve">w transporcie </w:t>
      </w:r>
      <w:r>
        <w:t>i gospodarce magazynowej (o 12,3</w:t>
      </w:r>
      <w:r w:rsidRPr="00864A5B">
        <w:t xml:space="preserve">%), </w:t>
      </w:r>
      <w:r>
        <w:t xml:space="preserve">a ponadto m.in. w </w:t>
      </w:r>
      <w:r w:rsidRPr="00864A5B">
        <w:t>budownictwie (o</w:t>
      </w:r>
      <w:r>
        <w:t xml:space="preserve"> 11,3</w:t>
      </w:r>
      <w:r w:rsidRPr="00864A5B">
        <w:t xml:space="preserve">%) </w:t>
      </w:r>
      <w:r>
        <w:t>oraz</w:t>
      </w:r>
      <w:r w:rsidRPr="007D48A9">
        <w:t xml:space="preserve"> </w:t>
      </w:r>
      <w:r>
        <w:t>a</w:t>
      </w:r>
      <w:r w:rsidRPr="005F3134">
        <w:t>dministrowani</w:t>
      </w:r>
      <w:r>
        <w:t xml:space="preserve">u </w:t>
      </w:r>
      <w:r>
        <w:br/>
        <w:t>i działalności wspierającej (o 1,9%)</w:t>
      </w:r>
      <w:r w:rsidRPr="00864A5B">
        <w:t>.</w:t>
      </w:r>
      <w:r>
        <w:t xml:space="preserve"> Wzrost wystąpił w </w:t>
      </w:r>
      <w:r w:rsidRPr="00864A5B">
        <w:t>wytwarzaniu i zaopatrywaniu w energię elektryczną, gaz,</w:t>
      </w:r>
      <w:r>
        <w:t xml:space="preserve"> parę wodną i gorącą wodę (o 14,9</w:t>
      </w:r>
      <w:r w:rsidRPr="00864A5B">
        <w:t>%)</w:t>
      </w:r>
      <w:r>
        <w:t>, a ponadto w przetwórstwie przemysłowym</w:t>
      </w:r>
      <w:r w:rsidRPr="008F4AAE">
        <w:t xml:space="preserve"> </w:t>
      </w:r>
      <w:r>
        <w:t xml:space="preserve">(o 1,2%) oraz </w:t>
      </w:r>
      <w:r w:rsidRPr="00864A5B">
        <w:t>działalności profesjonalne</w:t>
      </w:r>
      <w:r>
        <w:t>j, naukowej i technicznej (o 0,8%).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1406A7">
        <w:rPr>
          <w:noProof/>
        </w:rPr>
        <w:t xml:space="preserve"> </w:t>
      </w:r>
      <w:r w:rsidR="00432C59">
        <w:rPr>
          <w:noProof/>
        </w:rPr>
        <w:t>listopadzie</w:t>
      </w:r>
      <w:r w:rsidR="001406A7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61319F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4A6600" w:rsidP="00886514">
      <w:pPr>
        <w:pStyle w:val="Tekstkomunikat"/>
        <w:spacing w:before="240"/>
      </w:pPr>
      <w:r>
        <w:t xml:space="preserve">W listopadzie </w:t>
      </w:r>
      <w:r w:rsidRPr="005F3134">
        <w:t>br. najwyższe przeciętne miesięczne wynagrodzenie brutto notowano w sekcji</w:t>
      </w:r>
      <w:r w:rsidRPr="006B6759">
        <w:t xml:space="preserve"> wytwarzanie</w:t>
      </w:r>
      <w:r>
        <w:t xml:space="preserve"> i zaopatrywanie w energię elek</w:t>
      </w:r>
      <w:r w:rsidRPr="006B6759">
        <w:t xml:space="preserve">tryczną, gaz, parę wodną i gorącą wodę </w:t>
      </w:r>
      <w:r w:rsidRPr="005F3134">
        <w:t xml:space="preserve">– przekroczyło ono o </w:t>
      </w:r>
      <w:r>
        <w:t>56,1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 w:rsidR="00316EAB">
        <w:t xml:space="preserve">w </w:t>
      </w:r>
      <w:r w:rsidR="004A6600">
        <w:t>listopadzie</w:t>
      </w:r>
      <w:r w:rsidR="004A6600" w:rsidRPr="005F3134">
        <w:t xml:space="preserve"> </w:t>
      </w:r>
      <w:r w:rsidRPr="005F3134"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A6600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4A6600" w:rsidRPr="005F3134" w:rsidRDefault="004A6600" w:rsidP="004A660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  <w:r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I–XI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4A6600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  <w:r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I–XI</w:t>
            </w:r>
            <w:r w:rsidRPr="005F3134">
              <w:rPr>
                <w:lang w:eastAsia="pl-PL"/>
              </w:rPr>
              <w:t xml:space="preserve"> 2019=100</w:t>
            </w:r>
          </w:p>
        </w:tc>
      </w:tr>
      <w:tr w:rsidR="004A6600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b/>
              </w:rPr>
            </w:pPr>
            <w:r w:rsidRPr="00084AEB">
              <w:rPr>
                <w:b/>
              </w:rPr>
              <w:t>6267,09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102,8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b/>
              </w:rPr>
            </w:pPr>
            <w:r w:rsidRPr="00084AEB">
              <w:rPr>
                <w:b/>
              </w:rPr>
              <w:t>6317,72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103,0</w:t>
            </w:r>
          </w:p>
        </w:tc>
      </w:tr>
      <w:tr w:rsidR="004A6600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6120,23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105,0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6056,86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104,8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5891,65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105,5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5856,33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105,2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9784,49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9167,56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104,3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6687,02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101,5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6816,85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104,0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6274,76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6403,81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100,7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5230,76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98,7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5167,43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100,8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4250,76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97,9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4331,47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97,9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9570,61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9838,38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104,5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7072,47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7286,36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106,1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8801,03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8924,36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103,7</w:t>
            </w:r>
          </w:p>
        </w:tc>
      </w:tr>
      <w:tr w:rsidR="004A6600" w:rsidRPr="005F3134" w:rsidTr="00105651">
        <w:tc>
          <w:tcPr>
            <w:tcW w:w="3969" w:type="dxa"/>
            <w:vAlign w:val="center"/>
          </w:tcPr>
          <w:p w:rsidR="004A6600" w:rsidRPr="005F3134" w:rsidRDefault="004A6600" w:rsidP="004A6600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4513,57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 w:rsidRPr="00084AEB">
              <w:t>4541,39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Tekstkomunikatliczby"/>
              <w:spacing w:before="110" w:after="110"/>
            </w:pPr>
            <w:r>
              <w:t>106,4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 w:rsidR="0020040C">
        <w:t xml:space="preserve"> </w:t>
      </w:r>
    </w:p>
    <w:p w:rsidR="001B5E37" w:rsidRDefault="004A6600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>
        <w:rPr>
          <w:spacing w:val="-1"/>
        </w:rPr>
        <w:t>listopad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>przedsiębiorstw wyniosło 6317,72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t>i było o 3,0</w:t>
      </w:r>
      <w:r w:rsidRPr="00FA3F17">
        <w:t>% wyższe niż w analogicznym okresie 2019 r. (prze</w:t>
      </w:r>
      <w:r w:rsidRPr="00B33D03">
        <w:t xml:space="preserve">d </w:t>
      </w:r>
      <w:r w:rsidRPr="00F44407">
        <w:t>rokiem wyższe o 6,1%).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3C3186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Default="007F61E4" w:rsidP="007F61E4">
      <w:pPr>
        <w:pStyle w:val="Tekstkomunikattytu"/>
      </w:pPr>
      <w:bookmarkStart w:id="4" w:name="_Toc309805947"/>
      <w:bookmarkStart w:id="5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7F61E4" w:rsidRPr="00F350CB" w:rsidTr="004B728B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7F61E4" w:rsidRPr="00F350CB" w:rsidRDefault="00A76138" w:rsidP="00AD6DC9">
            <w:pPr>
              <w:pStyle w:val="Tekstkomunikatlid"/>
            </w:pPr>
            <w:r>
              <w:rPr>
                <w:bCs/>
              </w:rPr>
              <w:t xml:space="preserve">W III kwartale </w:t>
            </w:r>
            <w:r w:rsidR="00AD6DC9">
              <w:rPr>
                <w:bCs/>
              </w:rPr>
              <w:t>b</w:t>
            </w:r>
            <w:r w:rsidR="007F61E4" w:rsidRPr="00E26787">
              <w:rPr>
                <w:bCs/>
              </w:rPr>
              <w:t>r. w województwie mazowieckim ceny towarów i usług konsumpcyjnych wzrosły w skali roku o</w:t>
            </w:r>
            <w:r w:rsidR="007F61E4">
              <w:rPr>
                <w:bCs/>
              </w:rPr>
              <w:t xml:space="preserve"> </w:t>
            </w:r>
            <w:r>
              <w:rPr>
                <w:bCs/>
              </w:rPr>
              <w:t>3,1</w:t>
            </w:r>
            <w:r w:rsidR="007F61E4">
              <w:rPr>
                <w:bCs/>
              </w:rPr>
              <w:t xml:space="preserve">% </w:t>
            </w:r>
            <w:r w:rsidR="00AD6DC9">
              <w:rPr>
                <w:bCs/>
              </w:rPr>
              <w:br/>
            </w:r>
            <w:r w:rsidR="007F61E4">
              <w:rPr>
                <w:bCs/>
              </w:rPr>
              <w:t xml:space="preserve">(w kraju – o </w:t>
            </w:r>
            <w:r>
              <w:rPr>
                <w:bCs/>
              </w:rPr>
              <w:t>3,0</w:t>
            </w:r>
            <w:r w:rsidR="007F61E4" w:rsidRPr="00E26787">
              <w:rPr>
                <w:bCs/>
              </w:rPr>
              <w:t>%); w III kwartale 201</w:t>
            </w:r>
            <w:r>
              <w:rPr>
                <w:bCs/>
              </w:rPr>
              <w:t>9</w:t>
            </w:r>
            <w:r w:rsidR="007F61E4" w:rsidRPr="00E26787">
              <w:rPr>
                <w:bCs/>
              </w:rPr>
              <w:t xml:space="preserve"> r. </w:t>
            </w:r>
            <w:r w:rsidR="007F61E4">
              <w:rPr>
                <w:bCs/>
              </w:rPr>
              <w:t>wzrost cen wyniósł</w:t>
            </w:r>
            <w:r w:rsidR="007F61E4" w:rsidRPr="00E26787">
              <w:rPr>
                <w:bCs/>
              </w:rPr>
              <w:t xml:space="preserve"> </w:t>
            </w:r>
            <w:r>
              <w:rPr>
                <w:bCs/>
              </w:rPr>
              <w:t>2,7</w:t>
            </w:r>
            <w:r w:rsidR="007F61E4" w:rsidRPr="00E26787">
              <w:rPr>
                <w:bCs/>
              </w:rPr>
              <w:t>%.</w:t>
            </w:r>
            <w:r w:rsidR="007F61E4">
              <w:rPr>
                <w:bCs/>
              </w:rPr>
              <w:t xml:space="preserve"> </w:t>
            </w:r>
          </w:p>
        </w:tc>
      </w:tr>
    </w:tbl>
    <w:p w:rsidR="007F61E4" w:rsidRDefault="007F61E4" w:rsidP="007F61E4">
      <w:pPr>
        <w:rPr>
          <w:lang w:eastAsia="pl-PL"/>
        </w:rPr>
      </w:pPr>
    </w:p>
    <w:p w:rsidR="00C61B83" w:rsidRDefault="007F61E4" w:rsidP="007F61E4">
      <w:pPr>
        <w:rPr>
          <w:lang w:eastAsia="pl-PL"/>
        </w:rPr>
      </w:pPr>
      <w:r>
        <w:rPr>
          <w:lang w:eastAsia="pl-PL"/>
        </w:rPr>
        <w:t xml:space="preserve">Najbardziej wzrosły ceny </w:t>
      </w:r>
      <w:r w:rsidR="00C61B83">
        <w:rPr>
          <w:lang w:eastAsia="pl-PL"/>
        </w:rPr>
        <w:t xml:space="preserve">w zakresie edukacji (o 7,2%). Wyższe były także ceny </w:t>
      </w:r>
      <w:r w:rsidR="00EB23C8">
        <w:rPr>
          <w:lang w:eastAsia="pl-PL"/>
        </w:rPr>
        <w:t>artykułów</w:t>
      </w:r>
      <w:r w:rsidR="004A2A51">
        <w:rPr>
          <w:lang w:eastAsia="pl-PL"/>
        </w:rPr>
        <w:t xml:space="preserve"> i usług </w:t>
      </w:r>
      <w:r w:rsidR="00C61B83">
        <w:rPr>
          <w:lang w:eastAsia="pl-PL"/>
        </w:rPr>
        <w:t>związan</w:t>
      </w:r>
      <w:r w:rsidR="004A2A51">
        <w:rPr>
          <w:lang w:eastAsia="pl-PL"/>
        </w:rPr>
        <w:t>ych</w:t>
      </w:r>
      <w:r w:rsidR="00C61B83">
        <w:rPr>
          <w:lang w:eastAsia="pl-PL"/>
        </w:rPr>
        <w:t xml:space="preserve"> ze zdrowiem </w:t>
      </w:r>
      <w:r w:rsidR="00C61B83">
        <w:rPr>
          <w:lang w:eastAsia="pl-PL"/>
        </w:rPr>
        <w:br/>
        <w:t xml:space="preserve">(o 6,0%), opłaty związane z użytkowaniem mieszkania (o 5,2%), ceny napojów alkoholowych i wyrobów tytoniowych </w:t>
      </w:r>
      <w:r w:rsidR="00C61B83">
        <w:rPr>
          <w:lang w:eastAsia="pl-PL"/>
        </w:rPr>
        <w:br/>
        <w:t xml:space="preserve">(o 4,8%), ceny dotyczące rekreacji i kultury (o 4,5%); w najmniejszym stopniu podrożała żywność i napoje bezalkoholowe (o 3,4%). </w:t>
      </w:r>
      <w:r w:rsidR="004A2A51">
        <w:rPr>
          <w:lang w:eastAsia="pl-PL"/>
        </w:rPr>
        <w:t xml:space="preserve">Niższe w porównaniu z III kwartałem ub. roku były ceny towarów i usług w zakresie transportu (o 6,2%) oraz odzieży i obuwia (o 2,7%). </w:t>
      </w:r>
    </w:p>
    <w:p w:rsidR="007F61E4" w:rsidRDefault="007F61E4" w:rsidP="007F61E4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7F61E4" w:rsidRPr="001C4197" w:rsidTr="004B728B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7F61E4" w:rsidRPr="001C4197" w:rsidRDefault="007F61E4" w:rsidP="004B728B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7F61E4" w:rsidRPr="001C4197" w:rsidRDefault="007F61E4" w:rsidP="00123AD5">
            <w:pPr>
              <w:pStyle w:val="Tekstkomunikatgwka"/>
            </w:pPr>
            <w:r>
              <w:t>201</w:t>
            </w:r>
            <w:r w:rsidR="00123AD5">
              <w:t>9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7F61E4" w:rsidRPr="001C4197" w:rsidRDefault="007F61E4" w:rsidP="00AF0992">
            <w:pPr>
              <w:pStyle w:val="Tekstkomunikatgwka"/>
            </w:pPr>
            <w:r>
              <w:t>2</w:t>
            </w:r>
            <w:r w:rsidR="00AF0992">
              <w:t>020</w:t>
            </w:r>
          </w:p>
        </w:tc>
      </w:tr>
      <w:tr w:rsidR="007F61E4" w:rsidRPr="001C4197" w:rsidTr="004B728B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7F61E4" w:rsidRPr="001C4197" w:rsidRDefault="007F61E4" w:rsidP="004B728B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7F61E4" w:rsidRPr="001C4197" w:rsidRDefault="007F61E4" w:rsidP="004B728B">
            <w:pPr>
              <w:pStyle w:val="Tekstkomunikatgwka"/>
            </w:pPr>
            <w:r>
              <w:t>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F61E4" w:rsidRPr="001C4197" w:rsidRDefault="007F61E4" w:rsidP="004B728B">
            <w:pPr>
              <w:pStyle w:val="Tekstkomunikatgwka"/>
            </w:pPr>
            <w:r>
              <w:t>III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F61E4" w:rsidRPr="001C4197" w:rsidRDefault="007F61E4" w:rsidP="004B728B">
            <w:pPr>
              <w:pStyle w:val="Tekstkomunikatgwka"/>
            </w:pPr>
            <w:r>
              <w:t>II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F61E4" w:rsidRPr="001C4197" w:rsidRDefault="007F61E4" w:rsidP="004B728B">
            <w:pPr>
              <w:pStyle w:val="Tekstkomunikatgwka"/>
            </w:pPr>
            <w:r>
              <w:t>III kw.</w:t>
            </w:r>
          </w:p>
        </w:tc>
      </w:tr>
      <w:tr w:rsidR="007F61E4" w:rsidRPr="001C4197" w:rsidTr="004B728B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F61E4" w:rsidRPr="001C4197" w:rsidRDefault="007F61E4" w:rsidP="004B728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F61E4" w:rsidRPr="001C4197" w:rsidRDefault="007F61E4" w:rsidP="004B728B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058D" w:rsidRPr="00263069" w:rsidRDefault="00AB058D" w:rsidP="009B7BAB">
            <w:pPr>
              <w:pStyle w:val="TekstkomunikatB1"/>
              <w:spacing w:before="100" w:after="10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058D" w:rsidRPr="007D2E06" w:rsidRDefault="00AB058D" w:rsidP="009B7BAB">
            <w:pPr>
              <w:pStyle w:val="Wartoci"/>
              <w:spacing w:before="100" w:after="100"/>
              <w:rPr>
                <w:b/>
              </w:rPr>
            </w:pPr>
            <w:r w:rsidRPr="007D2E06">
              <w:rPr>
                <w:b/>
              </w:rPr>
              <w:t>102,2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058D" w:rsidRPr="007D2E06" w:rsidRDefault="00AB058D" w:rsidP="009B7BAB">
            <w:pPr>
              <w:pStyle w:val="Wartoci"/>
              <w:spacing w:before="100" w:after="100"/>
              <w:rPr>
                <w:b/>
              </w:rPr>
            </w:pPr>
            <w:r w:rsidRPr="007D2E06">
              <w:rPr>
                <w:b/>
              </w:rPr>
              <w:t>102,7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  <w:rPr>
                <w:b/>
              </w:rPr>
            </w:pPr>
            <w:r w:rsidRPr="00AB058D">
              <w:rPr>
                <w:b/>
              </w:rPr>
              <w:t>103,3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  <w:rPr>
                <w:b/>
              </w:rPr>
            </w:pPr>
            <w:r w:rsidRPr="00AB058D">
              <w:rPr>
                <w:b/>
              </w:rPr>
              <w:t>103,1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B058D" w:rsidRPr="00C61E42" w:rsidRDefault="00AB058D" w:rsidP="009B7BAB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104,8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107,2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106,6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103,4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AB058D" w:rsidRPr="00C61E42" w:rsidRDefault="00AB058D" w:rsidP="009B7BAB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100,7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100,9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104,9</w:t>
            </w:r>
          </w:p>
        </w:tc>
        <w:tc>
          <w:tcPr>
            <w:tcW w:w="1808" w:type="dxa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104,8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AB058D" w:rsidRPr="00C61E42" w:rsidRDefault="00AB058D" w:rsidP="009B7BAB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98,4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99,1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96,4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97,3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AB058D" w:rsidRPr="00C61E42" w:rsidRDefault="00AB058D" w:rsidP="009B7BAB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101,3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101,5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105,3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105,2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AB058D" w:rsidRPr="00C61E42" w:rsidRDefault="00AB058D" w:rsidP="009B7BAB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103,9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105,6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106,0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AB058D" w:rsidRDefault="00AB058D" w:rsidP="009B7BAB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101,9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99,5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91,8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93,8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AB058D" w:rsidRDefault="00AB058D" w:rsidP="009B7BAB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102,7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104,5</w:t>
            </w:r>
          </w:p>
        </w:tc>
      </w:tr>
      <w:tr w:rsidR="00AB058D" w:rsidRPr="00C61E42" w:rsidTr="004B728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AB058D" w:rsidRDefault="00AB058D" w:rsidP="009B7BAB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103,0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B058D" w:rsidRDefault="00AB058D" w:rsidP="009B7BAB">
            <w:pPr>
              <w:pStyle w:val="Wartoci"/>
              <w:spacing w:before="100" w:after="100"/>
            </w:pPr>
            <w:r>
              <w:t>103,2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106,2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AB058D" w:rsidRPr="00AB058D" w:rsidRDefault="00AB058D" w:rsidP="009B7BAB">
            <w:pPr>
              <w:pStyle w:val="Wartoci"/>
              <w:spacing w:before="100" w:after="100"/>
            </w:pPr>
            <w:r w:rsidRPr="00AB058D">
              <w:t>107,2</w:t>
            </w:r>
          </w:p>
        </w:tc>
      </w:tr>
    </w:tbl>
    <w:p w:rsidR="007F61E4" w:rsidRDefault="007F61E4" w:rsidP="007F61E4"/>
    <w:p w:rsidR="007F61E4" w:rsidRDefault="007F61E4">
      <w:pPr>
        <w:rPr>
          <w:rFonts w:ascii="Fira Sans SemiBold" w:hAnsi="Fira Sans SemiBold"/>
          <w:b/>
          <w:color w:val="522398"/>
          <w:sz w:val="24"/>
          <w:lang w:eastAsia="pl-PL"/>
        </w:rPr>
      </w:pPr>
      <w:r w:rsidRPr="00581435">
        <w:rPr>
          <w:bCs/>
          <w:lang w:eastAsia="pl-PL"/>
        </w:rPr>
        <w:t xml:space="preserve">W </w:t>
      </w:r>
      <w:r>
        <w:rPr>
          <w:bCs/>
          <w:lang w:eastAsia="pl-PL"/>
        </w:rPr>
        <w:t>II</w:t>
      </w:r>
      <w:r w:rsidRPr="00581435">
        <w:rPr>
          <w:bCs/>
          <w:lang w:eastAsia="pl-PL"/>
        </w:rPr>
        <w:t xml:space="preserve">I kwartale </w:t>
      </w:r>
      <w:r>
        <w:rPr>
          <w:bCs/>
          <w:lang w:eastAsia="pl-PL"/>
        </w:rPr>
        <w:t>b</w:t>
      </w:r>
      <w:r w:rsidRPr="00581435">
        <w:rPr>
          <w:bCs/>
          <w:lang w:eastAsia="pl-PL"/>
        </w:rPr>
        <w:t xml:space="preserve">r. </w:t>
      </w:r>
      <w:r>
        <w:rPr>
          <w:bCs/>
          <w:lang w:eastAsia="pl-PL"/>
        </w:rPr>
        <w:t xml:space="preserve">ceny </w:t>
      </w:r>
      <w:r w:rsidRPr="00581435">
        <w:rPr>
          <w:bCs/>
          <w:lang w:eastAsia="pl-PL"/>
        </w:rPr>
        <w:t xml:space="preserve">towarów i </w:t>
      </w:r>
      <w:r w:rsidRPr="00581435">
        <w:rPr>
          <w:lang w:eastAsia="pl-PL"/>
        </w:rPr>
        <w:t>usług konsumpcyjnych</w:t>
      </w:r>
      <w:r w:rsidRPr="001F144C">
        <w:rPr>
          <w:bCs/>
          <w:lang w:eastAsia="pl-PL"/>
        </w:rPr>
        <w:t xml:space="preserve"> </w:t>
      </w:r>
      <w:r w:rsidRPr="00581435">
        <w:rPr>
          <w:bCs/>
          <w:lang w:eastAsia="pl-PL"/>
        </w:rPr>
        <w:t>w województwie mazowieckim</w:t>
      </w:r>
      <w:r>
        <w:rPr>
          <w:bCs/>
          <w:lang w:eastAsia="pl-PL"/>
        </w:rPr>
        <w:t xml:space="preserve"> wzrosły nieco </w:t>
      </w:r>
      <w:r w:rsidR="004A2A51">
        <w:rPr>
          <w:bCs/>
          <w:lang w:eastAsia="pl-PL"/>
        </w:rPr>
        <w:t>bardziej</w:t>
      </w:r>
      <w:r>
        <w:rPr>
          <w:bCs/>
          <w:lang w:eastAsia="pl-PL"/>
        </w:rPr>
        <w:t xml:space="preserve"> niż w kraju (</w:t>
      </w:r>
      <w:r w:rsidR="004A2A51">
        <w:rPr>
          <w:bCs/>
          <w:lang w:eastAsia="pl-PL"/>
        </w:rPr>
        <w:t>3,1</w:t>
      </w:r>
      <w:r>
        <w:rPr>
          <w:bCs/>
          <w:lang w:eastAsia="pl-PL"/>
        </w:rPr>
        <w:t xml:space="preserve">% wobec </w:t>
      </w:r>
      <w:r w:rsidR="004A2A51">
        <w:rPr>
          <w:bCs/>
          <w:lang w:eastAsia="pl-PL"/>
        </w:rPr>
        <w:t>3,0</w:t>
      </w:r>
      <w:r>
        <w:rPr>
          <w:bCs/>
          <w:lang w:eastAsia="pl-PL"/>
        </w:rPr>
        <w:t xml:space="preserve">%). </w:t>
      </w:r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E41FEB" w:rsidP="00EB556F">
            <w:pPr>
              <w:pStyle w:val="Tekstkomunikatlid"/>
            </w:pPr>
            <w:r w:rsidRPr="00E41FEB">
              <w:t>Na rynku rolnym w listopadzie br. przeciętne ceny skupu pszenicy, żyta oraz mleka były wyższe zarówno w stosunku do miesiąca poprzedniego jak i w skali roku. Mniej płacono w obu tych ujęciach za ziemniaki, żywiec wieprzowy i drobiowy.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E41FEB" w:rsidTr="00EB7EB1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E41FEB" w:rsidRPr="00C83152" w:rsidRDefault="00E41FEB" w:rsidP="00EB7EB1">
            <w:pPr>
              <w:pStyle w:val="Tekstkomunikat1str"/>
              <w:numPr>
                <w:ilvl w:val="0"/>
                <w:numId w:val="0"/>
              </w:numPr>
              <w:suppressAutoHyphens/>
            </w:pPr>
            <w:r>
              <w:t>Z</w:t>
            </w:r>
            <w:r w:rsidRPr="00072088">
              <w:t xml:space="preserve">e względu na obowiązującą decyzję o zamknięciu targowisk spowodowaną stanem zagrożenia chorobą COVID-19, </w:t>
            </w:r>
            <w:r>
              <w:br/>
              <w:t xml:space="preserve">w listopadzie </w:t>
            </w:r>
            <w:r w:rsidRPr="00072088">
              <w:t>nie było możliwe zebranie danych o cenach produktów rolnych na targowiskach</w:t>
            </w:r>
            <w:r>
              <w:t>.</w:t>
            </w:r>
            <w:r w:rsidRPr="00072088">
              <w:t xml:space="preserve"> </w:t>
            </w:r>
          </w:p>
        </w:tc>
      </w:tr>
    </w:tbl>
    <w:p w:rsidR="00E41FEB" w:rsidRDefault="00E41FEB" w:rsidP="00E41FEB">
      <w:pPr>
        <w:pStyle w:val="Tekstkomunikat"/>
        <w:suppressAutoHyphens/>
        <w:spacing w:before="180"/>
      </w:pPr>
      <w:r w:rsidRPr="00AE7180">
        <w:t xml:space="preserve">Średnia temperatura powietrza na obszarze województwa mazowieckiego </w:t>
      </w:r>
      <w:r>
        <w:t>w listopadzie</w:t>
      </w:r>
      <w:r w:rsidRPr="00AE7180">
        <w:t xml:space="preserve"> 2020 r. wynosiła </w:t>
      </w:r>
      <w:r>
        <w:t>5,6</w:t>
      </w:r>
      <w:r w:rsidRPr="00AE7180">
        <w:rPr>
          <w:rFonts w:cs="Arial"/>
        </w:rPr>
        <w:t>°</w:t>
      </w:r>
      <w:r w:rsidRPr="00AE7180">
        <w:t xml:space="preserve">C i była </w:t>
      </w:r>
      <w:r>
        <w:br/>
      </w:r>
      <w:r w:rsidRPr="00AE7180">
        <w:t xml:space="preserve">o </w:t>
      </w:r>
      <w:r>
        <w:t>2,6</w:t>
      </w:r>
      <w:r w:rsidRPr="00AE7180">
        <w:rPr>
          <w:rFonts w:cs="Arial"/>
        </w:rPr>
        <w:t>°</w:t>
      </w:r>
      <w:r w:rsidRPr="00AE7180">
        <w:t xml:space="preserve">C </w:t>
      </w:r>
      <w:r>
        <w:t>wyższa</w:t>
      </w:r>
      <w:r w:rsidRPr="00AE7180">
        <w:t xml:space="preserve"> od przeciętnej z lat 1981–2010, przy czym maksymalna temperatura osiągnęła </w:t>
      </w:r>
      <w:r>
        <w:t>16,8</w:t>
      </w:r>
      <w:r w:rsidRPr="00AE7180">
        <w:rPr>
          <w:rFonts w:cs="Arial"/>
        </w:rPr>
        <w:t>°</w:t>
      </w:r>
      <w:r w:rsidRPr="00AE7180">
        <w:t>C</w:t>
      </w:r>
      <w:r>
        <w:t xml:space="preserve"> (w Kozienicach)</w:t>
      </w:r>
      <w:r w:rsidRPr="00AE7180">
        <w:t xml:space="preserve">, </w:t>
      </w:r>
      <w:r>
        <w:br/>
      </w:r>
      <w:r w:rsidRPr="00AE7180">
        <w:t xml:space="preserve">a minimalna wyniosła </w:t>
      </w:r>
      <w:r>
        <w:t>-4,9</w:t>
      </w:r>
      <w:r w:rsidRPr="00AE7180">
        <w:rPr>
          <w:rFonts w:cs="Arial"/>
        </w:rPr>
        <w:t>°</w:t>
      </w:r>
      <w:r w:rsidRPr="00AE7180">
        <w:t>C (</w:t>
      </w:r>
      <w:r>
        <w:t>w Warszawie</w:t>
      </w:r>
      <w:r w:rsidRPr="00AE7180">
        <w:t>). Średnia suma opadów atmosferycznych (</w:t>
      </w:r>
      <w:r>
        <w:t>11,6</w:t>
      </w:r>
      <w:r w:rsidRPr="00AE7180">
        <w:t xml:space="preserve"> mm) stanowiła </w:t>
      </w:r>
      <w:r>
        <w:t>29,8</w:t>
      </w:r>
      <w:r w:rsidRPr="00AE7180">
        <w:t xml:space="preserve">% normy </w:t>
      </w:r>
      <w:r>
        <w:br/>
      </w:r>
      <w:r w:rsidRPr="00AE7180">
        <w:t xml:space="preserve">z </w:t>
      </w:r>
      <w:proofErr w:type="spellStart"/>
      <w:r w:rsidRPr="00AE7180">
        <w:t>wielolecia</w:t>
      </w:r>
      <w:proofErr w:type="spellEnd"/>
      <w:r w:rsidRPr="00AE7180">
        <w:t xml:space="preserve"> (od </w:t>
      </w:r>
      <w:r>
        <w:t>22</w:t>
      </w:r>
      <w:r w:rsidRPr="00AE7180">
        <w:t xml:space="preserve">% w </w:t>
      </w:r>
      <w:r>
        <w:t>Kozienicach i Warszawie</w:t>
      </w:r>
      <w:r w:rsidRPr="00AE7180">
        <w:t xml:space="preserve"> do </w:t>
      </w:r>
      <w:r>
        <w:t>44</w:t>
      </w:r>
      <w:r w:rsidRPr="00AE7180">
        <w:t>% w</w:t>
      </w:r>
      <w:r>
        <w:t xml:space="preserve"> Siedlcach</w:t>
      </w:r>
      <w:r w:rsidRPr="00AE7180">
        <w:t>)</w:t>
      </w:r>
      <w:r w:rsidRPr="00AE7180">
        <w:rPr>
          <w:rStyle w:val="Odwoanieprzypisudolnego"/>
          <w:rFonts w:ascii="Arial" w:hAnsi="Arial"/>
        </w:rPr>
        <w:t xml:space="preserve"> </w:t>
      </w:r>
      <w:r w:rsidRPr="00AE7180">
        <w:rPr>
          <w:rStyle w:val="Odwoanieprzypisudolnego"/>
          <w:rFonts w:ascii="Arial" w:hAnsi="Arial"/>
        </w:rPr>
        <w:footnoteReference w:id="3"/>
      </w:r>
      <w:r w:rsidRPr="00AE7180">
        <w:t xml:space="preserve">. Liczba dni z opadami, w zależności od regionu, wynosiła od </w:t>
      </w:r>
      <w:r>
        <w:t>9</w:t>
      </w:r>
      <w:r w:rsidRPr="00AE7180">
        <w:t xml:space="preserve"> do 1</w:t>
      </w:r>
      <w:r>
        <w:t>7</w:t>
      </w:r>
      <w:r w:rsidRPr="00AE7180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F27E91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VII–XI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XI 2020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Default="00E41FEB" w:rsidP="00E41FEB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</w:p>
          <w:p w:rsidR="00E41FEB" w:rsidRDefault="00E41FEB" w:rsidP="00E41FEB">
            <w:pPr>
              <w:pStyle w:val="Tekstkomunikatgwka"/>
              <w:suppressAutoHyphens/>
              <w:spacing w:before="0" w:after="0"/>
            </w:pPr>
            <w:r>
              <w:t>okres roku</w:t>
            </w:r>
          </w:p>
          <w:p w:rsidR="00E41FEB" w:rsidRPr="00E538C3" w:rsidRDefault="00E41FEB" w:rsidP="00E41FEB">
            <w:pPr>
              <w:pStyle w:val="Tekstkomunikatgwka"/>
              <w:suppressAutoHyphens/>
              <w:spacing w:before="0" w:after="0"/>
            </w:pP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XI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X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290,6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134,2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37,0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136,0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86,1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189,2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135,3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26,2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124,3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88,5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47,8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125,0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54,9</w:t>
            </w:r>
          </w:p>
        </w:tc>
      </w:tr>
    </w:tbl>
    <w:p w:rsidR="00C50A06" w:rsidRPr="001A7873" w:rsidRDefault="00E41FEB" w:rsidP="00C50A06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E41FEB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w okresie </w:t>
      </w:r>
      <w:r>
        <w:br/>
        <w:t>lipiec–listopad br. były o 34,2% większe niż w analogicznym okresie ub. roku. W listopadzie br. skup zbóż był mniejszy niż w październiku br. (o 13,9%), jednak większy niż przed rokiem (o 36,0%).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F27E91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1B4BDF" w:rsidRPr="00E538C3" w:rsidRDefault="001B4BDF" w:rsidP="00241586">
            <w:pPr>
              <w:pStyle w:val="Tekstkomunikatgwka"/>
              <w:suppressAutoHyphens/>
            </w:pPr>
            <w:r>
              <w:t>I–X</w:t>
            </w:r>
            <w:r w:rsidR="006340C6">
              <w:t>I</w:t>
            </w:r>
            <w:r>
              <w:t xml:space="preserve">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X</w:t>
            </w:r>
            <w:r w:rsidR="006340C6">
              <w:t>I</w:t>
            </w:r>
            <w:r>
              <w:t xml:space="preserve"> 2020</w:t>
            </w:r>
          </w:p>
        </w:tc>
      </w:tr>
      <w:tr w:rsidR="004268C8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241586">
            <w:pPr>
              <w:pStyle w:val="Tekstkomunikatgwka"/>
              <w:suppressAutoHyphens/>
            </w:pPr>
            <w:r>
              <w:t>I–X</w:t>
            </w:r>
            <w:r w:rsidR="006340C6">
              <w:t>I</w:t>
            </w:r>
            <w:r>
              <w:t xml:space="preserve"> 2019=100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</w:pPr>
            <w:r>
              <w:t>X</w:t>
            </w:r>
            <w:r w:rsidR="006340C6">
              <w:t>I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241586" w:rsidP="004268C8">
            <w:pPr>
              <w:pStyle w:val="Tekstkomunikatgwka"/>
            </w:pPr>
            <w:r>
              <w:t>X</w:t>
            </w:r>
            <w:r w:rsidR="004268C8" w:rsidRPr="00E538C3">
              <w:t xml:space="preserve"> 20</w:t>
            </w:r>
            <w:r w:rsidR="004268C8">
              <w:t>20=</w:t>
            </w:r>
            <w:r w:rsidR="004268C8" w:rsidRPr="00E538C3">
              <w:t>100</w:t>
            </w:r>
          </w:p>
        </w:tc>
      </w:tr>
      <w:tr w:rsidR="006340C6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340C6" w:rsidRPr="00E538C3" w:rsidRDefault="006340C6" w:rsidP="006340C6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1003,3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108,2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88,9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104,8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100,2</w:t>
            </w:r>
          </w:p>
        </w:tc>
      </w:tr>
      <w:tr w:rsidR="006340C6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340C6" w:rsidRPr="00E538C3" w:rsidRDefault="006340C6" w:rsidP="006340C6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 </w:t>
            </w:r>
          </w:p>
        </w:tc>
      </w:tr>
      <w:tr w:rsidR="006340C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340C6" w:rsidRPr="00E538C3" w:rsidRDefault="006340C6" w:rsidP="006340C6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42,7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96,6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82,9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115,6</w:t>
            </w:r>
          </w:p>
        </w:tc>
      </w:tr>
      <w:tr w:rsidR="006340C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340C6" w:rsidRPr="00E538C3" w:rsidRDefault="006340C6" w:rsidP="006340C6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236,2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127,4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24,4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149,4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109,7</w:t>
            </w:r>
          </w:p>
        </w:tc>
      </w:tr>
      <w:tr w:rsidR="006340C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340C6" w:rsidRPr="00E538C3" w:rsidRDefault="006340C6" w:rsidP="006340C6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723,4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103,9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61,8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94,7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96,3</w:t>
            </w:r>
          </w:p>
        </w:tc>
      </w:tr>
      <w:tr w:rsidR="006340C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340C6" w:rsidRPr="00E538C3" w:rsidRDefault="006340C6" w:rsidP="006340C6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2410,9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101,8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200,2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100,1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340C6" w:rsidRDefault="006340C6" w:rsidP="006340C6">
            <w:pPr>
              <w:pStyle w:val="Tekstkomunikatliczby"/>
            </w:pPr>
            <w:r>
              <w:t>95,5</w:t>
            </w:r>
          </w:p>
        </w:tc>
      </w:tr>
    </w:tbl>
    <w:p w:rsidR="00CC22D6" w:rsidRDefault="006340C6" w:rsidP="0021406C">
      <w:pPr>
        <w:pStyle w:val="Tekstkomunikatnotka"/>
      </w:pPr>
      <w:r>
        <w:t>a W okresie lipiec–listopad</w:t>
      </w:r>
      <w:r w:rsidRPr="00D70AA4">
        <w:t xml:space="preserve"> b</w:t>
      </w:r>
      <w:r w:rsidRPr="00D70AA4">
        <w:rPr>
          <w:rFonts w:cs="Arial"/>
        </w:rPr>
        <w:t>ez skupu realizowanego przez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6340C6" w:rsidRPr="00C22AA0" w:rsidRDefault="006340C6" w:rsidP="006340C6">
      <w:pPr>
        <w:pStyle w:val="Tekstkomunikat"/>
        <w:rPr>
          <w:highlight w:val="green"/>
        </w:rPr>
      </w:pPr>
      <w:r w:rsidRPr="00D70AA4">
        <w:t xml:space="preserve">Od początku br. producenci z województwa mazowieckiego dostarczyli do skupu </w:t>
      </w:r>
      <w:r>
        <w:t>1003,3</w:t>
      </w:r>
      <w:r w:rsidRPr="00D70AA4">
        <w:t xml:space="preserve"> tys. ton </w:t>
      </w:r>
      <w:r w:rsidRPr="00D70AA4">
        <w:rPr>
          <w:b/>
        </w:rPr>
        <w:t xml:space="preserve">żywca rzeźnego </w:t>
      </w:r>
      <w:r w:rsidRPr="00D70AA4">
        <w:t xml:space="preserve">(w wadze poubojowej ciepłej), tj. o </w:t>
      </w:r>
      <w:r>
        <w:t>8,2</w:t>
      </w:r>
      <w:r w:rsidRPr="00D70AA4">
        <w:t>% więcej niż przed rokiem. Wzrost skupu dotyczył wszystkich podstawowych gatunków żywca</w:t>
      </w:r>
      <w:r>
        <w:t xml:space="preserve"> z wyjątkiem żywca wołowego (spadek o 3,4%)</w:t>
      </w:r>
      <w:r w:rsidRPr="00D70AA4">
        <w:t>.</w:t>
      </w:r>
      <w:r>
        <w:t xml:space="preserve"> </w:t>
      </w:r>
      <w:r w:rsidRPr="00EE56A0">
        <w:t xml:space="preserve">W </w:t>
      </w:r>
      <w:r>
        <w:t>listopadzie</w:t>
      </w:r>
      <w:r w:rsidRPr="00EE56A0">
        <w:t xml:space="preserve"> br. podaż żywca rzeźnego ogółem (</w:t>
      </w:r>
      <w:r>
        <w:t xml:space="preserve">88,9 tys. ton) była wyższa zarówno </w:t>
      </w:r>
      <w:r w:rsidRPr="00EE56A0">
        <w:t>w ujęciu rocznym</w:t>
      </w:r>
      <w:r>
        <w:t xml:space="preserve"> jak i miesięcznym odpowiednio o 4,8% i 0,2%. </w:t>
      </w:r>
    </w:p>
    <w:p w:rsidR="00B3508B" w:rsidRDefault="006340C6" w:rsidP="006340C6">
      <w:pPr>
        <w:pStyle w:val="Tekstkomunikat"/>
      </w:pPr>
      <w:r w:rsidRPr="00D70AA4">
        <w:t xml:space="preserve">Dostawy </w:t>
      </w:r>
      <w:r w:rsidRPr="00D70AA4">
        <w:rPr>
          <w:b/>
        </w:rPr>
        <w:t>mleka</w:t>
      </w:r>
      <w:r w:rsidRPr="00D70AA4">
        <w:t xml:space="preserve"> do skupu w okresie styczeń–</w:t>
      </w:r>
      <w:r>
        <w:t>listopad</w:t>
      </w:r>
      <w:r w:rsidRPr="00D70AA4">
        <w:t xml:space="preserve"> br. (</w:t>
      </w:r>
      <w:r>
        <w:t>2410,9</w:t>
      </w:r>
      <w:r w:rsidRPr="00D70AA4">
        <w:t xml:space="preserve"> mln l) były o </w:t>
      </w:r>
      <w:r>
        <w:t>1,8</w:t>
      </w:r>
      <w:r w:rsidRPr="00D70AA4">
        <w:t xml:space="preserve">% większe niż w tym samym okresie </w:t>
      </w:r>
      <w:r w:rsidRPr="00D70AA4">
        <w:br/>
        <w:t>2019 r.</w:t>
      </w:r>
      <w:r w:rsidRPr="00EE56A0">
        <w:t xml:space="preserve"> W</w:t>
      </w:r>
      <w:r>
        <w:t xml:space="preserve"> listopadzie</w:t>
      </w:r>
      <w:r w:rsidRPr="00EE56A0">
        <w:t xml:space="preserve"> br. skup mleka </w:t>
      </w:r>
      <w:r>
        <w:t xml:space="preserve">ukształtował się na poziomie wyższym od notowanego przed rokiem (o 0,1%) i niższym niż przed </w:t>
      </w:r>
      <w:r w:rsidRPr="00EE56A0">
        <w:t>miesiąc</w:t>
      </w:r>
      <w:r>
        <w:t>em (o 4,5%).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F27E91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41FEB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E41FEB" w:rsidRPr="006414AE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>
              <w:t>XI</w:t>
            </w:r>
            <w:r w:rsidRPr="006414AE">
              <w:t xml:space="preserve">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I–</w:t>
            </w:r>
            <w:r>
              <w:t>XI</w:t>
            </w:r>
            <w:r w:rsidRPr="006414AE">
              <w:t xml:space="preserve"> 2020</w:t>
            </w:r>
          </w:p>
        </w:tc>
      </w:tr>
      <w:tr w:rsidR="00E41FEB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>
              <w:t>XI 2019=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>
              <w:t>X 2020=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I–</w:t>
            </w:r>
            <w:r>
              <w:t>XI</w:t>
            </w:r>
            <w:r w:rsidRPr="006414AE">
              <w:t xml:space="preserve"> 2019</w:t>
            </w:r>
            <w:r>
              <w:t>=</w:t>
            </w:r>
            <w:r w:rsidRPr="006414AE">
              <w:t>100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83,22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120,9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107,5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75,43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98,5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55,36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106,4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102,5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49,55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82,9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1"/>
              <w:spacing w:before="100" w:after="10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27,50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76,0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98,5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34,71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83,0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 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6,53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107,9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99,6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6,58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102,6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4,29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72,3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92,0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5,43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102,0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3,23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95,8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97,7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3,36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93,6</w:t>
            </w:r>
          </w:p>
        </w:tc>
      </w:tr>
      <w:tr w:rsidR="00E41FEB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41FEB" w:rsidRPr="00C61E42" w:rsidRDefault="00E41FEB" w:rsidP="00E41FEB">
            <w:pPr>
              <w:pStyle w:val="TekstkomunikatB1"/>
              <w:spacing w:before="100" w:after="10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148,14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107,7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104,0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134,96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41FEB" w:rsidRDefault="00E41FEB" w:rsidP="00E41FEB">
            <w:pPr>
              <w:pStyle w:val="Tekstkomunikatliczby"/>
              <w:suppressAutoHyphens/>
            </w:pPr>
            <w:r>
              <w:t>100,8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BD2E47" w:rsidRDefault="00E41FEB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listopad br. były niższe</w:t>
      </w:r>
      <w:r w:rsidRPr="00F655BF">
        <w:t xml:space="preserve"> niż w analogicznym okresie ub. roku. </w:t>
      </w:r>
      <w:r>
        <w:br/>
        <w:t>W listopadzie</w:t>
      </w:r>
      <w:r w:rsidRPr="00F655BF">
        <w:t xml:space="preserve"> br. </w:t>
      </w:r>
      <w:r>
        <w:t>ceny</w:t>
      </w:r>
      <w:r w:rsidRPr="00F655BF">
        <w:t xml:space="preserve"> skupu </w:t>
      </w:r>
      <w:r>
        <w:t>pszenicy i żyta</w:t>
      </w:r>
      <w:r w:rsidRPr="00F655BF">
        <w:t xml:space="preserve"> </w:t>
      </w:r>
      <w:r>
        <w:t>były</w:t>
      </w:r>
      <w:r w:rsidRPr="00F655BF">
        <w:t xml:space="preserve"> </w:t>
      </w:r>
      <w:r>
        <w:t>wyższe zarówno w ujęciu rocznym, jak i miesięcznym.</w:t>
      </w:r>
    </w:p>
    <w:p w:rsidR="005F61BB" w:rsidRDefault="00884691" w:rsidP="004C66F7">
      <w:pPr>
        <w:pStyle w:val="Tekstkomunikattytwykrestabl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EB7EB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4C66F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7806F8" w:rsidRDefault="00E41FEB" w:rsidP="00406DA2">
      <w:pPr>
        <w:pStyle w:val="Tekstkomunikat"/>
      </w:pPr>
      <w:r>
        <w:t>W listopadzie</w:t>
      </w:r>
      <w:r w:rsidRPr="00703191">
        <w:t xml:space="preserve"> br. </w:t>
      </w:r>
      <w:r>
        <w:t xml:space="preserve">za </w:t>
      </w:r>
      <w:r w:rsidRPr="00DC304A">
        <w:rPr>
          <w:b/>
        </w:rPr>
        <w:t>ziemniaki</w:t>
      </w:r>
      <w:r>
        <w:t xml:space="preserve"> w skupie płacono średnio 27,50 zł/</w:t>
      </w:r>
      <w:proofErr w:type="spellStart"/>
      <w:r>
        <w:t>dt</w:t>
      </w:r>
      <w:proofErr w:type="spellEnd"/>
      <w:r>
        <w:t>, tj. o 1,5% mniej niż przed miesiącem i o 24,0% mniej niż przed rokiem</w:t>
      </w:r>
      <w:r w:rsidRPr="00E53050">
        <w:t>.</w:t>
      </w:r>
    </w:p>
    <w:p w:rsidR="002E7891" w:rsidRDefault="00FF68DF" w:rsidP="00E44882">
      <w:pPr>
        <w:pStyle w:val="Tekstkomunikattytwykrestabl"/>
        <w:spacing w:before="400"/>
      </w:pPr>
      <w:r>
        <w:lastRenderedPageBreak/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263016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1F56CB" w:rsidRPr="00241586" w:rsidRDefault="00E41FEB" w:rsidP="00F165C6">
      <w:pPr>
        <w:pStyle w:val="Tekstkomunikat"/>
        <w:rPr>
          <w:b/>
          <w:spacing w:val="-2"/>
        </w:rPr>
      </w:pPr>
      <w:r>
        <w:t xml:space="preserve">W okresie styczeń–listopad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2,0% wyższa niż w tym samym okresie 2019 r. W listopadzie br. </w:t>
      </w:r>
      <w:r w:rsidRPr="00026221">
        <w:t xml:space="preserve">cena </w:t>
      </w:r>
      <w:r>
        <w:t>tego surowca obniżyła się w skali miesiąca o 8,0% (do 4,29 zł/kg), a w skali roku o 27,7%.</w:t>
      </w:r>
    </w:p>
    <w:p w:rsidR="006E3A5B" w:rsidRDefault="00676E6D" w:rsidP="00AA697A">
      <w:pPr>
        <w:pStyle w:val="Tekstkomunikattytwykrestabl"/>
        <w:spacing w:before="240"/>
      </w:pPr>
      <w:r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38237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AA697A" w:rsidRDefault="00A52FF1" w:rsidP="00AA697A">
      <w:pPr>
        <w:pStyle w:val="Tekstkomunikat"/>
        <w:spacing w:before="0" w:line="200" w:lineRule="exact"/>
        <w:rPr>
          <w:sz w:val="12"/>
          <w:szCs w:val="12"/>
          <w:highlight w:val="yellow"/>
        </w:rPr>
      </w:pPr>
    </w:p>
    <w:p w:rsidR="00E41FEB" w:rsidRPr="00886514" w:rsidRDefault="00E41FEB" w:rsidP="00E41FEB">
      <w:pPr>
        <w:pStyle w:val="Tekstkomunikat"/>
        <w:suppressAutoHyphens/>
        <w:rPr>
          <w:spacing w:val="-1"/>
        </w:rPr>
      </w:pPr>
      <w:bookmarkStart w:id="6" w:name="_Toc309805949"/>
      <w:r>
        <w:rPr>
          <w:spacing w:val="-1"/>
        </w:rPr>
        <w:t>W listopadzie</w:t>
      </w:r>
      <w:r w:rsidRPr="00886514">
        <w:rPr>
          <w:spacing w:val="-1"/>
        </w:rPr>
        <w:t xml:space="preserve"> br.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3,23 zł, tj. </w:t>
      </w:r>
      <w:r w:rsidRPr="00886514">
        <w:rPr>
          <w:spacing w:val="-2"/>
        </w:rPr>
        <w:t xml:space="preserve">o </w:t>
      </w:r>
      <w:r>
        <w:rPr>
          <w:spacing w:val="-2"/>
        </w:rPr>
        <w:t>2,3</w:t>
      </w:r>
      <w:r w:rsidRPr="00886514">
        <w:rPr>
          <w:spacing w:val="-2"/>
        </w:rPr>
        <w:t xml:space="preserve">% </w:t>
      </w:r>
      <w:r>
        <w:rPr>
          <w:spacing w:val="-2"/>
        </w:rPr>
        <w:t>mniej niż w październiku</w:t>
      </w:r>
      <w:r w:rsidRPr="00886514">
        <w:rPr>
          <w:spacing w:val="-2"/>
        </w:rPr>
        <w:t xml:space="preserve"> br. i o </w:t>
      </w:r>
      <w:r>
        <w:rPr>
          <w:spacing w:val="-2"/>
        </w:rPr>
        <w:t>4,2% mniej niż w listopadzie</w:t>
      </w:r>
      <w:r w:rsidRPr="00886514">
        <w:rPr>
          <w:spacing w:val="-2"/>
        </w:rPr>
        <w:t xml:space="preserve"> ub. roku. </w:t>
      </w:r>
      <w:r>
        <w:rPr>
          <w:spacing w:val="-2"/>
        </w:rPr>
        <w:t xml:space="preserve">Przeciętna cena tego surowca w okresie styczeń–listopad br. była o 6,4% niższa </w:t>
      </w:r>
      <w:r w:rsidRPr="00886514">
        <w:rPr>
          <w:spacing w:val="-2"/>
        </w:rPr>
        <w:t xml:space="preserve">niż </w:t>
      </w:r>
      <w:r>
        <w:rPr>
          <w:spacing w:val="-2"/>
        </w:rPr>
        <w:t>w</w:t>
      </w:r>
      <w:r w:rsidRPr="00886514">
        <w:rPr>
          <w:spacing w:val="-2"/>
        </w:rPr>
        <w:t xml:space="preserve"> analogicznym okresie ub. roku.</w:t>
      </w:r>
      <w:r w:rsidRPr="00886514">
        <w:rPr>
          <w:spacing w:val="-1"/>
        </w:rPr>
        <w:t xml:space="preserve"> </w:t>
      </w:r>
    </w:p>
    <w:p w:rsidR="00E41FEB" w:rsidRDefault="00E41FEB" w:rsidP="00E41FEB">
      <w:pPr>
        <w:pStyle w:val="Tekstkomunikat"/>
        <w:suppressAutoHyphens/>
      </w:pPr>
      <w:r>
        <w:t xml:space="preserve">W okresie jedenastu miesięcy br. przeciętna </w:t>
      </w:r>
      <w:r w:rsidRPr="000C5169">
        <w:rPr>
          <w:b/>
        </w:rPr>
        <w:t>cena żywca wołowego</w:t>
      </w:r>
      <w:r>
        <w:t xml:space="preserve"> w skupie była o 2,6% wyższa niż w tym samym okresie ub. roku. W listopadzie br. za żywiec wołowy płacono o 0,4% mniej niż przed miesiącem i</w:t>
      </w:r>
      <w:r w:rsidRPr="00F75B31">
        <w:t xml:space="preserve"> </w:t>
      </w:r>
      <w:r>
        <w:t xml:space="preserve">o 7,9% więcej niż przed rokiem. </w:t>
      </w:r>
    </w:p>
    <w:p w:rsidR="00EB7FF8" w:rsidRDefault="00E41FEB" w:rsidP="00E41FEB">
      <w:pPr>
        <w:pStyle w:val="Tekstkomunikat"/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listopad</w:t>
      </w:r>
      <w:r w:rsidRPr="000C5169">
        <w:t xml:space="preserve"> br.</w:t>
      </w:r>
      <w:r>
        <w:t xml:space="preserve"> były wyższe niż przed rokiem (średnio o 0,8%). W listopadzie</w:t>
      </w:r>
      <w:r w:rsidRPr="003C2267">
        <w:t xml:space="preserve"> br.</w:t>
      </w:r>
      <w:r>
        <w:t xml:space="preserve"> za</w:t>
      </w:r>
      <w:r w:rsidRPr="003C2267">
        <w:rPr>
          <w:rFonts w:cs="Arial"/>
        </w:rPr>
        <w:t xml:space="preserve"> </w:t>
      </w:r>
      <w:r>
        <w:rPr>
          <w:rFonts w:cs="Arial"/>
        </w:rPr>
        <w:br/>
      </w:r>
      <w:r w:rsidRPr="003C2267">
        <w:rPr>
          <w:rFonts w:cs="Arial"/>
        </w:rPr>
        <w:t xml:space="preserve">100 litrów tego surowca płacono </w:t>
      </w:r>
      <w:r>
        <w:rPr>
          <w:rFonts w:cs="Arial"/>
        </w:rPr>
        <w:t>148,14</w:t>
      </w:r>
      <w:r w:rsidRPr="003C2267">
        <w:rPr>
          <w:rFonts w:cs="Arial"/>
        </w:rPr>
        <w:t xml:space="preserve"> zł, czyli </w:t>
      </w:r>
      <w:r>
        <w:rPr>
          <w:rFonts w:cs="Arial"/>
        </w:rPr>
        <w:t>o 4,0</w:t>
      </w:r>
      <w:r w:rsidRPr="003C2267">
        <w:rPr>
          <w:rFonts w:cs="Arial"/>
        </w:rPr>
        <w:t xml:space="preserve">% </w:t>
      </w:r>
      <w:r>
        <w:rPr>
          <w:rFonts w:cs="Arial"/>
        </w:rPr>
        <w:t xml:space="preserve">więcej </w:t>
      </w:r>
      <w:r w:rsidRPr="003C2267">
        <w:rPr>
          <w:rFonts w:cs="Arial"/>
        </w:rPr>
        <w:t xml:space="preserve">w ujęciu miesięcznym </w:t>
      </w:r>
      <w:r>
        <w:rPr>
          <w:rFonts w:cs="Arial"/>
        </w:rPr>
        <w:t>i o 7,7% więcej w ujęciu r</w:t>
      </w:r>
      <w:r w:rsidRPr="003C2267">
        <w:rPr>
          <w:rFonts w:cs="Arial"/>
        </w:rPr>
        <w:t>ocznym</w:t>
      </w:r>
      <w:r w:rsidRPr="003C2267">
        <w:t>.</w:t>
      </w:r>
      <w:r w:rsidR="00EB7FF8">
        <w:t xml:space="preserve"> </w:t>
      </w:r>
    </w:p>
    <w:p w:rsidR="009B7BAB" w:rsidRDefault="009B7BAB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FD6119" w:rsidP="00FA09D3">
            <w:pPr>
              <w:pStyle w:val="Tekstkomunikatlid"/>
            </w:pPr>
            <w:r w:rsidRPr="003B7D2F">
              <w:rPr>
                <w:bCs/>
              </w:rPr>
              <w:t xml:space="preserve">Produkcja sprzedana przemysłu w </w:t>
            </w:r>
            <w:r>
              <w:rPr>
                <w:bCs/>
              </w:rPr>
              <w:t>listopadzie</w:t>
            </w:r>
            <w:r w:rsidRPr="003B7D2F">
              <w:rPr>
                <w:bCs/>
              </w:rPr>
              <w:t xml:space="preserve"> br. osiągnęła wa</w:t>
            </w:r>
            <w:r>
              <w:rPr>
                <w:bCs/>
              </w:rPr>
              <w:t>rtość (w cenach bieżących) 27844,1</w:t>
            </w:r>
            <w:r w:rsidRPr="003B7D2F">
              <w:rPr>
                <w:bCs/>
              </w:rPr>
              <w:t xml:space="preserve"> mln </w:t>
            </w:r>
            <w:r>
              <w:rPr>
                <w:bCs/>
              </w:rPr>
              <w:t xml:space="preserve">zł i była </w:t>
            </w:r>
            <w:r>
              <w:rPr>
                <w:bCs/>
              </w:rPr>
              <w:br/>
              <w:t>(w cenach stałych) o 4,2</w:t>
            </w:r>
            <w:r w:rsidRPr="003B7D2F">
              <w:rPr>
                <w:bCs/>
              </w:rPr>
              <w:t xml:space="preserve">% wyższa niż </w:t>
            </w:r>
            <w:r>
              <w:rPr>
                <w:bCs/>
              </w:rPr>
              <w:t>przed rokiem (wobec wzrostu o 3,8% w październiku</w:t>
            </w:r>
            <w:r w:rsidRPr="003B7D2F">
              <w:rPr>
                <w:bCs/>
              </w:rPr>
              <w:t xml:space="preserve"> br.); w stosunku do </w:t>
            </w:r>
            <w:r>
              <w:rPr>
                <w:bCs/>
              </w:rPr>
              <w:t>poprzedniego miesiąca zwiększyła się o 0,7</w:t>
            </w:r>
            <w:r w:rsidRPr="003B7D2F">
              <w:rPr>
                <w:bCs/>
              </w:rPr>
              <w:t>%.</w:t>
            </w:r>
          </w:p>
        </w:tc>
      </w:tr>
    </w:tbl>
    <w:p w:rsidR="004436FB" w:rsidRPr="007243EB" w:rsidRDefault="00FD6119" w:rsidP="003B7D2F">
      <w:pPr>
        <w:pStyle w:val="Tekstkomunikat"/>
        <w:spacing w:before="100" w:after="100" w:line="236" w:lineRule="exact"/>
      </w:pPr>
      <w:r>
        <w:t>Produkcja sprzedana w przetwórstwie przemysłowym (stanowiąca 82,8% produkcji sprzedanej przemysłu) w porównaniu z listopadem ub. roku zwiększyła się (w cenach stałych) o 10,2%. Zmniejszyła się natomiast (o 16,3%) produkcja sprzedana w sekcji wytwarzanie i zaopatrywanie w energię elektryczną, gaz, parę wodną i gorącą wodę (udział tej sekcji stanowi 14,5% produkcji przemysłowej).</w:t>
      </w:r>
    </w:p>
    <w:p w:rsidR="00441D57" w:rsidRDefault="00F072F0" w:rsidP="00AA697A">
      <w:pPr>
        <w:pStyle w:val="Tekstkomunikattytwykrestabl"/>
        <w:spacing w:before="240"/>
      </w:pPr>
      <w:r w:rsidRPr="00FA09D3">
        <w:t xml:space="preserve">Wykres </w:t>
      </w:r>
      <w:r w:rsidR="005E4F55" w:rsidRPr="00FA09D3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432C59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FA09D3">
      <w:pPr>
        <w:pStyle w:val="Tekstkomunikat"/>
      </w:pPr>
      <w:bookmarkStart w:id="7" w:name="_Toc309805950"/>
    </w:p>
    <w:p w:rsidR="00073689" w:rsidRDefault="00FD6119" w:rsidP="00FA09D3">
      <w:pPr>
        <w:pStyle w:val="Tekstkomunikat"/>
      </w:pPr>
      <w:r>
        <w:t>W listopadzie</w:t>
      </w:r>
      <w:r w:rsidRPr="003B7D2F">
        <w:t xml:space="preserve"> br. wzrost produkcji sprzedane</w:t>
      </w:r>
      <w:r>
        <w:t>j w ujęciu rocznym notowano w 19</w:t>
      </w:r>
      <w:r w:rsidRPr="003B7D2F">
        <w:t xml:space="preserve"> (spośród 33 występujących w województwie) działach przemysłu, m.in. w: produkcji komputerów, wyrobów el</w:t>
      </w:r>
      <w:r>
        <w:t>ektronicznych i optycznych (o 26,0</w:t>
      </w:r>
      <w:r w:rsidRPr="003B7D2F">
        <w:t xml:space="preserve">%), </w:t>
      </w:r>
      <w:r>
        <w:t>wyrobów z gumy i tworzyw sztucznych (o 24,0%), maszyn i urządzeń (o 15,2%), artykułów spożywczych (o 12,9</w:t>
      </w:r>
      <w:r w:rsidRPr="003B7D2F">
        <w:t xml:space="preserve">%), </w:t>
      </w:r>
      <w:r>
        <w:t xml:space="preserve">wyrobów z metali (o 11,1%), chemikaliów i wyrobów chemicznych (o 7,1%), papieru i wyrobów z papieru (o 6,0%), urządzeń elektrycznych (o 2,6%). </w:t>
      </w:r>
      <w:r w:rsidRPr="003B7D2F">
        <w:t xml:space="preserve">Zmniejszyła się natomiast produkcja sprzedana m.in. </w:t>
      </w:r>
      <w:r>
        <w:t>napojów (o 9,2%), wyrobów z </w:t>
      </w:r>
      <w:r w:rsidRPr="003B7D2F">
        <w:t>pozostałych mineralny</w:t>
      </w:r>
      <w:r>
        <w:t>ch surowców niemetalicznych (o 4,4%).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4A101E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FA09D3" w:rsidRPr="00FA09D3">
        <w:t xml:space="preserve">w </w:t>
      </w:r>
      <w:r w:rsidR="00FD6119">
        <w:t>listopadzie</w:t>
      </w:r>
      <w:r w:rsidR="00FD6119" w:rsidRPr="00FA09D3">
        <w:t xml:space="preserve"> </w:t>
      </w:r>
      <w:r w:rsidR="00FA09D3" w:rsidRPr="00FA09D3"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D6119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>XI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>I–XI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FD6119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D6119" w:rsidRPr="00F072F0" w:rsidRDefault="00FD6119" w:rsidP="00FD6119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  <w:rPr>
                <w:b/>
              </w:rPr>
            </w:pPr>
            <w:r>
              <w:rPr>
                <w:b/>
              </w:rPr>
              <w:t>104,2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  <w:rPr>
                <w:b/>
              </w:rPr>
            </w:pPr>
            <w:r>
              <w:rPr>
                <w:b/>
              </w:rPr>
              <w:t>104,8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FD6119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110,2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104,9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82,7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112,9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110,7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22,3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90,8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93,9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2,0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106,0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98,7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2,7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107,1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107,5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6,0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124,0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106,1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3,9</w:t>
            </w:r>
          </w:p>
        </w:tc>
      </w:tr>
    </w:tbl>
    <w:p w:rsidR="009B7BAB" w:rsidRDefault="009B7BAB" w:rsidP="009B7BAB">
      <w:pPr>
        <w:pStyle w:val="Tekstkomunikattytwykrestabl"/>
      </w:pPr>
      <w:r>
        <w:lastRenderedPageBreak/>
        <w:t>Tablica 8.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>
        <w:t>listopadzie</w:t>
      </w:r>
      <w:r w:rsidRPr="00FA09D3">
        <w:t xml:space="preserve"> 2020 r.</w:t>
      </w:r>
      <w:r>
        <w:t xml:space="preserve">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9B7BAB" w:rsidRPr="00C61E42" w:rsidTr="00AD6DC9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9B7BAB" w:rsidRPr="00C61E42" w:rsidRDefault="009B7BAB" w:rsidP="00AD6DC9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9B7BAB" w:rsidRPr="00C61E42" w:rsidRDefault="009B7BAB" w:rsidP="00AD6DC9">
            <w:pPr>
              <w:pStyle w:val="Tekstkomunikatgwka"/>
              <w:suppressAutoHyphens/>
            </w:pPr>
            <w:r>
              <w:t>XI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9B7BAB" w:rsidRPr="00C61E42" w:rsidRDefault="009B7BAB" w:rsidP="00AD6DC9">
            <w:pPr>
              <w:pStyle w:val="Tekstkomunikatgwka"/>
              <w:suppressAutoHyphens/>
            </w:pPr>
            <w:r>
              <w:t>I–XI 2020</w:t>
            </w:r>
          </w:p>
        </w:tc>
      </w:tr>
      <w:tr w:rsidR="009B7BAB" w:rsidRPr="00C61E42" w:rsidTr="009B7BAB">
        <w:trPr>
          <w:trHeight w:val="224"/>
        </w:trPr>
        <w:tc>
          <w:tcPr>
            <w:tcW w:w="4395" w:type="dxa"/>
            <w:vMerge/>
            <w:tcBorders>
              <w:bottom w:val="single" w:sz="8" w:space="0" w:color="522398"/>
            </w:tcBorders>
            <w:vAlign w:val="center"/>
          </w:tcPr>
          <w:p w:rsidR="009B7BAB" w:rsidRPr="00C61E42" w:rsidRDefault="009B7BAB" w:rsidP="00AD6DC9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  <w:bottom w:val="single" w:sz="8" w:space="0" w:color="522398"/>
            </w:tcBorders>
            <w:vAlign w:val="center"/>
          </w:tcPr>
          <w:p w:rsidR="009B7BAB" w:rsidRDefault="009B7BAB" w:rsidP="00AD6DC9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  <w:bottom w:val="single" w:sz="8" w:space="0" w:color="522398"/>
            </w:tcBorders>
            <w:vAlign w:val="center"/>
          </w:tcPr>
          <w:p w:rsidR="009B7BAB" w:rsidRDefault="009B7BAB" w:rsidP="00AD6DC9">
            <w:pPr>
              <w:pStyle w:val="Tekstkomunikatgwka"/>
            </w:pPr>
            <w:r>
              <w:t>w odsetkach</w:t>
            </w:r>
          </w:p>
        </w:tc>
      </w:tr>
      <w:tr w:rsidR="009B7BAB" w:rsidRPr="003545A4" w:rsidTr="009B7BAB">
        <w:tc>
          <w:tcPr>
            <w:tcW w:w="439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:rsidR="009B7BAB" w:rsidRPr="00C61E42" w:rsidRDefault="009B7BAB" w:rsidP="00AD6DC9">
            <w:pPr>
              <w:pStyle w:val="TekstkomunikatB1"/>
              <w:spacing w:before="100" w:after="100"/>
            </w:pPr>
            <w:r>
              <w:t>Przetwórstwo przemysłowe (dok.)</w:t>
            </w:r>
          </w:p>
        </w:tc>
        <w:tc>
          <w:tcPr>
            <w:tcW w:w="203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:rsidR="009B7BAB" w:rsidRPr="003545A4" w:rsidRDefault="009B7BAB" w:rsidP="00AD6DC9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tcBorders>
              <w:top w:val="single" w:sz="8" w:space="0" w:color="522398"/>
              <w:bottom w:val="single" w:sz="4" w:space="0" w:color="522398"/>
            </w:tcBorders>
          </w:tcPr>
          <w:p w:rsidR="009B7BAB" w:rsidRDefault="009B7BAB" w:rsidP="00AD6DC9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:rsidR="009B7BAB" w:rsidRPr="003545A4" w:rsidRDefault="009B7BAB" w:rsidP="00AD6DC9">
            <w:pPr>
              <w:pStyle w:val="Tekstkomunikatliczby"/>
              <w:suppressAutoHyphens/>
              <w:spacing w:before="100" w:after="100"/>
            </w:pPr>
          </w:p>
        </w:tc>
      </w:tr>
      <w:tr w:rsidR="00FD6119" w:rsidRPr="003545A4" w:rsidTr="009B7BAB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95,6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94,2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3,1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111,1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104,7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4,1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126,0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115,2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6,3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102,6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109,3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5,7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115,2</w:t>
            </w:r>
          </w:p>
        </w:tc>
        <w:tc>
          <w:tcPr>
            <w:tcW w:w="2032" w:type="dxa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97,6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2,4</w:t>
            </w:r>
          </w:p>
        </w:tc>
      </w:tr>
      <w:tr w:rsidR="00FD6119" w:rsidRPr="003545A4" w:rsidTr="0082487A">
        <w:tc>
          <w:tcPr>
            <w:tcW w:w="4395" w:type="dxa"/>
            <w:vAlign w:val="center"/>
          </w:tcPr>
          <w:p w:rsidR="00FD6119" w:rsidRPr="00C61E42" w:rsidRDefault="00FD6119" w:rsidP="00FD6119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83,7</w:t>
            </w:r>
          </w:p>
        </w:tc>
        <w:tc>
          <w:tcPr>
            <w:tcW w:w="2032" w:type="dxa"/>
            <w:vAlign w:val="center"/>
          </w:tcPr>
          <w:p w:rsidR="00FD6119" w:rsidRDefault="00FD6119" w:rsidP="00FD6119">
            <w:pPr>
              <w:pStyle w:val="Tekstkomunikatliczby"/>
              <w:suppressAutoHyphens/>
              <w:spacing w:before="100" w:after="100"/>
            </w:pPr>
            <w:r>
              <w:t>102,8</w:t>
            </w:r>
          </w:p>
        </w:tc>
        <w:tc>
          <w:tcPr>
            <w:tcW w:w="2032" w:type="dxa"/>
            <w:vAlign w:val="center"/>
          </w:tcPr>
          <w:p w:rsidR="00FD6119" w:rsidRPr="003545A4" w:rsidRDefault="00FD6119" w:rsidP="00FD6119">
            <w:pPr>
              <w:pStyle w:val="Tekstkomunikatliczby"/>
              <w:suppressAutoHyphens/>
              <w:spacing w:before="100" w:after="100"/>
            </w:pPr>
            <w:r>
              <w:t>14,2</w:t>
            </w:r>
          </w:p>
        </w:tc>
      </w:tr>
    </w:tbl>
    <w:p w:rsidR="009B7BAB" w:rsidRDefault="009B7BAB" w:rsidP="00FD6119">
      <w:pPr>
        <w:pStyle w:val="Tekstkomunikat"/>
        <w:suppressAutoHyphens/>
      </w:pPr>
    </w:p>
    <w:p w:rsidR="00FD6119" w:rsidRDefault="00FD6119" w:rsidP="00FD6119">
      <w:pPr>
        <w:pStyle w:val="Tekstkomunikat"/>
        <w:suppressAutoHyphens/>
        <w:rPr>
          <w:spacing w:val="-2"/>
        </w:rPr>
      </w:pPr>
      <w:r>
        <w:t xml:space="preserve">Wydajność pracy w przemyśle, mierzona produkcją sprzedaną na 1 zatrudnionego, w listopadzie br. wyniosła (w cenach bieżących) 71,7 tys. zł i była (w cenach stałych) o 2,7% wyższa niż przed rokiem, przy wzroście przeciętnego zatrudnienia o 1,4% </w:t>
      </w:r>
      <w:r>
        <w:rPr>
          <w:spacing w:val="-2"/>
        </w:rPr>
        <w:t xml:space="preserve">i </w:t>
      </w:r>
      <w:r w:rsidRPr="004C3689">
        <w:rPr>
          <w:spacing w:val="-2"/>
        </w:rPr>
        <w:t xml:space="preserve">przeciętnego miesięcznego wynagrodzenia brutto o </w:t>
      </w:r>
      <w:r>
        <w:rPr>
          <w:spacing w:val="-2"/>
        </w:rPr>
        <w:t>5</w:t>
      </w:r>
      <w:r w:rsidRPr="004C3689">
        <w:rPr>
          <w:spacing w:val="-2"/>
        </w:rPr>
        <w:t>,</w:t>
      </w:r>
      <w:r>
        <w:rPr>
          <w:spacing w:val="-2"/>
        </w:rPr>
        <w:t>0</w:t>
      </w:r>
      <w:r w:rsidRPr="004C3689">
        <w:rPr>
          <w:spacing w:val="-2"/>
        </w:rPr>
        <w:t xml:space="preserve">%. </w:t>
      </w:r>
    </w:p>
    <w:p w:rsidR="00FD6119" w:rsidRDefault="00FD6119" w:rsidP="00FD6119">
      <w:pPr>
        <w:pStyle w:val="Tekstkomunikat"/>
        <w:suppressAutoHyphens/>
      </w:pPr>
      <w:r w:rsidRPr="004C3689">
        <w:rPr>
          <w:spacing w:val="-2"/>
        </w:rPr>
        <w:t>W okresie styczeń–</w:t>
      </w:r>
      <w:r>
        <w:rPr>
          <w:spacing w:val="-2"/>
        </w:rPr>
        <w:t xml:space="preserve">listopad </w:t>
      </w:r>
      <w:r w:rsidRPr="004C3689">
        <w:rPr>
          <w:spacing w:val="-2"/>
        </w:rPr>
        <w:t xml:space="preserve">br. produkcja sprzedana przemysłu wyniosła (w cenach bieżących) </w:t>
      </w:r>
      <w:r>
        <w:rPr>
          <w:spacing w:val="-2"/>
        </w:rPr>
        <w:t>278250</w:t>
      </w:r>
      <w:r w:rsidRPr="004C3689">
        <w:rPr>
          <w:spacing w:val="-2"/>
        </w:rPr>
        <w:t>,</w:t>
      </w:r>
      <w:r>
        <w:rPr>
          <w:spacing w:val="-2"/>
        </w:rPr>
        <w:t>1</w:t>
      </w:r>
      <w:r w:rsidRPr="004C3689">
        <w:rPr>
          <w:spacing w:val="-2"/>
        </w:rPr>
        <w:t xml:space="preserve"> mln zł i była </w:t>
      </w:r>
      <w:r>
        <w:rPr>
          <w:spacing w:val="-2"/>
        </w:rPr>
        <w:br/>
      </w:r>
      <w:r w:rsidRPr="004C3689">
        <w:rPr>
          <w:spacing w:val="-2"/>
        </w:rPr>
        <w:t xml:space="preserve">(w cenach stałych) o </w:t>
      </w:r>
      <w:r>
        <w:rPr>
          <w:spacing w:val="-2"/>
        </w:rPr>
        <w:t>4</w:t>
      </w:r>
      <w:r w:rsidRPr="004C3689">
        <w:rPr>
          <w:spacing w:val="-2"/>
        </w:rPr>
        <w:t>,</w:t>
      </w:r>
      <w:r>
        <w:rPr>
          <w:spacing w:val="-2"/>
        </w:rPr>
        <w:t>8</w:t>
      </w:r>
      <w:r w:rsidRPr="004C3689">
        <w:rPr>
          <w:spacing w:val="-2"/>
        </w:rPr>
        <w:t xml:space="preserve">% </w:t>
      </w:r>
      <w:r>
        <w:rPr>
          <w:spacing w:val="-2"/>
        </w:rPr>
        <w:t>wyższa</w:t>
      </w:r>
      <w:r w:rsidRPr="004C3689">
        <w:rPr>
          <w:spacing w:val="-2"/>
        </w:rPr>
        <w:t xml:space="preserve"> niż w analogicznym okresie ub. roku.</w:t>
      </w:r>
      <w:r>
        <w:rPr>
          <w:spacing w:val="-2"/>
        </w:rPr>
        <w:t xml:space="preserve"> </w:t>
      </w:r>
    </w:p>
    <w:p w:rsidR="00FD6119" w:rsidRDefault="00FD6119" w:rsidP="00FD6119">
      <w:pPr>
        <w:pStyle w:val="Tekstkomunikat"/>
        <w:suppressAutoHyphens/>
      </w:pPr>
      <w:r w:rsidRPr="00C87752">
        <w:rPr>
          <w:b/>
        </w:rPr>
        <w:t>Produkcja sprzedana budownictwa</w:t>
      </w:r>
      <w:r>
        <w:t xml:space="preserve"> (w cenach bieżących) w listopadzie br. osiągnęła wartość 7065,7 mln zł i była o 4,0% wyższa niż przed rokiem (wobec spadku o 14,5% w październiku br.); w stosunku do poprzedniego miesiąca zwiększyła się o 10,3%. W okresie styczeń–listopad br. produkcja sprzedana budownictwa wyniosła 71941,5 mln zł i była o 3,0% niższa w porównaniu z analogicznym okresem ub. roku.</w:t>
      </w:r>
    </w:p>
    <w:p w:rsidR="00FD6119" w:rsidRDefault="00FD6119" w:rsidP="00FD6119">
      <w:pPr>
        <w:pStyle w:val="Tekstkomunikat"/>
        <w:suppressAutoHyphens/>
      </w:pPr>
      <w:r w:rsidRPr="00864A46">
        <w:rPr>
          <w:spacing w:val="-4"/>
        </w:rPr>
        <w:t>Wydajność pracy w budownictwie, mierzona przychodami ze sprzedaży wyrobów i usług n</w:t>
      </w:r>
      <w:r>
        <w:rPr>
          <w:spacing w:val="-4"/>
        </w:rPr>
        <w:t>a 1 zatrudnionego w listopadzie</w:t>
      </w:r>
      <w:r w:rsidRPr="00864A46">
        <w:rPr>
          <w:spacing w:val="-4"/>
        </w:rPr>
        <w:t xml:space="preserve"> br.</w:t>
      </w:r>
      <w:r>
        <w:t xml:space="preserve"> ukształtowała się na poziomie 78,9 tys. zł (w cenach bieżących) i była o 2,8% wyższa w porównaniu z analogicznym miesiącem ub. roku, przy wzroście przeciętnego zatrudnienia o 1,1% i przeciętnego miesięcznego wynagrodzenia brutto o 1,5%.</w:t>
      </w:r>
    </w:p>
    <w:p w:rsidR="005851C6" w:rsidRDefault="00FD6119" w:rsidP="00FD6119">
      <w:pPr>
        <w:pStyle w:val="Tekstkomunikat"/>
        <w:spacing w:before="100" w:after="100" w:line="230" w:lineRule="exact"/>
      </w:pPr>
      <w:r>
        <w:rPr>
          <w:b/>
        </w:rPr>
        <w:t>Pro</w:t>
      </w:r>
      <w:r w:rsidRPr="00C87752">
        <w:rPr>
          <w:b/>
        </w:rPr>
        <w:t>dukcja budowlano-montażowa</w:t>
      </w:r>
      <w:r>
        <w:t xml:space="preserve"> (w cenach bieżących) w listopadzie br. wyniosła 1969,8 mln zł i była o 1,8% niższa niż przed rokiem (wobec spadku o 9,7% w październiku br.); w porównaniu z poprzednim miesiącem zmniejszyła się o 0,9%. Spadek produkcji odnotowano w podmiotach, których podstawowym rodzajem działalności jest wznoszenie budynków </w:t>
      </w:r>
      <w:r>
        <w:br/>
      </w:r>
      <w:r w:rsidRPr="005B19FA">
        <w:rPr>
          <w:spacing w:val="-2"/>
        </w:rPr>
        <w:t>(o 19,8%) oraz w jednostkach specjalizujących się w budowie obiektów inżynierii lądowej i wodnej (o 2,3%). Wzrost wystąpił w przedsiębiorstwach wykonujących głównie roboty budowlane specjalistyczne (o 24,9%). W okresie styczeń–listopad</w:t>
      </w:r>
      <w:r>
        <w:t xml:space="preserve"> br. produkcja budowlano-montażowa ukształtowała się na poziomie 19860,5 mln zł i była o 1,4% niższa w porównaniu z analogicznym okresem ub. roku.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4A101E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FA09D3">
        <w:t xml:space="preserve">w </w:t>
      </w:r>
      <w:r w:rsidR="00FD6119">
        <w:t xml:space="preserve">listopadzie </w:t>
      </w:r>
      <w:r w:rsidR="00FA09D3">
        <w:t>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D6119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 xml:space="preserve">XI </w:t>
            </w:r>
            <w:r w:rsidRPr="00C61E42">
              <w:t>20</w:t>
            </w:r>
            <w:r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>I–XI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FD6119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D6119" w:rsidRPr="00B07A46" w:rsidRDefault="00FD6119" w:rsidP="00FD6119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D6119" w:rsidRPr="002C4DF1" w:rsidRDefault="00FD6119" w:rsidP="00FD6119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FD6119" w:rsidRDefault="00FD6119" w:rsidP="00FD6119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98,6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FD6119" w:rsidRPr="002C4DF1" w:rsidRDefault="00FD6119" w:rsidP="00FD6119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D6119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FD6119" w:rsidRPr="00C61E42" w:rsidRDefault="00FD6119" w:rsidP="00FD6119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FD6119" w:rsidRPr="002C4DF1" w:rsidRDefault="00FD6119" w:rsidP="00FD6119">
            <w:pPr>
              <w:pStyle w:val="Tekstkomunikatliczby"/>
              <w:suppressAutoHyphens/>
            </w:pPr>
            <w:r>
              <w:t>80,2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FD6119" w:rsidRDefault="00FD6119" w:rsidP="00FD6119">
            <w:pPr>
              <w:pStyle w:val="Tekstkomunikatliczby"/>
              <w:suppressAutoHyphens/>
            </w:pPr>
            <w:r>
              <w:t>81,7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FD6119" w:rsidRPr="002C4DF1" w:rsidRDefault="00FD6119" w:rsidP="00FD6119">
            <w:pPr>
              <w:pStyle w:val="Tekstkomunikatliczby"/>
              <w:suppressAutoHyphens/>
            </w:pPr>
            <w:r>
              <w:t>23,0</w:t>
            </w:r>
          </w:p>
        </w:tc>
      </w:tr>
      <w:tr w:rsidR="00FD6119" w:rsidRPr="00C61E42" w:rsidTr="00F45F00">
        <w:tc>
          <w:tcPr>
            <w:tcW w:w="2032" w:type="pct"/>
            <w:vAlign w:val="center"/>
          </w:tcPr>
          <w:p w:rsidR="00FD6119" w:rsidRPr="00C61E42" w:rsidRDefault="00FD6119" w:rsidP="00FD6119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FD6119" w:rsidRPr="002C4DF1" w:rsidRDefault="00FD6119" w:rsidP="00FD6119">
            <w:pPr>
              <w:pStyle w:val="Tekstkomunikatliczby"/>
              <w:suppressAutoHyphens/>
            </w:pPr>
            <w:r>
              <w:t>97,7</w:t>
            </w:r>
          </w:p>
        </w:tc>
        <w:tc>
          <w:tcPr>
            <w:tcW w:w="990" w:type="pct"/>
          </w:tcPr>
          <w:p w:rsidR="00FD6119" w:rsidRDefault="00FD6119" w:rsidP="00FD6119">
            <w:pPr>
              <w:pStyle w:val="Tekstkomunikatliczby"/>
              <w:suppressAutoHyphens/>
            </w:pPr>
            <w:r>
              <w:t>101,2</w:t>
            </w:r>
          </w:p>
        </w:tc>
        <w:tc>
          <w:tcPr>
            <w:tcW w:w="989" w:type="pct"/>
          </w:tcPr>
          <w:p w:rsidR="00FD6119" w:rsidRPr="002C4DF1" w:rsidRDefault="00FD6119" w:rsidP="00FD6119">
            <w:pPr>
              <w:pStyle w:val="Tekstkomunikatliczby"/>
              <w:suppressAutoHyphens/>
            </w:pPr>
            <w:r>
              <w:t>52,7</w:t>
            </w:r>
          </w:p>
        </w:tc>
      </w:tr>
      <w:tr w:rsidR="00FD6119" w:rsidRPr="00C61E42" w:rsidTr="00F45F00">
        <w:tc>
          <w:tcPr>
            <w:tcW w:w="2032" w:type="pct"/>
            <w:vAlign w:val="center"/>
          </w:tcPr>
          <w:p w:rsidR="00FD6119" w:rsidRPr="00C61E42" w:rsidRDefault="00FD6119" w:rsidP="00FD6119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FD6119" w:rsidRPr="002C4DF1" w:rsidRDefault="00FD6119" w:rsidP="00FD6119">
            <w:pPr>
              <w:pStyle w:val="Tekstkomunikatliczby"/>
              <w:suppressAutoHyphens/>
            </w:pPr>
            <w:r>
              <w:t>124,9</w:t>
            </w:r>
          </w:p>
        </w:tc>
        <w:tc>
          <w:tcPr>
            <w:tcW w:w="990" w:type="pct"/>
          </w:tcPr>
          <w:p w:rsidR="00FD6119" w:rsidRDefault="00FD6119" w:rsidP="00FD6119">
            <w:pPr>
              <w:pStyle w:val="Tekstkomunikatliczby"/>
              <w:suppressAutoHyphens/>
            </w:pPr>
            <w:r>
              <w:t>114,7</w:t>
            </w:r>
          </w:p>
        </w:tc>
        <w:tc>
          <w:tcPr>
            <w:tcW w:w="989" w:type="pct"/>
          </w:tcPr>
          <w:p w:rsidR="00FD6119" w:rsidRPr="002C4DF1" w:rsidRDefault="00FD6119" w:rsidP="00FD6119">
            <w:pPr>
              <w:pStyle w:val="Tekstkomunikatliczby"/>
              <w:suppressAutoHyphens/>
            </w:pPr>
            <w:r>
              <w:t>24,3</w:t>
            </w:r>
          </w:p>
        </w:tc>
      </w:tr>
    </w:tbl>
    <w:p w:rsidR="009B7BAB" w:rsidRDefault="009B7BAB" w:rsidP="00311E35">
      <w:pPr>
        <w:pStyle w:val="Tekstkomunikattytu"/>
      </w:pPr>
    </w:p>
    <w:p w:rsidR="002C5897" w:rsidRDefault="002577F4" w:rsidP="00311E35">
      <w:pPr>
        <w:pStyle w:val="Tekstkomunikattytu"/>
      </w:pPr>
      <w:r w:rsidRPr="00B97268">
        <w:lastRenderedPageBreak/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5476EA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5476EA">
              <w:t>listopadzie</w:t>
            </w:r>
            <w:r>
              <w:t xml:space="preserve"> br.</w:t>
            </w:r>
            <w:r w:rsidRPr="0051488A">
              <w:t xml:space="preserve"> </w:t>
            </w:r>
            <w:r>
              <w:t xml:space="preserve">w porównaniu z analogicznym miesiącem 2019 r. </w:t>
            </w:r>
            <w:r w:rsidR="00734C86">
              <w:t xml:space="preserve">liczba mieszkań oddanych do użytkowania </w:t>
            </w:r>
            <w:r w:rsidR="001A4561">
              <w:t>zmniej</w:t>
            </w:r>
            <w:r w:rsidR="00257C29">
              <w:t>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5476EA">
              <w:t>0,8</w:t>
            </w:r>
            <w:r>
              <w:t>%</w:t>
            </w:r>
            <w:r w:rsidR="00734C86">
              <w:t>;</w:t>
            </w:r>
            <w:r w:rsidR="00136CB2">
              <w:t xml:space="preserve"> </w:t>
            </w:r>
            <w:r w:rsidR="001A4561">
              <w:t>mniej</w:t>
            </w:r>
            <w:r w:rsidR="00136CB2">
              <w:t xml:space="preserve"> było </w:t>
            </w:r>
            <w:r w:rsidR="00257C29">
              <w:t xml:space="preserve">także </w:t>
            </w:r>
            <w:r w:rsidR="00D76198">
              <w:t>mieszkań</w:t>
            </w:r>
            <w:r w:rsidR="007543BF">
              <w:t xml:space="preserve"> rozpoczętych – o </w:t>
            </w:r>
            <w:r w:rsidR="005476EA">
              <w:t>3,0</w:t>
            </w:r>
            <w:r w:rsidR="007543BF">
              <w:t>%</w:t>
            </w:r>
            <w:r w:rsidR="001A4561">
              <w:t xml:space="preserve"> oraz</w:t>
            </w:r>
            <w:r w:rsidR="007543BF">
              <w:t xml:space="preserve"> mieszkań</w:t>
            </w:r>
            <w:r w:rsidR="00257C29">
              <w:t>,</w:t>
            </w:r>
            <w:r w:rsidR="00D76198">
              <w:t xml:space="preserve"> </w:t>
            </w:r>
            <w:r w:rsidR="00257C29">
              <w:t xml:space="preserve">na budowę których wydano pozwolenia lub dokonano zgłoszenia z projektem budowlanym </w:t>
            </w:r>
            <w:r w:rsidR="007543BF">
              <w:t xml:space="preserve">– </w:t>
            </w:r>
            <w:r w:rsidR="00257C29">
              <w:t xml:space="preserve">o </w:t>
            </w:r>
            <w:r w:rsidR="005476EA">
              <w:t>5,3</w:t>
            </w:r>
            <w:r w:rsidR="00257C29">
              <w:t>%</w:t>
            </w:r>
            <w:r w:rsidR="007543BF">
              <w:t xml:space="preserve">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C70235">
        <w:t>listopadzie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70235">
        <w:t>4573</w:t>
      </w:r>
      <w:r w:rsidR="00132EB7">
        <w:t xml:space="preserve"> </w:t>
      </w:r>
      <w:r w:rsidRPr="0051488A">
        <w:t>mieszka</w:t>
      </w:r>
      <w:r w:rsidR="00D41185">
        <w:t>nia</w:t>
      </w:r>
      <w:r>
        <w:t xml:space="preserve">, tj. </w:t>
      </w:r>
      <w:r w:rsidR="00D41185">
        <w:t>mniej</w:t>
      </w:r>
      <w:r w:rsidR="0024558A" w:rsidRPr="0051488A">
        <w:t xml:space="preserve"> </w:t>
      </w:r>
      <w:r>
        <w:t xml:space="preserve">o </w:t>
      </w:r>
      <w:r w:rsidR="00C70235">
        <w:t>37</w:t>
      </w:r>
      <w:r w:rsidR="00D41185">
        <w:t xml:space="preserve"> </w:t>
      </w:r>
      <w:r w:rsidR="00F47929">
        <w:t xml:space="preserve">(o </w:t>
      </w:r>
      <w:r w:rsidR="00C70235">
        <w:t>0,8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C70235">
        <w:t xml:space="preserve">więcej </w:t>
      </w:r>
      <w:r w:rsidR="0024558A">
        <w:t xml:space="preserve">o </w:t>
      </w:r>
      <w:r w:rsidR="00C70235">
        <w:t>270</w:t>
      </w:r>
      <w:r w:rsidR="0024558A">
        <w:t xml:space="preserve"> </w:t>
      </w:r>
      <w:r w:rsidR="00F47929">
        <w:t xml:space="preserve">(o </w:t>
      </w:r>
      <w:r w:rsidR="00C70235">
        <w:t>6,3</w:t>
      </w:r>
      <w:r w:rsidR="00F47929">
        <w:t xml:space="preserve">%) </w:t>
      </w:r>
      <w:r w:rsidR="0024558A">
        <w:t>niż w poprzednim miesiącu</w:t>
      </w:r>
      <w:r w:rsidR="00E317B3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C70235">
        <w:t>3554</w:t>
      </w:r>
      <w:r w:rsidR="00C50F0C" w:rsidRPr="00C50F0C">
        <w:t xml:space="preserve"> (</w:t>
      </w:r>
      <w:r w:rsidR="00C70235">
        <w:t>77,7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C70235">
        <w:t>975</w:t>
      </w:r>
      <w:r w:rsidR="003F5607">
        <w:t xml:space="preserve"> (</w:t>
      </w:r>
      <w:r w:rsidR="00C70235">
        <w:t>21,3</w:t>
      </w:r>
      <w:r w:rsidR="003F5607">
        <w:t xml:space="preserve">%). </w:t>
      </w:r>
      <w:r w:rsidR="00C70235">
        <w:br/>
      </w:r>
      <w:r w:rsidR="003F5607">
        <w:t xml:space="preserve">W porównaniu z </w:t>
      </w:r>
      <w:r w:rsidR="00C70235">
        <w:t>listopadem</w:t>
      </w:r>
      <w:r w:rsidR="003F5607">
        <w:t xml:space="preserve"> 2019 r. mieszkań przeznaczonych na sprzedaż lub wynajem było </w:t>
      </w:r>
      <w:r w:rsidR="00D41185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C70235">
        <w:rPr>
          <w:spacing w:val="-2"/>
        </w:rPr>
        <w:t>4,2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D41185">
        <w:t xml:space="preserve">więcej o </w:t>
      </w:r>
      <w:r w:rsidR="00C70235">
        <w:t>19,3</w:t>
      </w:r>
      <w:r w:rsidR="003F5607" w:rsidRPr="00144114">
        <w:rPr>
          <w:spacing w:val="-2"/>
        </w:rPr>
        <w:t>%.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C70235">
        <w:t>23,3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 w:rsidRPr="003E6356">
        <w:t xml:space="preserve">Tablica </w:t>
      </w:r>
      <w:r w:rsidR="00FA58E0" w:rsidRPr="003E6356">
        <w:t>1</w:t>
      </w:r>
      <w:r w:rsidR="004A101E" w:rsidRPr="003E6356">
        <w:t>0</w:t>
      </w:r>
      <w:r w:rsidRPr="003E6356">
        <w:t>.</w:t>
      </w:r>
      <w:r w:rsidRPr="003E6356">
        <w:tab/>
      </w:r>
      <w:r w:rsidR="008E49DF" w:rsidRPr="003E6356">
        <w:t xml:space="preserve">Liczba mieszkań oddanych do użytkowania w </w:t>
      </w:r>
      <w:r w:rsidR="00A17B5C" w:rsidRPr="003E6356">
        <w:t>okresie styczeń–</w:t>
      </w:r>
      <w:r w:rsidR="00A35CC3">
        <w:t>listopad</w:t>
      </w:r>
      <w:r w:rsidR="009214ED" w:rsidRPr="003E6356">
        <w:t xml:space="preserve"> </w:t>
      </w:r>
      <w:r w:rsidR="00A278C0" w:rsidRPr="003E6356">
        <w:t>2020</w:t>
      </w:r>
      <w:r w:rsidR="00877D49" w:rsidRPr="003E6356">
        <w:t xml:space="preserve"> </w:t>
      </w:r>
      <w:r w:rsidR="00E81918" w:rsidRPr="003E6356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F9130A" w:rsidP="003E6356">
            <w:pPr>
              <w:pStyle w:val="Tekstkomunikatgwka"/>
            </w:pPr>
            <w:r>
              <w:t>I–</w:t>
            </w:r>
            <w:r w:rsidR="00E214FA">
              <w:t>X</w:t>
            </w:r>
            <w:r w:rsidR="00AA7726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CC3" w:rsidRPr="0029558B" w:rsidTr="00A35CC3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5CC3" w:rsidRPr="0029558B" w:rsidRDefault="00A35CC3" w:rsidP="009B7BAB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5CC3">
              <w:rPr>
                <w:rFonts w:cs="Arial"/>
                <w:b/>
                <w:bCs/>
                <w:sz w:val="16"/>
                <w:szCs w:val="16"/>
              </w:rPr>
              <w:t>42026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5CC3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5CC3">
              <w:rPr>
                <w:rFonts w:cs="Arial"/>
                <w:b/>
                <w:bCs/>
                <w:sz w:val="16"/>
                <w:szCs w:val="16"/>
              </w:rPr>
              <w:t>107,2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5CC3">
              <w:rPr>
                <w:rFonts w:cs="Arial"/>
                <w:b/>
                <w:bCs/>
                <w:sz w:val="16"/>
                <w:szCs w:val="16"/>
              </w:rPr>
              <w:t>83,8</w:t>
            </w:r>
          </w:p>
        </w:tc>
      </w:tr>
      <w:tr w:rsidR="00A35CC3" w:rsidRPr="00624170" w:rsidTr="00A35CC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35CC3" w:rsidRPr="00624170" w:rsidRDefault="00A35CC3" w:rsidP="009B7BAB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9577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151,7</w:t>
            </w:r>
          </w:p>
        </w:tc>
      </w:tr>
      <w:tr w:rsidR="00A35CC3" w:rsidRPr="00624170" w:rsidTr="00A35CC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35CC3" w:rsidRDefault="00A35CC3" w:rsidP="009B7BAB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52,4</w:t>
            </w:r>
          </w:p>
        </w:tc>
      </w:tr>
      <w:tr w:rsidR="00A35CC3" w:rsidRPr="00624170" w:rsidTr="00A35CC3">
        <w:tc>
          <w:tcPr>
            <w:tcW w:w="3514" w:type="dxa"/>
            <w:vAlign w:val="center"/>
          </w:tcPr>
          <w:p w:rsidR="00A35CC3" w:rsidRPr="007E4FDC" w:rsidRDefault="00A35CC3" w:rsidP="009B7BAB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31973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76,1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64,0</w:t>
            </w:r>
          </w:p>
        </w:tc>
      </w:tr>
      <w:tr w:rsidR="00A35CC3" w:rsidRPr="00624170" w:rsidTr="00A35CC3">
        <w:tc>
          <w:tcPr>
            <w:tcW w:w="3514" w:type="dxa"/>
            <w:vAlign w:val="center"/>
          </w:tcPr>
          <w:p w:rsidR="00A35CC3" w:rsidRPr="00624170" w:rsidRDefault="00A35CC3" w:rsidP="009B7BAB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43,5</w:t>
            </w:r>
          </w:p>
        </w:tc>
      </w:tr>
      <w:tr w:rsidR="00A35CC3" w:rsidRPr="00624170" w:rsidTr="00A35CC3">
        <w:tc>
          <w:tcPr>
            <w:tcW w:w="3514" w:type="dxa"/>
            <w:vAlign w:val="center"/>
          </w:tcPr>
          <w:p w:rsidR="00A35CC3" w:rsidRDefault="00A35CC3" w:rsidP="009B7BAB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244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744" w:type="dxa"/>
            <w:vAlign w:val="center"/>
          </w:tcPr>
          <w:p w:rsidR="00A35CC3" w:rsidRPr="00A35CC3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35CC3">
              <w:rPr>
                <w:rFonts w:cs="Arial"/>
                <w:sz w:val="16"/>
                <w:szCs w:val="16"/>
              </w:rPr>
              <w:t>43,1</w:t>
            </w:r>
          </w:p>
        </w:tc>
      </w:tr>
    </w:tbl>
    <w:p w:rsidR="00AE2180" w:rsidRDefault="00AE2180" w:rsidP="00F72202">
      <w:pPr>
        <w:pStyle w:val="Tekstkomunikat"/>
        <w:spacing w:before="240"/>
      </w:pPr>
      <w:r>
        <w:t>W okresie styczeń–</w:t>
      </w:r>
      <w:r w:rsidR="00CD770F">
        <w:t>listopad</w:t>
      </w:r>
      <w:r w:rsidR="00FD1764">
        <w:t xml:space="preserve"> </w:t>
      </w:r>
      <w:r w:rsidR="00081263">
        <w:t>b</w:t>
      </w:r>
      <w:r>
        <w:t xml:space="preserve">r. oddano do użytkowania </w:t>
      </w:r>
      <w:r w:rsidR="00CD770F">
        <w:t>42026</w:t>
      </w:r>
      <w:r>
        <w:t xml:space="preserve"> mieszka</w:t>
      </w:r>
      <w:r w:rsidR="00E24987">
        <w:t>ń</w:t>
      </w:r>
      <w:r>
        <w:t xml:space="preserve">, tj. </w:t>
      </w:r>
      <w:r w:rsidR="00AB5BD4">
        <w:t>więcej</w:t>
      </w:r>
      <w:r>
        <w:t xml:space="preserve"> niż w analogicznym okresie ub</w:t>
      </w:r>
      <w:r w:rsidR="00DC4D55">
        <w:t>.</w:t>
      </w:r>
      <w:r>
        <w:t xml:space="preserve"> roku </w:t>
      </w:r>
      <w:r w:rsidR="00045AB3">
        <w:br/>
      </w:r>
      <w:r w:rsidR="005F555B">
        <w:t xml:space="preserve">o </w:t>
      </w:r>
      <w:r w:rsidR="00CD770F">
        <w:t>281</w:t>
      </w:r>
      <w:r w:rsidR="002F1AEF">
        <w:t>2</w:t>
      </w:r>
      <w:r w:rsidR="005F555B">
        <w:t>, tj. o</w:t>
      </w:r>
      <w:r>
        <w:t xml:space="preserve"> </w:t>
      </w:r>
      <w:r w:rsidR="00CD770F">
        <w:t>7,2</w:t>
      </w:r>
      <w:r>
        <w:t>%</w:t>
      </w:r>
      <w:r w:rsidR="00DC4D55">
        <w:t>.</w:t>
      </w:r>
      <w:r>
        <w:t xml:space="preserve"> </w:t>
      </w:r>
    </w:p>
    <w:p w:rsidR="00A92F42" w:rsidRDefault="0029558B" w:rsidP="0024169E">
      <w:pPr>
        <w:pStyle w:val="Tekstkomunikattytwykrestabl"/>
      </w:pPr>
      <w:r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8D4A80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D86BFA">
        <w:t>21047</w:t>
      </w:r>
      <w:r w:rsidRPr="006247F1">
        <w:t xml:space="preserve">), a w dalszej kolejności w powiatach </w:t>
      </w:r>
      <w:r w:rsidR="00CF56BA">
        <w:t xml:space="preserve">wołomińskim </w:t>
      </w:r>
      <w:r w:rsidR="004155F4">
        <w:t>(</w:t>
      </w:r>
      <w:r w:rsidR="00D86BFA">
        <w:t>2903</w:t>
      </w:r>
      <w:r w:rsidR="004155F4">
        <w:t xml:space="preserve">) i </w:t>
      </w:r>
      <w:r w:rsidR="00CF56BA">
        <w:t xml:space="preserve">piaseczyńskim </w:t>
      </w:r>
      <w:r w:rsidR="004155F4">
        <w:t>(</w:t>
      </w:r>
      <w:r w:rsidR="00D86BFA">
        <w:t>2386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F95748">
        <w:t xml:space="preserve">lipskim </w:t>
      </w:r>
      <w:r w:rsidR="00860458">
        <w:t>(</w:t>
      </w:r>
      <w:r w:rsidR="00D86BFA">
        <w:t>50</w:t>
      </w:r>
      <w:r w:rsidR="00FC4C6F">
        <w:t>)</w:t>
      </w:r>
      <w:r w:rsidR="00860458">
        <w:t xml:space="preserve"> oraz </w:t>
      </w:r>
      <w:r w:rsidR="00F95748">
        <w:t xml:space="preserve">łosickim </w:t>
      </w:r>
      <w:r w:rsidR="00826B9D">
        <w:t>(</w:t>
      </w:r>
      <w:r w:rsidR="00D86BFA">
        <w:t>53</w:t>
      </w:r>
      <w:r w:rsidR="00826B9D">
        <w:t>)</w:t>
      </w:r>
      <w:r w:rsidR="00820A06">
        <w:t xml:space="preserve">. </w:t>
      </w:r>
    </w:p>
    <w:p w:rsidR="00A92F42" w:rsidRDefault="005D7B4C" w:rsidP="00A17655">
      <w:pPr>
        <w:pStyle w:val="Tekstkomunikatmapa"/>
      </w:pPr>
      <w:r w:rsidRPr="00446ED2">
        <w:lastRenderedPageBreak/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D61AE1" w:rsidRPr="00446ED2">
        <w:rPr>
          <w:rFonts w:cs="FiraSans-Bold"/>
          <w:bCs/>
          <w:szCs w:val="19"/>
        </w:rPr>
        <w:t>okresie styczeń–</w:t>
      </w:r>
      <w:r w:rsidR="008D4A80">
        <w:rPr>
          <w:rFonts w:cs="FiraSans-Bold"/>
          <w:bCs/>
          <w:szCs w:val="19"/>
        </w:rPr>
        <w:t>listopad</w:t>
      </w:r>
      <w:r w:rsidR="00D61AE1" w:rsidRPr="00446ED2">
        <w:rPr>
          <w:rFonts w:cs="FiraSans-Bold"/>
          <w:bCs/>
          <w:szCs w:val="19"/>
        </w:rPr>
        <w:t xml:space="preserve"> </w:t>
      </w:r>
      <w:r w:rsidR="006B538D" w:rsidRPr="00446ED2">
        <w:rPr>
          <w:spacing w:val="-2"/>
        </w:rPr>
        <w:t>20</w:t>
      </w:r>
      <w:r w:rsidR="00F367AA" w:rsidRPr="00446ED2">
        <w:rPr>
          <w:spacing w:val="-2"/>
        </w:rPr>
        <w:t>20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r.</w:t>
      </w:r>
      <w:r w:rsidR="004B28E0">
        <w:t xml:space="preserve"> </w:t>
      </w:r>
    </w:p>
    <w:p w:rsidR="00A92F42" w:rsidRDefault="008D4A80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85039" cy="3285751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039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30</w:t>
      </w:r>
      <w:r w:rsidR="00B7028D">
        <w:t xml:space="preserve"> </w:t>
      </w:r>
      <w:r w:rsidR="006C4575">
        <w:t>czerwca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</w:t>
      </w:r>
      <w:r w:rsidR="00EE574B">
        <w:t>jedenastu</w:t>
      </w:r>
      <w:r w:rsidR="00A001E0">
        <w:t xml:space="preserve">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826B9D">
        <w:br/>
      </w:r>
      <w:r w:rsidR="00D52FC8">
        <w:t>83,</w:t>
      </w:r>
      <w:r w:rsidR="00EE574B">
        <w:t>8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D52FC8">
        <w:t xml:space="preserve">większa o </w:t>
      </w:r>
      <w:r w:rsidR="00EE574B">
        <w:t>2,0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97648C">
        <w:t>siedleckim (</w:t>
      </w:r>
      <w:r w:rsidR="008522E1">
        <w:t>16</w:t>
      </w:r>
      <w:r w:rsidR="00EE574B">
        <w:t>2,1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 w:rsidRPr="00DD107A">
        <w:t>)</w:t>
      </w:r>
      <w:r w:rsidR="0097648C">
        <w:t>,</w:t>
      </w:r>
      <w:r w:rsidR="0097648C" w:rsidRPr="0097648C">
        <w:t xml:space="preserve"> </w:t>
      </w:r>
      <w:r w:rsidR="008522E1">
        <w:t>ostrołęckim</w:t>
      </w:r>
      <w:r w:rsidR="0097648C">
        <w:t xml:space="preserve"> (</w:t>
      </w:r>
      <w:r w:rsidR="00EE574B">
        <w:t>149,3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>
        <w:t>)</w:t>
      </w:r>
      <w:r w:rsidR="002F12A4">
        <w:t xml:space="preserve"> i</w:t>
      </w:r>
      <w:r w:rsidR="00EE574B">
        <w:t xml:space="preserve"> wyszkowskim </w:t>
      </w:r>
      <w:r w:rsidR="00EE574B" w:rsidRPr="00DD107A">
        <w:t>(</w:t>
      </w:r>
      <w:r w:rsidR="00EE574B">
        <w:t>143,8</w:t>
      </w:r>
      <w:r w:rsidR="00EE574B" w:rsidRPr="00DD107A">
        <w:t xml:space="preserve"> m</w:t>
      </w:r>
      <w:r w:rsidR="00EE574B" w:rsidRPr="00DD107A">
        <w:rPr>
          <w:vertAlign w:val="superscript"/>
        </w:rPr>
        <w:t>2</w:t>
      </w:r>
      <w:r w:rsidR="00EE574B">
        <w:t>)</w:t>
      </w:r>
      <w:r w:rsidR="0097648C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648C">
        <w:t>m.st. Warszawie (</w:t>
      </w:r>
      <w:r w:rsidR="00EE574B">
        <w:t>59,1</w:t>
      </w:r>
      <w:r w:rsidR="0097648C">
        <w:t xml:space="preserve"> m</w:t>
      </w:r>
      <w:r w:rsidR="0097648C" w:rsidRPr="002F105F">
        <w:rPr>
          <w:vertAlign w:val="superscript"/>
        </w:rPr>
        <w:t>2</w:t>
      </w:r>
      <w:r w:rsidR="0097648C">
        <w:t xml:space="preserve">), </w:t>
      </w:r>
      <w:r w:rsidR="00EE574B">
        <w:t>powiecie mławskim (67,3 m</w:t>
      </w:r>
      <w:r w:rsidR="00EE574B" w:rsidRPr="002F105F">
        <w:rPr>
          <w:vertAlign w:val="superscript"/>
        </w:rPr>
        <w:t>2</w:t>
      </w:r>
      <w:r w:rsidR="00EE574B">
        <w:t xml:space="preserve">) oraz </w:t>
      </w:r>
      <w:r w:rsidR="00F60742">
        <w:t>m. Siedlcach (</w:t>
      </w:r>
      <w:r w:rsidR="00EE574B">
        <w:t>68,0</w:t>
      </w:r>
      <w:r w:rsidR="00F60742" w:rsidRPr="00DD107A">
        <w:t xml:space="preserve"> m</w:t>
      </w:r>
      <w:r w:rsidR="00F60742" w:rsidRPr="00DD107A">
        <w:rPr>
          <w:vertAlign w:val="superscript"/>
        </w:rPr>
        <w:t>2</w:t>
      </w:r>
      <w:r w:rsidR="00F60742" w:rsidRPr="00DD107A">
        <w:t>)</w:t>
      </w:r>
      <w:r w:rsidR="00F60742">
        <w:t xml:space="preserve"> i.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EE574B">
        <w:t>listopadzie</w:t>
      </w:r>
      <w:r w:rsidR="00BC3D21" w:rsidRPr="00D20E74">
        <w:t xml:space="preserve"> 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EE574B">
        <w:t>3123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60742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EE574B">
        <w:t>174</w:t>
      </w:r>
      <w:r w:rsidR="00BF5AD3" w:rsidRPr="00D20E74">
        <w:t xml:space="preserve"> (o </w:t>
      </w:r>
      <w:r w:rsidR="00EE574B">
        <w:t>5,3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EE574B">
        <w:t>o 1394</w:t>
      </w:r>
      <w:r w:rsidR="00C37D4D">
        <w:t xml:space="preserve"> </w:t>
      </w:r>
      <w:r w:rsidR="0003352A" w:rsidRPr="00D20E74">
        <w:t xml:space="preserve">(o </w:t>
      </w:r>
      <w:r w:rsidR="00EE574B">
        <w:t>30,9</w:t>
      </w:r>
      <w:r w:rsidR="0003352A" w:rsidRPr="00D20E74">
        <w:t xml:space="preserve">%) niż w </w:t>
      </w:r>
      <w:r w:rsidR="00EE574B">
        <w:t>październiku</w:t>
      </w:r>
      <w:r w:rsidR="00C45B8B" w:rsidRPr="00D20E74">
        <w:t xml:space="preserve"> br</w:t>
      </w:r>
      <w:r w:rsidR="00AB0BDC" w:rsidRPr="00D20E74">
        <w:t xml:space="preserve">. Wśród ogółu mieszkań </w:t>
      </w:r>
      <w:r w:rsidR="00EE574B">
        <w:t>61,2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EE574B">
        <w:t>38,8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20040C" w:rsidRPr="0020040C">
        <w:t xml:space="preserve">4230 mieszkań, co oznacza spadek o 131 (o 3,0%) w skali roku i wzrost o 463 </w:t>
      </w:r>
      <w:r w:rsidR="0020040C" w:rsidRPr="0020040C">
        <w:br/>
        <w:t>(o 12,3%) w porównaniu z poprzednim miesiącem. Mieszkania na sprzedaż lub wynajem stanowiły 76,1% ogólnej ich liczby, a indywidualne 22,0%.</w:t>
      </w:r>
      <w:r w:rsidR="0020040C">
        <w:t xml:space="preserve"> </w:t>
      </w:r>
    </w:p>
    <w:p w:rsidR="002E5A32" w:rsidRPr="008E517F" w:rsidRDefault="00406F6F" w:rsidP="00406F6F">
      <w:pPr>
        <w:pStyle w:val="Tekstkomunikattytwykrestabl"/>
      </w:pPr>
      <w:r>
        <w:t>Tablica 1</w:t>
      </w:r>
      <w:r w:rsidR="004A101E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211C57">
        <w:t>listopad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046957">
            <w:pPr>
              <w:pStyle w:val="Tekstkomunikatgwka"/>
            </w:pPr>
            <w:r>
              <w:t>I–</w:t>
            </w:r>
            <w:r w:rsidR="0052594A">
              <w:t>X</w:t>
            </w:r>
            <w:r w:rsidR="00211C57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52594A">
            <w:pPr>
              <w:pStyle w:val="Tekstkomunikatgwka"/>
            </w:pPr>
            <w:r>
              <w:t>I–</w:t>
            </w:r>
            <w:r w:rsidR="0052594A">
              <w:t>X</w:t>
            </w:r>
            <w:r w:rsidR="00211C57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2F4C81" w:rsidRPr="001549F4" w:rsidTr="002F4C81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4C81" w:rsidRPr="0029558B" w:rsidRDefault="002F4C81" w:rsidP="002F4C81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F4C81">
              <w:rPr>
                <w:rFonts w:cs="Arial"/>
                <w:b/>
                <w:bCs/>
                <w:sz w:val="16"/>
                <w:szCs w:val="16"/>
              </w:rPr>
              <w:t>39377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F4C81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F4C81">
              <w:rPr>
                <w:rFonts w:cs="Arial"/>
                <w:b/>
                <w:bCs/>
                <w:sz w:val="16"/>
                <w:szCs w:val="16"/>
              </w:rPr>
              <w:t>87,6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F4C81">
              <w:rPr>
                <w:rFonts w:cs="Arial"/>
                <w:b/>
                <w:bCs/>
                <w:sz w:val="16"/>
                <w:szCs w:val="16"/>
              </w:rPr>
              <w:t>38107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F4C81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F4C81">
              <w:rPr>
                <w:rFonts w:cs="Arial"/>
                <w:b/>
                <w:bCs/>
                <w:sz w:val="16"/>
                <w:szCs w:val="16"/>
              </w:rPr>
              <w:t>89,1</w:t>
            </w:r>
          </w:p>
        </w:tc>
      </w:tr>
      <w:tr w:rsidR="002F4C81" w:rsidRPr="0012798C" w:rsidTr="002F4C81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2F4C81" w:rsidRPr="00624170" w:rsidRDefault="002F4C81" w:rsidP="002F4C81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12846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32,6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11302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2F4C81" w:rsidRPr="0012798C" w:rsidTr="002F4C81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2F4C81" w:rsidRDefault="002F4C81" w:rsidP="002F4C81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17,6</w:t>
            </w:r>
          </w:p>
        </w:tc>
      </w:tr>
      <w:tr w:rsidR="002F4C81" w:rsidRPr="0012798C" w:rsidTr="002F4C81">
        <w:tc>
          <w:tcPr>
            <w:tcW w:w="2268" w:type="dxa"/>
            <w:vAlign w:val="center"/>
          </w:tcPr>
          <w:p w:rsidR="002F4C81" w:rsidRPr="007E4FDC" w:rsidRDefault="002F4C81" w:rsidP="002F4C81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26376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26543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87,2</w:t>
            </w:r>
          </w:p>
        </w:tc>
      </w:tr>
      <w:tr w:rsidR="002F4C81" w:rsidRPr="0012798C" w:rsidTr="002F4C81">
        <w:tc>
          <w:tcPr>
            <w:tcW w:w="2268" w:type="dxa"/>
            <w:vAlign w:val="center"/>
          </w:tcPr>
          <w:p w:rsidR="002F4C81" w:rsidRPr="00624170" w:rsidRDefault="002F4C81" w:rsidP="002F4C81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55,1</w:t>
            </w:r>
          </w:p>
        </w:tc>
      </w:tr>
      <w:tr w:rsidR="002F4C81" w:rsidRPr="0012798C" w:rsidTr="002F4C81">
        <w:tc>
          <w:tcPr>
            <w:tcW w:w="2268" w:type="dxa"/>
            <w:vAlign w:val="center"/>
          </w:tcPr>
          <w:p w:rsidR="002F4C81" w:rsidRDefault="002F4C81" w:rsidP="002F4C81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32,7</w:t>
            </w:r>
          </w:p>
        </w:tc>
      </w:tr>
      <w:tr w:rsidR="002F4C81" w:rsidRPr="00C61E42" w:rsidTr="002F4C81">
        <w:tc>
          <w:tcPr>
            <w:tcW w:w="2268" w:type="dxa"/>
            <w:vAlign w:val="center"/>
          </w:tcPr>
          <w:p w:rsidR="002F4C81" w:rsidRPr="00624170" w:rsidRDefault="002F4C81" w:rsidP="002F4C81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74 razy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165442" w:rsidP="004A6542">
            <w:pPr>
              <w:pStyle w:val="Tekstkomunikatlid"/>
              <w:rPr>
                <w:spacing w:val="-2"/>
              </w:rPr>
            </w:pPr>
            <w:r w:rsidRPr="00165442">
              <w:t>W listopadzie br. sprzedaż detaliczna była niższa niż przed rokiem, natomiast wyższa była sprzedaż hurtowa.</w:t>
            </w:r>
          </w:p>
        </w:tc>
      </w:tr>
    </w:tbl>
    <w:p w:rsidR="00165442" w:rsidRPr="00165442" w:rsidRDefault="00165442" w:rsidP="00165442">
      <w:pPr>
        <w:pStyle w:val="Tekstkomunikat"/>
        <w:rPr>
          <w:bCs/>
          <w:spacing w:val="-1"/>
        </w:rPr>
      </w:pPr>
      <w:r w:rsidRPr="00165442">
        <w:rPr>
          <w:b/>
          <w:bCs/>
          <w:spacing w:val="-1"/>
        </w:rPr>
        <w:t>Sprzedaż detaliczna</w:t>
      </w:r>
      <w:r w:rsidRPr="00165442">
        <w:rPr>
          <w:bCs/>
          <w:spacing w:val="-1"/>
        </w:rPr>
        <w:t xml:space="preserve"> (w cenach bieżących) zrealizowana przez przedsiębiorstwa handlowe i niehandlowe w listopadzie 2020 r. była o 12,2% niższa niż przed rokiem. Największy spadek sprzedaży odnotowano w jednostkach z grupy „tekstylia, odzież, obuwie” (o 46,5%), „pozostała sprzedaż detaliczna w niewyspecjalizowanych sklepach” (o 39,9%), „pozostałe” </w:t>
      </w:r>
      <w:r>
        <w:rPr>
          <w:bCs/>
          <w:spacing w:val="-1"/>
        </w:rPr>
        <w:br/>
      </w:r>
      <w:r w:rsidRPr="00165442">
        <w:rPr>
          <w:bCs/>
          <w:spacing w:val="-1"/>
        </w:rPr>
        <w:t xml:space="preserve">(o 21,6%), „paliwa stałe, ciekłe i gazowe” (o 20,3%), „prasa, książki, pozostała sprzedaż w wyspecjalizowanych sklepach” </w:t>
      </w:r>
      <w:r>
        <w:rPr>
          <w:bCs/>
          <w:spacing w:val="-1"/>
        </w:rPr>
        <w:br/>
      </w:r>
      <w:r w:rsidRPr="00165442">
        <w:rPr>
          <w:bCs/>
          <w:spacing w:val="-1"/>
        </w:rPr>
        <w:t xml:space="preserve">(o 19,1%), a w dalszej kolejności „farmaceuty-ki, kosmetyki, sprzęt ortopedyczny” (o 11,1%) oraz „pojazdy samochodowe, motocykle, części” (o 9,7%). Wzrost sprzedaży miały przedsiębiorstwa z grupy „meble, RTV, AGD” (o 0,7%). </w:t>
      </w:r>
    </w:p>
    <w:p w:rsidR="00165442" w:rsidRPr="00165442" w:rsidRDefault="00165442" w:rsidP="00165442">
      <w:pPr>
        <w:pStyle w:val="Tekstkomunikat"/>
        <w:rPr>
          <w:bCs/>
          <w:spacing w:val="-1"/>
        </w:rPr>
      </w:pPr>
      <w:r w:rsidRPr="00165442">
        <w:rPr>
          <w:bCs/>
          <w:spacing w:val="-1"/>
        </w:rPr>
        <w:t>W porównaniu z październikiem 2020 r. sprzedaż detaliczna była niższa o 5,5%. Największy spadek miały jednostki z gr</w:t>
      </w:r>
      <w:r w:rsidR="0067595B">
        <w:rPr>
          <w:bCs/>
          <w:spacing w:val="-1"/>
        </w:rPr>
        <w:t>u</w:t>
      </w:r>
      <w:r w:rsidRPr="00165442">
        <w:rPr>
          <w:bCs/>
          <w:spacing w:val="-1"/>
        </w:rPr>
        <w:t xml:space="preserve">py „pozostała sprzedaż detaliczna w niewyspecjalizowanych sklepach” (o 37,8%), „tekstylia, odzież, obuwie” (o 27,3%), a w dalszej kolejności „prasa, książki, pozostała sprzedaż w wyspecjalizowanych sklepach” (o 11,4%) oraz „paliwa stałe, ciekłe </w:t>
      </w:r>
      <w:r>
        <w:rPr>
          <w:bCs/>
          <w:spacing w:val="-1"/>
        </w:rPr>
        <w:br/>
      </w:r>
      <w:r w:rsidRPr="00165442">
        <w:rPr>
          <w:bCs/>
          <w:spacing w:val="-1"/>
        </w:rPr>
        <w:t xml:space="preserve">i gazowe” (o 10,4%). Wzrost sprzedaży odnotowano w grupie „farmaceutyki, kosmetyki, sprzęt ortopedyczny” (o 1,6%). </w:t>
      </w:r>
    </w:p>
    <w:p w:rsidR="00706564" w:rsidRPr="00165442" w:rsidRDefault="00165442" w:rsidP="00165442">
      <w:pPr>
        <w:pStyle w:val="Tekstkomunikat"/>
        <w:rPr>
          <w:bCs/>
          <w:spacing w:val="-1"/>
        </w:rPr>
      </w:pPr>
      <w:r w:rsidRPr="00165442">
        <w:rPr>
          <w:bCs/>
          <w:spacing w:val="-1"/>
        </w:rPr>
        <w:t>W okresie styczeń–listopad 2020 r. sprzedaż detaliczna zmniejszyła się w skali roku o 7,1%, przy czym najgłębszy spadek sprzedaży miały przedsiębiorstwa z grupy „tekstylia, odzież, obuwie” (o 25,1%). Wzrost sprzedaży notowano w grupie „meble, RTV, AGD” (o 5,0%).</w:t>
      </w:r>
    </w:p>
    <w:p w:rsidR="00465393" w:rsidRDefault="00465393" w:rsidP="00465393">
      <w:pPr>
        <w:pStyle w:val="Tekstkomunikattytwykrestabl"/>
      </w:pPr>
      <w:r>
        <w:t xml:space="preserve">Tablica </w:t>
      </w:r>
      <w:r w:rsidR="00FA58E0">
        <w:t>1</w:t>
      </w:r>
      <w:r w:rsidR="004A101E">
        <w:t>2</w:t>
      </w:r>
      <w:r w:rsidR="00FA58E0">
        <w:t>.</w:t>
      </w:r>
      <w:r>
        <w:tab/>
        <w:t>Dynamika i struktura (w cenach bie</w:t>
      </w:r>
      <w:r w:rsidR="00AA088C">
        <w:t xml:space="preserve">żących) sprzedaży detalicznej w </w:t>
      </w:r>
      <w:r w:rsidR="00165442">
        <w:t>listopadzie</w:t>
      </w:r>
      <w:r w:rsidR="00AA088C">
        <w:t xml:space="preserve"> </w:t>
      </w:r>
      <w: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AA088C" w:rsidP="00EA7A54">
            <w:pPr>
              <w:pStyle w:val="Tekstkomunikatgwka"/>
            </w:pPr>
            <w:r>
              <w:t>X</w:t>
            </w:r>
            <w:r w:rsidR="00165442">
              <w:t>I</w:t>
            </w:r>
            <w:r w:rsidR="00465393"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241586">
            <w:pPr>
              <w:pStyle w:val="Tekstkomunikatgwka"/>
            </w:pPr>
            <w:r>
              <w:t>I–</w:t>
            </w:r>
            <w:r w:rsidR="00AA088C">
              <w:t>X</w:t>
            </w:r>
            <w:r w:rsidR="00165442">
              <w:t>I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165442" w:rsidRPr="004C1070" w:rsidTr="00AA3F79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165442" w:rsidRPr="004C1070" w:rsidRDefault="00165442" w:rsidP="00165442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165442" w:rsidRDefault="00165442" w:rsidP="00165442">
            <w:pPr>
              <w:pStyle w:val="Tekstkomunikatliczby"/>
              <w:rPr>
                <w:b/>
              </w:rPr>
            </w:pPr>
            <w:r w:rsidRPr="00165442">
              <w:rPr>
                <w:b/>
              </w:rPr>
              <w:t>87,8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165442" w:rsidRDefault="00165442" w:rsidP="00165442">
            <w:pPr>
              <w:pStyle w:val="Tekstkomunikatliczby"/>
              <w:rPr>
                <w:b/>
              </w:rPr>
            </w:pPr>
            <w:r w:rsidRPr="00165442">
              <w:rPr>
                <w:b/>
              </w:rPr>
              <w:t>92,9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165442" w:rsidRPr="00165442" w:rsidRDefault="00165442" w:rsidP="00165442">
            <w:pPr>
              <w:pStyle w:val="Tekstkomunikatliczby"/>
              <w:rPr>
                <w:b/>
              </w:rPr>
            </w:pPr>
            <w:r w:rsidRPr="00165442">
              <w:rPr>
                <w:b/>
              </w:rPr>
              <w:t>100,0</w:t>
            </w:r>
          </w:p>
        </w:tc>
      </w:tr>
      <w:tr w:rsidR="00165442" w:rsidTr="00AA3F79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165442" w:rsidRDefault="00165442" w:rsidP="00165442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</w:p>
        </w:tc>
      </w:tr>
      <w:tr w:rsidR="00165442" w:rsidTr="00AA3F79">
        <w:trPr>
          <w:trHeight w:val="225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90,3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87,9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7,3</w:t>
            </w:r>
          </w:p>
        </w:tc>
      </w:tr>
      <w:tr w:rsidR="00165442" w:rsidTr="00AA3F79">
        <w:trPr>
          <w:trHeight w:val="244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79,7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84,6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 w:rsidRPr="0034092E">
              <w:t>2</w:t>
            </w:r>
            <w:r>
              <w:t>4,5</w:t>
            </w:r>
          </w:p>
        </w:tc>
      </w:tr>
      <w:tr w:rsidR="00165442" w:rsidTr="00AA3F79">
        <w:trPr>
          <w:trHeight w:val="244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42" w:rsidRPr="00E879CA" w:rsidRDefault="00165442" w:rsidP="00165442">
            <w:pPr>
              <w:pStyle w:val="Tekstkomunikatliczby"/>
            </w:pPr>
            <w:r>
              <w:t>92,2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97,3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 w:rsidRPr="0034092E">
              <w:t>1</w:t>
            </w:r>
            <w:r>
              <w:t>6,9</w:t>
            </w:r>
          </w:p>
        </w:tc>
      </w:tr>
      <w:tr w:rsidR="00165442" w:rsidTr="00AA3F79">
        <w:trPr>
          <w:trHeight w:val="489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60,1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82,3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2,8</w:t>
            </w:r>
          </w:p>
        </w:tc>
      </w:tr>
      <w:tr w:rsidR="00165442" w:rsidTr="00AA3F79">
        <w:trPr>
          <w:trHeight w:val="225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88,9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96,6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 w:rsidRPr="0034092E">
              <w:t>3,</w:t>
            </w:r>
            <w:r>
              <w:t>6</w:t>
            </w:r>
          </w:p>
        </w:tc>
      </w:tr>
      <w:tr w:rsidR="00165442" w:rsidTr="00AA3F79">
        <w:trPr>
          <w:trHeight w:val="244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53,5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E645D2" w:rsidRDefault="00165442" w:rsidP="00165442">
            <w:pPr>
              <w:pStyle w:val="Tekstkomunikatliczby"/>
              <w:rPr>
                <w:highlight w:val="green"/>
              </w:rPr>
            </w:pPr>
            <w:r>
              <w:t>74,9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4,3</w:t>
            </w:r>
          </w:p>
        </w:tc>
      </w:tr>
      <w:tr w:rsidR="00165442" w:rsidTr="00AA3F79">
        <w:trPr>
          <w:trHeight w:val="244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100,7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105,0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21,2</w:t>
            </w:r>
          </w:p>
        </w:tc>
      </w:tr>
      <w:tr w:rsidR="00165442" w:rsidTr="00AA3F79">
        <w:trPr>
          <w:trHeight w:val="489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80,9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91,9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7,1</w:t>
            </w:r>
          </w:p>
        </w:tc>
      </w:tr>
      <w:tr w:rsidR="00165442" w:rsidTr="00AA3F79">
        <w:trPr>
          <w:trHeight w:val="225"/>
        </w:trPr>
        <w:tc>
          <w:tcPr>
            <w:tcW w:w="4172" w:type="dxa"/>
            <w:vAlign w:val="center"/>
            <w:hideMark/>
          </w:tcPr>
          <w:p w:rsidR="00165442" w:rsidRDefault="00165442" w:rsidP="00165442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78,4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86,0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165442" w:rsidRPr="0034092E" w:rsidRDefault="00165442" w:rsidP="00165442">
            <w:pPr>
              <w:pStyle w:val="Tekstkomunikatliczby"/>
            </w:pPr>
            <w:r>
              <w:t>9,6</w:t>
            </w:r>
          </w:p>
        </w:tc>
      </w:tr>
    </w:tbl>
    <w:p w:rsidR="0034143B" w:rsidRDefault="0034143B" w:rsidP="0034143B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431C21" w:rsidRDefault="00165442" w:rsidP="009651B5">
      <w:pPr>
        <w:pStyle w:val="Tekstkomunikat"/>
        <w:rPr>
          <w:bCs/>
        </w:rPr>
      </w:pPr>
      <w:r w:rsidRPr="00165442">
        <w:rPr>
          <w:b/>
          <w:bCs/>
        </w:rPr>
        <w:t xml:space="preserve">Sprzedaż hurtowa </w:t>
      </w:r>
      <w:r w:rsidRPr="00165442">
        <w:rPr>
          <w:bCs/>
        </w:rPr>
        <w:t xml:space="preserve">(w cenach bieżących) w przedsiębiorstwach handlowych w listopadzie 2020 r. była o 1,5% wyższa </w:t>
      </w:r>
      <w:r>
        <w:rPr>
          <w:bCs/>
        </w:rPr>
        <w:br/>
      </w:r>
      <w:r w:rsidRPr="00165442">
        <w:rPr>
          <w:bCs/>
        </w:rPr>
        <w:t>w stosunku do poprzedniego miesiąca oraz o 4,2% wyższa w odniesieniu do listopada 2019 r. W przedsiębiorstwach hurtowych była odpowiednio wyższa o 0,9% i o 2,6%.</w:t>
      </w:r>
    </w:p>
    <w:p w:rsidR="00165442" w:rsidRPr="00165442" w:rsidRDefault="00165442" w:rsidP="009651B5">
      <w:pPr>
        <w:pStyle w:val="Tekstkomunikat"/>
        <w:rPr>
          <w:bCs/>
        </w:rPr>
      </w:pPr>
      <w:r w:rsidRPr="00165442">
        <w:rPr>
          <w:bCs/>
        </w:rPr>
        <w:t>W okresie styczeń–listopad 2020 r. przedsiębiorstwa handlowe zrealizowały sprzedaż hurtową o 2,8% niższą niż przed rokiem, a przedsiębiorstwa hurtowe mniejszą o 1,0%.</w:t>
      </w:r>
    </w:p>
    <w:p w:rsidR="00D837D0" w:rsidRDefault="00D837D0" w:rsidP="00D837D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C559B7">
        <w:rPr>
          <w:shd w:val="clear" w:color="auto" w:fill="FFFFFF"/>
        </w:rPr>
        <w:lastRenderedPageBreak/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</w:t>
      </w:r>
      <w:r>
        <w:rPr>
          <w:shd w:val="clear" w:color="auto" w:fill="FFFFFF"/>
        </w:rPr>
        <w:t>I</w:t>
      </w:r>
      <w:r w:rsidRPr="00C559B7">
        <w:rPr>
          <w:shd w:val="clear" w:color="auto" w:fill="FFFFFF"/>
        </w:rPr>
        <w:t>I kwartale 2020 r.</w:t>
      </w:r>
    </w:p>
    <w:p w:rsidR="00D837D0" w:rsidRDefault="00D837D0" w:rsidP="00D837D0">
      <w:pPr>
        <w:pStyle w:val="Tekstkomunikat"/>
      </w:pPr>
      <w:r w:rsidRPr="00224BF8"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</w:t>
      </w:r>
      <w:r w:rsidRPr="009A48DF">
        <w:t xml:space="preserve">umożliwienie </w:t>
      </w:r>
      <w:r w:rsidR="00DC0EBE" w:rsidRPr="009A48DF">
        <w:t>świadczenia</w:t>
      </w:r>
      <w:r w:rsidR="00DC0EBE">
        <w:t xml:space="preserve"> </w:t>
      </w:r>
      <w:r w:rsidRPr="00224BF8">
        <w:t>pracy poza miejscem jej stałego wykonywania, czyli pracy zdalnej.</w:t>
      </w:r>
    </w:p>
    <w:p w:rsidR="00D837D0" w:rsidRPr="00C559B7" w:rsidRDefault="00D837D0" w:rsidP="00D837D0">
      <w:pPr>
        <w:jc w:val="both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Zaistniała w marcu 2020 r. sytuacja epidemiczna </w:t>
      </w:r>
      <w:r>
        <w:rPr>
          <w:color w:val="000000" w:themeColor="text1"/>
          <w:szCs w:val="19"/>
        </w:rPr>
        <w:t xml:space="preserve">wpłynęła na </w:t>
      </w:r>
      <w:r w:rsidRPr="00C559B7">
        <w:rPr>
          <w:color w:val="000000" w:themeColor="text1"/>
          <w:szCs w:val="19"/>
        </w:rPr>
        <w:t xml:space="preserve">ograniczenie działalności </w:t>
      </w:r>
      <w:r>
        <w:rPr>
          <w:color w:val="000000" w:themeColor="text1"/>
          <w:szCs w:val="19"/>
        </w:rPr>
        <w:t xml:space="preserve">podmiotów gospodarki narodowej </w:t>
      </w:r>
      <w:r w:rsidRPr="00C559B7">
        <w:rPr>
          <w:color w:val="000000" w:themeColor="text1"/>
          <w:szCs w:val="19"/>
        </w:rPr>
        <w:t xml:space="preserve">w dotychczasowej postaci. Przejawiało się to </w:t>
      </w:r>
      <w:r>
        <w:rPr>
          <w:color w:val="000000" w:themeColor="text1"/>
          <w:szCs w:val="19"/>
        </w:rPr>
        <w:t xml:space="preserve">między innymi </w:t>
      </w:r>
      <w:r w:rsidRPr="00C559B7">
        <w:rPr>
          <w:color w:val="000000" w:themeColor="text1"/>
          <w:szCs w:val="19"/>
        </w:rPr>
        <w:t xml:space="preserve">otwarciem się pracodawców na formy zatrudnienia pozwalające na zachowanie dystansu społecznego. Jedną z takich form jest </w:t>
      </w:r>
      <w:r w:rsidRPr="005345E0">
        <w:rPr>
          <w:color w:val="000000" w:themeColor="text1"/>
          <w:szCs w:val="19"/>
        </w:rPr>
        <w:t xml:space="preserve">wspomniana </w:t>
      </w:r>
      <w:r w:rsidRPr="00C559B7">
        <w:rPr>
          <w:color w:val="000000" w:themeColor="text1"/>
          <w:szCs w:val="19"/>
        </w:rPr>
        <w:t xml:space="preserve">praca zdalna. </w:t>
      </w:r>
    </w:p>
    <w:p w:rsidR="00D837D0" w:rsidRDefault="00D837D0" w:rsidP="00D837D0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końcu </w:t>
      </w:r>
      <w:r>
        <w:rPr>
          <w:color w:val="000000" w:themeColor="text1"/>
          <w:szCs w:val="19"/>
        </w:rPr>
        <w:t>września</w:t>
      </w:r>
      <w:r w:rsidRPr="00C559B7">
        <w:rPr>
          <w:color w:val="000000" w:themeColor="text1"/>
          <w:szCs w:val="19"/>
        </w:rPr>
        <w:t xml:space="preserve"> 2020 r. udział osób, które pracowały zdalnie </w:t>
      </w:r>
      <w:r>
        <w:rPr>
          <w:color w:val="000000" w:themeColor="text1"/>
          <w:szCs w:val="19"/>
        </w:rPr>
        <w:t>(</w:t>
      </w:r>
      <w:r w:rsidRPr="00C559B7">
        <w:rPr>
          <w:color w:val="000000" w:themeColor="text1"/>
          <w:szCs w:val="19"/>
        </w:rPr>
        <w:t>w związku z sytuacją epidemiczną</w:t>
      </w:r>
      <w:r>
        <w:rPr>
          <w:color w:val="000000" w:themeColor="text1"/>
          <w:szCs w:val="19"/>
        </w:rPr>
        <w:t>)</w:t>
      </w:r>
      <w:r w:rsidRPr="00C559B7">
        <w:rPr>
          <w:color w:val="000000" w:themeColor="text1"/>
          <w:szCs w:val="19"/>
        </w:rPr>
        <w:t xml:space="preserve"> w ogólnej liczbie pra</w:t>
      </w:r>
      <w:r w:rsidRPr="00AD00D3">
        <w:rPr>
          <w:color w:val="000000" w:themeColor="text1"/>
          <w:szCs w:val="19"/>
        </w:rPr>
        <w:t>cujących</w:t>
      </w:r>
      <w:r w:rsidRPr="00AD00D3">
        <w:rPr>
          <w:rStyle w:val="Odwoanieprzypisudolnego"/>
          <w:color w:val="000000" w:themeColor="text1"/>
          <w:szCs w:val="19"/>
        </w:rPr>
        <w:footnoteReference w:id="5"/>
      </w:r>
      <w:r w:rsidRPr="00AD00D3">
        <w:rPr>
          <w:color w:val="000000" w:themeColor="text1"/>
          <w:szCs w:val="19"/>
        </w:rPr>
        <w:t xml:space="preserve"> w województwie mazowieckim wyniósł 13,3%</w:t>
      </w:r>
      <w:r w:rsidR="004C4B12" w:rsidRPr="00AD00D3">
        <w:rPr>
          <w:color w:val="000000" w:themeColor="text1"/>
          <w:szCs w:val="19"/>
        </w:rPr>
        <w:t xml:space="preserve"> i</w:t>
      </w:r>
      <w:r w:rsidRPr="00AD00D3">
        <w:rPr>
          <w:color w:val="000000" w:themeColor="text1"/>
          <w:szCs w:val="19"/>
        </w:rPr>
        <w:t xml:space="preserve"> był</w:t>
      </w:r>
      <w:r w:rsidR="004C4B12" w:rsidRPr="00AD00D3">
        <w:rPr>
          <w:color w:val="000000" w:themeColor="text1"/>
          <w:szCs w:val="19"/>
        </w:rPr>
        <w:t xml:space="preserve"> </w:t>
      </w:r>
      <w:r w:rsidRPr="00AD00D3">
        <w:rPr>
          <w:color w:val="000000" w:themeColor="text1"/>
          <w:szCs w:val="19"/>
        </w:rPr>
        <w:t xml:space="preserve">o 4,9 p. proc. </w:t>
      </w:r>
      <w:r w:rsidR="004C4B12" w:rsidRPr="00AD00D3">
        <w:rPr>
          <w:color w:val="000000" w:themeColor="text1"/>
          <w:szCs w:val="19"/>
        </w:rPr>
        <w:t>mniejszy</w:t>
      </w:r>
      <w:r w:rsidRPr="00AD00D3">
        <w:rPr>
          <w:color w:val="000000" w:themeColor="text1"/>
          <w:szCs w:val="19"/>
        </w:rPr>
        <w:t xml:space="preserve"> niż w końcu czerwca 2020 r. Skala wy</w:t>
      </w:r>
      <w:r w:rsidRPr="00C559B7">
        <w:rPr>
          <w:color w:val="000000" w:themeColor="text1"/>
          <w:szCs w:val="19"/>
        </w:rPr>
        <w:t xml:space="preserve">korzystania </w:t>
      </w:r>
      <w:r>
        <w:rPr>
          <w:color w:val="000000" w:themeColor="text1"/>
          <w:szCs w:val="19"/>
        </w:rPr>
        <w:t>tej formy pracy</w:t>
      </w:r>
      <w:r w:rsidRPr="00C559B7">
        <w:rPr>
          <w:color w:val="000000" w:themeColor="text1"/>
          <w:szCs w:val="19"/>
        </w:rPr>
        <w:t xml:space="preserve"> w sektorze </w:t>
      </w:r>
      <w:r>
        <w:rPr>
          <w:color w:val="000000" w:themeColor="text1"/>
          <w:szCs w:val="19"/>
        </w:rPr>
        <w:t>prywatnym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była wyższa niż w publicznym (15,2% wobec 7,7%).</w:t>
      </w:r>
    </w:p>
    <w:p w:rsidR="00D837D0" w:rsidRDefault="00D837D0" w:rsidP="00D837D0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  <w:color w:val="000000" w:themeColor="text1"/>
          <w:szCs w:val="19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609600</wp:posOffset>
            </wp:positionV>
            <wp:extent cx="4352553" cy="1060706"/>
            <wp:effectExtent l="0" t="0" r="0" b="635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pracujacy-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53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1B2C">
        <w:t>Wykres 1</w:t>
      </w:r>
      <w:r>
        <w:t>1</w:t>
      </w:r>
      <w:r w:rsidRPr="00171B2C">
        <w:t>.</w:t>
      </w:r>
      <w:r w:rsidRPr="00171B2C">
        <w:tab/>
      </w:r>
      <w:r w:rsidRPr="00655750">
        <w:rPr>
          <w:color w:val="000000" w:themeColor="text1"/>
          <w:szCs w:val="19"/>
        </w:rPr>
        <w:t xml:space="preserve">Udział pracujących, którzy w związku z sytuacją epidemiczną pracowali zdalnie według sektorów własności </w:t>
      </w:r>
      <w:r w:rsidRPr="00655750">
        <w:rPr>
          <w:color w:val="000000" w:themeColor="text1"/>
          <w:szCs w:val="19"/>
        </w:rPr>
        <w:br/>
        <w:t xml:space="preserve">na koniec </w:t>
      </w:r>
      <w:r>
        <w:rPr>
          <w:color w:val="000000" w:themeColor="text1"/>
          <w:szCs w:val="19"/>
        </w:rPr>
        <w:t>I</w:t>
      </w:r>
      <w:r w:rsidRPr="00655750">
        <w:rPr>
          <w:color w:val="000000" w:themeColor="text1"/>
          <w:szCs w:val="19"/>
        </w:rPr>
        <w:t>II kwartału 2020 r.</w:t>
      </w:r>
    </w:p>
    <w:p w:rsidR="00D837D0" w:rsidRDefault="00D837D0" w:rsidP="00D837D0">
      <w:pPr>
        <w:pStyle w:val="Tekstkomunikat"/>
        <w:rPr>
          <w:color w:val="000000" w:themeColor="text1"/>
          <w:szCs w:val="19"/>
        </w:rPr>
      </w:pPr>
    </w:p>
    <w:p w:rsidR="00640DED" w:rsidRDefault="00640DED" w:rsidP="00D837D0">
      <w:pPr>
        <w:pStyle w:val="Tekstkomunikat"/>
        <w:rPr>
          <w:color w:val="000000" w:themeColor="text1"/>
          <w:szCs w:val="19"/>
        </w:rPr>
      </w:pPr>
      <w:r w:rsidRPr="006A5C60">
        <w:rPr>
          <w:color w:val="000000" w:themeColor="text1"/>
          <w:szCs w:val="19"/>
        </w:rPr>
        <w:t xml:space="preserve">Wykorzystanie pracy zdalnej w celu ograniczenia zagrożenia epidemicznego pozostało największe w jednostkach zatrudniających powyżej 49 osób. Odsetek pracujących zdalnie w jednostkach tej wielkości wyniósł 15,5%, </w:t>
      </w:r>
      <w:r w:rsidR="00C113F7" w:rsidRPr="006A5C60">
        <w:rPr>
          <w:color w:val="000000" w:themeColor="text1"/>
          <w:szCs w:val="19"/>
        </w:rPr>
        <w:t>co oznacza, że</w:t>
      </w:r>
      <w:r w:rsidRPr="006A5C60">
        <w:rPr>
          <w:color w:val="000000" w:themeColor="text1"/>
          <w:szCs w:val="19"/>
        </w:rPr>
        <w:t xml:space="preserve"> był o 4,3 p. proc. mniej</w:t>
      </w:r>
      <w:r w:rsidR="00C113F7" w:rsidRPr="006A5C60">
        <w:rPr>
          <w:color w:val="000000" w:themeColor="text1"/>
          <w:szCs w:val="19"/>
        </w:rPr>
        <w:t>szy</w:t>
      </w:r>
      <w:r w:rsidRPr="006A5C60">
        <w:rPr>
          <w:color w:val="000000" w:themeColor="text1"/>
          <w:szCs w:val="19"/>
        </w:rPr>
        <w:t xml:space="preserve"> niż w II kwartale 2020 r. W jednostkach zatrudniających mniej niż 50 osób pracę zdalnie świadczyło średnio około 8,5% pracujących.</w:t>
      </w:r>
    </w:p>
    <w:p w:rsidR="00D837D0" w:rsidRDefault="00D837D0" w:rsidP="00D837D0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679450</wp:posOffset>
            </wp:positionH>
            <wp:positionV relativeFrom="paragraph">
              <wp:posOffset>457200</wp:posOffset>
            </wp:positionV>
            <wp:extent cx="5205995" cy="1380747"/>
            <wp:effectExtent l="0" t="0" r="0" b="0"/>
            <wp:wrapTopAndBottom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racujacy-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1B2C">
        <w:t>Wykres 1</w:t>
      </w:r>
      <w:r>
        <w:t>2</w:t>
      </w:r>
      <w:r w:rsidRPr="00171B2C">
        <w:t>.</w:t>
      </w:r>
      <w:r w:rsidRPr="00171B2C">
        <w:tab/>
      </w:r>
      <w:r w:rsidRPr="0034522A">
        <w:rPr>
          <w:color w:val="000000" w:themeColor="text1"/>
          <w:szCs w:val="19"/>
        </w:rPr>
        <w:t xml:space="preserve">Struktura pracujących według wielkości jednostek na koniec </w:t>
      </w:r>
      <w:r>
        <w:rPr>
          <w:color w:val="000000" w:themeColor="text1"/>
          <w:szCs w:val="19"/>
        </w:rPr>
        <w:t>I</w:t>
      </w:r>
      <w:r w:rsidRPr="0034522A">
        <w:rPr>
          <w:color w:val="000000" w:themeColor="text1"/>
          <w:szCs w:val="19"/>
        </w:rPr>
        <w:t>II kwartału 2020 r.</w:t>
      </w:r>
    </w:p>
    <w:p w:rsidR="00D837D0" w:rsidRDefault="00D837D0" w:rsidP="00D837D0">
      <w:pPr>
        <w:pStyle w:val="Tekstkomunikat"/>
      </w:pPr>
    </w:p>
    <w:p w:rsidR="00D837D0" w:rsidRDefault="00D837D0" w:rsidP="00D837D0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Praca zdalna spowodowana sytuacją epidemiczną była wdrożona przez pracodawców w poszczególnych </w:t>
      </w:r>
      <w:r>
        <w:rPr>
          <w:color w:val="000000" w:themeColor="text1"/>
          <w:szCs w:val="19"/>
        </w:rPr>
        <w:t>województwach</w:t>
      </w:r>
      <w:r w:rsidRPr="00C559B7">
        <w:rPr>
          <w:color w:val="000000" w:themeColor="text1"/>
          <w:szCs w:val="19"/>
        </w:rPr>
        <w:t xml:space="preserve"> w różnej skali. </w:t>
      </w:r>
      <w:r>
        <w:rPr>
          <w:color w:val="000000" w:themeColor="text1"/>
          <w:szCs w:val="19"/>
        </w:rPr>
        <w:t>Najwyższy jej udział w końcu III kwartału 2020 r. odnotowano w województwie mazowieckim (13,3%) oraz małopolskim (7,3%), a najniższy w województwie podlaskim i świętokrzyskim (po 1,0%)</w:t>
      </w:r>
      <w:r w:rsidR="00CF6305">
        <w:rPr>
          <w:color w:val="000000" w:themeColor="text1"/>
          <w:szCs w:val="19"/>
        </w:rPr>
        <w:t xml:space="preserve">; </w:t>
      </w:r>
      <w:r w:rsidR="00CF6305" w:rsidRPr="004A4705">
        <w:rPr>
          <w:color w:val="000000" w:themeColor="text1"/>
          <w:szCs w:val="19"/>
        </w:rPr>
        <w:t xml:space="preserve">w kraju </w:t>
      </w:r>
      <w:r w:rsidR="002F12A4" w:rsidRPr="004A4705">
        <w:rPr>
          <w:color w:val="000000" w:themeColor="text1"/>
          <w:szCs w:val="19"/>
        </w:rPr>
        <w:t xml:space="preserve">średnio </w:t>
      </w:r>
      <w:r w:rsidR="00CF6305" w:rsidRPr="004A4705">
        <w:rPr>
          <w:color w:val="000000" w:themeColor="text1"/>
          <w:szCs w:val="19"/>
        </w:rPr>
        <w:t>5,8%.</w:t>
      </w:r>
    </w:p>
    <w:p w:rsidR="00D837D0" w:rsidRDefault="00D837D0" w:rsidP="00D837D0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>W II</w:t>
      </w:r>
      <w:r>
        <w:rPr>
          <w:color w:val="000000" w:themeColor="text1"/>
          <w:szCs w:val="19"/>
        </w:rPr>
        <w:t>I</w:t>
      </w:r>
      <w:r w:rsidRPr="00C559B7">
        <w:rPr>
          <w:color w:val="000000" w:themeColor="text1"/>
          <w:szCs w:val="19"/>
        </w:rPr>
        <w:t xml:space="preserve"> kwartale 2020 r. w celu ograniczenia rozprzestrzeniania się choroby zakaźnej kontynuowano formy czasowego odosobnienia ze względu na podejrzenie zakażenia między innymi w postaci kwarantanny oraz izolacji. Pracujący, którzy według stanu na 30 </w:t>
      </w:r>
      <w:r>
        <w:rPr>
          <w:color w:val="000000" w:themeColor="text1"/>
          <w:szCs w:val="19"/>
        </w:rPr>
        <w:t>września</w:t>
      </w:r>
      <w:r w:rsidRPr="00C559B7">
        <w:rPr>
          <w:color w:val="000000" w:themeColor="text1"/>
          <w:szCs w:val="19"/>
        </w:rPr>
        <w:t xml:space="preserve"> 2020 r. korzystali z wynagrodzenia za czas choroby lub zasiłku chorobowego z powodu objęcia kwarantanną lub izolacją </w:t>
      </w:r>
      <w:r>
        <w:rPr>
          <w:color w:val="000000" w:themeColor="text1"/>
          <w:szCs w:val="19"/>
        </w:rPr>
        <w:t xml:space="preserve">w województwie mazowieckim </w:t>
      </w:r>
      <w:r w:rsidRPr="00C559B7">
        <w:rPr>
          <w:color w:val="000000" w:themeColor="text1"/>
          <w:szCs w:val="19"/>
        </w:rPr>
        <w:t>stanowili 0,</w:t>
      </w:r>
      <w:r>
        <w:rPr>
          <w:color w:val="000000" w:themeColor="text1"/>
          <w:szCs w:val="19"/>
        </w:rPr>
        <w:t>4</w:t>
      </w:r>
      <w:r w:rsidRPr="00C559B7">
        <w:rPr>
          <w:color w:val="000000" w:themeColor="text1"/>
          <w:szCs w:val="19"/>
        </w:rPr>
        <w:t>% ogółu pracujących. Takie przypadki odnotowano w podobnej skali zarówno w sektorze publicznym, jak i prywatnym</w:t>
      </w:r>
      <w:r>
        <w:rPr>
          <w:color w:val="000000" w:themeColor="text1"/>
          <w:szCs w:val="19"/>
        </w:rPr>
        <w:t>.</w:t>
      </w:r>
    </w:p>
    <w:p w:rsidR="00D837D0" w:rsidRDefault="009B7BAB" w:rsidP="00D837D0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365760</wp:posOffset>
            </wp:positionV>
            <wp:extent cx="5574803" cy="1264923"/>
            <wp:effectExtent l="0" t="0" r="6985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pracujacy-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803" cy="1264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7D0" w:rsidRPr="00171B2C">
        <w:t>Wykres 1</w:t>
      </w:r>
      <w:r w:rsidR="00D837D0">
        <w:t>3</w:t>
      </w:r>
      <w:r w:rsidR="00D837D0" w:rsidRPr="00171B2C">
        <w:t>.</w:t>
      </w:r>
      <w:r w:rsidR="00D837D0" w:rsidRPr="00171B2C">
        <w:tab/>
      </w:r>
      <w:r w:rsidR="00D837D0" w:rsidRPr="00C559B7">
        <w:rPr>
          <w:rFonts w:cs="Segoe UI"/>
          <w:color w:val="000000" w:themeColor="text1"/>
          <w:sz w:val="18"/>
          <w:szCs w:val="18"/>
        </w:rPr>
        <w:t>Udział pracujących, którzy korzystali z wynagrodzenia za czas choroby lub zasiłku chorobowego z powodu objęcia kwarantanną lub izolacją według wielkości jednostek na koniec I</w:t>
      </w:r>
      <w:r w:rsidR="00D837D0">
        <w:rPr>
          <w:rFonts w:cs="Segoe UI"/>
          <w:color w:val="000000" w:themeColor="text1"/>
          <w:sz w:val="18"/>
          <w:szCs w:val="18"/>
        </w:rPr>
        <w:t>II</w:t>
      </w:r>
      <w:r w:rsidR="00D837D0" w:rsidRPr="00C559B7">
        <w:rPr>
          <w:rFonts w:cs="Segoe UI"/>
          <w:color w:val="000000" w:themeColor="text1"/>
          <w:sz w:val="18"/>
          <w:szCs w:val="18"/>
        </w:rPr>
        <w:t xml:space="preserve"> kwartału 2020 r.</w:t>
      </w:r>
    </w:p>
    <w:p w:rsidR="00D837D0" w:rsidRDefault="009B7BAB" w:rsidP="00D837D0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1714500</wp:posOffset>
            </wp:positionV>
            <wp:extent cx="6022860" cy="1380747"/>
            <wp:effectExtent l="0" t="0" r="0" b="0"/>
            <wp:wrapTopAndBottom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pracujacy-covid 4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7D0" w:rsidRPr="00171B2C">
        <w:t>Wykres 1</w:t>
      </w:r>
      <w:r w:rsidR="00D837D0">
        <w:t>4</w:t>
      </w:r>
      <w:r w:rsidR="00D837D0" w:rsidRPr="00171B2C">
        <w:t>.</w:t>
      </w:r>
      <w:r w:rsidR="00D837D0" w:rsidRPr="00171B2C">
        <w:tab/>
      </w:r>
      <w:r w:rsidR="00D837D0" w:rsidRPr="0034522A">
        <w:rPr>
          <w:rFonts w:cs="Segoe UI"/>
          <w:color w:val="000000" w:themeColor="text1"/>
          <w:szCs w:val="19"/>
        </w:rPr>
        <w:t xml:space="preserve">Struktura pracujących według wielkości jednostki </w:t>
      </w:r>
      <w:r w:rsidR="00D837D0" w:rsidRPr="0034522A">
        <w:rPr>
          <w:color w:val="000000" w:themeColor="text1"/>
          <w:szCs w:val="19"/>
        </w:rPr>
        <w:t>na koniec I</w:t>
      </w:r>
      <w:r w:rsidR="00D837D0">
        <w:rPr>
          <w:color w:val="000000" w:themeColor="text1"/>
          <w:szCs w:val="19"/>
        </w:rPr>
        <w:t>I</w:t>
      </w:r>
      <w:r w:rsidR="00D837D0" w:rsidRPr="0034522A">
        <w:rPr>
          <w:color w:val="000000" w:themeColor="text1"/>
          <w:szCs w:val="19"/>
        </w:rPr>
        <w:t>I kwartału 2020 r.</w:t>
      </w:r>
    </w:p>
    <w:p w:rsidR="00D837D0" w:rsidRDefault="00D837D0" w:rsidP="00D837D0">
      <w:pPr>
        <w:pStyle w:val="Tekstkomunikat"/>
        <w:rPr>
          <w:color w:val="000000" w:themeColor="text1"/>
          <w:sz w:val="18"/>
          <w:szCs w:val="18"/>
        </w:rPr>
      </w:pPr>
    </w:p>
    <w:p w:rsidR="00D837D0" w:rsidRDefault="00D837D0" w:rsidP="00D837D0">
      <w:pPr>
        <w:pStyle w:val="Tekstkomunikat"/>
        <w:rPr>
          <w:color w:val="000000" w:themeColor="text1"/>
          <w:szCs w:val="19"/>
        </w:rPr>
      </w:pPr>
      <w:r w:rsidRPr="000F1FA1">
        <w:rPr>
          <w:color w:val="000000" w:themeColor="text1"/>
          <w:szCs w:val="19"/>
        </w:rPr>
        <w:t xml:space="preserve">Nie było też znaczącego zróżnicowania udziału pracujących objętych kwarantanną bądź izolacją w jednostkach według ich wielkości. </w:t>
      </w:r>
      <w:r>
        <w:rPr>
          <w:color w:val="000000" w:themeColor="text1"/>
          <w:szCs w:val="19"/>
        </w:rPr>
        <w:t>W województwie mazowieckim w</w:t>
      </w:r>
      <w:r w:rsidRPr="00C559B7">
        <w:rPr>
          <w:color w:val="000000" w:themeColor="text1"/>
          <w:szCs w:val="19"/>
        </w:rPr>
        <w:t xml:space="preserve"> jednostkach zatrudniających powyżej 49 osób</w:t>
      </w:r>
      <w:r>
        <w:rPr>
          <w:color w:val="000000" w:themeColor="text1"/>
          <w:szCs w:val="19"/>
        </w:rPr>
        <w:t xml:space="preserve"> </w:t>
      </w:r>
      <w:r w:rsidRPr="000F1FA1">
        <w:rPr>
          <w:color w:val="000000" w:themeColor="text1"/>
          <w:szCs w:val="19"/>
        </w:rPr>
        <w:t xml:space="preserve">udział pracujących objętych kwarantanną bądź izolacją </w:t>
      </w:r>
      <w:r>
        <w:rPr>
          <w:color w:val="000000" w:themeColor="text1"/>
          <w:szCs w:val="19"/>
        </w:rPr>
        <w:t>wyniósł 0,3</w:t>
      </w:r>
      <w:r w:rsidRPr="00C559B7">
        <w:rPr>
          <w:color w:val="000000" w:themeColor="text1"/>
          <w:szCs w:val="19"/>
        </w:rPr>
        <w:t xml:space="preserve">%, podczas gdy w jednostkach zatrudniających do 9 osób </w:t>
      </w:r>
      <w:r>
        <w:rPr>
          <w:color w:val="000000" w:themeColor="text1"/>
          <w:szCs w:val="19"/>
        </w:rPr>
        <w:t>–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0,6</w:t>
      </w:r>
      <w:r w:rsidRPr="00C559B7">
        <w:rPr>
          <w:color w:val="000000" w:themeColor="text1"/>
          <w:szCs w:val="19"/>
        </w:rPr>
        <w:t>%.</w:t>
      </w:r>
    </w:p>
    <w:p w:rsidR="00D837D0" w:rsidRPr="00D837D0" w:rsidRDefault="00D837D0" w:rsidP="00D837D0">
      <w:pPr>
        <w:pStyle w:val="Tekstkomunikat"/>
        <w:rPr>
          <w:rFonts w:cs="Segoe UI"/>
          <w:color w:val="000000" w:themeColor="text1"/>
          <w:szCs w:val="19"/>
        </w:rPr>
      </w:pPr>
      <w:r w:rsidRPr="00B07715">
        <w:rPr>
          <w:color w:val="000000" w:themeColor="text1"/>
          <w:szCs w:val="19"/>
        </w:rPr>
        <w:t xml:space="preserve">Sytuacje kwarantanny lub izolacji pracujących miały miejsce we wszystkich województwach, przy czym relatywnie w największym stopniu </w:t>
      </w:r>
      <w:r w:rsidR="00CF6305" w:rsidRPr="00B07715">
        <w:rPr>
          <w:color w:val="000000" w:themeColor="text1"/>
          <w:szCs w:val="19"/>
        </w:rPr>
        <w:t>wystąpiły</w:t>
      </w:r>
      <w:r w:rsidRPr="00B07715">
        <w:rPr>
          <w:color w:val="000000" w:themeColor="text1"/>
          <w:szCs w:val="19"/>
        </w:rPr>
        <w:t xml:space="preserve"> w województwie małopolskim</w:t>
      </w:r>
      <w:r w:rsidR="00CF6305" w:rsidRPr="00B07715">
        <w:rPr>
          <w:color w:val="000000" w:themeColor="text1"/>
          <w:szCs w:val="19"/>
        </w:rPr>
        <w:t>,</w:t>
      </w:r>
      <w:r w:rsidRPr="00B07715">
        <w:rPr>
          <w:color w:val="000000" w:themeColor="text1"/>
          <w:szCs w:val="19"/>
        </w:rPr>
        <w:t xml:space="preserve"> gdzie pracujący, którzy według stanu na 30 września 2020 r. korzystali z wynagrodzenia za czas choroby lub zasiłku chorobowego z powodu objęcia kwarantanną lub izolacją stanowili 0,8% ogółu pracujących w tym województwie</w:t>
      </w:r>
      <w:r w:rsidR="00CF6305" w:rsidRPr="00B07715">
        <w:rPr>
          <w:color w:val="000000" w:themeColor="text1"/>
          <w:szCs w:val="19"/>
        </w:rPr>
        <w:t>; w kraju średnio 0,5%.</w:t>
      </w:r>
      <w:r w:rsidR="00CF6305">
        <w:rPr>
          <w:color w:val="000000" w:themeColor="text1"/>
          <w:szCs w:val="19"/>
        </w:rPr>
        <w:t xml:space="preserve"> 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900742">
            <w:pPr>
              <w:pStyle w:val="Tekstkomunikatlid"/>
              <w:rPr>
                <w:spacing w:val="-2"/>
              </w:rPr>
            </w:pPr>
            <w:r w:rsidRPr="002A4A26">
              <w:t xml:space="preserve">W </w:t>
            </w:r>
            <w:r>
              <w:t>listopadzie</w:t>
            </w:r>
            <w:r w:rsidRPr="002A4A26">
              <w:t xml:space="preserve"> br. </w:t>
            </w:r>
            <w:r>
              <w:t xml:space="preserve">zmiany </w:t>
            </w:r>
            <w:r w:rsidRPr="002A4A26">
              <w:t>związane z pandemią COVID-19</w:t>
            </w:r>
            <w:r>
              <w:t xml:space="preserve"> najczęściej sygnalizowały przedsiębiorstwa prowadzące działalność w zakresie zakwaterowania i gastronomii</w:t>
            </w:r>
            <w:r w:rsidRPr="002A4A26">
              <w:t>.</w:t>
            </w:r>
            <w:r>
              <w:t xml:space="preserve"> </w:t>
            </w:r>
            <w:r w:rsidRPr="002A4A26">
              <w:t>Sytuacja wynikająca z pandemii najczęściej miała wpływ na zmianę liczby zamówień oraz zmiany w zakresie wymiaru etatów pracowników.</w:t>
            </w:r>
          </w:p>
        </w:tc>
      </w:tr>
    </w:tbl>
    <w:p w:rsidR="00892B74" w:rsidRDefault="00AE29A8" w:rsidP="00892B74">
      <w:pPr>
        <w:pStyle w:val="Tekstkomunikat"/>
      </w:pPr>
      <w:r w:rsidRPr="00900742">
        <w:t xml:space="preserve">W </w:t>
      </w:r>
      <w:r>
        <w:t>listopadzie</w:t>
      </w:r>
      <w:r w:rsidRPr="00900742">
        <w:t xml:space="preserve"> br. w województwie mazowieckim </w:t>
      </w:r>
      <w:r>
        <w:t>3</w:t>
      </w:r>
      <w:r w:rsidRPr="00900742">
        <w:t>,</w:t>
      </w:r>
      <w:r>
        <w:t>0</w:t>
      </w:r>
      <w:r w:rsidRPr="00900742">
        <w:t>% podmiotów gospodarczych, które złożyły meldunek DG1 , wskazało pandemię COVID-19 jako czynnik wywołujący istotne zmiany w prowadzeniu działalności gospodarczej; w kraju 2,</w:t>
      </w:r>
      <w:r>
        <w:t>5</w:t>
      </w:r>
      <w:r w:rsidRPr="00900742">
        <w:t xml:space="preserve">% </w:t>
      </w:r>
      <w:r>
        <w:br/>
      </w:r>
      <w:r w:rsidRPr="00900742">
        <w:t xml:space="preserve">(w kwietniu było to odpowiednio 9,4% i 9,6%). Najwyższy odsetek jednostek doświadczających skutków COVID-19 w </w:t>
      </w:r>
      <w:r>
        <w:t>listopadzie</w:t>
      </w:r>
      <w:r w:rsidRPr="00900742">
        <w:t xml:space="preserve"> br. odnotowano w województwie lubelskim </w:t>
      </w:r>
      <w:r>
        <w:t xml:space="preserve">i zachodniopomorskim </w:t>
      </w:r>
      <w:r w:rsidRPr="00900742">
        <w:t>(</w:t>
      </w:r>
      <w:r>
        <w:t>po 3</w:t>
      </w:r>
      <w:r w:rsidRPr="00900742">
        <w:t>,</w:t>
      </w:r>
      <w:r>
        <w:t>3</w:t>
      </w:r>
      <w:r w:rsidRPr="00900742">
        <w:t xml:space="preserve">%) a najniższy w </w:t>
      </w:r>
      <w:r>
        <w:t>warmińsko-mazurskim</w:t>
      </w:r>
      <w:r w:rsidRPr="00900742">
        <w:t xml:space="preserve"> </w:t>
      </w:r>
      <w:r w:rsidRPr="009F00E7">
        <w:t>(1,</w:t>
      </w:r>
      <w:r w:rsidR="009F00E7" w:rsidRPr="009F00E7">
        <w:t>8</w:t>
      </w:r>
      <w:r w:rsidRPr="009F00E7">
        <w:t>%).</w:t>
      </w:r>
    </w:p>
    <w:p w:rsidR="00892B74" w:rsidRDefault="00D837D0" w:rsidP="00892B74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533400</wp:posOffset>
            </wp:positionV>
            <wp:extent cx="5849124" cy="2450597"/>
            <wp:effectExtent l="0" t="0" r="0" b="698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covid 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F27E91">
        <w:t>5</w:t>
      </w:r>
      <w:r w:rsidR="00892B74" w:rsidRPr="00171B2C">
        <w:t>.</w:t>
      </w:r>
      <w:r w:rsidR="00892B74" w:rsidRPr="00171B2C">
        <w:tab/>
      </w:r>
      <w:r w:rsidR="00892B74" w:rsidRPr="00087B47">
        <w:t>Odsetek jednostek zgłaszających zmiany</w:t>
      </w:r>
      <w:r w:rsidR="00892B74">
        <w:t xml:space="preserve"> spowodowane COVID-19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9B7BAB" w:rsidRDefault="009B7BAB" w:rsidP="00892B74">
      <w:pPr>
        <w:pStyle w:val="Tekstkomunikat"/>
      </w:pPr>
    </w:p>
    <w:p w:rsidR="00892B74" w:rsidRDefault="00AE29A8" w:rsidP="00892B74">
      <w:pPr>
        <w:pStyle w:val="Tekstkomunikat"/>
      </w:pPr>
      <w:r w:rsidRPr="00892B74">
        <w:t xml:space="preserve">W </w:t>
      </w:r>
      <w:r>
        <w:t>listopadzie</w:t>
      </w:r>
      <w:r w:rsidRPr="00892B74">
        <w:t xml:space="preserve"> </w:t>
      </w:r>
      <w:r>
        <w:t xml:space="preserve">br. </w:t>
      </w:r>
      <w:r w:rsidRPr="00892B74">
        <w:t xml:space="preserve">zarówno w województwie, jak w kraju przedsiębiorstwa najczęściej sygnalizujące zmiany związane </w:t>
      </w:r>
      <w:r>
        <w:br/>
      </w:r>
      <w:r w:rsidRPr="00892B74">
        <w:t>z pandemią COVID-19 prowadziły działalność w zakresie zakwaterowania i gastronomii (</w:t>
      </w:r>
      <w:r>
        <w:t>21</w:t>
      </w:r>
      <w:r w:rsidRPr="00892B74">
        <w:t>,</w:t>
      </w:r>
      <w:r>
        <w:t>4</w:t>
      </w:r>
      <w:r w:rsidRPr="00892B74">
        <w:t xml:space="preserve">%, w kraju </w:t>
      </w:r>
      <w:r>
        <w:t>14</w:t>
      </w:r>
      <w:r w:rsidRPr="00892B74">
        <w:t>,</w:t>
      </w:r>
      <w:r>
        <w:t>4</w:t>
      </w:r>
      <w:r w:rsidRPr="00892B74">
        <w:t xml:space="preserve">%). Także </w:t>
      </w:r>
      <w:r>
        <w:br/>
      </w:r>
      <w:r w:rsidRPr="00892B74">
        <w:t>w kwietniu br. najbardziej dotknięte zaistniałą sytuacją były przedsiębiorstwa działające we wspomnianej sekcji (odpowiednio 26,1% i 20,5%).</w:t>
      </w:r>
    </w:p>
    <w:p w:rsidR="00892B74" w:rsidRPr="0099052C" w:rsidRDefault="00AE29A8" w:rsidP="00892B74">
      <w:pPr>
        <w:pStyle w:val="Tekstkomunikattytwykrestabl"/>
      </w:pPr>
      <w:r>
        <w:rPr>
          <w:bCs/>
          <w:noProof/>
          <w:color w:val="512197"/>
          <w:sz w:val="23"/>
          <w:szCs w:val="23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463550</wp:posOffset>
            </wp:positionV>
            <wp:extent cx="5903988" cy="2804166"/>
            <wp:effectExtent l="0" t="0" r="1905" b="0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covid 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F27E91">
        <w:t>6</w:t>
      </w:r>
      <w:r w:rsidR="00892B74" w:rsidRPr="00171B2C">
        <w:t>.</w:t>
      </w:r>
      <w:r w:rsidR="00892B74" w:rsidRPr="00171B2C">
        <w:tab/>
      </w:r>
      <w:r w:rsidR="00892B74">
        <w:t xml:space="preserve">Jednostki zgłaszające zmiany spowodowane COVID-19 według wybranych sekcji 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D837D0" w:rsidRDefault="00D837D0" w:rsidP="00892B74">
      <w:pPr>
        <w:pStyle w:val="Tekstkomunikat"/>
      </w:pPr>
    </w:p>
    <w:p w:rsidR="00787F4A" w:rsidRDefault="00550FF7" w:rsidP="00892B74">
      <w:pPr>
        <w:pStyle w:val="Tekstkomunikat"/>
      </w:pPr>
      <w:r w:rsidRPr="00FD5054">
        <w:t xml:space="preserve">Najczęściej jako przyczynę zmian w działalności gospodarczej związaną z COVID-19 wskazywano zmianę liczby zamówień </w:t>
      </w:r>
      <w:r w:rsidRPr="00787F4A">
        <w:t xml:space="preserve">(spadek lub wzrost). W listopadzie br. w województwie mazowieckim spadek w tym zakresie wskazało 2,2% podmiotów, </w:t>
      </w:r>
      <w:r w:rsidR="005D3B37">
        <w:br/>
      </w:r>
      <w:r w:rsidRPr="00787F4A">
        <w:t xml:space="preserve">a w kraju 1,9% (w kwietniu br. było to odpowiednio 6,4% i 6,8%). Najwyższy odsetek podmiotów dotkniętych spadkiem zamówień wystąpił w zakwaterowaniu i gastronomii – w województwie </w:t>
      </w:r>
      <w:r w:rsidR="0055481B" w:rsidRPr="00787F4A">
        <w:t xml:space="preserve">18,2%, w Polsce 12,1%. </w:t>
      </w:r>
      <w:r w:rsidRPr="00787F4A">
        <w:t xml:space="preserve">Wzrost liczby zamówień </w:t>
      </w:r>
      <w:r w:rsidR="005D3B37">
        <w:br/>
      </w:r>
      <w:r w:rsidRPr="00787F4A">
        <w:t xml:space="preserve">w województwie sygnalizowało w listopadzie 0,3% przedsiębiorstw, w kraju 0,2% (siedem miesięcy wcześniej po 0,3%). </w:t>
      </w:r>
      <w:r w:rsidR="005D3B37">
        <w:br/>
      </w:r>
      <w:r w:rsidR="00787F4A" w:rsidRPr="00787F4A">
        <w:t>W województwie najwyższy odsetek podmiotów, w których liczba zamówień wzrosła odnotowano w transporcie i gospodarce magazynowej (0,9%), a w kraju – w sekcji pozostała działalność usługowa (2,4%).</w:t>
      </w:r>
    </w:p>
    <w:p w:rsidR="00892B74" w:rsidRDefault="00AE29A8" w:rsidP="00892B74">
      <w:pPr>
        <w:pStyle w:val="Tekstkomunikat"/>
      </w:pPr>
      <w:r w:rsidRPr="00900742">
        <w:t xml:space="preserve">Na drugim miejscu wśród czynników determinujących działalność i wyniki przedsiębiorstw znalazły się zmiany w zakresie wymiaru etatów pracowników. W </w:t>
      </w:r>
      <w:r>
        <w:t>listopadzie</w:t>
      </w:r>
      <w:r w:rsidRPr="00900742">
        <w:t xml:space="preserve"> br. w województwie wskazało na nie 0,4% jednostek, a w kraju 0,3% </w:t>
      </w:r>
      <w:r w:rsidR="000608FD">
        <w:br/>
      </w:r>
      <w:r w:rsidRPr="00900742">
        <w:t>(w kwietniu br. odpowiednio 2,1% i 2,2%). Mniej odczuwalne skutki pandemii COVID-19 to zwolnienia pracowników (0,3%) oraz przebywanie pracowników na tzw. postojowym (0,</w:t>
      </w:r>
      <w:r>
        <w:t>2</w:t>
      </w:r>
      <w:r w:rsidRPr="00900742">
        <w:t>%); w kraju odpowiednio 0,2% i 0,1%.</w:t>
      </w:r>
    </w:p>
    <w:p w:rsidR="00355C0B" w:rsidRPr="0099052C" w:rsidRDefault="009B7BAB" w:rsidP="00446ED2">
      <w:pPr>
        <w:pStyle w:val="Tekstkomunikattytwykrestabl"/>
        <w:spacing w:before="360"/>
      </w:pPr>
      <w:r>
        <w:rPr>
          <w:bCs/>
          <w:noProof/>
          <w:color w:val="512197"/>
          <w:sz w:val="16"/>
          <w:szCs w:val="16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260350</wp:posOffset>
            </wp:positionV>
            <wp:extent cx="5925324" cy="2712726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covid 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171B2C">
        <w:t xml:space="preserve">Wykres </w:t>
      </w:r>
      <w:r w:rsidR="00FA58E0">
        <w:t>1</w:t>
      </w:r>
      <w:r w:rsidR="00F27E91">
        <w:t>7</w:t>
      </w:r>
      <w:r w:rsidR="00355C0B" w:rsidRPr="00171B2C">
        <w:t>.</w:t>
      </w:r>
      <w:r w:rsidR="00355C0B" w:rsidRPr="00171B2C">
        <w:tab/>
      </w:r>
      <w:r w:rsidR="00355C0B">
        <w:t>Przyczyny</w:t>
      </w:r>
      <w:r w:rsidR="00355C0B" w:rsidRPr="00355C0B">
        <w:rPr>
          <w:b w:val="0"/>
          <w:vertAlign w:val="superscript"/>
        </w:rPr>
        <w:t xml:space="preserve"> a</w:t>
      </w:r>
      <w:r w:rsidR="00355C0B">
        <w:t xml:space="preserve"> zmian w działalności gospodarczej spowodowanych COVID-19</w:t>
      </w:r>
    </w:p>
    <w:p w:rsidR="00355C0B" w:rsidRPr="004A101E" w:rsidRDefault="00355C0B" w:rsidP="004A101E">
      <w:pPr>
        <w:pStyle w:val="Tekstkomunikat"/>
        <w:spacing w:before="0" w:after="0"/>
        <w:rPr>
          <w:bCs/>
          <w:color w:val="512197"/>
          <w:sz w:val="16"/>
          <w:szCs w:val="16"/>
        </w:rPr>
      </w:pP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4458BB" w:rsidRPr="00892B74" w:rsidRDefault="004458BB" w:rsidP="00446ED2">
      <w:pPr>
        <w:pStyle w:val="Tekstkomunikat"/>
        <w:spacing w:before="0"/>
      </w:pPr>
      <w:r w:rsidRPr="00123638">
        <w:t>W listopadzie br. w województwie pandemię COVID-19 jako przyczynę zatorów płatniczych oraz problemów z zaopatrzeniem od dostawców wskazało mniej niż 0,1% podmiotów. Nie wystąpiły przypadki, wydzielenia przedsiębiorstwa (lub jego części) oraz przejęcia przedsiębiorstwa (lub jego części). Ogólnie pandemię jako przyczynę wywołującą zmiany w prowadzeniu działalności gospodarczej, bez zaznaczania szczegółowego powodu wskazało 8,1% przedsiębiorstw.</w:t>
      </w:r>
      <w:r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AA3F79" w:rsidP="00293C82">
            <w:pPr>
              <w:pStyle w:val="Tekstkomunikatlid"/>
              <w:rPr>
                <w:spacing w:val="-2"/>
              </w:rPr>
            </w:pPr>
            <w:r>
              <w:t>W listopadzie</w:t>
            </w:r>
            <w:r w:rsidRPr="00515B09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0,3</w:t>
            </w:r>
            <w:r w:rsidRPr="00515B09">
              <w:rPr>
                <w:color w:val="000000" w:themeColor="text1"/>
              </w:rPr>
              <w:t>%. Więcej w ujęciu miesięcznym było jednostek, kt</w:t>
            </w:r>
            <w:r>
              <w:rPr>
                <w:color w:val="000000" w:themeColor="text1"/>
              </w:rPr>
              <w:t>óre zawiesiły działalność (o 2,9</w:t>
            </w:r>
            <w:r w:rsidRPr="00515B09">
              <w:rPr>
                <w:color w:val="000000" w:themeColor="text1"/>
              </w:rPr>
              <w:t>%), natomiast mniej było nowych podmiotów wpisanych do rejestru oraz wykreślonych z r</w:t>
            </w:r>
            <w:r>
              <w:rPr>
                <w:color w:val="000000" w:themeColor="text1"/>
              </w:rPr>
              <w:t>ejestru REGON (odpowiednio o 24,1% i o 1,1</w:t>
            </w:r>
            <w:r w:rsidRPr="00515B09">
              <w:rPr>
                <w:color w:val="000000" w:themeColor="text1"/>
              </w:rPr>
              <w:t>%).</w:t>
            </w:r>
          </w:p>
        </w:tc>
      </w:tr>
    </w:tbl>
    <w:p w:rsidR="00AA3F79" w:rsidRPr="00543587" w:rsidRDefault="00AA3F79" w:rsidP="00AA3F7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listopada</w:t>
      </w:r>
      <w:r w:rsidRPr="00543587">
        <w:rPr>
          <w:rFonts w:cs="FiraSans-Regular"/>
          <w:color w:val="000000" w:themeColor="text1"/>
          <w:szCs w:val="19"/>
        </w:rPr>
        <w:t xml:space="preserve"> br. w rejestrze REGON </w:t>
      </w:r>
      <w:r w:rsidRPr="008D64DF">
        <w:rPr>
          <w:rFonts w:cs="FiraSans-Regular"/>
          <w:color w:val="000000" w:themeColor="text1"/>
          <w:szCs w:val="19"/>
        </w:rPr>
        <w:t>wpisan</w:t>
      </w:r>
      <w:r>
        <w:rPr>
          <w:rFonts w:cs="FiraSans-Regular"/>
          <w:color w:val="000000" w:themeColor="text1"/>
          <w:szCs w:val="19"/>
        </w:rPr>
        <w:t>ych</w:t>
      </w:r>
      <w:r w:rsidRPr="008D64DF">
        <w:rPr>
          <w:rFonts w:cs="FiraSans-Regular"/>
          <w:color w:val="000000" w:themeColor="text1"/>
          <w:szCs w:val="19"/>
        </w:rPr>
        <w:t xml:space="preserve"> był</w:t>
      </w:r>
      <w:r>
        <w:rPr>
          <w:rFonts w:cs="FiraSans-Regular"/>
          <w:color w:val="000000" w:themeColor="text1"/>
          <w:szCs w:val="19"/>
        </w:rPr>
        <w:t>o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884708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tj. więcej </w:t>
      </w:r>
      <w:r>
        <w:rPr>
          <w:rFonts w:cs="FiraSans-Regular"/>
          <w:color w:val="000000" w:themeColor="text1"/>
          <w:szCs w:val="19"/>
        </w:rPr>
        <w:t>o 3,7</w:t>
      </w:r>
      <w:r w:rsidRPr="00CC37FD">
        <w:rPr>
          <w:rFonts w:cs="FiraSans-Regular"/>
          <w:color w:val="000000" w:themeColor="text1"/>
          <w:szCs w:val="19"/>
        </w:rPr>
        <w:t xml:space="preserve">% niż przed rokiem i o </w:t>
      </w:r>
      <w:r>
        <w:rPr>
          <w:rFonts w:cs="FiraSans-Regular"/>
          <w:color w:val="000000" w:themeColor="text1"/>
          <w:szCs w:val="19"/>
        </w:rPr>
        <w:t>0,3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AA3F79" w:rsidRDefault="00AA3F79" w:rsidP="00AA3F79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577788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 w:rsidRPr="00F81287">
        <w:rPr>
          <w:rFonts w:cs="FiraSans-Regular"/>
          <w:b/>
          <w:color w:val="000000" w:themeColor="text1"/>
          <w:szCs w:val="19"/>
        </w:rPr>
        <w:t>osób fizycznych</w:t>
      </w:r>
      <w:r w:rsidRPr="00C1225B">
        <w:rPr>
          <w:rFonts w:cs="FiraSans-Regular"/>
          <w:color w:val="000000" w:themeColor="text1"/>
          <w:szCs w:val="19"/>
        </w:rPr>
        <w:t xml:space="preserve"> prowadzących działalność gospodarczą, co oznacza wzrost w porównaniu z analogicznym okresem ub. roku </w:t>
      </w:r>
      <w:r>
        <w:rPr>
          <w:rFonts w:cs="FiraSans-Regular"/>
          <w:color w:val="000000" w:themeColor="text1"/>
          <w:szCs w:val="19"/>
        </w:rPr>
        <w:t>o 3,3</w:t>
      </w:r>
      <w:r w:rsidRPr="00C1225B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240042, w tym 180823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 w:rsidRPr="00F576D5">
        <w:rPr>
          <w:rFonts w:cs="FiraSans-Regular"/>
          <w:color w:val="000000" w:themeColor="text1"/>
          <w:szCs w:val="19"/>
        </w:rPr>
        <w:t>spółki handlowe</w:t>
      </w:r>
      <w:r>
        <w:rPr>
          <w:rFonts w:cs="FiraSans-Regular"/>
          <w:color w:val="000000" w:themeColor="text1"/>
          <w:szCs w:val="19"/>
        </w:rPr>
        <w:t xml:space="preserve"> i 58811</w:t>
      </w:r>
      <w:r w:rsidRPr="00C1225B">
        <w:rPr>
          <w:rFonts w:cs="FiraSans-Regular"/>
          <w:color w:val="000000" w:themeColor="text1"/>
          <w:szCs w:val="19"/>
        </w:rPr>
        <w:t xml:space="preserve"> spółek cywilnych (wzrost w skali rok</w:t>
      </w:r>
      <w:r>
        <w:rPr>
          <w:rFonts w:cs="FiraSans-Regular"/>
          <w:color w:val="000000" w:themeColor="text1"/>
          <w:szCs w:val="19"/>
        </w:rPr>
        <w:t xml:space="preserve">u odpowiednio o 5,0%, 6,6% </w:t>
      </w:r>
      <w:r>
        <w:rPr>
          <w:rFonts w:cs="FiraSans-Regular"/>
          <w:color w:val="000000" w:themeColor="text1"/>
          <w:szCs w:val="19"/>
        </w:rPr>
        <w:br/>
        <w:t>i 0,4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AA3F79" w:rsidRPr="00543587" w:rsidRDefault="00AA3F79" w:rsidP="00AA3F79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zatrudnienie do 9 osób; stanowiły one 96,6%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0,7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>osób (o 3,8%).</w:t>
      </w:r>
    </w:p>
    <w:p w:rsidR="00AA3F79" w:rsidRDefault="00AA3F79" w:rsidP="00AA3F7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listopadem</w:t>
      </w:r>
      <w:r w:rsidRPr="00543587">
        <w:rPr>
          <w:rFonts w:cs="FiraSans-Regular"/>
          <w:color w:val="000000" w:themeColor="text1"/>
          <w:szCs w:val="19"/>
        </w:rPr>
        <w:t xml:space="preserve"> 2019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23,2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7,9</w:t>
      </w:r>
      <w:r w:rsidRPr="00543587">
        <w:rPr>
          <w:rFonts w:cs="FiraSans-Regular"/>
          <w:color w:val="000000" w:themeColor="text1"/>
          <w:szCs w:val="19"/>
        </w:rPr>
        <w:t>%) oraz administrowanie</w:t>
      </w:r>
      <w:r>
        <w:rPr>
          <w:rFonts w:cs="FiraSans-Regular"/>
          <w:color w:val="000000" w:themeColor="text1"/>
          <w:szCs w:val="19"/>
        </w:rPr>
        <w:t xml:space="preserve"> i działalność wspierająca (o 6,8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AA3F79" w:rsidRPr="00543587" w:rsidRDefault="00AA3F79" w:rsidP="00AA3F79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stosunku do poprzedniego miesiąca </w:t>
      </w:r>
      <w:r w:rsidRPr="00CC37FD">
        <w:rPr>
          <w:rFonts w:cs="FiraSans-Regular"/>
          <w:color w:val="000000" w:themeColor="text1"/>
          <w:szCs w:val="19"/>
        </w:rPr>
        <w:t>liczba podmiotów zwiększyła</w:t>
      </w:r>
      <w:r w:rsidRPr="0026199D">
        <w:rPr>
          <w:rFonts w:cs="FiraSans-Regular"/>
          <w:color w:val="000000" w:themeColor="text1"/>
          <w:szCs w:val="19"/>
        </w:rPr>
        <w:t xml:space="preserve"> się m.in. w sekcjach: wytwarzanie i zaopatrywanie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>w energię elektryczną, gaz, parę wodną i g</w:t>
      </w:r>
      <w:r>
        <w:rPr>
          <w:rFonts w:cs="FiraSans-Regular"/>
          <w:color w:val="000000" w:themeColor="text1"/>
          <w:szCs w:val="19"/>
        </w:rPr>
        <w:t>orącą wodę (</w:t>
      </w:r>
      <w:r w:rsidRPr="00612CA0">
        <w:rPr>
          <w:rFonts w:cs="FiraSans-Regular"/>
          <w:color w:val="000000" w:themeColor="text1"/>
          <w:szCs w:val="19"/>
        </w:rPr>
        <w:t>o 1</w:t>
      </w:r>
      <w:r>
        <w:rPr>
          <w:rFonts w:cs="FiraSans-Regular"/>
          <w:color w:val="000000" w:themeColor="text1"/>
          <w:szCs w:val="19"/>
        </w:rPr>
        <w:t>,6</w:t>
      </w:r>
      <w:r w:rsidRPr="00612CA0">
        <w:rPr>
          <w:rFonts w:cs="FiraSans-Regular"/>
          <w:color w:val="000000" w:themeColor="text1"/>
          <w:szCs w:val="19"/>
        </w:rPr>
        <w:t xml:space="preserve">%), działalność związana z </w:t>
      </w:r>
      <w:r>
        <w:rPr>
          <w:rFonts w:cs="FiraSans-Regular"/>
          <w:color w:val="000000" w:themeColor="text1"/>
          <w:szCs w:val="19"/>
        </w:rPr>
        <w:t xml:space="preserve">zakwaterowaniem i usługami gastronomicznymi oraz </w:t>
      </w:r>
      <w:r w:rsidRPr="00F576D5">
        <w:rPr>
          <w:rFonts w:cs="FiraSans-Regular"/>
          <w:color w:val="000000" w:themeColor="text1"/>
          <w:szCs w:val="19"/>
        </w:rPr>
        <w:t>działalność związana z kulturą, rozrywką i rekreacją</w:t>
      </w:r>
      <w:r w:rsidRPr="00612CA0">
        <w:rPr>
          <w:rFonts w:cs="FiraSans-Regular"/>
          <w:color w:val="000000" w:themeColor="text1"/>
          <w:szCs w:val="19"/>
        </w:rPr>
        <w:t xml:space="preserve"> (</w:t>
      </w:r>
      <w:r>
        <w:rPr>
          <w:rFonts w:cs="FiraSans-Regular"/>
          <w:color w:val="000000" w:themeColor="text1"/>
          <w:szCs w:val="19"/>
        </w:rPr>
        <w:t>p</w:t>
      </w:r>
      <w:r w:rsidRPr="00612CA0">
        <w:rPr>
          <w:rFonts w:cs="FiraSans-Regular"/>
          <w:color w:val="000000" w:themeColor="text1"/>
          <w:szCs w:val="19"/>
        </w:rPr>
        <w:t>o 0,8</w:t>
      </w:r>
      <w:r>
        <w:rPr>
          <w:rFonts w:cs="FiraSans-Regular"/>
          <w:color w:val="000000" w:themeColor="text1"/>
          <w:szCs w:val="19"/>
        </w:rPr>
        <w:t>%).</w:t>
      </w:r>
    </w:p>
    <w:p w:rsidR="00AA3F79" w:rsidRPr="00543587" w:rsidRDefault="00AA3F79" w:rsidP="00AA3F7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listopadzie</w:t>
      </w:r>
      <w:r w:rsidRPr="00543587">
        <w:rPr>
          <w:rFonts w:cs="FiraSans-Regular"/>
          <w:color w:val="000000" w:themeColor="text1"/>
          <w:szCs w:val="19"/>
        </w:rPr>
        <w:t xml:space="preserve"> br</w:t>
      </w:r>
      <w:r>
        <w:rPr>
          <w:rFonts w:cs="FiraSans-Regular"/>
          <w:color w:val="000000" w:themeColor="text1"/>
          <w:szCs w:val="19"/>
        </w:rPr>
        <w:t>. do rejestru REGON wpisano 4316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ych</w:t>
      </w:r>
      <w:r w:rsidRPr="008D64DF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24,1% mniej</w:t>
      </w:r>
      <w:r w:rsidRPr="00543587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2921</w:t>
      </w:r>
      <w:r w:rsidRPr="00543587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31,5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 niż w październiku</w:t>
      </w:r>
      <w:r w:rsidRPr="00543587">
        <w:rPr>
          <w:rFonts w:cs="FiraSans-Regular"/>
          <w:color w:val="000000" w:themeColor="text1"/>
          <w:szCs w:val="19"/>
        </w:rPr>
        <w:t xml:space="preserve"> br.).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1,4</w:t>
      </w:r>
      <w:r w:rsidRPr="00543587">
        <w:rPr>
          <w:rFonts w:cs="FiraSans-Regular"/>
          <w:color w:val="000000" w:themeColor="text1"/>
          <w:szCs w:val="19"/>
        </w:rPr>
        <w:t xml:space="preserve">%, w tym spółek z ograniczoną odpowiedzialnością – </w:t>
      </w:r>
      <w:r>
        <w:rPr>
          <w:rFonts w:cs="FiraSans-Regular"/>
          <w:color w:val="000000" w:themeColor="text1"/>
          <w:szCs w:val="19"/>
        </w:rPr>
        <w:t>o 1,7%.</w:t>
      </w:r>
    </w:p>
    <w:p w:rsidR="00825760" w:rsidRPr="00825760" w:rsidRDefault="00AA3F79" w:rsidP="00AA3F79">
      <w:pPr>
        <w:pStyle w:val="Tekstkomunikat"/>
      </w:pPr>
      <w:r>
        <w:rPr>
          <w:rFonts w:cs="FiraSans-Regular"/>
          <w:color w:val="000000" w:themeColor="text1"/>
          <w:szCs w:val="19"/>
        </w:rPr>
        <w:t>W listopadzie</w:t>
      </w:r>
      <w:r w:rsidRPr="00543587">
        <w:rPr>
          <w:rFonts w:cs="FiraSans-Regular"/>
          <w:color w:val="000000" w:themeColor="text1"/>
          <w:szCs w:val="19"/>
        </w:rPr>
        <w:t xml:space="preserve"> br. </w:t>
      </w:r>
      <w:r w:rsidRPr="00543587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2054 podmioty (o 1,1% mniej</w:t>
      </w:r>
      <w:r w:rsidRPr="00543587">
        <w:rPr>
          <w:rFonts w:cs="FiraSans-Regular"/>
          <w:color w:val="000000" w:themeColor="text1"/>
          <w:szCs w:val="19"/>
        </w:rPr>
        <w:t xml:space="preserve"> niż przed miesiącem), w tym </w:t>
      </w:r>
      <w:r>
        <w:rPr>
          <w:rFonts w:cs="FiraSans-Regular"/>
          <w:color w:val="000000" w:themeColor="text1"/>
          <w:szCs w:val="19"/>
        </w:rPr>
        <w:t xml:space="preserve">1728 </w:t>
      </w:r>
      <w:r w:rsidRPr="00C1225B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C1225B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C1225B">
        <w:rPr>
          <w:rFonts w:cs="FiraSans-Regular"/>
          <w:color w:val="000000" w:themeColor="text1"/>
          <w:szCs w:val="19"/>
        </w:rPr>
        <w:t>prowadząc</w:t>
      </w:r>
      <w:r>
        <w:rPr>
          <w:rFonts w:cs="FiraSans-Regular"/>
          <w:color w:val="000000" w:themeColor="text1"/>
          <w:szCs w:val="19"/>
        </w:rPr>
        <w:t>ych działalność gospodarczą (o 6,8%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825760" w:rsidRPr="00724771" w:rsidRDefault="00923521" w:rsidP="00825760">
      <w:pPr>
        <w:pStyle w:val="Tekstkomunikattytwykrestabl"/>
      </w:pPr>
      <w:r>
        <w:rPr>
          <w:rFonts w:cs="FiraSans-Bold"/>
          <w:b w:val="0"/>
          <w:bCs/>
          <w:noProof/>
          <w:color w:val="000000" w:themeColor="text1"/>
          <w:szCs w:val="19"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228600</wp:posOffset>
            </wp:positionV>
            <wp:extent cx="5644907" cy="7254255"/>
            <wp:effectExtent l="0" t="0" r="0" b="381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podmioty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>
        <w:t>Wykres</w:t>
      </w:r>
      <w:r w:rsidR="00825760" w:rsidRPr="00724771">
        <w:t xml:space="preserve"> </w:t>
      </w:r>
      <w:r w:rsidR="00825760">
        <w:t>1</w:t>
      </w:r>
      <w:r w:rsidR="00F27E91">
        <w:t>8</w:t>
      </w:r>
      <w:r w:rsidR="00825760" w:rsidRPr="00724771">
        <w:t>.</w:t>
      </w:r>
      <w:r w:rsidR="00825760">
        <w:tab/>
        <w:t>Podmioty gospodarki narodowej nowo za</w:t>
      </w:r>
      <w:r w:rsidR="0086756F">
        <w:t xml:space="preserve">rejestrowane i wyrejestrowane w </w:t>
      </w:r>
      <w:r w:rsidR="00F27E91">
        <w:t>listopadzie</w:t>
      </w:r>
      <w:r w:rsidR="0086756F">
        <w:t xml:space="preserve"> </w:t>
      </w:r>
      <w:r w:rsidR="00825760">
        <w:t xml:space="preserve">2020 r. </w:t>
      </w:r>
      <w:r w:rsidR="00825760" w:rsidRPr="00724771">
        <w:t xml:space="preserve"> </w:t>
      </w:r>
    </w:p>
    <w:p w:rsidR="00825760" w:rsidRDefault="00825760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AA3F79" w:rsidP="00825760">
      <w:pPr>
        <w:pStyle w:val="Tekstkomunikat"/>
      </w:pPr>
      <w:r>
        <w:t>Według stanu na koniec listopada br. w rejestrze REGON 88374</w:t>
      </w:r>
      <w:r w:rsidRPr="00543587">
        <w:t xml:space="preserve"> </w:t>
      </w:r>
      <w:r w:rsidRPr="00EB6A8F">
        <w:t>podmioty</w:t>
      </w:r>
      <w:r w:rsidRPr="00543587">
        <w:t xml:space="preserve"> miał</w:t>
      </w:r>
      <w:r>
        <w:t>y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2,9% więcej</w:t>
      </w:r>
      <w:r w:rsidRPr="00543587">
        <w:t xml:space="preserve"> niż przed miesiącem). Zdecydowaną większość stanowiły osoby fizyczne prowadzą</w:t>
      </w:r>
      <w:r>
        <w:t>ce działalność gospodarczą (90,5%, wobec 90,4% w październiku br.).</w:t>
      </w:r>
    </w:p>
    <w:p w:rsidR="00F35507" w:rsidRDefault="00F35507">
      <w:pPr>
        <w:rPr>
          <w:lang w:eastAsia="pl-PL"/>
        </w:rPr>
      </w:pPr>
      <w:r>
        <w:br w:type="page"/>
      </w:r>
    </w:p>
    <w:p w:rsidR="007C3B41" w:rsidRDefault="00F27E91" w:rsidP="007C3B41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228600</wp:posOffset>
            </wp:positionV>
            <wp:extent cx="4047752" cy="3285751"/>
            <wp:effectExtent l="0" t="0" r="0" b="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mapa podmioty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 w:rsidR="0086756F">
        <w:t xml:space="preserve"> w </w:t>
      </w:r>
      <w:r w:rsidR="00923521">
        <w:t>listopadzie</w:t>
      </w:r>
      <w:r w:rsidR="0086756F">
        <w:t xml:space="preserve"> </w:t>
      </w:r>
      <w:r w:rsidR="00503D0F">
        <w:t>2020 r.</w:t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907513" w:rsidP="0022131B">
            <w:pPr>
              <w:pStyle w:val="Tekstkomunikatlid"/>
              <w:rPr>
                <w:spacing w:val="-2"/>
              </w:rPr>
            </w:pPr>
            <w:r w:rsidRPr="00531476">
              <w:rPr>
                <w:rFonts w:eastAsiaTheme="minorEastAsia" w:cs="Fira Sans"/>
                <w:bCs/>
                <w:color w:val="000000"/>
                <w:szCs w:val="19"/>
              </w:rPr>
              <w:t>We wszystkich badanych obszarach przedsiębiorcy w grudniu br. oceniają koniunkturę mniej pesymistycznie lub podobnie jak w listopadzie br. Największa poprawa ocen nastąpiła w sekcji handel detaliczny. Wskaźnik ogólnego klimatu koniunktury jest najwyższy w sekcji informacja i komunikacja, najniższy – w sekcji zakwaterowanie i gastronomia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.</w:t>
            </w:r>
          </w:p>
        </w:tc>
      </w:tr>
    </w:tbl>
    <w:p w:rsidR="00B33FCE" w:rsidRDefault="00F313B0" w:rsidP="00506CB0">
      <w:pPr>
        <w:pStyle w:val="Tekstkomunikattytwykrestabl"/>
        <w:spacing w:before="360" w:after="240"/>
      </w:pP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507917</wp:posOffset>
            </wp:positionH>
            <wp:positionV relativeFrom="paragraph">
              <wp:posOffset>504714</wp:posOffset>
            </wp:positionV>
            <wp:extent cx="5516891" cy="3846584"/>
            <wp:effectExtent l="0" t="0" r="7620" b="1905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91" cy="384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3508DD">
        <w:t xml:space="preserve">Wykres </w:t>
      </w:r>
      <w:r w:rsidR="00B33FCE">
        <w:t>1</w:t>
      </w:r>
      <w:r w:rsidR="00F27E91">
        <w:t>9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9F324C" w:rsidRDefault="00907513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 xml:space="preserve">Przedsiębiorcy działający we wszystkich badanych rodzajach działalności najczęściej byli zdania, że pandemia </w:t>
      </w:r>
      <w:proofErr w:type="spellStart"/>
      <w:r w:rsidRPr="007D279E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7D279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w grudniu br.</w:t>
      </w:r>
      <w:r w:rsidRPr="007D279E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 Największy odsetek odpowiedzi wskazujących, że negatywny wpływ pandemii będzie poważny był w handlu detalicznym.</w:t>
      </w:r>
    </w:p>
    <w:p w:rsidR="00B33FCE" w:rsidRDefault="00F313B0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480889</wp:posOffset>
            </wp:positionH>
            <wp:positionV relativeFrom="paragraph">
              <wp:posOffset>446267</wp:posOffset>
            </wp:positionV>
            <wp:extent cx="5577851" cy="1923292"/>
            <wp:effectExtent l="0" t="0" r="3810" b="127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4C"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</w:t>
      </w:r>
      <w:proofErr w:type="spellStart"/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koronawirusa</w:t>
      </w:r>
      <w:proofErr w:type="spellEnd"/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” i jej konsekwencje dla prowadzonej przez Państwa firmę działalności gospodarczej będą w bieżącym miesiącu</w:t>
      </w:r>
      <w:r w:rsidR="009F324C"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FF0375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8701C3" w:rsidRDefault="00907513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F313B0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>
        <w:rPr>
          <w:rFonts w:eastAsiaTheme="minorHAnsi" w:cs="Fira Sans"/>
          <w:i/>
          <w:noProof/>
          <w:szCs w:val="19"/>
          <w:lang w:eastAsia="pl-PL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154885</wp:posOffset>
            </wp:positionH>
            <wp:positionV relativeFrom="paragraph">
              <wp:posOffset>540247</wp:posOffset>
            </wp:positionV>
            <wp:extent cx="6260605" cy="2127508"/>
            <wp:effectExtent l="0" t="0" r="6985" b="6350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koniunktura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12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2C0ABA">
        <w:rPr>
          <w:rFonts w:eastAsiaTheme="minorHAnsi" w:cs="Fira Sans"/>
          <w:i/>
          <w:szCs w:val="19"/>
        </w:rPr>
        <w:t xml:space="preserve">Pyt. 2. </w:t>
      </w:r>
      <w:r w:rsidR="008701C3"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Default="004865F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907513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Managerowie we wszystkich obszarach działalności przewidywali spadek zamówień składanych prze</w:t>
      </w:r>
      <w:r>
        <w:rPr>
          <w:rFonts w:ascii="Fira Sans" w:hAnsi="Fira Sans"/>
          <w:color w:val="auto"/>
          <w:sz w:val="19"/>
          <w:szCs w:val="19"/>
        </w:rPr>
        <w:t xml:space="preserve">z klientów. </w:t>
      </w:r>
      <w:r w:rsidRPr="00900742">
        <w:rPr>
          <w:rFonts w:ascii="Fira Sans" w:hAnsi="Fira Sans"/>
          <w:color w:val="auto"/>
          <w:sz w:val="19"/>
          <w:szCs w:val="19"/>
        </w:rPr>
        <w:t>Największą redukcję zamówień przewidywali przedsiębiorcy działający w handlu detalicznym.</w:t>
      </w:r>
    </w:p>
    <w:p w:rsidR="00FA2046" w:rsidRDefault="00FA2046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B37862" w:rsidRDefault="00B37862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F313B0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552616</wp:posOffset>
            </wp:positionH>
            <wp:positionV relativeFrom="paragraph">
              <wp:posOffset>-2650</wp:posOffset>
            </wp:positionV>
            <wp:extent cx="5544323" cy="1780036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koniunktura 3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8701C3" w:rsidRDefault="00907513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>Oceniając możliwości przetrwania firmy przy utrzymaniu przez dłuższy czas</w:t>
      </w:r>
      <w:r w:rsidRPr="007D279E">
        <w:rPr>
          <w:rFonts w:cs="FiraSans-Bold"/>
          <w:bCs/>
        </w:rPr>
        <w:t xml:space="preserve"> obecnych działań i ograniczeń powziętych w celu zwalczania </w:t>
      </w:r>
      <w:proofErr w:type="spellStart"/>
      <w:r w:rsidRPr="007D279E">
        <w:rPr>
          <w:rFonts w:cs="FiraSans-Bold"/>
          <w:bCs/>
        </w:rPr>
        <w:t>koronawirusa</w:t>
      </w:r>
      <w:proofErr w:type="spellEnd"/>
      <w:r w:rsidRPr="007D279E">
        <w:rPr>
          <w:rFonts w:cs="FiraSans-Bold"/>
          <w:bCs/>
        </w:rPr>
        <w:t xml:space="preserve"> przez władze państwowe w Polsce (ale także wynikające z działań innych krajów, np. w zakresie ruchu granicznego) najwięcej przedsiębiorców niezależnie od rodzaju prowadzonej działalności uznało, że firma przetrwałaby powyżej 6 miesięcy.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2F017A">
        <w:rPr>
          <w:rFonts w:cs="FiraSans-Bold"/>
          <w:bCs/>
          <w:i/>
          <w:szCs w:val="19"/>
        </w:rPr>
        <w:t>koronawirusa</w:t>
      </w:r>
      <w:proofErr w:type="spellEnd"/>
      <w:r w:rsidRPr="002F017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F313B0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83947" cy="1984252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koniunktura 4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52E5" w:rsidRDefault="00907513" w:rsidP="008701C3">
      <w:pPr>
        <w:autoSpaceDE w:val="0"/>
        <w:autoSpaceDN w:val="0"/>
        <w:adjustRightInd w:val="0"/>
        <w:rPr>
          <w:rFonts w:cs="Fira Sans"/>
          <w:szCs w:val="19"/>
        </w:rPr>
      </w:pPr>
      <w:r w:rsidRPr="007D279E">
        <w:rPr>
          <w:rFonts w:cs="Fira Sans"/>
          <w:szCs w:val="19"/>
        </w:rPr>
        <w:t>We wszystkich badanych obszarach działalności większość przedsiębiorc</w:t>
      </w:r>
      <w:r>
        <w:rPr>
          <w:rFonts w:cs="Fira Sans"/>
          <w:szCs w:val="19"/>
        </w:rPr>
        <w:t>ów nie oczekiwała w grudniu</w:t>
      </w:r>
      <w:r w:rsidRPr="007D279E">
        <w:rPr>
          <w:rFonts w:cs="Fira Sans"/>
          <w:szCs w:val="19"/>
        </w:rPr>
        <w:t xml:space="preserve"> zatorów płatniczych. Zaistnienie poważnych lub zagrażających stabilności firmy zatorów płatniczych najczęściej przewidywano w </w:t>
      </w:r>
      <w:r>
        <w:rPr>
          <w:rFonts w:cs="Fira Sans"/>
          <w:szCs w:val="19"/>
        </w:rPr>
        <w:t>budownictwie</w:t>
      </w:r>
      <w:r w:rsidRPr="007D279E">
        <w:rPr>
          <w:rFonts w:cs="Fira Sans"/>
          <w:szCs w:val="19"/>
        </w:rPr>
        <w:t xml:space="preserve">, a najrzadziej w </w:t>
      </w:r>
      <w:r>
        <w:rPr>
          <w:rFonts w:cs="Fira Sans"/>
          <w:szCs w:val="19"/>
        </w:rPr>
        <w:t>przetwórstwie przemysłowym</w:t>
      </w:r>
      <w:r w:rsidRPr="007D279E">
        <w:rPr>
          <w:rFonts w:cs="Fira Sans"/>
          <w:szCs w:val="19"/>
        </w:rPr>
        <w:t>.</w:t>
      </w:r>
      <w:r w:rsidR="004852E5">
        <w:rPr>
          <w:rFonts w:cs="Fira Sans"/>
          <w:szCs w:val="19"/>
        </w:rPr>
        <w:t xml:space="preserve"> </w:t>
      </w:r>
    </w:p>
    <w:p w:rsidR="008701C3" w:rsidRDefault="008701C3" w:rsidP="008701C3">
      <w:pPr>
        <w:autoSpaceDE w:val="0"/>
        <w:autoSpaceDN w:val="0"/>
        <w:adjustRightInd w:val="0"/>
        <w:rPr>
          <w:rFonts w:cs="Fira Sans"/>
          <w:szCs w:val="19"/>
        </w:rPr>
      </w:pPr>
    </w:p>
    <w:p w:rsidR="00907513" w:rsidRPr="00827B46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Pr="00827B46">
        <w:rPr>
          <w:rFonts w:cs="FiraSans-Bold"/>
          <w:bCs/>
          <w:i/>
          <w:spacing w:val="-2"/>
          <w:szCs w:val="19"/>
        </w:rPr>
        <w:t xml:space="preserve">Czy Państwa firma oczekuje w bieżącym miesiącu pojawienia się zatorów płatniczych lub ich nasilenia? </w:t>
      </w:r>
    </w:p>
    <w:p w:rsidR="008701C3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827B46">
        <w:rPr>
          <w:rFonts w:cs="FiraSans-Bold"/>
          <w:bCs/>
          <w:i/>
          <w:spacing w:val="-2"/>
          <w:szCs w:val="19"/>
        </w:rPr>
        <w:t>Niezależnie od przyczyny zatorów i w porównaniu do sytuacji gdyby nie było pandemii:</w:t>
      </w: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4865F5" w:rsidRDefault="00F313B0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556515" cy="1865380"/>
            <wp:effectExtent l="0" t="0" r="6350" b="190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46" w:rsidRDefault="00FA2046" w:rsidP="00FA2046">
      <w:pPr>
        <w:autoSpaceDE w:val="0"/>
        <w:autoSpaceDN w:val="0"/>
        <w:adjustRightInd w:val="0"/>
        <w:rPr>
          <w:rFonts w:cs="Fira Sans"/>
          <w:szCs w:val="19"/>
        </w:rPr>
      </w:pPr>
    </w:p>
    <w:p w:rsidR="00900742" w:rsidRDefault="00900742">
      <w:pPr>
        <w:rPr>
          <w:bCs/>
        </w:rPr>
      </w:pPr>
      <w:r>
        <w:rPr>
          <w:bCs/>
        </w:rPr>
        <w:br w:type="page"/>
      </w:r>
    </w:p>
    <w:p w:rsidR="00FA2046" w:rsidRDefault="00907513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900742">
        <w:rPr>
          <w:bCs/>
        </w:rPr>
        <w:lastRenderedPageBreak/>
        <w:t xml:space="preserve">W większości badanych obszarów działalności managerowie przewidywali spadek poziomu zatrudnienia w </w:t>
      </w:r>
      <w:r>
        <w:rPr>
          <w:bCs/>
        </w:rPr>
        <w:t>grudniu</w:t>
      </w:r>
      <w:r w:rsidRPr="00900742">
        <w:rPr>
          <w:bCs/>
        </w:rPr>
        <w:t xml:space="preserve"> </w:t>
      </w:r>
      <w:r>
        <w:rPr>
          <w:bCs/>
        </w:rPr>
        <w:t>br.</w:t>
      </w:r>
      <w:r>
        <w:rPr>
          <w:bCs/>
        </w:rPr>
        <w:br/>
      </w:r>
      <w:r w:rsidRPr="00900742">
        <w:rPr>
          <w:bCs/>
        </w:rPr>
        <w:t xml:space="preserve">w stosunku do poprzedniego miesiąca. Jedynie w </w:t>
      </w:r>
      <w:r>
        <w:rPr>
          <w:bCs/>
        </w:rPr>
        <w:t>handlu hurtowym</w:t>
      </w:r>
      <w:r w:rsidRPr="00900742">
        <w:rPr>
          <w:bCs/>
        </w:rPr>
        <w:t xml:space="preserve"> spodziewano się, że zatrudnienie </w:t>
      </w:r>
      <w:r>
        <w:rPr>
          <w:bCs/>
        </w:rPr>
        <w:t>pozostanie na zbliżonym poziomie</w:t>
      </w:r>
      <w:r w:rsidRPr="00900742">
        <w:rPr>
          <w:bCs/>
        </w:rPr>
        <w:t>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bookmarkStart w:id="9" w:name="_GoBack"/>
      <w:bookmarkEnd w:id="9"/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FA2046" w:rsidRDefault="00F313B0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441104</wp:posOffset>
            </wp:positionH>
            <wp:positionV relativeFrom="page">
              <wp:posOffset>1431207</wp:posOffset>
            </wp:positionV>
            <wp:extent cx="5547360" cy="1779905"/>
            <wp:effectExtent l="0" t="0" r="0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7"/>
          <w:footerReference w:type="default" r:id="rId38"/>
          <w:head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F27E91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2B321B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2B321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4A6600" w:rsidTr="002B321B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1541,1</w:t>
            </w:r>
          </w:p>
        </w:tc>
      </w:tr>
      <w:tr w:rsidR="004A6600" w:rsidTr="002B321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1513,6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1499,3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1510,1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1519,7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1528,9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1533,3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1537,7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87773B" w:rsidRDefault="004A6600" w:rsidP="004A6600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100,3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87773B" w:rsidRDefault="004A6600" w:rsidP="004A6600">
            <w:pPr>
              <w:pStyle w:val="wartocibezgwiazdek"/>
              <w:suppressAutoHyphens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87773B" w:rsidRDefault="004A6600" w:rsidP="004A6600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102,3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87773B" w:rsidRDefault="004A6600" w:rsidP="004A6600">
            <w:pPr>
              <w:pStyle w:val="wartocibezgwiazdek"/>
              <w:suppressAutoHyphens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Default="004A6600" w:rsidP="004A6600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123,2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Default="004A6600" w:rsidP="004A66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F84BDE" w:rsidRDefault="004A6600" w:rsidP="004A6600">
            <w:pPr>
              <w:pStyle w:val="wartocibezgwiazdek"/>
              <w:suppressAutoHyphens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Pr="00784AAE" w:rsidRDefault="004A6600" w:rsidP="004A660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87773B" w:rsidRDefault="004A6600" w:rsidP="004A6600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4,4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Pr="00784AAE" w:rsidRDefault="004A6600" w:rsidP="004A66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87773B" w:rsidRDefault="004A6600" w:rsidP="004A6600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CF5092" w:rsidRDefault="004A6600" w:rsidP="004A6600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CF5092" w:rsidRDefault="004A6600" w:rsidP="004A6600">
            <w:pPr>
              <w:pStyle w:val="wartocibezgwiazdek"/>
              <w:suppressAutoHyphens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Pr="00784AAE" w:rsidRDefault="004A6600" w:rsidP="004A660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10281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Pr="00784AAE" w:rsidRDefault="004A6600" w:rsidP="004A66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Pr="00784AAE" w:rsidRDefault="004A6600" w:rsidP="004A660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27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Pr="00784AAE" w:rsidRDefault="004A6600" w:rsidP="004A66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Pr="00784AAE" w:rsidRDefault="004A6600" w:rsidP="004A6600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6402,10</w:t>
            </w:r>
          </w:p>
        </w:tc>
      </w:tr>
      <w:tr w:rsidR="004A6600" w:rsidRPr="00B84C9F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Default="004A6600" w:rsidP="004A6600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Default="004A6600" w:rsidP="004A6600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Default="004A6600" w:rsidP="004A6600">
            <w:pPr>
              <w:pStyle w:val="wartocibezgwiazdek"/>
              <w:suppressAutoHyphens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  <w:r>
              <w:t>105,0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6348A8" w:rsidRDefault="004A6600" w:rsidP="004A6600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6348A8" w:rsidRDefault="004A6600" w:rsidP="004A6600">
            <w:pPr>
              <w:pStyle w:val="wartocibezgwiazdek"/>
              <w:suppressAutoHyphens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912E02" w:rsidRDefault="004A6600" w:rsidP="004A6600">
            <w:pPr>
              <w:pStyle w:val="wartocibezgwiazdek"/>
              <w:suppressAutoHyphens/>
            </w:pPr>
          </w:p>
        </w:tc>
      </w:tr>
      <w:tr w:rsidR="004A6600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2259F7" w:rsidRDefault="004A6600" w:rsidP="004A6600">
            <w:pPr>
              <w:pStyle w:val="wartocibezgwiazdek"/>
              <w:suppressAutoHyphens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B0887" w:rsidRDefault="004A6600" w:rsidP="004A6600">
            <w:pPr>
              <w:pStyle w:val="wartocibezgwiazdek"/>
              <w:suppressAutoHyphens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3131D" w:rsidRDefault="004A6600" w:rsidP="004A6600">
            <w:pPr>
              <w:pStyle w:val="wartocibezgwiazdek"/>
              <w:suppressAutoHyphens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B0887" w:rsidRDefault="004A6600" w:rsidP="004A6600">
            <w:pPr>
              <w:pStyle w:val="wartocibezgwiazdek"/>
              <w:suppressAutoHyphens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276350" w:rsidRDefault="004A6600" w:rsidP="004A6600">
            <w:pPr>
              <w:pStyle w:val="wartocibezgwiazdek"/>
              <w:suppressAutoHyphens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037221" w:rsidRDefault="004A6600" w:rsidP="004A6600">
            <w:pPr>
              <w:pStyle w:val="wartocibezgwiazdek"/>
              <w:suppressAutoHyphens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B4547F" w:rsidRDefault="004A6600" w:rsidP="004A6600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3C32AF" w:rsidRDefault="004A6600" w:rsidP="004A6600">
            <w:pPr>
              <w:pStyle w:val="wartocibezgwiazdek"/>
              <w:suppressAutoHyphens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6E748C" w:rsidRDefault="004A6600" w:rsidP="004A6600">
            <w:pPr>
              <w:pStyle w:val="wartocibezgwiazdek"/>
              <w:suppressAutoHyphens/>
            </w:pPr>
            <w:r>
              <w:t>105,2</w:t>
            </w:r>
          </w:p>
        </w:tc>
      </w:tr>
      <w:tr w:rsidR="004A6600" w:rsidTr="002B321B">
        <w:tc>
          <w:tcPr>
            <w:tcW w:w="4220" w:type="dxa"/>
            <w:vMerge/>
            <w:shd w:val="clear" w:color="auto" w:fill="auto"/>
            <w:vAlign w:val="center"/>
          </w:tcPr>
          <w:p w:rsidR="004A6600" w:rsidRDefault="004A6600" w:rsidP="004A6600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6600" w:rsidRDefault="004A6600" w:rsidP="004A66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F3134" w:rsidRDefault="004A6600" w:rsidP="004A6600">
            <w:pPr>
              <w:pStyle w:val="wartocibezgwiazdek"/>
              <w:suppressAutoHyphens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2259F7" w:rsidRDefault="004A6600" w:rsidP="004A6600">
            <w:pPr>
              <w:pStyle w:val="wartocibezgwiazdek"/>
              <w:suppressAutoHyphens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B0887" w:rsidRDefault="004A6600" w:rsidP="004A6600">
            <w:pPr>
              <w:pStyle w:val="wartocibezgwiazdek"/>
              <w:suppressAutoHyphens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3131D" w:rsidRDefault="004A6600" w:rsidP="004A6600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5B0887" w:rsidRDefault="004A6600" w:rsidP="004A6600">
            <w:pPr>
              <w:pStyle w:val="wartocibezgwiazdek"/>
              <w:suppressAutoHyphens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276350" w:rsidRDefault="004A6600" w:rsidP="004A6600">
            <w:pPr>
              <w:pStyle w:val="wartocibezgwiazdek"/>
              <w:suppressAutoHyphens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037221" w:rsidRDefault="004A6600" w:rsidP="004A6600">
            <w:pPr>
              <w:pStyle w:val="wartocibezgwiazdek"/>
              <w:suppressAutoHyphens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6600" w:rsidRPr="00B4547F" w:rsidRDefault="004A6600" w:rsidP="004A6600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6600" w:rsidRPr="003C32AF" w:rsidRDefault="004A6600" w:rsidP="004A6600">
            <w:pPr>
              <w:pStyle w:val="wartocibezgwiazdek"/>
              <w:suppressAutoHyphens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6600" w:rsidRPr="006E748C" w:rsidRDefault="004A6600" w:rsidP="004A6600">
            <w:pPr>
              <w:pStyle w:val="wartocibezgwiazdek"/>
              <w:suppressAutoHyphens/>
            </w:pPr>
          </w:p>
        </w:tc>
      </w:tr>
      <w:tr w:rsidR="00945531" w:rsidTr="002B321B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945531" w:rsidTr="002B321B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C1054D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335F19" w:rsidP="00F66288">
            <w:pPr>
              <w:pStyle w:val="wartocibezgwiazdek"/>
            </w:pPr>
            <w:r w:rsidRPr="00E76527">
              <w:t>102,7</w:t>
            </w:r>
          </w:p>
        </w:tc>
      </w:tr>
      <w:tr w:rsidR="006A260A" w:rsidTr="002B321B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823CBC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335F19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3513A8" w:rsidP="00F6628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8B2456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3513A8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F66288" w:rsidP="00F6628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4761D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2704A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4B728B" w:rsidP="00F66288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0A8B" w:rsidP="00F66288">
            <w:pPr>
              <w:pStyle w:val="wartocibezgwiazdek"/>
              <w:rPr>
                <w:b/>
              </w:rPr>
            </w:pPr>
            <w:r w:rsidRPr="006A0A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29234B" w:rsidRDefault="0029234B" w:rsidP="00F66288">
            <w:pPr>
              <w:pStyle w:val="wartocibezgwiazdek"/>
              <w:rPr>
                <w:b/>
              </w:rPr>
            </w:pPr>
            <w:r w:rsidRPr="0029234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F27E91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2B321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2B321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2B321B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2B321B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E41FE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 w:rsidRPr="00E76527"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101,5</w:t>
            </w:r>
          </w:p>
        </w:tc>
      </w:tr>
      <w:tr w:rsidR="00E41FEB" w:rsidTr="002B321B">
        <w:tc>
          <w:tcPr>
            <w:tcW w:w="4220" w:type="dxa"/>
            <w:vMerge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</w:p>
        </w:tc>
      </w:tr>
      <w:tr w:rsidR="00E41FE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 w:rsidRPr="00E76527">
              <w:t>81,6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85,5</w:t>
            </w:r>
          </w:p>
        </w:tc>
      </w:tr>
      <w:tr w:rsidR="00E41FEB" w:rsidTr="002B321B">
        <w:tc>
          <w:tcPr>
            <w:tcW w:w="4220" w:type="dxa"/>
            <w:vMerge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2B321B">
        <w:tc>
          <w:tcPr>
            <w:tcW w:w="4220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</w:tr>
      <w:tr w:rsidR="00E41FE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 w:rsidRPr="00E76527">
              <w:t>98,2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102,8</w:t>
            </w:r>
          </w:p>
        </w:tc>
      </w:tr>
      <w:tr w:rsidR="00E41FEB" w:rsidTr="002B321B">
        <w:tc>
          <w:tcPr>
            <w:tcW w:w="4220" w:type="dxa"/>
            <w:vMerge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</w:tr>
      <w:tr w:rsidR="00E41FE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 w:rsidRPr="00E76527">
              <w:t>100,8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108,5</w:t>
            </w:r>
          </w:p>
        </w:tc>
      </w:tr>
      <w:tr w:rsidR="00E41FEB" w:rsidTr="002B321B">
        <w:tc>
          <w:tcPr>
            <w:tcW w:w="4220" w:type="dxa"/>
            <w:vMerge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</w:p>
        </w:tc>
      </w:tr>
      <w:tr w:rsidR="00241586" w:rsidTr="002B321B">
        <w:tc>
          <w:tcPr>
            <w:tcW w:w="4220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1586" w:rsidRDefault="00241586" w:rsidP="00241586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1586" w:rsidRPr="00E76527" w:rsidRDefault="00241586" w:rsidP="00241586">
            <w:pPr>
              <w:pStyle w:val="wartocibezgwiazdek"/>
              <w:suppressAutoHyphens/>
              <w:rPr>
                <w:b/>
              </w:rPr>
            </w:pPr>
          </w:p>
        </w:tc>
      </w:tr>
      <w:tr w:rsidR="00E41FE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 w:rsidRPr="00E76527"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107,2</w:t>
            </w:r>
          </w:p>
        </w:tc>
      </w:tr>
      <w:tr w:rsidR="00E41FEB" w:rsidTr="002B321B">
        <w:tc>
          <w:tcPr>
            <w:tcW w:w="4220" w:type="dxa"/>
            <w:vMerge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</w:p>
        </w:tc>
      </w:tr>
      <w:tr w:rsidR="00E41FE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 w:rsidRPr="00E76527">
              <w:t>135,2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147,6</w:t>
            </w:r>
          </w:p>
        </w:tc>
      </w:tr>
      <w:tr w:rsidR="00E41FEB" w:rsidTr="002B321B">
        <w:tc>
          <w:tcPr>
            <w:tcW w:w="4220" w:type="dxa"/>
            <w:vMerge/>
            <w:shd w:val="clear" w:color="auto" w:fill="auto"/>
            <w:vAlign w:val="center"/>
          </w:tcPr>
          <w:p w:rsidR="00E41FEB" w:rsidRDefault="00E41FEB" w:rsidP="00E41FEB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</w:p>
        </w:tc>
      </w:tr>
      <w:tr w:rsidR="00E41FE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E41FEB" w:rsidRDefault="00E41FEB" w:rsidP="00E41FEB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 w:rsidRPr="00E76527">
              <w:t>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9,7</w:t>
            </w:r>
          </w:p>
        </w:tc>
      </w:tr>
      <w:tr w:rsidR="00E41FEB" w:rsidTr="002B321B">
        <w:tc>
          <w:tcPr>
            <w:tcW w:w="4220" w:type="dxa"/>
            <w:vMerge/>
            <w:shd w:val="clear" w:color="auto" w:fill="auto"/>
            <w:vAlign w:val="center"/>
          </w:tcPr>
          <w:p w:rsidR="00E41FEB" w:rsidRDefault="00E41FEB" w:rsidP="00E41FEB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1FEB" w:rsidRDefault="00E41FEB" w:rsidP="00E41FEB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1FEB" w:rsidRPr="00E76527" w:rsidRDefault="00E41FEB" w:rsidP="00E41FEB">
            <w:pPr>
              <w:pStyle w:val="wartocibezgwiazdek"/>
              <w:suppressAutoHyphens/>
              <w:rPr>
                <w:b/>
              </w:rPr>
            </w:pPr>
          </w:p>
        </w:tc>
      </w:tr>
      <w:tr w:rsidR="00154D6E" w:rsidTr="002B321B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</w:tr>
      <w:tr w:rsidR="00303506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gwiazdka"/>
              <w:suppressAutoHyphens/>
            </w:pPr>
            <w:r w:rsidRPr="003B7D2F">
              <w:t>92,8</w:t>
            </w:r>
          </w:p>
        </w:tc>
      </w:tr>
      <w:tr w:rsidR="00303506" w:rsidTr="002B321B">
        <w:tc>
          <w:tcPr>
            <w:tcW w:w="4220" w:type="dxa"/>
            <w:vMerge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865F5E" w:rsidRDefault="00303506" w:rsidP="00303506">
            <w:pPr>
              <w:pStyle w:val="wartocibezgwiazdek"/>
              <w:suppressAutoHyphens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gwiazdka"/>
              <w:suppressAutoHyphens/>
            </w:pPr>
            <w:r>
              <w:t>106,0*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</w:p>
        </w:tc>
      </w:tr>
      <w:tr w:rsidR="00303506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gwiazdka"/>
              <w:suppressAutoHyphens/>
            </w:pPr>
            <w:r w:rsidRPr="003B7D2F">
              <w:t>106,7</w:t>
            </w:r>
          </w:p>
        </w:tc>
      </w:tr>
      <w:tr w:rsidR="00303506" w:rsidTr="002B321B">
        <w:tc>
          <w:tcPr>
            <w:tcW w:w="4220" w:type="dxa"/>
            <w:vMerge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gwiazdka"/>
              <w:suppressAutoHyphens/>
            </w:pPr>
            <w:r>
              <w:t>103,8*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</w:p>
        </w:tc>
      </w:tr>
      <w:tr w:rsidR="007330E0" w:rsidTr="002B321B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</w:tr>
      <w:tr w:rsidR="00303506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83,2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127,3</w:t>
            </w:r>
          </w:p>
        </w:tc>
      </w:tr>
      <w:tr w:rsidR="00303506" w:rsidTr="002B321B">
        <w:tc>
          <w:tcPr>
            <w:tcW w:w="4220" w:type="dxa"/>
            <w:vMerge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104,7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3506" w:rsidRPr="003B7D2F" w:rsidRDefault="00303506" w:rsidP="00303506">
            <w:pPr>
              <w:pStyle w:val="wartocibezgwiazdek"/>
              <w:suppressAutoHyphens/>
            </w:pPr>
          </w:p>
        </w:tc>
      </w:tr>
      <w:tr w:rsidR="00303506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90,1</w:t>
            </w:r>
          </w:p>
        </w:tc>
        <w:tc>
          <w:tcPr>
            <w:tcW w:w="904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154,2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114,3</w:t>
            </w:r>
          </w:p>
        </w:tc>
        <w:tc>
          <w:tcPr>
            <w:tcW w:w="906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124,5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107,2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106,8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108,1</w:t>
            </w:r>
          </w:p>
        </w:tc>
        <w:tc>
          <w:tcPr>
            <w:tcW w:w="906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124,4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130,9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88,2</w:t>
            </w:r>
          </w:p>
        </w:tc>
        <w:tc>
          <w:tcPr>
            <w:tcW w:w="905" w:type="dxa"/>
            <w:shd w:val="clear" w:color="auto" w:fill="DCD3E6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87,9</w:t>
            </w:r>
          </w:p>
        </w:tc>
        <w:tc>
          <w:tcPr>
            <w:tcW w:w="906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100,8</w:t>
            </w:r>
          </w:p>
        </w:tc>
      </w:tr>
      <w:tr w:rsidR="00303506" w:rsidTr="002B321B">
        <w:tc>
          <w:tcPr>
            <w:tcW w:w="4220" w:type="dxa"/>
            <w:vMerge/>
            <w:shd w:val="clear" w:color="auto" w:fill="auto"/>
            <w:vAlign w:val="center"/>
          </w:tcPr>
          <w:p w:rsidR="00303506" w:rsidRDefault="00303506" w:rsidP="0030350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3506" w:rsidRDefault="00303506" w:rsidP="003035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90,3</w:t>
            </w:r>
          </w:p>
        </w:tc>
        <w:tc>
          <w:tcPr>
            <w:tcW w:w="905" w:type="dxa"/>
            <w:shd w:val="clear" w:color="auto" w:fill="DCD3E6"/>
          </w:tcPr>
          <w:p w:rsidR="00303506" w:rsidRPr="003B7D2F" w:rsidRDefault="00303506" w:rsidP="00303506">
            <w:pPr>
              <w:pStyle w:val="wartocibezgwiazdek"/>
              <w:suppressAutoHyphens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303506" w:rsidRPr="003B7D2F" w:rsidRDefault="00303506" w:rsidP="00303506">
            <w:pPr>
              <w:pStyle w:val="wartocibezgwiazdek"/>
              <w:suppressAutoHyphens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F27E91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2B321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2B321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E1438D" w:rsidTr="002B321B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3417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6721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9618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16758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19476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22704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26794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30151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Pr="00E1438D" w:rsidRDefault="00E1438D" w:rsidP="00E1438D">
            <w:pPr>
              <w:pStyle w:val="wartocibezgwiazdek"/>
            </w:pPr>
            <w:r w:rsidRPr="00E1438D">
              <w:t>34604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E1438D" w:rsidRDefault="00E1438D" w:rsidP="00E1438D">
            <w:pPr>
              <w:pStyle w:val="wartocibezgwiazdek"/>
            </w:pPr>
            <w:r>
              <w:t>39214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43159</w:t>
            </w:r>
          </w:p>
        </w:tc>
      </w:tr>
      <w:tr w:rsidR="005E64CB" w:rsidTr="002B321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E64CB" w:rsidRPr="005604EE" w:rsidRDefault="005E64CB" w:rsidP="005E64CB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E64CB" w:rsidRPr="005604EE" w:rsidRDefault="005E64CB" w:rsidP="005E64C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2675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6227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9151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11749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14848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18367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gwiazdka"/>
            </w:pPr>
            <w:r>
              <w:t>24461*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gwiazdka"/>
            </w:pPr>
            <w:r>
              <w:t>27795*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gwiazdka"/>
            </w:pPr>
            <w:r>
              <w:t>33150*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gwiazdka"/>
            </w:pPr>
            <w:r>
              <w:t>37453*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5E64CB" w:rsidRDefault="005E64CB" w:rsidP="005E64CB">
            <w:pPr>
              <w:pStyle w:val="wartocibezgwiazdek"/>
            </w:pPr>
            <w:r>
              <w:t>42026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AE369F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83,0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AE369F" w:rsidRDefault="00AE369F" w:rsidP="00AE369F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105,1</w:t>
            </w:r>
          </w:p>
        </w:tc>
      </w:tr>
      <w:tr w:rsidR="005E64CB" w:rsidTr="002B321B">
        <w:tc>
          <w:tcPr>
            <w:tcW w:w="4220" w:type="dxa"/>
            <w:vMerge/>
            <w:shd w:val="clear" w:color="auto" w:fill="auto"/>
            <w:vAlign w:val="center"/>
          </w:tcPr>
          <w:p w:rsidR="005E64CB" w:rsidRPr="005604EE" w:rsidRDefault="005E64CB" w:rsidP="005E64C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E64CB" w:rsidRPr="005604EE" w:rsidRDefault="005E64CB" w:rsidP="005E64C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78,3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89,7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E64CB" w:rsidRDefault="005E64CB" w:rsidP="005E64CB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E64CB" w:rsidRPr="005E64CB" w:rsidRDefault="005E64CB" w:rsidP="005E64CB">
            <w:pPr>
              <w:pStyle w:val="Wartocigwiazdka"/>
            </w:pPr>
            <w:r w:rsidRPr="005E64CB">
              <w:t>107,7</w:t>
            </w:r>
            <w:r>
              <w:t>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E64CB" w:rsidRPr="005E64CB" w:rsidRDefault="005E64CB" w:rsidP="005E64CB">
            <w:pPr>
              <w:pStyle w:val="Wartocigwiazdka"/>
            </w:pPr>
            <w:r w:rsidRPr="005E64CB">
              <w:t>103,7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E64CB" w:rsidRPr="005E64CB" w:rsidRDefault="005E64CB" w:rsidP="005E64CB">
            <w:pPr>
              <w:pStyle w:val="Wartocigwiazdka"/>
            </w:pPr>
            <w:r w:rsidRPr="005E64CB">
              <w:t>109,9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E64CB" w:rsidRPr="005E64CB" w:rsidRDefault="005E64CB" w:rsidP="005E64CB">
            <w:pPr>
              <w:pStyle w:val="Wartocigwiazdka"/>
            </w:pPr>
            <w:r w:rsidRPr="005E64CB">
              <w:t>108,2</w:t>
            </w:r>
            <w:r>
              <w:t>*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5E64CB" w:rsidRPr="005E64CB" w:rsidRDefault="005E64CB" w:rsidP="005E64CB">
            <w:pPr>
              <w:pStyle w:val="wartocibezgwiazdek"/>
            </w:pPr>
            <w:r w:rsidRPr="005E64CB"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E64CB" w:rsidRPr="005E64CB" w:rsidRDefault="005E64CB" w:rsidP="005E64CB">
            <w:pPr>
              <w:pStyle w:val="wartocibezgwiazdek"/>
            </w:pPr>
          </w:p>
        </w:tc>
      </w:tr>
      <w:tr w:rsidR="00945531" w:rsidTr="002B321B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6A0A8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116,8</w:t>
            </w:r>
          </w:p>
        </w:tc>
      </w:tr>
      <w:tr w:rsidR="006A0A8B" w:rsidTr="002B321B">
        <w:tc>
          <w:tcPr>
            <w:tcW w:w="4220" w:type="dxa"/>
            <w:vMerge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Pr="003A6DA9" w:rsidRDefault="00217749" w:rsidP="006A0A8B">
            <w:pPr>
              <w:pStyle w:val="wartocibezgwiazdek"/>
            </w:pPr>
            <w:r w:rsidRPr="00217749"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</w:p>
        </w:tc>
      </w:tr>
      <w:tr w:rsidR="006A0A8B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111,2</w:t>
            </w:r>
          </w:p>
        </w:tc>
      </w:tr>
      <w:tr w:rsidR="006A0A8B" w:rsidTr="002B321B">
        <w:tc>
          <w:tcPr>
            <w:tcW w:w="4220" w:type="dxa"/>
            <w:vMerge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Default="006A0A8B" w:rsidP="006A0A8B">
            <w:pPr>
              <w:pStyle w:val="wartocibezgwiazdek"/>
            </w:pPr>
            <w:r w:rsidRPr="00E52011">
              <w:t>93,7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0A8B" w:rsidRPr="003A6DA9" w:rsidRDefault="00217749" w:rsidP="006A0A8B">
            <w:pPr>
              <w:pStyle w:val="wartocibezgwiazdek"/>
            </w:pPr>
            <w:r w:rsidRPr="00217749"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</w:p>
        </w:tc>
      </w:tr>
      <w:tr w:rsidR="00945531" w:rsidTr="002B321B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017F47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4,6</w:t>
            </w:r>
          </w:p>
        </w:tc>
      </w:tr>
      <w:tr w:rsidR="00017F47" w:rsidTr="002B321B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</w:p>
        </w:tc>
      </w:tr>
      <w:tr w:rsidR="00017F47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3,7</w:t>
            </w:r>
          </w:p>
        </w:tc>
      </w:tr>
      <w:tr w:rsidR="00017F47" w:rsidRPr="008049C1" w:rsidTr="002B321B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</w:p>
        </w:tc>
      </w:tr>
      <w:tr w:rsidR="00017F47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50991,5</w:t>
            </w:r>
          </w:p>
        </w:tc>
      </w:tr>
      <w:tr w:rsidR="00017F47" w:rsidTr="002B321B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</w:p>
        </w:tc>
      </w:tr>
      <w:tr w:rsidR="00017F47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108,7</w:t>
            </w:r>
          </w:p>
        </w:tc>
      </w:tr>
      <w:tr w:rsidR="00017F47" w:rsidTr="002B321B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</w:p>
        </w:tc>
      </w:tr>
      <w:tr w:rsidR="009F4E07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850340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854457</w:t>
            </w:r>
          </w:p>
        </w:tc>
      </w:tr>
      <w:tr w:rsidR="009F4E07" w:rsidTr="002B321B">
        <w:tc>
          <w:tcPr>
            <w:tcW w:w="4220" w:type="dxa"/>
            <w:vMerge/>
            <w:shd w:val="clear" w:color="auto" w:fill="auto"/>
            <w:vAlign w:val="center"/>
          </w:tcPr>
          <w:p w:rsidR="009F4E07" w:rsidRPr="005604EE" w:rsidRDefault="009F4E07" w:rsidP="009F4E07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423AE0" w:rsidP="00F66288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168588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170518</w:t>
            </w:r>
          </w:p>
        </w:tc>
      </w:tr>
      <w:tr w:rsidR="009F4E07" w:rsidTr="002B321B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423AE0" w:rsidP="00F66288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2B321B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32966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33215</w:t>
            </w:r>
          </w:p>
        </w:tc>
      </w:tr>
      <w:tr w:rsidR="009F4E07" w:rsidTr="002B321B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423AE0" w:rsidP="00F66288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8951E8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2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DC9" w:rsidRDefault="00AD6DC9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AD6DC9" w:rsidRPr="005501AC" w:rsidRDefault="00AD6DC9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D6DC9" w:rsidRPr="009B1DA0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AD6DC9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AD6DC9" w:rsidRPr="009B1DA0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AD6DC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AD6DC9" w:rsidRPr="005501AC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AD6DC9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2/2020</w:t>
                              </w:r>
                            </w:hyperlink>
                            <w:r w:rsidR="00AD6DC9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D6DC9" w:rsidRPr="005501AC" w:rsidRDefault="00AD6DC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D6DC9" w:rsidRPr="005501AC" w:rsidRDefault="00AD6DC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D6DC9" w:rsidRPr="004B4794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AD6DC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D6DC9" w:rsidRPr="008F30FF" w:rsidRDefault="00AD6DC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AD6DC9" w:rsidRPr="005501AC" w:rsidRDefault="00AD6DC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D6DC9" w:rsidRDefault="00AD6DC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D6DC9" w:rsidRPr="005D4C96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AD6DC9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AD6DC9" w:rsidRPr="00673C26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AD6DC9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AD6DC9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AD6DC9" w:rsidRPr="004B4794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AD6DC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AD6DC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AD6DC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AD6DC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AD6DC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AD6DC9" w:rsidRPr="004B4794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AD6DC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D6DC9" w:rsidRPr="004B4794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AD6DC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D6DC9" w:rsidRDefault="00F313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AD6DC9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AD6DC9" w:rsidRPr="008C071C" w:rsidRDefault="00F313B0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3" w:history="1">
                              <w:r w:rsidR="00AD6DC9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AD6DC9" w:rsidRPr="001A420E" w:rsidRDefault="00F313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AD6DC9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AD6DC9" w:rsidRPr="001A420E" w:rsidRDefault="00F313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AD6DC9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AD6DC9" w:rsidRPr="001A420E" w:rsidRDefault="00F313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AD6DC9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AD6DC9" w:rsidRPr="001A420E" w:rsidRDefault="00F313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AD6DC9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AD6DC9" w:rsidRPr="001A420E" w:rsidRDefault="00F313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AD6DC9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AD6DC9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D6DC9" w:rsidRPr="004B4794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AD6DC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AD6DC9" w:rsidRPr="004B4794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AD6DC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AD6DC9" w:rsidRPr="005D4C96" w:rsidRDefault="00F313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AD6DC9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AD6DC9" w:rsidRPr="005D4C96" w:rsidRDefault="00F313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="00AD6DC9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AD6DC9" w:rsidRPr="005D4C96" w:rsidRDefault="00F313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3" w:history="1">
                              <w:r w:rsidR="00AD6DC9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AD6DC9" w:rsidRPr="005D4C96" w:rsidRDefault="00F313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="00AD6DC9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AD6DC9" w:rsidRDefault="00F313B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5" w:history="1">
                              <w:r w:rsidR="00AD6DC9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AD6DC9" w:rsidRDefault="00F313B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6" w:history="1">
                              <w:r w:rsidR="00AD6DC9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AD6DC9" w:rsidRPr="005D4C96" w:rsidRDefault="00F313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7" w:history="1">
                              <w:r w:rsidR="00AD6DC9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AD6DC9" w:rsidRDefault="00AD6DC9" w:rsidP="00F548C1">
                      <w:pPr>
                        <w:rPr>
                          <w:b/>
                        </w:rPr>
                      </w:pPr>
                    </w:p>
                    <w:p w:rsidR="00AD6DC9" w:rsidRPr="005501AC" w:rsidRDefault="00AD6DC9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AD6DC9" w:rsidRPr="009B1DA0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AD6DC9" w:rsidRPr="009B1DA0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AD6DC9" w:rsidRPr="005501AC" w:rsidRDefault="00AD6DC9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2/2020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D6DC9" w:rsidRPr="005501AC" w:rsidRDefault="00AD6DC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D6DC9" w:rsidRPr="005501AC" w:rsidRDefault="00AD6DC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D6DC9" w:rsidRPr="004B4794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D6DC9" w:rsidRPr="008F30FF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AD6DC9" w:rsidRPr="005501AC" w:rsidRDefault="00AD6DC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AD6DC9" w:rsidRDefault="00AD6DC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D6DC9" w:rsidRPr="005D4C96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AD6DC9" w:rsidRPr="00673C26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AD6DC9" w:rsidRPr="004B4794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AD6DC9" w:rsidRPr="004B4794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D6DC9" w:rsidRPr="004B4794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AD6DC9" w:rsidRDefault="00AD6DC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AD6DC9" w:rsidRPr="008C071C" w:rsidRDefault="00AD6DC9" w:rsidP="009B1DA0">
                      <w:pPr>
                        <w:rPr>
                          <w:rStyle w:val="Hipercze"/>
                        </w:rPr>
                      </w:pPr>
                      <w:hyperlink r:id="rId78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AD6DC9" w:rsidRPr="001A420E" w:rsidRDefault="00AD6DC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AD6DC9" w:rsidRPr="001A420E" w:rsidRDefault="00AD6DC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AD6DC9" w:rsidRPr="001A420E" w:rsidRDefault="00AD6DC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1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AD6DC9" w:rsidRPr="001A420E" w:rsidRDefault="00AD6DC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2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AD6DC9" w:rsidRPr="001A420E" w:rsidRDefault="00AD6DC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3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AD6DC9" w:rsidRPr="004B4794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AD6DC9" w:rsidRPr="004B4794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AD6DC9" w:rsidRPr="005D4C96" w:rsidRDefault="00AD6DC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AD6DC9" w:rsidRPr="005D4C96" w:rsidRDefault="00AD6DC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AD6DC9" w:rsidRPr="005D4C96" w:rsidRDefault="00AD6DC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8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AD6DC9" w:rsidRPr="005D4C96" w:rsidRDefault="00AD6DC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9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AD6DC9" w:rsidRDefault="00AD6DC9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0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AD6DC9" w:rsidRDefault="00AD6DC9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1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AD6DC9" w:rsidRPr="005D4C96" w:rsidRDefault="00AD6DC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2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8951E8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8951E8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8951E8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FCA" w:rsidRDefault="00B42FCA">
      <w:r>
        <w:separator/>
      </w:r>
    </w:p>
  </w:endnote>
  <w:endnote w:type="continuationSeparator" w:id="0">
    <w:p w:rsidR="00B42FCA" w:rsidRDefault="00B4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DC9" w:rsidRDefault="00AD6DC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AD6DC9" w:rsidRDefault="00AD6DC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DC9" w:rsidRPr="008C15F1" w:rsidRDefault="00AD6DC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F313B0">
      <w:rPr>
        <w:rStyle w:val="Numerstrony"/>
        <w:noProof/>
      </w:rPr>
      <w:t>25</w:t>
    </w:r>
    <w:r w:rsidRPr="008C15F1">
      <w:rPr>
        <w:rStyle w:val="Numerstrony"/>
      </w:rPr>
      <w:fldChar w:fldCharType="end"/>
    </w:r>
  </w:p>
  <w:p w:rsidR="00AD6DC9" w:rsidRDefault="00AD6DC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FCA" w:rsidRDefault="00B42FCA">
      <w:r>
        <w:separator/>
      </w:r>
    </w:p>
  </w:footnote>
  <w:footnote w:type="continuationSeparator" w:id="0">
    <w:p w:rsidR="00B42FCA" w:rsidRDefault="00B42FCA">
      <w:r>
        <w:continuationSeparator/>
      </w:r>
    </w:p>
  </w:footnote>
  <w:footnote w:id="1">
    <w:p w:rsidR="00AD6DC9" w:rsidRPr="007B3BA9" w:rsidRDefault="00AD6DC9" w:rsidP="004A6600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AD6DC9" w:rsidRPr="0002187D" w:rsidRDefault="00AD6DC9" w:rsidP="004A6600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AD6DC9" w:rsidRPr="000F0B9F" w:rsidRDefault="00AD6DC9" w:rsidP="00E41FEB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AD6DC9" w:rsidRDefault="00AD6DC9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AD6DC9" w:rsidRDefault="00AD6DC9" w:rsidP="00D837D0">
      <w:pPr>
        <w:pStyle w:val="Tekstkomunikatprzypis"/>
      </w:pPr>
      <w:r>
        <w:rPr>
          <w:rStyle w:val="Odwoanieprzypisudolnego"/>
        </w:rPr>
        <w:footnoteRef/>
      </w:r>
      <w:r>
        <w:t xml:space="preserve"> </w:t>
      </w:r>
      <w:r w:rsidRPr="005345E0">
        <w:t>Objętych badaniem „Popyt na pracę”</w:t>
      </w:r>
      <w:r>
        <w:t>.</w:t>
      </w:r>
    </w:p>
  </w:footnote>
  <w:footnote w:id="6">
    <w:p w:rsidR="00AD6DC9" w:rsidRPr="00825760" w:rsidRDefault="00AD6DC9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AD6DC9" w:rsidRPr="00106935" w:rsidRDefault="00AD6DC9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="00907513" w:rsidRPr="00A75C81">
        <w:rPr>
          <w:sz w:val="15"/>
          <w:szCs w:val="15"/>
        </w:rPr>
        <w:t xml:space="preserve">Badanie zostało przeprowadzone w dniach od 1 do 10 grudnia 2020 r. na próbie jednostek przemysłowych, budowlanych, handlowych i usługowych. </w:t>
      </w:r>
      <w:r w:rsidR="00907513">
        <w:rPr>
          <w:sz w:val="15"/>
          <w:szCs w:val="15"/>
        </w:rPr>
        <w:br/>
      </w:r>
      <w:r w:rsidR="00907513" w:rsidRPr="00A75C81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DC9" w:rsidRPr="0089050E" w:rsidRDefault="00AD6DC9" w:rsidP="0034651C">
    <w:pPr>
      <w:pStyle w:val="Nagwek"/>
      <w:spacing w:before="120"/>
      <w:jc w:val="center"/>
      <w:rPr>
        <w:lang w:val="en-GB"/>
      </w:rPr>
    </w:pPr>
  </w:p>
  <w:p w:rsidR="00AD6DC9" w:rsidRDefault="00AD6DC9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D6DC9" w:rsidRPr="003C6C8D" w:rsidRDefault="00AD6DC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AD6DC9" w:rsidRPr="003C6C8D" w:rsidRDefault="00AD6DC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AD6DC9" w:rsidRDefault="00AD6DC9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AD6DC9" w:rsidRDefault="00AD6DC9" w:rsidP="0037412B">
    <w:pPr>
      <w:pStyle w:val="Nagwek"/>
      <w:spacing w:before="120"/>
      <w:rPr>
        <w:sz w:val="12"/>
        <w:szCs w:val="12"/>
      </w:rPr>
    </w:pPr>
  </w:p>
  <w:p w:rsidR="00AD6DC9" w:rsidRPr="0037412B" w:rsidRDefault="00AD6DC9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DC9" w:rsidRPr="00FE252C" w:rsidRDefault="00AD6DC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AD6DC9" w:rsidRPr="003439F1" w:rsidRDefault="00AD6DC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AD6DC9" w:rsidRPr="00FE252C" w:rsidRDefault="00AD6DC9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AD6DC9" w:rsidRPr="003439F1" w:rsidRDefault="00AD6DC9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19F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5F5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mailto:SekretariatUSWAW@stat.gov.pl" TargetMode="External"/><Relationship Id="rId47" Type="http://schemas.openxmlformats.org/officeDocument/2006/relationships/hyperlink" Target="https://stat.gov.pl/metainformacje/slownik-pojec/pojecia-stosowane-w-statystyce-publicznej/986,pojecie.html" TargetMode="External"/><Relationship Id="rId63" Type="http://schemas.openxmlformats.org/officeDocument/2006/relationships/hyperlink" Target="https://stat.gov.pl/metainformacje/slownik-pojec/pojecia-stosowane-w-statystyce-publicznej/886,pojecie.html" TargetMode="External"/><Relationship Id="rId68" Type="http://schemas.openxmlformats.org/officeDocument/2006/relationships/hyperlink" Target="https://warszawa.stat.gov.pl/opracowania-biezace/komunikaty-i-biuletyny/" TargetMode="External"/><Relationship Id="rId84" Type="http://schemas.openxmlformats.org/officeDocument/2006/relationships/hyperlink" Target="https://stat.gov.pl/metainformacje/slownik-pojec/pojecia-stosowane-w-statystyce-publicznej/362,pojecie.html" TargetMode="External"/><Relationship Id="rId89" Type="http://schemas.openxmlformats.org/officeDocument/2006/relationships/hyperlink" Target="https://stat.gov.pl/metainformacje/slownik-pojec/pojecia-stosowane-w-statystyce-publicznej/1_61,dziedzina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3" Type="http://schemas.openxmlformats.org/officeDocument/2006/relationships/hyperlink" Target="https://stat.gov.pl/metainformacje/slownik-pojec/pojecia-stosowane-w-statystyce-publicznej/711,pojecie.html" TargetMode="External"/><Relationship Id="rId58" Type="http://schemas.openxmlformats.org/officeDocument/2006/relationships/hyperlink" Target="https://stat.gov.pl/metainformacje/slownik-pojec/pojecia-stosowane-w-statystyce-publicznej/1094,pojecie.html" TargetMode="External"/><Relationship Id="rId74" Type="http://schemas.openxmlformats.org/officeDocument/2006/relationships/hyperlink" Target="https://stat.gov.pl/metainformacje/slownik-pojec/pojecia-stosowane-w-statystyce-publicznej/2958,pojecie.html" TargetMode="External"/><Relationship Id="rId79" Type="http://schemas.openxmlformats.org/officeDocument/2006/relationships/hyperlink" Target="https://stat.gov.pl/metainformacje/slownik-pojec/pojecia-stosowane-w-statystyce-publicznej/233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23,pojecie.html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376,pojecie.html" TargetMode="External"/><Relationship Id="rId64" Type="http://schemas.openxmlformats.org/officeDocument/2006/relationships/hyperlink" Target="https://stat.gov.pl/metainformacje/slownik-pojec/pojecia-stosowane-w-statystyce-publicznej/1_61,dziedzina.html" TargetMode="External"/><Relationship Id="rId69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9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701,pojecie.html" TargetMode="External"/><Relationship Id="rId93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hyperlink" Target="https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473,pojecie.html" TargetMode="External"/><Relationship Id="rId70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75" Type="http://schemas.openxmlformats.org/officeDocument/2006/relationships/hyperlink" Target="https://stat.gov.pl/metainformacje/slownik-pojec/pojecia-stosowane-w-statystyce-publicznej/2390,pojecie.html" TargetMode="External"/><Relationship Id="rId83" Type="http://schemas.openxmlformats.org/officeDocument/2006/relationships/hyperlink" Target="https://stat.gov.pl/metainformacje/slownik-pojec/pojecia-stosowane-w-statystyce-publicznej/1094,pojecie.html" TargetMode="External"/><Relationship Id="rId88" Type="http://schemas.openxmlformats.org/officeDocument/2006/relationships/hyperlink" Target="https://stat.gov.pl/metainformacje/slownik-pojec/pojecia-stosowane-w-statystyce-publicznej/886,pojecie.html" TargetMode="External"/><Relationship Id="rId91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1095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52" Type="http://schemas.openxmlformats.org/officeDocument/2006/relationships/hyperlink" Target="https://stat.gov.pl/metainformacje/slownik-pojec/pojecia-stosowane-w-statystyce-publicznej/32,pojecie.html" TargetMode="External"/><Relationship Id="rId60" Type="http://schemas.openxmlformats.org/officeDocument/2006/relationships/hyperlink" Target="https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s://stat.gov.pl/metainformacje/slownik-pojec/pojecia-stosowane-w-statystyce-publicznej/376,pojecie.html" TargetMode="External"/><Relationship Id="rId78" Type="http://schemas.openxmlformats.org/officeDocument/2006/relationships/hyperlink" Target="https://stat.gov.pl/metainformacje/slownik-pojec/pojecia-stosowane-w-statystyce-publicznej/711,pojecie.html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s://stat.gov.pl/metainformacje/slownik-pojec/pojecia-stosowane-w-statystyce-publicznej/201,pojecie.htm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eader" Target="header1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3234,pojecie.htm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dl.stat.gov.pl/BDL/dane/podgrup/temat" TargetMode="External"/><Relationship Id="rId92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87" Type="http://schemas.openxmlformats.org/officeDocument/2006/relationships/hyperlink" Target="https://stat.gov.pl/metainformacje/slownik-pojec/pojecia-stosowane-w-statystyce-publicznej/473,pojecie.html" TargetMode="External"/><Relationship Id="rId61" Type="http://schemas.openxmlformats.org/officeDocument/2006/relationships/hyperlink" Target="https://stat.gov.pl/metainformacje/slownik-pojec/pojecia-stosowane-w-statystyce-publicznej/201,pojecie.html" TargetMode="External"/><Relationship Id="rId82" Type="http://schemas.openxmlformats.org/officeDocument/2006/relationships/hyperlink" Target="https://stat.gov.pl/metainformacje/slownik-pojec/pojecia-stosowane-w-statystyce-publicznej/109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32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27067-01A9-4165-9F9D-36F25BC2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25991</TotalTime>
  <Pages>30</Pages>
  <Words>8276</Words>
  <Characters>49610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4773</cp:revision>
  <cp:lastPrinted>2020-11-27T11:09:00Z</cp:lastPrinted>
  <dcterms:created xsi:type="dcterms:W3CDTF">2015-01-22T08:03:00Z</dcterms:created>
  <dcterms:modified xsi:type="dcterms:W3CDTF">2020-12-28T11:58:00Z</dcterms:modified>
</cp:coreProperties>
</file>