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43" w:rsidRPr="00842143" w:rsidRDefault="006E4BD8" w:rsidP="00842143">
      <w:pPr>
        <w:pStyle w:val="Tekstpodstawowy"/>
        <w:spacing w:before="120"/>
        <w:jc w:val="left"/>
        <w:rPr>
          <w:rFonts w:ascii="Fira Sans Extra Condensed" w:hAnsi="Fira Sans Extra Condensed"/>
          <w:b/>
          <w:sz w:val="40"/>
          <w:szCs w:val="40"/>
        </w:rPr>
      </w:pPr>
      <w:r>
        <w:rPr>
          <w:rFonts w:ascii="Fira Sans Extra Condensed" w:hAnsi="Fira Sans Extra Condensed"/>
          <w:b/>
          <w:noProof/>
          <w:sz w:val="40"/>
          <w:szCs w:val="40"/>
        </w:rPr>
        <w:pict>
          <v:group id="_x0000_s1068" editas="canvas" style="position:absolute;margin-left:-36pt;margin-top:-79.35pt;width:27.15pt;height:27.15pt;z-index:251666432" coordsize="543,543">
            <o:lock v:ext="edit" aspectratio="t"/>
            <v:shape id="_x0000_s1067" type="#_x0000_t75" style="position:absolute;width:543;height:543" o:preferrelative="f">
              <v:fill o:detectmouseclick="t"/>
              <v:path o:extrusionok="t" o:connecttype="none"/>
              <o:lock v:ext="edit" text="t"/>
            </v:shape>
          </v:group>
        </w:pic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201</w:t>
      </w:r>
      <w:r w:rsidR="00C93CCE">
        <w:rPr>
          <w:rFonts w:ascii="Fira Sans Extra Condensed" w:hAnsi="Fira Sans Extra Condensed"/>
          <w:b/>
          <w:sz w:val="40"/>
          <w:szCs w:val="40"/>
        </w:rPr>
        <w:t>8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:rsidR="00003437" w:rsidRPr="00510369" w:rsidRDefault="006E4BD8" w:rsidP="00E24A43">
      <w:pPr>
        <w:pStyle w:val="LID"/>
        <w:jc w:val="both"/>
        <w:rPr>
          <w:rFonts w:asciiTheme="majorHAnsi" w:hAnsiTheme="majorHAnsi"/>
          <w:b w:val="0"/>
          <w:color w:val="212492"/>
          <w:spacing w:val="-2"/>
        </w:rPr>
      </w:pPr>
      <w:r>
        <w:rPr>
          <w:rFonts w:asciiTheme="majorHAnsi" w:hAnsiTheme="majorHAnsi"/>
          <w:b w:val="0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5.05pt;width:2in;height:72.15pt;z-index:-251657216;visibility:visible;mso-wrap-distance-top:3.6pt;mso-wrap-distance-bottom:3.6pt;mso-position-horizontal-relative:margin;mso-width-relative:margin;mso-height-relative:margin" fillcolor="#001d77" stroked="f">
            <v:textbox style="mso-next-textbox:#_x0000_s1027" inset="1.5mm,,1.5mm">
              <w:txbxContent>
                <w:p w:rsidR="000C3137" w:rsidRDefault="00510369" w:rsidP="0092749A">
                  <w:pPr>
                    <w:spacing w:before="0" w:after="0" w:line="240" w:lineRule="auto"/>
                    <w:rPr>
                      <w:lang w:val="en-US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    </w:t>
                  </w:r>
                  <w:r w:rsidR="00B8502A" w:rsidRPr="000C3137">
                    <w:rPr>
                      <w:rFonts w:ascii="Fira Sans SemiBold" w:hAnsi="Fira Sans SemiBold"/>
                      <w:color w:val="FFFFFF" w:themeColor="background1"/>
                      <w:sz w:val="60"/>
                      <w:szCs w:val="60"/>
                    </w:rPr>
                    <w:t>27</w:t>
                  </w:r>
                  <w:r w:rsidR="000C3137" w:rsidRPr="000C3137">
                    <w:rPr>
                      <w:rFonts w:ascii="Fira Sans SemiBold" w:hAnsi="Fira Sans SemiBold"/>
                      <w:color w:val="FFFFFF" w:themeColor="background1"/>
                      <w:sz w:val="60"/>
                      <w:szCs w:val="60"/>
                    </w:rPr>
                    <w:t>,0</w:t>
                  </w:r>
                  <w:r w:rsidRPr="000C3137">
                    <w:rPr>
                      <w:rFonts w:ascii="Fira Sans SemiBold" w:hAnsi="Fira Sans SemiBold"/>
                      <w:color w:val="FFFFFF" w:themeColor="background1"/>
                      <w:sz w:val="60"/>
                      <w:szCs w:val="60"/>
                    </w:rPr>
                    <w:t>%</w:t>
                  </w:r>
                </w:p>
                <w:p w:rsidR="00A27CD7" w:rsidRPr="002D3D3B" w:rsidRDefault="0030249F" w:rsidP="000C3137">
                  <w:pPr>
                    <w:pStyle w:val="tekstnaniebieskimtle"/>
                    <w:jc w:val="center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Zmniejszył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się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p</w:t>
                  </w:r>
                  <w:r w:rsidR="007959E9">
                    <w:rPr>
                      <w:lang w:val="en-US"/>
                    </w:rPr>
                    <w:t>rzyrost</w:t>
                  </w:r>
                  <w:proofErr w:type="spellEnd"/>
                  <w:r w:rsidR="007959E9">
                    <w:rPr>
                      <w:lang w:val="en-US"/>
                    </w:rPr>
                    <w:t xml:space="preserve"> </w:t>
                  </w:r>
                  <w:proofErr w:type="spellStart"/>
                  <w:r w:rsidR="007959E9">
                    <w:rPr>
                      <w:lang w:val="en-US"/>
                    </w:rPr>
                    <w:t>na</w:t>
                  </w:r>
                  <w:r>
                    <w:rPr>
                      <w:lang w:val="en-US"/>
                    </w:rPr>
                    <w:t>-</w:t>
                  </w:r>
                  <w:r w:rsidR="007959E9">
                    <w:rPr>
                      <w:lang w:val="en-US"/>
                    </w:rPr>
                    <w:t>turaln</w:t>
                  </w:r>
                  <w:r w:rsidR="000C3137">
                    <w:rPr>
                      <w:lang w:val="en-US"/>
                    </w:rPr>
                    <w:t>y</w:t>
                  </w:r>
                  <w:proofErr w:type="spellEnd"/>
                  <w:r w:rsidR="00665836">
                    <w:rPr>
                      <w:lang w:val="en-US"/>
                    </w:rPr>
                    <w:t xml:space="preserve"> w </w:t>
                  </w:r>
                  <w:proofErr w:type="spellStart"/>
                  <w:r w:rsidR="00665836">
                    <w:rPr>
                      <w:lang w:val="en-US"/>
                    </w:rPr>
                    <w:t>stosunku</w:t>
                  </w:r>
                  <w:proofErr w:type="spellEnd"/>
                  <w:r w:rsidR="00665836">
                    <w:rPr>
                      <w:lang w:val="en-US"/>
                    </w:rPr>
                    <w:t xml:space="preserve"> do 2017 r.</w:t>
                  </w:r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92749A" w:rsidRPr="009974A4">
        <w:rPr>
          <w:rFonts w:asciiTheme="minorHAnsi" w:hAnsiTheme="minorHAnsi"/>
          <w:b w:val="0"/>
          <w:color w:val="92D050"/>
          <w:sz w:val="22"/>
          <w:szCs w:val="22"/>
        </w:rPr>
        <w:drawing>
          <wp:anchor distT="0" distB="0" distL="114300" distR="114300" simplePos="0" relativeHeight="251650048" behindDoc="0" locked="0" layoutInCell="1" allowOverlap="1" wp14:anchorId="7532CFBE" wp14:editId="3958AEED">
            <wp:simplePos x="0" y="0"/>
            <wp:positionH relativeFrom="column">
              <wp:posOffset>-1743710</wp:posOffset>
            </wp:positionH>
            <wp:positionV relativeFrom="paragraph">
              <wp:posOffset>166741</wp:posOffset>
            </wp:positionV>
            <wp:extent cx="344805" cy="344805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48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0369" w:rsidRPr="00510369">
        <w:rPr>
          <w:rFonts w:asciiTheme="majorHAnsi" w:hAnsiTheme="majorHAnsi" w:cs="Myriad Pro"/>
          <w:b w:val="0"/>
          <w:color w:val="000000"/>
        </w:rPr>
        <w:t xml:space="preserve">W województwie podkarpackim w 2018 r. odnotowano </w:t>
      </w:r>
      <w:r w:rsidR="00EA02F6">
        <w:rPr>
          <w:rFonts w:asciiTheme="majorHAnsi" w:hAnsiTheme="majorHAnsi" w:cs="Myriad Pro"/>
          <w:b w:val="0"/>
          <w:color w:val="000000"/>
        </w:rPr>
        <w:t>zmniejszenie</w:t>
      </w:r>
      <w:r w:rsidR="00510369" w:rsidRPr="00510369">
        <w:rPr>
          <w:rFonts w:asciiTheme="majorHAnsi" w:hAnsiTheme="majorHAnsi" w:cs="Myriad Pro"/>
          <w:b w:val="0"/>
          <w:color w:val="000000"/>
        </w:rPr>
        <w:t xml:space="preserve"> liczby ludności. </w:t>
      </w:r>
      <w:r w:rsidR="008A5545">
        <w:rPr>
          <w:rFonts w:asciiTheme="majorHAnsi" w:hAnsiTheme="majorHAnsi" w:cs="Myriad Pro"/>
          <w:b w:val="0"/>
          <w:color w:val="000000"/>
        </w:rPr>
        <w:t>Pomimo spadku przyrostu naturalnego nadal jest on dodatni</w:t>
      </w:r>
      <w:r w:rsidR="00510369" w:rsidRPr="00510369">
        <w:rPr>
          <w:rFonts w:asciiTheme="majorHAnsi" w:hAnsiTheme="majorHAnsi" w:cs="Myriad Pro"/>
          <w:b w:val="0"/>
          <w:color w:val="000000"/>
        </w:rPr>
        <w:t xml:space="preserve">. W ciągu roku zmniejszył się współczynnik zawieranych na Podkarpaciu </w:t>
      </w:r>
      <w:r w:rsidR="00510369" w:rsidRPr="0092749A">
        <w:rPr>
          <w:rFonts w:asciiTheme="majorHAnsi" w:hAnsiTheme="majorHAnsi" w:cs="Myriad Pro"/>
          <w:b w:val="0"/>
          <w:color w:val="000000"/>
        </w:rPr>
        <w:t>małżeństw.</w:t>
      </w:r>
      <w:r w:rsidR="00A2382C" w:rsidRPr="0092749A">
        <w:rPr>
          <w:rFonts w:asciiTheme="majorHAnsi" w:hAnsiTheme="majorHAnsi"/>
          <w:b w:val="0"/>
        </w:rPr>
        <w:t xml:space="preserve"> Saldo</w:t>
      </w:r>
      <w:r w:rsidR="00A2382C" w:rsidRPr="00665836">
        <w:rPr>
          <w:rFonts w:asciiTheme="majorHAnsi" w:hAnsiTheme="majorHAnsi"/>
          <w:b w:val="0"/>
        </w:rPr>
        <w:t xml:space="preserve"> migracji </w:t>
      </w:r>
      <w:r w:rsidR="003076AB" w:rsidRPr="00665836">
        <w:rPr>
          <w:rFonts w:asciiTheme="majorHAnsi" w:hAnsiTheme="majorHAnsi"/>
          <w:b w:val="0"/>
        </w:rPr>
        <w:t>zagranicznych od 2016 r. przyjmuje wartości dodatnie</w:t>
      </w:r>
      <w:r w:rsidR="003076AB" w:rsidRPr="00665836">
        <w:rPr>
          <w:rFonts w:asciiTheme="majorHAnsi" w:hAnsiTheme="majorHAnsi"/>
        </w:rPr>
        <w:t>.</w:t>
      </w:r>
      <w:r w:rsidR="00A2382C" w:rsidRPr="00510369">
        <w:rPr>
          <w:rFonts w:asciiTheme="majorHAnsi" w:hAnsiTheme="majorHAnsi"/>
        </w:rPr>
        <w:t xml:space="preserve"> </w:t>
      </w:r>
    </w:p>
    <w:p w:rsidR="00C93CCE" w:rsidRDefault="00C93CCE" w:rsidP="00BD0CB1">
      <w:pPr>
        <w:pStyle w:val="Nagwek1"/>
        <w:spacing w:before="400" w:after="0"/>
      </w:pPr>
    </w:p>
    <w:p w:rsidR="00C22105" w:rsidRPr="00120EDE" w:rsidRDefault="00706EE6" w:rsidP="008033BB">
      <w:pPr>
        <w:pStyle w:val="Nagwek1"/>
        <w:spacing w:before="360"/>
      </w:pPr>
      <w:r w:rsidRPr="00120EDE">
        <w:t>Stan i struktura ludności</w:t>
      </w:r>
    </w:p>
    <w:p w:rsidR="00706EE6" w:rsidRPr="00706EE6" w:rsidRDefault="006E4BD8" w:rsidP="008033BB">
      <w:pPr>
        <w:spacing w:before="0" w:after="0" w:line="236" w:lineRule="exact"/>
        <w:jc w:val="both"/>
        <w:rPr>
          <w:szCs w:val="20"/>
        </w:rPr>
      </w:pPr>
      <w:r>
        <w:rPr>
          <w:b/>
          <w:noProof/>
          <w:color w:val="212492"/>
          <w:spacing w:val="-2"/>
          <w:szCs w:val="19"/>
          <w:lang w:eastAsia="pl-PL"/>
        </w:rPr>
        <w:pict>
          <v:shape id="Pole tekstowe 2" o:spid="_x0000_s1026" type="#_x0000_t202" style="position:absolute;left:0;text-align:left;margin-left:416.5pt;margin-top:4.75pt;width:135.85pt;height:71.45pt;z-index:-2516531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A27CD7" w:rsidRPr="00E2311D" w:rsidRDefault="001164C6" w:rsidP="00E2311D">
                  <w:pPr>
                    <w:pStyle w:val="tekstzboku"/>
                  </w:pPr>
                  <w:r>
                    <w:t>W</w:t>
                  </w:r>
                  <w:r w:rsidR="00E2311D" w:rsidRPr="00E2311D">
                    <w:t xml:space="preserve">ojewództwo podkarpackie </w:t>
                  </w:r>
                  <w:r w:rsidR="00F04D79">
                    <w:t>charakteryzowało się</w:t>
                  </w:r>
                  <w:r w:rsidR="00E2311D" w:rsidRPr="00E2311D">
                    <w:t xml:space="preserve"> najniższy</w:t>
                  </w:r>
                  <w:r w:rsidR="00F04D79">
                    <w:t>m</w:t>
                  </w:r>
                  <w:r w:rsidR="00E2311D" w:rsidRPr="00E2311D">
                    <w:t xml:space="preserve"> wskaźnik</w:t>
                  </w:r>
                  <w:r w:rsidR="00F04D79">
                    <w:t>iem</w:t>
                  </w:r>
                  <w:r w:rsidR="00E2311D" w:rsidRPr="00E2311D">
                    <w:t xml:space="preserve"> urbanizacji w kraju</w:t>
                  </w:r>
                </w:p>
              </w:txbxContent>
            </v:textbox>
            <w10:wrap type="tight"/>
            <w10:anchorlock/>
          </v:shape>
        </w:pict>
      </w:r>
      <w:r w:rsidR="00706EE6" w:rsidRPr="00706EE6">
        <w:rPr>
          <w:szCs w:val="20"/>
        </w:rPr>
        <w:t>W końcu 201</w:t>
      </w:r>
      <w:r w:rsidR="00C93CCE">
        <w:rPr>
          <w:szCs w:val="20"/>
        </w:rPr>
        <w:t>8</w:t>
      </w:r>
      <w:r w:rsidR="00706EE6" w:rsidRPr="00706EE6">
        <w:rPr>
          <w:szCs w:val="20"/>
        </w:rPr>
        <w:t xml:space="preserve"> roku ludność województwa podk</w:t>
      </w:r>
      <w:r w:rsidR="00C93CCE">
        <w:rPr>
          <w:szCs w:val="20"/>
        </w:rPr>
        <w:t>arpackiego wynosiła 2129,0</w:t>
      </w:r>
      <w:r w:rsidR="00706EE6" w:rsidRPr="00706EE6">
        <w:rPr>
          <w:szCs w:val="20"/>
        </w:rPr>
        <w:t xml:space="preserve"> tys. osób, co stanowiło 5,5% populacji kraju. Pod względem liczby ludności województwo podkarpackie zajęło 8. miejsce w kraju. W końcu 201</w:t>
      </w:r>
      <w:r w:rsidR="00C93CCE">
        <w:rPr>
          <w:szCs w:val="20"/>
        </w:rPr>
        <w:t>8</w:t>
      </w:r>
      <w:r w:rsidR="00706EE6" w:rsidRPr="00706EE6">
        <w:rPr>
          <w:szCs w:val="20"/>
        </w:rPr>
        <w:t xml:space="preserve"> r. w 51 miastach mieszkało </w:t>
      </w:r>
      <w:r w:rsidR="00C93CCE">
        <w:rPr>
          <w:szCs w:val="20"/>
        </w:rPr>
        <w:t>874,8</w:t>
      </w:r>
      <w:r w:rsidR="00706EE6" w:rsidRPr="00706EE6">
        <w:rPr>
          <w:szCs w:val="20"/>
        </w:rPr>
        <w:t xml:space="preserve"> tys. osób, tj. o </w:t>
      </w:r>
      <w:r w:rsidR="00C93CCE">
        <w:rPr>
          <w:szCs w:val="20"/>
        </w:rPr>
        <w:t>1411</w:t>
      </w:r>
      <w:r w:rsidR="00706EE6" w:rsidRPr="00706EE6">
        <w:rPr>
          <w:szCs w:val="20"/>
        </w:rPr>
        <w:t xml:space="preserve"> osób </w:t>
      </w:r>
      <w:r w:rsidR="00C93CCE">
        <w:rPr>
          <w:szCs w:val="20"/>
        </w:rPr>
        <w:t>mniej</w:t>
      </w:r>
      <w:r w:rsidR="00706EE6" w:rsidRPr="00706EE6">
        <w:rPr>
          <w:szCs w:val="20"/>
        </w:rPr>
        <w:t xml:space="preserve"> niż przed rokiem. Współc</w:t>
      </w:r>
      <w:r w:rsidR="00C93CCE">
        <w:rPr>
          <w:szCs w:val="20"/>
        </w:rPr>
        <w:t>zynnik urbanizacji wyniósł 41,1</w:t>
      </w:r>
      <w:r w:rsidR="00706EE6" w:rsidRPr="00706EE6">
        <w:rPr>
          <w:szCs w:val="20"/>
        </w:rPr>
        <w:t>% i był najniższy wśród województw (dla Polski wynosił 60,1%). Najwyższym wskaźnikiem urbanizacji charakteryzował się powiat stalowowolski (60,</w:t>
      </w:r>
      <w:r w:rsidR="00C93CCE">
        <w:rPr>
          <w:szCs w:val="20"/>
        </w:rPr>
        <w:t>2</w:t>
      </w:r>
      <w:r w:rsidR="00706EE6" w:rsidRPr="00706EE6">
        <w:rPr>
          <w:szCs w:val="20"/>
        </w:rPr>
        <w:t>%) i mielecki (</w:t>
      </w:r>
      <w:r w:rsidR="00C93CCE">
        <w:rPr>
          <w:szCs w:val="20"/>
        </w:rPr>
        <w:t>47,9</w:t>
      </w:r>
      <w:r w:rsidR="00706EE6" w:rsidRPr="00706EE6">
        <w:rPr>
          <w:szCs w:val="20"/>
        </w:rPr>
        <w:t xml:space="preserve">%), najniższym powiat brzozowski (11,3%) </w:t>
      </w:r>
      <w:r w:rsidR="00AC3905">
        <w:rPr>
          <w:szCs w:val="20"/>
        </w:rPr>
        <w:br/>
      </w:r>
      <w:r w:rsidR="00706EE6" w:rsidRPr="00706EE6">
        <w:rPr>
          <w:szCs w:val="20"/>
        </w:rPr>
        <w:t xml:space="preserve">i krośnieński (12,0%). </w:t>
      </w:r>
    </w:p>
    <w:p w:rsidR="00D52C9A" w:rsidRPr="00706EE6" w:rsidRDefault="00706EE6" w:rsidP="008033BB">
      <w:pPr>
        <w:spacing w:before="0" w:after="0" w:line="236" w:lineRule="exact"/>
        <w:jc w:val="both"/>
        <w:rPr>
          <w:szCs w:val="20"/>
        </w:rPr>
      </w:pPr>
      <w:r w:rsidRPr="00706EE6">
        <w:rPr>
          <w:szCs w:val="20"/>
        </w:rPr>
        <w:t>Średnia gęstość zaludnienia w stosunku do roku ubiegłego nie zmieniła się i wyniosła 119 osób na 1 km</w:t>
      </w:r>
      <w:r w:rsidRPr="00706EE6">
        <w:rPr>
          <w:szCs w:val="20"/>
          <w:vertAlign w:val="superscript"/>
        </w:rPr>
        <w:t>2</w:t>
      </w:r>
      <w:r w:rsidRPr="00706EE6">
        <w:rPr>
          <w:szCs w:val="20"/>
        </w:rPr>
        <w:t xml:space="preserve"> powierzchni województwa (w Polsce – 123). Wskaźnik ten wykazuje znaczne zróżnicowanie przestrzenne w województwie – od najwyższego w Rzeszowie oraz w Przemyślu – odpowiednio 15</w:t>
      </w:r>
      <w:r w:rsidR="00C93CCE">
        <w:rPr>
          <w:szCs w:val="20"/>
        </w:rPr>
        <w:t>91</w:t>
      </w:r>
      <w:r w:rsidRPr="00706EE6">
        <w:rPr>
          <w:szCs w:val="20"/>
        </w:rPr>
        <w:t xml:space="preserve"> i 13</w:t>
      </w:r>
      <w:r w:rsidR="00C93CCE">
        <w:rPr>
          <w:szCs w:val="20"/>
        </w:rPr>
        <w:t>27</w:t>
      </w:r>
      <w:r w:rsidRPr="00706EE6">
        <w:rPr>
          <w:szCs w:val="20"/>
        </w:rPr>
        <w:t xml:space="preserve"> osób/km</w:t>
      </w:r>
      <w:r w:rsidRPr="00706EE6">
        <w:rPr>
          <w:szCs w:val="20"/>
          <w:vertAlign w:val="superscript"/>
        </w:rPr>
        <w:t>2</w:t>
      </w:r>
      <w:r w:rsidRPr="00706EE6">
        <w:rPr>
          <w:szCs w:val="20"/>
        </w:rPr>
        <w:t xml:space="preserve">, do najniższego w powiecie bieszczadzkim </w:t>
      </w:r>
      <w:r w:rsidRPr="00706EE6">
        <w:rPr>
          <w:szCs w:val="20"/>
        </w:rPr>
        <w:br/>
        <w:t>i leskim – 19 i 32 osoby/km</w:t>
      </w:r>
      <w:r w:rsidRPr="00706EE6">
        <w:rPr>
          <w:szCs w:val="20"/>
          <w:vertAlign w:val="superscript"/>
        </w:rPr>
        <w:t>2</w:t>
      </w:r>
      <w:r w:rsidRPr="00706EE6">
        <w:rPr>
          <w:szCs w:val="20"/>
        </w:rPr>
        <w:t xml:space="preserve">. </w:t>
      </w:r>
    </w:p>
    <w:p w:rsidR="00706EE6" w:rsidRDefault="00706EE6" w:rsidP="008033BB">
      <w:pPr>
        <w:spacing w:before="0" w:after="0" w:line="236" w:lineRule="exact"/>
        <w:jc w:val="both"/>
        <w:rPr>
          <w:szCs w:val="20"/>
        </w:rPr>
      </w:pPr>
      <w:r w:rsidRPr="00706EE6">
        <w:rPr>
          <w:szCs w:val="20"/>
        </w:rPr>
        <w:t>Ludność Podkarpacia cechuje dodatni poziom przyrostu naturalnego, tj. różnicy między liczbą urodzeń żywych i zgonów. W przeliczeniu na 1000 mieszkańców województwa, w 201</w:t>
      </w:r>
      <w:r w:rsidR="008D2C18">
        <w:rPr>
          <w:szCs w:val="20"/>
        </w:rPr>
        <w:t>8</w:t>
      </w:r>
      <w:r w:rsidRPr="00706EE6">
        <w:rPr>
          <w:szCs w:val="20"/>
        </w:rPr>
        <w:t xml:space="preserve"> r. wskaźnik ten wyniósł </w:t>
      </w:r>
      <w:r w:rsidR="008D2C18">
        <w:rPr>
          <w:szCs w:val="20"/>
        </w:rPr>
        <w:t>0,89</w:t>
      </w:r>
      <w:r w:rsidRPr="00706EE6">
        <w:rPr>
          <w:szCs w:val="20"/>
        </w:rPr>
        <w:t xml:space="preserve"> (w kraju minus </w:t>
      </w:r>
      <w:r w:rsidR="008D2C18">
        <w:rPr>
          <w:szCs w:val="20"/>
        </w:rPr>
        <w:t>0,68</w:t>
      </w:r>
      <w:r w:rsidRPr="00706EE6">
        <w:rPr>
          <w:szCs w:val="20"/>
        </w:rPr>
        <w:t xml:space="preserve">). Był on </w:t>
      </w:r>
      <w:r w:rsidR="008D2C18">
        <w:rPr>
          <w:szCs w:val="20"/>
        </w:rPr>
        <w:t>niższy</w:t>
      </w:r>
      <w:r w:rsidRPr="00706EE6">
        <w:rPr>
          <w:szCs w:val="20"/>
        </w:rPr>
        <w:t xml:space="preserve"> </w:t>
      </w:r>
      <w:r w:rsidR="0086254A">
        <w:rPr>
          <w:szCs w:val="20"/>
        </w:rPr>
        <w:t>w odniesieniu do</w:t>
      </w:r>
      <w:r w:rsidRPr="00706EE6">
        <w:rPr>
          <w:szCs w:val="20"/>
        </w:rPr>
        <w:t xml:space="preserve"> 201</w:t>
      </w:r>
      <w:r w:rsidR="008D2C18">
        <w:rPr>
          <w:szCs w:val="20"/>
        </w:rPr>
        <w:t>7</w:t>
      </w:r>
      <w:r w:rsidRPr="00706EE6">
        <w:rPr>
          <w:szCs w:val="20"/>
        </w:rPr>
        <w:t xml:space="preserve"> (</w:t>
      </w:r>
      <w:r w:rsidR="008D2C18">
        <w:rPr>
          <w:szCs w:val="20"/>
        </w:rPr>
        <w:t>1,22</w:t>
      </w:r>
      <w:r w:rsidRPr="00706EE6">
        <w:rPr>
          <w:szCs w:val="20"/>
        </w:rPr>
        <w:t xml:space="preserve">), </w:t>
      </w:r>
      <w:r w:rsidRPr="00706EE6">
        <w:rPr>
          <w:szCs w:val="20"/>
        </w:rPr>
        <w:br/>
      </w:r>
      <w:r w:rsidR="0086254A">
        <w:rPr>
          <w:szCs w:val="20"/>
        </w:rPr>
        <w:t>jak i</w:t>
      </w:r>
      <w:r w:rsidRPr="00706EE6">
        <w:rPr>
          <w:szCs w:val="20"/>
        </w:rPr>
        <w:t xml:space="preserve"> 2010 r. (1,74). Najwyższą wartość współczynnika przyrostu naturalnego odnotowano </w:t>
      </w:r>
      <w:r w:rsidR="00E40035">
        <w:rPr>
          <w:szCs w:val="20"/>
        </w:rPr>
        <w:br/>
      </w:r>
      <w:r w:rsidRPr="00706EE6">
        <w:rPr>
          <w:szCs w:val="20"/>
        </w:rPr>
        <w:t>w województwie pomorskim (</w:t>
      </w:r>
      <w:r w:rsidR="008D2C18">
        <w:rPr>
          <w:szCs w:val="20"/>
        </w:rPr>
        <w:t>1,76</w:t>
      </w:r>
      <w:r w:rsidRPr="00706EE6">
        <w:rPr>
          <w:szCs w:val="20"/>
        </w:rPr>
        <w:t xml:space="preserve">), najniższą w województwie łódzkim (minus </w:t>
      </w:r>
      <w:r w:rsidR="008D2C18">
        <w:rPr>
          <w:szCs w:val="20"/>
        </w:rPr>
        <w:t>3,47</w:t>
      </w:r>
      <w:r w:rsidRPr="00706EE6">
        <w:rPr>
          <w:szCs w:val="20"/>
        </w:rPr>
        <w:t xml:space="preserve">). Na </w:t>
      </w:r>
      <w:r w:rsidR="00F04D79">
        <w:rPr>
          <w:szCs w:val="20"/>
        </w:rPr>
        <w:br/>
      </w:r>
      <w:r w:rsidR="008D2C18">
        <w:rPr>
          <w:szCs w:val="20"/>
        </w:rPr>
        <w:t>5</w:t>
      </w:r>
      <w:r w:rsidRPr="00706EE6">
        <w:rPr>
          <w:szCs w:val="20"/>
        </w:rPr>
        <w:t xml:space="preserve"> województw z dodatnim przyrostem naturalnym województwo podkarpackie zajm</w:t>
      </w:r>
      <w:r w:rsidR="00F04D79">
        <w:rPr>
          <w:szCs w:val="20"/>
        </w:rPr>
        <w:t>owało</w:t>
      </w:r>
      <w:r w:rsidRPr="00706EE6">
        <w:rPr>
          <w:szCs w:val="20"/>
        </w:rPr>
        <w:t xml:space="preserve"> 4. miejsce. W układzie powiatów dodatni przyrost naturalny wystąpił w 1</w:t>
      </w:r>
      <w:r w:rsidR="008D2C18">
        <w:rPr>
          <w:szCs w:val="20"/>
        </w:rPr>
        <w:t>7</w:t>
      </w:r>
      <w:r w:rsidRPr="00706EE6">
        <w:rPr>
          <w:szCs w:val="20"/>
        </w:rPr>
        <w:t xml:space="preserve"> powiatach województwa, ujemny natomiast w </w:t>
      </w:r>
      <w:r w:rsidR="008D2C18">
        <w:rPr>
          <w:szCs w:val="20"/>
        </w:rPr>
        <w:t>8</w:t>
      </w:r>
      <w:r w:rsidRPr="00706EE6">
        <w:rPr>
          <w:szCs w:val="20"/>
        </w:rPr>
        <w:t>. Najwyższą wartość współczynnika przyrostu odnotowano w Rzeszowie (4,</w:t>
      </w:r>
      <w:r w:rsidR="008D2C18">
        <w:rPr>
          <w:szCs w:val="20"/>
        </w:rPr>
        <w:t>16</w:t>
      </w:r>
      <w:r w:rsidRPr="00706EE6">
        <w:rPr>
          <w:szCs w:val="20"/>
        </w:rPr>
        <w:t xml:space="preserve">), najniższą natomiast w Przemyślu (minus </w:t>
      </w:r>
      <w:r w:rsidR="008D2C18">
        <w:rPr>
          <w:szCs w:val="20"/>
        </w:rPr>
        <w:t>2,67</w:t>
      </w:r>
      <w:r w:rsidRPr="00706EE6">
        <w:rPr>
          <w:szCs w:val="20"/>
        </w:rPr>
        <w:t>).</w:t>
      </w: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552825" w:rsidRPr="00E05364" w:rsidRDefault="00851B07" w:rsidP="00E05364">
      <w:pPr>
        <w:jc w:val="both"/>
        <w:rPr>
          <w:b/>
          <w:color w:val="001D77"/>
          <w:sz w:val="18"/>
          <w:szCs w:val="18"/>
        </w:rPr>
      </w:pPr>
      <w:r>
        <w:rPr>
          <w:noProof/>
          <w:szCs w:val="20"/>
          <w:lang w:eastAsia="pl-PL"/>
        </w:rPr>
        <w:drawing>
          <wp:anchor distT="0" distB="0" distL="114300" distR="114300" simplePos="0" relativeHeight="251657216" behindDoc="0" locked="0" layoutInCell="1" allowOverlap="1" wp14:anchorId="53821A1A" wp14:editId="41302EE3">
            <wp:simplePos x="0" y="0"/>
            <wp:positionH relativeFrom="column">
              <wp:posOffset>55245</wp:posOffset>
            </wp:positionH>
            <wp:positionV relativeFrom="paragraph">
              <wp:posOffset>297843</wp:posOffset>
            </wp:positionV>
            <wp:extent cx="4942205" cy="2302510"/>
            <wp:effectExtent l="0" t="0" r="0" b="0"/>
            <wp:wrapThrough wrapText="bothSides">
              <wp:wrapPolygon edited="0">
                <wp:start x="0" y="0"/>
                <wp:lineTo x="0" y="21445"/>
                <wp:lineTo x="21481" y="21445"/>
                <wp:lineTo x="21481" y="0"/>
                <wp:lineTo x="0" y="0"/>
              </wp:wrapPolygon>
            </wp:wrapThrough>
            <wp:docPr id="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05364" w:rsidRPr="00E05364">
        <w:rPr>
          <w:b/>
          <w:color w:val="001D77"/>
          <w:sz w:val="18"/>
          <w:szCs w:val="18"/>
        </w:rPr>
        <w:t>Wykres 1. Ruch naturalny ludności</w:t>
      </w:r>
      <w:r w:rsidR="00074E6C" w:rsidRPr="00074E6C">
        <w:t xml:space="preserve">  </w:t>
      </w:r>
    </w:p>
    <w:p w:rsidR="00851B07" w:rsidRDefault="00851B07" w:rsidP="00BD0CB1">
      <w:pPr>
        <w:spacing w:before="0" w:after="0"/>
        <w:jc w:val="both"/>
        <w:rPr>
          <w:szCs w:val="20"/>
        </w:rPr>
      </w:pPr>
    </w:p>
    <w:p w:rsidR="00706EE6" w:rsidRDefault="00706EE6" w:rsidP="008033BB">
      <w:pPr>
        <w:spacing w:before="0" w:after="0" w:line="232" w:lineRule="exact"/>
        <w:jc w:val="both"/>
        <w:rPr>
          <w:szCs w:val="20"/>
        </w:rPr>
      </w:pPr>
      <w:r w:rsidRPr="00706EE6">
        <w:rPr>
          <w:szCs w:val="20"/>
        </w:rPr>
        <w:t>Struktura ludności według płci od kilku lat nie ulega większym zmianom. W ogólnej liczbie mieszkańców nieznacznie przeważają kobiety, które stanowią 51,0% ludności województwa.</w:t>
      </w:r>
      <w:r w:rsidR="003A4639">
        <w:rPr>
          <w:szCs w:val="20"/>
        </w:rPr>
        <w:br/>
      </w:r>
      <w:r w:rsidRPr="00706EE6">
        <w:rPr>
          <w:szCs w:val="20"/>
        </w:rPr>
        <w:t>W 201</w:t>
      </w:r>
      <w:r w:rsidR="009A4267">
        <w:rPr>
          <w:szCs w:val="20"/>
        </w:rPr>
        <w:t>8</w:t>
      </w:r>
      <w:r w:rsidRPr="00706EE6">
        <w:rPr>
          <w:szCs w:val="20"/>
        </w:rPr>
        <w:t xml:space="preserve"> r. współczynnik feminizacji dla województwa podkarpackiego osiągnął wartość 104 </w:t>
      </w:r>
      <w:r w:rsidRPr="00706EE6">
        <w:rPr>
          <w:szCs w:val="20"/>
        </w:rPr>
        <w:lastRenderedPageBreak/>
        <w:t>(dla kraju – 107). Oznacza to, że na 100 mężczyzn przypadało statystycznie 104 kobiety</w:t>
      </w:r>
      <w:r w:rsidR="003A4639">
        <w:rPr>
          <w:szCs w:val="20"/>
        </w:rPr>
        <w:br/>
      </w:r>
      <w:r w:rsidRPr="00706EE6">
        <w:rPr>
          <w:szCs w:val="20"/>
        </w:rPr>
        <w:t xml:space="preserve">(w miastach – 109, a na wsi – 101). </w:t>
      </w:r>
    </w:p>
    <w:p w:rsidR="00552825" w:rsidRDefault="00AA25AE" w:rsidP="008033BB">
      <w:pPr>
        <w:spacing w:before="240" w:after="0"/>
        <w:jc w:val="both"/>
        <w:rPr>
          <w:b/>
          <w:color w:val="001D77"/>
          <w:szCs w:val="20"/>
        </w:rPr>
      </w:pPr>
      <w:r w:rsidRPr="006D0B74">
        <w:rPr>
          <w:b/>
          <w:color w:val="001D77"/>
          <w:szCs w:val="20"/>
        </w:rPr>
        <w:t xml:space="preserve">Wykres 2. Ludność według płci i wieku </w:t>
      </w:r>
    </w:p>
    <w:p w:rsidR="00FB7437" w:rsidRPr="00FB7437" w:rsidRDefault="00FB7437" w:rsidP="00FB7437">
      <w:pPr>
        <w:spacing w:before="0"/>
        <w:ind w:firstLine="708"/>
        <w:jc w:val="both"/>
        <w:rPr>
          <w:color w:val="001D77"/>
          <w:szCs w:val="20"/>
        </w:rPr>
      </w:pPr>
      <w:r>
        <w:rPr>
          <w:b/>
          <w:color w:val="001D77"/>
          <w:szCs w:val="20"/>
        </w:rPr>
        <w:t xml:space="preserve">   </w:t>
      </w:r>
      <w:r w:rsidRPr="00FB7437">
        <w:rPr>
          <w:color w:val="001D77"/>
          <w:szCs w:val="20"/>
        </w:rPr>
        <w:t>Stan w dniu 31 XII</w:t>
      </w:r>
    </w:p>
    <w:p w:rsidR="00552825" w:rsidRDefault="003D4E68" w:rsidP="003A4639">
      <w:pPr>
        <w:spacing w:before="0" w:after="0"/>
        <w:jc w:val="both"/>
        <w:rPr>
          <w:szCs w:val="20"/>
        </w:rPr>
      </w:pPr>
      <w:r w:rsidRPr="003D4E68">
        <w:rPr>
          <w:noProof/>
          <w:szCs w:val="20"/>
          <w:lang w:eastAsia="pl-PL"/>
        </w:rPr>
        <w:drawing>
          <wp:anchor distT="0" distB="0" distL="114300" distR="114300" simplePos="0" relativeHeight="251656192" behindDoc="1" locked="0" layoutInCell="1" allowOverlap="1" wp14:anchorId="37C86B22" wp14:editId="1EC2DC0F">
            <wp:simplePos x="0" y="0"/>
            <wp:positionH relativeFrom="column">
              <wp:posOffset>447675</wp:posOffset>
            </wp:positionH>
            <wp:positionV relativeFrom="paragraph">
              <wp:posOffset>6350</wp:posOffset>
            </wp:positionV>
            <wp:extent cx="4215130" cy="4663440"/>
            <wp:effectExtent l="0" t="0" r="0" b="0"/>
            <wp:wrapThrough wrapText="bothSides">
              <wp:wrapPolygon edited="0">
                <wp:start x="0" y="0"/>
                <wp:lineTo x="0" y="21529"/>
                <wp:lineTo x="21476" y="21529"/>
                <wp:lineTo x="21476" y="0"/>
                <wp:lineTo x="0" y="0"/>
              </wp:wrapPolygon>
            </wp:wrapThrough>
            <wp:docPr id="4" name="Obraz 4" descr="\\VMFRZE01\wa\Aguś\2019\03_SYGN_WYKRE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\\VMFRZE01\wa\Aguś\2019\03_SYGN_WYKRES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AA25AE" w:rsidRDefault="006E4BD8" w:rsidP="003A4639">
      <w:pPr>
        <w:spacing w:before="0" w:after="0"/>
        <w:jc w:val="both"/>
        <w:rPr>
          <w:szCs w:val="20"/>
        </w:rPr>
      </w:pPr>
      <w:r>
        <w:rPr>
          <w:noProof/>
          <w:szCs w:val="20"/>
          <w:lang w:eastAsia="pl-PL"/>
        </w:rPr>
        <w:pict>
          <v:shape id="_x0000_s1056" type="#_x0000_t202" style="position:absolute;left:0;text-align:left;margin-left:411.05pt;margin-top:388.85pt;width:2in;height:79.6pt;z-index:-251655168;visibility:visible;mso-wrap-distance-top:3.6pt;mso-wrap-distance-bottom:3.6pt;mso-width-relative:margin;mso-height-relative:margin" wrapcoords="0 0" filled="f" stroked="f">
            <v:textbox style="mso-next-textbox:#_x0000_s1056" inset=",,.5mm">
              <w:txbxContent>
                <w:p w:rsidR="00E2311D" w:rsidRPr="00E2311D" w:rsidRDefault="000E7117" w:rsidP="00E2311D">
                  <w:pPr>
                    <w:pStyle w:val="tekstzboku"/>
                  </w:pPr>
                  <w:r>
                    <w:t xml:space="preserve">Najwyższa mediana wieku </w:t>
                  </w:r>
                  <w:r>
                    <w:br/>
                    <w:t>w 201</w:t>
                  </w:r>
                  <w:r w:rsidR="009A4267">
                    <w:t>8</w:t>
                  </w:r>
                  <w:r>
                    <w:t xml:space="preserve"> r. występowała </w:t>
                  </w:r>
                  <w:r>
                    <w:br/>
                    <w:t xml:space="preserve">w </w:t>
                  </w:r>
                  <w:r w:rsidR="00384F10">
                    <w:t>Tarnobrzegu – 44,0 lata</w:t>
                  </w:r>
                  <w:r>
                    <w:t xml:space="preserve">, </w:t>
                  </w:r>
                  <w:r w:rsidR="003F19AC">
                    <w:br/>
                  </w:r>
                  <w:r>
                    <w:t xml:space="preserve">a najniższa w </w:t>
                  </w:r>
                  <w:r w:rsidR="00384F10">
                    <w:t xml:space="preserve">powiecie </w:t>
                  </w:r>
                  <w:r w:rsidR="003F19AC">
                    <w:t>rop</w:t>
                  </w:r>
                  <w:r w:rsidR="00384F10">
                    <w:t>czycko-sędziszowskim –</w:t>
                  </w:r>
                  <w:r>
                    <w:t xml:space="preserve"> </w:t>
                  </w:r>
                  <w:r w:rsidR="00384F10">
                    <w:t>38,2</w:t>
                  </w:r>
                  <w:r>
                    <w:t xml:space="preserve"> lat</w:t>
                  </w:r>
                </w:p>
              </w:txbxContent>
            </v:textbox>
            <w10:wrap type="tight"/>
            <w10:anchorlock/>
          </v:shape>
        </w:pict>
      </w: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CE16CF" w:rsidRDefault="00706EE6" w:rsidP="003D4E68">
      <w:pPr>
        <w:spacing w:after="0" w:line="250" w:lineRule="exact"/>
        <w:jc w:val="both"/>
        <w:rPr>
          <w:szCs w:val="20"/>
        </w:rPr>
      </w:pPr>
      <w:r w:rsidRPr="00706EE6">
        <w:rPr>
          <w:szCs w:val="20"/>
        </w:rPr>
        <w:t>Wiek środkowy (mediana – wyznaczająca granicę wieku, którą połowa osób w danej zbiorowości już przekroczyła, a druga połowa jeszcze jej nie osiągnęła) mieszkańców województwa podkarpackiego z roku na rok jest coraz wyższy. W 201</w:t>
      </w:r>
      <w:r w:rsidR="009A4267">
        <w:rPr>
          <w:szCs w:val="20"/>
        </w:rPr>
        <w:t>8</w:t>
      </w:r>
      <w:r w:rsidRPr="00706EE6">
        <w:rPr>
          <w:szCs w:val="20"/>
        </w:rPr>
        <w:t xml:space="preserve"> r. mediana wieku wyniosła 39,</w:t>
      </w:r>
      <w:r w:rsidR="009A4267">
        <w:rPr>
          <w:szCs w:val="20"/>
        </w:rPr>
        <w:t>9</w:t>
      </w:r>
      <w:r w:rsidRPr="00706EE6">
        <w:rPr>
          <w:szCs w:val="20"/>
        </w:rPr>
        <w:t xml:space="preserve"> lat</w:t>
      </w:r>
      <w:r w:rsidR="003A4639">
        <w:rPr>
          <w:szCs w:val="20"/>
        </w:rPr>
        <w:br/>
      </w:r>
      <w:r w:rsidRPr="00706EE6">
        <w:rPr>
          <w:szCs w:val="20"/>
        </w:rPr>
        <w:t>(w 201</w:t>
      </w:r>
      <w:r w:rsidR="009A4267">
        <w:rPr>
          <w:szCs w:val="20"/>
        </w:rPr>
        <w:t>7 r. 39,5</w:t>
      </w:r>
      <w:r w:rsidRPr="00706EE6">
        <w:rPr>
          <w:szCs w:val="20"/>
        </w:rPr>
        <w:t xml:space="preserve"> lat). Mediana dla kobiet wyniosła 41,</w:t>
      </w:r>
      <w:r w:rsidR="009A4267">
        <w:rPr>
          <w:szCs w:val="20"/>
        </w:rPr>
        <w:t>4</w:t>
      </w:r>
      <w:r w:rsidRPr="00706EE6">
        <w:rPr>
          <w:szCs w:val="20"/>
        </w:rPr>
        <w:t xml:space="preserve"> lat, a dla mężczyzn – 38,</w:t>
      </w:r>
      <w:r w:rsidR="009A4267">
        <w:rPr>
          <w:szCs w:val="20"/>
        </w:rPr>
        <w:t>5</w:t>
      </w:r>
      <w:r w:rsidRPr="00706EE6">
        <w:rPr>
          <w:szCs w:val="20"/>
        </w:rPr>
        <w:t xml:space="preserve">. Mieszkańcy miast byli średnio o ponad 2 lata starsi od mieszkańców wsi. </w:t>
      </w:r>
    </w:p>
    <w:p w:rsidR="00706EE6" w:rsidRDefault="00706EE6" w:rsidP="003D4E68">
      <w:pPr>
        <w:spacing w:before="0" w:after="0" w:line="250" w:lineRule="exact"/>
        <w:jc w:val="both"/>
        <w:rPr>
          <w:szCs w:val="20"/>
        </w:rPr>
      </w:pPr>
      <w:r w:rsidRPr="00706EE6">
        <w:rPr>
          <w:szCs w:val="20"/>
        </w:rPr>
        <w:t>Na Podkarpaciu obserwuje się niekorzystne zmiany, świadczące o starzeniu się społeczeństwa. Następuje zmniejszanie się udziału dzieci i młodzieży (0-17 lat) w ogólnej liczbie ludności województwa, przy jednoczesnym wzroście liczby osób w wieku poprodukcyjnym (mężczyźni w wieku 65 lat i więcej oraz kobiety w wieku 60 lat i więcej). Odsetek ludności w wieku przedprodukcyjnym (poniżej 18 lat) obniżył się z 18,</w:t>
      </w:r>
      <w:r w:rsidR="004D4341">
        <w:rPr>
          <w:szCs w:val="20"/>
        </w:rPr>
        <w:t>3</w:t>
      </w:r>
      <w:r w:rsidRPr="00706EE6">
        <w:rPr>
          <w:szCs w:val="20"/>
        </w:rPr>
        <w:t>% w 201</w:t>
      </w:r>
      <w:r w:rsidR="004D4341">
        <w:rPr>
          <w:szCs w:val="20"/>
        </w:rPr>
        <w:t>7</w:t>
      </w:r>
      <w:r w:rsidRPr="00706EE6">
        <w:rPr>
          <w:szCs w:val="20"/>
        </w:rPr>
        <w:t xml:space="preserve"> r. do 18,</w:t>
      </w:r>
      <w:r w:rsidR="004D4341">
        <w:rPr>
          <w:szCs w:val="20"/>
        </w:rPr>
        <w:t>2</w:t>
      </w:r>
      <w:r w:rsidRPr="00706EE6">
        <w:rPr>
          <w:szCs w:val="20"/>
        </w:rPr>
        <w:t>% w 201</w:t>
      </w:r>
      <w:r w:rsidR="004D4341">
        <w:rPr>
          <w:szCs w:val="20"/>
        </w:rPr>
        <w:t>8</w:t>
      </w:r>
      <w:r w:rsidRPr="00706EE6">
        <w:rPr>
          <w:szCs w:val="20"/>
        </w:rPr>
        <w:t xml:space="preserve"> r. Jednocześnie wzrósł udział osób w wieku poprodukcyjnym – z 1</w:t>
      </w:r>
      <w:r w:rsidR="004D4341">
        <w:rPr>
          <w:szCs w:val="20"/>
        </w:rPr>
        <w:t>9,3</w:t>
      </w:r>
      <w:r w:rsidRPr="00706EE6">
        <w:rPr>
          <w:szCs w:val="20"/>
        </w:rPr>
        <w:t>% do 19,</w:t>
      </w:r>
      <w:r w:rsidR="004D4341">
        <w:rPr>
          <w:szCs w:val="20"/>
        </w:rPr>
        <w:t>8</w:t>
      </w:r>
      <w:r w:rsidRPr="00706EE6">
        <w:rPr>
          <w:szCs w:val="20"/>
        </w:rPr>
        <w:t>%. Zmniejszył się udział ludności w wieku produkcyjnym – z 62,</w:t>
      </w:r>
      <w:r w:rsidR="004D4341">
        <w:rPr>
          <w:szCs w:val="20"/>
        </w:rPr>
        <w:t>4</w:t>
      </w:r>
      <w:r w:rsidRPr="00706EE6">
        <w:rPr>
          <w:szCs w:val="20"/>
        </w:rPr>
        <w:t>% w 201</w:t>
      </w:r>
      <w:r w:rsidR="004D4341">
        <w:rPr>
          <w:szCs w:val="20"/>
        </w:rPr>
        <w:t>7</w:t>
      </w:r>
      <w:r w:rsidRPr="00706EE6">
        <w:rPr>
          <w:szCs w:val="20"/>
        </w:rPr>
        <w:t xml:space="preserve"> r. do 62,</w:t>
      </w:r>
      <w:r w:rsidR="004D4341">
        <w:rPr>
          <w:szCs w:val="20"/>
        </w:rPr>
        <w:t>0</w:t>
      </w:r>
      <w:r w:rsidRPr="00706EE6">
        <w:rPr>
          <w:szCs w:val="20"/>
        </w:rPr>
        <w:t>% w 201</w:t>
      </w:r>
      <w:r w:rsidR="004D4341">
        <w:rPr>
          <w:szCs w:val="20"/>
        </w:rPr>
        <w:t>8</w:t>
      </w:r>
      <w:r w:rsidRPr="00706EE6">
        <w:rPr>
          <w:szCs w:val="20"/>
        </w:rPr>
        <w:t xml:space="preserve"> r. </w:t>
      </w:r>
    </w:p>
    <w:p w:rsidR="00706EE6" w:rsidRPr="003A4639" w:rsidRDefault="00787CD0" w:rsidP="003D4E68">
      <w:pPr>
        <w:spacing w:before="0" w:after="0" w:line="250" w:lineRule="exact"/>
        <w:jc w:val="both"/>
        <w:rPr>
          <w:szCs w:val="19"/>
        </w:rPr>
      </w:pPr>
      <w:r>
        <w:rPr>
          <w:szCs w:val="20"/>
        </w:rPr>
        <w:t>W 2018</w:t>
      </w:r>
      <w:r w:rsidR="00706EE6" w:rsidRPr="00706EE6">
        <w:rPr>
          <w:szCs w:val="20"/>
        </w:rPr>
        <w:t xml:space="preserve"> r. na 100 osób w wieku produkcyjnym (mężczyźni w wieku 18-64 lata, kobiety </w:t>
      </w:r>
      <w:r w:rsidR="00706EE6" w:rsidRPr="00706EE6">
        <w:rPr>
          <w:szCs w:val="20"/>
        </w:rPr>
        <w:br/>
        <w:t>w wieku 18-59 lat) przypadało 6</w:t>
      </w:r>
      <w:r>
        <w:rPr>
          <w:szCs w:val="20"/>
        </w:rPr>
        <w:t>1</w:t>
      </w:r>
      <w:r w:rsidR="00706EE6" w:rsidRPr="00706EE6">
        <w:rPr>
          <w:szCs w:val="20"/>
        </w:rPr>
        <w:t xml:space="preserve"> osób w wieku nieprodukcyjnym (przedprodukcyjnym </w:t>
      </w:r>
      <w:r w:rsidR="00706EE6" w:rsidRPr="00706EE6">
        <w:rPr>
          <w:szCs w:val="20"/>
        </w:rPr>
        <w:br/>
      </w:r>
      <w:r w:rsidR="00706EE6" w:rsidRPr="003A4639">
        <w:rPr>
          <w:szCs w:val="19"/>
        </w:rPr>
        <w:t>i poprodukcyjnym), w 2010 r. – 57. Omawiana relacja dla miast wyniosła 6</w:t>
      </w:r>
      <w:r>
        <w:rPr>
          <w:szCs w:val="19"/>
        </w:rPr>
        <w:t>5</w:t>
      </w:r>
      <w:r w:rsidR="00706EE6" w:rsidRPr="003A4639">
        <w:rPr>
          <w:szCs w:val="19"/>
        </w:rPr>
        <w:t xml:space="preserve">, a dla wsi 59 osób. </w:t>
      </w:r>
    </w:p>
    <w:p w:rsidR="00120EDE" w:rsidRDefault="00120EDE" w:rsidP="003D4E68">
      <w:pPr>
        <w:spacing w:before="0" w:after="0" w:line="250" w:lineRule="exact"/>
        <w:jc w:val="both"/>
        <w:rPr>
          <w:b/>
          <w:szCs w:val="19"/>
        </w:rPr>
      </w:pPr>
    </w:p>
    <w:p w:rsidR="003A4639" w:rsidRPr="00120EDE" w:rsidRDefault="00422F8D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:rsidR="003A4639" w:rsidRPr="003A4639" w:rsidRDefault="006E4BD8" w:rsidP="003D4E68">
      <w:pPr>
        <w:spacing w:before="0" w:after="0" w:line="250" w:lineRule="exact"/>
        <w:jc w:val="both"/>
        <w:rPr>
          <w:szCs w:val="19"/>
        </w:rPr>
      </w:pPr>
      <w:r>
        <w:rPr>
          <w:noProof/>
          <w:szCs w:val="20"/>
          <w:lang w:eastAsia="pl-PL"/>
        </w:rPr>
        <w:pict>
          <v:shape id="_x0000_s1057" type="#_x0000_t202" style="position:absolute;left:0;text-align:left;margin-left:411.05pt;margin-top:727.5pt;width:2in;height:48.2pt;z-index:251664384;visibility:visible;mso-wrap-distance-top:3.6pt;mso-wrap-distance-bottom:3.6pt;mso-position-vertical-relative:page;mso-width-relative:margin;mso-height-relative:margin" wrapcoords="0 0" filled="f" stroked="f">
            <v:textbox style="mso-next-textbox:#_x0000_s1057">
              <w:txbxContent>
                <w:p w:rsidR="0083001E" w:rsidRDefault="00413DB2" w:rsidP="0083001E">
                  <w:pPr>
                    <w:pStyle w:val="tekstzboku"/>
                    <w:spacing w:before="0"/>
                  </w:pPr>
                  <w:r>
                    <w:t xml:space="preserve">Na każde 10 tys. Ludności </w:t>
                  </w:r>
                  <w:r w:rsidR="005C29E6">
                    <w:br/>
                  </w:r>
                  <w:r>
                    <w:t>w 201</w:t>
                  </w:r>
                  <w:r w:rsidR="00F926AE">
                    <w:t>8</w:t>
                  </w:r>
                  <w:r>
                    <w:t xml:space="preserve"> r. urodziło się 10</w:t>
                  </w:r>
                  <w:r w:rsidR="00F926AE">
                    <w:t>1</w:t>
                  </w:r>
                  <w:r>
                    <w:t xml:space="preserve"> dzieci, </w:t>
                  </w:r>
                </w:p>
                <w:p w:rsidR="00413DB2" w:rsidRPr="00E2311D" w:rsidRDefault="00413DB2" w:rsidP="0083001E">
                  <w:pPr>
                    <w:pStyle w:val="tekstzboku"/>
                    <w:spacing w:before="0"/>
                  </w:pPr>
                  <w:r>
                    <w:t xml:space="preserve">przed rokiem </w:t>
                  </w:r>
                  <w:r w:rsidR="00F926AE">
                    <w:t>103</w:t>
                  </w:r>
                </w:p>
              </w:txbxContent>
            </v:textbox>
            <w10:wrap anchory="page"/>
          </v:shape>
        </w:pict>
      </w:r>
      <w:r w:rsidR="003A4639" w:rsidRPr="00092524">
        <w:rPr>
          <w:szCs w:val="19"/>
        </w:rPr>
        <w:t>W 201</w:t>
      </w:r>
      <w:r w:rsidR="00092524" w:rsidRPr="00092524">
        <w:rPr>
          <w:szCs w:val="19"/>
        </w:rPr>
        <w:t>8</w:t>
      </w:r>
      <w:r w:rsidR="003A4639" w:rsidRPr="00092524">
        <w:rPr>
          <w:szCs w:val="19"/>
        </w:rPr>
        <w:t xml:space="preserve"> r. zanotowano</w:t>
      </w:r>
      <w:r w:rsidR="00092524">
        <w:rPr>
          <w:szCs w:val="19"/>
        </w:rPr>
        <w:t xml:space="preserve"> 21533</w:t>
      </w:r>
      <w:r w:rsidR="003A4639" w:rsidRPr="00092524">
        <w:rPr>
          <w:szCs w:val="19"/>
        </w:rPr>
        <w:t xml:space="preserve"> urodzenia żywe, tj. o </w:t>
      </w:r>
      <w:r w:rsidR="00092524">
        <w:rPr>
          <w:szCs w:val="19"/>
        </w:rPr>
        <w:t>1,8</w:t>
      </w:r>
      <w:r w:rsidR="003A4639" w:rsidRPr="00092524">
        <w:rPr>
          <w:szCs w:val="19"/>
        </w:rPr>
        <w:t xml:space="preserve">% (o </w:t>
      </w:r>
      <w:r w:rsidR="00092524">
        <w:rPr>
          <w:szCs w:val="19"/>
        </w:rPr>
        <w:t>394</w:t>
      </w:r>
      <w:r w:rsidR="003A4639" w:rsidRPr="00092524">
        <w:rPr>
          <w:szCs w:val="19"/>
        </w:rPr>
        <w:t xml:space="preserve"> urodze</w:t>
      </w:r>
      <w:r w:rsidR="00092524">
        <w:rPr>
          <w:szCs w:val="19"/>
        </w:rPr>
        <w:t>nia</w:t>
      </w:r>
      <w:r w:rsidR="003A4639" w:rsidRPr="00092524">
        <w:rPr>
          <w:szCs w:val="19"/>
        </w:rPr>
        <w:t xml:space="preserve">) </w:t>
      </w:r>
      <w:r w:rsidR="00092524">
        <w:rPr>
          <w:szCs w:val="19"/>
        </w:rPr>
        <w:t>mniej</w:t>
      </w:r>
      <w:r w:rsidR="003A4639" w:rsidRPr="00092524">
        <w:rPr>
          <w:szCs w:val="19"/>
        </w:rPr>
        <w:t xml:space="preserve"> niż w roku</w:t>
      </w:r>
      <w:r w:rsidR="003A4639" w:rsidRPr="003A4639">
        <w:rPr>
          <w:szCs w:val="19"/>
        </w:rPr>
        <w:t xml:space="preserve"> poprzednim i o </w:t>
      </w:r>
      <w:r w:rsidR="00622811">
        <w:rPr>
          <w:szCs w:val="19"/>
        </w:rPr>
        <w:t>457</w:t>
      </w:r>
      <w:r w:rsidR="003A4639" w:rsidRPr="003A4639">
        <w:rPr>
          <w:szCs w:val="19"/>
        </w:rPr>
        <w:t xml:space="preserve"> urodze</w:t>
      </w:r>
      <w:r w:rsidR="006F659C">
        <w:rPr>
          <w:szCs w:val="19"/>
        </w:rPr>
        <w:t>ń</w:t>
      </w:r>
      <w:r w:rsidR="003A4639" w:rsidRPr="003A4639">
        <w:rPr>
          <w:szCs w:val="19"/>
        </w:rPr>
        <w:t xml:space="preserve"> mniej niż w 2010 r. Wśród noworodków </w:t>
      </w:r>
      <w:r w:rsidR="00622811">
        <w:rPr>
          <w:szCs w:val="19"/>
        </w:rPr>
        <w:t>50,7</w:t>
      </w:r>
      <w:r w:rsidR="003A4639" w:rsidRPr="003A4639">
        <w:rPr>
          <w:szCs w:val="19"/>
        </w:rPr>
        <w:t>% stanowili chłopcy. Współczynnik urodzeń w 201</w:t>
      </w:r>
      <w:r w:rsidR="00622811">
        <w:rPr>
          <w:szCs w:val="19"/>
        </w:rPr>
        <w:t>8</w:t>
      </w:r>
      <w:r w:rsidR="003A4639" w:rsidRPr="003A4639">
        <w:rPr>
          <w:szCs w:val="19"/>
        </w:rPr>
        <w:t xml:space="preserve"> r. wyniósł 10,</w:t>
      </w:r>
      <w:r w:rsidR="00622811">
        <w:rPr>
          <w:szCs w:val="19"/>
        </w:rPr>
        <w:t>1</w:t>
      </w:r>
      <w:r w:rsidR="003A4639" w:rsidRPr="003A4639">
        <w:rPr>
          <w:szCs w:val="19"/>
        </w:rPr>
        <w:t>‰ i w stosunku do roku 201</w:t>
      </w:r>
      <w:r w:rsidR="00622811">
        <w:rPr>
          <w:szCs w:val="19"/>
        </w:rPr>
        <w:t>7</w:t>
      </w:r>
      <w:r w:rsidR="003A4639" w:rsidRPr="003A4639">
        <w:rPr>
          <w:szCs w:val="19"/>
        </w:rPr>
        <w:t xml:space="preserve"> uległ </w:t>
      </w:r>
      <w:r w:rsidR="00622811">
        <w:rPr>
          <w:szCs w:val="19"/>
        </w:rPr>
        <w:t>zmniejszeniu</w:t>
      </w:r>
      <w:r w:rsidR="003A4639" w:rsidRPr="003A4639">
        <w:rPr>
          <w:szCs w:val="19"/>
        </w:rPr>
        <w:t xml:space="preserve"> o 0,</w:t>
      </w:r>
      <w:r w:rsidR="00622811">
        <w:rPr>
          <w:szCs w:val="19"/>
        </w:rPr>
        <w:t>2</w:t>
      </w:r>
      <w:r w:rsidR="003A4639" w:rsidRPr="003A4639">
        <w:rPr>
          <w:szCs w:val="19"/>
        </w:rPr>
        <w:t xml:space="preserve"> p. prom. W miastach na 1000 ludności przypadało 10 urodzeń żywych, a na wsi 11. Najniższy współczynnik urodzeń wystąpił w Tarnobrzegu</w:t>
      </w:r>
      <w:r w:rsidR="00191D66">
        <w:rPr>
          <w:szCs w:val="19"/>
        </w:rPr>
        <w:t xml:space="preserve"> </w:t>
      </w:r>
      <w:r w:rsidR="003A4639" w:rsidRPr="003A4639">
        <w:rPr>
          <w:szCs w:val="19"/>
        </w:rPr>
        <w:t xml:space="preserve">i powiecie </w:t>
      </w:r>
      <w:r w:rsidR="00191D66">
        <w:rPr>
          <w:szCs w:val="19"/>
        </w:rPr>
        <w:t>lubaczowskim</w:t>
      </w:r>
      <w:r w:rsidR="003A4639" w:rsidRPr="003A4639">
        <w:rPr>
          <w:szCs w:val="19"/>
        </w:rPr>
        <w:t xml:space="preserve"> </w:t>
      </w:r>
      <w:r w:rsidR="0007706B">
        <w:rPr>
          <w:szCs w:val="19"/>
        </w:rPr>
        <w:t>(</w:t>
      </w:r>
      <w:r w:rsidR="00191D66">
        <w:rPr>
          <w:szCs w:val="19"/>
        </w:rPr>
        <w:t xml:space="preserve">po </w:t>
      </w:r>
      <w:r w:rsidR="003A4639" w:rsidRPr="003A4639">
        <w:rPr>
          <w:szCs w:val="19"/>
        </w:rPr>
        <w:t>8,</w:t>
      </w:r>
      <w:r w:rsidR="00191D66">
        <w:rPr>
          <w:szCs w:val="19"/>
        </w:rPr>
        <w:t>3</w:t>
      </w:r>
      <w:r w:rsidR="003A4639" w:rsidRPr="003A4639">
        <w:rPr>
          <w:szCs w:val="19"/>
        </w:rPr>
        <w:t>‰</w:t>
      </w:r>
      <w:r w:rsidR="0007706B">
        <w:rPr>
          <w:szCs w:val="19"/>
        </w:rPr>
        <w:t>)</w:t>
      </w:r>
      <w:r w:rsidR="003A4639" w:rsidRPr="003A4639">
        <w:rPr>
          <w:szCs w:val="19"/>
        </w:rPr>
        <w:t xml:space="preserve">, </w:t>
      </w:r>
      <w:r w:rsidR="006F659C">
        <w:rPr>
          <w:szCs w:val="19"/>
        </w:rPr>
        <w:br/>
      </w:r>
      <w:r w:rsidR="003A4639" w:rsidRPr="003A4639">
        <w:rPr>
          <w:szCs w:val="19"/>
        </w:rPr>
        <w:t xml:space="preserve">a najwyższy w powiecie ropczycko-sędziszowskim </w:t>
      </w:r>
      <w:r w:rsidR="0007706B">
        <w:rPr>
          <w:szCs w:val="19"/>
        </w:rPr>
        <w:t>(</w:t>
      </w:r>
      <w:r w:rsidR="003A4639" w:rsidRPr="003A4639">
        <w:rPr>
          <w:szCs w:val="19"/>
        </w:rPr>
        <w:t>12,</w:t>
      </w:r>
      <w:r w:rsidR="00191D66">
        <w:rPr>
          <w:szCs w:val="19"/>
        </w:rPr>
        <w:t>3</w:t>
      </w:r>
      <w:r w:rsidR="003A4639" w:rsidRPr="003A4639">
        <w:rPr>
          <w:szCs w:val="19"/>
        </w:rPr>
        <w:t>‰</w:t>
      </w:r>
      <w:r w:rsidR="0007706B">
        <w:rPr>
          <w:szCs w:val="19"/>
        </w:rPr>
        <w:t>)</w:t>
      </w:r>
      <w:r w:rsidR="003A4639" w:rsidRPr="003A4639">
        <w:rPr>
          <w:szCs w:val="19"/>
        </w:rPr>
        <w:t xml:space="preserve">. </w:t>
      </w:r>
    </w:p>
    <w:p w:rsidR="00640418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lastRenderedPageBreak/>
        <w:t>Rok 201</w:t>
      </w:r>
      <w:r w:rsidR="00191D66">
        <w:rPr>
          <w:szCs w:val="19"/>
        </w:rPr>
        <w:t>8</w:t>
      </w:r>
      <w:r w:rsidRPr="003A4639">
        <w:rPr>
          <w:szCs w:val="19"/>
        </w:rPr>
        <w:t xml:space="preserve"> był kolejnym, w którym poziom reprodukcji ludności nie</w:t>
      </w:r>
      <w:r w:rsidR="00191D66">
        <w:rPr>
          <w:szCs w:val="19"/>
        </w:rPr>
        <w:t xml:space="preserve"> </w:t>
      </w:r>
      <w:r w:rsidRPr="003A4639">
        <w:rPr>
          <w:szCs w:val="19"/>
        </w:rPr>
        <w:t>zapewnia</w:t>
      </w:r>
      <w:r w:rsidR="00191D66">
        <w:rPr>
          <w:szCs w:val="19"/>
        </w:rPr>
        <w:t>ł</w:t>
      </w:r>
      <w:r w:rsidRPr="003A4639">
        <w:rPr>
          <w:szCs w:val="19"/>
        </w:rPr>
        <w:t xml:space="preserve"> prostej zastępowalności pokoleń, tj. kiedy na jedną kobietę w wieku 15-49 lat przypada średnio 2,10-2,15 urodzeń dzieci</w:t>
      </w:r>
      <w:r w:rsidR="0007706B">
        <w:rPr>
          <w:szCs w:val="19"/>
        </w:rPr>
        <w:t>,</w:t>
      </w:r>
      <w:r w:rsidR="002B5F03">
        <w:rPr>
          <w:szCs w:val="19"/>
        </w:rPr>
        <w:t xml:space="preserve"> ponieważ o</w:t>
      </w:r>
      <w:r w:rsidRPr="003A4639">
        <w:rPr>
          <w:szCs w:val="19"/>
        </w:rPr>
        <w:t xml:space="preserve">gólny </w:t>
      </w:r>
      <w:r w:rsidRPr="0098128C">
        <w:rPr>
          <w:szCs w:val="19"/>
        </w:rPr>
        <w:t>współczynnik dzietności</w:t>
      </w:r>
      <w:r w:rsidRPr="003A4639">
        <w:rPr>
          <w:szCs w:val="19"/>
        </w:rPr>
        <w:t xml:space="preserve"> wyniósł 1,37</w:t>
      </w:r>
      <w:r w:rsidR="00E33933">
        <w:rPr>
          <w:szCs w:val="19"/>
        </w:rPr>
        <w:t>.</w:t>
      </w:r>
      <w:r w:rsidRPr="003A4639">
        <w:rPr>
          <w:szCs w:val="19"/>
        </w:rPr>
        <w:t xml:space="preserve"> W miastach wyniósł 1,29, natomiast na wsi – 1,42. Najwyższy był w powiecie ropczycko-sędziszowskim (1,</w:t>
      </w:r>
      <w:r w:rsidR="00E33933">
        <w:rPr>
          <w:szCs w:val="19"/>
        </w:rPr>
        <w:t>62</w:t>
      </w:r>
      <w:r w:rsidRPr="003A4639">
        <w:rPr>
          <w:szCs w:val="19"/>
        </w:rPr>
        <w:t xml:space="preserve">), </w:t>
      </w:r>
      <w:r w:rsidR="00E40035">
        <w:rPr>
          <w:szCs w:val="19"/>
        </w:rPr>
        <w:br/>
      </w:r>
      <w:r w:rsidRPr="003A4639">
        <w:rPr>
          <w:szCs w:val="19"/>
        </w:rPr>
        <w:t xml:space="preserve">a najniższy w </w:t>
      </w:r>
      <w:r w:rsidR="00E33933">
        <w:rPr>
          <w:szCs w:val="19"/>
        </w:rPr>
        <w:t>niżańskim</w:t>
      </w:r>
      <w:r w:rsidRPr="003A4639">
        <w:rPr>
          <w:szCs w:val="19"/>
        </w:rPr>
        <w:t xml:space="preserve"> (</w:t>
      </w:r>
      <w:r w:rsidR="00E33933">
        <w:rPr>
          <w:szCs w:val="19"/>
        </w:rPr>
        <w:t>1,14</w:t>
      </w:r>
      <w:r w:rsidRPr="003A4639">
        <w:rPr>
          <w:szCs w:val="19"/>
        </w:rPr>
        <w:t xml:space="preserve">). </w:t>
      </w:r>
    </w:p>
    <w:p w:rsidR="0042731A" w:rsidRPr="006D0B74" w:rsidRDefault="003D4E68" w:rsidP="0042731A">
      <w:pPr>
        <w:jc w:val="both"/>
        <w:rPr>
          <w:b/>
          <w:color w:val="001D77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49024" behindDoc="1" locked="0" layoutInCell="1" allowOverlap="1" wp14:anchorId="7E270F59" wp14:editId="3B84BFCB">
            <wp:simplePos x="0" y="0"/>
            <wp:positionH relativeFrom="column">
              <wp:posOffset>0</wp:posOffset>
            </wp:positionH>
            <wp:positionV relativeFrom="paragraph">
              <wp:posOffset>253365</wp:posOffset>
            </wp:positionV>
            <wp:extent cx="4839335" cy="2085975"/>
            <wp:effectExtent l="0" t="0" r="0" b="0"/>
            <wp:wrapTight wrapText="bothSides">
              <wp:wrapPolygon edited="0">
                <wp:start x="170" y="395"/>
                <wp:lineTo x="170" y="9468"/>
                <wp:lineTo x="510" y="10258"/>
                <wp:lineTo x="1531" y="10258"/>
                <wp:lineTo x="425" y="11047"/>
                <wp:lineTo x="170" y="11638"/>
                <wp:lineTo x="170" y="16175"/>
                <wp:lineTo x="1786" y="16570"/>
                <wp:lineTo x="1786" y="17359"/>
                <wp:lineTo x="5017" y="19726"/>
                <wp:lineTo x="5017" y="19923"/>
                <wp:lineTo x="10543" y="20712"/>
                <wp:lineTo x="15305" y="20712"/>
                <wp:lineTo x="16581" y="19923"/>
                <wp:lineTo x="16495" y="19726"/>
                <wp:lineTo x="20917" y="17359"/>
                <wp:lineTo x="21172" y="13414"/>
                <wp:lineTo x="16836" y="13414"/>
                <wp:lineTo x="20917" y="11836"/>
                <wp:lineTo x="21002" y="11441"/>
                <wp:lineTo x="18111" y="10258"/>
                <wp:lineTo x="21002" y="9863"/>
                <wp:lineTo x="21002" y="5523"/>
                <wp:lineTo x="20577" y="3945"/>
                <wp:lineTo x="21257" y="3156"/>
                <wp:lineTo x="21002" y="1184"/>
                <wp:lineTo x="1275" y="395"/>
                <wp:lineTo x="170" y="395"/>
              </wp:wrapPolygon>
            </wp:wrapTight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31A" w:rsidRPr="006D0B74">
        <w:rPr>
          <w:b/>
          <w:color w:val="001D77"/>
          <w:szCs w:val="20"/>
        </w:rPr>
        <w:t xml:space="preserve">Wykres </w:t>
      </w:r>
      <w:r w:rsidR="004D2A64">
        <w:rPr>
          <w:b/>
          <w:color w:val="001D77"/>
          <w:szCs w:val="20"/>
        </w:rPr>
        <w:t>3</w:t>
      </w:r>
      <w:r w:rsidR="0042731A" w:rsidRPr="006D0B74">
        <w:rPr>
          <w:b/>
          <w:color w:val="001D77"/>
          <w:szCs w:val="20"/>
        </w:rPr>
        <w:t xml:space="preserve">. </w:t>
      </w:r>
      <w:r w:rsidR="0042731A">
        <w:rPr>
          <w:b/>
          <w:color w:val="001D77"/>
          <w:szCs w:val="20"/>
        </w:rPr>
        <w:t xml:space="preserve">Współczynnik dzietności kobiet </w:t>
      </w: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4D2A64" w:rsidRDefault="004D2A64" w:rsidP="003D4E68">
      <w:pPr>
        <w:spacing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2D3EAA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>Ogólny współczynnik płodności, określony liczbą urodzeń żywych na 1000 kobiet w wieku rozrodczym (15-49 lat), w 201</w:t>
      </w:r>
      <w:r w:rsidR="00ED546F">
        <w:rPr>
          <w:szCs w:val="19"/>
        </w:rPr>
        <w:t>8</w:t>
      </w:r>
      <w:r w:rsidRPr="003A4639">
        <w:rPr>
          <w:szCs w:val="19"/>
        </w:rPr>
        <w:t xml:space="preserve"> r. osiągnął w województwie podkarpackim poziom </w:t>
      </w:r>
      <w:r w:rsidR="00ED546F">
        <w:rPr>
          <w:szCs w:val="19"/>
        </w:rPr>
        <w:t>41,9, w Polsce – 43,0</w:t>
      </w:r>
      <w:r w:rsidRPr="003A4639">
        <w:rPr>
          <w:szCs w:val="19"/>
        </w:rPr>
        <w:t>. Wyższa płodność występowała u kobiet mieszkających na wsi, gdzie na 1000 kobiet przypadało 43 dzieci, przy 4</w:t>
      </w:r>
      <w:r w:rsidR="00DA7DC9">
        <w:rPr>
          <w:szCs w:val="19"/>
        </w:rPr>
        <w:t>0</w:t>
      </w:r>
      <w:r w:rsidRPr="003A4639">
        <w:rPr>
          <w:szCs w:val="19"/>
        </w:rPr>
        <w:t xml:space="preserve"> w mi</w:t>
      </w:r>
      <w:r w:rsidR="00DA7DC9">
        <w:rPr>
          <w:szCs w:val="19"/>
        </w:rPr>
        <w:t>astach (w Polsce – odpowiednio po 43</w:t>
      </w:r>
      <w:r w:rsidRPr="003A4639">
        <w:rPr>
          <w:szCs w:val="19"/>
        </w:rPr>
        <w:t xml:space="preserve">). </w:t>
      </w:r>
    </w:p>
    <w:p w:rsidR="003A4639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 województwie podkarpackim najwyższą płodnością charakteryzowały się kobiety w wieku 25-29 lat, które urodziły </w:t>
      </w:r>
      <w:r w:rsidR="00DA7DC9">
        <w:rPr>
          <w:szCs w:val="19"/>
        </w:rPr>
        <w:t>33,8</w:t>
      </w:r>
      <w:r w:rsidRPr="003A4639">
        <w:rPr>
          <w:szCs w:val="19"/>
        </w:rPr>
        <w:t xml:space="preserve">% ogółu żywo urodzonych.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kobiet</w:t>
      </w:r>
      <w:r w:rsidRPr="003A4639">
        <w:rPr>
          <w:szCs w:val="19"/>
        </w:rPr>
        <w:t>, które w 201</w:t>
      </w:r>
      <w:r w:rsidR="00DA7DC9">
        <w:rPr>
          <w:szCs w:val="19"/>
        </w:rPr>
        <w:t>8</w:t>
      </w:r>
      <w:r w:rsidRPr="003A4639">
        <w:rPr>
          <w:szCs w:val="19"/>
        </w:rPr>
        <w:t xml:space="preserve"> r. urodziły dziecko, wyniósł </w:t>
      </w:r>
      <w:r w:rsidR="00DA7DC9">
        <w:rPr>
          <w:szCs w:val="19"/>
        </w:rPr>
        <w:t>30,2</w:t>
      </w:r>
      <w:r w:rsidRPr="003A4639">
        <w:rPr>
          <w:szCs w:val="19"/>
        </w:rPr>
        <w:t xml:space="preserve"> lat, </w:t>
      </w:r>
      <w:r w:rsidRPr="00B87C1F">
        <w:rPr>
          <w:szCs w:val="19"/>
        </w:rPr>
        <w:t>dl</w:t>
      </w:r>
      <w:bookmarkStart w:id="0" w:name="_GoBack"/>
      <w:bookmarkEnd w:id="0"/>
      <w:r w:rsidRPr="00B87C1F">
        <w:rPr>
          <w:szCs w:val="19"/>
        </w:rPr>
        <w:t>a porównania, w roku 2010</w:t>
      </w:r>
      <w:r w:rsidRPr="003A4639">
        <w:rPr>
          <w:szCs w:val="19"/>
        </w:rPr>
        <w:t xml:space="preserve"> wiek ten był niższy i wyniósł </w:t>
      </w:r>
      <w:r w:rsidR="00B87C1F">
        <w:rPr>
          <w:szCs w:val="19"/>
        </w:rPr>
        <w:t xml:space="preserve">28,5 </w:t>
      </w:r>
      <w:r w:rsidR="00813790">
        <w:rPr>
          <w:szCs w:val="19"/>
        </w:rPr>
        <w:t>lat</w:t>
      </w:r>
      <w:r w:rsidRPr="003A4639">
        <w:rPr>
          <w:szCs w:val="19"/>
        </w:rPr>
        <w:t xml:space="preserve">. </w:t>
      </w:r>
    </w:p>
    <w:p w:rsid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Wartość współczynnika dynamiki demograficznej (liczba urodzeń żywych na 1 zgon) </w:t>
      </w:r>
      <w:r w:rsidR="00356434">
        <w:rPr>
          <w:szCs w:val="19"/>
        </w:rPr>
        <w:t xml:space="preserve">spadła </w:t>
      </w:r>
      <w:r w:rsidR="00356434">
        <w:rPr>
          <w:szCs w:val="19"/>
        </w:rPr>
        <w:br/>
      </w:r>
      <w:r w:rsidRPr="003A4639">
        <w:rPr>
          <w:szCs w:val="19"/>
        </w:rPr>
        <w:t>z poziomu 1,</w:t>
      </w:r>
      <w:r w:rsidR="00356434">
        <w:rPr>
          <w:szCs w:val="19"/>
        </w:rPr>
        <w:t>13</w:t>
      </w:r>
      <w:r w:rsidRPr="003A4639">
        <w:rPr>
          <w:szCs w:val="19"/>
        </w:rPr>
        <w:t xml:space="preserve"> w 201</w:t>
      </w:r>
      <w:r w:rsidR="00356434">
        <w:rPr>
          <w:szCs w:val="19"/>
        </w:rPr>
        <w:t>7</w:t>
      </w:r>
      <w:r w:rsidRPr="003A4639">
        <w:rPr>
          <w:szCs w:val="19"/>
        </w:rPr>
        <w:t xml:space="preserve"> r. do 1,</w:t>
      </w:r>
      <w:r w:rsidR="00356434">
        <w:rPr>
          <w:szCs w:val="19"/>
        </w:rPr>
        <w:t>10</w:t>
      </w:r>
      <w:r w:rsidRPr="003A4639">
        <w:rPr>
          <w:szCs w:val="19"/>
        </w:rPr>
        <w:t xml:space="preserve"> w roku 201</w:t>
      </w:r>
      <w:r w:rsidR="00356434">
        <w:rPr>
          <w:szCs w:val="19"/>
        </w:rPr>
        <w:t>8</w:t>
      </w:r>
      <w:r w:rsidRPr="003A4639">
        <w:rPr>
          <w:szCs w:val="19"/>
        </w:rPr>
        <w:t>. W miastach na jeden zgon przypadało 1,</w:t>
      </w:r>
      <w:r w:rsidR="00356434">
        <w:rPr>
          <w:szCs w:val="19"/>
        </w:rPr>
        <w:t>09</w:t>
      </w:r>
      <w:r w:rsidRPr="003A4639">
        <w:rPr>
          <w:szCs w:val="19"/>
        </w:rPr>
        <w:t xml:space="preserve"> urodzeń, a na wsi – 1,1</w:t>
      </w:r>
      <w:r w:rsidR="008E34BB">
        <w:rPr>
          <w:szCs w:val="19"/>
        </w:rPr>
        <w:t>0</w:t>
      </w:r>
      <w:r w:rsidRPr="003A4639">
        <w:rPr>
          <w:szCs w:val="19"/>
        </w:rPr>
        <w:t xml:space="preserve">. W kraju współczynnik dynamiki demograficznej osiągnął wartość </w:t>
      </w:r>
      <w:r w:rsidR="00356434">
        <w:rPr>
          <w:szCs w:val="19"/>
        </w:rPr>
        <w:t>0,94</w:t>
      </w:r>
      <w:r w:rsidRPr="003A4639">
        <w:rPr>
          <w:szCs w:val="19"/>
        </w:rPr>
        <w:t xml:space="preserve">. </w:t>
      </w:r>
    </w:p>
    <w:p w:rsidR="00422F8D" w:rsidRPr="003A4639" w:rsidRDefault="00422F8D" w:rsidP="003D4E68">
      <w:pPr>
        <w:spacing w:before="0" w:after="0" w:line="250" w:lineRule="exact"/>
        <w:jc w:val="both"/>
        <w:rPr>
          <w:szCs w:val="19"/>
        </w:rPr>
      </w:pPr>
    </w:p>
    <w:p w:rsidR="003A4639" w:rsidRPr="00F40738" w:rsidRDefault="00422F8D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:rsidR="003A4639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BB4257">
        <w:rPr>
          <w:szCs w:val="19"/>
        </w:rPr>
        <w:t>W 201</w:t>
      </w:r>
      <w:r w:rsidR="00AB6880" w:rsidRPr="00BB4257">
        <w:rPr>
          <w:szCs w:val="19"/>
        </w:rPr>
        <w:t>8</w:t>
      </w:r>
      <w:r w:rsidRPr="00BB4257">
        <w:rPr>
          <w:szCs w:val="19"/>
        </w:rPr>
        <w:t xml:space="preserve"> r. zmarło </w:t>
      </w:r>
      <w:r w:rsidR="00AB6880" w:rsidRPr="00BB4257">
        <w:rPr>
          <w:szCs w:val="19"/>
        </w:rPr>
        <w:t>19636</w:t>
      </w:r>
      <w:r w:rsidRPr="00BB4257">
        <w:rPr>
          <w:szCs w:val="19"/>
        </w:rPr>
        <w:t xml:space="preserve"> osób, tj. o </w:t>
      </w:r>
      <w:r w:rsidR="00AB6880" w:rsidRPr="00BB4257">
        <w:rPr>
          <w:szCs w:val="19"/>
        </w:rPr>
        <w:t>309</w:t>
      </w:r>
      <w:r w:rsidRPr="00BB4257">
        <w:rPr>
          <w:szCs w:val="19"/>
        </w:rPr>
        <w:t xml:space="preserve"> os</w:t>
      </w:r>
      <w:r w:rsidR="00AB6880" w:rsidRPr="00BB4257">
        <w:rPr>
          <w:szCs w:val="19"/>
        </w:rPr>
        <w:t>ób</w:t>
      </w:r>
      <w:r w:rsidRPr="00BB4257">
        <w:rPr>
          <w:szCs w:val="19"/>
        </w:rPr>
        <w:t xml:space="preserve"> więcej niż w 201</w:t>
      </w:r>
      <w:r w:rsidR="00AB6880" w:rsidRPr="00BB4257">
        <w:rPr>
          <w:szCs w:val="19"/>
        </w:rPr>
        <w:t>7</w:t>
      </w:r>
      <w:r w:rsidRPr="00BB4257">
        <w:rPr>
          <w:szCs w:val="19"/>
        </w:rPr>
        <w:t xml:space="preserve"> r. i o </w:t>
      </w:r>
      <w:r w:rsidR="00AB6880" w:rsidRPr="00BB4257">
        <w:rPr>
          <w:szCs w:val="19"/>
        </w:rPr>
        <w:t>1348</w:t>
      </w:r>
      <w:r w:rsidRPr="00BB4257">
        <w:rPr>
          <w:szCs w:val="19"/>
        </w:rPr>
        <w:t xml:space="preserve"> więcej niż w 2010 r. </w:t>
      </w:r>
      <w:r w:rsidRPr="003A4639">
        <w:rPr>
          <w:szCs w:val="19"/>
        </w:rPr>
        <w:t>Współczynnik umieralności w województwie podkarpackim wyniósł 9,</w:t>
      </w:r>
      <w:r w:rsidR="00AB6880">
        <w:rPr>
          <w:szCs w:val="19"/>
        </w:rPr>
        <w:t>2</w:t>
      </w:r>
      <w:r w:rsidRPr="003A4639">
        <w:rPr>
          <w:szCs w:val="19"/>
        </w:rPr>
        <w:t>‰, co oznacza, że na 1000 ludności przypadało 9,</w:t>
      </w:r>
      <w:r w:rsidR="00BB4257">
        <w:rPr>
          <w:szCs w:val="19"/>
        </w:rPr>
        <w:t>2</w:t>
      </w:r>
      <w:r w:rsidRPr="003A4639">
        <w:rPr>
          <w:szCs w:val="19"/>
        </w:rPr>
        <w:t xml:space="preserve"> zgonów (dla Polski wskaźnik ten wyniósł 10,</w:t>
      </w:r>
      <w:r w:rsidR="00BB4257">
        <w:rPr>
          <w:szCs w:val="19"/>
        </w:rPr>
        <w:t>8</w:t>
      </w:r>
      <w:r w:rsidRPr="003A4639">
        <w:rPr>
          <w:szCs w:val="19"/>
        </w:rPr>
        <w:t>‰). Dla mężczyzn współczynnik ten był o 1,</w:t>
      </w:r>
      <w:r w:rsidR="00BB4257">
        <w:rPr>
          <w:szCs w:val="19"/>
        </w:rPr>
        <w:t>2</w:t>
      </w:r>
      <w:r w:rsidRPr="003A4639">
        <w:rPr>
          <w:szCs w:val="19"/>
        </w:rPr>
        <w:t xml:space="preserve"> punkt</w:t>
      </w:r>
      <w:r w:rsidR="00C131C9">
        <w:rPr>
          <w:szCs w:val="19"/>
        </w:rPr>
        <w:t>u promilowego</w:t>
      </w:r>
      <w:r w:rsidRPr="003A4639">
        <w:rPr>
          <w:szCs w:val="19"/>
        </w:rPr>
        <w:t xml:space="preserve"> wyższy niż dla kobiet. Liczba zgonów przypadająca na 1000 mieszkańców w miastach wyniosła 8,7, a na wsi – 9,</w:t>
      </w:r>
      <w:r w:rsidR="00BB4257">
        <w:rPr>
          <w:szCs w:val="19"/>
        </w:rPr>
        <w:t>6</w:t>
      </w:r>
      <w:r w:rsidRPr="003A4639">
        <w:rPr>
          <w:szCs w:val="19"/>
        </w:rPr>
        <w:t>. Najniższy współczynnik umieralności wystąpił w Rzeszowie (7,</w:t>
      </w:r>
      <w:r w:rsidR="00BB4257">
        <w:rPr>
          <w:szCs w:val="19"/>
        </w:rPr>
        <w:t>8</w:t>
      </w:r>
      <w:r w:rsidRPr="003A4639">
        <w:rPr>
          <w:szCs w:val="19"/>
        </w:rPr>
        <w:t>‰), a najwyższy w Przemyślu (11,</w:t>
      </w:r>
      <w:r w:rsidR="00BB4257">
        <w:rPr>
          <w:szCs w:val="19"/>
        </w:rPr>
        <w:t>5</w:t>
      </w:r>
      <w:r w:rsidRPr="003A4639">
        <w:rPr>
          <w:szCs w:val="19"/>
        </w:rPr>
        <w:t>‰).</w:t>
      </w:r>
    </w:p>
    <w:p w:rsid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>Wśród zmarłych przeważali mężczyźni, którzy w 201</w:t>
      </w:r>
      <w:r w:rsidR="00BB4257">
        <w:rPr>
          <w:szCs w:val="19"/>
        </w:rPr>
        <w:t>8</w:t>
      </w:r>
      <w:r w:rsidRPr="003A4639">
        <w:rPr>
          <w:szCs w:val="19"/>
        </w:rPr>
        <w:t xml:space="preserve"> r. stanowili </w:t>
      </w:r>
      <w:r w:rsidR="00BB4257">
        <w:rPr>
          <w:szCs w:val="19"/>
        </w:rPr>
        <w:t>52,3</w:t>
      </w:r>
      <w:r w:rsidRPr="003A4639">
        <w:rPr>
          <w:szCs w:val="19"/>
        </w:rPr>
        <w:t>%. Połowa zmarłych nie ukończyła 79,1 lat; dla kobiet wiek środkowy wyniósł 83,</w:t>
      </w:r>
      <w:r w:rsidR="00BB4257">
        <w:rPr>
          <w:szCs w:val="19"/>
        </w:rPr>
        <w:t>8</w:t>
      </w:r>
      <w:r w:rsidRPr="003A4639">
        <w:rPr>
          <w:szCs w:val="19"/>
        </w:rPr>
        <w:t xml:space="preserve"> lata, a dla mężczyzn – 72,</w:t>
      </w:r>
      <w:r w:rsidR="00BB4257">
        <w:rPr>
          <w:szCs w:val="19"/>
        </w:rPr>
        <w:t>3</w:t>
      </w:r>
      <w:r w:rsidRPr="003A4639">
        <w:rPr>
          <w:szCs w:val="19"/>
        </w:rPr>
        <w:t xml:space="preserve"> lata. </w:t>
      </w:r>
      <w:r>
        <w:rPr>
          <w:szCs w:val="19"/>
        </w:rPr>
        <w:br/>
      </w:r>
      <w:r w:rsidRPr="003A4639">
        <w:rPr>
          <w:szCs w:val="19"/>
        </w:rPr>
        <w:t>W 201</w:t>
      </w:r>
      <w:r w:rsidR="00BB4257">
        <w:rPr>
          <w:szCs w:val="19"/>
        </w:rPr>
        <w:t>8</w:t>
      </w:r>
      <w:r w:rsidRPr="003A4639">
        <w:rPr>
          <w:szCs w:val="19"/>
        </w:rPr>
        <w:t xml:space="preserve"> r. zarejestrowano </w:t>
      </w:r>
      <w:r w:rsidR="00BB4257">
        <w:rPr>
          <w:szCs w:val="19"/>
        </w:rPr>
        <w:t>90</w:t>
      </w:r>
      <w:r w:rsidRPr="003A4639">
        <w:rPr>
          <w:szCs w:val="19"/>
        </w:rPr>
        <w:t xml:space="preserve"> zgon</w:t>
      </w:r>
      <w:r w:rsidR="00BB4257">
        <w:rPr>
          <w:szCs w:val="19"/>
        </w:rPr>
        <w:t>ów</w:t>
      </w:r>
      <w:r w:rsidRPr="003A4639">
        <w:rPr>
          <w:szCs w:val="19"/>
        </w:rPr>
        <w:t xml:space="preserve"> niemowląt (dzieci poniżej 1 roku życia), tj. o 1</w:t>
      </w:r>
      <w:r w:rsidR="00BB4257">
        <w:rPr>
          <w:szCs w:val="19"/>
        </w:rPr>
        <w:t>8</w:t>
      </w:r>
      <w:r w:rsidRPr="003A4639">
        <w:rPr>
          <w:szCs w:val="19"/>
        </w:rPr>
        <w:t xml:space="preserve"> </w:t>
      </w:r>
      <w:r w:rsidR="00BB4257">
        <w:rPr>
          <w:szCs w:val="19"/>
        </w:rPr>
        <w:t>więcej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BB4257">
        <w:rPr>
          <w:szCs w:val="19"/>
        </w:rPr>
        <w:t>4,2</w:t>
      </w:r>
      <w:r w:rsidR="00BD0CB1">
        <w:rPr>
          <w:szCs w:val="19"/>
        </w:rPr>
        <w:t xml:space="preserve">‰, </w:t>
      </w:r>
      <w:r w:rsidRPr="003A4639">
        <w:rPr>
          <w:szCs w:val="19"/>
        </w:rPr>
        <w:t xml:space="preserve">w kraju </w:t>
      </w:r>
      <w:r w:rsidR="00BD0CB1">
        <w:rPr>
          <w:szCs w:val="19"/>
        </w:rPr>
        <w:t xml:space="preserve">- </w:t>
      </w:r>
      <w:r w:rsidR="00BB4257">
        <w:rPr>
          <w:szCs w:val="19"/>
        </w:rPr>
        <w:t>3,8</w:t>
      </w:r>
      <w:r w:rsidRPr="003A4639">
        <w:rPr>
          <w:szCs w:val="19"/>
        </w:rPr>
        <w:t xml:space="preserve">‰. </w:t>
      </w:r>
    </w:p>
    <w:p w:rsidR="00422F8D" w:rsidRPr="003A4639" w:rsidRDefault="00422F8D" w:rsidP="003D4E68">
      <w:pPr>
        <w:spacing w:before="0" w:after="0" w:line="250" w:lineRule="exact"/>
        <w:jc w:val="both"/>
        <w:rPr>
          <w:szCs w:val="19"/>
        </w:rPr>
      </w:pPr>
    </w:p>
    <w:p w:rsidR="003A4639" w:rsidRPr="00F40738" w:rsidRDefault="00422F8D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:rsidR="003A4639" w:rsidRPr="003A4639" w:rsidRDefault="006E4BD8" w:rsidP="003D4E68">
      <w:pPr>
        <w:spacing w:before="0" w:after="0" w:line="250" w:lineRule="exact"/>
        <w:jc w:val="both"/>
        <w:rPr>
          <w:szCs w:val="19"/>
        </w:rPr>
      </w:pPr>
      <w:r>
        <w:rPr>
          <w:noProof/>
          <w:szCs w:val="19"/>
          <w:lang w:eastAsia="pl-PL"/>
        </w:rPr>
        <w:pict>
          <v:shape id="_x0000_s1058" type="#_x0000_t202" style="position:absolute;left:0;text-align:left;margin-left:413.35pt;margin-top:3.75pt;width:135.85pt;height:43.85pt;z-index:-251651072;visibility:visible;mso-wrap-distance-top:3.6pt;mso-wrap-distance-bottom:3.6pt;mso-width-relative:margin;mso-height-relative:margin" wrapcoords="0 0" filled="f" stroked="f">
            <v:textbox style="mso-next-textbox:#_x0000_s1058">
              <w:txbxContent>
                <w:p w:rsidR="00601C87" w:rsidRPr="00E2311D" w:rsidRDefault="00F36E2E" w:rsidP="00601C87">
                  <w:pPr>
                    <w:pStyle w:val="tekstzboku"/>
                  </w:pPr>
                  <w:r>
                    <w:t>17,</w:t>
                  </w:r>
                  <w:r w:rsidR="0079188D">
                    <w:t>3</w:t>
                  </w:r>
                  <w:r>
                    <w:t>% ogółu małżeństw</w:t>
                  </w:r>
                  <w:r w:rsidR="001405CB">
                    <w:t xml:space="preserve"> </w:t>
                  </w:r>
                  <w:r w:rsidR="003D4E68">
                    <w:br/>
                  </w:r>
                  <w:r w:rsidR="001405CB">
                    <w:t>zawarto w sierpniu</w:t>
                  </w:r>
                </w:p>
              </w:txbxContent>
            </v:textbox>
            <w10:wrap type="tight"/>
          </v:shape>
        </w:pict>
      </w:r>
      <w:r w:rsidR="003A4639" w:rsidRPr="003A4639">
        <w:rPr>
          <w:szCs w:val="19"/>
        </w:rPr>
        <w:t>W 201</w:t>
      </w:r>
      <w:r w:rsidR="00A054E3">
        <w:rPr>
          <w:szCs w:val="19"/>
        </w:rPr>
        <w:t>8</w:t>
      </w:r>
      <w:r w:rsidR="003A4639" w:rsidRPr="003A4639">
        <w:rPr>
          <w:szCs w:val="19"/>
        </w:rPr>
        <w:t xml:space="preserve"> r. zawarto </w:t>
      </w:r>
      <w:r w:rsidR="00A054E3">
        <w:rPr>
          <w:szCs w:val="19"/>
        </w:rPr>
        <w:t>10,9</w:t>
      </w:r>
      <w:r w:rsidR="003A4639" w:rsidRPr="003A4639">
        <w:rPr>
          <w:szCs w:val="19"/>
        </w:rPr>
        <w:t xml:space="preserve"> tys. małżeństw, tj. o </w:t>
      </w:r>
      <w:r w:rsidR="00A054E3">
        <w:rPr>
          <w:szCs w:val="19"/>
        </w:rPr>
        <w:t>114</w:t>
      </w:r>
      <w:r w:rsidR="003A4639" w:rsidRPr="003A4639">
        <w:rPr>
          <w:szCs w:val="19"/>
        </w:rPr>
        <w:t xml:space="preserve"> mniej niż w 201</w:t>
      </w:r>
      <w:r w:rsidR="00A054E3">
        <w:rPr>
          <w:szCs w:val="19"/>
        </w:rPr>
        <w:t>7</w:t>
      </w:r>
      <w:r w:rsidR="003A4639" w:rsidRPr="003A4639">
        <w:rPr>
          <w:szCs w:val="19"/>
        </w:rPr>
        <w:t xml:space="preserve"> r. i o </w:t>
      </w:r>
      <w:r w:rsidR="00A054E3">
        <w:rPr>
          <w:szCs w:val="19"/>
        </w:rPr>
        <w:t>23</w:t>
      </w:r>
      <w:r w:rsidR="00ED5C54">
        <w:rPr>
          <w:szCs w:val="19"/>
        </w:rPr>
        <w:t>39</w:t>
      </w:r>
      <w:r w:rsidR="003A4639" w:rsidRPr="003A4639">
        <w:rPr>
          <w:szCs w:val="19"/>
        </w:rPr>
        <w:t xml:space="preserve"> mniej niż w 2010 r. Na 1000 ludności przypadało 5,</w:t>
      </w:r>
      <w:r w:rsidR="00A054E3">
        <w:rPr>
          <w:szCs w:val="19"/>
        </w:rPr>
        <w:t>1</w:t>
      </w:r>
      <w:r w:rsidR="003A4639" w:rsidRPr="003A4639">
        <w:rPr>
          <w:szCs w:val="19"/>
        </w:rPr>
        <w:t xml:space="preserve"> nowo zawartych małżeństw (w kraju 5,0). Na wsi wskaźnik ten wyniósł 5,</w:t>
      </w:r>
      <w:r w:rsidR="00A054E3">
        <w:rPr>
          <w:szCs w:val="19"/>
        </w:rPr>
        <w:t>2</w:t>
      </w:r>
      <w:r w:rsidR="003A4639" w:rsidRPr="003A4639">
        <w:rPr>
          <w:szCs w:val="19"/>
        </w:rPr>
        <w:t xml:space="preserve">‰, a w mieście 4,9‰. W przekroju powiatów najwyższy współczynnik natężenia małżeństw odnotowano w powiecie </w:t>
      </w:r>
      <w:r w:rsidR="00A054E3">
        <w:rPr>
          <w:szCs w:val="19"/>
        </w:rPr>
        <w:t xml:space="preserve">ropczycko-sędziszowskim </w:t>
      </w:r>
      <w:r w:rsidR="003A4639" w:rsidRPr="003A4639">
        <w:rPr>
          <w:szCs w:val="19"/>
        </w:rPr>
        <w:t>(</w:t>
      </w:r>
      <w:r w:rsidR="00A054E3">
        <w:rPr>
          <w:szCs w:val="19"/>
        </w:rPr>
        <w:t>6,0</w:t>
      </w:r>
      <w:r w:rsidR="003A4639" w:rsidRPr="003A4639">
        <w:rPr>
          <w:szCs w:val="19"/>
        </w:rPr>
        <w:t xml:space="preserve">‰), a najniższy </w:t>
      </w:r>
      <w:r w:rsidR="005D18B2">
        <w:rPr>
          <w:szCs w:val="19"/>
        </w:rPr>
        <w:br/>
      </w:r>
      <w:r w:rsidR="003A4639" w:rsidRPr="003A4639">
        <w:rPr>
          <w:szCs w:val="19"/>
        </w:rPr>
        <w:t xml:space="preserve">w </w:t>
      </w:r>
      <w:r w:rsidR="00A054E3">
        <w:rPr>
          <w:szCs w:val="19"/>
        </w:rPr>
        <w:t>Przemyślu</w:t>
      </w:r>
      <w:r w:rsidR="003A4639" w:rsidRPr="003A4639">
        <w:rPr>
          <w:szCs w:val="19"/>
        </w:rPr>
        <w:t xml:space="preserve"> (4,1‰).</w:t>
      </w:r>
    </w:p>
    <w:p w:rsidR="003D4E68" w:rsidRDefault="003D4E68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Małżeństwa wyznaniowe </w:t>
      </w:r>
      <w:r>
        <w:rPr>
          <w:szCs w:val="19"/>
        </w:rPr>
        <w:t xml:space="preserve">w 2018 r. </w:t>
      </w:r>
      <w:r w:rsidRPr="003A4639">
        <w:rPr>
          <w:szCs w:val="19"/>
        </w:rPr>
        <w:t>stanowiły</w:t>
      </w:r>
      <w:r>
        <w:rPr>
          <w:szCs w:val="19"/>
        </w:rPr>
        <w:t xml:space="preserve"> podobnie jak w roku ubiegłym </w:t>
      </w:r>
      <w:r w:rsidRPr="003A4639">
        <w:rPr>
          <w:szCs w:val="19"/>
        </w:rPr>
        <w:t xml:space="preserve">74,1% wszystkich zawartych małżeństw (w kraju – </w:t>
      </w:r>
      <w:r>
        <w:rPr>
          <w:szCs w:val="19"/>
        </w:rPr>
        <w:t>61,9</w:t>
      </w:r>
      <w:r w:rsidRPr="003A4639">
        <w:rPr>
          <w:szCs w:val="19"/>
        </w:rPr>
        <w:t>%), a w roku 201</w:t>
      </w:r>
      <w:r>
        <w:rPr>
          <w:szCs w:val="19"/>
        </w:rPr>
        <w:t>0</w:t>
      </w:r>
      <w:r w:rsidRPr="003A4639">
        <w:rPr>
          <w:szCs w:val="19"/>
        </w:rPr>
        <w:t xml:space="preserve"> – </w:t>
      </w:r>
      <w:r>
        <w:rPr>
          <w:szCs w:val="19"/>
        </w:rPr>
        <w:t>77,3</w:t>
      </w:r>
      <w:r w:rsidRPr="003A4639">
        <w:rPr>
          <w:szCs w:val="19"/>
        </w:rPr>
        <w:t>%. Odsetek takich małżeństw jest wyższy na wsi (</w:t>
      </w:r>
      <w:r>
        <w:rPr>
          <w:szCs w:val="19"/>
        </w:rPr>
        <w:t>76,9</w:t>
      </w:r>
      <w:r w:rsidRPr="003A4639">
        <w:rPr>
          <w:szCs w:val="19"/>
        </w:rPr>
        <w:t>%) niż w miastach (6</w:t>
      </w:r>
      <w:r>
        <w:rPr>
          <w:szCs w:val="19"/>
        </w:rPr>
        <w:t>9</w:t>
      </w:r>
      <w:r w:rsidRPr="003A4639">
        <w:rPr>
          <w:szCs w:val="19"/>
        </w:rPr>
        <w:t>,8%). Spośród 8</w:t>
      </w:r>
      <w:r>
        <w:rPr>
          <w:szCs w:val="19"/>
        </w:rPr>
        <w:t>056</w:t>
      </w:r>
      <w:r w:rsidRPr="003A4639">
        <w:rPr>
          <w:szCs w:val="19"/>
        </w:rPr>
        <w:t xml:space="preserve"> małżeństw wyznaniowych, tylko </w:t>
      </w:r>
      <w:r>
        <w:rPr>
          <w:szCs w:val="19"/>
        </w:rPr>
        <w:t>19</w:t>
      </w:r>
      <w:r w:rsidRPr="003A4639">
        <w:rPr>
          <w:szCs w:val="19"/>
        </w:rPr>
        <w:t xml:space="preserve"> nie było związkami zawartymi w kościele Katolickim. W liczbie tej największy udział miały związki zawarte w </w:t>
      </w:r>
      <w:r>
        <w:rPr>
          <w:szCs w:val="19"/>
        </w:rPr>
        <w:t>Polskim Autokefalicznym Kościele Prawosławnym</w:t>
      </w:r>
      <w:r w:rsidRPr="003A4639">
        <w:rPr>
          <w:szCs w:val="19"/>
        </w:rPr>
        <w:t xml:space="preserve"> – </w:t>
      </w:r>
      <w:r>
        <w:rPr>
          <w:szCs w:val="19"/>
        </w:rPr>
        <w:t>5</w:t>
      </w:r>
      <w:r w:rsidRPr="003A4639">
        <w:rPr>
          <w:szCs w:val="19"/>
        </w:rPr>
        <w:t xml:space="preserve"> związków</w:t>
      </w:r>
      <w:r>
        <w:rPr>
          <w:szCs w:val="19"/>
        </w:rPr>
        <w:t>.</w:t>
      </w:r>
    </w:p>
    <w:p w:rsidR="00C131C9" w:rsidRDefault="00C131C9" w:rsidP="003D4E68">
      <w:pPr>
        <w:jc w:val="both"/>
        <w:rPr>
          <w:b/>
          <w:color w:val="001D77"/>
          <w:szCs w:val="20"/>
        </w:rPr>
      </w:pPr>
    </w:p>
    <w:p w:rsidR="003D4E68" w:rsidRPr="006D0B74" w:rsidRDefault="003D4E68" w:rsidP="003D4E68">
      <w:pPr>
        <w:jc w:val="both"/>
        <w:rPr>
          <w:b/>
          <w:color w:val="001D77"/>
          <w:szCs w:val="2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5168" behindDoc="0" locked="0" layoutInCell="1" allowOverlap="1" wp14:anchorId="15DFFBEA" wp14:editId="4CCFEE8A">
            <wp:simplePos x="0" y="0"/>
            <wp:positionH relativeFrom="column">
              <wp:posOffset>57150</wp:posOffset>
            </wp:positionH>
            <wp:positionV relativeFrom="paragraph">
              <wp:posOffset>292100</wp:posOffset>
            </wp:positionV>
            <wp:extent cx="5122545" cy="2466975"/>
            <wp:effectExtent l="0" t="0" r="0" b="0"/>
            <wp:wrapNone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0B74">
        <w:rPr>
          <w:b/>
          <w:color w:val="001D77"/>
          <w:szCs w:val="20"/>
        </w:rPr>
        <w:t xml:space="preserve">Wykres </w:t>
      </w:r>
      <w:r>
        <w:rPr>
          <w:b/>
          <w:color w:val="001D77"/>
          <w:szCs w:val="20"/>
        </w:rPr>
        <w:t>4</w:t>
      </w:r>
      <w:r w:rsidRPr="006D0B74">
        <w:rPr>
          <w:b/>
          <w:color w:val="001D77"/>
          <w:szCs w:val="20"/>
        </w:rPr>
        <w:t xml:space="preserve">. </w:t>
      </w:r>
      <w:r>
        <w:rPr>
          <w:b/>
          <w:color w:val="001D77"/>
          <w:szCs w:val="20"/>
        </w:rPr>
        <w:t xml:space="preserve">Struktura małżeństw według wieku nowożeńców </w:t>
      </w: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422F8D" w:rsidRPr="003A4639" w:rsidRDefault="00422F8D" w:rsidP="00F84AD5">
      <w:pPr>
        <w:spacing w:before="0" w:after="0" w:line="244" w:lineRule="exact"/>
        <w:jc w:val="both"/>
        <w:rPr>
          <w:szCs w:val="19"/>
        </w:rPr>
      </w:pPr>
    </w:p>
    <w:p w:rsidR="003A4639" w:rsidRPr="00120EDE" w:rsidRDefault="00422F8D" w:rsidP="00F84AD5">
      <w:pPr>
        <w:spacing w:before="240" w:line="244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Rozwody i separacje </w:t>
      </w:r>
    </w:p>
    <w:p w:rsidR="003A4639" w:rsidRPr="003A4639" w:rsidRDefault="006E4BD8" w:rsidP="00F84AD5">
      <w:pPr>
        <w:spacing w:before="0" w:after="0" w:line="244" w:lineRule="exact"/>
        <w:jc w:val="both"/>
        <w:rPr>
          <w:szCs w:val="19"/>
        </w:rPr>
      </w:pPr>
      <w:r>
        <w:rPr>
          <w:noProof/>
          <w:szCs w:val="19"/>
          <w:lang w:eastAsia="pl-PL"/>
        </w:rPr>
        <w:pict>
          <v:shape id="_x0000_s1060" type="#_x0000_t202" style="position:absolute;left:0;text-align:left;margin-left:417.15pt;margin-top:11.85pt;width:135.85pt;height:57.65pt;z-index:-25165414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_x0000_s1060">
              <w:txbxContent>
                <w:p w:rsidR="001405CB" w:rsidRPr="00F40738" w:rsidRDefault="001405CB" w:rsidP="001405CB">
                  <w:pPr>
                    <w:pStyle w:val="tekstzboku"/>
                  </w:pPr>
                  <w:r w:rsidRPr="00F40738">
                    <w:t>Województwo podkarpackie posiadało najniższy wskaźnik rozwodów w Polsce</w:t>
                  </w:r>
                </w:p>
              </w:txbxContent>
            </v:textbox>
            <w10:wrap type="tight"/>
            <w10:anchorlock/>
          </v:shape>
        </w:pict>
      </w:r>
      <w:r w:rsidR="003A4639" w:rsidRPr="003A4639">
        <w:rPr>
          <w:szCs w:val="19"/>
        </w:rPr>
        <w:t>W 201</w:t>
      </w:r>
      <w:r w:rsidR="009611EB">
        <w:rPr>
          <w:szCs w:val="19"/>
        </w:rPr>
        <w:t>8</w:t>
      </w:r>
      <w:r w:rsidR="003A4639" w:rsidRPr="003A4639">
        <w:rPr>
          <w:szCs w:val="19"/>
        </w:rPr>
        <w:t xml:space="preserve"> r. rozwiodło się 24</w:t>
      </w:r>
      <w:r w:rsidR="009611EB">
        <w:rPr>
          <w:szCs w:val="19"/>
        </w:rPr>
        <w:t>77</w:t>
      </w:r>
      <w:r w:rsidR="003A4639" w:rsidRPr="003A4639">
        <w:rPr>
          <w:szCs w:val="19"/>
        </w:rPr>
        <w:t xml:space="preserve"> par małżeńskich, tj. o </w:t>
      </w:r>
      <w:r w:rsidR="009611EB">
        <w:rPr>
          <w:szCs w:val="19"/>
        </w:rPr>
        <w:t>10</w:t>
      </w:r>
      <w:r w:rsidR="003A4639" w:rsidRPr="003A4639">
        <w:rPr>
          <w:szCs w:val="19"/>
        </w:rPr>
        <w:t xml:space="preserve"> mniej niż w roku poprzednim. W odniesieniu do roku 2010 liczba ta była o 18,</w:t>
      </w:r>
      <w:r w:rsidR="009611EB">
        <w:rPr>
          <w:szCs w:val="19"/>
        </w:rPr>
        <w:t>7</w:t>
      </w:r>
      <w:r w:rsidR="003A4639" w:rsidRPr="003A4639">
        <w:rPr>
          <w:szCs w:val="19"/>
        </w:rPr>
        <w:t>% większa. Wskaźnik rozwodów, określany jako liczba rozwodów przypadająca na 1000 ludności</w:t>
      </w:r>
      <w:r w:rsidR="0007706B">
        <w:rPr>
          <w:szCs w:val="19"/>
        </w:rPr>
        <w:t>,</w:t>
      </w:r>
      <w:r w:rsidR="009611EB">
        <w:rPr>
          <w:szCs w:val="19"/>
        </w:rPr>
        <w:t xml:space="preserve"> </w:t>
      </w:r>
      <w:r w:rsidR="009611EB" w:rsidRPr="0066202D">
        <w:rPr>
          <w:szCs w:val="19"/>
          <w:shd w:val="clear" w:color="auto" w:fill="FFFFFF" w:themeFill="background1"/>
        </w:rPr>
        <w:t>pozostawał na poz</w:t>
      </w:r>
      <w:r w:rsidR="0066202D">
        <w:rPr>
          <w:szCs w:val="19"/>
          <w:shd w:val="clear" w:color="auto" w:fill="FFFFFF" w:themeFill="background1"/>
        </w:rPr>
        <w:t>iomie sprzed roku i wynosił 1,2</w:t>
      </w:r>
      <w:r w:rsidR="00202FC3" w:rsidRPr="0066202D">
        <w:rPr>
          <w:szCs w:val="19"/>
          <w:shd w:val="clear" w:color="auto" w:fill="FFFFFF" w:themeFill="background1"/>
        </w:rPr>
        <w:t>.</w:t>
      </w:r>
      <w:r w:rsidR="003A4639" w:rsidRPr="003A4639">
        <w:rPr>
          <w:szCs w:val="19"/>
        </w:rPr>
        <w:t xml:space="preserve"> </w:t>
      </w:r>
      <w:r w:rsidR="003A4639">
        <w:rPr>
          <w:szCs w:val="19"/>
        </w:rPr>
        <w:br/>
      </w:r>
      <w:r w:rsidR="003A4639" w:rsidRPr="003A4639">
        <w:rPr>
          <w:szCs w:val="19"/>
        </w:rPr>
        <w:t xml:space="preserve">W miastach natężenie rozwodów było prawie 2-krotnie wyższe niż na wsi (odpowiednio: </w:t>
      </w:r>
      <w:r w:rsidR="0066202D">
        <w:rPr>
          <w:szCs w:val="19"/>
        </w:rPr>
        <w:t>1,7</w:t>
      </w:r>
      <w:r w:rsidR="003A4639" w:rsidRPr="003A4639">
        <w:rPr>
          <w:szCs w:val="19"/>
        </w:rPr>
        <w:t xml:space="preserve">‰ i 0,8‰). Biorąc pod uwagę podział terytorialny według powiatów, najwyższy współczynnik rozwodów odnotowano w </w:t>
      </w:r>
      <w:r w:rsidR="0066202D">
        <w:rPr>
          <w:szCs w:val="19"/>
        </w:rPr>
        <w:t xml:space="preserve">Przemyślu </w:t>
      </w:r>
      <w:r w:rsidR="003A4639" w:rsidRPr="003A4639">
        <w:rPr>
          <w:szCs w:val="19"/>
        </w:rPr>
        <w:t>(2,</w:t>
      </w:r>
      <w:r w:rsidR="0066202D">
        <w:rPr>
          <w:szCs w:val="19"/>
        </w:rPr>
        <w:t>2</w:t>
      </w:r>
      <w:r w:rsidR="003A4639" w:rsidRPr="003A4639">
        <w:rPr>
          <w:szCs w:val="19"/>
        </w:rPr>
        <w:t>‰), natomiast najniższy w powi</w:t>
      </w:r>
      <w:r w:rsidR="0066202D">
        <w:rPr>
          <w:szCs w:val="19"/>
        </w:rPr>
        <w:t>ecie</w:t>
      </w:r>
      <w:r w:rsidR="00601102">
        <w:rPr>
          <w:szCs w:val="19"/>
        </w:rPr>
        <w:t xml:space="preserve"> </w:t>
      </w:r>
      <w:r w:rsidR="003A4639" w:rsidRPr="003A4639">
        <w:rPr>
          <w:szCs w:val="19"/>
        </w:rPr>
        <w:t>kolbuszowskim (0,</w:t>
      </w:r>
      <w:r w:rsidR="0066202D">
        <w:rPr>
          <w:szCs w:val="19"/>
        </w:rPr>
        <w:t>7‰)</w:t>
      </w:r>
      <w:r w:rsidR="003A4639" w:rsidRPr="003A4639">
        <w:rPr>
          <w:szCs w:val="19"/>
        </w:rPr>
        <w:t xml:space="preserve">. </w:t>
      </w:r>
    </w:p>
    <w:p w:rsidR="00C91F16" w:rsidRDefault="003A4639" w:rsidP="00F84AD5">
      <w:pPr>
        <w:spacing w:before="0" w:after="0" w:line="244" w:lineRule="exact"/>
        <w:jc w:val="both"/>
        <w:rPr>
          <w:szCs w:val="19"/>
        </w:rPr>
      </w:pPr>
      <w:r w:rsidRPr="003A4639">
        <w:rPr>
          <w:szCs w:val="19"/>
        </w:rPr>
        <w:t>W 201</w:t>
      </w:r>
      <w:r w:rsidR="00C91F16">
        <w:rPr>
          <w:szCs w:val="19"/>
        </w:rPr>
        <w:t>8</w:t>
      </w:r>
      <w:r w:rsidRPr="003A4639">
        <w:rPr>
          <w:szCs w:val="19"/>
        </w:rPr>
        <w:t xml:space="preserve"> r. na 1000 nowo zawartych małżeństw przypadało 22</w:t>
      </w:r>
      <w:r w:rsidR="00ED5C54">
        <w:rPr>
          <w:szCs w:val="19"/>
        </w:rPr>
        <w:t>8</w:t>
      </w:r>
      <w:r w:rsidRPr="003A4639">
        <w:rPr>
          <w:szCs w:val="19"/>
        </w:rPr>
        <w:t xml:space="preserve"> rozwodów, przy czym w miastach – 3</w:t>
      </w:r>
      <w:r w:rsidR="00ED5C54">
        <w:rPr>
          <w:szCs w:val="19"/>
        </w:rPr>
        <w:t>38</w:t>
      </w:r>
      <w:r w:rsidRPr="003A4639">
        <w:rPr>
          <w:szCs w:val="19"/>
        </w:rPr>
        <w:t>, a 1</w:t>
      </w:r>
      <w:r w:rsidR="00ED5C54">
        <w:rPr>
          <w:szCs w:val="19"/>
        </w:rPr>
        <w:t>55</w:t>
      </w:r>
      <w:r w:rsidRPr="003A4639">
        <w:rPr>
          <w:szCs w:val="19"/>
        </w:rPr>
        <w:t xml:space="preserve"> na wsi. Dla porównania, w roku 2010 na 1000 zawartych małżeństw przypadało 158 rozwodów (240 w miastach i 98 na wsi). Najczęściej rozwodzili się małżonkowie, którzy w momencie zawierania małżeństwa mieli 20-24 lata (</w:t>
      </w:r>
      <w:r w:rsidR="00C91F16">
        <w:rPr>
          <w:szCs w:val="19"/>
        </w:rPr>
        <w:t>27,3% wszystkich rozwodów) oraz</w:t>
      </w:r>
    </w:p>
    <w:p w:rsidR="003A4639" w:rsidRPr="003A4639" w:rsidRDefault="003A4639" w:rsidP="00F84AD5">
      <w:pPr>
        <w:spacing w:before="0" w:after="0" w:line="244" w:lineRule="exact"/>
        <w:jc w:val="both"/>
        <w:rPr>
          <w:szCs w:val="19"/>
        </w:rPr>
      </w:pPr>
      <w:r w:rsidRPr="003A4639">
        <w:rPr>
          <w:szCs w:val="19"/>
        </w:rPr>
        <w:t>małżeństwa nie posiadające dzieci (40,</w:t>
      </w:r>
      <w:r w:rsidR="00C91F16">
        <w:rPr>
          <w:szCs w:val="19"/>
        </w:rPr>
        <w:t>5</w:t>
      </w:r>
      <w:r w:rsidRPr="003A4639">
        <w:rPr>
          <w:szCs w:val="19"/>
        </w:rPr>
        <w:t>%)</w:t>
      </w:r>
      <w:r w:rsidR="00C91F16">
        <w:rPr>
          <w:szCs w:val="19"/>
        </w:rPr>
        <w:t>. M</w:t>
      </w:r>
      <w:r w:rsidRPr="003A4639">
        <w:rPr>
          <w:szCs w:val="19"/>
        </w:rPr>
        <w:t>ałżeństwa posiadające 1 dziecko</w:t>
      </w:r>
      <w:r w:rsidR="00C91F16">
        <w:rPr>
          <w:szCs w:val="19"/>
        </w:rPr>
        <w:t xml:space="preserve"> stanowiły 35</w:t>
      </w:r>
      <w:r w:rsidR="00ED5C54">
        <w:rPr>
          <w:szCs w:val="19"/>
        </w:rPr>
        <w:t>,0</w:t>
      </w:r>
      <w:r w:rsidR="00C91F16">
        <w:rPr>
          <w:szCs w:val="19"/>
        </w:rPr>
        <w:t>%</w:t>
      </w:r>
      <w:r w:rsidRPr="003A4639">
        <w:rPr>
          <w:szCs w:val="19"/>
        </w:rPr>
        <w:t xml:space="preserve"> rozwodów. </w:t>
      </w:r>
    </w:p>
    <w:p w:rsidR="00F84AD5" w:rsidRDefault="003A4639" w:rsidP="00F84AD5">
      <w:pPr>
        <w:spacing w:before="0" w:after="0" w:line="244" w:lineRule="exact"/>
        <w:jc w:val="both"/>
        <w:rPr>
          <w:szCs w:val="19"/>
        </w:rPr>
      </w:pPr>
      <w:r w:rsidRPr="003A4639">
        <w:rPr>
          <w:szCs w:val="19"/>
        </w:rPr>
        <w:t>W 201</w:t>
      </w:r>
      <w:r w:rsidR="009727E9">
        <w:rPr>
          <w:szCs w:val="19"/>
        </w:rPr>
        <w:t>8</w:t>
      </w:r>
      <w:r w:rsidRPr="003A4639">
        <w:rPr>
          <w:szCs w:val="19"/>
        </w:rPr>
        <w:t xml:space="preserve"> r. spośród rozwiedzionych małżeństw 59,</w:t>
      </w:r>
      <w:r w:rsidR="009727E9">
        <w:rPr>
          <w:szCs w:val="19"/>
        </w:rPr>
        <w:t>5</w:t>
      </w:r>
      <w:r w:rsidRPr="003A4639">
        <w:rPr>
          <w:szCs w:val="19"/>
        </w:rPr>
        <w:t>% posiadało małoletnie dzieci na utrzymaniu</w:t>
      </w:r>
      <w:r w:rsidR="009727E9">
        <w:rPr>
          <w:szCs w:val="19"/>
        </w:rPr>
        <w:t xml:space="preserve"> (w Polsce 57,6%)</w:t>
      </w:r>
      <w:r w:rsidRPr="003A4639">
        <w:rPr>
          <w:szCs w:val="19"/>
        </w:rPr>
        <w:t xml:space="preserve">. Na jedno rozwodzące się małżeństwo z dziećmi przypadało podobnie jak rok wcześniej średnio 1,5 dziecka. </w:t>
      </w:r>
    </w:p>
    <w:p w:rsidR="00E04BF1" w:rsidRPr="006D0B74" w:rsidRDefault="00E04BF1" w:rsidP="00E04BF1">
      <w:pPr>
        <w:jc w:val="both"/>
        <w:rPr>
          <w:b/>
          <w:color w:val="001D77"/>
          <w:szCs w:val="20"/>
        </w:rPr>
      </w:pPr>
      <w:r w:rsidRPr="006D0B74">
        <w:rPr>
          <w:b/>
          <w:color w:val="001D77"/>
          <w:szCs w:val="20"/>
        </w:rPr>
        <w:t xml:space="preserve">Wykres </w:t>
      </w:r>
      <w:r w:rsidR="004D2A64">
        <w:rPr>
          <w:b/>
          <w:color w:val="001D77"/>
          <w:szCs w:val="20"/>
        </w:rPr>
        <w:t>5</w:t>
      </w:r>
      <w:r w:rsidRPr="006D0B74">
        <w:rPr>
          <w:b/>
          <w:color w:val="001D77"/>
          <w:szCs w:val="20"/>
        </w:rPr>
        <w:t xml:space="preserve">. </w:t>
      </w:r>
      <w:r>
        <w:rPr>
          <w:b/>
          <w:color w:val="001D77"/>
          <w:szCs w:val="20"/>
        </w:rPr>
        <w:t xml:space="preserve">Rozwody według czasu trwania małżeństwa </w:t>
      </w:r>
      <w:r w:rsidR="001554E1">
        <w:rPr>
          <w:b/>
          <w:color w:val="001D77"/>
          <w:szCs w:val="20"/>
        </w:rPr>
        <w:t>w 201</w:t>
      </w:r>
      <w:r w:rsidR="00ED6864">
        <w:rPr>
          <w:b/>
          <w:color w:val="001D77"/>
          <w:szCs w:val="20"/>
        </w:rPr>
        <w:t>8</w:t>
      </w:r>
      <w:r w:rsidR="001554E1">
        <w:rPr>
          <w:b/>
          <w:color w:val="001D77"/>
          <w:szCs w:val="20"/>
        </w:rPr>
        <w:t xml:space="preserve"> r.</w:t>
      </w:r>
    </w:p>
    <w:p w:rsidR="00E04BF1" w:rsidRDefault="003E05C2" w:rsidP="003A4639">
      <w:pPr>
        <w:spacing w:before="0" w:after="0"/>
        <w:jc w:val="both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8DD2135" wp14:editId="264FA939">
            <wp:simplePos x="0" y="0"/>
            <wp:positionH relativeFrom="column">
              <wp:posOffset>54585</wp:posOffset>
            </wp:positionH>
            <wp:positionV relativeFrom="paragraph">
              <wp:posOffset>5410</wp:posOffset>
            </wp:positionV>
            <wp:extent cx="4781550" cy="2004695"/>
            <wp:effectExtent l="0" t="0" r="0" b="0"/>
            <wp:wrapThrough wrapText="bothSides">
              <wp:wrapPolygon edited="0">
                <wp:start x="172" y="411"/>
                <wp:lineTo x="86" y="6774"/>
                <wp:lineTo x="1893" y="7389"/>
                <wp:lineTo x="8520" y="7389"/>
                <wp:lineTo x="344" y="8416"/>
                <wp:lineTo x="344" y="9647"/>
                <wp:lineTo x="6368" y="10673"/>
                <wp:lineTo x="688" y="11084"/>
                <wp:lineTo x="172" y="11289"/>
                <wp:lineTo x="258" y="13958"/>
                <wp:lineTo x="775" y="17242"/>
                <wp:lineTo x="775" y="20115"/>
                <wp:lineTo x="3700" y="20526"/>
                <wp:lineTo x="19707" y="20936"/>
                <wp:lineTo x="20825" y="20936"/>
                <wp:lineTo x="21256" y="14779"/>
                <wp:lineTo x="20481" y="13958"/>
                <wp:lineTo x="21084" y="11905"/>
                <wp:lineTo x="20223" y="11289"/>
                <wp:lineTo x="16178" y="10673"/>
                <wp:lineTo x="21084" y="9442"/>
                <wp:lineTo x="20912" y="9031"/>
                <wp:lineTo x="11876" y="7389"/>
                <wp:lineTo x="18932" y="7389"/>
                <wp:lineTo x="21256" y="6568"/>
                <wp:lineTo x="21256" y="1232"/>
                <wp:lineTo x="1205" y="411"/>
                <wp:lineTo x="172" y="411"/>
              </wp:wrapPolygon>
            </wp:wrapThrough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A4639" w:rsidRPr="003A4639" w:rsidRDefault="003A4639" w:rsidP="003E05C2">
      <w:pPr>
        <w:spacing w:before="240" w:after="0"/>
        <w:jc w:val="both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961724">
        <w:rPr>
          <w:szCs w:val="19"/>
        </w:rPr>
        <w:t>74,6</w:t>
      </w:r>
      <w:r w:rsidRPr="003A4639">
        <w:rPr>
          <w:szCs w:val="19"/>
        </w:rPr>
        <w:t xml:space="preserve">%), a </w:t>
      </w:r>
      <w:r w:rsidR="00961724">
        <w:rPr>
          <w:szCs w:val="19"/>
        </w:rPr>
        <w:t>17,2</w:t>
      </w:r>
      <w:r w:rsidRPr="003A4639">
        <w:rPr>
          <w:szCs w:val="19"/>
        </w:rPr>
        <w:t>% rozwodów orzeczono z winy męża. Najczęstsze przyczyny rozwodów to niezgodność charakterów (</w:t>
      </w:r>
      <w:r w:rsidR="00961724">
        <w:rPr>
          <w:szCs w:val="19"/>
        </w:rPr>
        <w:t>24,7</w:t>
      </w:r>
      <w:r w:rsidRPr="003A4639">
        <w:rPr>
          <w:szCs w:val="19"/>
        </w:rPr>
        <w:t>%), nadużywanie alkoholu w powiązaniu z nagannym stosunkiem do członków rodziny (10,0%) oraz niedochowanie wierności małżeńskiej (</w:t>
      </w:r>
      <w:r w:rsidR="00961724">
        <w:rPr>
          <w:szCs w:val="19"/>
        </w:rPr>
        <w:t>4,4</w:t>
      </w:r>
      <w:r w:rsidRPr="003A4639">
        <w:rPr>
          <w:szCs w:val="19"/>
        </w:rPr>
        <w:t xml:space="preserve">%). </w:t>
      </w:r>
    </w:p>
    <w:p w:rsidR="003A4639" w:rsidRPr="003A4639" w:rsidRDefault="003A4639" w:rsidP="003A4639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>W 201</w:t>
      </w:r>
      <w:r w:rsidR="00961724">
        <w:rPr>
          <w:szCs w:val="19"/>
        </w:rPr>
        <w:t>8</w:t>
      </w:r>
      <w:r w:rsidRPr="003A4639">
        <w:rPr>
          <w:szCs w:val="19"/>
        </w:rPr>
        <w:t xml:space="preserve"> r. sądy orzekły separację wobec </w:t>
      </w:r>
      <w:r w:rsidR="00961724">
        <w:rPr>
          <w:szCs w:val="19"/>
        </w:rPr>
        <w:t>96</w:t>
      </w:r>
      <w:r w:rsidRPr="003A4639">
        <w:rPr>
          <w:szCs w:val="19"/>
        </w:rPr>
        <w:t xml:space="preserve"> małżeństw (o 2</w:t>
      </w:r>
      <w:r w:rsidR="00961724">
        <w:rPr>
          <w:szCs w:val="19"/>
        </w:rPr>
        <w:t>6</w:t>
      </w:r>
      <w:r w:rsidRPr="003A4639">
        <w:rPr>
          <w:szCs w:val="19"/>
        </w:rPr>
        <w:t xml:space="preserve"> </w:t>
      </w:r>
      <w:r w:rsidR="00961724">
        <w:rPr>
          <w:szCs w:val="19"/>
        </w:rPr>
        <w:t>mniej</w:t>
      </w:r>
      <w:r w:rsidRPr="003A4639">
        <w:rPr>
          <w:szCs w:val="19"/>
        </w:rPr>
        <w:t xml:space="preserve"> niż w 201</w:t>
      </w:r>
      <w:r w:rsidR="00961724">
        <w:rPr>
          <w:szCs w:val="19"/>
        </w:rPr>
        <w:t>7</w:t>
      </w:r>
      <w:r w:rsidRPr="003A4639">
        <w:rPr>
          <w:szCs w:val="19"/>
        </w:rPr>
        <w:t xml:space="preserve"> r.), z czego </w:t>
      </w:r>
      <w:r w:rsidR="00961724">
        <w:rPr>
          <w:szCs w:val="19"/>
        </w:rPr>
        <w:t>51,0</w:t>
      </w:r>
      <w:r w:rsidRPr="003A4639">
        <w:rPr>
          <w:szCs w:val="19"/>
        </w:rPr>
        <w:t xml:space="preserve">% przypadało na mieszkańców </w:t>
      </w:r>
      <w:r w:rsidR="00961724">
        <w:rPr>
          <w:szCs w:val="19"/>
        </w:rPr>
        <w:t>miast</w:t>
      </w:r>
      <w:r w:rsidRPr="003A4639">
        <w:rPr>
          <w:szCs w:val="19"/>
        </w:rPr>
        <w:t xml:space="preserve">. W przeliczeniu na 100 tys. ludności liczba separacji wyniosła </w:t>
      </w:r>
      <w:r w:rsidR="00961724">
        <w:rPr>
          <w:szCs w:val="19"/>
        </w:rPr>
        <w:t>4,5</w:t>
      </w:r>
      <w:r w:rsidRPr="003A4639">
        <w:rPr>
          <w:szCs w:val="19"/>
        </w:rPr>
        <w:t xml:space="preserve">  (dla miast – </w:t>
      </w:r>
      <w:r w:rsidR="00961724">
        <w:rPr>
          <w:szCs w:val="19"/>
        </w:rPr>
        <w:t>5,6 i 3,8</w:t>
      </w:r>
      <w:r w:rsidRPr="003A4639">
        <w:rPr>
          <w:szCs w:val="19"/>
        </w:rPr>
        <w:t xml:space="preserve"> dla wsi). W kraju wskaźnik ten wyniósł </w:t>
      </w:r>
      <w:r w:rsidR="00961724">
        <w:rPr>
          <w:szCs w:val="19"/>
        </w:rPr>
        <w:t>3,3.</w:t>
      </w:r>
      <w:r w:rsidRPr="003A4639">
        <w:rPr>
          <w:szCs w:val="19"/>
        </w:rPr>
        <w:t xml:space="preserve"> Separacje z powództwa żony stanowiły </w:t>
      </w:r>
      <w:r w:rsidR="00961724">
        <w:rPr>
          <w:szCs w:val="19"/>
        </w:rPr>
        <w:t>77,1</w:t>
      </w:r>
      <w:r w:rsidRPr="003A4639">
        <w:rPr>
          <w:szCs w:val="19"/>
        </w:rPr>
        <w:t xml:space="preserve">% ogółu orzeczonych separacji. Separacje bezdzietnych małżeństw stanowiły </w:t>
      </w:r>
      <w:r w:rsidR="00961724">
        <w:rPr>
          <w:szCs w:val="19"/>
        </w:rPr>
        <w:t>38,5</w:t>
      </w:r>
      <w:r w:rsidRPr="003A4639">
        <w:rPr>
          <w:szCs w:val="19"/>
        </w:rPr>
        <w:t>% orzeczonych separacji (</w:t>
      </w:r>
      <w:r w:rsidR="00961724">
        <w:rPr>
          <w:szCs w:val="19"/>
        </w:rPr>
        <w:t>27,7</w:t>
      </w:r>
      <w:r w:rsidRPr="003A4639">
        <w:rPr>
          <w:szCs w:val="19"/>
        </w:rPr>
        <w:t xml:space="preserve">% rok temu). Spośród małżeństw posiadających dzieci najczęściej separacje dotyczyły małżeństw posiadających </w:t>
      </w:r>
      <w:r w:rsidR="00961724">
        <w:rPr>
          <w:szCs w:val="19"/>
        </w:rPr>
        <w:t>dwoje dzieci</w:t>
      </w:r>
      <w:r w:rsidRPr="003A4639">
        <w:rPr>
          <w:szCs w:val="19"/>
        </w:rPr>
        <w:t xml:space="preserve"> (</w:t>
      </w:r>
      <w:r w:rsidR="007570E7">
        <w:rPr>
          <w:szCs w:val="19"/>
        </w:rPr>
        <w:t>49,2</w:t>
      </w:r>
      <w:r w:rsidRPr="003A4639">
        <w:rPr>
          <w:szCs w:val="19"/>
        </w:rPr>
        <w:t xml:space="preserve">%). </w:t>
      </w:r>
    </w:p>
    <w:p w:rsidR="003A4639" w:rsidRPr="00F40738" w:rsidRDefault="00422F8D" w:rsidP="00422F8D">
      <w:pPr>
        <w:spacing w:before="240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lastRenderedPageBreak/>
        <w:t xml:space="preserve">Migracje </w:t>
      </w:r>
    </w:p>
    <w:p w:rsidR="001525F8" w:rsidRDefault="003A4639" w:rsidP="003A4639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Drugim, obok przyrostu naturalnego, czynnikiem mającym istotny wpływ na stan zaludnienia są migracje ludności. Od wielu lat w województwie notuje się ujemne saldo migracji. W 2017 r. w wyniku migracji liczba ludności zmniejszyła się o </w:t>
      </w:r>
      <w:r w:rsidR="00C67A63">
        <w:rPr>
          <w:szCs w:val="19"/>
        </w:rPr>
        <w:t>2741</w:t>
      </w:r>
      <w:r w:rsidRPr="003A4639">
        <w:rPr>
          <w:szCs w:val="19"/>
        </w:rPr>
        <w:t xml:space="preserve"> osób, co w przeliczeniu na 1000 mieszkańców województwa wynosi minus </w:t>
      </w:r>
      <w:r w:rsidR="00C67A63">
        <w:rPr>
          <w:szCs w:val="19"/>
        </w:rPr>
        <w:t>1,2</w:t>
      </w:r>
      <w:r w:rsidR="00140B20">
        <w:rPr>
          <w:szCs w:val="19"/>
        </w:rPr>
        <w:t>9</w:t>
      </w:r>
      <w:r w:rsidRPr="003A4639">
        <w:rPr>
          <w:szCs w:val="19"/>
        </w:rPr>
        <w:t xml:space="preserve"> (w kraju 0,0</w:t>
      </w:r>
      <w:r w:rsidR="00C67A63">
        <w:rPr>
          <w:szCs w:val="19"/>
        </w:rPr>
        <w:t>9</w:t>
      </w:r>
      <w:r w:rsidRPr="003A4639">
        <w:rPr>
          <w:szCs w:val="19"/>
        </w:rPr>
        <w:t>). Oznacza to, że liczba osób wymeldowanych z pobytu stałego w województwie podkarpackim w ciągu roku przekroczyła liczbę osób zameldowanych na pobyt stały w tym okresie. Liczba mieszkańców województwa zmniejszyła się w 201</w:t>
      </w:r>
      <w:r w:rsidR="00C67A63">
        <w:rPr>
          <w:szCs w:val="19"/>
        </w:rPr>
        <w:t>8</w:t>
      </w:r>
      <w:r w:rsidRPr="003A4639">
        <w:rPr>
          <w:szCs w:val="19"/>
        </w:rPr>
        <w:t xml:space="preserve"> r. o </w:t>
      </w:r>
      <w:r w:rsidR="00C67A63">
        <w:rPr>
          <w:szCs w:val="19"/>
        </w:rPr>
        <w:t>1178</w:t>
      </w:r>
      <w:r w:rsidRPr="003A4639">
        <w:rPr>
          <w:szCs w:val="19"/>
        </w:rPr>
        <w:t xml:space="preserve"> mężczyzn i o </w:t>
      </w:r>
      <w:r w:rsidR="00C67A63">
        <w:rPr>
          <w:szCs w:val="19"/>
        </w:rPr>
        <w:t>1563</w:t>
      </w:r>
      <w:r w:rsidRPr="003A4639">
        <w:rPr>
          <w:szCs w:val="19"/>
        </w:rPr>
        <w:t xml:space="preserve"> kobiety. Z miast ubyło </w:t>
      </w:r>
      <w:r w:rsidR="00C67A63">
        <w:rPr>
          <w:szCs w:val="19"/>
        </w:rPr>
        <w:t>2301</w:t>
      </w:r>
      <w:r w:rsidRPr="003A4639">
        <w:rPr>
          <w:szCs w:val="19"/>
        </w:rPr>
        <w:t xml:space="preserve"> osób, natomiast na wsi liczba ludności zmniejszyła się o </w:t>
      </w:r>
      <w:r w:rsidR="00C67A63">
        <w:rPr>
          <w:szCs w:val="19"/>
        </w:rPr>
        <w:t>440</w:t>
      </w:r>
      <w:r w:rsidRPr="003A4639">
        <w:rPr>
          <w:szCs w:val="19"/>
        </w:rPr>
        <w:t xml:space="preserve"> osób. </w:t>
      </w:r>
    </w:p>
    <w:p w:rsidR="001525F8" w:rsidRPr="006D0B74" w:rsidRDefault="001525F8" w:rsidP="0030249F">
      <w:pPr>
        <w:jc w:val="both"/>
        <w:rPr>
          <w:b/>
          <w:color w:val="001D77"/>
          <w:szCs w:val="20"/>
        </w:rPr>
      </w:pPr>
      <w:r w:rsidRPr="006D0B74">
        <w:rPr>
          <w:b/>
          <w:color w:val="001D77"/>
          <w:szCs w:val="20"/>
        </w:rPr>
        <w:t xml:space="preserve">Wykres </w:t>
      </w:r>
      <w:r>
        <w:rPr>
          <w:b/>
          <w:color w:val="001D77"/>
          <w:szCs w:val="20"/>
        </w:rPr>
        <w:t>7</w:t>
      </w:r>
      <w:r w:rsidRPr="006D0B74">
        <w:rPr>
          <w:b/>
          <w:color w:val="001D77"/>
          <w:szCs w:val="20"/>
        </w:rPr>
        <w:t xml:space="preserve">. </w:t>
      </w:r>
      <w:r>
        <w:rPr>
          <w:b/>
          <w:color w:val="001D77"/>
          <w:szCs w:val="20"/>
        </w:rPr>
        <w:t>Saldo migracji wewnętrznych i zagranicznych na pobyt stały w 201</w:t>
      </w:r>
      <w:r w:rsidR="0030249F">
        <w:rPr>
          <w:b/>
          <w:color w:val="001D77"/>
          <w:szCs w:val="20"/>
        </w:rPr>
        <w:t>8</w:t>
      </w:r>
      <w:r>
        <w:rPr>
          <w:b/>
          <w:color w:val="001D77"/>
          <w:szCs w:val="20"/>
        </w:rPr>
        <w:t xml:space="preserve"> r.</w:t>
      </w:r>
    </w:p>
    <w:p w:rsidR="001525F8" w:rsidRDefault="003D4E68" w:rsidP="001525F8">
      <w:pPr>
        <w:jc w:val="both"/>
        <w:rPr>
          <w:szCs w:val="20"/>
        </w:rPr>
      </w:pPr>
      <w:r w:rsidRPr="003D4E68">
        <w:rPr>
          <w:noProof/>
          <w:szCs w:val="20"/>
          <w:lang w:eastAsia="pl-PL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382374</wp:posOffset>
            </wp:positionH>
            <wp:positionV relativeFrom="paragraph">
              <wp:posOffset>228600</wp:posOffset>
            </wp:positionV>
            <wp:extent cx="4705985" cy="4535170"/>
            <wp:effectExtent l="0" t="0" r="0" b="0"/>
            <wp:wrapTight wrapText="bothSides">
              <wp:wrapPolygon edited="0">
                <wp:start x="0" y="0"/>
                <wp:lineTo x="0" y="21503"/>
                <wp:lineTo x="21510" y="21503"/>
                <wp:lineTo x="21510" y="0"/>
                <wp:lineTo x="0" y="0"/>
              </wp:wrapPolygon>
            </wp:wrapTight>
            <wp:docPr id="6" name="Obraz 6" descr="\\VMFRZE01\wa\Aguś\2019\mapa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\\VMFRZE01\wa\Aguś\2019\mapa_1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985" cy="45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Pr="003A4639" w:rsidRDefault="001525F8" w:rsidP="003A4639">
      <w:pPr>
        <w:spacing w:before="0" w:after="0"/>
        <w:jc w:val="both"/>
        <w:rPr>
          <w:szCs w:val="19"/>
        </w:rPr>
      </w:pPr>
    </w:p>
    <w:p w:rsidR="003A4639" w:rsidRPr="003A4639" w:rsidRDefault="003A4639" w:rsidP="003A4639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>W 201</w:t>
      </w:r>
      <w:r w:rsidR="00C67A63">
        <w:rPr>
          <w:szCs w:val="19"/>
        </w:rPr>
        <w:t>8</w:t>
      </w:r>
      <w:r w:rsidRPr="003A4639">
        <w:rPr>
          <w:szCs w:val="19"/>
        </w:rPr>
        <w:t xml:space="preserve"> r. w województwie podkarpackim zameldowało się na pobyt stały </w:t>
      </w:r>
      <w:r w:rsidR="00C67A63">
        <w:rPr>
          <w:szCs w:val="19"/>
        </w:rPr>
        <w:t>21,6</w:t>
      </w:r>
      <w:r w:rsidRPr="003A4639">
        <w:rPr>
          <w:szCs w:val="19"/>
        </w:rPr>
        <w:t xml:space="preserve"> tys. osób </w:t>
      </w:r>
      <w:r>
        <w:rPr>
          <w:szCs w:val="19"/>
        </w:rPr>
        <w:br/>
      </w:r>
      <w:r w:rsidRPr="003A4639">
        <w:rPr>
          <w:szCs w:val="19"/>
        </w:rPr>
        <w:t xml:space="preserve">(z czego </w:t>
      </w:r>
      <w:r w:rsidR="00C67A63">
        <w:rPr>
          <w:szCs w:val="19"/>
        </w:rPr>
        <w:t>890</w:t>
      </w:r>
      <w:r w:rsidRPr="003A4639">
        <w:rPr>
          <w:szCs w:val="19"/>
        </w:rPr>
        <w:t xml:space="preserve"> osób przybyło z zagranicy). Wśród ludności napływowej przeważały kobiety (52,1%) oraz osoby osiedlające się na wsi (56,</w:t>
      </w:r>
      <w:r w:rsidR="00C67A63">
        <w:rPr>
          <w:szCs w:val="19"/>
        </w:rPr>
        <w:t>6</w:t>
      </w:r>
      <w:r w:rsidRPr="003A4639">
        <w:rPr>
          <w:szCs w:val="19"/>
        </w:rPr>
        <w:t xml:space="preserve">%). Odpływ ludności wyniósł </w:t>
      </w:r>
      <w:r w:rsidR="00C67A63">
        <w:rPr>
          <w:szCs w:val="19"/>
        </w:rPr>
        <w:t>24,3</w:t>
      </w:r>
      <w:r w:rsidRPr="003A4639">
        <w:rPr>
          <w:szCs w:val="19"/>
        </w:rPr>
        <w:t xml:space="preserve"> tys. osób, </w:t>
      </w:r>
      <w:r>
        <w:rPr>
          <w:szCs w:val="19"/>
        </w:rPr>
        <w:br/>
      </w:r>
      <w:r w:rsidRPr="003A4639">
        <w:rPr>
          <w:szCs w:val="19"/>
        </w:rPr>
        <w:t xml:space="preserve">z czego za granicę wymeldowało się z pobytu stałego </w:t>
      </w:r>
      <w:r w:rsidR="00C67A63">
        <w:rPr>
          <w:szCs w:val="19"/>
        </w:rPr>
        <w:t>512</w:t>
      </w:r>
      <w:r w:rsidRPr="003A4639">
        <w:rPr>
          <w:szCs w:val="19"/>
        </w:rPr>
        <w:t xml:space="preserve"> mieszkańców. Z województwa częściej wymeldowywały się kobiety (52,</w:t>
      </w:r>
      <w:r w:rsidR="00C67A63">
        <w:rPr>
          <w:szCs w:val="19"/>
        </w:rPr>
        <w:t>7</w:t>
      </w:r>
      <w:r w:rsidRPr="003A4639">
        <w:rPr>
          <w:szCs w:val="19"/>
        </w:rPr>
        <w:t>%) oraz osoby zamieszkałe na wsi (52,</w:t>
      </w:r>
      <w:r w:rsidR="00C67A63">
        <w:rPr>
          <w:szCs w:val="19"/>
        </w:rPr>
        <w:t>0</w:t>
      </w:r>
      <w:r w:rsidRPr="003A4639">
        <w:rPr>
          <w:szCs w:val="19"/>
        </w:rPr>
        <w:t>%). W 201</w:t>
      </w:r>
      <w:r w:rsidR="00C67A63">
        <w:rPr>
          <w:szCs w:val="19"/>
        </w:rPr>
        <w:t>8</w:t>
      </w:r>
      <w:r w:rsidRPr="003A4639">
        <w:rPr>
          <w:szCs w:val="19"/>
        </w:rPr>
        <w:t xml:space="preserve"> r. </w:t>
      </w:r>
      <w:r>
        <w:rPr>
          <w:szCs w:val="19"/>
        </w:rPr>
        <w:br/>
      </w:r>
      <w:r w:rsidRPr="003A4639">
        <w:rPr>
          <w:szCs w:val="19"/>
        </w:rPr>
        <w:t xml:space="preserve">w ruchu wewnętrznym zameldowano na pobyt stały </w:t>
      </w:r>
      <w:r w:rsidR="00C67A63">
        <w:rPr>
          <w:szCs w:val="19"/>
        </w:rPr>
        <w:t>20,7</w:t>
      </w:r>
      <w:r w:rsidRPr="003A4639">
        <w:rPr>
          <w:szCs w:val="19"/>
        </w:rPr>
        <w:t xml:space="preserve"> tys. osób, natomiast liczba osób wymeldowanych z pobytu stałego wyniosła </w:t>
      </w:r>
      <w:r w:rsidR="00C67A63">
        <w:rPr>
          <w:szCs w:val="19"/>
        </w:rPr>
        <w:t>23,8</w:t>
      </w:r>
      <w:r w:rsidRPr="003A4639">
        <w:rPr>
          <w:szCs w:val="19"/>
        </w:rPr>
        <w:t xml:space="preserve"> tys. osób. W ruchu migracyjnym wewnętrznym w województwie podkarpackim przeważały kobiety. W 201</w:t>
      </w:r>
      <w:r w:rsidR="00C67A63">
        <w:rPr>
          <w:szCs w:val="19"/>
        </w:rPr>
        <w:t>8</w:t>
      </w:r>
      <w:r w:rsidRPr="003A4639">
        <w:rPr>
          <w:szCs w:val="19"/>
        </w:rPr>
        <w:t xml:space="preserve"> r. zameldowano na pobyt stały 10,</w:t>
      </w:r>
      <w:r w:rsidR="00C67A63">
        <w:rPr>
          <w:szCs w:val="19"/>
        </w:rPr>
        <w:t>8</w:t>
      </w:r>
      <w:r w:rsidRPr="003A4639">
        <w:rPr>
          <w:szCs w:val="19"/>
        </w:rPr>
        <w:t xml:space="preserve"> tys. kobiet, które stanowiły 52,2% ogółu zameldowań, wymeldowało się natomiast 1</w:t>
      </w:r>
      <w:r w:rsidR="00C67A63">
        <w:rPr>
          <w:szCs w:val="19"/>
        </w:rPr>
        <w:t>2</w:t>
      </w:r>
      <w:r w:rsidRPr="003A4639">
        <w:rPr>
          <w:szCs w:val="19"/>
        </w:rPr>
        <w:t xml:space="preserve">,6 tys. kobiet (52,9% ogółu </w:t>
      </w:r>
      <w:proofErr w:type="spellStart"/>
      <w:r w:rsidRPr="003A4639">
        <w:rPr>
          <w:szCs w:val="19"/>
        </w:rPr>
        <w:t>wymeldowań</w:t>
      </w:r>
      <w:proofErr w:type="spellEnd"/>
      <w:r w:rsidRPr="003A4639">
        <w:rPr>
          <w:szCs w:val="19"/>
        </w:rPr>
        <w:t xml:space="preserve">). </w:t>
      </w:r>
    </w:p>
    <w:p w:rsidR="003A4639" w:rsidRDefault="003A4639" w:rsidP="00C67A63">
      <w:pPr>
        <w:spacing w:before="0" w:after="0"/>
        <w:jc w:val="both"/>
        <w:rPr>
          <w:szCs w:val="20"/>
        </w:rPr>
      </w:pPr>
      <w:r w:rsidRPr="003A4639">
        <w:rPr>
          <w:szCs w:val="19"/>
        </w:rPr>
        <w:t>W 201</w:t>
      </w:r>
      <w:r w:rsidR="00C67A63">
        <w:rPr>
          <w:szCs w:val="19"/>
        </w:rPr>
        <w:t>8</w:t>
      </w:r>
      <w:r w:rsidRPr="003A4639">
        <w:rPr>
          <w:szCs w:val="19"/>
        </w:rPr>
        <w:t xml:space="preserve"> z województwa podkarpackiego wyemigrowało na stałe za granicę </w:t>
      </w:r>
      <w:r w:rsidR="00C67A63">
        <w:rPr>
          <w:szCs w:val="19"/>
        </w:rPr>
        <w:t>512</w:t>
      </w:r>
      <w:r w:rsidRPr="003A4639">
        <w:rPr>
          <w:szCs w:val="19"/>
        </w:rPr>
        <w:t xml:space="preserve"> osób. Liczba imigrantów przybywających do województwa wyniosła </w:t>
      </w:r>
      <w:r w:rsidR="00C67A63">
        <w:rPr>
          <w:szCs w:val="19"/>
        </w:rPr>
        <w:t>890</w:t>
      </w:r>
      <w:r w:rsidRPr="003A4639">
        <w:rPr>
          <w:szCs w:val="19"/>
        </w:rPr>
        <w:t xml:space="preserve"> osób. Saldo migracji zagranicznych osiągnęło wartość 3</w:t>
      </w:r>
      <w:r w:rsidR="00C67A63">
        <w:rPr>
          <w:szCs w:val="19"/>
        </w:rPr>
        <w:t>7</w:t>
      </w:r>
      <w:r w:rsidR="00140B20">
        <w:rPr>
          <w:szCs w:val="19"/>
        </w:rPr>
        <w:t>8</w:t>
      </w:r>
      <w:r w:rsidRPr="003A4639">
        <w:rPr>
          <w:szCs w:val="19"/>
        </w:rPr>
        <w:t xml:space="preserve"> os</w:t>
      </w:r>
      <w:r w:rsidR="00C67A63">
        <w:rPr>
          <w:szCs w:val="19"/>
        </w:rPr>
        <w:t>ób</w:t>
      </w:r>
      <w:r w:rsidRPr="003A4639">
        <w:rPr>
          <w:szCs w:val="19"/>
        </w:rPr>
        <w:t xml:space="preserve">, z tego </w:t>
      </w:r>
      <w:r w:rsidR="00140B20">
        <w:rPr>
          <w:szCs w:val="19"/>
        </w:rPr>
        <w:t>94</w:t>
      </w:r>
      <w:r w:rsidRPr="003A4639">
        <w:rPr>
          <w:szCs w:val="19"/>
        </w:rPr>
        <w:t xml:space="preserve"> osób w miastach oraz </w:t>
      </w:r>
      <w:r w:rsidR="00140B20">
        <w:rPr>
          <w:szCs w:val="19"/>
        </w:rPr>
        <w:t>284</w:t>
      </w:r>
      <w:r w:rsidRPr="003A4639">
        <w:rPr>
          <w:szCs w:val="19"/>
        </w:rPr>
        <w:t xml:space="preserve"> osób na wsi. </w:t>
      </w:r>
    </w:p>
    <w:p w:rsidR="00694AF0" w:rsidRPr="003A4639" w:rsidRDefault="00694AF0" w:rsidP="00E76D26">
      <w:pPr>
        <w:rPr>
          <w:sz w:val="18"/>
        </w:rPr>
        <w:sectPr w:rsidR="00694AF0" w:rsidRPr="003A4639" w:rsidSect="001448A7">
          <w:headerReference w:type="default" r:id="rId18"/>
          <w:head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DD34CF" w:rsidRPr="00DD34CF" w:rsidRDefault="00DD34CF" w:rsidP="00DD34CF">
      <w:pPr>
        <w:rPr>
          <w:sz w:val="18"/>
          <w:szCs w:val="18"/>
        </w:rPr>
      </w:pPr>
    </w:p>
    <w:tbl>
      <w:tblPr>
        <w:tblpPr w:leftFromText="141" w:rightFromText="141" w:vertAnchor="text" w:horzAnchor="margin" w:tblpY="-47"/>
        <w:tblW w:w="8505" w:type="dxa"/>
        <w:tblLook w:val="04A0" w:firstRow="1" w:lastRow="0" w:firstColumn="1" w:lastColumn="0" w:noHBand="0" w:noVBand="1"/>
      </w:tblPr>
      <w:tblGrid>
        <w:gridCol w:w="4503"/>
        <w:gridCol w:w="4002"/>
      </w:tblGrid>
      <w:tr w:rsidR="00DD34CF" w:rsidRPr="00F435EC" w:rsidTr="00E94CED">
        <w:trPr>
          <w:trHeight w:val="1912"/>
        </w:trPr>
        <w:tc>
          <w:tcPr>
            <w:tcW w:w="4503" w:type="dxa"/>
            <w:shd w:val="clear" w:color="auto" w:fill="auto"/>
          </w:tcPr>
          <w:p w:rsidR="00DD34CF" w:rsidRPr="00DD34CF" w:rsidRDefault="00DD34CF" w:rsidP="00DD34CF">
            <w:pPr>
              <w:spacing w:before="0" w:after="0" w:line="240" w:lineRule="auto"/>
              <w:rPr>
                <w:rFonts w:cs="Arial"/>
                <w:sz w:val="20"/>
                <w:szCs w:val="18"/>
              </w:rPr>
            </w:pPr>
            <w:r w:rsidRPr="00DD34CF">
              <w:rPr>
                <w:rFonts w:cs="Arial"/>
                <w:sz w:val="20"/>
                <w:szCs w:val="18"/>
              </w:rPr>
              <w:t>Opracowanie merytoryczne:</w:t>
            </w:r>
          </w:p>
          <w:p w:rsidR="00DD34CF" w:rsidRPr="00DD34CF" w:rsidRDefault="001639F4" w:rsidP="00141D6A">
            <w:pPr>
              <w:spacing w:before="60" w:after="0" w:line="240" w:lineRule="auto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Podkarpacki Ośrodek Badań Regionalnych</w:t>
            </w:r>
          </w:p>
          <w:p w:rsidR="00DD34CF" w:rsidRPr="00DD34CF" w:rsidRDefault="001639F4" w:rsidP="00E94CED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>Agnieszka Skarbowska</w:t>
            </w:r>
          </w:p>
          <w:p w:rsidR="00DD34CF" w:rsidRPr="00DD34CF" w:rsidRDefault="00DD34CF" w:rsidP="00E94CED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DD34CF">
              <w:rPr>
                <w:rFonts w:eastAsiaTheme="majorEastAsia" w:cs="Arial"/>
                <w:b/>
                <w:sz w:val="20"/>
                <w:szCs w:val="24"/>
                <w:lang w:val="fi-FI"/>
              </w:rPr>
              <w:t>tel</w:t>
            </w:r>
            <w:r w:rsidR="00F03AAD">
              <w:rPr>
                <w:rFonts w:eastAsiaTheme="majorEastAsia" w:cs="Arial"/>
                <w:b/>
                <w:sz w:val="20"/>
                <w:szCs w:val="24"/>
                <w:lang w:val="fi-FI"/>
              </w:rPr>
              <w:t>.</w:t>
            </w:r>
            <w:r w:rsidRPr="00DD34CF">
              <w:rPr>
                <w:rFonts w:eastAsiaTheme="majorEastAsia" w:cs="Arial"/>
                <w:b/>
                <w:sz w:val="20"/>
                <w:szCs w:val="24"/>
                <w:lang w:val="fi-FI"/>
              </w:rPr>
              <w:t>:</w:t>
            </w:r>
            <w:r w:rsidRPr="00DD34CF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>+48</w:t>
            </w:r>
            <w:r w:rsidRPr="00DC0FDB">
              <w:rPr>
                <w:rFonts w:asciiTheme="majorHAnsi" w:eastAsiaTheme="majorEastAsia" w:hAnsiTheme="majorHAnsi" w:cstheme="majorBidi"/>
                <w:sz w:val="20"/>
                <w:szCs w:val="24"/>
              </w:rPr>
              <w:t xml:space="preserve">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>17</w:t>
            </w:r>
            <w:r w:rsidR="00DF1EAB">
              <w:rPr>
                <w:rFonts w:eastAsiaTheme="majorEastAsia" w:cs="Arial"/>
                <w:sz w:val="20"/>
                <w:szCs w:val="24"/>
                <w:lang w:val="fi-FI"/>
              </w:rPr>
              <w:t xml:space="preserve"> 853 </w:t>
            </w:r>
            <w:r w:rsidR="00141D6A">
              <w:rPr>
                <w:rFonts w:eastAsiaTheme="majorEastAsia" w:cs="Arial"/>
                <w:sz w:val="20"/>
                <w:szCs w:val="24"/>
                <w:lang w:val="fi-FI"/>
              </w:rPr>
              <w:t>52</w:t>
            </w:r>
            <w:r w:rsidRPr="00DD34CF">
              <w:rPr>
                <w:rFonts w:eastAsiaTheme="majorEastAsia" w:cs="Arial"/>
                <w:sz w:val="20"/>
                <w:szCs w:val="24"/>
                <w:lang w:val="fi-FI"/>
              </w:rPr>
              <w:t xml:space="preserve">10, 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>+48</w:t>
            </w:r>
            <w:r w:rsidRPr="00DC0FDB">
              <w:rPr>
                <w:rFonts w:asciiTheme="majorHAnsi" w:eastAsiaTheme="majorEastAsia" w:hAnsiTheme="majorHAnsi" w:cstheme="majorBidi"/>
                <w:sz w:val="20"/>
                <w:szCs w:val="24"/>
              </w:rPr>
              <w:t xml:space="preserve"> </w:t>
            </w:r>
            <w:r w:rsidR="00141D6A" w:rsidRPr="00DC0FDB">
              <w:rPr>
                <w:rFonts w:eastAsiaTheme="majorEastAsia" w:cstheme="majorBidi"/>
                <w:sz w:val="20"/>
                <w:szCs w:val="24"/>
              </w:rPr>
              <w:t>17 853 52</w:t>
            </w:r>
            <w:r w:rsidRPr="00DC0FDB">
              <w:rPr>
                <w:rFonts w:eastAsiaTheme="majorEastAsia" w:cstheme="majorBidi"/>
                <w:sz w:val="20"/>
                <w:szCs w:val="24"/>
              </w:rPr>
              <w:t xml:space="preserve">19, </w:t>
            </w:r>
            <w:r w:rsidR="00E94CED" w:rsidRPr="00DC0FDB">
              <w:rPr>
                <w:rFonts w:eastAsiaTheme="majorEastAsia" w:cstheme="majorBidi"/>
                <w:sz w:val="20"/>
                <w:szCs w:val="24"/>
              </w:rPr>
              <w:br/>
            </w:r>
            <w:r w:rsidR="00E94CED">
              <w:rPr>
                <w:rFonts w:eastAsiaTheme="majorEastAsia" w:cs="Arial"/>
                <w:sz w:val="20"/>
                <w:szCs w:val="24"/>
                <w:lang w:val="fi-FI"/>
              </w:rPr>
              <w:t xml:space="preserve">     </w:t>
            </w:r>
            <w:r w:rsidR="00C16782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="00E94CED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="00C16782">
              <w:rPr>
                <w:rFonts w:eastAsiaTheme="majorEastAsia" w:cs="Arial"/>
                <w:sz w:val="20"/>
                <w:szCs w:val="24"/>
                <w:lang w:val="fi-FI"/>
              </w:rPr>
              <w:t xml:space="preserve">  </w:t>
            </w:r>
            <w:r w:rsidR="00A666C7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Pr="00DD34CF">
              <w:rPr>
                <w:rFonts w:eastAsiaTheme="majorEastAsia" w:cs="Arial"/>
                <w:sz w:val="20"/>
                <w:szCs w:val="24"/>
                <w:lang w:val="fi-FI"/>
              </w:rPr>
              <w:t xml:space="preserve">wew. </w:t>
            </w:r>
            <w:r w:rsidR="001639F4">
              <w:rPr>
                <w:rFonts w:eastAsiaTheme="majorEastAsia" w:cs="Arial"/>
                <w:sz w:val="20"/>
                <w:szCs w:val="24"/>
                <w:lang w:val="fi-FI"/>
              </w:rPr>
              <w:t>205</w:t>
            </w:r>
          </w:p>
          <w:p w:rsidR="00DD34CF" w:rsidRPr="00DD34CF" w:rsidRDefault="00DD34CF" w:rsidP="001639F4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lang w:val="fi-FI"/>
              </w:rPr>
            </w:pPr>
            <w:r w:rsidRPr="00DC0FDB">
              <w:rPr>
                <w:rFonts w:eastAsiaTheme="majorEastAsia" w:cs="Arial"/>
                <w:b/>
                <w:sz w:val="20"/>
                <w:szCs w:val="20"/>
              </w:rPr>
              <w:t xml:space="preserve">e-mail: </w:t>
            </w:r>
            <w:r w:rsidR="00E94CED" w:rsidRPr="00C16782">
              <w:rPr>
                <w:rFonts w:eastAsiaTheme="majorEastAsia" w:cs="Arial"/>
                <w:b/>
                <w:color w:val="1F4E79" w:themeColor="accent1" w:themeShade="80"/>
                <w:sz w:val="20"/>
                <w:szCs w:val="20"/>
              </w:rPr>
              <w:tab/>
            </w:r>
            <w:hyperlink r:id="rId20" w:history="1">
              <w:r w:rsidR="001639F4" w:rsidRPr="00E327B7">
                <w:rPr>
                  <w:rStyle w:val="Hipercze"/>
                  <w:rFonts w:eastAsiaTheme="majorEastAsia" w:cs="Arial"/>
                  <w:color w:val="001D77"/>
                  <w:sz w:val="20"/>
                  <w:szCs w:val="20"/>
                </w:rPr>
                <w:t>A.Skarbowska@stat.gov.pl</w:t>
              </w:r>
            </w:hyperlink>
          </w:p>
        </w:tc>
        <w:tc>
          <w:tcPr>
            <w:tcW w:w="4002" w:type="dxa"/>
          </w:tcPr>
          <w:p w:rsidR="00DD34CF" w:rsidRPr="00DC0FDB" w:rsidRDefault="00DD34CF" w:rsidP="00DD34CF">
            <w:pPr>
              <w:spacing w:before="0" w:after="0" w:line="240" w:lineRule="auto"/>
              <w:rPr>
                <w:rFonts w:cs="Arial"/>
                <w:sz w:val="20"/>
                <w:szCs w:val="18"/>
              </w:rPr>
            </w:pPr>
            <w:r w:rsidRPr="00DC0FDB">
              <w:rPr>
                <w:rFonts w:cs="Arial"/>
                <w:sz w:val="20"/>
                <w:szCs w:val="18"/>
              </w:rPr>
              <w:t>Rozpowszechnianie:</w:t>
            </w:r>
          </w:p>
          <w:p w:rsidR="00DD34CF" w:rsidRPr="00DC0FDB" w:rsidRDefault="00E47A49" w:rsidP="00E94CED">
            <w:pPr>
              <w:keepNext/>
              <w:keepLines/>
              <w:spacing w:before="60" w:after="0" w:line="240" w:lineRule="auto"/>
              <w:outlineLvl w:val="2"/>
              <w:rPr>
                <w:b/>
                <w:sz w:val="20"/>
                <w:szCs w:val="20"/>
                <w:lang w:eastAsia="pl-PL"/>
              </w:rPr>
            </w:pPr>
            <w:r w:rsidRPr="00DC0FDB">
              <w:rPr>
                <w:rFonts w:cs="Arial"/>
                <w:b/>
                <w:sz w:val="20"/>
                <w:szCs w:val="28"/>
              </w:rPr>
              <w:t>Angelika Koprowicz</w:t>
            </w:r>
          </w:p>
          <w:p w:rsidR="00E47A49" w:rsidRPr="00DC0FDB" w:rsidRDefault="00E47A49" w:rsidP="00E94CED">
            <w:pPr>
              <w:keepNext/>
              <w:keepLines/>
              <w:spacing w:before="60" w:after="0" w:line="240" w:lineRule="auto"/>
              <w:outlineLvl w:val="2"/>
              <w:rPr>
                <w:sz w:val="20"/>
              </w:rPr>
            </w:pPr>
            <w:r w:rsidRPr="00DC0FDB">
              <w:rPr>
                <w:b/>
                <w:sz w:val="20"/>
              </w:rPr>
              <w:t xml:space="preserve">tel.: </w:t>
            </w:r>
            <w:r w:rsidRPr="00DC0FDB">
              <w:rPr>
                <w:sz w:val="20"/>
              </w:rPr>
              <w:t xml:space="preserve">+48 17 853 5210, +48 17 853 5219, </w:t>
            </w:r>
            <w:r w:rsidRPr="00DC0FDB">
              <w:rPr>
                <w:sz w:val="20"/>
              </w:rPr>
              <w:br/>
              <w:t xml:space="preserve">    </w:t>
            </w:r>
            <w:r w:rsidR="00C16782">
              <w:rPr>
                <w:sz w:val="20"/>
              </w:rPr>
              <w:t xml:space="preserve">   </w:t>
            </w:r>
            <w:r w:rsidRPr="00DC0FDB">
              <w:rPr>
                <w:sz w:val="20"/>
              </w:rPr>
              <w:t xml:space="preserve">  wew. 219</w:t>
            </w:r>
          </w:p>
          <w:p w:rsidR="00DD34CF" w:rsidRPr="001D1156" w:rsidRDefault="00E47A49" w:rsidP="00E94CED">
            <w:pPr>
              <w:keepNext/>
              <w:keepLines/>
              <w:spacing w:before="60" w:after="0" w:line="240" w:lineRule="auto"/>
              <w:outlineLvl w:val="2"/>
              <w:rPr>
                <w:color w:val="FF0000"/>
                <w:sz w:val="18"/>
                <w:szCs w:val="18"/>
                <w:lang w:val="en-US"/>
              </w:rPr>
            </w:pPr>
            <w:r w:rsidRPr="00DD34CF">
              <w:rPr>
                <w:b/>
                <w:sz w:val="20"/>
                <w:lang w:val="en-US"/>
              </w:rPr>
              <w:t>e-mail</w:t>
            </w:r>
            <w:r w:rsidRPr="001151FB">
              <w:rPr>
                <w:sz w:val="20"/>
                <w:lang w:val="en-US"/>
              </w:rPr>
              <w:t xml:space="preserve">: </w:t>
            </w:r>
            <w:hyperlink r:id="rId21" w:history="1">
              <w:r w:rsidRPr="00E327B7">
                <w:rPr>
                  <w:rFonts w:cs="Arial"/>
                  <w:color w:val="001D77"/>
                  <w:sz w:val="20"/>
                  <w:szCs w:val="20"/>
                  <w:u w:val="single"/>
                  <w:lang w:val="en-US"/>
                </w:rPr>
                <w:t>A.Koprowicz@stat.gov.pl</w:t>
              </w:r>
            </w:hyperlink>
          </w:p>
        </w:tc>
      </w:tr>
    </w:tbl>
    <w:p w:rsidR="00DD34CF" w:rsidRPr="00DD34CF" w:rsidRDefault="00DD34CF" w:rsidP="00DD34CF">
      <w:pPr>
        <w:rPr>
          <w:sz w:val="18"/>
          <w:szCs w:val="18"/>
          <w:lang w:val="en-US"/>
        </w:rPr>
      </w:pPr>
    </w:p>
    <w:tbl>
      <w:tblPr>
        <w:tblStyle w:val="Tabela-Siatka1"/>
        <w:tblW w:w="52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1"/>
        <w:gridCol w:w="604"/>
        <w:gridCol w:w="3569"/>
      </w:tblGrid>
      <w:tr w:rsidR="00DD34CF" w:rsidRPr="00F435EC" w:rsidTr="007C003A">
        <w:tc>
          <w:tcPr>
            <w:tcW w:w="2581" w:type="pct"/>
            <w:vMerge w:val="restart"/>
          </w:tcPr>
          <w:p w:rsidR="00141D6A" w:rsidRPr="00E47A49" w:rsidRDefault="00E47A49" w:rsidP="00141D6A">
            <w:pPr>
              <w:spacing w:before="60" w:after="0"/>
              <w:rPr>
                <w:b/>
                <w:sz w:val="20"/>
                <w:szCs w:val="20"/>
                <w:lang w:eastAsia="pl-PL"/>
              </w:rPr>
            </w:pPr>
            <w:r w:rsidRPr="00E47A49">
              <w:rPr>
                <w:b/>
                <w:sz w:val="20"/>
                <w:szCs w:val="20"/>
              </w:rPr>
              <w:t>Podkarpacki Ośrodek Badań Regionalnych</w:t>
            </w:r>
          </w:p>
          <w:p w:rsidR="00DD34CF" w:rsidRDefault="00DD34CF" w:rsidP="00A666C7">
            <w:pPr>
              <w:spacing w:before="60" w:after="0"/>
              <w:rPr>
                <w:sz w:val="20"/>
              </w:rPr>
            </w:pPr>
            <w:r w:rsidRPr="00DD34CF">
              <w:rPr>
                <w:b/>
                <w:sz w:val="20"/>
              </w:rPr>
              <w:t xml:space="preserve">tel.: </w:t>
            </w:r>
            <w:r w:rsidR="00141D6A">
              <w:rPr>
                <w:sz w:val="20"/>
              </w:rPr>
              <w:t>+48 17 853 5210, +48 17 853 52</w:t>
            </w:r>
            <w:r w:rsidRPr="00DD34CF">
              <w:rPr>
                <w:sz w:val="20"/>
              </w:rPr>
              <w:t>19</w:t>
            </w:r>
          </w:p>
          <w:p w:rsidR="00E47A49" w:rsidRPr="00E47A49" w:rsidRDefault="00E47A49" w:rsidP="00E47A49">
            <w:pPr>
              <w:keepNext/>
              <w:keepLines/>
              <w:spacing w:before="60" w:after="0" w:line="240" w:lineRule="auto"/>
              <w:outlineLvl w:val="2"/>
              <w:rPr>
                <w:sz w:val="20"/>
                <w:lang w:val="en-US"/>
              </w:rPr>
            </w:pPr>
            <w:proofErr w:type="spellStart"/>
            <w:r w:rsidRPr="00E47A49">
              <w:rPr>
                <w:b/>
                <w:sz w:val="20"/>
                <w:lang w:val="en-US"/>
              </w:rPr>
              <w:t>faks</w:t>
            </w:r>
            <w:proofErr w:type="spellEnd"/>
            <w:r w:rsidRPr="00E47A49">
              <w:rPr>
                <w:b/>
                <w:sz w:val="20"/>
                <w:lang w:val="en-US"/>
              </w:rPr>
              <w:t>:</w:t>
            </w:r>
            <w:r w:rsidRPr="00E47A49">
              <w:rPr>
                <w:sz w:val="20"/>
                <w:lang w:val="en-US"/>
              </w:rPr>
              <w:t xml:space="preserve"> </w:t>
            </w:r>
            <w:r w:rsidRPr="003A6159">
              <w:rPr>
                <w:sz w:val="20"/>
                <w:lang w:val="en-US"/>
              </w:rPr>
              <w:t xml:space="preserve">+48 </w:t>
            </w:r>
            <w:r w:rsidRPr="00E47A49">
              <w:rPr>
                <w:sz w:val="20"/>
                <w:lang w:val="en-US"/>
              </w:rPr>
              <w:t xml:space="preserve">17 853 5157 </w:t>
            </w:r>
          </w:p>
          <w:p w:rsidR="00DD34CF" w:rsidRPr="005F237F" w:rsidRDefault="005F237F" w:rsidP="00E47A49">
            <w:pPr>
              <w:spacing w:before="60" w:after="0"/>
              <w:rPr>
                <w:color w:val="2F5496"/>
                <w:sz w:val="18"/>
                <w:lang w:val="en-US"/>
              </w:rPr>
            </w:pPr>
            <w:r w:rsidRPr="000A32B5">
              <w:rPr>
                <w:b/>
                <w:sz w:val="20"/>
                <w:lang w:val="en-US"/>
              </w:rPr>
              <w:t xml:space="preserve">e-mail: </w:t>
            </w:r>
            <w:hyperlink r:id="rId22" w:history="1">
              <w:r w:rsidRPr="00E327B7">
                <w:rPr>
                  <w:rStyle w:val="Hipercze"/>
                  <w:color w:val="001D77"/>
                  <w:sz w:val="20"/>
                  <w:lang w:val="en-US"/>
                </w:rPr>
                <w:t>SekretariatUSRze</w:t>
              </w:r>
              <w:r w:rsidRPr="00E327B7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@stat.gov.pl</w:t>
              </w:r>
            </w:hyperlink>
          </w:p>
        </w:tc>
        <w:tc>
          <w:tcPr>
            <w:tcW w:w="350" w:type="pct"/>
            <w:vAlign w:val="center"/>
          </w:tcPr>
          <w:p w:rsidR="00DD34CF" w:rsidRPr="00DD34CF" w:rsidRDefault="00DD34CF" w:rsidP="007C003A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  <w:vAlign w:val="center"/>
          </w:tcPr>
          <w:p w:rsidR="00DD34CF" w:rsidRPr="003A6159" w:rsidRDefault="00DD34CF" w:rsidP="00DD34CF">
            <w:pPr>
              <w:rPr>
                <w:sz w:val="18"/>
                <w:lang w:val="en-US"/>
              </w:rPr>
            </w:pPr>
            <w:r w:rsidRPr="00F2249C">
              <w:rPr>
                <w:sz w:val="20"/>
                <w:lang w:val="en-US"/>
              </w:rPr>
              <w:t>www.</w:t>
            </w:r>
            <w:hyperlink r:id="rId24" w:history="1">
              <w:r w:rsidRPr="00E327B7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rzeszow.stat.gov.pl</w:t>
              </w:r>
            </w:hyperlink>
          </w:p>
        </w:tc>
      </w:tr>
      <w:tr w:rsidR="00DD34CF" w:rsidRPr="00DD34CF" w:rsidTr="007C003A">
        <w:tc>
          <w:tcPr>
            <w:tcW w:w="2581" w:type="pct"/>
            <w:vMerge/>
            <w:vAlign w:val="center"/>
          </w:tcPr>
          <w:p w:rsidR="00DD34CF" w:rsidRPr="003A6159" w:rsidRDefault="00DD34CF" w:rsidP="00DD34CF">
            <w:pPr>
              <w:rPr>
                <w:sz w:val="18"/>
                <w:lang w:val="en-US"/>
              </w:rPr>
            </w:pPr>
          </w:p>
        </w:tc>
        <w:tc>
          <w:tcPr>
            <w:tcW w:w="350" w:type="pct"/>
            <w:vAlign w:val="center"/>
          </w:tcPr>
          <w:p w:rsidR="00DD34CF" w:rsidRPr="003A6159" w:rsidRDefault="00DD34CF" w:rsidP="007C003A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:rsidR="00DD34CF" w:rsidRPr="005F2B48" w:rsidRDefault="00DD34CF" w:rsidP="00DD34CF">
            <w:pPr>
              <w:rPr>
                <w:sz w:val="18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Rzeszow_STAT</w:t>
            </w:r>
            <w:proofErr w:type="spellEnd"/>
          </w:p>
        </w:tc>
      </w:tr>
      <w:tr w:rsidR="001151FB" w:rsidRPr="00DD34CF" w:rsidTr="007C003A">
        <w:tc>
          <w:tcPr>
            <w:tcW w:w="2581" w:type="pct"/>
            <w:vMerge/>
            <w:vAlign w:val="center"/>
          </w:tcPr>
          <w:p w:rsidR="001151FB" w:rsidRPr="00DD34CF" w:rsidRDefault="001151FB" w:rsidP="001151FB">
            <w:pPr>
              <w:rPr>
                <w:sz w:val="18"/>
              </w:rPr>
            </w:pPr>
          </w:p>
        </w:tc>
        <w:tc>
          <w:tcPr>
            <w:tcW w:w="350" w:type="pct"/>
            <w:vAlign w:val="center"/>
          </w:tcPr>
          <w:p w:rsidR="001151FB" w:rsidRDefault="001151FB" w:rsidP="007C003A">
            <w:pPr>
              <w:spacing w:line="240" w:lineRule="auto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:rsidR="001151FB" w:rsidRPr="005F2B48" w:rsidRDefault="001151FB" w:rsidP="001151FB">
            <w:pPr>
              <w:rPr>
                <w:sz w:val="20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GlownyUrzadStatystyczny</w:t>
            </w:r>
            <w:proofErr w:type="spellEnd"/>
          </w:p>
        </w:tc>
      </w:tr>
    </w:tbl>
    <w:p w:rsidR="00A666C7" w:rsidRDefault="00A666C7" w:rsidP="00DD34CF">
      <w:pPr>
        <w:rPr>
          <w:sz w:val="18"/>
          <w:szCs w:val="18"/>
        </w:rPr>
      </w:pPr>
    </w:p>
    <w:p w:rsidR="00DD34CF" w:rsidRPr="00DD34CF" w:rsidRDefault="006E4BD8" w:rsidP="00DD34CF">
      <w:pPr>
        <w:rPr>
          <w:sz w:val="18"/>
          <w:szCs w:val="18"/>
        </w:rPr>
      </w:pPr>
      <w:r>
        <w:rPr>
          <w:noProof/>
        </w:rPr>
        <w:pict>
          <v:shape id="_x0000_s1049" type="#_x0000_t202" style="position:absolute;margin-left:1.5pt;margin-top:33.2pt;width:516.5pt;height:248.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" fillcolor="#f2f2f2" strokecolor="window">
            <v:textbox>
              <w:txbxContent>
                <w:p w:rsidR="00C93424" w:rsidRPr="00E327B7" w:rsidRDefault="00C93424" w:rsidP="00C93424">
                  <w:pPr>
                    <w:rPr>
                      <w:rStyle w:val="Hipercze"/>
                      <w:rFonts w:cstheme="minorBidi"/>
                      <w:b/>
                      <w:color w:val="001D77"/>
                      <w:sz w:val="18"/>
                      <w:szCs w:val="18"/>
                    </w:rPr>
                  </w:pPr>
                  <w:r w:rsidRPr="00E327B7">
                    <w:rPr>
                      <w:b/>
                    </w:rPr>
                    <w:t>Powiązane opracowania</w:t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fldChar w:fldCharType="begin"/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instrText xml:space="preserve"> HYPERLINK "https://rzeszow.stat.gov.pl/opracowania-biezace/komunikaty-i-biuletyny/" </w:instrText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fldChar w:fldCharType="separate"/>
                  </w:r>
                </w:p>
                <w:p w:rsidR="00C93424" w:rsidRPr="00E327B7" w:rsidRDefault="00C93424" w:rsidP="00C93424">
                  <w:pPr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r w:rsidRPr="00E327B7"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>Biuletyn Statystyczny Województwa Podkarpackiego</w:t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fldChar w:fldCharType="end"/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C93424" w:rsidRPr="00E327B7" w:rsidRDefault="006E4BD8" w:rsidP="00C93424">
                  <w:pPr>
                    <w:rPr>
                      <w:rFonts w:cs="Arial"/>
                      <w:b/>
                      <w:bCs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7" w:history="1">
                    <w:r w:rsidR="00C93424" w:rsidRPr="00E327B7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Komunikat o sytuacji społeczno-gospodarczej powiatów województwa podkarpackiego</w:t>
                    </w:r>
                  </w:hyperlink>
                  <w:r w:rsidR="00C93424"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C93424" w:rsidRPr="00E327B7" w:rsidRDefault="006E4BD8" w:rsidP="00C93424">
                  <w:pPr>
                    <w:rPr>
                      <w:b/>
                      <w:color w:val="001D77"/>
                      <w:szCs w:val="24"/>
                    </w:rPr>
                  </w:pPr>
                  <w:hyperlink r:id="rId28" w:history="1">
                    <w:r w:rsidR="00C93424" w:rsidRPr="00E327B7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Biuletyn Statystyczny Rzeszowa. Podstawowe statystyki</w:t>
                    </w:r>
                  </w:hyperlink>
                  <w:r w:rsidR="00C93424" w:rsidRPr="00E327B7">
                    <w:rPr>
                      <w:rFonts w:cs="Arial"/>
                      <w:color w:val="001D77"/>
                      <w:szCs w:val="30"/>
                      <w:shd w:val="clear" w:color="auto" w:fill="F0F0F0"/>
                    </w:rPr>
                    <w:t xml:space="preserve"> </w:t>
                  </w:r>
                </w:p>
                <w:p w:rsidR="00C93424" w:rsidRPr="00C93424" w:rsidRDefault="00C93424" w:rsidP="00C93424">
                  <w:pPr>
                    <w:rPr>
                      <w:b/>
                      <w:color w:val="001D77"/>
                      <w:szCs w:val="24"/>
                    </w:rPr>
                  </w:pPr>
                </w:p>
                <w:p w:rsidR="00C93424" w:rsidRPr="00E327B7" w:rsidRDefault="00C93424" w:rsidP="00C93424">
                  <w:pPr>
                    <w:rPr>
                      <w:b/>
                      <w:szCs w:val="24"/>
                    </w:rPr>
                  </w:pPr>
                  <w:r w:rsidRPr="00E327B7">
                    <w:rPr>
                      <w:b/>
                      <w:szCs w:val="24"/>
                    </w:rPr>
                    <w:t>Temat dostępny w bazach danych</w:t>
                  </w:r>
                </w:p>
                <w:p w:rsidR="00C93424" w:rsidRPr="00E327B7" w:rsidRDefault="006E4BD8" w:rsidP="00C93424">
                  <w:pPr>
                    <w:rPr>
                      <w:color w:val="001D77"/>
                      <w:sz w:val="18"/>
                      <w:szCs w:val="18"/>
                    </w:rPr>
                  </w:pPr>
                  <w:hyperlink r:id="rId29" w:history="1">
                    <w:r w:rsidR="00C93424" w:rsidRPr="00E327B7">
                      <w:rPr>
                        <w:rFonts w:eastAsia="Calibri" w:cs="Times New Roman"/>
                        <w:color w:val="001D77"/>
                        <w:sz w:val="18"/>
                        <w:szCs w:val="18"/>
                        <w:u w:val="single"/>
                      </w:rPr>
                      <w:t>Bank Danych Lokalnych</w:t>
                    </w:r>
                  </w:hyperlink>
                </w:p>
                <w:p w:rsidR="00C93424" w:rsidRPr="00E327B7" w:rsidRDefault="006E4BD8" w:rsidP="00C93424">
                  <w:pPr>
                    <w:rPr>
                      <w:b/>
                      <w:color w:val="001D77"/>
                      <w:sz w:val="18"/>
                      <w:szCs w:val="18"/>
                    </w:rPr>
                  </w:pPr>
                  <w:hyperlink r:id="rId30" w:history="1">
                    <w:r w:rsidR="00C93424" w:rsidRPr="00E327B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Baza Demografia</w:t>
                    </w:r>
                  </w:hyperlink>
                </w:p>
                <w:p w:rsidR="00C93424" w:rsidRPr="00C93424" w:rsidRDefault="00C93424" w:rsidP="00C93424">
                  <w:pPr>
                    <w:rPr>
                      <w:b/>
                      <w:color w:val="001D77"/>
                      <w:szCs w:val="24"/>
                    </w:rPr>
                  </w:pPr>
                </w:p>
                <w:p w:rsidR="00C93424" w:rsidRPr="00E327B7" w:rsidRDefault="006E4BD8" w:rsidP="00C93424">
                  <w:pPr>
                    <w:rPr>
                      <w:b/>
                      <w:color w:val="001D77"/>
                      <w:szCs w:val="24"/>
                    </w:rPr>
                  </w:pPr>
                  <w:hyperlink r:id="rId31" w:history="1">
                    <w:r w:rsidR="00C93424" w:rsidRPr="00E327B7">
                      <w:rPr>
                        <w:rStyle w:val="Hipercze"/>
                        <w:rFonts w:cstheme="minorBidi"/>
                        <w:b/>
                        <w:color w:val="001D77"/>
                        <w:szCs w:val="24"/>
                      </w:rPr>
                      <w:t>Pojęcia stosowane w statystyce publicznej</w:t>
                    </w:r>
                  </w:hyperlink>
                </w:p>
                <w:p w:rsidR="00C93424" w:rsidRPr="00C93424" w:rsidRDefault="00C93424" w:rsidP="00DE6389">
                  <w:pPr>
                    <w:rPr>
                      <w:b/>
                      <w:color w:val="001D77"/>
                      <w:sz w:val="20"/>
                      <w:szCs w:val="20"/>
                    </w:rPr>
                  </w:pPr>
                </w:p>
                <w:p w:rsidR="00C93424" w:rsidRPr="00C93424" w:rsidRDefault="00C93424" w:rsidP="00DE6389">
                  <w:pPr>
                    <w:rPr>
                      <w:b/>
                      <w:color w:val="001D77"/>
                      <w:sz w:val="20"/>
                      <w:szCs w:val="20"/>
                    </w:rPr>
                  </w:pPr>
                </w:p>
                <w:p w:rsidR="00C93424" w:rsidRDefault="00C93424"/>
              </w:txbxContent>
            </v:textbox>
            <w10:wrap type="square" anchorx="margin"/>
          </v:shape>
        </w:pic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AE4F99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BD8" w:rsidRDefault="006E4BD8" w:rsidP="000662E2">
      <w:pPr>
        <w:spacing w:after="0" w:line="240" w:lineRule="auto"/>
      </w:pPr>
      <w:r>
        <w:separator/>
      </w:r>
    </w:p>
  </w:endnote>
  <w:endnote w:type="continuationSeparator" w:id="0">
    <w:p w:rsidR="006E4BD8" w:rsidRDefault="006E4B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6183A2C-05FF-4784-A01E-E3BE34B2BB09}"/>
    <w:embedBold r:id="rId2" w:fontKey="{CC9A7925-3DF6-4C2F-859A-EA2A6127E45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5D70D15-9128-41DB-8906-E91B168DDBD4}"/>
    <w:embedBold r:id="rId4" w:fontKey="{8DA25964-0BE7-4189-BE4C-F78AF87E447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6A06624-5352-487B-BC39-23BC3FC85AAC}"/>
    <w:embedBold r:id="rId6" w:fontKey="{53B1BB5D-2C72-420F-85F3-BF2A0EB212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AC10A12-8697-4A7F-98F4-774B3B7F11D4}"/>
    <w:embedBold r:id="rId8" w:fontKey="{317939AF-0B96-43A8-BB92-17CC5C9F29D0}"/>
    <w:embedItalic r:id="rId9" w:fontKey="{3734057D-9FAF-47E6-9C20-EC880B5C88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1123891-F77B-45B8-9F7A-324BDCF334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55F0CAF-DA85-4F06-8554-84832C7D2299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8E7595AE-EF7C-4831-8D58-FCC86B2D39CF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057E03C0-469C-4643-B7BA-D4424AFFF1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BD8" w:rsidRDefault="006E4BD8" w:rsidP="000662E2">
      <w:pPr>
        <w:spacing w:after="0" w:line="240" w:lineRule="auto"/>
      </w:pPr>
      <w:r>
        <w:separator/>
      </w:r>
    </w:p>
  </w:footnote>
  <w:footnote w:type="continuationSeparator" w:id="0">
    <w:p w:rsidR="006E4BD8" w:rsidRDefault="006E4BD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6E4BD8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6E4BD8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27CD7" w:rsidRPr="003C6C8D" w:rsidRDefault="00A27C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27CD7" w:rsidRPr="00223D6B">
      <w:rPr>
        <w:noProof/>
        <w:sz w:val="32"/>
        <w:lang w:eastAsia="pl-PL"/>
      </w:rPr>
      <w:t xml:space="preserve"> </w:t>
    </w:r>
    <w:r w:rsidR="000A5D78">
      <w:rPr>
        <w:noProof/>
        <w:lang w:eastAsia="pl-PL"/>
      </w:rPr>
      <w:drawing>
        <wp:inline distT="0" distB="0" distL="0" distR="0" wp14:anchorId="2C9C30F8" wp14:editId="7F0F6BD6">
          <wp:extent cx="1733550" cy="536575"/>
          <wp:effectExtent l="0" t="0" r="0" b="0"/>
          <wp:docPr id="18" name="Obraz 18" descr="C:\Users\skarbowskaa\AppData\Local\Microsoft\Windows\INetCache\Content.Word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D7" w:rsidRDefault="006E4BD8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A27CD7" w:rsidRPr="00C97596" w:rsidRDefault="00661E9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</w:t>
                </w:r>
                <w:r w:rsidR="001C5D28">
                  <w:rPr>
                    <w:rFonts w:ascii="Fira Sans SemiBold" w:hAnsi="Fira Sans SemiBold"/>
                    <w:color w:val="001D77"/>
                  </w:rPr>
                  <w:t>1</w:t>
                </w:r>
                <w:r>
                  <w:rPr>
                    <w:rFonts w:ascii="Fira Sans SemiBold" w:hAnsi="Fira Sans SemiBold"/>
                    <w:color w:val="001D77"/>
                  </w:rPr>
                  <w:t>.05.</w:t>
                </w:r>
                <w:r w:rsidR="00A27CD7">
                  <w:rPr>
                    <w:rFonts w:ascii="Fira Sans SemiBold" w:hAnsi="Fira Sans SemiBold"/>
                    <w:color w:val="001D77"/>
                  </w:rPr>
                  <w:t>201</w:t>
                </w:r>
                <w:r w:rsidR="00C93CCE">
                  <w:rPr>
                    <w:rFonts w:ascii="Fira Sans SemiBold" w:hAnsi="Fira Sans SemiBold"/>
                    <w:color w:val="001D77"/>
                  </w:rPr>
                  <w:t>9</w:t>
                </w:r>
                <w:r w:rsidR="00A27CD7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  <w:p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2308"/>
    <w:rsid w:val="00003437"/>
    <w:rsid w:val="0000709F"/>
    <w:rsid w:val="00007E86"/>
    <w:rsid w:val="000108B8"/>
    <w:rsid w:val="0001428A"/>
    <w:rsid w:val="000152F5"/>
    <w:rsid w:val="0004582E"/>
    <w:rsid w:val="000470AA"/>
    <w:rsid w:val="00052603"/>
    <w:rsid w:val="00057CA1"/>
    <w:rsid w:val="000662E2"/>
    <w:rsid w:val="00066883"/>
    <w:rsid w:val="00074DD8"/>
    <w:rsid w:val="00074E6C"/>
    <w:rsid w:val="0007706B"/>
    <w:rsid w:val="000806F7"/>
    <w:rsid w:val="00085011"/>
    <w:rsid w:val="000909EB"/>
    <w:rsid w:val="00092524"/>
    <w:rsid w:val="00094C64"/>
    <w:rsid w:val="00097702"/>
    <w:rsid w:val="000A0747"/>
    <w:rsid w:val="000A32B5"/>
    <w:rsid w:val="000A5D78"/>
    <w:rsid w:val="000B0727"/>
    <w:rsid w:val="000C135D"/>
    <w:rsid w:val="000C20AB"/>
    <w:rsid w:val="000C3137"/>
    <w:rsid w:val="000C422D"/>
    <w:rsid w:val="000D1D43"/>
    <w:rsid w:val="000D225C"/>
    <w:rsid w:val="000D2A5C"/>
    <w:rsid w:val="000E0918"/>
    <w:rsid w:val="000E2C49"/>
    <w:rsid w:val="000E37D7"/>
    <w:rsid w:val="000E6A7E"/>
    <w:rsid w:val="000E7117"/>
    <w:rsid w:val="000F2758"/>
    <w:rsid w:val="001011C3"/>
    <w:rsid w:val="001039B7"/>
    <w:rsid w:val="00106E5D"/>
    <w:rsid w:val="00110D87"/>
    <w:rsid w:val="00114DB9"/>
    <w:rsid w:val="001151FB"/>
    <w:rsid w:val="00116087"/>
    <w:rsid w:val="001164C6"/>
    <w:rsid w:val="00120EDE"/>
    <w:rsid w:val="00127677"/>
    <w:rsid w:val="00130296"/>
    <w:rsid w:val="001405CB"/>
    <w:rsid w:val="00140B20"/>
    <w:rsid w:val="00141D6A"/>
    <w:rsid w:val="001423B6"/>
    <w:rsid w:val="001448A7"/>
    <w:rsid w:val="00146621"/>
    <w:rsid w:val="00152273"/>
    <w:rsid w:val="001525F8"/>
    <w:rsid w:val="00154FFC"/>
    <w:rsid w:val="001554E1"/>
    <w:rsid w:val="00155EE4"/>
    <w:rsid w:val="00162325"/>
    <w:rsid w:val="001639F4"/>
    <w:rsid w:val="001643EF"/>
    <w:rsid w:val="00166314"/>
    <w:rsid w:val="001764AC"/>
    <w:rsid w:val="00185435"/>
    <w:rsid w:val="00186436"/>
    <w:rsid w:val="0018734D"/>
    <w:rsid w:val="00191D66"/>
    <w:rsid w:val="001951DA"/>
    <w:rsid w:val="001A1639"/>
    <w:rsid w:val="001B316F"/>
    <w:rsid w:val="001B7AEC"/>
    <w:rsid w:val="001C3269"/>
    <w:rsid w:val="001C5D28"/>
    <w:rsid w:val="001D1156"/>
    <w:rsid w:val="001D1DB4"/>
    <w:rsid w:val="001F165D"/>
    <w:rsid w:val="001F3953"/>
    <w:rsid w:val="00202FC3"/>
    <w:rsid w:val="00206114"/>
    <w:rsid w:val="00217887"/>
    <w:rsid w:val="002210ED"/>
    <w:rsid w:val="00223D6B"/>
    <w:rsid w:val="00233705"/>
    <w:rsid w:val="002574F9"/>
    <w:rsid w:val="002617B3"/>
    <w:rsid w:val="00276811"/>
    <w:rsid w:val="00282699"/>
    <w:rsid w:val="002926DF"/>
    <w:rsid w:val="00296697"/>
    <w:rsid w:val="002B0472"/>
    <w:rsid w:val="002B5F03"/>
    <w:rsid w:val="002B6B12"/>
    <w:rsid w:val="002C0FF5"/>
    <w:rsid w:val="002C2949"/>
    <w:rsid w:val="002D09B6"/>
    <w:rsid w:val="002D3D3B"/>
    <w:rsid w:val="002D3EAA"/>
    <w:rsid w:val="002E2B46"/>
    <w:rsid w:val="002E6140"/>
    <w:rsid w:val="002E6985"/>
    <w:rsid w:val="002E71B6"/>
    <w:rsid w:val="002F0B8B"/>
    <w:rsid w:val="002F77C8"/>
    <w:rsid w:val="0030249F"/>
    <w:rsid w:val="00304F22"/>
    <w:rsid w:val="00306C7C"/>
    <w:rsid w:val="003076AB"/>
    <w:rsid w:val="00322EDD"/>
    <w:rsid w:val="00332320"/>
    <w:rsid w:val="00332EF3"/>
    <w:rsid w:val="00334B93"/>
    <w:rsid w:val="003375AF"/>
    <w:rsid w:val="00341A64"/>
    <w:rsid w:val="00347D72"/>
    <w:rsid w:val="00356434"/>
    <w:rsid w:val="0035711C"/>
    <w:rsid w:val="00357611"/>
    <w:rsid w:val="00367237"/>
    <w:rsid w:val="0037077F"/>
    <w:rsid w:val="00373882"/>
    <w:rsid w:val="00375F25"/>
    <w:rsid w:val="003843DB"/>
    <w:rsid w:val="00384F10"/>
    <w:rsid w:val="003850E9"/>
    <w:rsid w:val="003861F4"/>
    <w:rsid w:val="00390A55"/>
    <w:rsid w:val="00393761"/>
    <w:rsid w:val="00396760"/>
    <w:rsid w:val="0039699D"/>
    <w:rsid w:val="00397D18"/>
    <w:rsid w:val="003A1164"/>
    <w:rsid w:val="003A1B36"/>
    <w:rsid w:val="003A2A39"/>
    <w:rsid w:val="003A4639"/>
    <w:rsid w:val="003A52AF"/>
    <w:rsid w:val="003A6159"/>
    <w:rsid w:val="003B07C3"/>
    <w:rsid w:val="003B1454"/>
    <w:rsid w:val="003C50BB"/>
    <w:rsid w:val="003C59E0"/>
    <w:rsid w:val="003C6C8D"/>
    <w:rsid w:val="003C77A6"/>
    <w:rsid w:val="003D4E68"/>
    <w:rsid w:val="003D4F95"/>
    <w:rsid w:val="003D5F42"/>
    <w:rsid w:val="003D60A9"/>
    <w:rsid w:val="003E05C2"/>
    <w:rsid w:val="003F19AC"/>
    <w:rsid w:val="003F4C97"/>
    <w:rsid w:val="003F7FE6"/>
    <w:rsid w:val="00400193"/>
    <w:rsid w:val="00413DB2"/>
    <w:rsid w:val="004212E7"/>
    <w:rsid w:val="00422F8D"/>
    <w:rsid w:val="0042446D"/>
    <w:rsid w:val="0042731A"/>
    <w:rsid w:val="00427BF8"/>
    <w:rsid w:val="00431C02"/>
    <w:rsid w:val="00431D0D"/>
    <w:rsid w:val="00437395"/>
    <w:rsid w:val="0044355A"/>
    <w:rsid w:val="00445047"/>
    <w:rsid w:val="00446DEF"/>
    <w:rsid w:val="004526E6"/>
    <w:rsid w:val="00463E39"/>
    <w:rsid w:val="004657FC"/>
    <w:rsid w:val="00471840"/>
    <w:rsid w:val="004733F6"/>
    <w:rsid w:val="00474E69"/>
    <w:rsid w:val="0049621B"/>
    <w:rsid w:val="00496A57"/>
    <w:rsid w:val="004A6F7F"/>
    <w:rsid w:val="004B4906"/>
    <w:rsid w:val="004C06D3"/>
    <w:rsid w:val="004C1895"/>
    <w:rsid w:val="004C6D40"/>
    <w:rsid w:val="004D0F41"/>
    <w:rsid w:val="004D2A64"/>
    <w:rsid w:val="004D4341"/>
    <w:rsid w:val="004E3A91"/>
    <w:rsid w:val="004E7F9C"/>
    <w:rsid w:val="004F0C3C"/>
    <w:rsid w:val="004F63FC"/>
    <w:rsid w:val="00505A92"/>
    <w:rsid w:val="005077BE"/>
    <w:rsid w:val="00510369"/>
    <w:rsid w:val="00511936"/>
    <w:rsid w:val="00514AB7"/>
    <w:rsid w:val="00516C5B"/>
    <w:rsid w:val="00520219"/>
    <w:rsid w:val="005203F1"/>
    <w:rsid w:val="00521BC3"/>
    <w:rsid w:val="00532B55"/>
    <w:rsid w:val="00533632"/>
    <w:rsid w:val="0054251F"/>
    <w:rsid w:val="00550618"/>
    <w:rsid w:val="005520D8"/>
    <w:rsid w:val="00552825"/>
    <w:rsid w:val="00556CF1"/>
    <w:rsid w:val="00557703"/>
    <w:rsid w:val="005627D5"/>
    <w:rsid w:val="005762A7"/>
    <w:rsid w:val="005916D7"/>
    <w:rsid w:val="005A698C"/>
    <w:rsid w:val="005C0040"/>
    <w:rsid w:val="005C29E6"/>
    <w:rsid w:val="005C6263"/>
    <w:rsid w:val="005D18B2"/>
    <w:rsid w:val="005E0799"/>
    <w:rsid w:val="005E0A0D"/>
    <w:rsid w:val="005F237F"/>
    <w:rsid w:val="005F2B48"/>
    <w:rsid w:val="005F5A80"/>
    <w:rsid w:val="00601102"/>
    <w:rsid w:val="00601C87"/>
    <w:rsid w:val="006043EE"/>
    <w:rsid w:val="006044FF"/>
    <w:rsid w:val="0060728B"/>
    <w:rsid w:val="00607CC5"/>
    <w:rsid w:val="00620471"/>
    <w:rsid w:val="00622811"/>
    <w:rsid w:val="00633014"/>
    <w:rsid w:val="0063437B"/>
    <w:rsid w:val="006350B5"/>
    <w:rsid w:val="00636CC0"/>
    <w:rsid w:val="00640418"/>
    <w:rsid w:val="006528A3"/>
    <w:rsid w:val="006612CA"/>
    <w:rsid w:val="00661E9F"/>
    <w:rsid w:val="0066202D"/>
    <w:rsid w:val="00665111"/>
    <w:rsid w:val="00665836"/>
    <w:rsid w:val="006673CA"/>
    <w:rsid w:val="00673C26"/>
    <w:rsid w:val="00680C18"/>
    <w:rsid w:val="006812AF"/>
    <w:rsid w:val="0068327D"/>
    <w:rsid w:val="00693826"/>
    <w:rsid w:val="00694AF0"/>
    <w:rsid w:val="006A715D"/>
    <w:rsid w:val="006B0E9E"/>
    <w:rsid w:val="006B3B1C"/>
    <w:rsid w:val="006B5AE4"/>
    <w:rsid w:val="006C3D11"/>
    <w:rsid w:val="006D0B74"/>
    <w:rsid w:val="006D4054"/>
    <w:rsid w:val="006D5525"/>
    <w:rsid w:val="006E02EC"/>
    <w:rsid w:val="006E4BD8"/>
    <w:rsid w:val="006E50B4"/>
    <w:rsid w:val="006F0C31"/>
    <w:rsid w:val="006F35F1"/>
    <w:rsid w:val="006F4617"/>
    <w:rsid w:val="006F659C"/>
    <w:rsid w:val="00706EE6"/>
    <w:rsid w:val="00710E84"/>
    <w:rsid w:val="007211B1"/>
    <w:rsid w:val="0073252D"/>
    <w:rsid w:val="00742419"/>
    <w:rsid w:val="00746187"/>
    <w:rsid w:val="00746BD8"/>
    <w:rsid w:val="00750792"/>
    <w:rsid w:val="007570E7"/>
    <w:rsid w:val="0076254F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A2DC1"/>
    <w:rsid w:val="007A39A4"/>
    <w:rsid w:val="007C003A"/>
    <w:rsid w:val="007C23A4"/>
    <w:rsid w:val="007D3319"/>
    <w:rsid w:val="007D335D"/>
    <w:rsid w:val="007E3314"/>
    <w:rsid w:val="007E4B03"/>
    <w:rsid w:val="007E5061"/>
    <w:rsid w:val="007E7B64"/>
    <w:rsid w:val="007F324B"/>
    <w:rsid w:val="00802C07"/>
    <w:rsid w:val="008033BB"/>
    <w:rsid w:val="0080553C"/>
    <w:rsid w:val="00805B46"/>
    <w:rsid w:val="00813790"/>
    <w:rsid w:val="008161DF"/>
    <w:rsid w:val="00823DF9"/>
    <w:rsid w:val="00825DC2"/>
    <w:rsid w:val="0083001E"/>
    <w:rsid w:val="00834AD3"/>
    <w:rsid w:val="00842143"/>
    <w:rsid w:val="00843795"/>
    <w:rsid w:val="008471BE"/>
    <w:rsid w:val="00847A52"/>
    <w:rsid w:val="00847F0F"/>
    <w:rsid w:val="00851B07"/>
    <w:rsid w:val="00852448"/>
    <w:rsid w:val="00861A25"/>
    <w:rsid w:val="0086254A"/>
    <w:rsid w:val="008664DC"/>
    <w:rsid w:val="0087065A"/>
    <w:rsid w:val="00872E28"/>
    <w:rsid w:val="008740DF"/>
    <w:rsid w:val="0088258A"/>
    <w:rsid w:val="00886332"/>
    <w:rsid w:val="008A26D9"/>
    <w:rsid w:val="008A5545"/>
    <w:rsid w:val="008C081D"/>
    <w:rsid w:val="008C0C29"/>
    <w:rsid w:val="008C55E0"/>
    <w:rsid w:val="008D2C18"/>
    <w:rsid w:val="008D4578"/>
    <w:rsid w:val="008E34BB"/>
    <w:rsid w:val="008F3638"/>
    <w:rsid w:val="008F6F31"/>
    <w:rsid w:val="008F74DF"/>
    <w:rsid w:val="009127BA"/>
    <w:rsid w:val="009205C5"/>
    <w:rsid w:val="009227A6"/>
    <w:rsid w:val="0092749A"/>
    <w:rsid w:val="0092772A"/>
    <w:rsid w:val="00930194"/>
    <w:rsid w:val="009334EC"/>
    <w:rsid w:val="00933EC1"/>
    <w:rsid w:val="00937CA9"/>
    <w:rsid w:val="009406D7"/>
    <w:rsid w:val="00945B3D"/>
    <w:rsid w:val="009530DB"/>
    <w:rsid w:val="00953676"/>
    <w:rsid w:val="00957429"/>
    <w:rsid w:val="009611EB"/>
    <w:rsid w:val="00961724"/>
    <w:rsid w:val="009705EE"/>
    <w:rsid w:val="00971F54"/>
    <w:rsid w:val="009727E9"/>
    <w:rsid w:val="0097682A"/>
    <w:rsid w:val="00977927"/>
    <w:rsid w:val="0098128C"/>
    <w:rsid w:val="0098135C"/>
    <w:rsid w:val="0098156A"/>
    <w:rsid w:val="0099119D"/>
    <w:rsid w:val="00991BAC"/>
    <w:rsid w:val="009974A4"/>
    <w:rsid w:val="009A0C43"/>
    <w:rsid w:val="009A4267"/>
    <w:rsid w:val="009A6EA0"/>
    <w:rsid w:val="009A7236"/>
    <w:rsid w:val="009B0D0A"/>
    <w:rsid w:val="009C1335"/>
    <w:rsid w:val="009C1AB2"/>
    <w:rsid w:val="009C7251"/>
    <w:rsid w:val="009C73E8"/>
    <w:rsid w:val="009D363F"/>
    <w:rsid w:val="009E2E91"/>
    <w:rsid w:val="009E45D8"/>
    <w:rsid w:val="00A054E3"/>
    <w:rsid w:val="00A139F5"/>
    <w:rsid w:val="00A160FA"/>
    <w:rsid w:val="00A17261"/>
    <w:rsid w:val="00A2382C"/>
    <w:rsid w:val="00A255CF"/>
    <w:rsid w:val="00A25F45"/>
    <w:rsid w:val="00A27715"/>
    <w:rsid w:val="00A27CD7"/>
    <w:rsid w:val="00A34303"/>
    <w:rsid w:val="00A35F23"/>
    <w:rsid w:val="00A365F4"/>
    <w:rsid w:val="00A37665"/>
    <w:rsid w:val="00A47D80"/>
    <w:rsid w:val="00A53132"/>
    <w:rsid w:val="00A5637F"/>
    <w:rsid w:val="00A563F2"/>
    <w:rsid w:val="00A566E8"/>
    <w:rsid w:val="00A65757"/>
    <w:rsid w:val="00A666C7"/>
    <w:rsid w:val="00A810F9"/>
    <w:rsid w:val="00A86ECC"/>
    <w:rsid w:val="00A86FCC"/>
    <w:rsid w:val="00A93562"/>
    <w:rsid w:val="00AA12E4"/>
    <w:rsid w:val="00AA25AE"/>
    <w:rsid w:val="00AA6B96"/>
    <w:rsid w:val="00AA710D"/>
    <w:rsid w:val="00AA7D25"/>
    <w:rsid w:val="00AB2916"/>
    <w:rsid w:val="00AB6880"/>
    <w:rsid w:val="00AB6D25"/>
    <w:rsid w:val="00AB70C3"/>
    <w:rsid w:val="00AC069D"/>
    <w:rsid w:val="00AC16EE"/>
    <w:rsid w:val="00AC3905"/>
    <w:rsid w:val="00AD47F0"/>
    <w:rsid w:val="00AE2D4B"/>
    <w:rsid w:val="00AE4F99"/>
    <w:rsid w:val="00AF2834"/>
    <w:rsid w:val="00AF4CA8"/>
    <w:rsid w:val="00B05E33"/>
    <w:rsid w:val="00B10097"/>
    <w:rsid w:val="00B14952"/>
    <w:rsid w:val="00B30046"/>
    <w:rsid w:val="00B31E5A"/>
    <w:rsid w:val="00B37232"/>
    <w:rsid w:val="00B50F00"/>
    <w:rsid w:val="00B531AC"/>
    <w:rsid w:val="00B60EED"/>
    <w:rsid w:val="00B653AB"/>
    <w:rsid w:val="00B65F9E"/>
    <w:rsid w:val="00B66B19"/>
    <w:rsid w:val="00B73E3B"/>
    <w:rsid w:val="00B75A98"/>
    <w:rsid w:val="00B8502A"/>
    <w:rsid w:val="00B87C1F"/>
    <w:rsid w:val="00B914E9"/>
    <w:rsid w:val="00B95352"/>
    <w:rsid w:val="00B956EE"/>
    <w:rsid w:val="00BA2BA1"/>
    <w:rsid w:val="00BB216A"/>
    <w:rsid w:val="00BB4257"/>
    <w:rsid w:val="00BB4F09"/>
    <w:rsid w:val="00BB6202"/>
    <w:rsid w:val="00BB708D"/>
    <w:rsid w:val="00BC0FF0"/>
    <w:rsid w:val="00BD0CB1"/>
    <w:rsid w:val="00BD26AA"/>
    <w:rsid w:val="00BD4E33"/>
    <w:rsid w:val="00BE27CF"/>
    <w:rsid w:val="00BE77C3"/>
    <w:rsid w:val="00BE7A14"/>
    <w:rsid w:val="00BF65B2"/>
    <w:rsid w:val="00BF722C"/>
    <w:rsid w:val="00C030DE"/>
    <w:rsid w:val="00C05CAE"/>
    <w:rsid w:val="00C131C9"/>
    <w:rsid w:val="00C145B1"/>
    <w:rsid w:val="00C16782"/>
    <w:rsid w:val="00C16D87"/>
    <w:rsid w:val="00C22105"/>
    <w:rsid w:val="00C244B6"/>
    <w:rsid w:val="00C3702F"/>
    <w:rsid w:val="00C465C6"/>
    <w:rsid w:val="00C47398"/>
    <w:rsid w:val="00C64A37"/>
    <w:rsid w:val="00C67A63"/>
    <w:rsid w:val="00C7158E"/>
    <w:rsid w:val="00C7250B"/>
    <w:rsid w:val="00C7346B"/>
    <w:rsid w:val="00C77073"/>
    <w:rsid w:val="00C77C0E"/>
    <w:rsid w:val="00C903D9"/>
    <w:rsid w:val="00C91541"/>
    <w:rsid w:val="00C91687"/>
    <w:rsid w:val="00C91F16"/>
    <w:rsid w:val="00C924A8"/>
    <w:rsid w:val="00C93424"/>
    <w:rsid w:val="00C93CCE"/>
    <w:rsid w:val="00C945FE"/>
    <w:rsid w:val="00C96FAA"/>
    <w:rsid w:val="00C97A04"/>
    <w:rsid w:val="00CA107B"/>
    <w:rsid w:val="00CA2225"/>
    <w:rsid w:val="00CA484D"/>
    <w:rsid w:val="00CB1E2A"/>
    <w:rsid w:val="00CB3996"/>
    <w:rsid w:val="00CC0EF1"/>
    <w:rsid w:val="00CC1AFD"/>
    <w:rsid w:val="00CC28D6"/>
    <w:rsid w:val="00CC3CD4"/>
    <w:rsid w:val="00CC739E"/>
    <w:rsid w:val="00CD58B7"/>
    <w:rsid w:val="00CE16CF"/>
    <w:rsid w:val="00CE6588"/>
    <w:rsid w:val="00CF2B60"/>
    <w:rsid w:val="00CF4099"/>
    <w:rsid w:val="00D00796"/>
    <w:rsid w:val="00D056E8"/>
    <w:rsid w:val="00D261A2"/>
    <w:rsid w:val="00D32CA1"/>
    <w:rsid w:val="00D336E8"/>
    <w:rsid w:val="00D366D1"/>
    <w:rsid w:val="00D45D9F"/>
    <w:rsid w:val="00D52C9A"/>
    <w:rsid w:val="00D6056A"/>
    <w:rsid w:val="00D616D2"/>
    <w:rsid w:val="00D63B5F"/>
    <w:rsid w:val="00D70EF7"/>
    <w:rsid w:val="00D72AC2"/>
    <w:rsid w:val="00D81ED5"/>
    <w:rsid w:val="00D8397C"/>
    <w:rsid w:val="00D87A6B"/>
    <w:rsid w:val="00D94EED"/>
    <w:rsid w:val="00D96026"/>
    <w:rsid w:val="00DA7C1C"/>
    <w:rsid w:val="00DA7DC9"/>
    <w:rsid w:val="00DB147A"/>
    <w:rsid w:val="00DB1B7A"/>
    <w:rsid w:val="00DB2B86"/>
    <w:rsid w:val="00DC0FDB"/>
    <w:rsid w:val="00DC6708"/>
    <w:rsid w:val="00DD34CF"/>
    <w:rsid w:val="00DD6038"/>
    <w:rsid w:val="00DE2721"/>
    <w:rsid w:val="00DE3150"/>
    <w:rsid w:val="00DE6389"/>
    <w:rsid w:val="00DF1EAB"/>
    <w:rsid w:val="00DF57AA"/>
    <w:rsid w:val="00DF7FC5"/>
    <w:rsid w:val="00E01436"/>
    <w:rsid w:val="00E045BD"/>
    <w:rsid w:val="00E04BF1"/>
    <w:rsid w:val="00E05364"/>
    <w:rsid w:val="00E066C6"/>
    <w:rsid w:val="00E15775"/>
    <w:rsid w:val="00E17B77"/>
    <w:rsid w:val="00E2049A"/>
    <w:rsid w:val="00E22968"/>
    <w:rsid w:val="00E2311D"/>
    <w:rsid w:val="00E23337"/>
    <w:rsid w:val="00E24A43"/>
    <w:rsid w:val="00E259EA"/>
    <w:rsid w:val="00E32061"/>
    <w:rsid w:val="00E327B7"/>
    <w:rsid w:val="00E33933"/>
    <w:rsid w:val="00E40035"/>
    <w:rsid w:val="00E42FF9"/>
    <w:rsid w:val="00E4714C"/>
    <w:rsid w:val="00E47A49"/>
    <w:rsid w:val="00E51AEB"/>
    <w:rsid w:val="00E522A7"/>
    <w:rsid w:val="00E54452"/>
    <w:rsid w:val="00E61169"/>
    <w:rsid w:val="00E664C5"/>
    <w:rsid w:val="00E671A2"/>
    <w:rsid w:val="00E70575"/>
    <w:rsid w:val="00E76D26"/>
    <w:rsid w:val="00E77FE1"/>
    <w:rsid w:val="00E90D76"/>
    <w:rsid w:val="00E94CED"/>
    <w:rsid w:val="00EA02F6"/>
    <w:rsid w:val="00EA71B4"/>
    <w:rsid w:val="00EB1390"/>
    <w:rsid w:val="00EB2C71"/>
    <w:rsid w:val="00EB4340"/>
    <w:rsid w:val="00EB556D"/>
    <w:rsid w:val="00EB5A7D"/>
    <w:rsid w:val="00EC511C"/>
    <w:rsid w:val="00ED546F"/>
    <w:rsid w:val="00ED55C0"/>
    <w:rsid w:val="00ED5C54"/>
    <w:rsid w:val="00ED682B"/>
    <w:rsid w:val="00ED6864"/>
    <w:rsid w:val="00EE41D5"/>
    <w:rsid w:val="00EE6613"/>
    <w:rsid w:val="00EE66BB"/>
    <w:rsid w:val="00EF1BC5"/>
    <w:rsid w:val="00F037A4"/>
    <w:rsid w:val="00F03AAD"/>
    <w:rsid w:val="00F04D79"/>
    <w:rsid w:val="00F0520C"/>
    <w:rsid w:val="00F11EFA"/>
    <w:rsid w:val="00F14AF6"/>
    <w:rsid w:val="00F20C6F"/>
    <w:rsid w:val="00F2249C"/>
    <w:rsid w:val="00F27C8F"/>
    <w:rsid w:val="00F32749"/>
    <w:rsid w:val="00F32B6E"/>
    <w:rsid w:val="00F36E2E"/>
    <w:rsid w:val="00F37172"/>
    <w:rsid w:val="00F40738"/>
    <w:rsid w:val="00F435EC"/>
    <w:rsid w:val="00F4477E"/>
    <w:rsid w:val="00F456DA"/>
    <w:rsid w:val="00F52A21"/>
    <w:rsid w:val="00F60387"/>
    <w:rsid w:val="00F67D8F"/>
    <w:rsid w:val="00F705B1"/>
    <w:rsid w:val="00F802BE"/>
    <w:rsid w:val="00F84AD5"/>
    <w:rsid w:val="00F86024"/>
    <w:rsid w:val="00F8611A"/>
    <w:rsid w:val="00F926AE"/>
    <w:rsid w:val="00F93EA6"/>
    <w:rsid w:val="00F94375"/>
    <w:rsid w:val="00F95736"/>
    <w:rsid w:val="00F95CA0"/>
    <w:rsid w:val="00FA5128"/>
    <w:rsid w:val="00FA7260"/>
    <w:rsid w:val="00FA7A12"/>
    <w:rsid w:val="00FB42D4"/>
    <w:rsid w:val="00FB4FDC"/>
    <w:rsid w:val="00FB5906"/>
    <w:rsid w:val="00FB7437"/>
    <w:rsid w:val="00FB762F"/>
    <w:rsid w:val="00FC2AED"/>
    <w:rsid w:val="00FD5EA7"/>
    <w:rsid w:val="00FE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A.Koprowicz@stat.gov.pl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header" Target="header4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yperlink" Target="mailto:A.Skarbowska@stat.gov.p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rzeszow.stat.gov.pl/" TargetMode="External"/><Relationship Id="rId32" Type="http://schemas.openxmlformats.org/officeDocument/2006/relationships/header" Target="header3.xm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image" Target="media/image8.png"/><Relationship Id="rId28" Type="http://schemas.openxmlformats.org/officeDocument/2006/relationships/hyperlink" Target="https://rzeszow.stat.gov.pl/opracowania-biezace/komunikaty-i-biuletyny/" TargetMode="External"/><Relationship Id="rId36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1_2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hyperlink" Target="mailto:SekretariatUSRze@stat.gov.pl" TargetMode="External"/><Relationship Id="rId27" Type="http://schemas.openxmlformats.org/officeDocument/2006/relationships/hyperlink" Target="https://rzeszow.stat.gov.pl/opracowania-biezace/komunikaty-i-biuletyny/" TargetMode="External"/><Relationship Id="rId30" Type="http://schemas.openxmlformats.org/officeDocument/2006/relationships/hyperlink" Target="http://demografia.stat.gov.pl/bazademografia/" TargetMode="External"/><Relationship Id="rId35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05_SYGNALNE\2019\sygnalna_ludno&#347;&#263;_2019\02_SYGNALNA_LUDNO&#346;&#262;_wykresy_2019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5_SYGNALNE\2019\sygnalna_ludno&#347;&#263;_2019\02_SYGNALNA_LUDNO&#346;&#262;_wykresy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5_SYGNALNE\2019\sygnalna_ludno&#347;&#263;_2019\02_SYGNALNA_LUDNO&#346;&#262;_wykresy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dzietność!$A$16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diamond"/>
            <c:size val="7"/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cat>
            <c:strRef>
              <c:f>dzietność!$B$14:$O$15</c:f>
              <c:strCach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strCache>
            </c:strRef>
          </c:cat>
          <c:val>
            <c:numRef>
              <c:f>dzietność!$B$16:$O$16</c:f>
              <c:numCache>
                <c:formatCode>#,##0.00</c:formatCode>
                <c:ptCount val="14"/>
                <c:pt idx="0">
                  <c:v>1.24</c:v>
                </c:pt>
                <c:pt idx="1">
                  <c:v>1.26</c:v>
                </c:pt>
                <c:pt idx="2">
                  <c:v>1.3</c:v>
                </c:pt>
                <c:pt idx="3">
                  <c:v>1.39</c:v>
                </c:pt>
                <c:pt idx="4">
                  <c:v>1.39</c:v>
                </c:pt>
                <c:pt idx="5">
                  <c:v>1.37</c:v>
                </c:pt>
                <c:pt idx="6">
                  <c:v>1.29</c:v>
                </c:pt>
                <c:pt idx="7">
                  <c:v>1.29</c:v>
                </c:pt>
                <c:pt idx="8">
                  <c:v>1.25</c:v>
                </c:pt>
                <c:pt idx="9">
                  <c:v>1.29</c:v>
                </c:pt>
                <c:pt idx="10">
                  <c:v>1.28</c:v>
                </c:pt>
                <c:pt idx="11">
                  <c:v>1.35</c:v>
                </c:pt>
                <c:pt idx="12" formatCode="0.00">
                  <c:v>1.4529000000000001</c:v>
                </c:pt>
                <c:pt idx="13" formatCode="0.00">
                  <c:v>1.4347000000000001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dzietność!$A$17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x"/>
            <c:size val="6"/>
            <c:spPr>
              <a:noFill/>
              <a:ln>
                <a:solidFill>
                  <a:srgbClr val="6677AD"/>
                </a:solidFill>
              </a:ln>
            </c:spPr>
          </c:marker>
          <c:cat>
            <c:strRef>
              <c:f>dzietność!$B$14:$O$15</c:f>
              <c:strCach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strCache>
            </c:strRef>
          </c:cat>
          <c:val>
            <c:numRef>
              <c:f>dzietność!$B$17:$O$17</c:f>
              <c:numCache>
                <c:formatCode>#,##0.00</c:formatCode>
                <c:ptCount val="14"/>
                <c:pt idx="0">
                  <c:v>1.27</c:v>
                </c:pt>
                <c:pt idx="1">
                  <c:v>1.24</c:v>
                </c:pt>
                <c:pt idx="2">
                  <c:v>1.27</c:v>
                </c:pt>
                <c:pt idx="3">
                  <c:v>1.34</c:v>
                </c:pt>
                <c:pt idx="4">
                  <c:v>1.34</c:v>
                </c:pt>
                <c:pt idx="5">
                  <c:v>1.31</c:v>
                </c:pt>
                <c:pt idx="6">
                  <c:v>1.26</c:v>
                </c:pt>
                <c:pt idx="7">
                  <c:v>1.26</c:v>
                </c:pt>
                <c:pt idx="8">
                  <c:v>1.23</c:v>
                </c:pt>
                <c:pt idx="9">
                  <c:v>1.21</c:v>
                </c:pt>
                <c:pt idx="10">
                  <c:v>1.19</c:v>
                </c:pt>
                <c:pt idx="11">
                  <c:v>1.25</c:v>
                </c:pt>
                <c:pt idx="12" formatCode="0.00">
                  <c:v>1.3720000000000001</c:v>
                </c:pt>
                <c:pt idx="13" formatCode="0.00">
                  <c:v>1.3694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447960"/>
        <c:axId val="223449528"/>
      </c:lineChart>
      <c:catAx>
        <c:axId val="223447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D9D9D9"/>
            </a:solidFill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223449528"/>
        <c:crosses val="autoZero"/>
        <c:auto val="1"/>
        <c:lblAlgn val="ctr"/>
        <c:lblOffset val="100"/>
        <c:noMultiLvlLbl val="1"/>
      </c:catAx>
      <c:valAx>
        <c:axId val="223449528"/>
        <c:scaling>
          <c:orientation val="minMax"/>
          <c:min val="1.1500000000000001"/>
        </c:scaling>
        <c:delete val="0"/>
        <c:axPos val="l"/>
        <c:majorGridlines>
          <c:spPr>
            <a:ln>
              <a:solidFill>
                <a:srgbClr val="D9D9D9"/>
              </a:solidFill>
            </a:ln>
          </c:spPr>
        </c:majorGridlines>
        <c:numFmt formatCode="#,##0.00" sourceLinked="1"/>
        <c:majorTickMark val="out"/>
        <c:minorTickMark val="none"/>
        <c:tickLblPos val="nextTo"/>
        <c:spPr>
          <a:ln>
            <a:solidFill>
              <a:srgbClr val="D9D9D9"/>
            </a:solidFill>
          </a:ln>
        </c:spPr>
        <c:crossAx val="223447960"/>
        <c:crosses val="autoZero"/>
        <c:crossBetween val="between"/>
        <c:minorUnit val="0.05"/>
      </c:valAx>
      <c:spPr>
        <a:noFill/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małż!$C$26</c:f>
              <c:strCache>
                <c:ptCount val="1"/>
                <c:pt idx="0">
                  <c:v>19 lat i mniej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małż!$C$27:$C$30</c:f>
              <c:numCache>
                <c:formatCode>0.0</c:formatCode>
                <c:ptCount val="4"/>
                <c:pt idx="0">
                  <c:v>0.7643986982517218</c:v>
                </c:pt>
                <c:pt idx="1">
                  <c:v>0.19312120654772855</c:v>
                </c:pt>
                <c:pt idx="2">
                  <c:v>5.3432225838189664</c:v>
                </c:pt>
                <c:pt idx="3">
                  <c:v>1.5633621482435165</c:v>
                </c:pt>
              </c:numCache>
            </c:numRef>
          </c:val>
        </c:ser>
        <c:ser>
          <c:idx val="1"/>
          <c:order val="1"/>
          <c:tx>
            <c:strRef>
              <c:f>małż!$D$26</c:f>
              <c:strCache>
                <c:ptCount val="1"/>
                <c:pt idx="0">
                  <c:v>20 -24 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małż!$D$27:$D$30</c:f>
              <c:numCache>
                <c:formatCode>0.0</c:formatCode>
                <c:ptCount val="4"/>
                <c:pt idx="0">
                  <c:v>23.726632861575723</c:v>
                </c:pt>
                <c:pt idx="1">
                  <c:v>13.959904359021518</c:v>
                </c:pt>
                <c:pt idx="2">
                  <c:v>41.769469461893586</c:v>
                </c:pt>
                <c:pt idx="3">
                  <c:v>29.823432039727791</c:v>
                </c:pt>
              </c:numCache>
            </c:numRef>
          </c:val>
        </c:ser>
        <c:ser>
          <c:idx val="2"/>
          <c:order val="2"/>
          <c:tx>
            <c:strRef>
              <c:f>małż!$E$26</c:f>
              <c:strCache>
                <c:ptCount val="1"/>
                <c:pt idx="0">
                  <c:v>25 - 29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małż!$E$27:$E$30</c:f>
              <c:numCache>
                <c:formatCode>0.0</c:formatCode>
                <c:ptCount val="4"/>
                <c:pt idx="0">
                  <c:v>48.5279648830697</c:v>
                </c:pt>
                <c:pt idx="1">
                  <c:v>46.40426705903991</c:v>
                </c:pt>
                <c:pt idx="2">
                  <c:v>37.584197381366835</c:v>
                </c:pt>
                <c:pt idx="3">
                  <c:v>43.479860217031451</c:v>
                </c:pt>
              </c:numCache>
            </c:numRef>
          </c:val>
        </c:ser>
        <c:ser>
          <c:idx val="3"/>
          <c:order val="3"/>
          <c:tx>
            <c:strRef>
              <c:f>małż!$F$26</c:f>
              <c:strCache>
                <c:ptCount val="1"/>
                <c:pt idx="0">
                  <c:v>30 - 34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małż!$F$27:$F$30</c:f>
              <c:numCache>
                <c:formatCode>0.0</c:formatCode>
                <c:ptCount val="4"/>
                <c:pt idx="0">
                  <c:v>17.058957087716642</c:v>
                </c:pt>
                <c:pt idx="1">
                  <c:v>22.852676108147875</c:v>
                </c:pt>
                <c:pt idx="2">
                  <c:v>9.3771285854839928</c:v>
                </c:pt>
                <c:pt idx="3">
                  <c:v>13.858745631782233</c:v>
                </c:pt>
              </c:numCache>
            </c:numRef>
          </c:val>
        </c:ser>
        <c:ser>
          <c:idx val="4"/>
          <c:order val="4"/>
          <c:tx>
            <c:strRef>
              <c:f>małż!$G$26</c:f>
              <c:strCache>
                <c:ptCount val="1"/>
                <c:pt idx="0">
                  <c:v>35 - 39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małż!$G$27:$G$30</c:f>
              <c:numCache>
                <c:formatCode>0.0</c:formatCode>
                <c:ptCount val="4"/>
                <c:pt idx="0">
                  <c:v>4.9345341708923032</c:v>
                </c:pt>
                <c:pt idx="1">
                  <c:v>8.2398381460364174</c:v>
                </c:pt>
                <c:pt idx="2">
                  <c:v>2.7548626352834331</c:v>
                </c:pt>
                <c:pt idx="3">
                  <c:v>5.4073937833363983</c:v>
                </c:pt>
              </c:numCache>
            </c:numRef>
          </c:val>
        </c:ser>
        <c:ser>
          <c:idx val="5"/>
          <c:order val="5"/>
          <c:tx>
            <c:strRef>
              <c:f>małż!$H$26</c:f>
              <c:strCache>
                <c:ptCount val="1"/>
                <c:pt idx="0">
                  <c:v>40 - 49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małż!$H$27:$H$30</c:f>
              <c:numCache>
                <c:formatCode>0.0</c:formatCode>
                <c:ptCount val="4"/>
                <c:pt idx="0">
                  <c:v>3.1105729206084916</c:v>
                </c:pt>
                <c:pt idx="1">
                  <c:v>4.9843663785175654</c:v>
                </c:pt>
                <c:pt idx="2">
                  <c:v>1.8239612502838114</c:v>
                </c:pt>
                <c:pt idx="3">
                  <c:v>3.6049291888909325</c:v>
                </c:pt>
              </c:numCache>
            </c:numRef>
          </c:val>
        </c:ser>
        <c:ser>
          <c:idx val="6"/>
          <c:order val="6"/>
          <c:tx>
            <c:strRef>
              <c:f>małż!$I$26</c:f>
              <c:strCache>
                <c:ptCount val="1"/>
                <c:pt idx="0">
                  <c:v>50 lat i więcej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2018</c:v>
                  </c:pt>
                  <c:pt idx="2">
                    <c:v>2010</c:v>
                  </c:pt>
                  <c:pt idx="3">
                    <c:v>2018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małż!$I$27:$I$30</c:f>
              <c:numCache>
                <c:formatCode>0.0</c:formatCode>
                <c:ptCount val="4"/>
                <c:pt idx="0">
                  <c:v>1.8769393778854158</c:v>
                </c:pt>
                <c:pt idx="1">
                  <c:v>3.365826742688983</c:v>
                </c:pt>
                <c:pt idx="2">
                  <c:v>1.3471581018693712</c:v>
                </c:pt>
                <c:pt idx="3">
                  <c:v>2.2622769909876768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223453448"/>
        <c:axId val="223452272"/>
      </c:barChart>
      <c:catAx>
        <c:axId val="223453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452272"/>
        <c:crosses val="autoZero"/>
        <c:auto val="1"/>
        <c:lblAlgn val="ctr"/>
        <c:lblOffset val="100"/>
        <c:noMultiLvlLbl val="0"/>
      </c:catAx>
      <c:valAx>
        <c:axId val="223452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453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Arkusz4!$B$25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Arkusz4!$A$26:$A$34</c:f>
              <c:strCache>
                <c:ptCount val="9"/>
                <c:pt idx="0">
                  <c:v>poniżej 
1 roku</c:v>
                </c:pt>
                <c:pt idx="1">
                  <c:v>1</c:v>
                </c:pt>
                <c:pt idx="2">
                  <c:v>2-4</c:v>
                </c:pt>
                <c:pt idx="3">
                  <c:v>5-9</c:v>
                </c:pt>
                <c:pt idx="4">
                  <c:v>10-14</c:v>
                </c:pt>
                <c:pt idx="5">
                  <c:v>15-19</c:v>
                </c:pt>
                <c:pt idx="6">
                  <c:v>20-24</c:v>
                </c:pt>
                <c:pt idx="7">
                  <c:v>25-29</c:v>
                </c:pt>
                <c:pt idx="8">
                  <c:v>30 lat 
i więcej</c:v>
                </c:pt>
              </c:strCache>
            </c:strRef>
          </c:cat>
          <c:val>
            <c:numRef>
              <c:f>Arkusz4!$B$26:$B$34</c:f>
              <c:numCache>
                <c:formatCode>General</c:formatCode>
                <c:ptCount val="9"/>
                <c:pt idx="0">
                  <c:v>24</c:v>
                </c:pt>
                <c:pt idx="1">
                  <c:v>73</c:v>
                </c:pt>
                <c:pt idx="2">
                  <c:v>299</c:v>
                </c:pt>
                <c:pt idx="3">
                  <c:v>543</c:v>
                </c:pt>
                <c:pt idx="4">
                  <c:v>480</c:v>
                </c:pt>
                <c:pt idx="5">
                  <c:v>343</c:v>
                </c:pt>
                <c:pt idx="6">
                  <c:v>289</c:v>
                </c:pt>
                <c:pt idx="7">
                  <c:v>205</c:v>
                </c:pt>
                <c:pt idx="8">
                  <c:v>221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4"/>
        <c:overlap val="-2"/>
        <c:axId val="223448352"/>
        <c:axId val="223451880"/>
      </c:barChart>
      <c:catAx>
        <c:axId val="22344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451880"/>
        <c:crosses val="autoZero"/>
        <c:auto val="1"/>
        <c:lblAlgn val="ctr"/>
        <c:lblOffset val="100"/>
        <c:noMultiLvlLbl val="0"/>
      </c:catAx>
      <c:valAx>
        <c:axId val="223451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448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3D162A-C397-4E46-BB85-8AEB3921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2630</TotalTime>
  <Pages>6</Pages>
  <Words>1761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23</cp:revision>
  <cp:lastPrinted>2019-05-30T06:45:00Z</cp:lastPrinted>
  <dcterms:created xsi:type="dcterms:W3CDTF">2018-02-15T07:28:00Z</dcterms:created>
  <dcterms:modified xsi:type="dcterms:W3CDTF">2019-11-13T09:45:00Z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