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C2920" w14:textId="7FDF5CC3" w:rsidR="00EC1873" w:rsidRPr="00CF7AE9" w:rsidRDefault="00270E02" w:rsidP="00CF7AE9">
      <w:pPr>
        <w:spacing w:after="600" w:line="240" w:lineRule="auto"/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</w:pPr>
      <w:r w:rsidRPr="00677264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4EB99DB" wp14:editId="7D962259">
                <wp:simplePos x="0" y="0"/>
                <wp:positionH relativeFrom="column">
                  <wp:posOffset>5223510</wp:posOffset>
                </wp:positionH>
                <wp:positionV relativeFrom="paragraph">
                  <wp:posOffset>916305</wp:posOffset>
                </wp:positionV>
                <wp:extent cx="1732915" cy="1463040"/>
                <wp:effectExtent l="0" t="0" r="0" b="3810"/>
                <wp:wrapTight wrapText="bothSides">
                  <wp:wrapPolygon edited="0">
                    <wp:start x="712" y="0"/>
                    <wp:lineTo x="712" y="21375"/>
                    <wp:lineTo x="20658" y="21375"/>
                    <wp:lineTo x="20658" y="0"/>
                    <wp:lineTo x="712" y="0"/>
                  </wp:wrapPolygon>
                </wp:wrapTight>
                <wp:docPr id="11" name="Pole tekstowe 11" descr="Wartość depozytów i lokat badanych przedsiębiorstw wyniosła 142,8 mld zł i stanowiła 16,1% wartości instrumentów finansowych wykazanych w aktyw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747A3" w14:textId="74DFE685" w:rsidR="007918C5" w:rsidRPr="00D616D2" w:rsidRDefault="007918C5" w:rsidP="00CF7AE9">
                            <w:pPr>
                              <w:pStyle w:val="tekstzboku"/>
                              <w:spacing w:after="120"/>
                              <w:rPr>
                                <w:bCs w:val="0"/>
                              </w:rPr>
                            </w:pPr>
                            <w:r>
                              <w:t>Wartość depozytów i lokat badanych przedsiębiorstw wyniosła 142,8 mld zł i stanowiła 16,1% wartości instrumentów finansowych wykazanych w aktywach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99DB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alt="Wartość depozytów i lokat badanych przedsiębiorstw wyniosła 142,8 mld zł i stanowiła 16,1% wartości instrumentów finansowych wykazanych w aktywach" style="position:absolute;margin-left:411.3pt;margin-top:72.15pt;width:136.45pt;height:115.2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" filled="f" stroked="f">
                <v:textbox>
                  <w:txbxContent>
                    <w:p w14:paraId="764747A3" w14:textId="74DFE685" w:rsidR="007918C5" w:rsidRPr="00D616D2" w:rsidRDefault="007918C5" w:rsidP="00CF7AE9">
                      <w:pPr>
                        <w:pStyle w:val="tekstzboku"/>
                        <w:spacing w:after="120"/>
                        <w:rPr>
                          <w:bCs w:val="0"/>
                        </w:rPr>
                      </w:pPr>
                      <w:r>
                        <w:t>Wartość depozytów i lokat badanych przedsiębiorstw wyniosła 142,8 mld zł i stanowiła 16,1% wartości instrumentów finansowych wykazanych w akt</w:t>
                      </w:r>
                      <w:bookmarkStart w:id="1" w:name="_GoBack"/>
                      <w:bookmarkEnd w:id="1"/>
                      <w:r>
                        <w:t>ywach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4F5A" w:rsidRPr="00C10991">
        <w:rPr>
          <w:rFonts w:eastAsia="Fira Sans Light" w:cs="Times New Roman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09EB8EF" wp14:editId="7EBC46EB">
                <wp:simplePos x="0" y="0"/>
                <wp:positionH relativeFrom="margin">
                  <wp:align>left</wp:align>
                </wp:positionH>
                <wp:positionV relativeFrom="paragraph">
                  <wp:posOffset>1062355</wp:posOffset>
                </wp:positionV>
                <wp:extent cx="2083435" cy="1310005"/>
                <wp:effectExtent l="0" t="0" r="0" b="4445"/>
                <wp:wrapSquare wrapText="bothSides"/>
                <wp:docPr id="217" name="Pole tekstowe 2" descr="Wartość instrumentów finansowych wykazywanych po stronie aktywów na koniec 2024 r. wzrosła o 9,5% względem ich wartości na koniec 2023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31000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CC18" w14:textId="1FB34975" w:rsidR="007918C5" w:rsidRPr="00B66B19" w:rsidRDefault="007918C5" w:rsidP="00CF7AE9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F7AE9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9,5</w:t>
                            </w:r>
                            <w:r w:rsidRPr="00CF7A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117BBF6" w14:textId="2E397993" w:rsidR="007918C5" w:rsidRPr="00957D9F" w:rsidRDefault="007918C5" w:rsidP="00CF7AE9">
                            <w:pPr>
                              <w:pStyle w:val="tekstnaniebieskimtle"/>
                              <w:spacing w:before="120"/>
                            </w:pPr>
                            <w:r>
                              <w:t xml:space="preserve">Wzrost wartości instrumentów finansowych w aktywach </w:t>
                            </w:r>
                            <w:r>
                              <w:br/>
                              <w:t>w 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EB8EF" id="Pole tekstowe 2" o:spid="_x0000_s1027" alt="Wartość instrumentów finansowych wykazywanych po stronie aktywów na koniec 2024 r. wzrosła o 9,5% względem ich wartości na koniec 2023 r.&#10;" style="position:absolute;margin-left:0;margin-top:83.65pt;width:164.05pt;height:103.15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" fillcolor="#001d77" stroked="f">
                <v:stroke joinstyle="miter"/>
                <v:textbox>
                  <w:txbxContent>
                    <w:p w14:paraId="7CD7CC18" w14:textId="1FB34975" w:rsidR="007918C5" w:rsidRPr="00B66B19" w:rsidRDefault="007918C5" w:rsidP="00CF7AE9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F7AE9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9,5</w:t>
                      </w:r>
                      <w:r w:rsidRPr="00CF7A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7117BBF6" w14:textId="2E397993" w:rsidR="007918C5" w:rsidRPr="00957D9F" w:rsidRDefault="007918C5" w:rsidP="00CF7AE9">
                      <w:pPr>
                        <w:pStyle w:val="tekstnaniebieskimtle"/>
                        <w:spacing w:before="120"/>
                      </w:pPr>
                      <w:r>
                        <w:t xml:space="preserve">Wzrost wartości instrumentów finansowych w aktywach </w:t>
                      </w:r>
                      <w:r>
                        <w:br/>
                        <w:t>w 2024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1873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>Instrumenty finansowe przedsiębiorstw</w:t>
      </w:r>
      <w:r w:rsidR="00AC3B26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br/>
      </w:r>
      <w:r w:rsidR="00FD6942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 xml:space="preserve">niefinansowych w </w:t>
      </w:r>
      <w:r w:rsidR="00C819AC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>202</w:t>
      </w:r>
      <w:r w:rsidR="00D16E4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>4</w:t>
      </w:r>
      <w:r w:rsidR="00EC1873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 xml:space="preserve"> r</w:t>
      </w:r>
      <w:r w:rsidR="008079BF" w:rsidRPr="00CF7AE9">
        <w:rPr>
          <w:rFonts w:ascii="Fira Sans Condensed SemiBold" w:eastAsia="Fira Sans Light" w:hAnsi="Fira Sans Condensed SemiBold" w:cs="Times New Roman"/>
          <w:color w:val="000000"/>
          <w:sz w:val="40"/>
          <w:szCs w:val="26"/>
          <w:shd w:val="clear" w:color="auto" w:fill="FFFFFF"/>
        </w:rPr>
        <w:t>.</w:t>
      </w:r>
    </w:p>
    <w:p w14:paraId="147A1680" w14:textId="4A91B113" w:rsidR="00EC1873" w:rsidRPr="00B97E3B" w:rsidRDefault="00270E02" w:rsidP="00CF7AE9">
      <w:pPr>
        <w:spacing w:before="360"/>
        <w:rPr>
          <w:rFonts w:eastAsia="Fira Sans Light" w:cs="Times New Roman"/>
          <w:b/>
          <w:noProof/>
          <w:szCs w:val="19"/>
          <w:lang w:eastAsia="pl-PL"/>
        </w:rPr>
      </w:pPr>
      <w:r w:rsidRPr="00270E02">
        <w:rPr>
          <w:rFonts w:eastAsia="Fira Sans Light" w:cs="Times New Roman"/>
          <w:b/>
          <w:noProof/>
          <w:szCs w:val="19"/>
          <w:lang w:eastAsia="pl-PL"/>
        </w:rPr>
        <w:t>W badaniu wzi</w:t>
      </w:r>
      <w:r w:rsidR="00FA1D41">
        <w:rPr>
          <w:rFonts w:eastAsia="Fira Sans Light" w:cs="Times New Roman"/>
          <w:b/>
          <w:noProof/>
          <w:szCs w:val="19"/>
          <w:lang w:eastAsia="pl-PL"/>
        </w:rPr>
        <w:t>ę</w:t>
      </w:r>
      <w:r w:rsidRPr="00270E02">
        <w:rPr>
          <w:rFonts w:eastAsia="Fira Sans Light" w:cs="Times New Roman"/>
          <w:b/>
          <w:noProof/>
          <w:szCs w:val="19"/>
          <w:lang w:eastAsia="pl-PL"/>
        </w:rPr>
        <w:t>ło udział 2 544 podmiotów</w:t>
      </w:r>
      <w:r>
        <w:rPr>
          <w:rFonts w:eastAsia="Fira Sans Light" w:cs="Times New Roman"/>
          <w:b/>
          <w:noProof/>
          <w:szCs w:val="19"/>
          <w:lang w:eastAsia="pl-PL"/>
        </w:rPr>
        <w:t xml:space="preserve">. </w:t>
      </w:r>
      <w:r w:rsidR="00CC0FB9">
        <w:rPr>
          <w:rFonts w:eastAsia="Fira Sans Light" w:cs="Times New Roman"/>
          <w:b/>
          <w:noProof/>
          <w:szCs w:val="19"/>
          <w:lang w:eastAsia="pl-PL"/>
        </w:rPr>
        <w:t>I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nstrumen</w:t>
      </w:r>
      <w:r w:rsidR="005F42CA" w:rsidRPr="00B97E3B">
        <w:rPr>
          <w:rFonts w:eastAsia="Fira Sans Light" w:cs="Times New Roman"/>
          <w:b/>
          <w:noProof/>
          <w:szCs w:val="19"/>
          <w:lang w:eastAsia="pl-PL"/>
        </w:rPr>
        <w:t>ty finansowe w aktywach wykaza</w:t>
      </w:r>
      <w:r w:rsidR="00F5311D" w:rsidRPr="00B97E3B">
        <w:rPr>
          <w:rFonts w:eastAsia="Fira Sans Light" w:cs="Times New Roman"/>
          <w:b/>
          <w:noProof/>
          <w:szCs w:val="19"/>
          <w:lang w:eastAsia="pl-PL"/>
        </w:rPr>
        <w:t>ł</w:t>
      </w:r>
      <w:r w:rsidR="00F7527F" w:rsidRPr="00B97E3B">
        <w:rPr>
          <w:rFonts w:eastAsia="Fira Sans Light" w:cs="Times New Roman"/>
          <w:b/>
          <w:noProof/>
          <w:szCs w:val="19"/>
          <w:lang w:eastAsia="pl-PL"/>
        </w:rPr>
        <w:t>o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2 498</w:t>
      </w:r>
      <w:r w:rsidR="00BA6B61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przedsiębiorstw</w:t>
      </w:r>
      <w:r w:rsidR="00B97E3B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na kwotę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888,2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 mld zł</w:t>
      </w:r>
      <w:r w:rsidR="003B6F5A" w:rsidRPr="00B97E3B">
        <w:rPr>
          <w:rFonts w:eastAsia="Fira Sans Light" w:cs="Times New Roman"/>
          <w:b/>
          <w:noProof/>
          <w:szCs w:val="19"/>
          <w:lang w:eastAsia="pl-PL"/>
        </w:rPr>
        <w:t xml:space="preserve">. </w:t>
      </w:r>
      <w:r w:rsidR="008F62E9">
        <w:rPr>
          <w:rFonts w:eastAsia="Fira Sans Light" w:cs="Times New Roman"/>
          <w:b/>
          <w:noProof/>
          <w:szCs w:val="19"/>
          <w:lang w:eastAsia="pl-PL"/>
        </w:rPr>
        <w:t xml:space="preserve">Po stronie </w:t>
      </w:r>
      <w:r w:rsidR="007455CF">
        <w:rPr>
          <w:rFonts w:eastAsia="Fira Sans Light" w:cs="Times New Roman"/>
          <w:b/>
          <w:noProof/>
          <w:szCs w:val="19"/>
          <w:lang w:eastAsia="pl-PL"/>
        </w:rPr>
        <w:t>p</w:t>
      </w:r>
      <w:r w:rsidR="008F62E9">
        <w:rPr>
          <w:rFonts w:eastAsia="Fira Sans Light" w:cs="Times New Roman"/>
          <w:b/>
          <w:noProof/>
          <w:szCs w:val="19"/>
          <w:lang w:eastAsia="pl-PL"/>
        </w:rPr>
        <w:t>asywów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2 463</w:t>
      </w:r>
      <w:r w:rsidR="001935E2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5D19A3">
        <w:rPr>
          <w:rFonts w:eastAsia="Fira Sans Light" w:cs="Times New Roman"/>
          <w:b/>
          <w:noProof/>
          <w:szCs w:val="19"/>
          <w:lang w:eastAsia="pl-PL"/>
        </w:rPr>
        <w:t xml:space="preserve">przedsiębiorostwa wykazały instrumenty fiansnowe na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kwotę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945,9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 mld zł. Instrumenty pochodne w aktywach </w:t>
      </w:r>
      <w:r w:rsidR="005F42CA" w:rsidRPr="00B97E3B">
        <w:rPr>
          <w:rFonts w:eastAsia="Fira Sans Light" w:cs="Times New Roman"/>
          <w:b/>
          <w:noProof/>
          <w:szCs w:val="19"/>
          <w:lang w:eastAsia="pl-PL"/>
        </w:rPr>
        <w:t>i pasywach</w:t>
      </w:r>
      <w:r w:rsidR="008C4944" w:rsidRPr="00B97E3B">
        <w:rPr>
          <w:rFonts w:eastAsia="Fira Sans Light" w:cs="Times New Roman"/>
          <w:b/>
          <w:noProof/>
          <w:szCs w:val="19"/>
          <w:lang w:eastAsia="pl-PL"/>
        </w:rPr>
        <w:t xml:space="preserve"> zostały wykazane</w:t>
      </w:r>
      <w:r w:rsidR="00C66AAD" w:rsidRPr="00B97E3B">
        <w:rPr>
          <w:rFonts w:eastAsia="Fira Sans Light" w:cs="Times New Roman"/>
          <w:b/>
          <w:noProof/>
          <w:szCs w:val="19"/>
          <w:lang w:eastAsia="pl-PL"/>
        </w:rPr>
        <w:t xml:space="preserve"> odpowiednio</w:t>
      </w:r>
      <w:r w:rsidR="005F42CA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8C4944" w:rsidRPr="00B97E3B">
        <w:rPr>
          <w:rFonts w:eastAsia="Fira Sans Light" w:cs="Times New Roman"/>
          <w:b/>
          <w:noProof/>
          <w:szCs w:val="19"/>
          <w:lang w:eastAsia="pl-PL"/>
        </w:rPr>
        <w:t>przez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 xml:space="preserve"> 502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i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300</w:t>
      </w:r>
      <w:r w:rsidR="00D97697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podmiot</w:t>
      </w:r>
      <w:r w:rsidR="003B6F5A" w:rsidRPr="00B97E3B">
        <w:rPr>
          <w:rFonts w:eastAsia="Fira Sans Light" w:cs="Times New Roman"/>
          <w:b/>
          <w:noProof/>
          <w:szCs w:val="19"/>
          <w:lang w:eastAsia="pl-PL"/>
        </w:rPr>
        <w:t>ów,</w:t>
      </w:r>
      <w:r w:rsidR="00B97E3B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3B6F5A" w:rsidRPr="00B97E3B">
        <w:rPr>
          <w:rFonts w:eastAsia="Fira Sans Light" w:cs="Times New Roman"/>
          <w:b/>
          <w:noProof/>
          <w:szCs w:val="19"/>
          <w:lang w:eastAsia="pl-PL"/>
        </w:rPr>
        <w:t>a wartość tych instrumentów wyniosła</w:t>
      </w:r>
      <w:r w:rsidR="00841688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17,1</w:t>
      </w:r>
      <w:r w:rsidR="00F01A55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mld zł</w:t>
      </w:r>
      <w:r w:rsidR="00B97E3B" w:rsidRPr="00B97E3B">
        <w:rPr>
          <w:rFonts w:eastAsia="Fira Sans Light" w:cs="Times New Roman"/>
          <w:b/>
          <w:noProof/>
          <w:szCs w:val="19"/>
          <w:lang w:eastAsia="pl-PL"/>
        </w:rPr>
        <w:t xml:space="preserve"> 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 xml:space="preserve">i </w:t>
      </w:r>
      <w:r w:rsidR="00D97697">
        <w:rPr>
          <w:rFonts w:eastAsia="Fira Sans Light" w:cs="Times New Roman"/>
          <w:b/>
          <w:noProof/>
          <w:szCs w:val="19"/>
          <w:lang w:eastAsia="pl-PL"/>
        </w:rPr>
        <w:t>11,3</w:t>
      </w:r>
      <w:r w:rsidR="00841688" w:rsidRPr="00B97E3B">
        <w:rPr>
          <w:rFonts w:eastAsia="Fira Sans Light" w:cs="Times New Roman"/>
          <w:b/>
          <w:noProof/>
          <w:szCs w:val="19"/>
          <w:lang w:eastAsia="pl-PL"/>
        </w:rPr>
        <w:t> </w:t>
      </w:r>
      <w:r w:rsidR="00D2407F" w:rsidRPr="00B97E3B">
        <w:rPr>
          <w:rFonts w:eastAsia="Fira Sans Light" w:cs="Times New Roman"/>
          <w:b/>
          <w:noProof/>
          <w:szCs w:val="19"/>
          <w:lang w:eastAsia="pl-PL"/>
        </w:rPr>
        <w:t>mld zł</w:t>
      </w:r>
      <w:r w:rsidR="00EC1873" w:rsidRPr="00B97E3B">
        <w:rPr>
          <w:rFonts w:eastAsia="Fira Sans Light" w:cs="Times New Roman"/>
          <w:b/>
          <w:noProof/>
          <w:szCs w:val="19"/>
          <w:lang w:eastAsia="pl-PL"/>
        </w:rPr>
        <w:t>.</w:t>
      </w:r>
    </w:p>
    <w:p w14:paraId="2ABDF0E9" w14:textId="77777777" w:rsidR="00E30938" w:rsidRDefault="00E30938" w:rsidP="00EC1873">
      <w:pPr>
        <w:rPr>
          <w:rFonts w:eastAsia="Fira Sans Light" w:cs="Times New Roman"/>
          <w:b/>
          <w:spacing w:val="-2"/>
          <w:sz w:val="18"/>
          <w:shd w:val="clear" w:color="auto" w:fill="FFFFFF"/>
        </w:rPr>
      </w:pPr>
    </w:p>
    <w:p w14:paraId="53CFEE43" w14:textId="397D4E1C" w:rsidR="00EC1873" w:rsidRPr="00CF7AE9" w:rsidRDefault="00EC1873" w:rsidP="005740D1">
      <w:pPr>
        <w:spacing w:before="240" w:line="240" w:lineRule="auto"/>
        <w:rPr>
          <w:rFonts w:eastAsia="Fira Sans Light" w:cs="Times New Roman"/>
          <w:b/>
          <w:spacing w:val="-2"/>
          <w:szCs w:val="19"/>
          <w:shd w:val="clear" w:color="auto" w:fill="FFFFFF"/>
        </w:rPr>
      </w:pPr>
      <w:r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Ta</w:t>
      </w:r>
      <w:r w:rsidR="004650A7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blica 1. Instrumenty finansowe oraz</w:t>
      </w:r>
      <w:r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pochodne według statusu organizacyjnego przedsiębiorstw</w:t>
      </w:r>
      <w:r w:rsidR="00CC0FB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(</w:t>
      </w:r>
      <w:r w:rsidR="00E34829">
        <w:rPr>
          <w:rFonts w:eastAsia="Fira Sans Light" w:cs="Times New Roman"/>
          <w:b/>
          <w:spacing w:val="-2"/>
          <w:szCs w:val="19"/>
          <w:shd w:val="clear" w:color="auto" w:fill="FFFFFF"/>
        </w:rPr>
        <w:t>stan</w:t>
      </w:r>
      <w:r w:rsidR="00CC0FB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na 31 grudnia 2024 r.)</w:t>
      </w:r>
    </w:p>
    <w:tbl>
      <w:tblPr>
        <w:tblStyle w:val="Siatkatabelijasna11"/>
        <w:tblpPr w:leftFromText="141" w:rightFromText="141" w:vertAnchor="text" w:horzAnchor="margin" w:tblpY="129"/>
        <w:tblW w:w="4943" w:type="pct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1. Instrumenty finansowe oraz pochodne według statusu organizacyjnego przedsiębiorstw"/>
      </w:tblPr>
      <w:tblGrid>
        <w:gridCol w:w="1986"/>
        <w:gridCol w:w="1416"/>
        <w:gridCol w:w="1437"/>
        <w:gridCol w:w="1614"/>
        <w:gridCol w:w="1522"/>
      </w:tblGrid>
      <w:tr w:rsidR="00EC1873" w:rsidRPr="00BB0000" w14:paraId="56BA9B66" w14:textId="77777777" w:rsidTr="007918C5">
        <w:trPr>
          <w:trHeight w:val="57"/>
        </w:trPr>
        <w:tc>
          <w:tcPr>
            <w:tcW w:w="1245" w:type="pct"/>
            <w:vMerge w:val="restart"/>
            <w:vAlign w:val="center"/>
          </w:tcPr>
          <w:p w14:paraId="6AF47573" w14:textId="11D9FB28" w:rsidR="00EC1873" w:rsidRPr="00BB0000" w:rsidRDefault="007468DD" w:rsidP="0012543B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888" w:type="pct"/>
            <w:vAlign w:val="center"/>
          </w:tcPr>
          <w:p w14:paraId="3F4AB94F" w14:textId="77777777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działające</w:t>
            </w:r>
          </w:p>
          <w:p w14:paraId="30B3E158" w14:textId="77777777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samodzielnie</w:t>
            </w:r>
          </w:p>
        </w:tc>
        <w:tc>
          <w:tcPr>
            <w:tcW w:w="901" w:type="pct"/>
            <w:vAlign w:val="center"/>
          </w:tcPr>
          <w:p w14:paraId="7FD8B80B" w14:textId="77777777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38197E59" w14:textId="77777777" w:rsidR="00EC1873" w:rsidRPr="00BB0000" w:rsidRDefault="00F674A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dominujące w grupach</w:t>
            </w:r>
            <w:r w:rsidR="00EC1873" w:rsidRPr="00BB0000">
              <w:rPr>
                <w:rFonts w:eastAsia="Times New Roman" w:cs="Times New Roman"/>
                <w:color w:val="000000"/>
                <w:szCs w:val="19"/>
              </w:rPr>
              <w:t xml:space="preserve"> 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>kapitałowych</w:t>
            </w:r>
          </w:p>
        </w:tc>
        <w:tc>
          <w:tcPr>
            <w:tcW w:w="1012" w:type="pct"/>
            <w:vAlign w:val="center"/>
          </w:tcPr>
          <w:p w14:paraId="4510FC04" w14:textId="77777777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37A0FD92" w14:textId="715F8DE8" w:rsidR="00EC1873" w:rsidRPr="00BB0000" w:rsidRDefault="00624ACF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021D70" w:rsidRPr="00BB0000">
              <w:rPr>
                <w:rFonts w:eastAsia="Times New Roman" w:cs="Times New Roman"/>
                <w:color w:val="000000"/>
                <w:szCs w:val="19"/>
              </w:rPr>
              <w:t xml:space="preserve"> </w:t>
            </w:r>
            <w:r w:rsidR="00593D7A" w:rsidRPr="00BB0000">
              <w:rPr>
                <w:rFonts w:eastAsia="Times New Roman" w:cs="Times New Roman"/>
                <w:color w:val="000000"/>
                <w:szCs w:val="19"/>
              </w:rPr>
              <w:t>w grupach</w:t>
            </w:r>
          </w:p>
          <w:p w14:paraId="362C94E5" w14:textId="77777777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kapitałow</w:t>
            </w:r>
            <w:r w:rsidR="00593D7A" w:rsidRPr="00BB0000">
              <w:rPr>
                <w:rFonts w:eastAsia="Times New Roman" w:cs="Times New Roman"/>
                <w:color w:val="000000"/>
                <w:szCs w:val="19"/>
              </w:rPr>
              <w:t>ych</w:t>
            </w:r>
          </w:p>
        </w:tc>
        <w:tc>
          <w:tcPr>
            <w:tcW w:w="954" w:type="pct"/>
            <w:vAlign w:val="center"/>
          </w:tcPr>
          <w:p w14:paraId="6758DA46" w14:textId="49A9B8B5" w:rsidR="00EC1873" w:rsidRPr="00BB0000" w:rsidRDefault="00EC1873" w:rsidP="008F0A2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</w:t>
            </w:r>
            <w:r w:rsidR="00BB52E5" w:rsidRPr="00BB0000">
              <w:rPr>
                <w:rFonts w:eastAsia="Times New Roman" w:cs="Times New Roman"/>
                <w:color w:val="000000"/>
                <w:szCs w:val="19"/>
              </w:rPr>
              <w:t xml:space="preserve">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021D70" w:rsidRPr="00BB0000">
              <w:rPr>
                <w:rFonts w:eastAsia="Times New Roman" w:cs="Times New Roman"/>
                <w:color w:val="000000"/>
                <w:szCs w:val="19"/>
              </w:rPr>
              <w:t xml:space="preserve"> 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w </w:t>
            </w:r>
            <w:r w:rsidR="00F674A3" w:rsidRPr="00BB0000">
              <w:rPr>
                <w:rFonts w:eastAsia="Times New Roman" w:cs="Times New Roman"/>
                <w:color w:val="000000"/>
                <w:szCs w:val="19"/>
              </w:rPr>
              <w:t>grupach kapitałowych</w:t>
            </w:r>
          </w:p>
        </w:tc>
      </w:tr>
      <w:tr w:rsidR="00EC1873" w:rsidRPr="00BB0000" w14:paraId="4112A304" w14:textId="77777777" w:rsidTr="007918C5">
        <w:trPr>
          <w:trHeight w:val="112"/>
        </w:trPr>
        <w:tc>
          <w:tcPr>
            <w:tcW w:w="1245" w:type="pct"/>
            <w:vMerge/>
            <w:vAlign w:val="center"/>
          </w:tcPr>
          <w:p w14:paraId="4FE88E71" w14:textId="77777777" w:rsidR="00EC1873" w:rsidRPr="00BB0000" w:rsidRDefault="00EC1873" w:rsidP="0012543B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3755" w:type="pct"/>
            <w:gridSpan w:val="4"/>
            <w:vAlign w:val="center"/>
          </w:tcPr>
          <w:p w14:paraId="27AD5E98" w14:textId="77777777" w:rsidR="00EC1873" w:rsidRPr="00BB0000" w:rsidRDefault="00EC1873" w:rsidP="0012543B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szCs w:val="19"/>
              </w:rPr>
              <w:t>w mln zł</w:t>
            </w:r>
          </w:p>
        </w:tc>
      </w:tr>
      <w:tr w:rsidR="00EC1873" w:rsidRPr="00BB0000" w14:paraId="567868F2" w14:textId="77777777" w:rsidTr="007918C5">
        <w:trPr>
          <w:trHeight w:val="57"/>
        </w:trPr>
        <w:tc>
          <w:tcPr>
            <w:tcW w:w="1245" w:type="pct"/>
            <w:vAlign w:val="bottom"/>
          </w:tcPr>
          <w:p w14:paraId="0304BA55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 xml:space="preserve">Instrumenty </w:t>
            </w:r>
          </w:p>
          <w:p w14:paraId="676CF53D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finansowe - aktywa</w:t>
            </w:r>
          </w:p>
        </w:tc>
        <w:tc>
          <w:tcPr>
            <w:tcW w:w="888" w:type="pct"/>
            <w:vAlign w:val="center"/>
          </w:tcPr>
          <w:p w14:paraId="5A09255D" w14:textId="406BD130" w:rsidR="00EC1873" w:rsidRPr="00BB0000" w:rsidRDefault="00412B6E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60 45</w:t>
            </w:r>
            <w:r w:rsidR="00A90D76" w:rsidRPr="00BB0000">
              <w:rPr>
                <w:rFonts w:eastAsia="Fira Sans Light" w:cs="Times New Roman"/>
                <w:szCs w:val="19"/>
              </w:rPr>
              <w:t>1,0</w:t>
            </w:r>
          </w:p>
        </w:tc>
        <w:tc>
          <w:tcPr>
            <w:tcW w:w="901" w:type="pct"/>
            <w:vAlign w:val="center"/>
          </w:tcPr>
          <w:p w14:paraId="2BEB4976" w14:textId="0344F13D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404 681,4</w:t>
            </w:r>
          </w:p>
        </w:tc>
        <w:tc>
          <w:tcPr>
            <w:tcW w:w="1012" w:type="pct"/>
            <w:vAlign w:val="center"/>
          </w:tcPr>
          <w:p w14:paraId="7C6E0430" w14:textId="06E759A0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214 621,6</w:t>
            </w:r>
          </w:p>
        </w:tc>
        <w:tc>
          <w:tcPr>
            <w:tcW w:w="954" w:type="pct"/>
            <w:vAlign w:val="center"/>
          </w:tcPr>
          <w:p w14:paraId="23A39ADA" w14:textId="746605E6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208 399,4</w:t>
            </w:r>
          </w:p>
        </w:tc>
      </w:tr>
      <w:tr w:rsidR="00EC1873" w:rsidRPr="00BB0000" w14:paraId="748ABA99" w14:textId="77777777" w:rsidTr="007918C5">
        <w:trPr>
          <w:trHeight w:val="57"/>
        </w:trPr>
        <w:tc>
          <w:tcPr>
            <w:tcW w:w="1245" w:type="pct"/>
            <w:vAlign w:val="bottom"/>
          </w:tcPr>
          <w:p w14:paraId="645EFE41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 xml:space="preserve">Instrumenty </w:t>
            </w:r>
          </w:p>
          <w:p w14:paraId="2B4CE47F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finansowe - pasywa</w:t>
            </w:r>
          </w:p>
        </w:tc>
        <w:tc>
          <w:tcPr>
            <w:tcW w:w="888" w:type="pct"/>
            <w:vAlign w:val="center"/>
          </w:tcPr>
          <w:p w14:paraId="3FE6B0A8" w14:textId="08FD30ED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69 164,6</w:t>
            </w:r>
          </w:p>
        </w:tc>
        <w:tc>
          <w:tcPr>
            <w:tcW w:w="901" w:type="pct"/>
            <w:vAlign w:val="center"/>
          </w:tcPr>
          <w:p w14:paraId="1013F2AD" w14:textId="744A9956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322 307,9</w:t>
            </w:r>
          </w:p>
        </w:tc>
        <w:tc>
          <w:tcPr>
            <w:tcW w:w="1012" w:type="pct"/>
            <w:vAlign w:val="center"/>
          </w:tcPr>
          <w:p w14:paraId="6851A1EC" w14:textId="6CE95CA5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237 043,6</w:t>
            </w:r>
          </w:p>
        </w:tc>
        <w:tc>
          <w:tcPr>
            <w:tcW w:w="954" w:type="pct"/>
            <w:vAlign w:val="center"/>
          </w:tcPr>
          <w:p w14:paraId="1EBDDB17" w14:textId="4F940F11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317 391,9</w:t>
            </w:r>
          </w:p>
        </w:tc>
      </w:tr>
      <w:tr w:rsidR="00EC1873" w:rsidRPr="00BB0000" w14:paraId="0F9DEE09" w14:textId="77777777" w:rsidTr="007918C5">
        <w:trPr>
          <w:trHeight w:val="57"/>
        </w:trPr>
        <w:tc>
          <w:tcPr>
            <w:tcW w:w="1245" w:type="pct"/>
            <w:vAlign w:val="bottom"/>
          </w:tcPr>
          <w:p w14:paraId="09257719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 xml:space="preserve">Instrumenty </w:t>
            </w:r>
          </w:p>
          <w:p w14:paraId="7D56A2C4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pochodne - aktywa</w:t>
            </w:r>
          </w:p>
        </w:tc>
        <w:tc>
          <w:tcPr>
            <w:tcW w:w="888" w:type="pct"/>
            <w:vAlign w:val="center"/>
          </w:tcPr>
          <w:p w14:paraId="7FAF2B3E" w14:textId="7E12D304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829,3</w:t>
            </w:r>
          </w:p>
        </w:tc>
        <w:tc>
          <w:tcPr>
            <w:tcW w:w="901" w:type="pct"/>
            <w:vAlign w:val="center"/>
          </w:tcPr>
          <w:p w14:paraId="7E1AD50B" w14:textId="33364A79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4 406,0</w:t>
            </w:r>
          </w:p>
        </w:tc>
        <w:tc>
          <w:tcPr>
            <w:tcW w:w="1012" w:type="pct"/>
            <w:vAlign w:val="center"/>
          </w:tcPr>
          <w:p w14:paraId="666BFA02" w14:textId="44D3CDE9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8 125,5</w:t>
            </w:r>
          </w:p>
        </w:tc>
        <w:tc>
          <w:tcPr>
            <w:tcW w:w="954" w:type="pct"/>
            <w:vAlign w:val="center"/>
          </w:tcPr>
          <w:p w14:paraId="57631809" w14:textId="0C8F4834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3 746,9</w:t>
            </w:r>
          </w:p>
        </w:tc>
      </w:tr>
      <w:tr w:rsidR="00EC1873" w:rsidRPr="00BB0000" w14:paraId="5A2782A6" w14:textId="77777777" w:rsidTr="007918C5">
        <w:trPr>
          <w:trHeight w:val="57"/>
        </w:trPr>
        <w:tc>
          <w:tcPr>
            <w:tcW w:w="1245" w:type="pct"/>
            <w:vAlign w:val="bottom"/>
          </w:tcPr>
          <w:p w14:paraId="38C17DCD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 xml:space="preserve">Instrumenty </w:t>
            </w:r>
          </w:p>
          <w:p w14:paraId="7203F397" w14:textId="77777777" w:rsidR="00EC1873" w:rsidRPr="00BB0000" w:rsidRDefault="00EC1873" w:rsidP="0012543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pochodne - pasywa</w:t>
            </w:r>
          </w:p>
        </w:tc>
        <w:tc>
          <w:tcPr>
            <w:tcW w:w="888" w:type="pct"/>
            <w:vAlign w:val="center"/>
          </w:tcPr>
          <w:p w14:paraId="1CA4EB0F" w14:textId="6FD19D39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336,9</w:t>
            </w:r>
          </w:p>
        </w:tc>
        <w:tc>
          <w:tcPr>
            <w:tcW w:w="901" w:type="pct"/>
            <w:vAlign w:val="center"/>
          </w:tcPr>
          <w:p w14:paraId="7DDA5405" w14:textId="57898599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2 551,2</w:t>
            </w:r>
          </w:p>
        </w:tc>
        <w:tc>
          <w:tcPr>
            <w:tcW w:w="1012" w:type="pct"/>
            <w:vAlign w:val="center"/>
          </w:tcPr>
          <w:p w14:paraId="3BD63F26" w14:textId="51D71C04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6 758,1</w:t>
            </w:r>
          </w:p>
        </w:tc>
        <w:tc>
          <w:tcPr>
            <w:tcW w:w="954" w:type="pct"/>
            <w:vAlign w:val="center"/>
          </w:tcPr>
          <w:p w14:paraId="25416E0C" w14:textId="445AB2B3" w:rsidR="00EC1873" w:rsidRPr="00BB0000" w:rsidRDefault="00A90D76" w:rsidP="00E313A2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1 611,9</w:t>
            </w:r>
          </w:p>
        </w:tc>
      </w:tr>
    </w:tbl>
    <w:p w14:paraId="38CBEE4D" w14:textId="512EDD93" w:rsidR="00B81ED6" w:rsidRPr="00CF7AE9" w:rsidRDefault="00797D6D" w:rsidP="00CF7AE9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C10991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58F7C0F" wp14:editId="1044F3C7">
                <wp:simplePos x="0" y="0"/>
                <wp:positionH relativeFrom="column">
                  <wp:posOffset>5240443</wp:posOffset>
                </wp:positionH>
                <wp:positionV relativeFrom="paragraph">
                  <wp:posOffset>3018155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2" name="Pole tekstowe 2" descr="W badaniu uczestniczyło 2 544 podmiotów, w tym 2 363 to jednostki z sektora prywat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D7AC2" w14:textId="4AA278F9" w:rsidR="007918C5" w:rsidRPr="00D616D2" w:rsidRDefault="007918C5" w:rsidP="00EC187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F1548">
                              <w:t xml:space="preserve">W badaniu uczestniczyło </w:t>
                            </w:r>
                            <w:r>
                              <w:t>2</w:t>
                            </w:r>
                            <w:r w:rsidRPr="00DF1548">
                              <w:t> </w:t>
                            </w:r>
                            <w:r>
                              <w:t>544</w:t>
                            </w:r>
                            <w:r w:rsidRPr="00DF1548">
                              <w:t> podmiotów, w tym</w:t>
                            </w:r>
                            <w:r>
                              <w:t xml:space="preserve"> 2</w:t>
                            </w:r>
                            <w:r>
                              <w:rPr>
                                <w:color w:val="auto"/>
                              </w:rPr>
                              <w:t> </w:t>
                            </w:r>
                            <w:r>
                              <w:t>363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DF1548">
                              <w:t>to jednostki z sektora prywatnego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7C0F" id="_x0000_s1028" type="#_x0000_t202" alt="W badaniu uczestniczyło 2 544 podmiotów, w tym 2 363 to jednostki z sektora prywatnego" style="position:absolute;margin-left:412.65pt;margin-top:237.65pt;width:135.85pt;height:76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" filled="f" stroked="f">
                <v:textbox>
                  <w:txbxContent>
                    <w:p w14:paraId="34ED7AC2" w14:textId="4AA278F9" w:rsidR="007918C5" w:rsidRPr="00D616D2" w:rsidRDefault="007918C5" w:rsidP="00EC1873">
                      <w:pPr>
                        <w:pStyle w:val="tekstzboku"/>
                        <w:rPr>
                          <w:bCs w:val="0"/>
                        </w:rPr>
                      </w:pPr>
                      <w:r w:rsidRPr="00DF1548">
                        <w:t xml:space="preserve">W badaniu uczestniczyło </w:t>
                      </w:r>
                      <w:r>
                        <w:t>2</w:t>
                      </w:r>
                      <w:r w:rsidRPr="00DF1548">
                        <w:t> </w:t>
                      </w:r>
                      <w:r>
                        <w:t>544</w:t>
                      </w:r>
                      <w:r w:rsidRPr="00DF1548">
                        <w:t> podmiotów, w tym</w:t>
                      </w:r>
                      <w:r>
                        <w:t xml:space="preserve"> 2</w:t>
                      </w:r>
                      <w:r>
                        <w:rPr>
                          <w:color w:val="auto"/>
                        </w:rPr>
                        <w:t> </w:t>
                      </w:r>
                      <w:r>
                        <w:t>363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 w:rsidRPr="00DF1548">
                        <w:t>to jednostki z sektora prywatnego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1873"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>Podstawowe informacje na temat badanych przedsiębiorstw</w:t>
      </w:r>
    </w:p>
    <w:p w14:paraId="0281CB34" w14:textId="32ED3B51" w:rsidR="007468DD" w:rsidRDefault="00EC1873" w:rsidP="00A86AFA">
      <w:pPr>
        <w:keepNext/>
        <w:spacing w:line="288" w:lineRule="auto"/>
        <w:outlineLvl w:val="0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niniejszej informacji przedstawiono wyniki badania przedsiębiorstw niefinansowych, które </w:t>
      </w:r>
      <w:r w:rsidR="00677264"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</w:t>
      </w:r>
      <w:r w:rsidR="00A431B1">
        <w:rPr>
          <w:rFonts w:eastAsia="Times New Roman" w:cs="Times New Roman"/>
          <w:bCs/>
          <w:szCs w:val="19"/>
          <w:shd w:val="clear" w:color="auto" w:fill="FFFFFF"/>
          <w:lang w:eastAsia="pl-PL"/>
        </w:rPr>
        <w:t>2024</w:t>
      </w:r>
      <w:r w:rsidR="000F2C07"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677264"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r. </w:t>
      </w: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>wykazały w bilansach instrumenty finansow</w:t>
      </w:r>
      <w:r w:rsidR="00D83774">
        <w:rPr>
          <w:rFonts w:eastAsia="Times New Roman" w:cs="Times New Roman"/>
          <w:bCs/>
          <w:szCs w:val="19"/>
          <w:shd w:val="clear" w:color="auto" w:fill="FFFFFF"/>
          <w:lang w:eastAsia="pl-PL"/>
        </w:rPr>
        <w:t>e</w:t>
      </w:r>
      <w:r w:rsidR="00D83774">
        <w:rPr>
          <w:rStyle w:val="Odwoanieprzypisudolnego"/>
          <w:rFonts w:eastAsia="Times New Roman" w:cs="Times New Roman"/>
          <w:bCs/>
          <w:szCs w:val="19"/>
          <w:shd w:val="clear" w:color="auto" w:fill="FFFFFF"/>
          <w:lang w:eastAsia="pl-PL"/>
        </w:rPr>
        <w:footnoteReference w:id="1"/>
      </w: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>.</w:t>
      </w:r>
      <w:r w:rsidR="00941F56" w:rsidRPr="00941F56">
        <w:t xml:space="preserve"> </w:t>
      </w:r>
      <w:r w:rsidR="00270E02">
        <w:rPr>
          <w:rFonts w:eastAsia="Times New Roman" w:cs="Times New Roman"/>
          <w:bCs/>
          <w:szCs w:val="19"/>
          <w:shd w:val="clear" w:color="auto" w:fill="FFFFFF"/>
          <w:lang w:eastAsia="pl-PL"/>
        </w:rPr>
        <w:t>Spośród</w:t>
      </w:r>
      <w:r w:rsidR="00941F56" w:rsidRPr="00941F56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2 544 podmiotów</w:t>
      </w:r>
      <w:r w:rsidR="00574F5A">
        <w:rPr>
          <w:rFonts w:eastAsia="Times New Roman" w:cs="Times New Roman"/>
          <w:bCs/>
          <w:szCs w:val="19"/>
          <w:shd w:val="clear" w:color="auto" w:fill="FFFFFF"/>
          <w:lang w:eastAsia="pl-PL"/>
        </w:rPr>
        <w:t>,</w:t>
      </w:r>
      <w:r w:rsidR="00270E02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które wzięły udział w badaniu,</w:t>
      </w: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zdecydowaną większość, czyli </w:t>
      </w:r>
      <w:r w:rsidR="005E2B9D">
        <w:rPr>
          <w:rFonts w:eastAsia="Times New Roman" w:cs="Times New Roman"/>
          <w:bCs/>
          <w:szCs w:val="19"/>
          <w:shd w:val="clear" w:color="auto" w:fill="FFFFFF"/>
          <w:lang w:eastAsia="pl-PL"/>
        </w:rPr>
        <w:t>92,9</w:t>
      </w: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%, stanowiły podmioty należące do sektora prywatnego. Udział przedsiębiorstw należących do sektora publicznego wyniósł </w:t>
      </w:r>
      <w:r w:rsidR="005E2B9D">
        <w:rPr>
          <w:rFonts w:eastAsia="Times New Roman" w:cs="Times New Roman"/>
          <w:bCs/>
          <w:szCs w:val="19"/>
          <w:shd w:val="clear" w:color="auto" w:fill="FFFFFF"/>
          <w:lang w:eastAsia="pl-PL"/>
        </w:rPr>
        <w:t>7,1</w:t>
      </w:r>
      <w:r w:rsidRPr="00C10991">
        <w:rPr>
          <w:rFonts w:eastAsia="Times New Roman" w:cs="Times New Roman"/>
          <w:bCs/>
          <w:szCs w:val="19"/>
          <w:shd w:val="clear" w:color="auto" w:fill="FFFFFF"/>
          <w:lang w:eastAsia="pl-PL"/>
        </w:rPr>
        <w:t>%.</w:t>
      </w:r>
    </w:p>
    <w:p w14:paraId="3D63A84B" w14:textId="77777777" w:rsidR="007468DD" w:rsidRDefault="007468DD">
      <w:pPr>
        <w:spacing w:before="0" w:after="160" w:line="259" w:lineRule="auto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>
        <w:rPr>
          <w:rFonts w:eastAsia="Times New Roman" w:cs="Times New Roman"/>
          <w:bCs/>
          <w:szCs w:val="19"/>
          <w:shd w:val="clear" w:color="auto" w:fill="FFFFFF"/>
          <w:lang w:eastAsia="pl-PL"/>
        </w:rPr>
        <w:br w:type="page"/>
      </w:r>
    </w:p>
    <w:p w14:paraId="485D4B74" w14:textId="72E71F04" w:rsidR="00EC1873" w:rsidRDefault="00EC1873" w:rsidP="00CF7AE9">
      <w:pPr>
        <w:spacing w:before="360" w:line="240" w:lineRule="auto"/>
        <w:jc w:val="both"/>
        <w:rPr>
          <w:rFonts w:eastAsia="Fira Sans Light" w:cs="Times New Roman"/>
          <w:b/>
          <w:szCs w:val="19"/>
          <w:shd w:val="clear" w:color="auto" w:fill="FFFFFF"/>
        </w:rPr>
      </w:pPr>
      <w:r w:rsidRPr="00CF7AE9">
        <w:rPr>
          <w:rFonts w:eastAsia="Fira Sans Light" w:cs="Times New Roman"/>
          <w:b/>
          <w:szCs w:val="19"/>
          <w:shd w:val="clear" w:color="auto" w:fill="FFFFFF"/>
        </w:rPr>
        <w:lastRenderedPageBreak/>
        <w:t>Wykres 1. Badane przedsiębiorstwa niefinansowe według sekcji PKD</w:t>
      </w:r>
      <w:r w:rsidR="00FF6559">
        <w:rPr>
          <w:rFonts w:eastAsia="Fira Sans Light" w:cs="Times New Roman"/>
          <w:b/>
          <w:szCs w:val="19"/>
          <w:shd w:val="clear" w:color="auto" w:fill="FFFFFF"/>
        </w:rPr>
        <w:t xml:space="preserve"> 2007</w:t>
      </w:r>
    </w:p>
    <w:p w14:paraId="4E229072" w14:textId="35F2FDCD" w:rsidR="00EA2644" w:rsidRPr="00CF7AE9" w:rsidRDefault="007866F4" w:rsidP="00CF7AE9">
      <w:pPr>
        <w:spacing w:before="360" w:line="240" w:lineRule="auto"/>
        <w:jc w:val="both"/>
        <w:rPr>
          <w:rFonts w:eastAsia="Fira Sans Light" w:cs="Times New Roman"/>
          <w:b/>
          <w:szCs w:val="19"/>
          <w:shd w:val="clear" w:color="auto" w:fill="FFFFFF"/>
        </w:rPr>
      </w:pPr>
      <w:r>
        <w:rPr>
          <w:rFonts w:eastAsia="Fira Sans Light" w:cs="Times New Roman"/>
          <w:b/>
          <w:noProof/>
          <w:szCs w:val="19"/>
          <w:shd w:val="clear" w:color="auto" w:fill="FFFFFF"/>
        </w:rPr>
        <w:drawing>
          <wp:inline distT="0" distB="0" distL="0" distR="0" wp14:anchorId="7D8B6462" wp14:editId="5A31FA8D">
            <wp:extent cx="5072380" cy="1274445"/>
            <wp:effectExtent l="0" t="0" r="0" b="1905"/>
            <wp:docPr id="8" name="Obraz 8" descr="Wykres 1. Badane przedsiębiorstwa niefinansowe według sekcji PKD 2007&#10;&#10;Wykres przedstawiający zbiorowość podmiotów biorących udział w badaniu w podziale wg przynależności do sekcji PKD 2007. Podmioty zaliczane do sekcji: C - Przetwórstwo przemysłowe stanowiły 51,0% podmiotów biorących udział w badaniu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83CDB" w14:textId="27AA8DCB" w:rsidR="00BC06A3" w:rsidRPr="00BB0000" w:rsidRDefault="00F02A73" w:rsidP="00BB0000">
      <w:pPr>
        <w:spacing w:line="240" w:lineRule="auto"/>
        <w:rPr>
          <w:rFonts w:ascii="Calibri" w:eastAsia="Fira Sans Light" w:hAnsi="Calibri" w:cs="Calibri"/>
          <w:sz w:val="16"/>
          <w:szCs w:val="16"/>
          <w:shd w:val="clear" w:color="auto" w:fill="FFFFFF"/>
        </w:rPr>
      </w:pPr>
      <w:r w:rsidRPr="00BB0000">
        <w:rPr>
          <w:rFonts w:eastAsia="Fira Sans Light" w:cs="Times New Roman"/>
          <w:sz w:val="16"/>
          <w:szCs w:val="16"/>
          <w:shd w:val="clear" w:color="auto" w:fill="FFFFFF"/>
        </w:rPr>
        <w:t>B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adane podmioty niefinansowe działające w sekcjach PKD 2007:</w:t>
      </w:r>
      <w:r w:rsidR="00401AC7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B – Górnictwo i wydobywanie, C – Przetwórstwo przemysłowe, D – Wytwarzanie i zaopatrywanie w energię elektryczną,</w:t>
      </w:r>
      <w:r w:rsidR="00E02F23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gaz, parę wodną i gorącą wodę, 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E – Dostawa wody, gospodarowanie ściekami i odpadami, rekultywacja, F – Budownictwo, G – Handel hurtowy</w:t>
      </w:r>
      <w:r w:rsidR="009F2F54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i</w:t>
      </w:r>
      <w:r w:rsidR="00664D6E" w:rsidRPr="00BB0000">
        <w:rPr>
          <w:rFonts w:eastAsia="Fira Sans Light" w:cs="Times New Roman"/>
          <w:sz w:val="16"/>
          <w:szCs w:val="16"/>
          <w:shd w:val="clear" w:color="auto" w:fill="FFFFFF"/>
        </w:rPr>
        <w:t> 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detaliczny, naprawa pojazdów samochodowych, motocykli, H – Transport i gospodarka magazynowa,</w:t>
      </w:r>
      <w:r w:rsidR="00E872CE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L – Działalność związana z obsługą rynku nieruchomości, M – Działalność profesjonalna,</w:t>
      </w:r>
      <w:r w:rsidR="00874538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</w:t>
      </w:r>
      <w:r w:rsidR="00EC1873" w:rsidRPr="00BB0000">
        <w:rPr>
          <w:rFonts w:eastAsia="Fira Sans Light" w:cs="Times New Roman"/>
          <w:sz w:val="16"/>
          <w:szCs w:val="16"/>
          <w:shd w:val="clear" w:color="auto" w:fill="FFFFFF"/>
        </w:rPr>
        <w:t>naukowa i techniczna, N – Działalność w zakresie usług administrowania i działalność wspiera</w:t>
      </w:r>
      <w:r w:rsidR="00E30938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jąca, </w:t>
      </w:r>
      <w:r w:rsidR="00CD08AE" w:rsidRPr="00BB0000">
        <w:rPr>
          <w:rFonts w:eastAsia="Fira Sans Light" w:cs="Times New Roman"/>
          <w:sz w:val="16"/>
          <w:szCs w:val="16"/>
          <w:shd w:val="clear" w:color="auto" w:fill="FFFFFF"/>
        </w:rPr>
        <w:t>oraz</w:t>
      </w:r>
      <w:r w:rsidR="00874538" w:rsidRPr="00BB0000">
        <w:rPr>
          <w:rFonts w:eastAsia="Fira Sans Light" w:cs="Times New Roman"/>
          <w:sz w:val="16"/>
          <w:szCs w:val="16"/>
          <w:shd w:val="clear" w:color="auto" w:fill="FFFFFF"/>
        </w:rPr>
        <w:t xml:space="preserve"> </w:t>
      </w:r>
      <w:r w:rsidR="00CD08AE" w:rsidRPr="00BB0000">
        <w:rPr>
          <w:rFonts w:eastAsia="Fira Sans Light" w:cs="Times New Roman"/>
          <w:sz w:val="16"/>
          <w:szCs w:val="16"/>
          <w:shd w:val="clear" w:color="auto" w:fill="FFFFFF"/>
        </w:rPr>
        <w:t>pozostałe sekcje</w:t>
      </w:r>
      <w:r w:rsidR="00862DB4" w:rsidRPr="00BB0000">
        <w:rPr>
          <w:rFonts w:eastAsia="Fira Sans Light" w:cs="Times New Roman"/>
          <w:sz w:val="16"/>
          <w:szCs w:val="16"/>
          <w:shd w:val="clear" w:color="auto" w:fill="FFFFFF"/>
        </w:rPr>
        <w:t>.</w:t>
      </w:r>
    </w:p>
    <w:p w14:paraId="08401DB1" w14:textId="7EAA9902" w:rsidR="00006097" w:rsidRPr="00CF7AE9" w:rsidRDefault="00B7122B" w:rsidP="00CF7AE9">
      <w:pPr>
        <w:spacing w:before="360" w:line="240" w:lineRule="auto"/>
        <w:rPr>
          <w:rFonts w:eastAsia="Fira Sans Light" w:cs="Times New Roman"/>
          <w:b/>
          <w:spacing w:val="-2"/>
          <w:szCs w:val="19"/>
          <w:shd w:val="clear" w:color="auto" w:fill="FFFFFF"/>
        </w:rPr>
      </w:pPr>
      <w:r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Tablica 2. Badane przedsiębiorstwa niefinansowe według formy prawnej oraz sektora własności</w:t>
      </w:r>
    </w:p>
    <w:tbl>
      <w:tblPr>
        <w:tblStyle w:val="Siatkatabelijasna11"/>
        <w:tblpPr w:leftFromText="141" w:rightFromText="141" w:vertAnchor="text" w:horzAnchor="margin" w:tblpY="129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2. Badane przedsiębiorstwa niefinansowe według formy prawnej oraz sektora własności"/>
      </w:tblPr>
      <w:tblGrid>
        <w:gridCol w:w="1764"/>
        <w:gridCol w:w="967"/>
        <w:gridCol w:w="1378"/>
        <w:gridCol w:w="1230"/>
        <w:gridCol w:w="1255"/>
        <w:gridCol w:w="1381"/>
      </w:tblGrid>
      <w:tr w:rsidR="00021D70" w:rsidRPr="00BB0000" w14:paraId="7AEE6C45" w14:textId="77777777" w:rsidTr="007918C5">
        <w:trPr>
          <w:trHeight w:val="57"/>
        </w:trPr>
        <w:tc>
          <w:tcPr>
            <w:tcW w:w="1106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EBFC9D2" w14:textId="45C0CBAC" w:rsidR="00021D70" w:rsidRPr="007468DD" w:rsidRDefault="007468DD" w:rsidP="00021D70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606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EAE51CF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Ogółem</w:t>
            </w:r>
          </w:p>
        </w:tc>
        <w:tc>
          <w:tcPr>
            <w:tcW w:w="864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08547D8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działające</w:t>
            </w:r>
          </w:p>
          <w:p w14:paraId="5421F48C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samodzielnie</w:t>
            </w:r>
          </w:p>
        </w:tc>
        <w:tc>
          <w:tcPr>
            <w:tcW w:w="771" w:type="pct"/>
            <w:tcBorders>
              <w:top w:val="single" w:sz="4" w:space="0" w:color="212492"/>
              <w:bottom w:val="single" w:sz="4" w:space="0" w:color="212492"/>
            </w:tcBorders>
          </w:tcPr>
          <w:p w14:paraId="35AF78D9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27BBFC71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dominujące w grupach kapitałowych</w:t>
            </w:r>
          </w:p>
        </w:tc>
        <w:tc>
          <w:tcPr>
            <w:tcW w:w="787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F48BFB4" w14:textId="77777777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64EF2BE3" w14:textId="0BAD1957" w:rsidR="00021D70" w:rsidRPr="00BB0000" w:rsidRDefault="00624ACF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021D70" w:rsidRPr="00BB0000">
              <w:rPr>
                <w:rFonts w:eastAsia="Times New Roman" w:cs="Times New Roman"/>
                <w:color w:val="000000"/>
                <w:szCs w:val="19"/>
              </w:rPr>
              <w:t xml:space="preserve"> w grupach</w:t>
            </w:r>
          </w:p>
          <w:p w14:paraId="5F080F80" w14:textId="53374A9F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kapitałowych</w:t>
            </w:r>
          </w:p>
        </w:tc>
        <w:tc>
          <w:tcPr>
            <w:tcW w:w="866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3478CB9" w14:textId="578D4838" w:rsidR="00021D70" w:rsidRPr="00BB0000" w:rsidRDefault="00021D70" w:rsidP="00021D7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</w:tr>
      <w:tr w:rsidR="00876557" w:rsidRPr="00BB0000" w14:paraId="64EC01E2" w14:textId="77777777" w:rsidTr="007918C5">
        <w:trPr>
          <w:trHeight w:val="57"/>
        </w:trPr>
        <w:tc>
          <w:tcPr>
            <w:tcW w:w="1106" w:type="pct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14:paraId="27BC95D1" w14:textId="77777777" w:rsidR="00876557" w:rsidRPr="00BB0000" w:rsidRDefault="00876557" w:rsidP="00A92EB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Sektor publiczny</w:t>
            </w:r>
          </w:p>
        </w:tc>
        <w:tc>
          <w:tcPr>
            <w:tcW w:w="606" w:type="pct"/>
            <w:tcBorders>
              <w:top w:val="single" w:sz="4" w:space="0" w:color="212492"/>
              <w:bottom w:val="single" w:sz="4" w:space="0" w:color="212492"/>
            </w:tcBorders>
          </w:tcPr>
          <w:p w14:paraId="08CC4B6B" w14:textId="30016C80" w:rsidR="00876557" w:rsidRPr="00BB0000" w:rsidRDefault="00423235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181</w:t>
            </w:r>
          </w:p>
        </w:tc>
        <w:tc>
          <w:tcPr>
            <w:tcW w:w="864" w:type="pct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14:paraId="20760F35" w14:textId="41AC3235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105</w:t>
            </w:r>
          </w:p>
        </w:tc>
        <w:tc>
          <w:tcPr>
            <w:tcW w:w="771" w:type="pct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14:paraId="6C3214BB" w14:textId="060EEE94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31</w:t>
            </w:r>
          </w:p>
        </w:tc>
        <w:tc>
          <w:tcPr>
            <w:tcW w:w="787" w:type="pct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14:paraId="585237C7" w14:textId="05E356A5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25</w:t>
            </w:r>
          </w:p>
        </w:tc>
        <w:tc>
          <w:tcPr>
            <w:tcW w:w="866" w:type="pct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14:paraId="6532B238" w14:textId="7D7FB83A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20</w:t>
            </w:r>
          </w:p>
        </w:tc>
      </w:tr>
      <w:tr w:rsidR="00876557" w:rsidRPr="00BB0000" w14:paraId="1E716AE3" w14:textId="77777777" w:rsidTr="00891E73">
        <w:trPr>
          <w:trHeight w:val="57"/>
        </w:trPr>
        <w:tc>
          <w:tcPr>
            <w:tcW w:w="1106" w:type="pct"/>
            <w:tcBorders>
              <w:top w:val="single" w:sz="4" w:space="0" w:color="212492"/>
              <w:bottom w:val="single" w:sz="12" w:space="0" w:color="212492"/>
            </w:tcBorders>
            <w:vAlign w:val="bottom"/>
          </w:tcPr>
          <w:p w14:paraId="4D111863" w14:textId="77777777" w:rsidR="00876557" w:rsidRPr="00BB0000" w:rsidRDefault="00876557" w:rsidP="00A92EBB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Sektor prywatny</w:t>
            </w:r>
          </w:p>
        </w:tc>
        <w:tc>
          <w:tcPr>
            <w:tcW w:w="606" w:type="pct"/>
            <w:tcBorders>
              <w:top w:val="single" w:sz="4" w:space="0" w:color="212492"/>
              <w:bottom w:val="single" w:sz="12" w:space="0" w:color="212492"/>
            </w:tcBorders>
          </w:tcPr>
          <w:p w14:paraId="23E16D47" w14:textId="27CB836E" w:rsidR="00876557" w:rsidRPr="00BB0000" w:rsidRDefault="005D1EAA" w:rsidP="00862DB4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2 36</w:t>
            </w:r>
            <w:r w:rsidR="001122C6" w:rsidRPr="00BB0000">
              <w:rPr>
                <w:rFonts w:eastAsia="Fira Sans Light" w:cs="Times New Roman"/>
                <w:szCs w:val="19"/>
              </w:rPr>
              <w:t>3</w:t>
            </w:r>
          </w:p>
        </w:tc>
        <w:tc>
          <w:tcPr>
            <w:tcW w:w="864" w:type="pct"/>
            <w:tcBorders>
              <w:top w:val="single" w:sz="4" w:space="0" w:color="212492"/>
              <w:bottom w:val="single" w:sz="12" w:space="0" w:color="212492"/>
            </w:tcBorders>
            <w:vAlign w:val="bottom"/>
          </w:tcPr>
          <w:p w14:paraId="1A29F212" w14:textId="457DDE44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838</w:t>
            </w:r>
          </w:p>
        </w:tc>
        <w:tc>
          <w:tcPr>
            <w:tcW w:w="771" w:type="pct"/>
            <w:tcBorders>
              <w:top w:val="single" w:sz="4" w:space="0" w:color="212492"/>
              <w:bottom w:val="single" w:sz="12" w:space="0" w:color="212492"/>
            </w:tcBorders>
            <w:vAlign w:val="bottom"/>
          </w:tcPr>
          <w:p w14:paraId="563855A2" w14:textId="08C49F3D" w:rsidR="00876557" w:rsidRPr="00BB0000" w:rsidRDefault="005D1EAA" w:rsidP="00F87E99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344</w:t>
            </w:r>
          </w:p>
        </w:tc>
        <w:tc>
          <w:tcPr>
            <w:tcW w:w="787" w:type="pct"/>
            <w:tcBorders>
              <w:top w:val="single" w:sz="4" w:space="0" w:color="212492"/>
              <w:bottom w:val="single" w:sz="12" w:space="0" w:color="212492"/>
            </w:tcBorders>
            <w:vAlign w:val="bottom"/>
          </w:tcPr>
          <w:p w14:paraId="4A3A116D" w14:textId="7A1D940A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828</w:t>
            </w:r>
          </w:p>
        </w:tc>
        <w:tc>
          <w:tcPr>
            <w:tcW w:w="866" w:type="pct"/>
            <w:tcBorders>
              <w:top w:val="single" w:sz="4" w:space="0" w:color="212492"/>
              <w:bottom w:val="single" w:sz="12" w:space="0" w:color="212492"/>
            </w:tcBorders>
            <w:vAlign w:val="bottom"/>
          </w:tcPr>
          <w:p w14:paraId="30BB59D1" w14:textId="5BC53C44" w:rsidR="00876557" w:rsidRPr="00BB0000" w:rsidRDefault="005D1EAA" w:rsidP="00A92EBB">
            <w:pPr>
              <w:spacing w:before="0" w:after="0" w:line="240" w:lineRule="auto"/>
              <w:jc w:val="right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35</w:t>
            </w:r>
            <w:r w:rsidR="001122C6" w:rsidRPr="00BB0000">
              <w:rPr>
                <w:rFonts w:eastAsia="Fira Sans Light" w:cs="Times New Roman"/>
                <w:szCs w:val="19"/>
              </w:rPr>
              <w:t>3</w:t>
            </w:r>
          </w:p>
        </w:tc>
      </w:tr>
      <w:tr w:rsidR="00CE0F0C" w:rsidRPr="00BB0000" w14:paraId="015CE29D" w14:textId="77777777" w:rsidTr="00891E73">
        <w:trPr>
          <w:trHeight w:val="57"/>
        </w:trPr>
        <w:tc>
          <w:tcPr>
            <w:tcW w:w="1106" w:type="pct"/>
            <w:tcBorders>
              <w:top w:val="single" w:sz="12" w:space="0" w:color="212492"/>
            </w:tcBorders>
            <w:vAlign w:val="center"/>
          </w:tcPr>
          <w:p w14:paraId="001E56A4" w14:textId="77777777" w:rsidR="00CE0F0C" w:rsidRPr="00BB0000" w:rsidRDefault="00CE0F0C" w:rsidP="00CE0F0C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Spółki akcyjne</w:t>
            </w:r>
          </w:p>
        </w:tc>
        <w:tc>
          <w:tcPr>
            <w:tcW w:w="606" w:type="pct"/>
            <w:tcBorders>
              <w:top w:val="single" w:sz="12" w:space="0" w:color="212492"/>
            </w:tcBorders>
            <w:vAlign w:val="center"/>
          </w:tcPr>
          <w:p w14:paraId="26EE92B1" w14:textId="38A5E7A0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73</w:t>
            </w:r>
            <w:r w:rsidR="001122C6" w:rsidRPr="00BB0000">
              <w:rPr>
                <w:rFonts w:cs="Calibri"/>
                <w:color w:val="000000"/>
                <w:szCs w:val="19"/>
              </w:rPr>
              <w:t>7</w:t>
            </w:r>
          </w:p>
        </w:tc>
        <w:tc>
          <w:tcPr>
            <w:tcW w:w="864" w:type="pct"/>
            <w:tcBorders>
              <w:top w:val="single" w:sz="12" w:space="0" w:color="212492"/>
            </w:tcBorders>
            <w:vAlign w:val="center"/>
          </w:tcPr>
          <w:p w14:paraId="297E6439" w14:textId="4FB3C6AE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174</w:t>
            </w:r>
          </w:p>
        </w:tc>
        <w:tc>
          <w:tcPr>
            <w:tcW w:w="771" w:type="pct"/>
            <w:tcBorders>
              <w:top w:val="single" w:sz="12" w:space="0" w:color="212492"/>
            </w:tcBorders>
            <w:vAlign w:val="center"/>
          </w:tcPr>
          <w:p w14:paraId="70D7B15A" w14:textId="3ED9EE15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229</w:t>
            </w:r>
          </w:p>
        </w:tc>
        <w:tc>
          <w:tcPr>
            <w:tcW w:w="787" w:type="pct"/>
            <w:tcBorders>
              <w:top w:val="single" w:sz="12" w:space="0" w:color="212492"/>
            </w:tcBorders>
            <w:vAlign w:val="center"/>
          </w:tcPr>
          <w:p w14:paraId="1DBBB0F3" w14:textId="498F728C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163</w:t>
            </w:r>
          </w:p>
        </w:tc>
        <w:tc>
          <w:tcPr>
            <w:tcW w:w="866" w:type="pct"/>
            <w:tcBorders>
              <w:top w:val="single" w:sz="12" w:space="0" w:color="212492"/>
            </w:tcBorders>
            <w:vAlign w:val="center"/>
          </w:tcPr>
          <w:p w14:paraId="44801971" w14:textId="1F2A3350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17</w:t>
            </w:r>
            <w:r w:rsidR="001122C6" w:rsidRPr="00BB0000">
              <w:rPr>
                <w:rFonts w:cs="Calibri"/>
                <w:color w:val="000000"/>
                <w:szCs w:val="19"/>
              </w:rPr>
              <w:t>1</w:t>
            </w:r>
          </w:p>
        </w:tc>
      </w:tr>
      <w:tr w:rsidR="00CE0F0C" w:rsidRPr="00BB0000" w14:paraId="040402BA" w14:textId="77777777" w:rsidTr="00891E73">
        <w:trPr>
          <w:trHeight w:val="57"/>
        </w:trPr>
        <w:tc>
          <w:tcPr>
            <w:tcW w:w="1106" w:type="pct"/>
            <w:vAlign w:val="center"/>
          </w:tcPr>
          <w:p w14:paraId="636E5D5A" w14:textId="77777777" w:rsidR="00CE0F0C" w:rsidRPr="00BB0000" w:rsidRDefault="00CE0F0C" w:rsidP="00CE0F0C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Spółki z ograniczoną odpowiedzialnością</w:t>
            </w:r>
          </w:p>
        </w:tc>
        <w:tc>
          <w:tcPr>
            <w:tcW w:w="606" w:type="pct"/>
            <w:vAlign w:val="center"/>
          </w:tcPr>
          <w:p w14:paraId="1C002801" w14:textId="38740349" w:rsidR="00CE0F0C" w:rsidRPr="00BB0000" w:rsidRDefault="00CE0F0C" w:rsidP="00CB22FF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  <w:r w:rsidR="001A755A" w:rsidRPr="00BB0000">
              <w:rPr>
                <w:rFonts w:cs="Calibri"/>
                <w:color w:val="000000"/>
                <w:szCs w:val="19"/>
              </w:rPr>
              <w:t xml:space="preserve"> </w:t>
            </w:r>
            <w:r w:rsidRPr="00BB0000">
              <w:rPr>
                <w:rFonts w:cs="Calibri"/>
                <w:color w:val="000000"/>
                <w:szCs w:val="19"/>
              </w:rPr>
              <w:t>599</w:t>
            </w:r>
          </w:p>
        </w:tc>
        <w:tc>
          <w:tcPr>
            <w:tcW w:w="864" w:type="pct"/>
            <w:vAlign w:val="center"/>
          </w:tcPr>
          <w:p w14:paraId="4D0B794B" w14:textId="4B080F09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611</w:t>
            </w:r>
          </w:p>
        </w:tc>
        <w:tc>
          <w:tcPr>
            <w:tcW w:w="771" w:type="pct"/>
            <w:vAlign w:val="center"/>
          </w:tcPr>
          <w:p w14:paraId="4C38FE4C" w14:textId="0F35AE47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139</w:t>
            </w:r>
          </w:p>
        </w:tc>
        <w:tc>
          <w:tcPr>
            <w:tcW w:w="787" w:type="pct"/>
            <w:vAlign w:val="center"/>
          </w:tcPr>
          <w:p w14:paraId="41809176" w14:textId="196BA3C0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662</w:t>
            </w:r>
          </w:p>
        </w:tc>
        <w:tc>
          <w:tcPr>
            <w:tcW w:w="866" w:type="pct"/>
            <w:vAlign w:val="center"/>
          </w:tcPr>
          <w:p w14:paraId="7C592C43" w14:textId="5175BAF1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187</w:t>
            </w:r>
          </w:p>
        </w:tc>
      </w:tr>
      <w:tr w:rsidR="00CE0F0C" w:rsidRPr="00BB0000" w14:paraId="00AA28BC" w14:textId="77777777" w:rsidTr="00891E73">
        <w:trPr>
          <w:trHeight w:val="57"/>
        </w:trPr>
        <w:tc>
          <w:tcPr>
            <w:tcW w:w="1106" w:type="pct"/>
            <w:vAlign w:val="center"/>
          </w:tcPr>
          <w:p w14:paraId="28E93AC4" w14:textId="77777777" w:rsidR="00CE0F0C" w:rsidRPr="00BB0000" w:rsidRDefault="00CE0F0C" w:rsidP="00CE0F0C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Spółki jawne</w:t>
            </w:r>
          </w:p>
        </w:tc>
        <w:tc>
          <w:tcPr>
            <w:tcW w:w="606" w:type="pct"/>
            <w:vAlign w:val="center"/>
          </w:tcPr>
          <w:p w14:paraId="16803697" w14:textId="5607D45A" w:rsidR="00CE0F0C" w:rsidRPr="00BB0000" w:rsidRDefault="00CE0F0C" w:rsidP="00B31011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44</w:t>
            </w:r>
          </w:p>
        </w:tc>
        <w:tc>
          <w:tcPr>
            <w:tcW w:w="864" w:type="pct"/>
            <w:vAlign w:val="center"/>
          </w:tcPr>
          <w:p w14:paraId="4FBAF9F9" w14:textId="2E95C9BB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39</w:t>
            </w:r>
          </w:p>
        </w:tc>
        <w:tc>
          <w:tcPr>
            <w:tcW w:w="771" w:type="pct"/>
            <w:vAlign w:val="center"/>
          </w:tcPr>
          <w:p w14:paraId="5314AB5C" w14:textId="4368D1D1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</w:t>
            </w:r>
          </w:p>
        </w:tc>
        <w:tc>
          <w:tcPr>
            <w:tcW w:w="787" w:type="pct"/>
            <w:vAlign w:val="center"/>
          </w:tcPr>
          <w:p w14:paraId="5AFEC375" w14:textId="27461253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</w:t>
            </w:r>
          </w:p>
        </w:tc>
        <w:tc>
          <w:tcPr>
            <w:tcW w:w="866" w:type="pct"/>
            <w:vAlign w:val="center"/>
          </w:tcPr>
          <w:p w14:paraId="7A9D53F0" w14:textId="4639B3FF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</w:p>
        </w:tc>
      </w:tr>
      <w:tr w:rsidR="00CE0F0C" w:rsidRPr="00BB0000" w14:paraId="083EA24C" w14:textId="77777777" w:rsidTr="00891E73">
        <w:trPr>
          <w:trHeight w:val="57"/>
        </w:trPr>
        <w:tc>
          <w:tcPr>
            <w:tcW w:w="1106" w:type="pct"/>
            <w:vAlign w:val="center"/>
          </w:tcPr>
          <w:p w14:paraId="1AE9623B" w14:textId="77777777" w:rsidR="00CE0F0C" w:rsidRPr="00BB0000" w:rsidRDefault="00CE0F0C" w:rsidP="00CE0F0C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Spółki komandytowe</w:t>
            </w:r>
          </w:p>
        </w:tc>
        <w:tc>
          <w:tcPr>
            <w:tcW w:w="606" w:type="pct"/>
            <w:vAlign w:val="center"/>
          </w:tcPr>
          <w:p w14:paraId="066A322D" w14:textId="056A701E" w:rsidR="00CE0F0C" w:rsidRPr="00BB0000" w:rsidRDefault="00CE0F0C" w:rsidP="00B31011">
            <w:pPr>
              <w:spacing w:before="0" w:after="0" w:line="240" w:lineRule="auto"/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100</w:t>
            </w:r>
          </w:p>
        </w:tc>
        <w:tc>
          <w:tcPr>
            <w:tcW w:w="864" w:type="pct"/>
            <w:vAlign w:val="center"/>
          </w:tcPr>
          <w:p w14:paraId="3313A4EE" w14:textId="5BCDE5FD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64</w:t>
            </w:r>
          </w:p>
        </w:tc>
        <w:tc>
          <w:tcPr>
            <w:tcW w:w="771" w:type="pct"/>
            <w:vAlign w:val="center"/>
          </w:tcPr>
          <w:p w14:paraId="13AAFF9D" w14:textId="04FD08FC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</w:p>
        </w:tc>
        <w:tc>
          <w:tcPr>
            <w:tcW w:w="787" w:type="pct"/>
            <w:vAlign w:val="center"/>
          </w:tcPr>
          <w:p w14:paraId="221CEE42" w14:textId="7A4E5880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21</w:t>
            </w:r>
          </w:p>
        </w:tc>
        <w:tc>
          <w:tcPr>
            <w:tcW w:w="866" w:type="pct"/>
            <w:vAlign w:val="center"/>
          </w:tcPr>
          <w:p w14:paraId="4AED2F5B" w14:textId="2AA6261B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14</w:t>
            </w:r>
          </w:p>
        </w:tc>
      </w:tr>
      <w:tr w:rsidR="00CE0F0C" w:rsidRPr="00BB0000" w14:paraId="178CA9FA" w14:textId="77777777" w:rsidTr="00891E73">
        <w:trPr>
          <w:trHeight w:val="57"/>
        </w:trPr>
        <w:tc>
          <w:tcPr>
            <w:tcW w:w="1106" w:type="pct"/>
            <w:vAlign w:val="center"/>
          </w:tcPr>
          <w:p w14:paraId="65E4EC83" w14:textId="77777777" w:rsidR="00CE0F0C" w:rsidRPr="00BB0000" w:rsidRDefault="00CE0F0C" w:rsidP="00CE0F0C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Spółki komandytowo-akcyjne</w:t>
            </w:r>
          </w:p>
        </w:tc>
        <w:tc>
          <w:tcPr>
            <w:tcW w:w="606" w:type="pct"/>
            <w:vAlign w:val="center"/>
          </w:tcPr>
          <w:p w14:paraId="1A52528E" w14:textId="5F5BE632" w:rsidR="00CE0F0C" w:rsidRPr="00BB0000" w:rsidRDefault="00CE0F0C" w:rsidP="00B31011">
            <w:pPr>
              <w:spacing w:before="0" w:after="0" w:line="240" w:lineRule="auto"/>
              <w:jc w:val="right"/>
              <w:rPr>
                <w:rFonts w:cs="Calibri"/>
                <w:bCs/>
                <w:color w:val="000000"/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10</w:t>
            </w:r>
          </w:p>
        </w:tc>
        <w:tc>
          <w:tcPr>
            <w:tcW w:w="864" w:type="pct"/>
            <w:vAlign w:val="center"/>
          </w:tcPr>
          <w:p w14:paraId="6335D9D1" w14:textId="6EF764F2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7</w:t>
            </w:r>
          </w:p>
        </w:tc>
        <w:tc>
          <w:tcPr>
            <w:tcW w:w="771" w:type="pct"/>
            <w:vAlign w:val="center"/>
          </w:tcPr>
          <w:p w14:paraId="23F204AA" w14:textId="23E88563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</w:p>
        </w:tc>
        <w:tc>
          <w:tcPr>
            <w:tcW w:w="787" w:type="pct"/>
            <w:vAlign w:val="center"/>
          </w:tcPr>
          <w:p w14:paraId="16A9AA27" w14:textId="2A51E8FA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</w:t>
            </w:r>
          </w:p>
        </w:tc>
        <w:tc>
          <w:tcPr>
            <w:tcW w:w="866" w:type="pct"/>
            <w:vAlign w:val="center"/>
          </w:tcPr>
          <w:p w14:paraId="05F15D15" w14:textId="31977069" w:rsidR="00CE0F0C" w:rsidRPr="00BB0000" w:rsidRDefault="00CE0F0C" w:rsidP="00CE0F0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-</w:t>
            </w:r>
          </w:p>
        </w:tc>
      </w:tr>
      <w:tr w:rsidR="0037607A" w:rsidRPr="00BB0000" w14:paraId="586DC9EE" w14:textId="77777777" w:rsidTr="00891E73">
        <w:trPr>
          <w:trHeight w:val="57"/>
        </w:trPr>
        <w:tc>
          <w:tcPr>
            <w:tcW w:w="1106" w:type="pct"/>
            <w:vAlign w:val="center"/>
          </w:tcPr>
          <w:p w14:paraId="0A6189E8" w14:textId="77777777" w:rsidR="0037607A" w:rsidRPr="00BB0000" w:rsidRDefault="0037607A" w:rsidP="0037607A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Spółdzielnie</w:t>
            </w:r>
          </w:p>
        </w:tc>
        <w:tc>
          <w:tcPr>
            <w:tcW w:w="606" w:type="pct"/>
            <w:vAlign w:val="center"/>
          </w:tcPr>
          <w:p w14:paraId="5AF43197" w14:textId="639AE7F3" w:rsidR="0037607A" w:rsidRPr="00BB0000" w:rsidRDefault="00CE0F0C" w:rsidP="00B31011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42</w:t>
            </w:r>
          </w:p>
        </w:tc>
        <w:tc>
          <w:tcPr>
            <w:tcW w:w="864" w:type="pct"/>
            <w:vAlign w:val="center"/>
          </w:tcPr>
          <w:p w14:paraId="651F636B" w14:textId="3F09BB63" w:rsidR="0037607A" w:rsidRPr="00BB0000" w:rsidRDefault="00CE0F0C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42</w:t>
            </w:r>
          </w:p>
        </w:tc>
        <w:tc>
          <w:tcPr>
            <w:tcW w:w="771" w:type="pct"/>
            <w:vAlign w:val="center"/>
          </w:tcPr>
          <w:p w14:paraId="0035D97D" w14:textId="77777777" w:rsidR="0037607A" w:rsidRPr="00BB0000" w:rsidRDefault="00186D41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-</w:t>
            </w:r>
          </w:p>
        </w:tc>
        <w:tc>
          <w:tcPr>
            <w:tcW w:w="787" w:type="pct"/>
            <w:vAlign w:val="center"/>
          </w:tcPr>
          <w:p w14:paraId="2CE54D2E" w14:textId="77777777" w:rsidR="0037607A" w:rsidRPr="00BB0000" w:rsidRDefault="00677264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-</w:t>
            </w:r>
          </w:p>
        </w:tc>
        <w:tc>
          <w:tcPr>
            <w:tcW w:w="866" w:type="pct"/>
            <w:vAlign w:val="center"/>
          </w:tcPr>
          <w:p w14:paraId="73CE9D19" w14:textId="77777777" w:rsidR="0037607A" w:rsidRPr="00BB0000" w:rsidRDefault="00677264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-</w:t>
            </w:r>
          </w:p>
        </w:tc>
      </w:tr>
      <w:tr w:rsidR="0037607A" w:rsidRPr="00BB0000" w14:paraId="3FADBEDB" w14:textId="77777777" w:rsidTr="007918C5">
        <w:trPr>
          <w:trHeight w:val="57"/>
        </w:trPr>
        <w:tc>
          <w:tcPr>
            <w:tcW w:w="1106" w:type="pct"/>
            <w:tcBorders>
              <w:bottom w:val="nil"/>
            </w:tcBorders>
            <w:vAlign w:val="center"/>
          </w:tcPr>
          <w:p w14:paraId="06E8A76D" w14:textId="77777777" w:rsidR="0037607A" w:rsidRPr="00BB0000" w:rsidRDefault="0037607A" w:rsidP="0037607A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Pozostałe</w:t>
            </w:r>
          </w:p>
        </w:tc>
        <w:tc>
          <w:tcPr>
            <w:tcW w:w="606" w:type="pct"/>
            <w:tcBorders>
              <w:bottom w:val="nil"/>
            </w:tcBorders>
            <w:vAlign w:val="center"/>
          </w:tcPr>
          <w:p w14:paraId="266BACA8" w14:textId="73668F24" w:rsidR="0037607A" w:rsidRPr="00BB0000" w:rsidRDefault="00CE0F0C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12</w:t>
            </w:r>
          </w:p>
        </w:tc>
        <w:tc>
          <w:tcPr>
            <w:tcW w:w="864" w:type="pct"/>
            <w:tcBorders>
              <w:bottom w:val="nil"/>
            </w:tcBorders>
            <w:vAlign w:val="center"/>
          </w:tcPr>
          <w:p w14:paraId="0BCB7B62" w14:textId="408E518A" w:rsidR="0037607A" w:rsidRPr="00BB0000" w:rsidRDefault="00CE0F0C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6</w:t>
            </w:r>
          </w:p>
        </w:tc>
        <w:tc>
          <w:tcPr>
            <w:tcW w:w="771" w:type="pct"/>
            <w:tcBorders>
              <w:bottom w:val="nil"/>
            </w:tcBorders>
            <w:vAlign w:val="center"/>
          </w:tcPr>
          <w:p w14:paraId="1849039E" w14:textId="2EDADF8B" w:rsidR="0037607A" w:rsidRPr="00BB0000" w:rsidRDefault="00CE0F0C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</w:t>
            </w:r>
          </w:p>
        </w:tc>
        <w:tc>
          <w:tcPr>
            <w:tcW w:w="787" w:type="pct"/>
            <w:tcBorders>
              <w:bottom w:val="nil"/>
            </w:tcBorders>
            <w:vAlign w:val="center"/>
          </w:tcPr>
          <w:p w14:paraId="441C93E6" w14:textId="1DBEAB1E" w:rsidR="0037607A" w:rsidRPr="00BB0000" w:rsidRDefault="00CE0F0C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</w:t>
            </w:r>
          </w:p>
        </w:tc>
        <w:tc>
          <w:tcPr>
            <w:tcW w:w="866" w:type="pct"/>
            <w:tcBorders>
              <w:bottom w:val="nil"/>
            </w:tcBorders>
            <w:vAlign w:val="center"/>
          </w:tcPr>
          <w:p w14:paraId="1762ADAF" w14:textId="77777777" w:rsidR="0037607A" w:rsidRPr="00BB0000" w:rsidRDefault="00677264" w:rsidP="0037607A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-</w:t>
            </w:r>
          </w:p>
        </w:tc>
      </w:tr>
    </w:tbl>
    <w:p w14:paraId="0C3B008B" w14:textId="5C3A4FCB" w:rsidR="007468DD" w:rsidRDefault="007468DD">
      <w:pPr>
        <w:spacing w:before="0" w:after="160" w:line="259" w:lineRule="auto"/>
        <w:rPr>
          <w:rFonts w:eastAsia="Fira Sans Light" w:cs="Times New Roman"/>
          <w:b/>
          <w:spacing w:val="-2"/>
          <w:szCs w:val="19"/>
          <w:shd w:val="clear" w:color="auto" w:fill="FFFFFF"/>
        </w:rPr>
      </w:pPr>
      <w:r>
        <w:rPr>
          <w:rFonts w:eastAsia="Fira Sans Light" w:cs="Times New Roman"/>
          <w:b/>
          <w:spacing w:val="-2"/>
          <w:szCs w:val="19"/>
          <w:shd w:val="clear" w:color="auto" w:fill="FFFFFF"/>
        </w:rPr>
        <w:br w:type="page"/>
      </w:r>
    </w:p>
    <w:p w14:paraId="0BB176E4" w14:textId="71BCF08A" w:rsidR="006805B6" w:rsidRDefault="00FE535C" w:rsidP="00CF7AE9">
      <w:pPr>
        <w:spacing w:before="360" w:line="240" w:lineRule="auto"/>
        <w:rPr>
          <w:rFonts w:eastAsia="Fira Sans Light" w:cs="Times New Roman"/>
          <w:b/>
          <w:sz w:val="18"/>
          <w:szCs w:val="18"/>
          <w:shd w:val="clear" w:color="auto" w:fill="FFFFFF"/>
        </w:rPr>
      </w:pPr>
      <w:r w:rsidRPr="00CF7AE9">
        <w:rPr>
          <w:rFonts w:eastAsia="Fira Sans Light" w:cs="Times New Roman"/>
          <w:b/>
          <w:noProof/>
          <w:spacing w:val="-2"/>
          <w:szCs w:val="19"/>
          <w:shd w:val="clear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F59279" wp14:editId="293FC67F">
                <wp:simplePos x="0" y="0"/>
                <wp:positionH relativeFrom="page">
                  <wp:posOffset>5693833</wp:posOffset>
                </wp:positionH>
                <wp:positionV relativeFrom="paragraph">
                  <wp:posOffset>1183216</wp:posOffset>
                </wp:positionV>
                <wp:extent cx="1720850" cy="1076325"/>
                <wp:effectExtent l="0" t="0" r="0" b="0"/>
                <wp:wrapNone/>
                <wp:docPr id="5" name="Pole tekstowe 5" descr="Przedsiębiorstwa o liczbie pracujących powyżej 249 osób stanowiły 48,5% ogółu badanych podmiot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5562C" w14:textId="766E5B32" w:rsidR="007918C5" w:rsidRPr="00FB7557" w:rsidRDefault="007918C5" w:rsidP="00EC1873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B7557">
                              <w:rPr>
                                <w:color w:val="002060"/>
                                <w:sz w:val="18"/>
                                <w:szCs w:val="18"/>
                              </w:rPr>
                              <w:t>Przedsiębiorstwa o liczbie pracujący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ch powyżej 249 osób stanowiły 48,5% ogółu badanych </w:t>
                            </w:r>
                            <w:r w:rsidRPr="00874538">
                              <w:rPr>
                                <w:color w:val="002060"/>
                                <w:sz w:val="18"/>
                                <w:szCs w:val="18"/>
                              </w:rPr>
                              <w:t>podmiotów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279" id="Pole tekstowe 5" o:spid="_x0000_s1029" type="#_x0000_t202" alt="Przedsiębiorstwa o liczbie pracujących powyżej 249 osób stanowiły 48,5% ogółu badanych podmiotów" style="position:absolute;margin-left:448.35pt;margin-top:93.15pt;width:135.5pt;height:84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" filled="f" stroked="f" strokeweight=".5pt">
                <v:textbox>
                  <w:txbxContent>
                    <w:p w14:paraId="2FD5562C" w14:textId="766E5B32" w:rsidR="007918C5" w:rsidRPr="00FB7557" w:rsidRDefault="007918C5" w:rsidP="00EC1873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FB7557">
                        <w:rPr>
                          <w:color w:val="002060"/>
                          <w:sz w:val="18"/>
                          <w:szCs w:val="18"/>
                        </w:rPr>
                        <w:t>Przedsiębiorstwa o liczbie pracujący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ch powyżej 249 osób stanowiły 48,5% ogółu badanych </w:t>
                      </w:r>
                      <w:r w:rsidRPr="00874538">
                        <w:rPr>
                          <w:color w:val="002060"/>
                          <w:sz w:val="18"/>
                          <w:szCs w:val="18"/>
                        </w:rPr>
                        <w:t>podmiotów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1873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Tablica </w:t>
      </w:r>
      <w:r w:rsidR="003D11C1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3</w:t>
      </w:r>
      <w:r w:rsidR="00874538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. Charakterystyka badanych przedsiębiorstw niefinansowych</w:t>
      </w:r>
    </w:p>
    <w:tbl>
      <w:tblPr>
        <w:tblStyle w:val="Siatkatabelijasna11"/>
        <w:tblpPr w:leftFromText="141" w:rightFromText="141" w:vertAnchor="text" w:horzAnchor="margin" w:tblpX="-34" w:tblpY="129"/>
        <w:tblW w:w="4943" w:type="pct"/>
        <w:tblBorders>
          <w:top w:val="single" w:sz="4" w:space="0" w:color="212492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3. Charakterystyka badanych przedsiębiorstw niefinansowych"/>
      </w:tblPr>
      <w:tblGrid>
        <w:gridCol w:w="1901"/>
        <w:gridCol w:w="866"/>
        <w:gridCol w:w="1343"/>
        <w:gridCol w:w="1241"/>
        <w:gridCol w:w="1243"/>
        <w:gridCol w:w="1381"/>
      </w:tblGrid>
      <w:tr w:rsidR="00021D70" w:rsidRPr="00BB0000" w14:paraId="0B566836" w14:textId="77777777" w:rsidTr="007918C5">
        <w:trPr>
          <w:trHeight w:val="20"/>
        </w:trPr>
        <w:tc>
          <w:tcPr>
            <w:tcW w:w="1192" w:type="pct"/>
            <w:vAlign w:val="center"/>
          </w:tcPr>
          <w:p w14:paraId="322AC419" w14:textId="6F0F1784" w:rsidR="00021D70" w:rsidRPr="00BB0000" w:rsidRDefault="007468DD" w:rsidP="00E633F2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543" w:type="pct"/>
            <w:vAlign w:val="center"/>
          </w:tcPr>
          <w:p w14:paraId="2DB1C08F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Ogółem</w:t>
            </w:r>
          </w:p>
        </w:tc>
        <w:tc>
          <w:tcPr>
            <w:tcW w:w="842" w:type="pct"/>
            <w:vAlign w:val="center"/>
          </w:tcPr>
          <w:p w14:paraId="173500BF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działające</w:t>
            </w:r>
          </w:p>
          <w:p w14:paraId="676A6E36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samodzielnie</w:t>
            </w:r>
          </w:p>
        </w:tc>
        <w:tc>
          <w:tcPr>
            <w:tcW w:w="778" w:type="pct"/>
          </w:tcPr>
          <w:p w14:paraId="7912EAC0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65C4BF7C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dominujące w grupach kapitałowych</w:t>
            </w:r>
          </w:p>
        </w:tc>
        <w:tc>
          <w:tcPr>
            <w:tcW w:w="779" w:type="pct"/>
            <w:vAlign w:val="center"/>
          </w:tcPr>
          <w:p w14:paraId="7200A4CE" w14:textId="77777777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1DBF75E3" w14:textId="4AFF0B59" w:rsidR="00021D70" w:rsidRPr="00BB0000" w:rsidRDefault="00624ACF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021D70" w:rsidRPr="00BB0000">
              <w:rPr>
                <w:rFonts w:eastAsia="Times New Roman" w:cs="Times New Roman"/>
                <w:color w:val="000000"/>
                <w:szCs w:val="19"/>
              </w:rPr>
              <w:t xml:space="preserve"> w grupach</w:t>
            </w:r>
          </w:p>
          <w:p w14:paraId="3535303C" w14:textId="094BC180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kapitałowych</w:t>
            </w:r>
          </w:p>
        </w:tc>
        <w:tc>
          <w:tcPr>
            <w:tcW w:w="866" w:type="pct"/>
            <w:vAlign w:val="center"/>
          </w:tcPr>
          <w:p w14:paraId="5488489C" w14:textId="3C8CDB2B" w:rsidR="00021D70" w:rsidRPr="00BB0000" w:rsidRDefault="00021D70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</w:tr>
      <w:tr w:rsidR="007308FB" w:rsidRPr="00BB0000" w14:paraId="7599C50C" w14:textId="77777777" w:rsidTr="007918C5">
        <w:trPr>
          <w:trHeight w:val="57"/>
        </w:trPr>
        <w:tc>
          <w:tcPr>
            <w:tcW w:w="1192" w:type="pct"/>
            <w:vAlign w:val="center"/>
          </w:tcPr>
          <w:p w14:paraId="0CE88370" w14:textId="77777777" w:rsidR="007308FB" w:rsidRPr="00BB0000" w:rsidRDefault="007308FB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Liczba przedsiębiorstw ogółem</w:t>
            </w:r>
          </w:p>
        </w:tc>
        <w:tc>
          <w:tcPr>
            <w:tcW w:w="543" w:type="pct"/>
            <w:vAlign w:val="center"/>
          </w:tcPr>
          <w:p w14:paraId="4F070C6B" w14:textId="0149B12E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2 54</w:t>
            </w:r>
            <w:r w:rsidR="00851FA4" w:rsidRPr="00BB0000">
              <w:rPr>
                <w:rFonts w:cs="Calibri"/>
                <w:color w:val="000000"/>
                <w:szCs w:val="19"/>
              </w:rPr>
              <w:t>4</w:t>
            </w:r>
          </w:p>
        </w:tc>
        <w:tc>
          <w:tcPr>
            <w:tcW w:w="842" w:type="pct"/>
            <w:vAlign w:val="center"/>
          </w:tcPr>
          <w:p w14:paraId="5C744F91" w14:textId="0595E174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943</w:t>
            </w:r>
          </w:p>
        </w:tc>
        <w:tc>
          <w:tcPr>
            <w:tcW w:w="778" w:type="pct"/>
            <w:vAlign w:val="center"/>
          </w:tcPr>
          <w:p w14:paraId="751D60B0" w14:textId="61F6DC48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375</w:t>
            </w:r>
          </w:p>
        </w:tc>
        <w:tc>
          <w:tcPr>
            <w:tcW w:w="779" w:type="pct"/>
            <w:vAlign w:val="center"/>
          </w:tcPr>
          <w:p w14:paraId="0313392D" w14:textId="566D9863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853</w:t>
            </w:r>
          </w:p>
        </w:tc>
        <w:tc>
          <w:tcPr>
            <w:tcW w:w="866" w:type="pct"/>
            <w:vAlign w:val="center"/>
          </w:tcPr>
          <w:p w14:paraId="138522EE" w14:textId="3E3932D8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37</w:t>
            </w:r>
            <w:r w:rsidR="00851FA4" w:rsidRPr="00BB0000">
              <w:rPr>
                <w:rFonts w:cs="Calibri"/>
                <w:color w:val="000000"/>
                <w:szCs w:val="19"/>
              </w:rPr>
              <w:t>3</w:t>
            </w:r>
          </w:p>
        </w:tc>
      </w:tr>
      <w:tr w:rsidR="007308FB" w:rsidRPr="00BB0000" w14:paraId="47875934" w14:textId="77777777" w:rsidTr="007918C5">
        <w:trPr>
          <w:trHeight w:val="57"/>
        </w:trPr>
        <w:tc>
          <w:tcPr>
            <w:tcW w:w="1192" w:type="pct"/>
            <w:vAlign w:val="center"/>
          </w:tcPr>
          <w:p w14:paraId="2729643B" w14:textId="77777777" w:rsidR="007308FB" w:rsidRPr="00BB0000" w:rsidRDefault="007308FB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o liczbie pracujących &lt;=249</w:t>
            </w:r>
          </w:p>
        </w:tc>
        <w:tc>
          <w:tcPr>
            <w:tcW w:w="543" w:type="pct"/>
            <w:vAlign w:val="center"/>
          </w:tcPr>
          <w:p w14:paraId="79F70379" w14:textId="199B0C17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  <w:r w:rsidR="00282BEE" w:rsidRPr="00BB0000">
              <w:rPr>
                <w:rFonts w:cs="Calibri"/>
                <w:color w:val="000000"/>
                <w:szCs w:val="19"/>
              </w:rPr>
              <w:t xml:space="preserve"> </w:t>
            </w:r>
            <w:r w:rsidRPr="00BB0000">
              <w:rPr>
                <w:rFonts w:cs="Calibri"/>
                <w:color w:val="000000"/>
                <w:szCs w:val="19"/>
              </w:rPr>
              <w:t>30</w:t>
            </w:r>
            <w:r w:rsidR="00851FA4" w:rsidRPr="00BB0000">
              <w:rPr>
                <w:rFonts w:cs="Calibri"/>
                <w:color w:val="000000"/>
                <w:szCs w:val="19"/>
              </w:rPr>
              <w:t>9</w:t>
            </w:r>
          </w:p>
        </w:tc>
        <w:tc>
          <w:tcPr>
            <w:tcW w:w="842" w:type="pct"/>
            <w:vAlign w:val="center"/>
          </w:tcPr>
          <w:p w14:paraId="144D2335" w14:textId="1274B036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657</w:t>
            </w:r>
          </w:p>
        </w:tc>
        <w:tc>
          <w:tcPr>
            <w:tcW w:w="778" w:type="pct"/>
            <w:vAlign w:val="center"/>
          </w:tcPr>
          <w:p w14:paraId="6E4C719B" w14:textId="2198CD9A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151</w:t>
            </w:r>
          </w:p>
        </w:tc>
        <w:tc>
          <w:tcPr>
            <w:tcW w:w="779" w:type="pct"/>
            <w:vAlign w:val="center"/>
          </w:tcPr>
          <w:p w14:paraId="05AF40D9" w14:textId="7E145972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362</w:t>
            </w:r>
          </w:p>
        </w:tc>
        <w:tc>
          <w:tcPr>
            <w:tcW w:w="866" w:type="pct"/>
            <w:vAlign w:val="center"/>
          </w:tcPr>
          <w:p w14:paraId="2F5769EC" w14:textId="6DB855B5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13</w:t>
            </w:r>
            <w:r w:rsidR="00851FA4" w:rsidRPr="00BB0000">
              <w:rPr>
                <w:rFonts w:cs="Calibri"/>
                <w:color w:val="000000"/>
                <w:szCs w:val="19"/>
              </w:rPr>
              <w:t>9</w:t>
            </w:r>
          </w:p>
        </w:tc>
      </w:tr>
      <w:tr w:rsidR="007308FB" w:rsidRPr="00BB0000" w14:paraId="23ACCCE0" w14:textId="77777777" w:rsidTr="007918C5">
        <w:trPr>
          <w:trHeight w:val="57"/>
        </w:trPr>
        <w:tc>
          <w:tcPr>
            <w:tcW w:w="1192" w:type="pct"/>
            <w:vAlign w:val="center"/>
          </w:tcPr>
          <w:p w14:paraId="2E75EAE5" w14:textId="77777777" w:rsidR="007308FB" w:rsidRPr="00BB0000" w:rsidRDefault="007308FB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o liczbie pracujących &gt;249</w:t>
            </w:r>
          </w:p>
        </w:tc>
        <w:tc>
          <w:tcPr>
            <w:tcW w:w="543" w:type="pct"/>
            <w:vAlign w:val="center"/>
          </w:tcPr>
          <w:p w14:paraId="7CC12635" w14:textId="6C2B9071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</w:t>
            </w:r>
            <w:r w:rsidR="00282BEE" w:rsidRPr="00BB0000">
              <w:rPr>
                <w:rFonts w:cs="Calibri"/>
                <w:color w:val="000000"/>
                <w:szCs w:val="19"/>
              </w:rPr>
              <w:t xml:space="preserve"> </w:t>
            </w:r>
            <w:r w:rsidRPr="00BB0000">
              <w:rPr>
                <w:rFonts w:cs="Calibri"/>
                <w:color w:val="000000"/>
                <w:szCs w:val="19"/>
              </w:rPr>
              <w:t>235</w:t>
            </w:r>
          </w:p>
        </w:tc>
        <w:tc>
          <w:tcPr>
            <w:tcW w:w="842" w:type="pct"/>
            <w:vAlign w:val="center"/>
          </w:tcPr>
          <w:p w14:paraId="18E3C959" w14:textId="157B8183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286</w:t>
            </w:r>
          </w:p>
        </w:tc>
        <w:tc>
          <w:tcPr>
            <w:tcW w:w="778" w:type="pct"/>
            <w:vAlign w:val="center"/>
          </w:tcPr>
          <w:p w14:paraId="75B02C2D" w14:textId="3E2437FC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224</w:t>
            </w:r>
          </w:p>
        </w:tc>
        <w:tc>
          <w:tcPr>
            <w:tcW w:w="779" w:type="pct"/>
            <w:vAlign w:val="center"/>
          </w:tcPr>
          <w:p w14:paraId="029BBA2E" w14:textId="0E849DA2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491</w:t>
            </w:r>
          </w:p>
        </w:tc>
        <w:tc>
          <w:tcPr>
            <w:tcW w:w="866" w:type="pct"/>
            <w:vAlign w:val="center"/>
          </w:tcPr>
          <w:p w14:paraId="2B4225B1" w14:textId="10A01696" w:rsidR="007308FB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234</w:t>
            </w:r>
          </w:p>
        </w:tc>
      </w:tr>
      <w:tr w:rsidR="006805B6" w:rsidRPr="00BB0000" w14:paraId="550C603C" w14:textId="77777777" w:rsidTr="007918C5">
        <w:trPr>
          <w:trHeight w:val="57"/>
        </w:trPr>
        <w:tc>
          <w:tcPr>
            <w:tcW w:w="1192" w:type="pct"/>
            <w:vAlign w:val="center"/>
          </w:tcPr>
          <w:p w14:paraId="373C6220" w14:textId="77777777" w:rsidR="006805B6" w:rsidRPr="00BB0000" w:rsidRDefault="009F585C" w:rsidP="00E633F2">
            <w:pPr>
              <w:spacing w:before="0" w:after="0" w:line="240" w:lineRule="auto"/>
              <w:rPr>
                <w:rFonts w:eastAsia="Fira Sans Light" w:cs="Times New Roman"/>
                <w:szCs w:val="19"/>
                <w:highlight w:val="yellow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Liczba </w:t>
            </w:r>
            <w:r w:rsidR="00365C04" w:rsidRPr="00BB0000">
              <w:rPr>
                <w:rFonts w:eastAsia="Times New Roman" w:cs="Times New Roman"/>
                <w:color w:val="000000"/>
                <w:szCs w:val="19"/>
              </w:rPr>
              <w:t>p</w:t>
            </w:r>
            <w:r w:rsidR="0037333D" w:rsidRPr="00BB0000">
              <w:rPr>
                <w:rFonts w:eastAsia="Times New Roman" w:cs="Times New Roman"/>
                <w:color w:val="000000"/>
                <w:szCs w:val="19"/>
              </w:rPr>
              <w:t>rzeds</w:t>
            </w:r>
            <w:r w:rsidR="00365C04" w:rsidRPr="00BB0000">
              <w:rPr>
                <w:rFonts w:eastAsia="Times New Roman" w:cs="Times New Roman"/>
                <w:color w:val="000000"/>
                <w:szCs w:val="19"/>
              </w:rPr>
              <w:t>iębiorstw</w:t>
            </w:r>
            <w:r w:rsidR="0037333D" w:rsidRPr="00BB0000">
              <w:rPr>
                <w:rFonts w:eastAsia="Times New Roman" w:cs="Times New Roman"/>
                <w:color w:val="000000"/>
                <w:szCs w:val="19"/>
              </w:rPr>
              <w:t xml:space="preserve"> notowan</w:t>
            </w:r>
            <w:r w:rsidR="00365C04" w:rsidRPr="00BB0000">
              <w:rPr>
                <w:rFonts w:eastAsia="Times New Roman" w:cs="Times New Roman"/>
                <w:color w:val="000000"/>
                <w:szCs w:val="19"/>
              </w:rPr>
              <w:t>ych</w:t>
            </w:r>
            <w:r w:rsidR="0037333D" w:rsidRPr="00BB0000">
              <w:rPr>
                <w:rFonts w:eastAsia="Times New Roman" w:cs="Times New Roman"/>
                <w:color w:val="000000"/>
                <w:szCs w:val="19"/>
              </w:rPr>
              <w:t xml:space="preserve"> na rynku regulowanym</w:t>
            </w:r>
          </w:p>
        </w:tc>
        <w:tc>
          <w:tcPr>
            <w:tcW w:w="543" w:type="pct"/>
            <w:vAlign w:val="center"/>
          </w:tcPr>
          <w:p w14:paraId="228D3AAC" w14:textId="688F3DF3" w:rsidR="006805B6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153</w:t>
            </w:r>
          </w:p>
        </w:tc>
        <w:tc>
          <w:tcPr>
            <w:tcW w:w="842" w:type="pct"/>
            <w:vAlign w:val="center"/>
          </w:tcPr>
          <w:p w14:paraId="1F10922E" w14:textId="5A487BBA" w:rsidR="006805B6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14</w:t>
            </w:r>
          </w:p>
        </w:tc>
        <w:tc>
          <w:tcPr>
            <w:tcW w:w="778" w:type="pct"/>
            <w:vAlign w:val="center"/>
          </w:tcPr>
          <w:p w14:paraId="59C4C34E" w14:textId="172B09C2" w:rsidR="006805B6" w:rsidRPr="00BB0000" w:rsidRDefault="00FF6559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92</w:t>
            </w:r>
          </w:p>
        </w:tc>
        <w:tc>
          <w:tcPr>
            <w:tcW w:w="779" w:type="pct"/>
            <w:vAlign w:val="center"/>
          </w:tcPr>
          <w:p w14:paraId="6C8563F2" w14:textId="3046081C" w:rsidR="006805B6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16</w:t>
            </w:r>
          </w:p>
        </w:tc>
        <w:tc>
          <w:tcPr>
            <w:tcW w:w="866" w:type="pct"/>
            <w:vAlign w:val="center"/>
          </w:tcPr>
          <w:p w14:paraId="5458283C" w14:textId="09B1E4BB" w:rsidR="006805B6" w:rsidRPr="00BB0000" w:rsidRDefault="007308F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31</w:t>
            </w:r>
          </w:p>
        </w:tc>
      </w:tr>
      <w:tr w:rsidR="006805B6" w:rsidRPr="00BB0000" w14:paraId="1B16A052" w14:textId="77777777" w:rsidTr="007918C5">
        <w:trPr>
          <w:trHeight w:val="57"/>
        </w:trPr>
        <w:tc>
          <w:tcPr>
            <w:tcW w:w="1192" w:type="pct"/>
            <w:vAlign w:val="center"/>
          </w:tcPr>
          <w:p w14:paraId="3AF749FB" w14:textId="544D1005" w:rsidR="006805B6" w:rsidRPr="00BB0000" w:rsidRDefault="00E47BD3" w:rsidP="00E633F2">
            <w:pPr>
              <w:keepLines/>
              <w:tabs>
                <w:tab w:val="right" w:leader="dot" w:pos="7088"/>
              </w:tabs>
              <w:spacing w:before="0" w:after="0" w:line="240" w:lineRule="auto"/>
              <w:rPr>
                <w:rFonts w:eastAsia="Fira Sans Light" w:cs="Calibri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Przeciętne z</w:t>
            </w:r>
            <w:r w:rsidR="0037333D" w:rsidRPr="00BB0000">
              <w:rPr>
                <w:rFonts w:eastAsia="Times New Roman" w:cs="Times New Roman"/>
                <w:color w:val="000000"/>
                <w:szCs w:val="19"/>
              </w:rPr>
              <w:t>atrudnienie</w:t>
            </w:r>
            <w:r w:rsidR="0001548B" w:rsidRPr="00BB0000">
              <w:rPr>
                <w:rFonts w:eastAsia="Times New Roman" w:cs="Times New Roman"/>
                <w:color w:val="000000"/>
                <w:szCs w:val="19"/>
              </w:rPr>
              <w:t xml:space="preserve"> w przedsiębiorstw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>ach w przeliczeniu na etaty</w:t>
            </w:r>
            <w:r w:rsidR="00342E26" w:rsidRPr="00BB0000">
              <w:rPr>
                <w:rFonts w:eastAsia="Times New Roman" w:cs="Times New Roman"/>
                <w:color w:val="000000"/>
                <w:szCs w:val="19"/>
              </w:rPr>
              <w:t xml:space="preserve"> </w:t>
            </w:r>
            <w:r w:rsidR="008E3049" w:rsidRPr="00BB0000">
              <w:rPr>
                <w:rFonts w:eastAsia="Times New Roman" w:cs="Times New Roman"/>
                <w:color w:val="000000"/>
                <w:szCs w:val="19"/>
              </w:rPr>
              <w:t>(</w:t>
            </w:r>
            <w:r w:rsidR="0037333D" w:rsidRPr="00BB0000">
              <w:rPr>
                <w:rFonts w:eastAsia="Times New Roman" w:cs="Times New Roman"/>
                <w:color w:val="000000"/>
                <w:szCs w:val="19"/>
              </w:rPr>
              <w:t>w tys.</w:t>
            </w:r>
            <w:r w:rsidR="008E3049" w:rsidRPr="00BB0000">
              <w:rPr>
                <w:rFonts w:eastAsia="Times New Roman" w:cs="Times New Roman"/>
                <w:color w:val="000000"/>
                <w:szCs w:val="19"/>
              </w:rPr>
              <w:t>)</w:t>
            </w:r>
          </w:p>
        </w:tc>
        <w:tc>
          <w:tcPr>
            <w:tcW w:w="543" w:type="pct"/>
            <w:vAlign w:val="center"/>
          </w:tcPr>
          <w:p w14:paraId="3BDDF368" w14:textId="10D3F88A" w:rsidR="006805B6" w:rsidRPr="00BB0000" w:rsidRDefault="0001548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1 640,3</w:t>
            </w:r>
          </w:p>
        </w:tc>
        <w:tc>
          <w:tcPr>
            <w:tcW w:w="842" w:type="pct"/>
            <w:vAlign w:val="center"/>
          </w:tcPr>
          <w:p w14:paraId="4CCFB2B9" w14:textId="2EF26E4C" w:rsidR="006805B6" w:rsidRPr="00BB0000" w:rsidRDefault="0001548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274,7</w:t>
            </w:r>
          </w:p>
        </w:tc>
        <w:tc>
          <w:tcPr>
            <w:tcW w:w="778" w:type="pct"/>
            <w:vAlign w:val="center"/>
          </w:tcPr>
          <w:p w14:paraId="57084A28" w14:textId="257E1AE0" w:rsidR="006805B6" w:rsidRPr="00BB0000" w:rsidRDefault="0001548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322,9</w:t>
            </w:r>
          </w:p>
        </w:tc>
        <w:tc>
          <w:tcPr>
            <w:tcW w:w="779" w:type="pct"/>
            <w:vAlign w:val="center"/>
          </w:tcPr>
          <w:p w14:paraId="7411D065" w14:textId="71D9BEDE" w:rsidR="006805B6" w:rsidRPr="00BB0000" w:rsidRDefault="0001548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558,9</w:t>
            </w:r>
          </w:p>
        </w:tc>
        <w:tc>
          <w:tcPr>
            <w:tcW w:w="866" w:type="pct"/>
            <w:vAlign w:val="center"/>
          </w:tcPr>
          <w:p w14:paraId="6A74BA29" w14:textId="497C2D07" w:rsidR="006805B6" w:rsidRPr="00BB0000" w:rsidRDefault="0001548B" w:rsidP="00E633F2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 w:rsidRPr="00BB0000">
              <w:rPr>
                <w:rFonts w:cs="Calibri"/>
                <w:color w:val="000000"/>
                <w:szCs w:val="19"/>
              </w:rPr>
              <w:t>483,8</w:t>
            </w:r>
          </w:p>
        </w:tc>
      </w:tr>
    </w:tbl>
    <w:p w14:paraId="47A61973" w14:textId="77777777" w:rsidR="00EB0C7C" w:rsidRPr="00CF7AE9" w:rsidRDefault="00EC1873" w:rsidP="00CF7AE9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Instrumenty finansowe, w tym </w:t>
      </w:r>
      <w:r w:rsidRPr="00797D6D">
        <w:rPr>
          <w:rFonts w:eastAsia="Times New Roman" w:cs="Times New Roman"/>
          <w:b/>
          <w:bCs/>
          <w:color w:val="001D77"/>
          <w:szCs w:val="24"/>
          <w:lang w:eastAsia="pl-PL"/>
        </w:rPr>
        <w:t>instrumenty</w:t>
      </w:r>
      <w:r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pochodne badanych przedsiębiorstw</w:t>
      </w:r>
      <w:r w:rsidRPr="00394D62">
        <w:rPr>
          <w:b/>
          <w:vertAlign w:val="superscript"/>
        </w:rPr>
        <w:footnoteReference w:id="2"/>
      </w:r>
    </w:p>
    <w:p w14:paraId="4A2B18EF" w14:textId="77777777" w:rsidR="00EC1873" w:rsidRPr="00CF7AE9" w:rsidRDefault="004C66CD" w:rsidP="00CF7AE9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a. </w:t>
      </w:r>
      <w:r w:rsidR="00EC1873"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>Instrumenty finansowe</w:t>
      </w:r>
    </w:p>
    <w:p w14:paraId="72685F97" w14:textId="7B53E4FE" w:rsidR="00EC1873" w:rsidRPr="00CF7AE9" w:rsidRDefault="00F44F1B" w:rsidP="00CF7AE9">
      <w:pPr>
        <w:keepNext/>
        <w:spacing w:line="288" w:lineRule="auto"/>
        <w:outlineLvl w:val="0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Po stronie aktywów</w:t>
      </w:r>
      <w:r w:rsidR="0000609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i</w:t>
      </w:r>
      <w:r w:rsidR="00EC187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nstrumen</w:t>
      </w:r>
      <w:r w:rsidR="00D8735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ty finansowe 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zostały wykazane przez </w:t>
      </w:r>
      <w:r w:rsidR="001F00B7">
        <w:rPr>
          <w:rFonts w:eastAsia="Times New Roman" w:cs="Times New Roman"/>
          <w:bCs/>
          <w:szCs w:val="19"/>
          <w:shd w:val="clear" w:color="auto" w:fill="FFFFFF"/>
          <w:lang w:eastAsia="pl-PL"/>
        </w:rPr>
        <w:t>2 498</w:t>
      </w:r>
      <w:r w:rsidR="00812DC2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1B133F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przedsiębiorst</w:t>
      </w:r>
      <w:r w:rsidR="001B133F">
        <w:rPr>
          <w:rFonts w:eastAsia="Times New Roman" w:cs="Times New Roman"/>
          <w:bCs/>
          <w:szCs w:val="19"/>
          <w:shd w:val="clear" w:color="auto" w:fill="FFFFFF"/>
          <w:lang w:eastAsia="pl-PL"/>
        </w:rPr>
        <w:t>w</w:t>
      </w:r>
      <w:r w:rsidR="00823FF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,</w:t>
      </w:r>
      <w:r w:rsidR="0086043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wartość tych instrumentów w</w:t>
      </w:r>
      <w:r w:rsidR="002116F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y</w:t>
      </w:r>
      <w:r w:rsidR="0086043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niosła </w:t>
      </w:r>
      <w:r w:rsidR="001F00B7">
        <w:rPr>
          <w:rFonts w:eastAsia="Times New Roman" w:cs="Times New Roman"/>
          <w:bCs/>
          <w:szCs w:val="19"/>
          <w:shd w:val="clear" w:color="auto" w:fill="FFFFFF"/>
          <w:lang w:eastAsia="pl-PL"/>
        </w:rPr>
        <w:t>888,2</w:t>
      </w:r>
      <w:r w:rsidR="00E3550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9B498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mld zł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. W pasywach </w:t>
      </w:r>
      <w:r w:rsidR="001F00B7">
        <w:rPr>
          <w:rFonts w:eastAsia="Times New Roman" w:cs="Times New Roman"/>
          <w:bCs/>
          <w:szCs w:val="19"/>
          <w:shd w:val="clear" w:color="auto" w:fill="FFFFFF"/>
          <w:lang w:eastAsia="pl-PL"/>
        </w:rPr>
        <w:t>2 463</w:t>
      </w:r>
      <w:r w:rsidR="00EC187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3A4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podmiot</w:t>
      </w:r>
      <w:r w:rsidR="00812DC2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ów</w:t>
      </w:r>
      <w:r w:rsidR="003A4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wykazał</w:t>
      </w:r>
      <w:r w:rsidR="00812DC2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o</w:t>
      </w:r>
      <w:r w:rsidR="003A4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86043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instrumenty</w:t>
      </w:r>
      <w:r w:rsidR="00F5311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finansowe</w:t>
      </w:r>
      <w:r w:rsidR="009B498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o wartości </w:t>
      </w:r>
      <w:r w:rsidR="001F00B7">
        <w:rPr>
          <w:rFonts w:eastAsia="Times New Roman" w:cs="Times New Roman"/>
          <w:bCs/>
          <w:szCs w:val="19"/>
          <w:shd w:val="clear" w:color="auto" w:fill="FFFFFF"/>
          <w:lang w:eastAsia="pl-PL"/>
        </w:rPr>
        <w:t>945,9</w:t>
      </w:r>
      <w:r w:rsidR="00E3550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9B498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mld zł</w:t>
      </w:r>
      <w:r w:rsidR="00EC187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.</w:t>
      </w:r>
    </w:p>
    <w:p w14:paraId="34F6C30E" w14:textId="186D4930" w:rsidR="001121A0" w:rsidRPr="00CF7AE9" w:rsidRDefault="00E633F2" w:rsidP="00CF7AE9">
      <w:pPr>
        <w:spacing w:before="360" w:line="240" w:lineRule="auto"/>
        <w:rPr>
          <w:rFonts w:eastAsia="Fira Sans Light" w:cs="Times New Roman"/>
          <w:b/>
          <w:spacing w:val="-2"/>
          <w:szCs w:val="19"/>
          <w:shd w:val="clear" w:color="auto" w:fill="FFFFFF"/>
        </w:rPr>
      </w:pPr>
      <w:r w:rsidRPr="00CF7AE9">
        <w:rPr>
          <w:rFonts w:eastAsia="Fira Sans Light" w:cs="Times New Roman"/>
          <w:b/>
          <w:noProof/>
          <w:spacing w:val="-2"/>
          <w:szCs w:val="19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BAD8A9" wp14:editId="2F1F85B4">
                <wp:simplePos x="0" y="0"/>
                <wp:positionH relativeFrom="column">
                  <wp:posOffset>5234940</wp:posOffset>
                </wp:positionH>
                <wp:positionV relativeFrom="paragraph">
                  <wp:posOffset>2192444</wp:posOffset>
                </wp:positionV>
                <wp:extent cx="1731645" cy="1123950"/>
                <wp:effectExtent l="0" t="0" r="0" b="0"/>
                <wp:wrapNone/>
                <wp:docPr id="6" name="Pole tekstowe 6" descr="Jednostki dominujące w grupach kapitałowych wykazały największą wartość instrumentów finansowych w pasywach – 322,3 mld z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6EC9A" w14:textId="41C1A526" w:rsidR="007918C5" w:rsidRPr="00644C13" w:rsidRDefault="007918C5" w:rsidP="00283682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J</w:t>
                            </w:r>
                            <w:r w:rsidRPr="00644C1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ednostki dominujące w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grupach kapitałowych wykazały również największą wartość instrumentów finansowych w pasywach – 322,3 </w:t>
                            </w:r>
                            <w:r w:rsidRPr="00730EC9">
                              <w:rPr>
                                <w:color w:val="002060"/>
                                <w:sz w:val="18"/>
                                <w:szCs w:val="18"/>
                              </w:rPr>
                              <w:t>mld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 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AD8A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30" type="#_x0000_t202" alt="Jednostki dominujące w grupach kapitałowych wykazały największą wartość instrumentów finansowych w pasywach – 322,3 mld zł" style="position:absolute;margin-left:412.2pt;margin-top:172.65pt;width:136.35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" filled="f" stroked="f" strokeweight=".5pt">
                <v:textbox>
                  <w:txbxContent>
                    <w:p w14:paraId="5146EC9A" w14:textId="41C1A526" w:rsidR="007918C5" w:rsidRPr="00644C13" w:rsidRDefault="007918C5" w:rsidP="00283682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J</w:t>
                      </w:r>
                      <w:r w:rsidRPr="00644C13">
                        <w:rPr>
                          <w:color w:val="002060"/>
                          <w:sz w:val="18"/>
                          <w:szCs w:val="18"/>
                        </w:rPr>
                        <w:t xml:space="preserve">ednostki dominujące w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grupach kapitałowych wykazały również największą wartość instrumentów finansowych w pasywach – 322,3 </w:t>
                      </w:r>
                      <w:r w:rsidRPr="00730EC9">
                        <w:rPr>
                          <w:color w:val="002060"/>
                          <w:sz w:val="18"/>
                          <w:szCs w:val="18"/>
                        </w:rPr>
                        <w:t>mld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 zł</w:t>
                      </w:r>
                    </w:p>
                  </w:txbxContent>
                </v:textbox>
              </v:shape>
            </w:pict>
          </mc:Fallback>
        </mc:AlternateContent>
      </w:r>
      <w:r w:rsidRPr="00CF7AE9">
        <w:rPr>
          <w:rFonts w:eastAsia="Fira Sans Light" w:cs="Times New Roman"/>
          <w:b/>
          <w:noProof/>
          <w:spacing w:val="-2"/>
          <w:szCs w:val="19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206EAE" wp14:editId="2F48F513">
                <wp:simplePos x="0" y="0"/>
                <wp:positionH relativeFrom="column">
                  <wp:posOffset>5215890</wp:posOffset>
                </wp:positionH>
                <wp:positionV relativeFrom="paragraph">
                  <wp:posOffset>943610</wp:posOffset>
                </wp:positionV>
                <wp:extent cx="1731645" cy="1123950"/>
                <wp:effectExtent l="0" t="0" r="0" b="0"/>
                <wp:wrapNone/>
                <wp:docPr id="198" name="Pole tekstowe 198" descr="Jednostki dominujące w grupach kapitałowych wykazały największą wartość instrumentów finansowych w aktywach – 404,7 mld z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0433" w14:textId="16BD5497" w:rsidR="007918C5" w:rsidRPr="00644C13" w:rsidRDefault="007918C5" w:rsidP="00EC1873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J</w:t>
                            </w:r>
                            <w:r w:rsidRPr="00644C1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ednostki dominujące w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grupach kapitałowych wykazały największą wartość instrumentów finansowych w aktywach – 404,7 mld 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6EAE" id="Pole tekstowe 198" o:spid="_x0000_s1031" type="#_x0000_t202" alt="Jednostki dominujące w grupach kapitałowych wykazały największą wartość instrumentów finansowych w aktywach – 404,7 mld zł" style="position:absolute;margin-left:410.7pt;margin-top:74.3pt;width:136.35pt;height:8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" filled="f" stroked="f" strokeweight=".5pt">
                <v:textbox>
                  <w:txbxContent>
                    <w:p w14:paraId="65240433" w14:textId="16BD5497" w:rsidR="007918C5" w:rsidRPr="00644C13" w:rsidRDefault="007918C5" w:rsidP="00EC1873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J</w:t>
                      </w:r>
                      <w:r w:rsidRPr="00644C13">
                        <w:rPr>
                          <w:color w:val="002060"/>
                          <w:sz w:val="18"/>
                          <w:szCs w:val="18"/>
                        </w:rPr>
                        <w:t xml:space="preserve">ednostki dominujące w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grupach kapitałowych wykazały największą wartość instrumentów finansowych w aktywach – 404,7 mld zł</w:t>
                      </w:r>
                    </w:p>
                  </w:txbxContent>
                </v:textbox>
              </v:shape>
            </w:pict>
          </mc:Fallback>
        </mc:AlternateContent>
      </w:r>
      <w:r w:rsidR="00EC1873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Tablica 4. </w:t>
      </w:r>
      <w:r w:rsidR="00C206E7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Wartość instrumentów finansowych</w:t>
      </w:r>
      <w:r w:rsidR="00EC1873"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według statusu organizacyjnego przedsiębiorstw</w:t>
      </w:r>
      <w:r w:rsidR="00CC0FB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</w:t>
      </w:r>
      <w:r w:rsidR="00E34829">
        <w:rPr>
          <w:rFonts w:eastAsia="Fira Sans Light" w:cs="Times New Roman"/>
          <w:b/>
          <w:spacing w:val="-2"/>
          <w:szCs w:val="19"/>
          <w:shd w:val="clear" w:color="auto" w:fill="FFFFFF"/>
        </w:rPr>
        <w:t>(stan na 31 grudnia 2024 r.)</w:t>
      </w:r>
    </w:p>
    <w:tbl>
      <w:tblPr>
        <w:tblStyle w:val="Siatkatabelijasna11"/>
        <w:tblpPr w:leftFromText="141" w:rightFromText="141" w:vertAnchor="text" w:horzAnchor="margin" w:tblpY="129"/>
        <w:tblW w:w="47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4. Wartość instrumentów finansowych według statusu organizacyjnego przedsiębiorstw"/>
      </w:tblPr>
      <w:tblGrid>
        <w:gridCol w:w="4247"/>
        <w:gridCol w:w="1795"/>
        <w:gridCol w:w="1657"/>
      </w:tblGrid>
      <w:tr w:rsidR="006027A5" w:rsidRPr="00B476A8" w14:paraId="29EB2492" w14:textId="77777777" w:rsidTr="007918C5">
        <w:trPr>
          <w:trHeight w:val="20"/>
        </w:trPr>
        <w:tc>
          <w:tcPr>
            <w:tcW w:w="2758" w:type="pct"/>
            <w:vMerge w:val="restart"/>
            <w:tcBorders>
              <w:top w:val="single" w:sz="4" w:space="0" w:color="212492"/>
            </w:tcBorders>
            <w:vAlign w:val="center"/>
          </w:tcPr>
          <w:p w14:paraId="79A5C53D" w14:textId="533BFCF0" w:rsidR="006027A5" w:rsidRPr="00B476A8" w:rsidRDefault="007468DD" w:rsidP="00E633F2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66" w:type="pct"/>
            <w:vMerge w:val="restar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678CB2DA" w14:textId="77777777" w:rsidR="006027A5" w:rsidRPr="00B476A8" w:rsidRDefault="006027A5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 xml:space="preserve">Liczba </w:t>
            </w:r>
          </w:p>
          <w:p w14:paraId="1BB636D4" w14:textId="77777777" w:rsidR="006027A5" w:rsidRPr="00B476A8" w:rsidRDefault="006027A5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>przedsiębiorstw</w:t>
            </w:r>
          </w:p>
        </w:tc>
        <w:tc>
          <w:tcPr>
            <w:tcW w:w="1076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3862307E" w14:textId="77777777" w:rsidR="006027A5" w:rsidRPr="00B476A8" w:rsidRDefault="006027A5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>Wartość</w:t>
            </w:r>
          </w:p>
        </w:tc>
      </w:tr>
      <w:tr w:rsidR="006027A5" w:rsidRPr="00B476A8" w14:paraId="02F00058" w14:textId="77777777" w:rsidTr="00E633F2">
        <w:trPr>
          <w:trHeight w:val="20"/>
        </w:trPr>
        <w:tc>
          <w:tcPr>
            <w:tcW w:w="2758" w:type="pct"/>
            <w:vMerge/>
            <w:tcBorders>
              <w:bottom w:val="single" w:sz="12" w:space="0" w:color="212492"/>
            </w:tcBorders>
            <w:vAlign w:val="center"/>
          </w:tcPr>
          <w:p w14:paraId="3CE6C3DD" w14:textId="77777777" w:rsidR="006027A5" w:rsidRPr="00B476A8" w:rsidRDefault="006027A5" w:rsidP="00E633F2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1166" w:type="pct"/>
            <w:vMerge/>
            <w:tcBorders>
              <w:bottom w:val="single" w:sz="12" w:space="0" w:color="212492"/>
              <w:right w:val="single" w:sz="4" w:space="0" w:color="212492"/>
            </w:tcBorders>
            <w:vAlign w:val="center"/>
          </w:tcPr>
          <w:p w14:paraId="7BF4D26B" w14:textId="77777777" w:rsidR="006027A5" w:rsidRPr="00B476A8" w:rsidRDefault="006027A5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</w:p>
        </w:tc>
        <w:tc>
          <w:tcPr>
            <w:tcW w:w="1076" w:type="pct"/>
            <w:tcBorders>
              <w:left w:val="single" w:sz="4" w:space="0" w:color="212492"/>
              <w:bottom w:val="single" w:sz="12" w:space="0" w:color="212492"/>
            </w:tcBorders>
            <w:vAlign w:val="center"/>
          </w:tcPr>
          <w:p w14:paraId="7A394A9A" w14:textId="77777777" w:rsidR="006027A5" w:rsidRPr="00B476A8" w:rsidRDefault="006027A5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</w:tc>
      </w:tr>
      <w:tr w:rsidR="006027A5" w:rsidRPr="00B476A8" w14:paraId="0636C069" w14:textId="77777777" w:rsidTr="00E633F2">
        <w:trPr>
          <w:trHeight w:val="20"/>
        </w:trPr>
        <w:tc>
          <w:tcPr>
            <w:tcW w:w="2758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4C49CFF6" w14:textId="071B7C31" w:rsidR="006027A5" w:rsidRPr="00B476A8" w:rsidRDefault="006027A5" w:rsidP="00E633F2">
            <w:pPr>
              <w:spacing w:before="0" w:after="0" w:line="240" w:lineRule="auto"/>
              <w:rPr>
                <w:rFonts w:eastAsia="Fira Sans Light" w:cs="Times New Roman"/>
                <w:b/>
                <w:szCs w:val="19"/>
              </w:rPr>
            </w:pPr>
            <w:r w:rsidRPr="00B476A8">
              <w:rPr>
                <w:rFonts w:eastAsia="Fira Sans Light" w:cs="Times New Roman"/>
                <w:b/>
                <w:szCs w:val="19"/>
              </w:rPr>
              <w:t>Instrumenty finansowe – aktywa</w:t>
            </w:r>
          </w:p>
        </w:tc>
        <w:tc>
          <w:tcPr>
            <w:tcW w:w="1166" w:type="pct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BFFB6" w14:textId="5E390B4D" w:rsidR="006027A5" w:rsidRPr="00B476A8" w:rsidRDefault="001F00B7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476A8">
              <w:rPr>
                <w:b/>
                <w:szCs w:val="19"/>
              </w:rPr>
              <w:t>2 498</w:t>
            </w:r>
          </w:p>
        </w:tc>
        <w:tc>
          <w:tcPr>
            <w:tcW w:w="1076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54DD6D0" w14:textId="4D7366DB" w:rsidR="006027A5" w:rsidRPr="00B476A8" w:rsidRDefault="001F00B7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476A8">
              <w:rPr>
                <w:b/>
                <w:szCs w:val="19"/>
              </w:rPr>
              <w:t>888 153,3</w:t>
            </w:r>
          </w:p>
        </w:tc>
      </w:tr>
      <w:tr w:rsidR="006027A5" w:rsidRPr="00B476A8" w14:paraId="7AE97FE5" w14:textId="77777777" w:rsidTr="00E633F2">
        <w:trPr>
          <w:trHeight w:val="20"/>
        </w:trPr>
        <w:tc>
          <w:tcPr>
            <w:tcW w:w="2758" w:type="pct"/>
            <w:tcBorders>
              <w:top w:val="single" w:sz="4" w:space="0" w:color="212492"/>
            </w:tcBorders>
            <w:vAlign w:val="center"/>
          </w:tcPr>
          <w:p w14:paraId="7D801D42" w14:textId="27028359" w:rsidR="006027A5" w:rsidRPr="00B476A8" w:rsidRDefault="001872C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P</w:t>
            </w:r>
            <w:r w:rsidR="006027A5" w:rsidRPr="00B476A8">
              <w:rPr>
                <w:rFonts w:eastAsia="Fira Sans Light" w:cs="Times New Roman"/>
                <w:szCs w:val="19"/>
              </w:rPr>
              <w:t>rzedsiębiorstwa działające samodzielnie</w:t>
            </w:r>
          </w:p>
        </w:tc>
        <w:tc>
          <w:tcPr>
            <w:tcW w:w="1166" w:type="pc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36EF781F" w14:textId="5F3DD040" w:rsidR="006027A5" w:rsidRPr="00B476A8" w:rsidRDefault="001F00B7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916</w:t>
            </w:r>
          </w:p>
        </w:tc>
        <w:tc>
          <w:tcPr>
            <w:tcW w:w="1076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1BDFFC94" w14:textId="616B0848" w:rsidR="006027A5" w:rsidRPr="00B476A8" w:rsidRDefault="001F00B7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60 451,0</w:t>
            </w:r>
          </w:p>
        </w:tc>
      </w:tr>
      <w:tr w:rsidR="00E204CA" w:rsidRPr="00B476A8" w14:paraId="5B5534F4" w14:textId="77777777" w:rsidTr="00E633F2">
        <w:trPr>
          <w:trHeight w:val="20"/>
        </w:trPr>
        <w:tc>
          <w:tcPr>
            <w:tcW w:w="2758" w:type="pct"/>
            <w:vAlign w:val="center"/>
          </w:tcPr>
          <w:p w14:paraId="6ADC74FE" w14:textId="0AA9AB3C" w:rsidR="00E204CA" w:rsidRPr="00B476A8" w:rsidRDefault="001872C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J</w:t>
            </w:r>
            <w:r w:rsidR="00E204CA" w:rsidRPr="00B476A8">
              <w:rPr>
                <w:rFonts w:eastAsia="Fira Sans Light" w:cs="Times New Roman"/>
                <w:szCs w:val="19"/>
              </w:rPr>
              <w:t xml:space="preserve">ednostki dominujące w </w:t>
            </w:r>
            <w:r w:rsidR="00F674A3" w:rsidRPr="00B476A8">
              <w:rPr>
                <w:rFonts w:eastAsia="Fira Sans Light" w:cs="Times New Roman"/>
                <w:szCs w:val="19"/>
              </w:rPr>
              <w:t>grupach kapitałowych</w:t>
            </w:r>
          </w:p>
        </w:tc>
        <w:tc>
          <w:tcPr>
            <w:tcW w:w="1166" w:type="pct"/>
            <w:vAlign w:val="center"/>
          </w:tcPr>
          <w:p w14:paraId="26811768" w14:textId="6229949C" w:rsidR="00E204CA" w:rsidRPr="00B476A8" w:rsidRDefault="001F00B7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374</w:t>
            </w:r>
          </w:p>
        </w:tc>
        <w:tc>
          <w:tcPr>
            <w:tcW w:w="1076" w:type="pct"/>
            <w:vAlign w:val="center"/>
          </w:tcPr>
          <w:p w14:paraId="416BB03F" w14:textId="7037186F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404 681,4</w:t>
            </w:r>
          </w:p>
        </w:tc>
      </w:tr>
      <w:tr w:rsidR="00E204CA" w:rsidRPr="00B476A8" w14:paraId="21694F24" w14:textId="77777777" w:rsidTr="00E633F2">
        <w:trPr>
          <w:trHeight w:val="20"/>
        </w:trPr>
        <w:tc>
          <w:tcPr>
            <w:tcW w:w="2758" w:type="pct"/>
            <w:vAlign w:val="center"/>
          </w:tcPr>
          <w:p w14:paraId="6EDD6D33" w14:textId="1142EEB3" w:rsidR="00E204CA" w:rsidRPr="00B476A8" w:rsidRDefault="0067182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476A8">
              <w:rPr>
                <w:rFonts w:eastAsia="Fira Sans Light" w:cs="Times New Roman"/>
                <w:szCs w:val="19"/>
              </w:rPr>
              <w:t>Jednostki</w:t>
            </w:r>
            <w:r w:rsidR="00FF6559" w:rsidRPr="00B476A8">
              <w:rPr>
                <w:rFonts w:eastAsia="Fira Sans Light" w:cs="Times New Roman"/>
                <w:szCs w:val="19"/>
              </w:rPr>
              <w:t xml:space="preserve"> </w:t>
            </w:r>
            <w:r w:rsidR="00624ACF">
              <w:rPr>
                <w:rFonts w:eastAsia="Fira Sans Light" w:cs="Times New Roman"/>
                <w:szCs w:val="19"/>
              </w:rPr>
              <w:t xml:space="preserve">zależne </w:t>
            </w:r>
            <w:r w:rsidRPr="00B476A8">
              <w:rPr>
                <w:rFonts w:eastAsia="Fira Sans Light" w:cs="Times New Roman"/>
                <w:szCs w:val="19"/>
              </w:rPr>
              <w:t>w grupach kapitałowych</w:t>
            </w:r>
          </w:p>
        </w:tc>
        <w:tc>
          <w:tcPr>
            <w:tcW w:w="1166" w:type="pct"/>
            <w:vAlign w:val="center"/>
          </w:tcPr>
          <w:p w14:paraId="3FB32155" w14:textId="0CB14C85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835</w:t>
            </w:r>
          </w:p>
        </w:tc>
        <w:tc>
          <w:tcPr>
            <w:tcW w:w="1076" w:type="pct"/>
            <w:vAlign w:val="center"/>
          </w:tcPr>
          <w:p w14:paraId="5612919E" w14:textId="08D136E7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214 621,6</w:t>
            </w:r>
          </w:p>
        </w:tc>
      </w:tr>
      <w:tr w:rsidR="00E204CA" w:rsidRPr="00B476A8" w14:paraId="64EA84F7" w14:textId="77777777" w:rsidTr="00E633F2">
        <w:trPr>
          <w:trHeight w:val="20"/>
        </w:trPr>
        <w:tc>
          <w:tcPr>
            <w:tcW w:w="2758" w:type="pct"/>
            <w:tcBorders>
              <w:bottom w:val="single" w:sz="12" w:space="0" w:color="212492"/>
            </w:tcBorders>
            <w:vAlign w:val="center"/>
          </w:tcPr>
          <w:p w14:paraId="600DCB67" w14:textId="0F7B2439" w:rsidR="00E204CA" w:rsidRPr="00B476A8" w:rsidRDefault="0067182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476A8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  <w:tc>
          <w:tcPr>
            <w:tcW w:w="1166" w:type="pct"/>
            <w:tcBorders>
              <w:bottom w:val="single" w:sz="12" w:space="0" w:color="212492"/>
            </w:tcBorders>
            <w:vAlign w:val="center"/>
          </w:tcPr>
          <w:p w14:paraId="0C411885" w14:textId="5D33F251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373</w:t>
            </w:r>
          </w:p>
        </w:tc>
        <w:tc>
          <w:tcPr>
            <w:tcW w:w="1076" w:type="pct"/>
            <w:tcBorders>
              <w:bottom w:val="single" w:sz="12" w:space="0" w:color="212492"/>
            </w:tcBorders>
            <w:vAlign w:val="center"/>
          </w:tcPr>
          <w:p w14:paraId="38566196" w14:textId="2CE3E252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208 399,4</w:t>
            </w:r>
          </w:p>
        </w:tc>
      </w:tr>
      <w:tr w:rsidR="00E204CA" w:rsidRPr="00B476A8" w14:paraId="6BC35835" w14:textId="77777777" w:rsidTr="00E633F2">
        <w:trPr>
          <w:trHeight w:val="20"/>
        </w:trPr>
        <w:tc>
          <w:tcPr>
            <w:tcW w:w="2758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3FBF0E4" w14:textId="73E13980" w:rsidR="00E204CA" w:rsidRPr="00B476A8" w:rsidRDefault="00E204CA" w:rsidP="00E633F2">
            <w:pPr>
              <w:spacing w:before="0" w:after="0" w:line="240" w:lineRule="auto"/>
              <w:rPr>
                <w:rFonts w:eastAsia="Fira Sans Light" w:cs="Times New Roman"/>
                <w:b/>
                <w:szCs w:val="19"/>
              </w:rPr>
            </w:pPr>
            <w:r w:rsidRPr="00B476A8">
              <w:rPr>
                <w:rFonts w:eastAsia="Fira Sans Light" w:cs="Times New Roman"/>
                <w:b/>
                <w:szCs w:val="19"/>
              </w:rPr>
              <w:t>Instrumenty finansowe – pasywa</w:t>
            </w:r>
          </w:p>
        </w:tc>
        <w:tc>
          <w:tcPr>
            <w:tcW w:w="1166" w:type="pct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35529A7" w14:textId="3D6E35E9" w:rsidR="00E204CA" w:rsidRPr="00B476A8" w:rsidRDefault="00B52DA4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476A8">
              <w:rPr>
                <w:b/>
                <w:szCs w:val="19"/>
              </w:rPr>
              <w:t>2 463</w:t>
            </w:r>
          </w:p>
        </w:tc>
        <w:tc>
          <w:tcPr>
            <w:tcW w:w="1076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352BC8CE" w14:textId="36AD328C" w:rsidR="00E204CA" w:rsidRPr="00B476A8" w:rsidRDefault="00B52DA4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476A8">
              <w:rPr>
                <w:b/>
                <w:szCs w:val="19"/>
              </w:rPr>
              <w:t>945 907,9</w:t>
            </w:r>
          </w:p>
        </w:tc>
      </w:tr>
      <w:tr w:rsidR="00E204CA" w:rsidRPr="00B476A8" w14:paraId="5C233021" w14:textId="77777777" w:rsidTr="00E633F2">
        <w:trPr>
          <w:trHeight w:val="20"/>
        </w:trPr>
        <w:tc>
          <w:tcPr>
            <w:tcW w:w="2758" w:type="pct"/>
            <w:tcBorders>
              <w:top w:val="single" w:sz="4" w:space="0" w:color="212492"/>
            </w:tcBorders>
            <w:vAlign w:val="center"/>
          </w:tcPr>
          <w:p w14:paraId="401BCD22" w14:textId="638C49E4" w:rsidR="00E204CA" w:rsidRPr="00B476A8" w:rsidRDefault="001872C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P</w:t>
            </w:r>
            <w:r w:rsidR="00E204CA" w:rsidRPr="00B476A8">
              <w:rPr>
                <w:rFonts w:eastAsia="Fira Sans Light" w:cs="Times New Roman"/>
                <w:szCs w:val="19"/>
              </w:rPr>
              <w:t>rzedsiębiorstwa działające samodzielnie</w:t>
            </w:r>
          </w:p>
        </w:tc>
        <w:tc>
          <w:tcPr>
            <w:tcW w:w="1166" w:type="pc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05997024" w14:textId="2D78F2DC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901</w:t>
            </w:r>
          </w:p>
        </w:tc>
        <w:tc>
          <w:tcPr>
            <w:tcW w:w="1076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6A6FBFEF" w14:textId="1409BF23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69 164,6</w:t>
            </w:r>
          </w:p>
        </w:tc>
      </w:tr>
      <w:tr w:rsidR="00E204CA" w:rsidRPr="00B476A8" w14:paraId="56B4DA39" w14:textId="77777777" w:rsidTr="00E633F2">
        <w:trPr>
          <w:trHeight w:val="20"/>
        </w:trPr>
        <w:tc>
          <w:tcPr>
            <w:tcW w:w="2758" w:type="pct"/>
            <w:vAlign w:val="center"/>
          </w:tcPr>
          <w:p w14:paraId="4CFA48F0" w14:textId="29FF5E39" w:rsidR="00E204CA" w:rsidRPr="00B476A8" w:rsidRDefault="001872C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J</w:t>
            </w:r>
            <w:r w:rsidR="00E204CA" w:rsidRPr="00B476A8">
              <w:rPr>
                <w:rFonts w:eastAsia="Fira Sans Light" w:cs="Times New Roman"/>
                <w:szCs w:val="19"/>
              </w:rPr>
              <w:t xml:space="preserve">ednostki dominujące w </w:t>
            </w:r>
            <w:r w:rsidR="00F674A3" w:rsidRPr="00B476A8">
              <w:rPr>
                <w:rFonts w:eastAsia="Fira Sans Light" w:cs="Times New Roman"/>
                <w:szCs w:val="19"/>
              </w:rPr>
              <w:t>grupach kapitałowych</w:t>
            </w:r>
          </w:p>
        </w:tc>
        <w:tc>
          <w:tcPr>
            <w:tcW w:w="1166" w:type="pct"/>
            <w:vAlign w:val="center"/>
          </w:tcPr>
          <w:p w14:paraId="38CD0F0E" w14:textId="54F653B1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371</w:t>
            </w:r>
          </w:p>
        </w:tc>
        <w:tc>
          <w:tcPr>
            <w:tcW w:w="1076" w:type="pct"/>
            <w:vAlign w:val="center"/>
          </w:tcPr>
          <w:p w14:paraId="2DC76D32" w14:textId="08F58D10" w:rsidR="00E204CA" w:rsidRPr="00B476A8" w:rsidRDefault="00B52DA4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322 307,9</w:t>
            </w:r>
          </w:p>
        </w:tc>
      </w:tr>
      <w:tr w:rsidR="00671828" w:rsidRPr="00B476A8" w14:paraId="10A79737" w14:textId="77777777" w:rsidTr="00E633F2">
        <w:trPr>
          <w:trHeight w:val="343"/>
        </w:trPr>
        <w:tc>
          <w:tcPr>
            <w:tcW w:w="2758" w:type="pct"/>
            <w:vAlign w:val="center"/>
          </w:tcPr>
          <w:p w14:paraId="7324AC59" w14:textId="78A48365" w:rsidR="00671828" w:rsidRPr="00B476A8" w:rsidRDefault="0067182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476A8">
              <w:rPr>
                <w:rFonts w:eastAsia="Fira Sans Light" w:cs="Times New Roman"/>
                <w:szCs w:val="19"/>
              </w:rPr>
              <w:lastRenderedPageBreak/>
              <w:t xml:space="preserve">Jednostki </w:t>
            </w:r>
            <w:r w:rsidR="00624ACF">
              <w:rPr>
                <w:rFonts w:eastAsia="Fira Sans Light" w:cs="Times New Roman"/>
                <w:szCs w:val="19"/>
              </w:rPr>
              <w:t>zależne</w:t>
            </w:r>
            <w:r w:rsidRPr="00B476A8">
              <w:rPr>
                <w:rFonts w:eastAsia="Fira Sans Light" w:cs="Times New Roman"/>
                <w:szCs w:val="19"/>
              </w:rPr>
              <w:t xml:space="preserve"> w grupach kapitałowych</w:t>
            </w:r>
          </w:p>
        </w:tc>
        <w:tc>
          <w:tcPr>
            <w:tcW w:w="1166" w:type="pct"/>
            <w:vAlign w:val="center"/>
          </w:tcPr>
          <w:p w14:paraId="60F4C4E5" w14:textId="4F315788" w:rsidR="00671828" w:rsidRPr="00B476A8" w:rsidRDefault="00671828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824</w:t>
            </w:r>
          </w:p>
        </w:tc>
        <w:tc>
          <w:tcPr>
            <w:tcW w:w="1076" w:type="pct"/>
            <w:vAlign w:val="center"/>
          </w:tcPr>
          <w:p w14:paraId="29327B0E" w14:textId="32F7E981" w:rsidR="00671828" w:rsidRPr="00B476A8" w:rsidRDefault="00671828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237 043,6</w:t>
            </w:r>
          </w:p>
        </w:tc>
      </w:tr>
      <w:tr w:rsidR="00671828" w:rsidRPr="00B476A8" w14:paraId="639D8E6B" w14:textId="77777777" w:rsidTr="007918C5">
        <w:trPr>
          <w:trHeight w:val="20"/>
        </w:trPr>
        <w:tc>
          <w:tcPr>
            <w:tcW w:w="2758" w:type="pct"/>
            <w:tcBorders>
              <w:bottom w:val="nil"/>
            </w:tcBorders>
            <w:vAlign w:val="center"/>
          </w:tcPr>
          <w:p w14:paraId="0860C544" w14:textId="2AABE433" w:rsidR="00671828" w:rsidRPr="00B476A8" w:rsidRDefault="00671828" w:rsidP="00E633F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476A8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476A8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  <w:tc>
          <w:tcPr>
            <w:tcW w:w="1166" w:type="pct"/>
            <w:tcBorders>
              <w:bottom w:val="nil"/>
            </w:tcBorders>
            <w:vAlign w:val="center"/>
          </w:tcPr>
          <w:p w14:paraId="037C8298" w14:textId="6BC5BF52" w:rsidR="00671828" w:rsidRPr="00B476A8" w:rsidRDefault="00671828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367</w:t>
            </w:r>
          </w:p>
        </w:tc>
        <w:tc>
          <w:tcPr>
            <w:tcW w:w="1076" w:type="pct"/>
            <w:tcBorders>
              <w:bottom w:val="nil"/>
            </w:tcBorders>
            <w:vAlign w:val="center"/>
          </w:tcPr>
          <w:p w14:paraId="5AAAC03B" w14:textId="1C49953E" w:rsidR="00671828" w:rsidRPr="00B476A8" w:rsidRDefault="00671828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476A8">
              <w:rPr>
                <w:szCs w:val="19"/>
              </w:rPr>
              <w:t>317 391,9</w:t>
            </w:r>
          </w:p>
        </w:tc>
      </w:tr>
    </w:tbl>
    <w:p w14:paraId="3B4C124E" w14:textId="3539D823" w:rsidR="00BC793E" w:rsidRPr="00CF7AE9" w:rsidRDefault="005F063C" w:rsidP="00D83774">
      <w:pPr>
        <w:keepNext/>
        <w:spacing w:before="240" w:line="288" w:lineRule="auto"/>
        <w:outlineLvl w:val="0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Po stronie aktywów</w:t>
      </w:r>
      <w:r w:rsidR="00531F9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badanych </w:t>
      </w:r>
      <w:r w:rsidR="00FB3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przedsiębiorstw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największe udziały</w:t>
      </w:r>
      <w:r w:rsidR="00531F9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</w:t>
      </w:r>
      <w:r w:rsidR="00FB3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warto</w:t>
      </w:r>
      <w:r w:rsidR="00FE0CB8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śc</w:t>
      </w:r>
      <w:r w:rsidR="00FB31C1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i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5D38E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instrumentów finansowych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należały do kategorii „instrumenty dłużne” </w:t>
      </w:r>
      <w:bookmarkStart w:id="0" w:name="_Hlk182393409"/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–</w:t>
      </w:r>
      <w:bookmarkEnd w:id="0"/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0979B0">
        <w:rPr>
          <w:rFonts w:eastAsia="Times New Roman" w:cs="Times New Roman"/>
          <w:bCs/>
          <w:szCs w:val="19"/>
          <w:shd w:val="clear" w:color="auto" w:fill="FFFFFF"/>
          <w:lang w:eastAsia="pl-PL"/>
        </w:rPr>
        <w:t>73,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9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</w:t>
      </w:r>
      <w:r w:rsidR="001B2E74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wartości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oraz „udział</w:t>
      </w:r>
      <w:r w:rsidR="00315CF8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owe instrumenty kapitałowe” –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24,2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%.</w:t>
      </w:r>
      <w:r w:rsidR="006118D4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Pozostały udział</w:t>
      </w:r>
      <w:r w:rsidR="00042C02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, wynoszący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1,9</w:t>
      </w:r>
      <w:r w:rsidR="00042C02">
        <w:rPr>
          <w:rFonts w:eastAsia="Times New Roman" w:cs="Times New Roman"/>
          <w:bCs/>
          <w:szCs w:val="19"/>
          <w:shd w:val="clear" w:color="auto" w:fill="FFFFFF"/>
          <w:lang w:eastAsia="pl-PL"/>
        </w:rPr>
        <w:t>%,</w:t>
      </w:r>
      <w:r w:rsidR="006118D4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należał do instrumentów pochodnych.</w:t>
      </w:r>
      <w:r w:rsidR="006D0F9D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przedsiębiorstwach działających samodzielnie wartość instrumentów finansowych w aktywach wyniosła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60,5</w:t>
      </w:r>
      <w:r w:rsidR="00315CF8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mld zł, w tym największe udziały należały do kategorii „instrumenty dłużne” –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88,7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%. W jednostkach dominujących w </w:t>
      </w:r>
      <w:r w:rsidR="00F674A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grupach kapitałowych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instrumenty finansowe w aktywach wyniosły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404,7</w:t>
      </w:r>
      <w:r w:rsidR="00755FE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mld zł, w tym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67,2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 stanowiła kategoria „instrumenty dłużne”, a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31,7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 „udziałowe instrumenty kapitałowe”. W jednostkach </w:t>
      </w:r>
      <w:r w:rsidR="00624ACF">
        <w:rPr>
          <w:rFonts w:eastAsia="Times New Roman" w:cs="Times New Roman"/>
          <w:bCs/>
          <w:szCs w:val="19"/>
          <w:shd w:val="clear" w:color="auto" w:fill="FFFFFF"/>
          <w:lang w:eastAsia="pl-PL"/>
        </w:rPr>
        <w:t>zależnych</w:t>
      </w:r>
      <w:r w:rsidR="00FF6559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024730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</w:t>
      </w:r>
      <w:r w:rsidR="00F674A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grupach kapitałowych</w:t>
      </w:r>
      <w:r w:rsidR="00024730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oraz jednostkach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dominujących i </w:t>
      </w:r>
      <w:r w:rsidR="00593D7A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jednocześnie </w:t>
      </w:r>
      <w:r w:rsidR="00624ACF">
        <w:rPr>
          <w:rFonts w:eastAsia="Times New Roman" w:cs="Times New Roman"/>
          <w:bCs/>
          <w:szCs w:val="19"/>
          <w:shd w:val="clear" w:color="auto" w:fill="FFFFFF"/>
          <w:lang w:eastAsia="pl-PL"/>
        </w:rPr>
        <w:t>zależnych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024730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</w:t>
      </w:r>
      <w:r w:rsidR="00F674A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grupach kapitałowych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instrumenty finansowe w aktywach wyniosły odpowiednio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214,6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mld zł oraz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208,4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 mld zł, w tym największy udział miały „instrumenty dłużne” – odpowiednio</w:t>
      </w:r>
      <w:r w:rsidR="00024730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85,1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 oraz </w:t>
      </w:r>
      <w:r w:rsidR="003F543F">
        <w:rPr>
          <w:rFonts w:eastAsia="Times New Roman" w:cs="Times New Roman"/>
          <w:bCs/>
          <w:szCs w:val="19"/>
          <w:shd w:val="clear" w:color="auto" w:fill="FFFFFF"/>
          <w:lang w:eastAsia="pl-PL"/>
        </w:rPr>
        <w:t>70,9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%.</w:t>
      </w:r>
    </w:p>
    <w:p w14:paraId="706700D7" w14:textId="29AA5AE7" w:rsidR="00BC793E" w:rsidRPr="00CF7AE9" w:rsidRDefault="005D38E7" w:rsidP="00A86AFA">
      <w:pPr>
        <w:keepNext/>
        <w:spacing w:line="288" w:lineRule="auto"/>
        <w:outlineLvl w:val="0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Po stronie pasywów</w:t>
      </w:r>
      <w:r w:rsidR="00755FE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badanych podmiotów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największe udziały instrumentów finansowych należały do kategorii „kredyty i pożyczki do spłaty” – </w:t>
      </w:r>
      <w:r w:rsidR="00830292">
        <w:rPr>
          <w:rFonts w:eastAsia="Times New Roman" w:cs="Times New Roman"/>
          <w:bCs/>
          <w:szCs w:val="19"/>
          <w:shd w:val="clear" w:color="auto" w:fill="FFFFFF"/>
          <w:lang w:eastAsia="pl-PL"/>
        </w:rPr>
        <w:t>40,7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 </w:t>
      </w:r>
      <w:r w:rsidR="001B2E74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wartości 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oraz </w:t>
      </w:r>
      <w:r w:rsidR="004B45B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„</w:t>
      </w:r>
      <w:r w:rsidR="00076F6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zobowiązania z tytułu dostaw i usług”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– </w:t>
      </w:r>
      <w:r w:rsidR="00830292">
        <w:rPr>
          <w:rFonts w:eastAsia="Times New Roman" w:cs="Times New Roman"/>
          <w:bCs/>
          <w:szCs w:val="19"/>
          <w:shd w:val="clear" w:color="auto" w:fill="FFFFFF"/>
          <w:lang w:eastAsia="pl-PL"/>
        </w:rPr>
        <w:t>34,9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%. </w:t>
      </w:r>
      <w:r w:rsidR="006118D4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Udział </w:t>
      </w:r>
      <w:r w:rsidR="006D0F9D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zobowiązań z tytułu </w:t>
      </w:r>
      <w:r w:rsidR="006118D4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instrumentów pochodnych wyniósł 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1,2</w:t>
      </w:r>
      <w:r w:rsidR="006D0F9D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%.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przedsiębiorstwach działających samodzielnie wartość instrumentów finansowych w pasywach wyniosła 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69,2</w:t>
      </w:r>
      <w:r w:rsidR="00F6073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mld zł, 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z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największy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m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udział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em w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kategorii „</w:t>
      </w:r>
      <w:r w:rsidR="00F174F4">
        <w:rPr>
          <w:rFonts w:eastAsia="Times New Roman" w:cs="Times New Roman"/>
          <w:bCs/>
          <w:szCs w:val="19"/>
          <w:shd w:val="clear" w:color="auto" w:fill="FFFFFF"/>
          <w:lang w:eastAsia="pl-PL"/>
        </w:rPr>
        <w:t>zobowiązania z tytułu dostaw i usług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” – </w:t>
      </w:r>
      <w:r w:rsidR="00B47438">
        <w:rPr>
          <w:rFonts w:eastAsia="Times New Roman" w:cs="Times New Roman"/>
          <w:bCs/>
          <w:szCs w:val="19"/>
          <w:shd w:val="clear" w:color="auto" w:fill="FFFFFF"/>
          <w:lang w:eastAsia="pl-PL"/>
        </w:rPr>
        <w:t>49,1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</w:t>
      </w:r>
      <w:r w:rsidR="000E43E4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wartości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. W jednostkach dominujących w </w:t>
      </w:r>
      <w:r w:rsidR="00F674A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grupach kapitałowych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instrumenty finansowe w pasywach wyniosły 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322,3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 mld zł, w tym 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35,2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</w:t>
      </w:r>
      <w:r w:rsidR="00076F6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stanowiła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kategoria „</w:t>
      </w:r>
      <w:r w:rsidR="00DA5E2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kredyty i pożyczki do spłaty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”</w:t>
      </w:r>
      <w:r w:rsidR="0046430A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,</w:t>
      </w:r>
      <w:r w:rsidR="00DA5E2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a </w:t>
      </w:r>
      <w:r w:rsidR="00B47438">
        <w:rPr>
          <w:rFonts w:eastAsia="Times New Roman" w:cs="Times New Roman"/>
          <w:bCs/>
          <w:szCs w:val="19"/>
          <w:shd w:val="clear" w:color="auto" w:fill="FFFFFF"/>
          <w:lang w:eastAsia="pl-PL"/>
        </w:rPr>
        <w:t>2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7,1</w:t>
      </w:r>
      <w:r w:rsidR="00DA5E2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% - kategoria „zobowiązania z tytułu emisji własnych obligacji”.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076F6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jednostkach </w:t>
      </w:r>
      <w:r w:rsidR="00624ACF">
        <w:rPr>
          <w:rFonts w:eastAsia="Times New Roman" w:cs="Times New Roman"/>
          <w:bCs/>
          <w:szCs w:val="19"/>
          <w:shd w:val="clear" w:color="auto" w:fill="FFFFFF"/>
          <w:lang w:eastAsia="pl-PL"/>
        </w:rPr>
        <w:t>zależnych</w:t>
      </w:r>
      <w:r w:rsidR="00FF6559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4B45B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w grupach kapitałowych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wartość instrumentów finansowych w pasywach wyniosła 237,0 mld zł, z największymi udziałami kategorii „zobowiązania z tytułu dostaw i usług”</w:t>
      </w:r>
      <w:r w:rsidR="00171665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(45,7%)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oraz „kredyty i pożyczki do spłaty” </w:t>
      </w:r>
      <w:r w:rsidR="00171665">
        <w:rPr>
          <w:rFonts w:eastAsia="Times New Roman" w:cs="Times New Roman"/>
          <w:bCs/>
          <w:szCs w:val="19"/>
          <w:shd w:val="clear" w:color="auto" w:fill="FFFFFF"/>
          <w:lang w:eastAsia="pl-PL"/>
        </w:rPr>
        <w:t>(39,9%).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171665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jednostkach dominujących i jednocześnie </w:t>
      </w:r>
      <w:r w:rsidR="00624ACF">
        <w:rPr>
          <w:rFonts w:eastAsia="Times New Roman" w:cs="Times New Roman"/>
          <w:bCs/>
          <w:szCs w:val="19"/>
          <w:shd w:val="clear" w:color="auto" w:fill="FFFFFF"/>
          <w:lang w:eastAsia="pl-PL"/>
        </w:rPr>
        <w:t>zależnych</w:t>
      </w:r>
      <w:r w:rsidR="00FF6559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076F6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 grupach kapitałowych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wartość instrumentów finansowych w pasywach wyniosła </w:t>
      </w:r>
      <w:r w:rsidR="00686482">
        <w:rPr>
          <w:rFonts w:eastAsia="Times New Roman" w:cs="Times New Roman"/>
          <w:bCs/>
          <w:szCs w:val="19"/>
          <w:shd w:val="clear" w:color="auto" w:fill="FFFFFF"/>
          <w:lang w:eastAsia="pl-PL"/>
        </w:rPr>
        <w:t>317,4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 mld zł, </w:t>
      </w:r>
      <w:r w:rsidR="00076F6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z największym udziałem kategorii </w:t>
      </w:r>
      <w:r w:rsidR="00BC793E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„kredyty i pożyczki do spłaty” </w:t>
      </w:r>
      <w:r w:rsidR="00171665">
        <w:rPr>
          <w:rFonts w:eastAsia="Times New Roman" w:cs="Times New Roman"/>
          <w:bCs/>
          <w:szCs w:val="19"/>
          <w:shd w:val="clear" w:color="auto" w:fill="FFFFFF"/>
          <w:lang w:eastAsia="pl-PL"/>
        </w:rPr>
        <w:t>(47,9%) oraz zobowiązania z tytułu dostaw i usług” (35,6%).</w:t>
      </w:r>
    </w:p>
    <w:p w14:paraId="3A983563" w14:textId="6EDD2EE2" w:rsidR="00EC1873" w:rsidRPr="00CF7AE9" w:rsidRDefault="00EC1873" w:rsidP="00CF7AE9">
      <w:pPr>
        <w:spacing w:before="360" w:line="240" w:lineRule="auto"/>
        <w:rPr>
          <w:rFonts w:eastAsia="Fira Sans Light" w:cs="Times New Roman"/>
          <w:b/>
          <w:spacing w:val="-2"/>
          <w:szCs w:val="19"/>
          <w:shd w:val="clear" w:color="auto" w:fill="FFFFFF"/>
        </w:rPr>
      </w:pPr>
      <w:r w:rsidRPr="00CF7AE9">
        <w:rPr>
          <w:rFonts w:eastAsia="Fira Sans Light" w:cs="Times New Roman"/>
          <w:b/>
          <w:spacing w:val="-2"/>
          <w:szCs w:val="19"/>
          <w:shd w:val="clear" w:color="auto" w:fill="FFFFFF"/>
        </w:rPr>
        <w:t>Tablica 5. Instrumenty finansowe według rodzajów</w:t>
      </w:r>
      <w:r w:rsidR="00CC0FB9">
        <w:rPr>
          <w:rFonts w:eastAsia="Fira Sans Light" w:cs="Times New Roman"/>
          <w:b/>
          <w:spacing w:val="-2"/>
          <w:szCs w:val="19"/>
          <w:shd w:val="clear" w:color="auto" w:fill="FFFFFF"/>
        </w:rPr>
        <w:t xml:space="preserve"> (</w:t>
      </w:r>
      <w:r w:rsidR="00E34829">
        <w:rPr>
          <w:rFonts w:eastAsia="Fira Sans Light" w:cs="Times New Roman"/>
          <w:b/>
          <w:spacing w:val="-2"/>
          <w:szCs w:val="19"/>
          <w:shd w:val="clear" w:color="auto" w:fill="FFFFFF"/>
        </w:rPr>
        <w:t>stan na 31 grudnia 2024 r.)</w:t>
      </w:r>
    </w:p>
    <w:tbl>
      <w:tblPr>
        <w:tblStyle w:val="Siatkatabelijasna11"/>
        <w:tblpPr w:leftFromText="141" w:rightFromText="141" w:vertAnchor="text" w:horzAnchor="margin" w:tblpY="129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5. Instrumenty finansowe według rodzajów "/>
      </w:tblPr>
      <w:tblGrid>
        <w:gridCol w:w="1985"/>
        <w:gridCol w:w="1134"/>
        <w:gridCol w:w="1139"/>
        <w:gridCol w:w="1093"/>
        <w:gridCol w:w="1313"/>
        <w:gridCol w:w="1311"/>
      </w:tblGrid>
      <w:tr w:rsidR="00671828" w:rsidRPr="00BB0000" w14:paraId="62CEEB00" w14:textId="77777777" w:rsidTr="007918C5">
        <w:trPr>
          <w:trHeight w:val="582"/>
        </w:trPr>
        <w:tc>
          <w:tcPr>
            <w:tcW w:w="1245" w:type="pct"/>
            <w:vMerge w:val="restart"/>
            <w:tcBorders>
              <w:top w:val="single" w:sz="4" w:space="0" w:color="212492"/>
            </w:tcBorders>
            <w:vAlign w:val="center"/>
          </w:tcPr>
          <w:p w14:paraId="7C44E569" w14:textId="522696CC" w:rsidR="00671828" w:rsidRPr="00BB0000" w:rsidRDefault="007468DD" w:rsidP="0067182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711" w:type="pct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7A21F429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Ogółem</w:t>
            </w:r>
          </w:p>
        </w:tc>
        <w:tc>
          <w:tcPr>
            <w:tcW w:w="714" w:type="pct"/>
            <w:tcBorders>
              <w:top w:val="single" w:sz="4" w:space="0" w:color="212492"/>
              <w:right w:val="nil"/>
            </w:tcBorders>
            <w:vAlign w:val="center"/>
          </w:tcPr>
          <w:p w14:paraId="03A0D564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działające</w:t>
            </w:r>
          </w:p>
          <w:p w14:paraId="4C27009E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samodzielnie</w:t>
            </w:r>
          </w:p>
        </w:tc>
        <w:tc>
          <w:tcPr>
            <w:tcW w:w="685" w:type="pct"/>
            <w:tcBorders>
              <w:top w:val="single" w:sz="4" w:space="0" w:color="212492"/>
              <w:right w:val="nil"/>
            </w:tcBorders>
            <w:vAlign w:val="center"/>
          </w:tcPr>
          <w:p w14:paraId="0F4F9C72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7C317C3B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dominujące w grupach kapitałowych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44F9FB4D" w14:textId="77777777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452A98F5" w14:textId="141B2C04" w:rsidR="00671828" w:rsidRPr="00BB0000" w:rsidRDefault="00624ACF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671828" w:rsidRPr="00BB0000">
              <w:rPr>
                <w:rFonts w:eastAsia="Times New Roman" w:cs="Times New Roman"/>
                <w:color w:val="000000"/>
                <w:szCs w:val="19"/>
              </w:rPr>
              <w:t xml:space="preserve"> w grupach</w:t>
            </w:r>
          </w:p>
          <w:p w14:paraId="3D06312D" w14:textId="722D37EC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kapitałowych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319957ED" w14:textId="796F76E5" w:rsidR="00671828" w:rsidRPr="00BB0000" w:rsidRDefault="00671828" w:rsidP="007468DD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</w:tr>
      <w:tr w:rsidR="008D49B0" w:rsidRPr="00BB0000" w14:paraId="23EB9AD4" w14:textId="77777777" w:rsidTr="007468DD">
        <w:trPr>
          <w:trHeight w:hRule="exact" w:val="322"/>
        </w:trPr>
        <w:tc>
          <w:tcPr>
            <w:tcW w:w="1245" w:type="pct"/>
            <w:vMerge/>
            <w:tcBorders>
              <w:bottom w:val="single" w:sz="12" w:space="0" w:color="212492"/>
            </w:tcBorders>
            <w:vAlign w:val="center"/>
          </w:tcPr>
          <w:p w14:paraId="371A38EA" w14:textId="77777777" w:rsidR="008D49B0" w:rsidRPr="00BB0000" w:rsidRDefault="008D49B0" w:rsidP="00C67238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3755" w:type="pct"/>
            <w:gridSpan w:val="5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40641A7" w14:textId="77777777" w:rsidR="008D49B0" w:rsidRPr="00BB0000" w:rsidRDefault="008D49B0" w:rsidP="00C67238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  <w:p w14:paraId="7F115292" w14:textId="77777777" w:rsidR="008D49B0" w:rsidRPr="00BB0000" w:rsidRDefault="008D49B0" w:rsidP="00C67238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%</w:t>
            </w:r>
          </w:p>
          <w:p w14:paraId="5699A000" w14:textId="77777777" w:rsidR="008D49B0" w:rsidRPr="00BB0000" w:rsidRDefault="008D49B0" w:rsidP="00C67238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  <w:p w14:paraId="5E9C0EAB" w14:textId="77777777" w:rsidR="008D49B0" w:rsidRPr="00BB0000" w:rsidRDefault="008D49B0" w:rsidP="00C67238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</w:p>
        </w:tc>
      </w:tr>
      <w:tr w:rsidR="00E73CA7" w:rsidRPr="00BB0000" w14:paraId="6290D895" w14:textId="77777777" w:rsidTr="00E633F2">
        <w:trPr>
          <w:trHeight w:val="20"/>
        </w:trPr>
        <w:tc>
          <w:tcPr>
            <w:tcW w:w="1245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209F6F4A" w14:textId="684B9847" w:rsidR="00E73CA7" w:rsidRPr="00BB0000" w:rsidRDefault="00E73CA7" w:rsidP="00E73CA7">
            <w:pPr>
              <w:spacing w:before="0" w:after="0" w:line="240" w:lineRule="auto"/>
              <w:rPr>
                <w:rFonts w:eastAsia="Fira Sans Light" w:cs="Times New Roman"/>
                <w:b/>
                <w:szCs w:val="19"/>
              </w:rPr>
            </w:pPr>
            <w:r w:rsidRPr="00BB0000">
              <w:rPr>
                <w:rFonts w:eastAsia="Fira Sans Light" w:cs="Times New Roman"/>
                <w:b/>
                <w:szCs w:val="19"/>
              </w:rPr>
              <w:t>Instrumenty finansowe – aktywa</w:t>
            </w:r>
          </w:p>
        </w:tc>
        <w:tc>
          <w:tcPr>
            <w:tcW w:w="711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F7D2D2C" w14:textId="285F2369" w:rsidR="00E73CA7" w:rsidRPr="007918C5" w:rsidRDefault="00E73CA7" w:rsidP="007468DD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7918C5">
              <w:rPr>
                <w:b/>
                <w:szCs w:val="19"/>
              </w:rPr>
              <w:t>888</w:t>
            </w:r>
            <w:r w:rsidR="00FB4CAA" w:rsidRPr="007918C5">
              <w:rPr>
                <w:b/>
                <w:szCs w:val="19"/>
              </w:rPr>
              <w:t> </w:t>
            </w:r>
            <w:r w:rsidRPr="007918C5">
              <w:rPr>
                <w:b/>
                <w:szCs w:val="19"/>
              </w:rPr>
              <w:t>153</w:t>
            </w:r>
            <w:r w:rsidR="00FB4CAA" w:rsidRPr="007918C5">
              <w:rPr>
                <w:b/>
                <w:szCs w:val="19"/>
              </w:rPr>
              <w:t>,3</w:t>
            </w:r>
          </w:p>
        </w:tc>
        <w:tc>
          <w:tcPr>
            <w:tcW w:w="714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203AA8CF" w14:textId="7CC5C0ED" w:rsidR="00E73CA7" w:rsidRPr="007918C5" w:rsidRDefault="00E73CA7" w:rsidP="007468DD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7918C5">
              <w:rPr>
                <w:b/>
                <w:szCs w:val="19"/>
              </w:rPr>
              <w:t>60</w:t>
            </w:r>
            <w:r w:rsidR="008E29B8" w:rsidRPr="007918C5">
              <w:rPr>
                <w:b/>
                <w:szCs w:val="19"/>
              </w:rPr>
              <w:t> </w:t>
            </w:r>
            <w:r w:rsidRPr="007918C5">
              <w:rPr>
                <w:b/>
                <w:szCs w:val="19"/>
              </w:rPr>
              <w:t>45</w:t>
            </w:r>
            <w:r w:rsidR="008E29B8" w:rsidRPr="007918C5">
              <w:rPr>
                <w:b/>
                <w:szCs w:val="19"/>
              </w:rPr>
              <w:t>1,0</w:t>
            </w:r>
          </w:p>
        </w:tc>
        <w:tc>
          <w:tcPr>
            <w:tcW w:w="685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056ACD0B" w14:textId="733EC8E1" w:rsidR="00E73CA7" w:rsidRPr="007918C5" w:rsidRDefault="00E73CA7" w:rsidP="007468DD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7918C5">
              <w:rPr>
                <w:b/>
                <w:szCs w:val="19"/>
              </w:rPr>
              <w:t>404</w:t>
            </w:r>
            <w:r w:rsidR="008E29B8" w:rsidRPr="007918C5">
              <w:rPr>
                <w:b/>
                <w:szCs w:val="19"/>
              </w:rPr>
              <w:t> </w:t>
            </w:r>
            <w:r w:rsidRPr="007918C5">
              <w:rPr>
                <w:b/>
                <w:szCs w:val="19"/>
              </w:rPr>
              <w:t>681</w:t>
            </w:r>
            <w:r w:rsidR="008E29B8" w:rsidRPr="007918C5">
              <w:rPr>
                <w:b/>
                <w:szCs w:val="19"/>
              </w:rPr>
              <w:t>,4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6D48C92E" w14:textId="4856494A" w:rsidR="00E73CA7" w:rsidRPr="007918C5" w:rsidRDefault="00E73CA7" w:rsidP="007468DD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7918C5">
              <w:rPr>
                <w:b/>
                <w:szCs w:val="19"/>
              </w:rPr>
              <w:t>214</w:t>
            </w:r>
            <w:r w:rsidR="008E29B8" w:rsidRPr="007918C5">
              <w:rPr>
                <w:b/>
                <w:szCs w:val="19"/>
              </w:rPr>
              <w:t> </w:t>
            </w:r>
            <w:r w:rsidRPr="007918C5">
              <w:rPr>
                <w:b/>
                <w:szCs w:val="19"/>
              </w:rPr>
              <w:t>621</w:t>
            </w:r>
            <w:r w:rsidR="008E29B8" w:rsidRPr="007918C5">
              <w:rPr>
                <w:b/>
                <w:szCs w:val="19"/>
              </w:rPr>
              <w:t>,6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1C5ACDAB" w14:textId="0DCCDAB1" w:rsidR="00E73CA7" w:rsidRPr="007918C5" w:rsidRDefault="00E73CA7" w:rsidP="007468DD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7918C5">
              <w:rPr>
                <w:b/>
                <w:szCs w:val="19"/>
              </w:rPr>
              <w:t>208</w:t>
            </w:r>
            <w:r w:rsidR="008E29B8" w:rsidRPr="007918C5">
              <w:rPr>
                <w:b/>
                <w:szCs w:val="19"/>
              </w:rPr>
              <w:t> </w:t>
            </w:r>
            <w:r w:rsidRPr="007918C5">
              <w:rPr>
                <w:b/>
                <w:szCs w:val="19"/>
              </w:rPr>
              <w:t>399</w:t>
            </w:r>
            <w:r w:rsidR="008E29B8" w:rsidRPr="007918C5">
              <w:rPr>
                <w:b/>
                <w:szCs w:val="19"/>
              </w:rPr>
              <w:t>,4</w:t>
            </w:r>
          </w:p>
        </w:tc>
      </w:tr>
      <w:tr w:rsidR="00E73CA7" w:rsidRPr="00BB0000" w14:paraId="564040A7" w14:textId="77777777" w:rsidTr="00E633F2">
        <w:trPr>
          <w:trHeight w:val="20"/>
        </w:trPr>
        <w:tc>
          <w:tcPr>
            <w:tcW w:w="1245" w:type="pct"/>
            <w:tcBorders>
              <w:top w:val="single" w:sz="4" w:space="0" w:color="212492"/>
            </w:tcBorders>
            <w:vAlign w:val="center"/>
          </w:tcPr>
          <w:p w14:paraId="69D1C68F" w14:textId="40390A77" w:rsidR="00E73CA7" w:rsidRPr="00BB0000" w:rsidRDefault="001872C8" w:rsidP="00E73CA7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U</w:t>
            </w:r>
            <w:r w:rsidR="00E73CA7" w:rsidRPr="00BB0000">
              <w:rPr>
                <w:rFonts w:eastAsia="Fira Sans Light" w:cs="Times New Roman"/>
                <w:szCs w:val="19"/>
              </w:rPr>
              <w:t>działowe instrumenty kapitałowe</w:t>
            </w:r>
          </w:p>
        </w:tc>
        <w:tc>
          <w:tcPr>
            <w:tcW w:w="711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2FBB5483" w14:textId="79FE203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215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231</w:t>
            </w:r>
            <w:r w:rsidR="008E29B8" w:rsidRPr="007468DD">
              <w:rPr>
                <w:szCs w:val="19"/>
              </w:rPr>
              <w:t>,9</w:t>
            </w:r>
          </w:p>
        </w:tc>
        <w:tc>
          <w:tcPr>
            <w:tcW w:w="714" w:type="pct"/>
            <w:tcBorders>
              <w:top w:val="single" w:sz="4" w:space="0" w:color="212492"/>
              <w:right w:val="nil"/>
            </w:tcBorders>
            <w:vAlign w:val="center"/>
          </w:tcPr>
          <w:p w14:paraId="40A5E308" w14:textId="3F9E6E98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5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997</w:t>
            </w:r>
            <w:r w:rsidR="008E29B8" w:rsidRPr="007468DD">
              <w:rPr>
                <w:szCs w:val="19"/>
              </w:rPr>
              <w:t>,3</w:t>
            </w:r>
          </w:p>
        </w:tc>
        <w:tc>
          <w:tcPr>
            <w:tcW w:w="685" w:type="pct"/>
            <w:tcBorders>
              <w:top w:val="single" w:sz="4" w:space="0" w:color="212492"/>
              <w:right w:val="nil"/>
            </w:tcBorders>
            <w:vAlign w:val="center"/>
          </w:tcPr>
          <w:p w14:paraId="370381A6" w14:textId="4FC6CBDD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128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370</w:t>
            </w:r>
            <w:r w:rsidR="008E29B8" w:rsidRPr="007468DD">
              <w:rPr>
                <w:szCs w:val="19"/>
              </w:rPr>
              <w:t>,9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1C918BAF" w14:textId="4E36EC4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23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932</w:t>
            </w:r>
            <w:r w:rsidR="008E29B8" w:rsidRPr="007468DD">
              <w:rPr>
                <w:szCs w:val="19"/>
              </w:rPr>
              <w:t>,1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16A86BE7" w14:textId="7D85004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56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931</w:t>
            </w:r>
            <w:r w:rsidR="008E29B8" w:rsidRPr="007468DD">
              <w:rPr>
                <w:szCs w:val="19"/>
              </w:rPr>
              <w:t>,6</w:t>
            </w:r>
          </w:p>
        </w:tc>
      </w:tr>
      <w:tr w:rsidR="00BB0000" w:rsidRPr="00BB0000" w14:paraId="3969C7A3" w14:textId="77777777" w:rsidTr="007468DD">
        <w:trPr>
          <w:trHeight w:val="20"/>
        </w:trPr>
        <w:tc>
          <w:tcPr>
            <w:tcW w:w="1245" w:type="pct"/>
            <w:tcBorders>
              <w:top w:val="single" w:sz="4" w:space="0" w:color="212492"/>
            </w:tcBorders>
            <w:vAlign w:val="center"/>
          </w:tcPr>
          <w:p w14:paraId="582F20C7" w14:textId="0A7C141B" w:rsidR="00BB0000" w:rsidRPr="00BB0000" w:rsidRDefault="00BB0000" w:rsidP="00BB0000">
            <w:pPr>
              <w:spacing w:before="0" w:after="0" w:line="240" w:lineRule="auto"/>
              <w:ind w:left="34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z tego:</w:t>
            </w:r>
          </w:p>
        </w:tc>
        <w:tc>
          <w:tcPr>
            <w:tcW w:w="3755" w:type="pct"/>
            <w:gridSpan w:val="5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0039832B" w14:textId="77777777" w:rsidR="00BB0000" w:rsidRPr="007468DD" w:rsidRDefault="00BB0000" w:rsidP="007468DD">
            <w:pPr>
              <w:spacing w:before="0" w:after="0" w:line="240" w:lineRule="auto"/>
              <w:jc w:val="right"/>
              <w:rPr>
                <w:szCs w:val="19"/>
              </w:rPr>
            </w:pPr>
          </w:p>
        </w:tc>
      </w:tr>
      <w:tr w:rsidR="00E73CA7" w:rsidRPr="00BB0000" w14:paraId="4C7AE3F2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79FD284C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udziały i akcje nienotowane</w:t>
            </w:r>
          </w:p>
        </w:tc>
        <w:tc>
          <w:tcPr>
            <w:tcW w:w="711" w:type="pct"/>
            <w:vAlign w:val="center"/>
          </w:tcPr>
          <w:p w14:paraId="7FFFDF72" w14:textId="30F4A81B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164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221</w:t>
            </w:r>
            <w:r w:rsidR="008E29B8" w:rsidRPr="007468DD">
              <w:rPr>
                <w:szCs w:val="19"/>
              </w:rPr>
              <w:t>,2</w:t>
            </w:r>
          </w:p>
        </w:tc>
        <w:tc>
          <w:tcPr>
            <w:tcW w:w="714" w:type="pct"/>
            <w:vAlign w:val="center"/>
          </w:tcPr>
          <w:p w14:paraId="162C11BA" w14:textId="797FF92E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4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270</w:t>
            </w:r>
            <w:r w:rsidR="008E29B8" w:rsidRPr="007468DD">
              <w:rPr>
                <w:szCs w:val="19"/>
              </w:rPr>
              <w:t>,1</w:t>
            </w:r>
          </w:p>
        </w:tc>
        <w:tc>
          <w:tcPr>
            <w:tcW w:w="685" w:type="pct"/>
            <w:vAlign w:val="center"/>
          </w:tcPr>
          <w:p w14:paraId="33B0C30B" w14:textId="1DAAB574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85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507</w:t>
            </w:r>
            <w:r w:rsidR="008E29B8" w:rsidRPr="007468DD">
              <w:rPr>
                <w:szCs w:val="19"/>
              </w:rPr>
              <w:t>,4</w:t>
            </w:r>
          </w:p>
        </w:tc>
        <w:tc>
          <w:tcPr>
            <w:tcW w:w="823" w:type="pct"/>
            <w:vAlign w:val="center"/>
          </w:tcPr>
          <w:p w14:paraId="1F3758DC" w14:textId="1CB30C80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22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372</w:t>
            </w:r>
            <w:r w:rsidR="008E29B8" w:rsidRPr="007468DD">
              <w:rPr>
                <w:szCs w:val="19"/>
              </w:rPr>
              <w:t>,7</w:t>
            </w:r>
          </w:p>
        </w:tc>
        <w:tc>
          <w:tcPr>
            <w:tcW w:w="823" w:type="pct"/>
            <w:vAlign w:val="center"/>
          </w:tcPr>
          <w:p w14:paraId="2958BDED" w14:textId="29C600EB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52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070</w:t>
            </w:r>
            <w:r w:rsidR="008E29B8" w:rsidRPr="007468DD">
              <w:rPr>
                <w:szCs w:val="19"/>
              </w:rPr>
              <w:t>,9</w:t>
            </w:r>
          </w:p>
        </w:tc>
      </w:tr>
      <w:tr w:rsidR="00E73CA7" w:rsidRPr="00BB0000" w14:paraId="11935C02" w14:textId="77777777" w:rsidTr="00E633F2">
        <w:trPr>
          <w:trHeight w:val="20"/>
        </w:trPr>
        <w:tc>
          <w:tcPr>
            <w:tcW w:w="1245" w:type="pct"/>
            <w:tcBorders>
              <w:bottom w:val="single" w:sz="4" w:space="0" w:color="212492"/>
            </w:tcBorders>
            <w:vAlign w:val="center"/>
          </w:tcPr>
          <w:p w14:paraId="21879342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akcje notowane</w:t>
            </w:r>
          </w:p>
        </w:tc>
        <w:tc>
          <w:tcPr>
            <w:tcW w:w="711" w:type="pct"/>
            <w:tcBorders>
              <w:bottom w:val="single" w:sz="4" w:space="0" w:color="212492"/>
            </w:tcBorders>
            <w:vAlign w:val="center"/>
          </w:tcPr>
          <w:p w14:paraId="6929045F" w14:textId="75CBC53A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13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625</w:t>
            </w:r>
            <w:r w:rsidR="008E29B8" w:rsidRPr="007468DD">
              <w:rPr>
                <w:szCs w:val="19"/>
              </w:rPr>
              <w:t>,9</w:t>
            </w:r>
          </w:p>
        </w:tc>
        <w:tc>
          <w:tcPr>
            <w:tcW w:w="714" w:type="pct"/>
            <w:tcBorders>
              <w:bottom w:val="single" w:sz="4" w:space="0" w:color="212492"/>
            </w:tcBorders>
            <w:vAlign w:val="center"/>
          </w:tcPr>
          <w:p w14:paraId="65998F98" w14:textId="67E0A2A3" w:rsidR="00E73CA7" w:rsidRPr="007468DD" w:rsidRDefault="00547385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685" w:type="pct"/>
            <w:tcBorders>
              <w:bottom w:val="single" w:sz="4" w:space="0" w:color="212492"/>
            </w:tcBorders>
            <w:vAlign w:val="center"/>
          </w:tcPr>
          <w:p w14:paraId="4F26A750" w14:textId="7B0B8826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12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680</w:t>
            </w:r>
            <w:r w:rsidR="008E29B8" w:rsidRPr="007468DD">
              <w:rPr>
                <w:szCs w:val="19"/>
              </w:rPr>
              <w:t>,6</w:t>
            </w:r>
          </w:p>
        </w:tc>
        <w:tc>
          <w:tcPr>
            <w:tcW w:w="823" w:type="pct"/>
            <w:tcBorders>
              <w:bottom w:val="single" w:sz="4" w:space="0" w:color="212492"/>
            </w:tcBorders>
            <w:vAlign w:val="center"/>
          </w:tcPr>
          <w:p w14:paraId="18ED93E3" w14:textId="46591988" w:rsidR="00E73CA7" w:rsidRPr="007468DD" w:rsidRDefault="00547385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bottom w:val="single" w:sz="4" w:space="0" w:color="212492"/>
            </w:tcBorders>
            <w:vAlign w:val="center"/>
          </w:tcPr>
          <w:p w14:paraId="6D4F2D8D" w14:textId="3312E06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33</w:t>
            </w:r>
            <w:r w:rsidR="008E29B8" w:rsidRPr="007468DD">
              <w:rPr>
                <w:szCs w:val="19"/>
              </w:rPr>
              <w:t>9,0</w:t>
            </w:r>
          </w:p>
        </w:tc>
      </w:tr>
      <w:tr w:rsidR="00E73CA7" w:rsidRPr="00BB0000" w14:paraId="69895CB8" w14:textId="77777777" w:rsidTr="00E633F2">
        <w:trPr>
          <w:trHeight w:val="20"/>
        </w:trPr>
        <w:tc>
          <w:tcPr>
            <w:tcW w:w="1245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D3D6DD9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certyfikaty inwestycyjne</w:t>
            </w:r>
          </w:p>
        </w:tc>
        <w:tc>
          <w:tcPr>
            <w:tcW w:w="711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8AC15B8" w14:textId="1BF39BB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20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810</w:t>
            </w:r>
            <w:r w:rsidR="008E29B8" w:rsidRPr="007468DD">
              <w:rPr>
                <w:szCs w:val="19"/>
              </w:rPr>
              <w:t>,1</w:t>
            </w:r>
          </w:p>
        </w:tc>
        <w:tc>
          <w:tcPr>
            <w:tcW w:w="714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1CC9FF4D" w14:textId="390EC968" w:rsidR="00E73CA7" w:rsidRPr="007468DD" w:rsidRDefault="005C1F2A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685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C53DD15" w14:textId="6F1E1E24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19</w:t>
            </w:r>
            <w:r w:rsidR="008E29B8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894</w:t>
            </w:r>
            <w:r w:rsidR="008E29B8" w:rsidRPr="007468DD">
              <w:rPr>
                <w:szCs w:val="19"/>
              </w:rPr>
              <w:t>,2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08551346" w14:textId="60EE937E" w:rsidR="00E73CA7" w:rsidRPr="007468DD" w:rsidRDefault="005C1F2A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2D11116" w14:textId="10ED72DA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278</w:t>
            </w:r>
            <w:r w:rsidR="008E29B8" w:rsidRPr="007468DD">
              <w:rPr>
                <w:szCs w:val="19"/>
              </w:rPr>
              <w:t>,9</w:t>
            </w:r>
          </w:p>
        </w:tc>
      </w:tr>
      <w:tr w:rsidR="00E73CA7" w:rsidRPr="00BB0000" w14:paraId="1E58DDBB" w14:textId="77777777" w:rsidTr="00E633F2">
        <w:trPr>
          <w:trHeight w:val="20"/>
        </w:trPr>
        <w:tc>
          <w:tcPr>
            <w:tcW w:w="1245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5B6F5FB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lastRenderedPageBreak/>
              <w:t>jednostki uczestnictwa funduszy inwestycyjnych</w:t>
            </w:r>
          </w:p>
        </w:tc>
        <w:tc>
          <w:tcPr>
            <w:tcW w:w="711" w:type="pct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70770AD" w14:textId="390CF090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089</w:t>
            </w:r>
            <w:r w:rsidR="00B3708F" w:rsidRPr="007468DD">
              <w:rPr>
                <w:szCs w:val="19"/>
              </w:rPr>
              <w:t>,5</w:t>
            </w:r>
          </w:p>
        </w:tc>
        <w:tc>
          <w:tcPr>
            <w:tcW w:w="714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7A9C87" w14:textId="276919A5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36</w:t>
            </w:r>
            <w:r w:rsidR="00B3708F" w:rsidRPr="007468DD">
              <w:rPr>
                <w:szCs w:val="19"/>
              </w:rPr>
              <w:t>8,0</w:t>
            </w:r>
          </w:p>
        </w:tc>
        <w:tc>
          <w:tcPr>
            <w:tcW w:w="685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1D3AE4D" w14:textId="45055598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418</w:t>
            </w:r>
            <w:r w:rsidR="00B3708F" w:rsidRPr="007468DD">
              <w:rPr>
                <w:szCs w:val="19"/>
              </w:rPr>
              <w:t>,8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0D28FD9" w14:textId="3C4F992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264</w:t>
            </w:r>
            <w:r w:rsidR="00B3708F" w:rsidRPr="007468DD">
              <w:rPr>
                <w:szCs w:val="19"/>
              </w:rPr>
              <w:t>,1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E5436F" w14:textId="4E520E35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38</w:t>
            </w:r>
            <w:r w:rsidR="00B3708F" w:rsidRPr="007468DD">
              <w:rPr>
                <w:szCs w:val="19"/>
              </w:rPr>
              <w:t>,6</w:t>
            </w:r>
          </w:p>
        </w:tc>
      </w:tr>
      <w:tr w:rsidR="00E73CA7" w:rsidRPr="00BB0000" w14:paraId="6705B402" w14:textId="77777777" w:rsidTr="00E633F2">
        <w:trPr>
          <w:trHeight w:val="20"/>
        </w:trPr>
        <w:tc>
          <w:tcPr>
            <w:tcW w:w="1245" w:type="pct"/>
            <w:tcBorders>
              <w:top w:val="single" w:sz="4" w:space="0" w:color="212492"/>
            </w:tcBorders>
            <w:vAlign w:val="center"/>
          </w:tcPr>
          <w:p w14:paraId="523F11B2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pozostałe udziałowe instrumenty kapitałowe</w:t>
            </w:r>
          </w:p>
        </w:tc>
        <w:tc>
          <w:tcPr>
            <w:tcW w:w="711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5896AD6F" w14:textId="6560E8BB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14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485</w:t>
            </w:r>
            <w:r w:rsidR="00B3708F" w:rsidRPr="007468DD">
              <w:rPr>
                <w:szCs w:val="19"/>
              </w:rPr>
              <w:t>,3</w:t>
            </w:r>
          </w:p>
        </w:tc>
        <w:tc>
          <w:tcPr>
            <w:tcW w:w="714" w:type="pct"/>
            <w:tcBorders>
              <w:top w:val="single" w:sz="4" w:space="0" w:color="212492"/>
              <w:right w:val="nil"/>
            </w:tcBorders>
            <w:vAlign w:val="center"/>
          </w:tcPr>
          <w:p w14:paraId="27885803" w14:textId="5DF56031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226</w:t>
            </w:r>
            <w:r w:rsidR="00B3708F" w:rsidRPr="007468DD">
              <w:rPr>
                <w:szCs w:val="19"/>
              </w:rPr>
              <w:t>,6</w:t>
            </w:r>
          </w:p>
        </w:tc>
        <w:tc>
          <w:tcPr>
            <w:tcW w:w="685" w:type="pct"/>
            <w:tcBorders>
              <w:top w:val="single" w:sz="4" w:space="0" w:color="212492"/>
              <w:right w:val="nil"/>
            </w:tcBorders>
            <w:vAlign w:val="center"/>
          </w:tcPr>
          <w:p w14:paraId="34A53904" w14:textId="6D2F1817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8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</w:t>
            </w:r>
            <w:r w:rsidR="00B3708F" w:rsidRPr="007468DD">
              <w:rPr>
                <w:szCs w:val="19"/>
              </w:rPr>
              <w:t>70,0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418924B2" w14:textId="766A04E7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184</w:t>
            </w:r>
            <w:r w:rsidR="00B3708F" w:rsidRPr="007468DD">
              <w:rPr>
                <w:szCs w:val="19"/>
              </w:rPr>
              <w:t>,5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45519D20" w14:textId="3A88991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4</w:t>
            </w:r>
            <w:r w:rsidR="00B3708F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204</w:t>
            </w:r>
            <w:r w:rsidR="00B3708F" w:rsidRPr="007468DD">
              <w:rPr>
                <w:szCs w:val="19"/>
              </w:rPr>
              <w:t>,2</w:t>
            </w:r>
          </w:p>
        </w:tc>
      </w:tr>
      <w:tr w:rsidR="00E73CA7" w:rsidRPr="00BB0000" w14:paraId="0B46327B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60D79355" w14:textId="0373A48A" w:rsidR="00E73CA7" w:rsidRPr="00BB0000" w:rsidRDefault="001872C8" w:rsidP="00E73CA7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I</w:t>
            </w:r>
            <w:r w:rsidR="00E73CA7" w:rsidRPr="00BB0000">
              <w:rPr>
                <w:rFonts w:eastAsia="Fira Sans Light" w:cs="Times New Roman"/>
                <w:szCs w:val="19"/>
              </w:rPr>
              <w:t>nstrumenty dłużne</w:t>
            </w:r>
          </w:p>
        </w:tc>
        <w:tc>
          <w:tcPr>
            <w:tcW w:w="711" w:type="pct"/>
            <w:vAlign w:val="center"/>
          </w:tcPr>
          <w:p w14:paraId="493BFF37" w14:textId="699773E6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655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813</w:t>
            </w:r>
            <w:r w:rsidR="00040443" w:rsidRPr="007468DD">
              <w:rPr>
                <w:szCs w:val="19"/>
              </w:rPr>
              <w:t>,8</w:t>
            </w:r>
          </w:p>
        </w:tc>
        <w:tc>
          <w:tcPr>
            <w:tcW w:w="714" w:type="pct"/>
            <w:vAlign w:val="center"/>
          </w:tcPr>
          <w:p w14:paraId="1DBACAEE" w14:textId="237BC27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53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624</w:t>
            </w:r>
            <w:r w:rsidR="00040443" w:rsidRPr="007468DD">
              <w:rPr>
                <w:szCs w:val="19"/>
              </w:rPr>
              <w:t>,4</w:t>
            </w:r>
          </w:p>
        </w:tc>
        <w:tc>
          <w:tcPr>
            <w:tcW w:w="685" w:type="pct"/>
            <w:vAlign w:val="center"/>
          </w:tcPr>
          <w:p w14:paraId="2207E028" w14:textId="2500466D" w:rsidR="00E73CA7" w:rsidRPr="007468DD" w:rsidRDefault="00493C5B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271</w:t>
            </w:r>
            <w:r w:rsidRPr="007468DD">
              <w:rPr>
                <w:szCs w:val="19"/>
              </w:rPr>
              <w:t> </w:t>
            </w:r>
            <w:r>
              <w:rPr>
                <w:szCs w:val="19"/>
              </w:rPr>
              <w:t>904,4</w:t>
            </w:r>
          </w:p>
        </w:tc>
        <w:tc>
          <w:tcPr>
            <w:tcW w:w="823" w:type="pct"/>
            <w:vAlign w:val="center"/>
          </w:tcPr>
          <w:p w14:paraId="232F3440" w14:textId="59F88D0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182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564</w:t>
            </w:r>
            <w:r w:rsidR="00040443" w:rsidRPr="007468DD">
              <w:rPr>
                <w:szCs w:val="19"/>
              </w:rPr>
              <w:t>,0</w:t>
            </w:r>
          </w:p>
        </w:tc>
        <w:tc>
          <w:tcPr>
            <w:tcW w:w="823" w:type="pct"/>
            <w:vAlign w:val="center"/>
          </w:tcPr>
          <w:p w14:paraId="64F44D4B" w14:textId="169A902D" w:rsidR="00E73CA7" w:rsidRPr="007468DD" w:rsidRDefault="00493C5B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147</w:t>
            </w:r>
            <w:r w:rsidRPr="007468DD">
              <w:rPr>
                <w:szCs w:val="19"/>
              </w:rPr>
              <w:t> </w:t>
            </w:r>
            <w:r>
              <w:rPr>
                <w:szCs w:val="19"/>
              </w:rPr>
              <w:t>720,9</w:t>
            </w:r>
          </w:p>
        </w:tc>
      </w:tr>
      <w:tr w:rsidR="00BB0000" w:rsidRPr="00BB0000" w14:paraId="4C426D27" w14:textId="77777777" w:rsidTr="007468DD">
        <w:trPr>
          <w:trHeight w:val="20"/>
        </w:trPr>
        <w:tc>
          <w:tcPr>
            <w:tcW w:w="1245" w:type="pct"/>
            <w:vAlign w:val="center"/>
          </w:tcPr>
          <w:p w14:paraId="29DEC53C" w14:textId="2DD1EC3D" w:rsidR="00BB0000" w:rsidRPr="00BB0000" w:rsidRDefault="00BB0000" w:rsidP="00BB0000">
            <w:pPr>
              <w:spacing w:before="0" w:after="0" w:line="240" w:lineRule="auto"/>
              <w:ind w:left="34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z tego:</w:t>
            </w:r>
          </w:p>
        </w:tc>
        <w:tc>
          <w:tcPr>
            <w:tcW w:w="3755" w:type="pct"/>
            <w:gridSpan w:val="5"/>
            <w:vAlign w:val="center"/>
          </w:tcPr>
          <w:p w14:paraId="6503578B" w14:textId="77777777" w:rsidR="00BB0000" w:rsidRPr="007468DD" w:rsidRDefault="00BB0000" w:rsidP="007468DD">
            <w:pPr>
              <w:spacing w:before="0" w:after="0" w:line="240" w:lineRule="auto"/>
              <w:jc w:val="right"/>
              <w:rPr>
                <w:szCs w:val="19"/>
              </w:rPr>
            </w:pPr>
          </w:p>
        </w:tc>
      </w:tr>
      <w:tr w:rsidR="00E73CA7" w:rsidRPr="00BB0000" w14:paraId="684E28B2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1F0B524E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depozyty i lokaty</w:t>
            </w:r>
          </w:p>
        </w:tc>
        <w:tc>
          <w:tcPr>
            <w:tcW w:w="711" w:type="pct"/>
            <w:vAlign w:val="center"/>
          </w:tcPr>
          <w:p w14:paraId="106147F7" w14:textId="5471790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142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873</w:t>
            </w:r>
            <w:r w:rsidR="00040443" w:rsidRPr="007468DD">
              <w:rPr>
                <w:szCs w:val="19"/>
              </w:rPr>
              <w:t>,5</w:t>
            </w:r>
          </w:p>
        </w:tc>
        <w:tc>
          <w:tcPr>
            <w:tcW w:w="714" w:type="pct"/>
            <w:vAlign w:val="center"/>
          </w:tcPr>
          <w:p w14:paraId="7F128919" w14:textId="1A7BDAF6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17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89</w:t>
            </w:r>
            <w:r w:rsidR="00040443" w:rsidRPr="007468DD">
              <w:rPr>
                <w:szCs w:val="19"/>
              </w:rPr>
              <w:t>8,0</w:t>
            </w:r>
          </w:p>
        </w:tc>
        <w:tc>
          <w:tcPr>
            <w:tcW w:w="685" w:type="pct"/>
            <w:vAlign w:val="center"/>
          </w:tcPr>
          <w:p w14:paraId="05227108" w14:textId="19AC7570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60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226</w:t>
            </w:r>
            <w:r w:rsidR="00040443" w:rsidRPr="007468DD">
              <w:rPr>
                <w:szCs w:val="19"/>
              </w:rPr>
              <w:t>,6</w:t>
            </w:r>
          </w:p>
        </w:tc>
        <w:tc>
          <w:tcPr>
            <w:tcW w:w="823" w:type="pct"/>
            <w:vAlign w:val="center"/>
          </w:tcPr>
          <w:p w14:paraId="1556F795" w14:textId="10163BBA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33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00</w:t>
            </w:r>
            <w:r w:rsidR="00040443" w:rsidRPr="007468DD">
              <w:rPr>
                <w:szCs w:val="19"/>
              </w:rPr>
              <w:t>4,0</w:t>
            </w:r>
          </w:p>
        </w:tc>
        <w:tc>
          <w:tcPr>
            <w:tcW w:w="823" w:type="pct"/>
            <w:vAlign w:val="center"/>
          </w:tcPr>
          <w:p w14:paraId="4464C108" w14:textId="068DA36B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31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744</w:t>
            </w:r>
            <w:r w:rsidR="00040443" w:rsidRPr="007468DD">
              <w:rPr>
                <w:szCs w:val="19"/>
              </w:rPr>
              <w:t>,9</w:t>
            </w:r>
          </w:p>
        </w:tc>
      </w:tr>
      <w:tr w:rsidR="00E73CA7" w:rsidRPr="00BB0000" w14:paraId="62E01626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197C17DF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obligacje</w:t>
            </w:r>
          </w:p>
        </w:tc>
        <w:tc>
          <w:tcPr>
            <w:tcW w:w="711" w:type="pct"/>
            <w:vAlign w:val="center"/>
          </w:tcPr>
          <w:p w14:paraId="48AC8C5F" w14:textId="4C1EBED6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25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513</w:t>
            </w:r>
            <w:r w:rsidR="00040443" w:rsidRPr="007468DD">
              <w:rPr>
                <w:szCs w:val="19"/>
              </w:rPr>
              <w:t>,2</w:t>
            </w:r>
          </w:p>
        </w:tc>
        <w:tc>
          <w:tcPr>
            <w:tcW w:w="714" w:type="pct"/>
            <w:vAlign w:val="center"/>
          </w:tcPr>
          <w:p w14:paraId="1E91E17F" w14:textId="4643C1A1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822</w:t>
            </w:r>
            <w:r w:rsidR="00040443" w:rsidRPr="007468DD">
              <w:rPr>
                <w:szCs w:val="19"/>
              </w:rPr>
              <w:t>,7</w:t>
            </w:r>
          </w:p>
        </w:tc>
        <w:tc>
          <w:tcPr>
            <w:tcW w:w="685" w:type="pct"/>
            <w:vAlign w:val="center"/>
          </w:tcPr>
          <w:p w14:paraId="5D847577" w14:textId="27A8E28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21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107</w:t>
            </w:r>
            <w:r w:rsidR="00040443" w:rsidRPr="007468DD">
              <w:rPr>
                <w:szCs w:val="19"/>
              </w:rPr>
              <w:t>,7</w:t>
            </w:r>
          </w:p>
        </w:tc>
        <w:tc>
          <w:tcPr>
            <w:tcW w:w="823" w:type="pct"/>
            <w:vAlign w:val="center"/>
          </w:tcPr>
          <w:p w14:paraId="3D9B3624" w14:textId="2EFC30E7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085</w:t>
            </w:r>
            <w:r w:rsidR="00040443" w:rsidRPr="007468DD">
              <w:rPr>
                <w:szCs w:val="19"/>
              </w:rPr>
              <w:t>,2</w:t>
            </w:r>
          </w:p>
        </w:tc>
        <w:tc>
          <w:tcPr>
            <w:tcW w:w="823" w:type="pct"/>
            <w:vAlign w:val="center"/>
          </w:tcPr>
          <w:p w14:paraId="0678C9BD" w14:textId="64A48AA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497</w:t>
            </w:r>
            <w:r w:rsidR="00040443" w:rsidRPr="007468DD">
              <w:rPr>
                <w:szCs w:val="19"/>
              </w:rPr>
              <w:t>,6</w:t>
            </w:r>
          </w:p>
        </w:tc>
      </w:tr>
      <w:tr w:rsidR="00E73CA7" w:rsidRPr="00BB0000" w14:paraId="60412FF9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49BE9C60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pożyczki udzielone</w:t>
            </w:r>
          </w:p>
        </w:tc>
        <w:tc>
          <w:tcPr>
            <w:tcW w:w="711" w:type="pct"/>
            <w:vAlign w:val="center"/>
          </w:tcPr>
          <w:p w14:paraId="3081F048" w14:textId="3EC6D44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146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927</w:t>
            </w:r>
            <w:r w:rsidR="00040443" w:rsidRPr="007468DD">
              <w:rPr>
                <w:szCs w:val="19"/>
              </w:rPr>
              <w:t>,5</w:t>
            </w:r>
          </w:p>
        </w:tc>
        <w:tc>
          <w:tcPr>
            <w:tcW w:w="714" w:type="pct"/>
            <w:vAlign w:val="center"/>
          </w:tcPr>
          <w:p w14:paraId="03EBD918" w14:textId="603215DA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4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128</w:t>
            </w:r>
            <w:r w:rsidR="00040443" w:rsidRPr="007468DD">
              <w:rPr>
                <w:szCs w:val="19"/>
              </w:rPr>
              <w:t>,2</w:t>
            </w:r>
          </w:p>
        </w:tc>
        <w:tc>
          <w:tcPr>
            <w:tcW w:w="685" w:type="pct"/>
            <w:vAlign w:val="center"/>
          </w:tcPr>
          <w:p w14:paraId="09F42685" w14:textId="2FE767E7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102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393</w:t>
            </w:r>
            <w:r w:rsidR="00040443" w:rsidRPr="007468DD">
              <w:rPr>
                <w:szCs w:val="19"/>
              </w:rPr>
              <w:t>,9</w:t>
            </w:r>
          </w:p>
        </w:tc>
        <w:tc>
          <w:tcPr>
            <w:tcW w:w="823" w:type="pct"/>
            <w:vAlign w:val="center"/>
          </w:tcPr>
          <w:p w14:paraId="767663A7" w14:textId="6145182F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14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830</w:t>
            </w:r>
            <w:r w:rsidR="00040443" w:rsidRPr="007468DD">
              <w:rPr>
                <w:szCs w:val="19"/>
              </w:rPr>
              <w:t>,6</w:t>
            </w:r>
          </w:p>
        </w:tc>
        <w:tc>
          <w:tcPr>
            <w:tcW w:w="823" w:type="pct"/>
            <w:vAlign w:val="center"/>
          </w:tcPr>
          <w:p w14:paraId="36D9E55F" w14:textId="549C6025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25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574</w:t>
            </w:r>
            <w:r w:rsidR="00040443" w:rsidRPr="007468DD">
              <w:rPr>
                <w:szCs w:val="19"/>
              </w:rPr>
              <w:t>,9</w:t>
            </w:r>
          </w:p>
        </w:tc>
      </w:tr>
      <w:tr w:rsidR="00E73CA7" w:rsidRPr="00BB0000" w14:paraId="003ACD87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3FDA41B8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należności z tytułu dostaw i usług</w:t>
            </w:r>
          </w:p>
        </w:tc>
        <w:tc>
          <w:tcPr>
            <w:tcW w:w="711" w:type="pct"/>
            <w:vAlign w:val="center"/>
          </w:tcPr>
          <w:p w14:paraId="3317F6A7" w14:textId="234F45FF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280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61</w:t>
            </w:r>
            <w:r w:rsidR="00040443" w:rsidRPr="007468DD">
              <w:rPr>
                <w:szCs w:val="19"/>
              </w:rPr>
              <w:t>6,0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395E3118" w14:textId="7EABE543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27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884</w:t>
            </w:r>
            <w:r w:rsidR="00040443" w:rsidRPr="007468DD">
              <w:rPr>
                <w:szCs w:val="19"/>
              </w:rPr>
              <w:t>,9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6D8E4A0C" w14:textId="408A151E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70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482</w:t>
            </w:r>
            <w:r w:rsidR="00040443" w:rsidRPr="007468DD">
              <w:rPr>
                <w:szCs w:val="19"/>
              </w:rPr>
              <w:t>,9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06BB9085" w14:textId="6E20547F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105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39</w:t>
            </w:r>
            <w:r w:rsidR="00040443" w:rsidRPr="007468DD">
              <w:rPr>
                <w:szCs w:val="19"/>
              </w:rPr>
              <w:t>1,0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64A3EFFE" w14:textId="413498E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76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857</w:t>
            </w:r>
            <w:r w:rsidR="00040443" w:rsidRPr="007468DD">
              <w:rPr>
                <w:szCs w:val="19"/>
              </w:rPr>
              <w:t>,2</w:t>
            </w:r>
          </w:p>
        </w:tc>
      </w:tr>
      <w:tr w:rsidR="00E73CA7" w:rsidRPr="00BB0000" w14:paraId="61A818CA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6AEB56E2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 xml:space="preserve">należności </w:t>
            </w:r>
            <w:proofErr w:type="spellStart"/>
            <w:r w:rsidRPr="00BB0000">
              <w:rPr>
                <w:rFonts w:eastAsia="Fira Sans Light" w:cs="Times New Roman"/>
                <w:szCs w:val="19"/>
              </w:rPr>
              <w:t>cash</w:t>
            </w:r>
            <w:proofErr w:type="spellEnd"/>
            <w:r w:rsidRPr="00BB0000">
              <w:rPr>
                <w:rFonts w:eastAsia="Fira Sans Light" w:cs="Times New Roman"/>
                <w:szCs w:val="19"/>
              </w:rPr>
              <w:t xml:space="preserve"> </w:t>
            </w:r>
            <w:proofErr w:type="spellStart"/>
            <w:r w:rsidRPr="00BB0000">
              <w:rPr>
                <w:rFonts w:eastAsia="Fira Sans Light" w:cs="Times New Roman"/>
                <w:szCs w:val="19"/>
              </w:rPr>
              <w:t>pooling</w:t>
            </w:r>
            <w:proofErr w:type="spellEnd"/>
          </w:p>
        </w:tc>
        <w:tc>
          <w:tcPr>
            <w:tcW w:w="711" w:type="pct"/>
            <w:vAlign w:val="center"/>
          </w:tcPr>
          <w:p w14:paraId="617107B3" w14:textId="18C7A9AB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48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026</w:t>
            </w:r>
            <w:r w:rsidR="00040443" w:rsidRPr="007468DD">
              <w:rPr>
                <w:szCs w:val="19"/>
              </w:rPr>
              <w:t>,4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48413FF5" w14:textId="15606C37" w:rsidR="00E73CA7" w:rsidRPr="007468DD" w:rsidRDefault="001E379E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0A3F835B" w14:textId="38B59D18" w:rsidR="00E73CA7" w:rsidRPr="007468DD" w:rsidRDefault="001E379E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419EFC5F" w14:textId="7C544147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26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474</w:t>
            </w:r>
            <w:r w:rsidR="00040443" w:rsidRPr="007468DD">
              <w:rPr>
                <w:szCs w:val="19"/>
              </w:rPr>
              <w:t>,9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0B4498D7" w14:textId="130A932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10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201</w:t>
            </w:r>
            <w:r w:rsidR="00040443" w:rsidRPr="007468DD">
              <w:rPr>
                <w:szCs w:val="19"/>
              </w:rPr>
              <w:t>,9</w:t>
            </w:r>
          </w:p>
        </w:tc>
      </w:tr>
      <w:tr w:rsidR="00E73CA7" w:rsidRPr="00BB0000" w14:paraId="2E6A8E72" w14:textId="77777777" w:rsidTr="00E633F2">
        <w:trPr>
          <w:trHeight w:val="20"/>
        </w:trPr>
        <w:tc>
          <w:tcPr>
            <w:tcW w:w="1245" w:type="pct"/>
            <w:vAlign w:val="center"/>
          </w:tcPr>
          <w:p w14:paraId="08CBEF6D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pozostałe instrumenty dłużne</w:t>
            </w:r>
          </w:p>
        </w:tc>
        <w:tc>
          <w:tcPr>
            <w:tcW w:w="711" w:type="pct"/>
            <w:vAlign w:val="center"/>
          </w:tcPr>
          <w:p w14:paraId="12ACED9C" w14:textId="18AC7F7E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11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857</w:t>
            </w:r>
            <w:r w:rsidR="00040443" w:rsidRPr="007468DD">
              <w:rPr>
                <w:szCs w:val="19"/>
              </w:rPr>
              <w:t>,2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0F243851" w14:textId="1BBC9E7C" w:rsidR="00E73CA7" w:rsidRPr="007468DD" w:rsidRDefault="001E379E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7B912934" w14:textId="1F15F3CC" w:rsidR="00E73CA7" w:rsidRPr="007468DD" w:rsidRDefault="001E379E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0AE6AF6C" w14:textId="66A883DF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778</w:t>
            </w:r>
            <w:r w:rsidR="00040443" w:rsidRPr="007468DD">
              <w:rPr>
                <w:szCs w:val="19"/>
              </w:rPr>
              <w:t>,4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4EE47BB4" w14:textId="1C2EF46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844</w:t>
            </w:r>
            <w:r w:rsidR="00040443" w:rsidRPr="007468DD">
              <w:rPr>
                <w:szCs w:val="19"/>
              </w:rPr>
              <w:t>,5</w:t>
            </w:r>
          </w:p>
        </w:tc>
      </w:tr>
      <w:tr w:rsidR="00E73CA7" w:rsidRPr="00BB0000" w14:paraId="65A47BEA" w14:textId="77777777" w:rsidTr="00E633F2">
        <w:trPr>
          <w:trHeight w:val="20"/>
        </w:trPr>
        <w:tc>
          <w:tcPr>
            <w:tcW w:w="1245" w:type="pct"/>
            <w:vAlign w:val="bottom"/>
          </w:tcPr>
          <w:p w14:paraId="48E76E06" w14:textId="5F3094D2" w:rsidR="00E73CA7" w:rsidRPr="00BB0000" w:rsidRDefault="001872C8" w:rsidP="00E73CA7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I</w:t>
            </w:r>
            <w:r w:rsidR="00E73CA7" w:rsidRPr="00BB0000">
              <w:rPr>
                <w:rFonts w:eastAsia="Fira Sans Light" w:cs="Calibri"/>
                <w:szCs w:val="19"/>
              </w:rPr>
              <w:t>nstrumenty pochodne, w tym:</w:t>
            </w:r>
          </w:p>
        </w:tc>
        <w:tc>
          <w:tcPr>
            <w:tcW w:w="711" w:type="pct"/>
            <w:vAlign w:val="center"/>
          </w:tcPr>
          <w:p w14:paraId="7174C860" w14:textId="57D432A1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17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107</w:t>
            </w:r>
            <w:r w:rsidR="00040443" w:rsidRPr="007468DD">
              <w:rPr>
                <w:szCs w:val="19"/>
              </w:rPr>
              <w:t>,6</w:t>
            </w:r>
          </w:p>
        </w:tc>
        <w:tc>
          <w:tcPr>
            <w:tcW w:w="714" w:type="pct"/>
            <w:vAlign w:val="center"/>
          </w:tcPr>
          <w:p w14:paraId="2837EFCE" w14:textId="4A2EAE38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829</w:t>
            </w:r>
            <w:r w:rsidR="00040443" w:rsidRPr="007468DD">
              <w:rPr>
                <w:szCs w:val="19"/>
              </w:rPr>
              <w:t>,3</w:t>
            </w:r>
          </w:p>
        </w:tc>
        <w:tc>
          <w:tcPr>
            <w:tcW w:w="685" w:type="pct"/>
            <w:vAlign w:val="center"/>
          </w:tcPr>
          <w:p w14:paraId="04F77F17" w14:textId="4299DA40" w:rsidR="00E73CA7" w:rsidRPr="007468DD" w:rsidRDefault="00493C5B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4</w:t>
            </w:r>
            <w:r w:rsidRPr="007468DD">
              <w:rPr>
                <w:szCs w:val="19"/>
              </w:rPr>
              <w:t> </w:t>
            </w:r>
            <w:r>
              <w:rPr>
                <w:szCs w:val="19"/>
              </w:rPr>
              <w:t>406,0</w:t>
            </w:r>
          </w:p>
        </w:tc>
        <w:tc>
          <w:tcPr>
            <w:tcW w:w="823" w:type="pct"/>
            <w:vAlign w:val="center"/>
          </w:tcPr>
          <w:p w14:paraId="25D35340" w14:textId="17285A0A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8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125</w:t>
            </w:r>
            <w:r w:rsidR="00040443" w:rsidRPr="007468DD">
              <w:rPr>
                <w:szCs w:val="19"/>
              </w:rPr>
              <w:t>,5</w:t>
            </w:r>
          </w:p>
        </w:tc>
        <w:tc>
          <w:tcPr>
            <w:tcW w:w="823" w:type="pct"/>
            <w:vAlign w:val="center"/>
          </w:tcPr>
          <w:p w14:paraId="372D7313" w14:textId="2356A32B" w:rsidR="00E73CA7" w:rsidRPr="007468DD" w:rsidRDefault="00493C5B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3</w:t>
            </w:r>
            <w:r w:rsidRPr="007468DD">
              <w:rPr>
                <w:szCs w:val="19"/>
              </w:rPr>
              <w:t> </w:t>
            </w:r>
            <w:r>
              <w:rPr>
                <w:szCs w:val="19"/>
              </w:rPr>
              <w:t>746,9</w:t>
            </w:r>
          </w:p>
        </w:tc>
      </w:tr>
      <w:tr w:rsidR="00E73CA7" w:rsidRPr="00BB0000" w14:paraId="2997C527" w14:textId="77777777" w:rsidTr="00E633F2">
        <w:trPr>
          <w:trHeight w:val="20"/>
        </w:trPr>
        <w:tc>
          <w:tcPr>
            <w:tcW w:w="1245" w:type="pct"/>
            <w:tcBorders>
              <w:bottom w:val="single" w:sz="12" w:space="0" w:color="212492"/>
            </w:tcBorders>
            <w:vAlign w:val="center"/>
          </w:tcPr>
          <w:p w14:paraId="72329BF1" w14:textId="77777777" w:rsidR="00E73CA7" w:rsidRPr="00BB0000" w:rsidRDefault="00E73CA7" w:rsidP="00E73CA7">
            <w:pPr>
              <w:spacing w:before="0" w:after="0" w:line="240" w:lineRule="auto"/>
              <w:ind w:left="170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instrumenty wbudowane i zabezpieczające</w:t>
            </w:r>
          </w:p>
        </w:tc>
        <w:tc>
          <w:tcPr>
            <w:tcW w:w="711" w:type="pct"/>
            <w:tcBorders>
              <w:bottom w:val="single" w:sz="12" w:space="0" w:color="212492"/>
            </w:tcBorders>
            <w:vAlign w:val="center"/>
          </w:tcPr>
          <w:p w14:paraId="1A9567E3" w14:textId="3281328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12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721</w:t>
            </w:r>
            <w:r w:rsidR="00040443" w:rsidRPr="007468DD">
              <w:rPr>
                <w:szCs w:val="19"/>
              </w:rPr>
              <w:t>,4</w:t>
            </w:r>
          </w:p>
        </w:tc>
        <w:tc>
          <w:tcPr>
            <w:tcW w:w="714" w:type="pct"/>
            <w:tcBorders>
              <w:bottom w:val="single" w:sz="12" w:space="0" w:color="212492"/>
            </w:tcBorders>
            <w:vAlign w:val="center"/>
          </w:tcPr>
          <w:p w14:paraId="70BF2257" w14:textId="04F932C2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551</w:t>
            </w:r>
            <w:r w:rsidR="00040443" w:rsidRPr="007468DD">
              <w:rPr>
                <w:szCs w:val="19"/>
              </w:rPr>
              <w:t>,2</w:t>
            </w:r>
          </w:p>
        </w:tc>
        <w:tc>
          <w:tcPr>
            <w:tcW w:w="685" w:type="pct"/>
            <w:tcBorders>
              <w:bottom w:val="single" w:sz="12" w:space="0" w:color="212492"/>
            </w:tcBorders>
            <w:vAlign w:val="center"/>
          </w:tcPr>
          <w:p w14:paraId="6F954A41" w14:textId="713D0109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498</w:t>
            </w:r>
            <w:r w:rsidR="00040443" w:rsidRPr="007468DD">
              <w:rPr>
                <w:szCs w:val="19"/>
              </w:rPr>
              <w:t>,6</w:t>
            </w:r>
          </w:p>
        </w:tc>
        <w:tc>
          <w:tcPr>
            <w:tcW w:w="823" w:type="pct"/>
            <w:tcBorders>
              <w:bottom w:val="single" w:sz="12" w:space="0" w:color="212492"/>
            </w:tcBorders>
            <w:vAlign w:val="center"/>
          </w:tcPr>
          <w:p w14:paraId="4D4E9A1F" w14:textId="7AC4F0AC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7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270</w:t>
            </w:r>
            <w:r w:rsidR="00040443" w:rsidRPr="007468DD">
              <w:rPr>
                <w:szCs w:val="19"/>
              </w:rPr>
              <w:t>,8</w:t>
            </w:r>
          </w:p>
        </w:tc>
        <w:tc>
          <w:tcPr>
            <w:tcW w:w="823" w:type="pct"/>
            <w:tcBorders>
              <w:bottom w:val="single" w:sz="12" w:space="0" w:color="212492"/>
            </w:tcBorders>
            <w:vAlign w:val="center"/>
          </w:tcPr>
          <w:p w14:paraId="5B7B7080" w14:textId="2992815D" w:rsidR="00E73CA7" w:rsidRPr="007468DD" w:rsidRDefault="00E73CA7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szCs w:val="19"/>
              </w:rPr>
              <w:t>2</w:t>
            </w:r>
            <w:r w:rsidR="00040443" w:rsidRPr="007468DD">
              <w:rPr>
                <w:szCs w:val="19"/>
              </w:rPr>
              <w:t> </w:t>
            </w:r>
            <w:r w:rsidRPr="007468DD">
              <w:rPr>
                <w:szCs w:val="19"/>
              </w:rPr>
              <w:t>400</w:t>
            </w:r>
            <w:r w:rsidR="00040443" w:rsidRPr="007468DD">
              <w:rPr>
                <w:szCs w:val="19"/>
              </w:rPr>
              <w:t>,9</w:t>
            </w:r>
          </w:p>
        </w:tc>
      </w:tr>
      <w:tr w:rsidR="00C442B2" w:rsidRPr="00BB0000" w14:paraId="53408743" w14:textId="77777777" w:rsidTr="00E633F2">
        <w:trPr>
          <w:trHeight w:val="20"/>
        </w:trPr>
        <w:tc>
          <w:tcPr>
            <w:tcW w:w="1245" w:type="pct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3E733D2A" w14:textId="0AA31E90" w:rsidR="00C442B2" w:rsidRPr="00BB0000" w:rsidRDefault="00C442B2" w:rsidP="00C442B2">
            <w:pPr>
              <w:spacing w:before="0" w:after="0" w:line="240" w:lineRule="auto"/>
              <w:rPr>
                <w:rFonts w:eastAsia="Fira Sans Light" w:cs="Times New Roman"/>
                <w:b/>
                <w:szCs w:val="19"/>
              </w:rPr>
            </w:pPr>
            <w:r w:rsidRPr="00BB0000">
              <w:rPr>
                <w:rFonts w:eastAsia="Fira Sans Light" w:cs="Times New Roman"/>
                <w:b/>
                <w:szCs w:val="19"/>
              </w:rPr>
              <w:t>Instrumenty finansowe – pasywa</w:t>
            </w:r>
          </w:p>
        </w:tc>
        <w:tc>
          <w:tcPr>
            <w:tcW w:w="711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5FE3F7C" w14:textId="704D2A9A" w:rsidR="00C442B2" w:rsidRPr="007468DD" w:rsidRDefault="00C442B2" w:rsidP="007468DD">
            <w:pPr>
              <w:spacing w:before="0" w:after="0" w:line="240" w:lineRule="auto"/>
              <w:jc w:val="right"/>
              <w:rPr>
                <w:rFonts w:eastAsia="Fira Sans Light" w:cs="Times New Roman"/>
                <w:b/>
                <w:szCs w:val="19"/>
              </w:rPr>
            </w:pPr>
            <w:r w:rsidRPr="007468DD">
              <w:rPr>
                <w:rFonts w:cs="Calibri"/>
                <w:b/>
                <w:bCs/>
                <w:color w:val="000000"/>
                <w:szCs w:val="19"/>
              </w:rPr>
              <w:t>945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/>
                <w:bCs/>
                <w:color w:val="000000"/>
                <w:szCs w:val="19"/>
              </w:rPr>
              <w:t>907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,9</w:t>
            </w:r>
          </w:p>
        </w:tc>
        <w:tc>
          <w:tcPr>
            <w:tcW w:w="71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5D65FF8" w14:textId="2F33FD24" w:rsidR="00C442B2" w:rsidRPr="007468DD" w:rsidRDefault="00C442B2" w:rsidP="007468DD">
            <w:pPr>
              <w:spacing w:before="0" w:after="0" w:line="240" w:lineRule="auto"/>
              <w:jc w:val="right"/>
              <w:rPr>
                <w:rFonts w:eastAsia="Fira Sans Light" w:cs="Times New Roman"/>
                <w:b/>
                <w:szCs w:val="19"/>
              </w:rPr>
            </w:pPr>
            <w:r w:rsidRPr="007468DD">
              <w:rPr>
                <w:rFonts w:cs="Calibri"/>
                <w:b/>
                <w:bCs/>
                <w:color w:val="000000"/>
                <w:szCs w:val="19"/>
              </w:rPr>
              <w:t>69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/>
                <w:bCs/>
                <w:color w:val="000000"/>
                <w:szCs w:val="19"/>
              </w:rPr>
              <w:t>164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,6</w:t>
            </w:r>
          </w:p>
        </w:tc>
        <w:tc>
          <w:tcPr>
            <w:tcW w:w="685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C2CAAD2" w14:textId="16383748" w:rsidR="00C442B2" w:rsidRPr="007468DD" w:rsidRDefault="00C442B2" w:rsidP="007468DD">
            <w:pPr>
              <w:spacing w:before="0" w:after="0" w:line="240" w:lineRule="auto"/>
              <w:jc w:val="right"/>
              <w:rPr>
                <w:rFonts w:eastAsia="Fira Sans Light" w:cs="Times New Roman"/>
                <w:b/>
                <w:szCs w:val="19"/>
              </w:rPr>
            </w:pPr>
            <w:r w:rsidRPr="007468DD">
              <w:rPr>
                <w:rFonts w:cs="Calibri"/>
                <w:b/>
                <w:bCs/>
                <w:color w:val="000000"/>
                <w:szCs w:val="19"/>
              </w:rPr>
              <w:t>322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/>
                <w:bCs/>
                <w:color w:val="000000"/>
                <w:szCs w:val="19"/>
              </w:rPr>
              <w:t>307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,9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08A2328D" w14:textId="6E992F76" w:rsidR="00C442B2" w:rsidRPr="007468DD" w:rsidRDefault="00C442B2" w:rsidP="007468DD">
            <w:pPr>
              <w:spacing w:before="0" w:after="0" w:line="240" w:lineRule="auto"/>
              <w:jc w:val="right"/>
              <w:rPr>
                <w:rFonts w:eastAsia="Fira Sans Light" w:cs="Times New Roman"/>
                <w:b/>
                <w:szCs w:val="19"/>
              </w:rPr>
            </w:pPr>
            <w:r w:rsidRPr="007468DD">
              <w:rPr>
                <w:rFonts w:cs="Calibri"/>
                <w:b/>
                <w:bCs/>
                <w:color w:val="000000"/>
                <w:szCs w:val="19"/>
              </w:rPr>
              <w:t>237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/>
                <w:bCs/>
                <w:color w:val="000000"/>
                <w:szCs w:val="19"/>
              </w:rPr>
              <w:t>043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,6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17A133A" w14:textId="319300E0" w:rsidR="00C442B2" w:rsidRPr="007468DD" w:rsidRDefault="00C442B2" w:rsidP="007468DD">
            <w:pPr>
              <w:spacing w:before="0" w:after="0" w:line="240" w:lineRule="auto"/>
              <w:jc w:val="right"/>
              <w:rPr>
                <w:rFonts w:eastAsia="Fira Sans Light" w:cs="Times New Roman"/>
                <w:b/>
                <w:szCs w:val="19"/>
              </w:rPr>
            </w:pPr>
            <w:r w:rsidRPr="007468DD">
              <w:rPr>
                <w:rFonts w:cs="Calibri"/>
                <w:b/>
                <w:bCs/>
                <w:color w:val="000000"/>
                <w:szCs w:val="19"/>
              </w:rPr>
              <w:t>317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/>
                <w:bCs/>
                <w:color w:val="000000"/>
                <w:szCs w:val="19"/>
              </w:rPr>
              <w:t>391</w:t>
            </w:r>
            <w:r w:rsidR="00F96494" w:rsidRPr="007468DD">
              <w:rPr>
                <w:rFonts w:cs="Calibri"/>
                <w:b/>
                <w:bCs/>
                <w:color w:val="000000"/>
                <w:szCs w:val="19"/>
              </w:rPr>
              <w:t>,9</w:t>
            </w:r>
          </w:p>
        </w:tc>
      </w:tr>
      <w:tr w:rsidR="00C442B2" w:rsidRPr="00BB0000" w14:paraId="74987E36" w14:textId="77777777" w:rsidTr="00E633F2">
        <w:trPr>
          <w:trHeight w:val="20"/>
        </w:trPr>
        <w:tc>
          <w:tcPr>
            <w:tcW w:w="1245" w:type="pct"/>
            <w:tcBorders>
              <w:top w:val="single" w:sz="4" w:space="0" w:color="212492"/>
            </w:tcBorders>
            <w:vAlign w:val="bottom"/>
          </w:tcPr>
          <w:p w14:paraId="6D920475" w14:textId="1868D781" w:rsidR="00C442B2" w:rsidRPr="00BB0000" w:rsidRDefault="001872C8" w:rsidP="00C442B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C442B2" w:rsidRPr="00BB0000">
              <w:rPr>
                <w:rFonts w:eastAsia="Fira Sans Light" w:cs="Calibri"/>
                <w:szCs w:val="19"/>
              </w:rPr>
              <w:t>redyty i pożyczki do spłaty</w:t>
            </w:r>
          </w:p>
        </w:tc>
        <w:tc>
          <w:tcPr>
            <w:tcW w:w="711" w:type="pct"/>
            <w:tcBorders>
              <w:top w:val="single" w:sz="4" w:space="0" w:color="212492"/>
            </w:tcBorders>
            <w:vAlign w:val="center"/>
          </w:tcPr>
          <w:p w14:paraId="15C1E4A8" w14:textId="7BA651BE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384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741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,0</w:t>
            </w:r>
          </w:p>
        </w:tc>
        <w:tc>
          <w:tcPr>
            <w:tcW w:w="714" w:type="pct"/>
            <w:tcBorders>
              <w:top w:val="single" w:sz="4" w:space="0" w:color="212492"/>
            </w:tcBorders>
            <w:vAlign w:val="center"/>
          </w:tcPr>
          <w:p w14:paraId="4A6DC717" w14:textId="5D066A8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736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685" w:type="pct"/>
            <w:tcBorders>
              <w:top w:val="single" w:sz="4" w:space="0" w:color="212492"/>
            </w:tcBorders>
            <w:vAlign w:val="center"/>
          </w:tcPr>
          <w:p w14:paraId="707B90D3" w14:textId="1B09151B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113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472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tcBorders>
              <w:top w:val="single" w:sz="4" w:space="0" w:color="212492"/>
            </w:tcBorders>
            <w:vAlign w:val="center"/>
          </w:tcPr>
          <w:p w14:paraId="4F6FD5D4" w14:textId="5B9E8FEF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94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634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823" w:type="pct"/>
            <w:tcBorders>
              <w:top w:val="single" w:sz="4" w:space="0" w:color="212492"/>
            </w:tcBorders>
            <w:vAlign w:val="center"/>
          </w:tcPr>
          <w:p w14:paraId="106B0481" w14:textId="0971399E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151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898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,0</w:t>
            </w:r>
          </w:p>
        </w:tc>
      </w:tr>
      <w:tr w:rsidR="00C442B2" w:rsidRPr="00BB0000" w14:paraId="303F5F9A" w14:textId="77777777" w:rsidTr="00E633F2">
        <w:trPr>
          <w:trHeight w:val="20"/>
        </w:trPr>
        <w:tc>
          <w:tcPr>
            <w:tcW w:w="1245" w:type="pct"/>
            <w:vAlign w:val="bottom"/>
          </w:tcPr>
          <w:p w14:paraId="192EC40C" w14:textId="30CA9459" w:rsidR="00C442B2" w:rsidRPr="00BB0000" w:rsidRDefault="001872C8" w:rsidP="00C442B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L</w:t>
            </w:r>
            <w:r w:rsidR="00C442B2" w:rsidRPr="00BB0000">
              <w:rPr>
                <w:rFonts w:eastAsia="Fira Sans Light" w:cs="Calibri"/>
                <w:szCs w:val="19"/>
              </w:rPr>
              <w:t>easing finansowy</w:t>
            </w:r>
          </w:p>
        </w:tc>
        <w:tc>
          <w:tcPr>
            <w:tcW w:w="711" w:type="pct"/>
            <w:vAlign w:val="center"/>
          </w:tcPr>
          <w:p w14:paraId="3223BF86" w14:textId="6CD2BFC0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44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478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714" w:type="pct"/>
            <w:vAlign w:val="center"/>
          </w:tcPr>
          <w:p w14:paraId="2077563E" w14:textId="7BD5D78D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28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4,0</w:t>
            </w:r>
          </w:p>
        </w:tc>
        <w:tc>
          <w:tcPr>
            <w:tcW w:w="685" w:type="pct"/>
            <w:vAlign w:val="center"/>
          </w:tcPr>
          <w:p w14:paraId="1D3444D8" w14:textId="5B8BE932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722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823" w:type="pct"/>
            <w:vAlign w:val="center"/>
          </w:tcPr>
          <w:p w14:paraId="7941CE69" w14:textId="0C320BBD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7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044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,7</w:t>
            </w:r>
          </w:p>
        </w:tc>
        <w:tc>
          <w:tcPr>
            <w:tcW w:w="823" w:type="pct"/>
            <w:vAlign w:val="center"/>
          </w:tcPr>
          <w:p w14:paraId="6C9877F8" w14:textId="230093D2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427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,8</w:t>
            </w:r>
          </w:p>
        </w:tc>
      </w:tr>
      <w:tr w:rsidR="00C442B2" w:rsidRPr="00BB0000" w14:paraId="63D3661A" w14:textId="77777777" w:rsidTr="00E633F2">
        <w:trPr>
          <w:trHeight w:val="20"/>
        </w:trPr>
        <w:tc>
          <w:tcPr>
            <w:tcW w:w="1245" w:type="pct"/>
            <w:vAlign w:val="bottom"/>
          </w:tcPr>
          <w:p w14:paraId="0A437030" w14:textId="1F59E10F" w:rsidR="00C442B2" w:rsidRPr="00BB0000" w:rsidRDefault="001872C8" w:rsidP="00C442B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Z</w:t>
            </w:r>
            <w:r w:rsidR="00C442B2" w:rsidRPr="00BB0000">
              <w:rPr>
                <w:rFonts w:eastAsia="Fira Sans Light" w:cs="Calibri"/>
                <w:szCs w:val="19"/>
              </w:rPr>
              <w:t>obowiązania z tytułu emisji własnych obligacji</w:t>
            </w:r>
          </w:p>
        </w:tc>
        <w:tc>
          <w:tcPr>
            <w:tcW w:w="711" w:type="pct"/>
            <w:vAlign w:val="center"/>
          </w:tcPr>
          <w:p w14:paraId="5833A1BA" w14:textId="7718E8D0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108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142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4FD03090" w14:textId="112DA81D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5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115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00E3F5E8" w14:textId="0DE4B7AA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87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40,0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445D86D8" w14:textId="2EF957E6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6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23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4,0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530AE3D6" w14:textId="17BC73E2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9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352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,5</w:t>
            </w:r>
          </w:p>
        </w:tc>
      </w:tr>
      <w:tr w:rsidR="00C442B2" w:rsidRPr="00BB0000" w14:paraId="38660DF6" w14:textId="77777777" w:rsidTr="00E633F2">
        <w:trPr>
          <w:trHeight w:val="20"/>
        </w:trPr>
        <w:tc>
          <w:tcPr>
            <w:tcW w:w="1245" w:type="pct"/>
            <w:vAlign w:val="bottom"/>
          </w:tcPr>
          <w:p w14:paraId="4000D9B9" w14:textId="7FCE620A" w:rsidR="00C442B2" w:rsidRPr="00BB0000" w:rsidRDefault="001872C8" w:rsidP="00C442B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Z</w:t>
            </w:r>
            <w:r w:rsidR="00C442B2" w:rsidRPr="00BB0000">
              <w:rPr>
                <w:rFonts w:eastAsia="Fira Sans Light" w:cs="Calibri"/>
                <w:szCs w:val="19"/>
              </w:rPr>
              <w:t>obowiązania z tytułu instrumentów pochodnych, w tym:</w:t>
            </w:r>
          </w:p>
        </w:tc>
        <w:tc>
          <w:tcPr>
            <w:tcW w:w="711" w:type="pct"/>
            <w:vAlign w:val="center"/>
          </w:tcPr>
          <w:p w14:paraId="7BAD65B8" w14:textId="39BBFB6A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258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714" w:type="pct"/>
            <w:vAlign w:val="center"/>
          </w:tcPr>
          <w:p w14:paraId="46244A0A" w14:textId="2273001B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336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685" w:type="pct"/>
            <w:vAlign w:val="center"/>
          </w:tcPr>
          <w:p w14:paraId="793947C2" w14:textId="59936CC9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551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823" w:type="pct"/>
            <w:vAlign w:val="center"/>
          </w:tcPr>
          <w:p w14:paraId="2582CD6C" w14:textId="673E251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6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758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vAlign w:val="center"/>
          </w:tcPr>
          <w:p w14:paraId="260F6A19" w14:textId="38878ECA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611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</w:tr>
      <w:tr w:rsidR="00C442B2" w:rsidRPr="00BB0000" w14:paraId="05075B12" w14:textId="77777777" w:rsidTr="00E633F2">
        <w:trPr>
          <w:trHeight w:val="20"/>
        </w:trPr>
        <w:tc>
          <w:tcPr>
            <w:tcW w:w="1245" w:type="pct"/>
            <w:vAlign w:val="bottom"/>
          </w:tcPr>
          <w:p w14:paraId="3E3257C8" w14:textId="77777777" w:rsidR="00C442B2" w:rsidRPr="00BB0000" w:rsidRDefault="00C442B2" w:rsidP="00BB0000">
            <w:pPr>
              <w:spacing w:before="0" w:after="0" w:line="240" w:lineRule="auto"/>
              <w:ind w:left="170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instrumenty wbudowane i zabezpieczające</w:t>
            </w:r>
          </w:p>
        </w:tc>
        <w:tc>
          <w:tcPr>
            <w:tcW w:w="711" w:type="pct"/>
            <w:vAlign w:val="center"/>
          </w:tcPr>
          <w:p w14:paraId="2C5E5D16" w14:textId="1B5508B8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751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,6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3B25EF22" w14:textId="21DADCA3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218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,6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3953B289" w14:textId="0988F479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175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,5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5AF4FAAC" w14:textId="6A206E1A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6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378</w:t>
            </w:r>
            <w:r w:rsidR="00F96494" w:rsidRPr="007468DD">
              <w:rPr>
                <w:rFonts w:cs="Calibri"/>
                <w:bCs/>
                <w:color w:val="000000"/>
                <w:szCs w:val="19"/>
              </w:rPr>
              <w:t>,5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03418E93" w14:textId="568A59A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97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9,0</w:t>
            </w:r>
          </w:p>
        </w:tc>
      </w:tr>
      <w:tr w:rsidR="00C442B2" w:rsidRPr="00BB0000" w14:paraId="35E9DBC6" w14:textId="77777777" w:rsidTr="00E633F2">
        <w:trPr>
          <w:trHeight w:val="20"/>
        </w:trPr>
        <w:tc>
          <w:tcPr>
            <w:tcW w:w="1245" w:type="pct"/>
          </w:tcPr>
          <w:p w14:paraId="063D87D4" w14:textId="6E001DD8" w:rsidR="00C442B2" w:rsidRPr="00BB0000" w:rsidRDefault="001872C8" w:rsidP="00C442B2">
            <w:pPr>
              <w:spacing w:before="0" w:after="0" w:line="240" w:lineRule="auto"/>
              <w:rPr>
                <w:szCs w:val="19"/>
              </w:rPr>
            </w:pPr>
            <w:r>
              <w:rPr>
                <w:szCs w:val="19"/>
              </w:rPr>
              <w:t>Z</w:t>
            </w:r>
            <w:r w:rsidR="00C442B2" w:rsidRPr="00BB0000">
              <w:rPr>
                <w:szCs w:val="19"/>
              </w:rPr>
              <w:t>obowiązania z tytułu dostaw i usług</w:t>
            </w:r>
          </w:p>
        </w:tc>
        <w:tc>
          <w:tcPr>
            <w:tcW w:w="711" w:type="pct"/>
            <w:vAlign w:val="center"/>
          </w:tcPr>
          <w:p w14:paraId="019082A9" w14:textId="73B02522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330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427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1FF14FE3" w14:textId="442B844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33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979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079276C6" w14:textId="13E38B0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75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183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18E34C52" w14:textId="6695228E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108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226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62F396B7" w14:textId="76EAE740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113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038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,7</w:t>
            </w:r>
          </w:p>
        </w:tc>
      </w:tr>
      <w:tr w:rsidR="00C442B2" w:rsidRPr="00BB0000" w14:paraId="7ADD030F" w14:textId="77777777" w:rsidTr="00E633F2">
        <w:trPr>
          <w:trHeight w:val="20"/>
        </w:trPr>
        <w:tc>
          <w:tcPr>
            <w:tcW w:w="1245" w:type="pct"/>
          </w:tcPr>
          <w:p w14:paraId="67A106FB" w14:textId="4D51E071" w:rsidR="00C442B2" w:rsidRPr="00BB0000" w:rsidRDefault="001872C8" w:rsidP="00C442B2">
            <w:pPr>
              <w:spacing w:before="0" w:after="0" w:line="240" w:lineRule="auto"/>
              <w:rPr>
                <w:szCs w:val="19"/>
              </w:rPr>
            </w:pPr>
            <w:r>
              <w:rPr>
                <w:szCs w:val="19"/>
              </w:rPr>
              <w:t>Z</w:t>
            </w:r>
            <w:r w:rsidR="00C442B2" w:rsidRPr="00BB0000">
              <w:rPr>
                <w:szCs w:val="19"/>
              </w:rPr>
              <w:t xml:space="preserve">obowiązania </w:t>
            </w:r>
            <w:proofErr w:type="spellStart"/>
            <w:r w:rsidR="00C442B2" w:rsidRPr="00BB0000">
              <w:rPr>
                <w:szCs w:val="19"/>
              </w:rPr>
              <w:t>cash</w:t>
            </w:r>
            <w:proofErr w:type="spellEnd"/>
            <w:r w:rsidR="00C442B2" w:rsidRPr="00BB0000">
              <w:rPr>
                <w:szCs w:val="19"/>
              </w:rPr>
              <w:t xml:space="preserve"> </w:t>
            </w:r>
            <w:r w:rsidR="00C442B2" w:rsidRPr="00BB0000">
              <w:rPr>
                <w:szCs w:val="19"/>
              </w:rPr>
              <w:br/>
            </w:r>
            <w:proofErr w:type="spellStart"/>
            <w:r w:rsidR="00C442B2" w:rsidRPr="00BB0000">
              <w:rPr>
                <w:szCs w:val="19"/>
              </w:rPr>
              <w:t>pooling</w:t>
            </w:r>
            <w:proofErr w:type="spellEnd"/>
          </w:p>
        </w:tc>
        <w:tc>
          <w:tcPr>
            <w:tcW w:w="711" w:type="pct"/>
            <w:vAlign w:val="center"/>
          </w:tcPr>
          <w:p w14:paraId="2795B309" w14:textId="6DB770C4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32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689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350230AB" w14:textId="5D37F079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628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3011E624" w14:textId="28C2F574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14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148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39B6BAA3" w14:textId="6710FAC8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725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,0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3222C49A" w14:textId="52525573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9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188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,6</w:t>
            </w:r>
          </w:p>
        </w:tc>
      </w:tr>
      <w:tr w:rsidR="00C442B2" w:rsidRPr="00BB0000" w14:paraId="782C714F" w14:textId="77777777" w:rsidTr="007918C5">
        <w:trPr>
          <w:trHeight w:val="20"/>
        </w:trPr>
        <w:tc>
          <w:tcPr>
            <w:tcW w:w="1245" w:type="pct"/>
            <w:tcBorders>
              <w:bottom w:val="nil"/>
            </w:tcBorders>
            <w:vAlign w:val="bottom"/>
          </w:tcPr>
          <w:p w14:paraId="0BCB62B8" w14:textId="26CFB638" w:rsidR="00C442B2" w:rsidRPr="00BB0000" w:rsidRDefault="001872C8" w:rsidP="00C442B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P</w:t>
            </w:r>
            <w:r w:rsidR="00C442B2" w:rsidRPr="00BB0000">
              <w:rPr>
                <w:rFonts w:eastAsia="Fira Sans Light" w:cs="Calibri"/>
                <w:szCs w:val="19"/>
              </w:rPr>
              <w:t>ozostałe zobowiązania z tytułu instrumentów finansowych</w:t>
            </w:r>
          </w:p>
        </w:tc>
        <w:tc>
          <w:tcPr>
            <w:tcW w:w="711" w:type="pct"/>
            <w:tcBorders>
              <w:bottom w:val="nil"/>
            </w:tcBorders>
            <w:vAlign w:val="center"/>
          </w:tcPr>
          <w:p w14:paraId="1496E185" w14:textId="10B7B697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34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170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14:paraId="7B567963" w14:textId="6F56D475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2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083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,7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14:paraId="3F7BD582" w14:textId="7B74C4F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16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79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1,0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0CBAB086" w14:textId="37E089E1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5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421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7112C56A" w14:textId="27772AED" w:rsidR="00C442B2" w:rsidRPr="007468DD" w:rsidRDefault="00C442B2" w:rsidP="007468DD">
            <w:pPr>
              <w:spacing w:before="0" w:after="0" w:line="240" w:lineRule="auto"/>
              <w:jc w:val="right"/>
              <w:rPr>
                <w:szCs w:val="19"/>
              </w:rPr>
            </w:pPr>
            <w:r w:rsidRPr="007468DD">
              <w:rPr>
                <w:rFonts w:cs="Calibri"/>
                <w:bCs/>
                <w:color w:val="000000"/>
                <w:szCs w:val="19"/>
              </w:rPr>
              <w:t>9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 </w:t>
            </w:r>
            <w:r w:rsidRPr="007468DD">
              <w:rPr>
                <w:rFonts w:cs="Calibri"/>
                <w:bCs/>
                <w:color w:val="000000"/>
                <w:szCs w:val="19"/>
              </w:rPr>
              <w:t>874</w:t>
            </w:r>
            <w:r w:rsidR="00A66E47" w:rsidRPr="007468DD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</w:tr>
    </w:tbl>
    <w:p w14:paraId="61584214" w14:textId="77777777" w:rsidR="00E633F2" w:rsidRDefault="00E633F2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color w:val="001D77"/>
          <w:szCs w:val="24"/>
          <w:lang w:eastAsia="pl-PL"/>
        </w:rPr>
        <w:br w:type="page"/>
      </w:r>
    </w:p>
    <w:p w14:paraId="5532F16D" w14:textId="78D36861" w:rsidR="00EC1873" w:rsidRPr="00CF7AE9" w:rsidRDefault="004C66CD" w:rsidP="00CF7AE9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 xml:space="preserve">b. </w:t>
      </w:r>
      <w:r w:rsidR="00EC1873" w:rsidRPr="00CF7AE9">
        <w:rPr>
          <w:rFonts w:eastAsia="Times New Roman" w:cs="Times New Roman"/>
          <w:b/>
          <w:bCs/>
          <w:color w:val="001D77"/>
          <w:szCs w:val="24"/>
          <w:lang w:eastAsia="pl-PL"/>
        </w:rPr>
        <w:t>Instrumenty pochodne</w:t>
      </w:r>
    </w:p>
    <w:p w14:paraId="1E64CE92" w14:textId="0AEE1BF0" w:rsidR="00862DB4" w:rsidRPr="00CF7AE9" w:rsidRDefault="00862DB4" w:rsidP="00CF7AE9">
      <w:pPr>
        <w:keepNext/>
        <w:spacing w:line="288" w:lineRule="auto"/>
        <w:outlineLvl w:val="0"/>
        <w:rPr>
          <w:rFonts w:eastAsia="Times New Roman" w:cs="Times New Roman"/>
          <w:bCs/>
          <w:szCs w:val="19"/>
          <w:shd w:val="clear" w:color="auto" w:fill="FFFFFF"/>
          <w:lang w:eastAsia="pl-PL"/>
        </w:rPr>
      </w:pP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Instrumenty pochodne zostały</w:t>
      </w:r>
      <w:r w:rsidR="004E0246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wykazane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przez </w:t>
      </w:r>
      <w:r w:rsidR="004E0246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łącznie </w:t>
      </w:r>
      <w:r w:rsidR="00FF180C">
        <w:rPr>
          <w:rFonts w:eastAsia="Times New Roman" w:cs="Times New Roman"/>
          <w:bCs/>
          <w:szCs w:val="19"/>
          <w:shd w:val="clear" w:color="auto" w:fill="FFFFFF"/>
          <w:lang w:eastAsia="pl-PL"/>
        </w:rPr>
        <w:t>586</w:t>
      </w:r>
      <w:r w:rsidR="00FF180C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843FD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przedsiębiorstw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. W aktywach instrumenty pochodne </w:t>
      </w:r>
      <w:r w:rsidR="0014008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ujawnił</w:t>
      </w:r>
      <w:r w:rsidR="001F21B7">
        <w:rPr>
          <w:rFonts w:eastAsia="Times New Roman" w:cs="Times New Roman"/>
          <w:bCs/>
          <w:szCs w:val="19"/>
          <w:shd w:val="clear" w:color="auto" w:fill="FFFFFF"/>
          <w:lang w:eastAsia="pl-PL"/>
        </w:rPr>
        <w:t>y</w:t>
      </w:r>
      <w:r w:rsidR="00A35C7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 </w:t>
      </w:r>
      <w:r w:rsidR="00494A2D">
        <w:rPr>
          <w:rFonts w:eastAsia="Times New Roman" w:cs="Times New Roman"/>
          <w:bCs/>
          <w:szCs w:val="19"/>
          <w:shd w:val="clear" w:color="auto" w:fill="FFFFFF"/>
          <w:lang w:eastAsia="pl-PL"/>
        </w:rPr>
        <w:t>502</w:t>
      </w:r>
      <w:r w:rsidR="00494A2D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</w:t>
      </w:r>
      <w:r w:rsidR="00843FD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odmiot</w:t>
      </w:r>
      <w:r w:rsidR="001F21B7">
        <w:rPr>
          <w:rFonts w:eastAsia="Times New Roman" w:cs="Times New Roman"/>
          <w:bCs/>
          <w:szCs w:val="19"/>
          <w:shd w:val="clear" w:color="auto" w:fill="FFFFFF"/>
          <w:lang w:eastAsia="pl-PL"/>
        </w:rPr>
        <w:t>y</w:t>
      </w:r>
      <w:r w:rsidR="00823FF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,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1B712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a 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wartoś</w:t>
      </w:r>
      <w:r w:rsidR="001B712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ć tych instrumentów wyniosła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1F21B7">
        <w:rPr>
          <w:rFonts w:eastAsia="Times New Roman" w:cs="Times New Roman"/>
          <w:bCs/>
          <w:szCs w:val="19"/>
          <w:shd w:val="clear" w:color="auto" w:fill="FFFFFF"/>
          <w:lang w:eastAsia="pl-PL"/>
        </w:rPr>
        <w:t>17,1</w:t>
      </w:r>
      <w:r w:rsidR="00220E92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mld zł</w:t>
      </w:r>
      <w:r w:rsidR="00370526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. </w:t>
      </w:r>
      <w:r w:rsidR="00F4341F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Po stronie pasywów </w:t>
      </w:r>
      <w:r w:rsidR="001F21B7">
        <w:rPr>
          <w:rFonts w:eastAsia="Times New Roman" w:cs="Times New Roman"/>
          <w:bCs/>
          <w:szCs w:val="19"/>
          <w:shd w:val="clear" w:color="auto" w:fill="FFFFFF"/>
          <w:lang w:eastAsia="pl-PL"/>
        </w:rPr>
        <w:t>300</w:t>
      </w:r>
      <w:r w:rsidR="001F21B7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podmiotów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1B712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wykazało instrumenty</w:t>
      </w:r>
      <w:r w:rsidR="0014008B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pochodne</w:t>
      </w:r>
      <w:r w:rsidR="001B7123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 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 xml:space="preserve">o wartości </w:t>
      </w:r>
      <w:r w:rsidR="001F21B7">
        <w:rPr>
          <w:rFonts w:eastAsia="Times New Roman" w:cs="Times New Roman"/>
          <w:bCs/>
          <w:szCs w:val="19"/>
          <w:shd w:val="clear" w:color="auto" w:fill="FFFFFF"/>
          <w:lang w:eastAsia="pl-PL"/>
        </w:rPr>
        <w:t>11,3</w:t>
      </w:r>
      <w:r w:rsidR="00995F6B">
        <w:rPr>
          <w:rFonts w:eastAsia="Times New Roman" w:cs="Times New Roman"/>
          <w:bCs/>
          <w:szCs w:val="19"/>
          <w:shd w:val="clear" w:color="auto" w:fill="FFFFFF"/>
          <w:lang w:eastAsia="pl-PL"/>
        </w:rPr>
        <w:t> 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mld</w:t>
      </w:r>
      <w:r w:rsidR="00995F6B">
        <w:rPr>
          <w:rFonts w:eastAsia="Times New Roman" w:cs="Times New Roman"/>
          <w:bCs/>
          <w:szCs w:val="19"/>
          <w:shd w:val="clear" w:color="auto" w:fill="FFFFFF"/>
          <w:lang w:eastAsia="pl-PL"/>
        </w:rPr>
        <w:t> </w:t>
      </w:r>
      <w:r w:rsidR="006027A5"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zł</w:t>
      </w:r>
      <w:r w:rsidRPr="00CF7AE9">
        <w:rPr>
          <w:rFonts w:eastAsia="Times New Roman" w:cs="Times New Roman"/>
          <w:bCs/>
          <w:szCs w:val="19"/>
          <w:shd w:val="clear" w:color="auto" w:fill="FFFFFF"/>
          <w:lang w:eastAsia="pl-PL"/>
        </w:rPr>
        <w:t>.</w:t>
      </w:r>
    </w:p>
    <w:p w14:paraId="1C558711" w14:textId="268CE3BA" w:rsidR="00EC1873" w:rsidRPr="00CF7AE9" w:rsidRDefault="00903EE0" w:rsidP="00C55EE4">
      <w:pPr>
        <w:spacing w:before="360" w:line="240" w:lineRule="auto"/>
        <w:rPr>
          <w:rFonts w:eastAsia="Times New Roman" w:cs="Times New Roman"/>
          <w:b/>
          <w:bCs/>
          <w:szCs w:val="19"/>
          <w:lang w:eastAsia="pl-PL"/>
        </w:rPr>
      </w:pPr>
      <w:r w:rsidRPr="00C10991">
        <w:rPr>
          <w:rFonts w:ascii="Fira Sans SemiBold" w:eastAsia="Times New Roman" w:hAnsi="Fira Sans SemiBold" w:cs="Times New Roman"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EDF3D6" wp14:editId="1BD8806C">
                <wp:simplePos x="0" y="0"/>
                <wp:positionH relativeFrom="column">
                  <wp:posOffset>5211445</wp:posOffset>
                </wp:positionH>
                <wp:positionV relativeFrom="paragraph">
                  <wp:posOffset>497319</wp:posOffset>
                </wp:positionV>
                <wp:extent cx="1731645" cy="1222460"/>
                <wp:effectExtent l="0" t="0" r="0" b="0"/>
                <wp:wrapNone/>
                <wp:docPr id="14" name="Pole tekstowe 14" descr="Największą wartość instrumentów pochodnych w aktywach i pasywach wykazały jednostki zależne w grupach kapitałowych – odpowiednio 8,1 mld zł i 6,8 mld z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122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1BC597" w14:textId="2A83AE79" w:rsidR="007918C5" w:rsidRPr="00644C13" w:rsidRDefault="007918C5" w:rsidP="0021642A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Największą wartość instrumentów pochodnych w aktywach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i pasywach </w:t>
                            </w: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wykazały jednostki </w:t>
                            </w:r>
                            <w:r w:rsidR="00624ACF">
                              <w:rPr>
                                <w:color w:val="002060"/>
                                <w:sz w:val="18"/>
                                <w:szCs w:val="18"/>
                              </w:rPr>
                              <w:t>zależne</w:t>
                            </w: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w grupach kapitałowych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– odpowiednio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8,1 </w:t>
                            </w: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mld zł i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6,8 </w:t>
                            </w:r>
                            <w:r w:rsidRPr="00A2732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mld zł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F3D6" id="Pole tekstowe 14" o:spid="_x0000_s1032" type="#_x0000_t202" alt="Największą wartość instrumentów pochodnych w aktywach i pasywach wykazały jednostki zależne w grupach kapitałowych – odpowiednio 8,1 mld zł i 6,8 mld zł" style="position:absolute;margin-left:410.35pt;margin-top:39.15pt;width:136.35pt;height:9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" filled="f" stroked="f" strokeweight=".5pt">
                <v:textbox>
                  <w:txbxContent>
                    <w:p w14:paraId="7A1BC597" w14:textId="2A83AE79" w:rsidR="007918C5" w:rsidRPr="00644C13" w:rsidRDefault="007918C5" w:rsidP="0021642A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Największą wartość instrumentów pochodnych w aktywach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i pasywach </w:t>
                      </w: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wykazały jednostki </w:t>
                      </w:r>
                      <w:r w:rsidR="00624ACF">
                        <w:rPr>
                          <w:color w:val="002060"/>
                          <w:sz w:val="18"/>
                          <w:szCs w:val="18"/>
                        </w:rPr>
                        <w:t>zależne</w:t>
                      </w: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 w grupach kapitałowych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– odpowiednio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8,1 </w:t>
                      </w: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mld zł i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6,8 </w:t>
                      </w:r>
                      <w:r w:rsidRPr="00A2732C">
                        <w:rPr>
                          <w:color w:val="002060"/>
                          <w:sz w:val="18"/>
                          <w:szCs w:val="18"/>
                        </w:rPr>
                        <w:t xml:space="preserve">mld zł </w:t>
                      </w:r>
                    </w:p>
                  </w:txbxContent>
                </v:textbox>
              </v:shape>
            </w:pict>
          </mc:Fallback>
        </mc:AlternateContent>
      </w:r>
      <w:r w:rsidR="00EC1873" w:rsidRPr="00CF7AE9">
        <w:rPr>
          <w:rFonts w:eastAsia="Times New Roman" w:cs="Times New Roman"/>
          <w:b/>
          <w:bCs/>
          <w:szCs w:val="19"/>
          <w:lang w:eastAsia="pl-PL"/>
        </w:rPr>
        <w:t xml:space="preserve">Tablica 6. </w:t>
      </w:r>
      <w:r w:rsidR="00F84E15" w:rsidRPr="00CF7AE9">
        <w:rPr>
          <w:rFonts w:eastAsia="Times New Roman" w:cs="Times New Roman"/>
          <w:b/>
          <w:bCs/>
          <w:szCs w:val="19"/>
          <w:lang w:eastAsia="pl-PL"/>
        </w:rPr>
        <w:t>Wartość instrumentów pochodnych</w:t>
      </w:r>
      <w:r w:rsidR="00EC1873" w:rsidRPr="00CF7AE9">
        <w:rPr>
          <w:rFonts w:eastAsia="Times New Roman" w:cs="Times New Roman"/>
          <w:b/>
          <w:bCs/>
          <w:szCs w:val="19"/>
          <w:lang w:eastAsia="pl-PL"/>
        </w:rPr>
        <w:t xml:space="preserve"> według statusu organizacyjnego przedsiębiorstw</w:t>
      </w:r>
      <w:r w:rsidR="00CC0FB9"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CC0FB9">
        <w:rPr>
          <w:rFonts w:eastAsia="Fira Sans Light" w:cs="Times New Roman"/>
          <w:b/>
          <w:spacing w:val="-2"/>
          <w:szCs w:val="19"/>
          <w:shd w:val="clear" w:color="auto" w:fill="FFFFFF"/>
        </w:rPr>
        <w:t>(</w:t>
      </w:r>
      <w:r w:rsidR="00E34829">
        <w:rPr>
          <w:rFonts w:eastAsia="Fira Sans Light" w:cs="Times New Roman"/>
          <w:b/>
          <w:spacing w:val="-2"/>
          <w:szCs w:val="19"/>
          <w:shd w:val="clear" w:color="auto" w:fill="FFFFFF"/>
        </w:rPr>
        <w:t>stan na 31 grudnia 2024 r.)</w:t>
      </w:r>
    </w:p>
    <w:tbl>
      <w:tblPr>
        <w:tblStyle w:val="Siatkatabelijasna11"/>
        <w:tblpPr w:leftFromText="141" w:rightFromText="141" w:vertAnchor="text" w:horzAnchor="margin" w:tblpY="129"/>
        <w:tblW w:w="47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6. Wartość instrumentów pochodnych według statusu organizacyjnego przedsiębiorstw "/>
      </w:tblPr>
      <w:tblGrid>
        <w:gridCol w:w="4395"/>
        <w:gridCol w:w="1843"/>
        <w:gridCol w:w="1461"/>
      </w:tblGrid>
      <w:tr w:rsidR="006027A5" w:rsidRPr="00BB0000" w14:paraId="7C921490" w14:textId="77777777" w:rsidTr="007918C5">
        <w:trPr>
          <w:trHeight w:val="20"/>
        </w:trPr>
        <w:tc>
          <w:tcPr>
            <w:tcW w:w="2854" w:type="pct"/>
            <w:vMerge w:val="restart"/>
            <w:tcBorders>
              <w:top w:val="single" w:sz="4" w:space="0" w:color="212492"/>
            </w:tcBorders>
            <w:vAlign w:val="center"/>
          </w:tcPr>
          <w:p w14:paraId="182B4A5B" w14:textId="65BD5BA1" w:rsidR="006027A5" w:rsidRPr="00BB0000" w:rsidRDefault="007468DD" w:rsidP="007C04C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  <w:r w:rsidRPr="007468DD">
              <w:rPr>
                <w:rFonts w:eastAsia="Times New Roman" w:cs="Arial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97" w:type="pct"/>
            <w:vMerge w:val="restar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4FD03ADB" w14:textId="77777777" w:rsidR="006027A5" w:rsidRPr="00BB0000" w:rsidRDefault="006027A5" w:rsidP="007C04C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liczba </w:t>
            </w:r>
          </w:p>
          <w:p w14:paraId="026ECD70" w14:textId="77777777" w:rsidR="006027A5" w:rsidRPr="00BB0000" w:rsidRDefault="006027A5" w:rsidP="007C04C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</w:t>
            </w:r>
          </w:p>
        </w:tc>
        <w:tc>
          <w:tcPr>
            <w:tcW w:w="949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6FCBE80C" w14:textId="77777777" w:rsidR="006027A5" w:rsidRPr="00BB0000" w:rsidRDefault="006027A5" w:rsidP="007C04C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Wartość</w:t>
            </w:r>
          </w:p>
        </w:tc>
      </w:tr>
      <w:tr w:rsidR="006027A5" w:rsidRPr="00BB0000" w14:paraId="56A7A066" w14:textId="77777777" w:rsidTr="00B26C1E">
        <w:trPr>
          <w:trHeight w:val="20"/>
        </w:trPr>
        <w:tc>
          <w:tcPr>
            <w:tcW w:w="2854" w:type="pct"/>
            <w:vMerge/>
            <w:tcBorders>
              <w:bottom w:val="single" w:sz="12" w:space="0" w:color="212492"/>
            </w:tcBorders>
            <w:vAlign w:val="center"/>
          </w:tcPr>
          <w:p w14:paraId="0B2BC0FE" w14:textId="77777777" w:rsidR="006027A5" w:rsidRPr="00BB0000" w:rsidRDefault="006027A5" w:rsidP="007C04C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1197" w:type="pct"/>
            <w:vMerge/>
            <w:tcBorders>
              <w:bottom w:val="single" w:sz="12" w:space="0" w:color="212492"/>
              <w:right w:val="single" w:sz="4" w:space="0" w:color="212492"/>
            </w:tcBorders>
            <w:vAlign w:val="center"/>
          </w:tcPr>
          <w:p w14:paraId="28977A4F" w14:textId="77777777" w:rsidR="006027A5" w:rsidRPr="00BB0000" w:rsidRDefault="006027A5" w:rsidP="007C04C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</w:p>
        </w:tc>
        <w:tc>
          <w:tcPr>
            <w:tcW w:w="949" w:type="pct"/>
            <w:tcBorders>
              <w:left w:val="single" w:sz="4" w:space="0" w:color="212492"/>
              <w:bottom w:val="single" w:sz="12" w:space="0" w:color="212492"/>
            </w:tcBorders>
            <w:vAlign w:val="center"/>
          </w:tcPr>
          <w:p w14:paraId="563BFEB7" w14:textId="77777777" w:rsidR="006027A5" w:rsidRPr="00BB0000" w:rsidRDefault="006027A5" w:rsidP="007C04C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</w:tc>
      </w:tr>
      <w:tr w:rsidR="00220E92" w:rsidRPr="00BB0000" w14:paraId="1C373268" w14:textId="77777777" w:rsidTr="00B26C1E">
        <w:trPr>
          <w:trHeight w:val="20"/>
        </w:trPr>
        <w:tc>
          <w:tcPr>
            <w:tcW w:w="285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77C154CC" w14:textId="579D9719" w:rsidR="00220E92" w:rsidRPr="00BB0000" w:rsidRDefault="00220E92" w:rsidP="00220E92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b/>
                <w:szCs w:val="19"/>
              </w:rPr>
              <w:t>Instrumenty pochodne – aktywa</w:t>
            </w:r>
          </w:p>
        </w:tc>
        <w:tc>
          <w:tcPr>
            <w:tcW w:w="1197" w:type="pct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EDF1DF4" w14:textId="4DBB3998" w:rsidR="00220E92" w:rsidRPr="00BB0000" w:rsidRDefault="00651BAB" w:rsidP="00E313A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502</w:t>
            </w:r>
          </w:p>
        </w:tc>
        <w:tc>
          <w:tcPr>
            <w:tcW w:w="949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608CFF9E" w14:textId="229D59CE" w:rsidR="00220E92" w:rsidRPr="00BB0000" w:rsidRDefault="00651BAB" w:rsidP="00E313A2">
            <w:pPr>
              <w:spacing w:before="0" w:after="0" w:line="240" w:lineRule="auto"/>
              <w:jc w:val="right"/>
              <w:rPr>
                <w:b/>
                <w:color w:val="000000"/>
                <w:szCs w:val="19"/>
              </w:rPr>
            </w:pPr>
            <w:r w:rsidRPr="00BB0000">
              <w:rPr>
                <w:b/>
                <w:color w:val="000000"/>
                <w:szCs w:val="19"/>
              </w:rPr>
              <w:t>17 107,6</w:t>
            </w:r>
          </w:p>
        </w:tc>
      </w:tr>
      <w:tr w:rsidR="00B26C1E" w:rsidRPr="00BB0000" w14:paraId="05F3FDAD" w14:textId="77777777" w:rsidTr="00B26C1E">
        <w:trPr>
          <w:trHeight w:val="20"/>
        </w:trPr>
        <w:tc>
          <w:tcPr>
            <w:tcW w:w="2854" w:type="pct"/>
            <w:tcBorders>
              <w:top w:val="single" w:sz="4" w:space="0" w:color="212492"/>
            </w:tcBorders>
            <w:vAlign w:val="center"/>
          </w:tcPr>
          <w:p w14:paraId="0A944760" w14:textId="662A0800" w:rsidR="00B26C1E" w:rsidRPr="00BB0000" w:rsidRDefault="007918C5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P</w:t>
            </w:r>
            <w:r w:rsidR="00B26C1E" w:rsidRPr="00BB0000">
              <w:rPr>
                <w:rFonts w:eastAsia="Fira Sans Light" w:cs="Times New Roman"/>
                <w:szCs w:val="19"/>
              </w:rPr>
              <w:t>rzedsiębiorstwa działające samodzielnie</w:t>
            </w:r>
          </w:p>
        </w:tc>
        <w:tc>
          <w:tcPr>
            <w:tcW w:w="1197" w:type="pc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7582F68D" w14:textId="566766A5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115</w:t>
            </w:r>
          </w:p>
        </w:tc>
        <w:tc>
          <w:tcPr>
            <w:tcW w:w="949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3C3986C5" w14:textId="57D9B855" w:rsidR="00B26C1E" w:rsidRPr="00BB0000" w:rsidRDefault="00B26C1E" w:rsidP="00B26C1E">
            <w:pPr>
              <w:spacing w:before="0" w:after="0" w:line="240" w:lineRule="auto"/>
              <w:jc w:val="right"/>
              <w:rPr>
                <w:color w:val="000000"/>
                <w:szCs w:val="19"/>
              </w:rPr>
            </w:pPr>
            <w:r w:rsidRPr="00BB0000">
              <w:rPr>
                <w:color w:val="000000"/>
                <w:szCs w:val="19"/>
              </w:rPr>
              <w:t>829,3</w:t>
            </w:r>
          </w:p>
        </w:tc>
      </w:tr>
      <w:tr w:rsidR="00B26C1E" w:rsidRPr="00BB0000" w14:paraId="2A22A4C1" w14:textId="77777777" w:rsidTr="00B26C1E">
        <w:trPr>
          <w:trHeight w:val="20"/>
        </w:trPr>
        <w:tc>
          <w:tcPr>
            <w:tcW w:w="2854" w:type="pct"/>
            <w:vAlign w:val="center"/>
          </w:tcPr>
          <w:p w14:paraId="05735849" w14:textId="124E94BB" w:rsidR="00B26C1E" w:rsidRPr="00BB0000" w:rsidRDefault="007918C5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J</w:t>
            </w:r>
            <w:r w:rsidR="00B26C1E" w:rsidRPr="00BB0000">
              <w:rPr>
                <w:rFonts w:eastAsia="Fira Sans Light" w:cs="Times New Roman"/>
                <w:szCs w:val="19"/>
              </w:rPr>
              <w:t>ednostki dominujące w grupach kapitałowych</w:t>
            </w:r>
          </w:p>
        </w:tc>
        <w:tc>
          <w:tcPr>
            <w:tcW w:w="1197" w:type="pct"/>
            <w:vAlign w:val="center"/>
          </w:tcPr>
          <w:p w14:paraId="350E890A" w14:textId="35C04C08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59</w:t>
            </w:r>
          </w:p>
        </w:tc>
        <w:tc>
          <w:tcPr>
            <w:tcW w:w="949" w:type="pct"/>
            <w:vAlign w:val="center"/>
          </w:tcPr>
          <w:p w14:paraId="09AC1808" w14:textId="2D31AA65" w:rsidR="00B26C1E" w:rsidRPr="00BB0000" w:rsidRDefault="00B26C1E" w:rsidP="00B26C1E">
            <w:pPr>
              <w:spacing w:before="0" w:after="0" w:line="240" w:lineRule="auto"/>
              <w:jc w:val="right"/>
              <w:rPr>
                <w:color w:val="000000"/>
                <w:szCs w:val="19"/>
              </w:rPr>
            </w:pPr>
            <w:r w:rsidRPr="00BB0000">
              <w:rPr>
                <w:color w:val="000000"/>
                <w:szCs w:val="19"/>
              </w:rPr>
              <w:t>4 406,0</w:t>
            </w:r>
          </w:p>
        </w:tc>
      </w:tr>
      <w:tr w:rsidR="00B26C1E" w:rsidRPr="00BB0000" w14:paraId="54F88D12" w14:textId="77777777" w:rsidTr="00B26C1E">
        <w:trPr>
          <w:trHeight w:val="20"/>
        </w:trPr>
        <w:tc>
          <w:tcPr>
            <w:tcW w:w="2854" w:type="pct"/>
            <w:vAlign w:val="center"/>
          </w:tcPr>
          <w:p w14:paraId="0E173C49" w14:textId="78A0CE4D" w:rsidR="00B26C1E" w:rsidRPr="00BB0000" w:rsidRDefault="00B26C1E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 xml:space="preserve">Jednostki </w:t>
            </w:r>
            <w:r w:rsidR="00624ACF">
              <w:rPr>
                <w:rFonts w:eastAsia="Fira Sans Light" w:cs="Times New Roman"/>
                <w:szCs w:val="19"/>
              </w:rPr>
              <w:t>zależne</w:t>
            </w:r>
            <w:r w:rsidRPr="00BB0000">
              <w:rPr>
                <w:rFonts w:eastAsia="Fira Sans Light" w:cs="Times New Roman"/>
                <w:szCs w:val="19"/>
              </w:rPr>
              <w:t xml:space="preserve"> w grupach kapitałowych</w:t>
            </w:r>
          </w:p>
        </w:tc>
        <w:tc>
          <w:tcPr>
            <w:tcW w:w="1197" w:type="pct"/>
            <w:vAlign w:val="center"/>
          </w:tcPr>
          <w:p w14:paraId="2C706A87" w14:textId="6562B636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244</w:t>
            </w:r>
          </w:p>
        </w:tc>
        <w:tc>
          <w:tcPr>
            <w:tcW w:w="949" w:type="pct"/>
            <w:vAlign w:val="center"/>
          </w:tcPr>
          <w:p w14:paraId="6FB384BF" w14:textId="16F52770" w:rsidR="00B26C1E" w:rsidRPr="00BB0000" w:rsidRDefault="00B26C1E" w:rsidP="00B26C1E">
            <w:pPr>
              <w:spacing w:before="0" w:after="0" w:line="240" w:lineRule="auto"/>
              <w:jc w:val="right"/>
              <w:rPr>
                <w:color w:val="000000"/>
                <w:szCs w:val="19"/>
              </w:rPr>
            </w:pPr>
            <w:r w:rsidRPr="00BB0000">
              <w:rPr>
                <w:color w:val="000000"/>
                <w:szCs w:val="19"/>
              </w:rPr>
              <w:t>8 125,5</w:t>
            </w:r>
          </w:p>
        </w:tc>
      </w:tr>
      <w:tr w:rsidR="00B26C1E" w:rsidRPr="00BB0000" w14:paraId="285D5CE0" w14:textId="77777777" w:rsidTr="00B26C1E">
        <w:trPr>
          <w:trHeight w:val="20"/>
        </w:trPr>
        <w:tc>
          <w:tcPr>
            <w:tcW w:w="2854" w:type="pct"/>
            <w:tcBorders>
              <w:bottom w:val="single" w:sz="12" w:space="0" w:color="212492"/>
            </w:tcBorders>
            <w:vAlign w:val="center"/>
          </w:tcPr>
          <w:p w14:paraId="5E48C4C7" w14:textId="174253CC" w:rsidR="00B26C1E" w:rsidRPr="00BB0000" w:rsidRDefault="00B26C1E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  <w:tc>
          <w:tcPr>
            <w:tcW w:w="1197" w:type="pct"/>
            <w:tcBorders>
              <w:bottom w:val="single" w:sz="12" w:space="0" w:color="212492"/>
            </w:tcBorders>
            <w:vAlign w:val="center"/>
          </w:tcPr>
          <w:p w14:paraId="28B1ECF2" w14:textId="55F6A3CA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84</w:t>
            </w:r>
          </w:p>
        </w:tc>
        <w:tc>
          <w:tcPr>
            <w:tcW w:w="949" w:type="pct"/>
            <w:tcBorders>
              <w:bottom w:val="single" w:sz="12" w:space="0" w:color="212492"/>
            </w:tcBorders>
            <w:vAlign w:val="center"/>
          </w:tcPr>
          <w:p w14:paraId="4CDBD3E9" w14:textId="71F66DBF" w:rsidR="00B26C1E" w:rsidRPr="00BB0000" w:rsidRDefault="00B26C1E" w:rsidP="00B26C1E">
            <w:pPr>
              <w:spacing w:before="0" w:after="0" w:line="240" w:lineRule="auto"/>
              <w:jc w:val="right"/>
              <w:rPr>
                <w:color w:val="000000"/>
                <w:szCs w:val="19"/>
              </w:rPr>
            </w:pPr>
            <w:r w:rsidRPr="00BB0000">
              <w:rPr>
                <w:color w:val="000000"/>
                <w:szCs w:val="19"/>
              </w:rPr>
              <w:t>3 746,9</w:t>
            </w:r>
          </w:p>
        </w:tc>
      </w:tr>
      <w:tr w:rsidR="00B26C1E" w:rsidRPr="00BB0000" w14:paraId="6BD3E5FA" w14:textId="77777777" w:rsidTr="00B26C1E">
        <w:trPr>
          <w:trHeight w:val="20"/>
        </w:trPr>
        <w:tc>
          <w:tcPr>
            <w:tcW w:w="285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20C0BEF1" w14:textId="38A615EE" w:rsidR="00B26C1E" w:rsidRPr="00BB0000" w:rsidRDefault="00B26C1E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b/>
                <w:szCs w:val="19"/>
              </w:rPr>
              <w:t>Instrumenty pochodne – pasywa</w:t>
            </w:r>
          </w:p>
        </w:tc>
        <w:tc>
          <w:tcPr>
            <w:tcW w:w="1197" w:type="pct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69D48E" w14:textId="15DD31C6" w:rsidR="00B26C1E" w:rsidRPr="00BB0000" w:rsidRDefault="00B26C1E" w:rsidP="00B26C1E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300</w:t>
            </w:r>
          </w:p>
        </w:tc>
        <w:tc>
          <w:tcPr>
            <w:tcW w:w="949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000C1D7D" w14:textId="61CB364B" w:rsidR="00B26C1E" w:rsidRPr="00BB0000" w:rsidRDefault="00B26C1E" w:rsidP="00B26C1E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11 258,1</w:t>
            </w:r>
          </w:p>
        </w:tc>
      </w:tr>
      <w:tr w:rsidR="00B26C1E" w:rsidRPr="00BB0000" w14:paraId="41651AF0" w14:textId="77777777" w:rsidTr="00B26C1E">
        <w:trPr>
          <w:trHeight w:val="20"/>
        </w:trPr>
        <w:tc>
          <w:tcPr>
            <w:tcW w:w="2854" w:type="pct"/>
            <w:tcBorders>
              <w:top w:val="single" w:sz="4" w:space="0" w:color="212492"/>
            </w:tcBorders>
            <w:vAlign w:val="center"/>
          </w:tcPr>
          <w:p w14:paraId="5E9DC299" w14:textId="1B01C18C" w:rsidR="00B26C1E" w:rsidRPr="00BB0000" w:rsidRDefault="001872C8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P</w:t>
            </w:r>
            <w:r w:rsidR="00B26C1E" w:rsidRPr="00BB0000">
              <w:rPr>
                <w:rFonts w:eastAsia="Fira Sans Light" w:cs="Times New Roman"/>
                <w:szCs w:val="19"/>
              </w:rPr>
              <w:t>rzedsiębiorstwa działające samodzielnie</w:t>
            </w:r>
          </w:p>
        </w:tc>
        <w:tc>
          <w:tcPr>
            <w:tcW w:w="1197" w:type="pct"/>
            <w:tcBorders>
              <w:top w:val="single" w:sz="4" w:space="0" w:color="212492"/>
              <w:right w:val="single" w:sz="4" w:space="0" w:color="212492"/>
            </w:tcBorders>
            <w:vAlign w:val="center"/>
          </w:tcPr>
          <w:p w14:paraId="653F5F64" w14:textId="1F0EB0D5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42</w:t>
            </w:r>
          </w:p>
        </w:tc>
        <w:tc>
          <w:tcPr>
            <w:tcW w:w="949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4B3B6A2D" w14:textId="11A29FDE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336,9</w:t>
            </w:r>
          </w:p>
        </w:tc>
      </w:tr>
      <w:tr w:rsidR="00B26C1E" w:rsidRPr="00BB0000" w14:paraId="02D3550D" w14:textId="77777777" w:rsidTr="00B26C1E">
        <w:trPr>
          <w:trHeight w:val="20"/>
        </w:trPr>
        <w:tc>
          <w:tcPr>
            <w:tcW w:w="2854" w:type="pct"/>
            <w:vAlign w:val="center"/>
          </w:tcPr>
          <w:p w14:paraId="3E0204B3" w14:textId="777737D9" w:rsidR="00B26C1E" w:rsidRPr="00BB0000" w:rsidRDefault="001872C8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>
              <w:rPr>
                <w:rFonts w:eastAsia="Fira Sans Light" w:cs="Times New Roman"/>
                <w:szCs w:val="19"/>
              </w:rPr>
              <w:t>J</w:t>
            </w:r>
            <w:r w:rsidR="00B26C1E" w:rsidRPr="00BB0000">
              <w:rPr>
                <w:rFonts w:eastAsia="Fira Sans Light" w:cs="Times New Roman"/>
                <w:szCs w:val="19"/>
              </w:rPr>
              <w:t>ednostki dominujące w grupach kapitałowych</w:t>
            </w:r>
          </w:p>
        </w:tc>
        <w:tc>
          <w:tcPr>
            <w:tcW w:w="1197" w:type="pct"/>
            <w:vAlign w:val="center"/>
          </w:tcPr>
          <w:p w14:paraId="6E7B1CE5" w14:textId="26E7B466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38</w:t>
            </w:r>
          </w:p>
        </w:tc>
        <w:tc>
          <w:tcPr>
            <w:tcW w:w="949" w:type="pct"/>
            <w:vAlign w:val="center"/>
          </w:tcPr>
          <w:p w14:paraId="04105D2E" w14:textId="22007450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2 551,2</w:t>
            </w:r>
          </w:p>
        </w:tc>
      </w:tr>
      <w:tr w:rsidR="00B26C1E" w:rsidRPr="00BB0000" w14:paraId="0AAAEBF0" w14:textId="77777777" w:rsidTr="00B26C1E">
        <w:trPr>
          <w:trHeight w:val="20"/>
        </w:trPr>
        <w:tc>
          <w:tcPr>
            <w:tcW w:w="2854" w:type="pct"/>
            <w:vAlign w:val="center"/>
          </w:tcPr>
          <w:p w14:paraId="00729510" w14:textId="3F3F7CEA" w:rsidR="00B26C1E" w:rsidRPr="00BB0000" w:rsidRDefault="00B26C1E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 xml:space="preserve">Jednostki </w:t>
            </w:r>
            <w:r w:rsidR="00624ACF">
              <w:rPr>
                <w:rFonts w:eastAsia="Fira Sans Light" w:cs="Times New Roman"/>
                <w:szCs w:val="19"/>
              </w:rPr>
              <w:t>zależne</w:t>
            </w:r>
            <w:r w:rsidRPr="00BB0000">
              <w:rPr>
                <w:rFonts w:eastAsia="Fira Sans Light" w:cs="Times New Roman"/>
                <w:szCs w:val="19"/>
              </w:rPr>
              <w:t xml:space="preserve"> w grupach kapitałowych</w:t>
            </w:r>
          </w:p>
        </w:tc>
        <w:tc>
          <w:tcPr>
            <w:tcW w:w="1197" w:type="pct"/>
            <w:vAlign w:val="center"/>
          </w:tcPr>
          <w:p w14:paraId="46CD4947" w14:textId="067AF0F1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154</w:t>
            </w:r>
          </w:p>
        </w:tc>
        <w:tc>
          <w:tcPr>
            <w:tcW w:w="949" w:type="pct"/>
            <w:vAlign w:val="center"/>
          </w:tcPr>
          <w:p w14:paraId="4C80F7B0" w14:textId="3579F2CB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6 758,1</w:t>
            </w:r>
          </w:p>
        </w:tc>
      </w:tr>
      <w:tr w:rsidR="00B26C1E" w:rsidRPr="00BB0000" w14:paraId="349EF09F" w14:textId="77777777" w:rsidTr="007918C5">
        <w:trPr>
          <w:trHeight w:val="20"/>
        </w:trPr>
        <w:tc>
          <w:tcPr>
            <w:tcW w:w="2854" w:type="pct"/>
            <w:tcBorders>
              <w:bottom w:val="nil"/>
            </w:tcBorders>
            <w:vAlign w:val="center"/>
          </w:tcPr>
          <w:p w14:paraId="5A2A1739" w14:textId="68F32622" w:rsidR="00B26C1E" w:rsidRPr="00BB0000" w:rsidRDefault="00B26C1E" w:rsidP="00B26C1E">
            <w:pPr>
              <w:spacing w:before="0" w:after="0" w:line="240" w:lineRule="auto"/>
              <w:rPr>
                <w:rFonts w:eastAsia="Fira Sans Light" w:cs="Times New Roman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  <w:tc>
          <w:tcPr>
            <w:tcW w:w="1197" w:type="pct"/>
            <w:tcBorders>
              <w:bottom w:val="nil"/>
            </w:tcBorders>
            <w:vAlign w:val="center"/>
          </w:tcPr>
          <w:p w14:paraId="1BC9D906" w14:textId="226413CA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66</w:t>
            </w:r>
          </w:p>
        </w:tc>
        <w:tc>
          <w:tcPr>
            <w:tcW w:w="949" w:type="pct"/>
            <w:tcBorders>
              <w:bottom w:val="nil"/>
            </w:tcBorders>
            <w:vAlign w:val="center"/>
          </w:tcPr>
          <w:p w14:paraId="29978390" w14:textId="7457EF24" w:rsidR="00B26C1E" w:rsidRPr="00BB0000" w:rsidRDefault="00B26C1E" w:rsidP="00B26C1E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szCs w:val="19"/>
              </w:rPr>
              <w:t>1 611,9</w:t>
            </w:r>
          </w:p>
        </w:tc>
      </w:tr>
    </w:tbl>
    <w:p w14:paraId="5081DE46" w14:textId="04BCBF8E" w:rsidR="009B55D8" w:rsidRPr="00327F8D" w:rsidRDefault="009D3500" w:rsidP="00D83774">
      <w:pPr>
        <w:spacing w:before="240" w:line="288" w:lineRule="auto"/>
        <w:rPr>
          <w:rFonts w:eastAsia="Times New Roman" w:cs="Times New Roman"/>
          <w:bCs/>
          <w:szCs w:val="24"/>
          <w:lang w:eastAsia="pl-PL"/>
        </w:rPr>
      </w:pPr>
      <w:r w:rsidRPr="00B8049B">
        <w:rPr>
          <w:rFonts w:eastAsia="Times New Roman" w:cs="Times New Roman"/>
          <w:bCs/>
          <w:szCs w:val="24"/>
          <w:lang w:eastAsia="pl-PL"/>
        </w:rPr>
        <w:t xml:space="preserve">Wartość instrumentów pochodnych </w:t>
      </w:r>
      <w:r>
        <w:rPr>
          <w:rFonts w:eastAsia="Times New Roman" w:cs="Times New Roman"/>
          <w:bCs/>
          <w:szCs w:val="24"/>
          <w:lang w:eastAsia="pl-PL"/>
        </w:rPr>
        <w:t>wykazanych po stronie aktywów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analizowanych przedsiębiorstw wyniosła </w:t>
      </w:r>
      <w:r>
        <w:rPr>
          <w:rFonts w:eastAsia="Times New Roman" w:cs="Times New Roman"/>
          <w:bCs/>
          <w:szCs w:val="24"/>
          <w:lang w:eastAsia="pl-PL"/>
        </w:rPr>
        <w:t>17,1 mld 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zł, </w:t>
      </w:r>
      <w:r>
        <w:rPr>
          <w:rFonts w:eastAsia="Times New Roman" w:cs="Times New Roman"/>
          <w:bCs/>
          <w:szCs w:val="24"/>
          <w:lang w:eastAsia="pl-PL"/>
        </w:rPr>
        <w:t xml:space="preserve">z </w:t>
      </w:r>
      <w:r w:rsidRPr="00B8049B">
        <w:rPr>
          <w:rFonts w:eastAsia="Times New Roman" w:cs="Times New Roman"/>
          <w:bCs/>
          <w:szCs w:val="24"/>
          <w:lang w:eastAsia="pl-PL"/>
        </w:rPr>
        <w:t>najwyższy</w:t>
      </w:r>
      <w:r>
        <w:rPr>
          <w:rFonts w:eastAsia="Times New Roman" w:cs="Times New Roman"/>
          <w:bCs/>
          <w:szCs w:val="24"/>
          <w:lang w:eastAsia="pl-PL"/>
        </w:rPr>
        <w:t>m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udzia</w:t>
      </w:r>
      <w:r>
        <w:rPr>
          <w:rFonts w:eastAsia="Times New Roman" w:cs="Times New Roman"/>
          <w:bCs/>
          <w:szCs w:val="24"/>
          <w:lang w:eastAsia="pl-PL"/>
        </w:rPr>
        <w:t>łem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kontrakt</w:t>
      </w:r>
      <w:r>
        <w:rPr>
          <w:rFonts w:eastAsia="Times New Roman" w:cs="Times New Roman"/>
          <w:bCs/>
          <w:szCs w:val="24"/>
          <w:lang w:eastAsia="pl-PL"/>
        </w:rPr>
        <w:t>ów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proofErr w:type="spellStart"/>
      <w:r w:rsidRPr="0009564B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>
        <w:rPr>
          <w:rFonts w:eastAsia="Times New Roman" w:cs="Times New Roman"/>
          <w:bCs/>
          <w:i/>
          <w:szCs w:val="24"/>
          <w:lang w:eastAsia="pl-PL"/>
        </w:rPr>
        <w:t xml:space="preserve">, </w:t>
      </w:r>
      <w:r>
        <w:rPr>
          <w:rFonts w:eastAsia="Times New Roman" w:cs="Times New Roman"/>
          <w:bCs/>
          <w:szCs w:val="24"/>
          <w:lang w:eastAsia="pl-PL"/>
        </w:rPr>
        <w:t>stanowiących</w:t>
      </w:r>
      <w:r w:rsidRPr="00423B68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76,2</w:t>
      </w:r>
      <w:r w:rsidRPr="00423B68">
        <w:rPr>
          <w:rFonts w:eastAsia="Times New Roman" w:cs="Times New Roman"/>
          <w:bCs/>
          <w:szCs w:val="24"/>
          <w:lang w:eastAsia="pl-PL"/>
        </w:rPr>
        <w:t>%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423B68">
        <w:rPr>
          <w:rFonts w:eastAsia="Times New Roman" w:cs="Times New Roman"/>
          <w:bCs/>
          <w:szCs w:val="24"/>
          <w:lang w:eastAsia="pl-PL"/>
        </w:rPr>
        <w:t>wartości.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9B55D8" w:rsidRPr="00D81FCA">
        <w:rPr>
          <w:rFonts w:eastAsia="Times New Roman" w:cs="Times New Roman"/>
          <w:bCs/>
          <w:szCs w:val="24"/>
          <w:lang w:eastAsia="pl-PL"/>
        </w:rPr>
        <w:t>W przedsiębiorstwach działających samodzielnie wa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rtość instrumentów pochodnych wykazanych po stronie aktywów osiągnęła </w:t>
      </w:r>
      <w:r w:rsidR="00BF1745">
        <w:rPr>
          <w:rFonts w:eastAsia="Times New Roman" w:cs="Times New Roman"/>
          <w:bCs/>
          <w:szCs w:val="24"/>
          <w:lang w:eastAsia="pl-PL"/>
        </w:rPr>
        <w:t>0,8</w:t>
      </w:r>
      <w:r w:rsidR="009B55D8">
        <w:rPr>
          <w:rFonts w:eastAsia="Times New Roman" w:cs="Times New Roman"/>
          <w:bCs/>
          <w:szCs w:val="24"/>
          <w:lang w:eastAsia="pl-PL"/>
        </w:rPr>
        <w:t> 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>mld</w:t>
      </w:r>
      <w:r w:rsidR="009B55D8">
        <w:rPr>
          <w:rFonts w:eastAsia="Times New Roman" w:cs="Times New Roman"/>
          <w:bCs/>
          <w:szCs w:val="24"/>
          <w:lang w:eastAsia="pl-PL"/>
        </w:rPr>
        <w:t> 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zł, w tym </w:t>
      </w:r>
      <w:r w:rsidR="009B55D8">
        <w:rPr>
          <w:rFonts w:eastAsia="Times New Roman" w:cs="Times New Roman"/>
          <w:bCs/>
          <w:szCs w:val="24"/>
          <w:lang w:eastAsia="pl-PL"/>
        </w:rPr>
        <w:t xml:space="preserve">kontrakty </w:t>
      </w:r>
      <w:proofErr w:type="spellStart"/>
      <w:r w:rsidR="009B55D8" w:rsidRPr="00BC0F83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9B55D8">
        <w:rPr>
          <w:rFonts w:eastAsia="Times New Roman" w:cs="Times New Roman"/>
          <w:bCs/>
          <w:szCs w:val="24"/>
          <w:lang w:eastAsia="pl-PL"/>
        </w:rPr>
        <w:t xml:space="preserve"> stanowiły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r w:rsidR="00BF1745">
        <w:rPr>
          <w:rFonts w:eastAsia="Times New Roman" w:cs="Times New Roman"/>
          <w:bCs/>
          <w:szCs w:val="24"/>
          <w:lang w:eastAsia="pl-PL"/>
        </w:rPr>
        <w:t>94,4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>%</w:t>
      </w:r>
      <w:r w:rsidR="009B55D8">
        <w:rPr>
          <w:rFonts w:eastAsia="Times New Roman" w:cs="Times New Roman"/>
          <w:bCs/>
          <w:szCs w:val="24"/>
          <w:lang w:eastAsia="pl-PL"/>
        </w:rPr>
        <w:t xml:space="preserve"> tej wartości.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r w:rsidR="009B55D8" w:rsidRPr="00EF5323">
        <w:rPr>
          <w:rFonts w:eastAsia="Times New Roman" w:cs="Times New Roman"/>
          <w:bCs/>
          <w:szCs w:val="24"/>
          <w:lang w:eastAsia="pl-PL"/>
        </w:rPr>
        <w:t xml:space="preserve">W jednostkach dominujących w </w:t>
      </w:r>
      <w:r w:rsidR="00F674A3" w:rsidRPr="00EF5323">
        <w:rPr>
          <w:rFonts w:eastAsia="Times New Roman" w:cs="Times New Roman"/>
          <w:bCs/>
          <w:szCs w:val="24"/>
          <w:lang w:eastAsia="pl-PL"/>
        </w:rPr>
        <w:t>grupach kapitałowych</w:t>
      </w:r>
      <w:r w:rsidR="009B55D8" w:rsidRPr="00EF5323">
        <w:rPr>
          <w:rFonts w:eastAsia="Times New Roman" w:cs="Times New Roman"/>
          <w:bCs/>
          <w:szCs w:val="24"/>
          <w:lang w:eastAsia="pl-PL"/>
        </w:rPr>
        <w:t xml:space="preserve"> wartość instrumentów pochodnych wykazanych w aktywach wyniosła </w:t>
      </w:r>
      <w:r w:rsidR="00BF1745">
        <w:rPr>
          <w:rFonts w:eastAsia="Times New Roman" w:cs="Times New Roman"/>
          <w:bCs/>
          <w:szCs w:val="24"/>
          <w:lang w:eastAsia="pl-PL"/>
        </w:rPr>
        <w:t>4,4</w:t>
      </w:r>
      <w:r w:rsidR="000F68EB" w:rsidRPr="00EF5323">
        <w:rPr>
          <w:rFonts w:eastAsia="Times New Roman" w:cs="Times New Roman"/>
          <w:bCs/>
          <w:szCs w:val="24"/>
          <w:lang w:eastAsia="pl-PL"/>
        </w:rPr>
        <w:t xml:space="preserve"> </w:t>
      </w:r>
      <w:r w:rsidR="009B55D8" w:rsidRPr="00EF5323">
        <w:rPr>
          <w:rFonts w:eastAsia="Times New Roman" w:cs="Times New Roman"/>
          <w:bCs/>
          <w:szCs w:val="24"/>
          <w:lang w:eastAsia="pl-PL"/>
        </w:rPr>
        <w:t xml:space="preserve">mld zł, z udziałem kontraktów </w:t>
      </w:r>
      <w:proofErr w:type="spellStart"/>
      <w:r w:rsidR="00F73F60" w:rsidRPr="00EF5323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F73F60" w:rsidRPr="00EF5323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94786F" w:rsidRPr="003A1B6A">
        <w:rPr>
          <w:rFonts w:eastAsia="Times New Roman" w:cs="Times New Roman"/>
          <w:bCs/>
          <w:szCs w:val="24"/>
          <w:lang w:eastAsia="pl-PL"/>
        </w:rPr>
        <w:t>wynoszącym</w:t>
      </w:r>
      <w:r w:rsidR="009B55D8" w:rsidRPr="00EF5323">
        <w:rPr>
          <w:rFonts w:eastAsia="Times New Roman" w:cs="Times New Roman"/>
          <w:bCs/>
          <w:szCs w:val="24"/>
          <w:lang w:eastAsia="pl-PL"/>
        </w:rPr>
        <w:t xml:space="preserve"> </w:t>
      </w:r>
      <w:r w:rsidR="00BF1745">
        <w:rPr>
          <w:rFonts w:eastAsia="Times New Roman" w:cs="Times New Roman"/>
          <w:bCs/>
          <w:szCs w:val="24"/>
          <w:lang w:eastAsia="pl-PL"/>
        </w:rPr>
        <w:t>57,2</w:t>
      </w:r>
      <w:r w:rsidR="00CD09DD" w:rsidRPr="00EF5323">
        <w:rPr>
          <w:rFonts w:eastAsia="Times New Roman" w:cs="Times New Roman"/>
          <w:bCs/>
          <w:szCs w:val="24"/>
          <w:lang w:eastAsia="pl-PL"/>
        </w:rPr>
        <w:t>%</w:t>
      </w:r>
      <w:r w:rsidR="00FF15C2" w:rsidRPr="00EF5323">
        <w:rPr>
          <w:rFonts w:eastAsia="Times New Roman" w:cs="Times New Roman"/>
          <w:bCs/>
          <w:szCs w:val="24"/>
          <w:lang w:eastAsia="pl-PL"/>
        </w:rPr>
        <w:t xml:space="preserve"> oraz </w:t>
      </w:r>
      <w:r w:rsidR="00C1159C" w:rsidRPr="00EF5323">
        <w:rPr>
          <w:rFonts w:eastAsia="Times New Roman" w:cs="Times New Roman"/>
          <w:bCs/>
          <w:szCs w:val="24"/>
          <w:lang w:eastAsia="pl-PL"/>
        </w:rPr>
        <w:t>kontraktów</w:t>
      </w:r>
      <w:r w:rsidR="00C1159C" w:rsidRPr="00EF5323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proofErr w:type="spellStart"/>
      <w:r w:rsidR="00F73F60" w:rsidRPr="00EF5323">
        <w:rPr>
          <w:rFonts w:eastAsia="Times New Roman" w:cs="Times New Roman"/>
          <w:bCs/>
          <w:i/>
          <w:szCs w:val="24"/>
          <w:lang w:eastAsia="pl-PL"/>
        </w:rPr>
        <w:t>swap</w:t>
      </w:r>
      <w:proofErr w:type="spellEnd"/>
      <w:r w:rsidR="00FF15C2" w:rsidRPr="00EF5323">
        <w:rPr>
          <w:rFonts w:eastAsia="Times New Roman" w:cs="Times New Roman"/>
          <w:bCs/>
          <w:szCs w:val="24"/>
          <w:lang w:eastAsia="pl-PL"/>
        </w:rPr>
        <w:t xml:space="preserve"> </w:t>
      </w:r>
      <w:r w:rsidR="001E7868">
        <w:rPr>
          <w:rFonts w:eastAsia="Times New Roman" w:cs="Times New Roman"/>
          <w:bCs/>
          <w:szCs w:val="24"/>
          <w:lang w:eastAsia="pl-PL"/>
        </w:rPr>
        <w:t>21,7</w:t>
      </w:r>
      <w:r w:rsidR="00FF15C2" w:rsidRPr="00EF5323">
        <w:rPr>
          <w:rFonts w:eastAsia="Times New Roman" w:cs="Times New Roman"/>
          <w:bCs/>
          <w:szCs w:val="24"/>
          <w:lang w:eastAsia="pl-PL"/>
        </w:rPr>
        <w:t>%</w:t>
      </w:r>
      <w:r w:rsidR="00CD09DD" w:rsidRPr="00EF5323">
        <w:rPr>
          <w:rFonts w:eastAsia="Times New Roman" w:cs="Times New Roman"/>
          <w:bCs/>
          <w:szCs w:val="24"/>
          <w:lang w:eastAsia="pl-PL"/>
        </w:rPr>
        <w:t>.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 I</w:t>
      </w:r>
      <w:r w:rsidR="009B55D8">
        <w:rPr>
          <w:rFonts w:eastAsia="Times New Roman" w:cs="Times New Roman"/>
          <w:bCs/>
          <w:szCs w:val="24"/>
          <w:lang w:eastAsia="pl-PL"/>
        </w:rPr>
        <w:t xml:space="preserve">nstrumenty pochodne w aktywach </w:t>
      </w:r>
      <w:r w:rsidR="009B55D8" w:rsidRPr="000C2DEB">
        <w:rPr>
          <w:rFonts w:eastAsia="Times New Roman" w:cs="Times New Roman"/>
          <w:bCs/>
          <w:szCs w:val="24"/>
          <w:lang w:eastAsia="pl-PL"/>
        </w:rPr>
        <w:t xml:space="preserve">jednostek </w:t>
      </w:r>
      <w:r w:rsidR="00624ACF">
        <w:rPr>
          <w:rFonts w:eastAsia="Times New Roman" w:cs="Times New Roman"/>
          <w:bCs/>
          <w:szCs w:val="24"/>
          <w:lang w:eastAsia="pl-PL"/>
        </w:rPr>
        <w:t>zależnych</w:t>
      </w:r>
      <w:r w:rsidR="00FF6559" w:rsidRPr="000C2DEB">
        <w:rPr>
          <w:rFonts w:eastAsia="Times New Roman" w:cs="Times New Roman"/>
          <w:bCs/>
          <w:szCs w:val="24"/>
          <w:lang w:eastAsia="pl-PL"/>
        </w:rPr>
        <w:t xml:space="preserve"> </w:t>
      </w:r>
      <w:r w:rsidR="006E229E" w:rsidRPr="000C2DEB">
        <w:rPr>
          <w:rFonts w:eastAsia="Times New Roman" w:cs="Times New Roman"/>
          <w:bCs/>
          <w:szCs w:val="24"/>
          <w:lang w:eastAsia="pl-PL"/>
        </w:rPr>
        <w:t>w</w:t>
      </w:r>
      <w:r w:rsidR="006E229E">
        <w:rPr>
          <w:rFonts w:eastAsia="Times New Roman" w:cs="Times New Roman"/>
          <w:bCs/>
          <w:szCs w:val="24"/>
          <w:lang w:eastAsia="pl-PL"/>
        </w:rPr>
        <w:t xml:space="preserve"> </w:t>
      </w:r>
      <w:r w:rsidR="00F674A3">
        <w:rPr>
          <w:rFonts w:eastAsia="Times New Roman" w:cs="Times New Roman"/>
          <w:bCs/>
          <w:szCs w:val="24"/>
          <w:lang w:eastAsia="pl-PL"/>
        </w:rPr>
        <w:t>grupach kapitałowych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 wyniosły </w:t>
      </w:r>
      <w:r w:rsidR="00BF5DC9">
        <w:rPr>
          <w:rFonts w:eastAsia="Times New Roman" w:cs="Times New Roman"/>
          <w:bCs/>
          <w:szCs w:val="24"/>
          <w:lang w:eastAsia="pl-PL"/>
        </w:rPr>
        <w:t>8,1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 mld zł</w:t>
      </w:r>
      <w:r w:rsidR="009B55D8">
        <w:rPr>
          <w:rFonts w:eastAsia="Times New Roman" w:cs="Times New Roman"/>
          <w:bCs/>
          <w:szCs w:val="24"/>
          <w:lang w:eastAsia="pl-PL"/>
        </w:rPr>
        <w:t xml:space="preserve">, 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z udziałem kontraktów </w:t>
      </w:r>
      <w:proofErr w:type="spellStart"/>
      <w:r w:rsidR="00FF15C2" w:rsidRPr="00F30C0D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FF15C2">
        <w:rPr>
          <w:rFonts w:eastAsia="Times New Roman" w:cs="Times New Roman"/>
          <w:bCs/>
          <w:szCs w:val="24"/>
          <w:lang w:eastAsia="pl-PL"/>
        </w:rPr>
        <w:t xml:space="preserve"> wynoszącym </w:t>
      </w:r>
      <w:r w:rsidR="00270485">
        <w:rPr>
          <w:rFonts w:eastAsia="Times New Roman" w:cs="Times New Roman"/>
          <w:bCs/>
          <w:szCs w:val="24"/>
          <w:lang w:eastAsia="pl-PL"/>
        </w:rPr>
        <w:t>97,2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%. </w:t>
      </w:r>
      <w:r w:rsidR="009B55D8" w:rsidRPr="00327F8D">
        <w:rPr>
          <w:rFonts w:eastAsia="Times New Roman" w:cs="Times New Roman"/>
          <w:bCs/>
          <w:szCs w:val="24"/>
          <w:lang w:eastAsia="pl-PL"/>
        </w:rPr>
        <w:t xml:space="preserve">W </w:t>
      </w:r>
      <w:r w:rsidR="009B55D8" w:rsidRPr="006E229E">
        <w:rPr>
          <w:rFonts w:eastAsia="Times New Roman" w:cs="Times New Roman"/>
          <w:bCs/>
          <w:szCs w:val="24"/>
          <w:lang w:eastAsia="pl-PL"/>
        </w:rPr>
        <w:t xml:space="preserve">jednostkach dominujących i jednocześnie </w:t>
      </w:r>
      <w:r w:rsidR="00624ACF">
        <w:rPr>
          <w:rFonts w:eastAsia="Times New Roman" w:cs="Times New Roman"/>
          <w:bCs/>
          <w:szCs w:val="24"/>
          <w:lang w:eastAsia="pl-PL"/>
        </w:rPr>
        <w:t>zależnych</w:t>
      </w:r>
      <w:r w:rsidR="00FF6559" w:rsidRPr="006E229E">
        <w:rPr>
          <w:rFonts w:eastAsia="Times New Roman" w:cs="Times New Roman"/>
          <w:bCs/>
          <w:szCs w:val="24"/>
          <w:lang w:eastAsia="pl-PL"/>
        </w:rPr>
        <w:t xml:space="preserve"> </w:t>
      </w:r>
      <w:r w:rsidR="006E229E" w:rsidRPr="006E229E">
        <w:rPr>
          <w:rFonts w:eastAsia="Times New Roman" w:cs="Times New Roman"/>
          <w:bCs/>
          <w:szCs w:val="24"/>
          <w:lang w:eastAsia="pl-PL"/>
        </w:rPr>
        <w:t xml:space="preserve">w </w:t>
      </w:r>
      <w:r w:rsidR="00F674A3">
        <w:rPr>
          <w:rFonts w:eastAsia="Times New Roman" w:cs="Times New Roman"/>
          <w:bCs/>
          <w:szCs w:val="24"/>
          <w:lang w:eastAsia="pl-PL"/>
        </w:rPr>
        <w:t>grupach kapitałowych</w:t>
      </w:r>
      <w:r w:rsidR="006E229E" w:rsidRPr="006E229E">
        <w:rPr>
          <w:rFonts w:eastAsia="Times New Roman" w:cs="Times New Roman"/>
          <w:bCs/>
          <w:szCs w:val="24"/>
          <w:lang w:eastAsia="pl-PL"/>
        </w:rPr>
        <w:t xml:space="preserve"> </w:t>
      </w:r>
      <w:r w:rsidR="009B55D8" w:rsidRPr="006E229E">
        <w:rPr>
          <w:rFonts w:eastAsia="Times New Roman" w:cs="Times New Roman"/>
          <w:bCs/>
          <w:szCs w:val="24"/>
          <w:lang w:eastAsia="pl-PL"/>
        </w:rPr>
        <w:t xml:space="preserve">instrumenty 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pochodne </w:t>
      </w:r>
      <w:r w:rsidR="00F54362">
        <w:rPr>
          <w:rFonts w:eastAsia="Times New Roman" w:cs="Times New Roman"/>
          <w:bCs/>
          <w:szCs w:val="24"/>
          <w:lang w:eastAsia="pl-PL"/>
        </w:rPr>
        <w:t>po stronie aktywów</w:t>
      </w:r>
      <w:r w:rsidR="00FF15C2">
        <w:rPr>
          <w:rFonts w:eastAsia="Times New Roman" w:cs="Times New Roman"/>
          <w:bCs/>
          <w:szCs w:val="24"/>
          <w:lang w:eastAsia="pl-PL"/>
        </w:rPr>
        <w:t xml:space="preserve"> wyniosły </w:t>
      </w:r>
      <w:r w:rsidR="00270485">
        <w:rPr>
          <w:rFonts w:eastAsia="Times New Roman" w:cs="Times New Roman"/>
          <w:bCs/>
          <w:szCs w:val="24"/>
          <w:lang w:eastAsia="pl-PL"/>
        </w:rPr>
        <w:t>3,7</w:t>
      </w:r>
      <w:r w:rsidR="009B55D8" w:rsidRPr="006E229E">
        <w:rPr>
          <w:rFonts w:eastAsia="Times New Roman" w:cs="Times New Roman"/>
          <w:bCs/>
          <w:szCs w:val="24"/>
          <w:lang w:eastAsia="pl-PL"/>
        </w:rPr>
        <w:t> m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>ld</w:t>
      </w:r>
      <w:r w:rsidR="009B55D8">
        <w:rPr>
          <w:rFonts w:eastAsia="Times New Roman" w:cs="Times New Roman"/>
          <w:bCs/>
          <w:szCs w:val="24"/>
          <w:lang w:eastAsia="pl-PL"/>
        </w:rPr>
        <w:t> 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>zł, w</w:t>
      </w:r>
      <w:r w:rsidR="009B55D8">
        <w:rPr>
          <w:rFonts w:eastAsia="Times New Roman" w:cs="Times New Roman"/>
          <w:bCs/>
          <w:szCs w:val="24"/>
          <w:lang w:eastAsia="pl-PL"/>
        </w:rPr>
        <w:t> </w:t>
      </w:r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tym </w:t>
      </w:r>
      <w:r w:rsidR="00C3196C" w:rsidRPr="00CF7AE9">
        <w:rPr>
          <w:rFonts w:eastAsia="Times New Roman" w:cs="Times New Roman"/>
          <w:bCs/>
          <w:szCs w:val="24"/>
          <w:lang w:eastAsia="pl-PL"/>
        </w:rPr>
        <w:t>kontrakty</w:t>
      </w:r>
      <w:r w:rsidR="00C3196C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proofErr w:type="spellStart"/>
      <w:r w:rsidR="00C3196C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9B55D8"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r w:rsidR="00EB45BE">
        <w:rPr>
          <w:rFonts w:eastAsia="Times New Roman" w:cs="Times New Roman"/>
          <w:bCs/>
          <w:szCs w:val="24"/>
          <w:lang w:eastAsia="pl-PL"/>
        </w:rPr>
        <w:t xml:space="preserve">odpowiadały za </w:t>
      </w:r>
      <w:r w:rsidR="00270485">
        <w:rPr>
          <w:rFonts w:eastAsia="Times New Roman" w:cs="Times New Roman"/>
          <w:bCs/>
          <w:szCs w:val="24"/>
          <w:lang w:eastAsia="pl-PL"/>
        </w:rPr>
        <w:t>48,7</w:t>
      </w:r>
      <w:r w:rsidR="009B55D8" w:rsidRPr="00327F8D">
        <w:rPr>
          <w:rFonts w:eastAsia="Times New Roman" w:cs="Times New Roman"/>
          <w:bCs/>
          <w:szCs w:val="24"/>
          <w:lang w:eastAsia="pl-PL"/>
        </w:rPr>
        <w:t>%</w:t>
      </w:r>
      <w:r w:rsidR="00C3196C">
        <w:rPr>
          <w:rFonts w:eastAsia="Times New Roman" w:cs="Times New Roman"/>
          <w:bCs/>
          <w:szCs w:val="24"/>
          <w:lang w:eastAsia="pl-PL"/>
        </w:rPr>
        <w:t xml:space="preserve">, a kontrakty </w:t>
      </w:r>
      <w:proofErr w:type="spellStart"/>
      <w:r w:rsidR="00C3196C" w:rsidRPr="00CF7AE9">
        <w:rPr>
          <w:rFonts w:eastAsia="Times New Roman" w:cs="Times New Roman"/>
          <w:bCs/>
          <w:i/>
          <w:szCs w:val="24"/>
          <w:lang w:eastAsia="pl-PL"/>
        </w:rPr>
        <w:t>swap</w:t>
      </w:r>
      <w:proofErr w:type="spellEnd"/>
      <w:r w:rsidR="00E375EA">
        <w:rPr>
          <w:rFonts w:eastAsia="Times New Roman" w:cs="Times New Roman"/>
          <w:bCs/>
          <w:szCs w:val="24"/>
          <w:lang w:eastAsia="pl-PL"/>
        </w:rPr>
        <w:t xml:space="preserve"> za</w:t>
      </w:r>
      <w:r w:rsidR="00C3196C">
        <w:rPr>
          <w:rFonts w:eastAsia="Times New Roman" w:cs="Times New Roman"/>
          <w:bCs/>
          <w:szCs w:val="24"/>
          <w:lang w:eastAsia="pl-PL"/>
        </w:rPr>
        <w:t xml:space="preserve"> </w:t>
      </w:r>
      <w:r w:rsidR="00270485">
        <w:rPr>
          <w:rFonts w:eastAsia="Times New Roman" w:cs="Times New Roman"/>
          <w:bCs/>
          <w:szCs w:val="24"/>
          <w:lang w:eastAsia="pl-PL"/>
        </w:rPr>
        <w:t>32,9</w:t>
      </w:r>
      <w:r w:rsidR="00C3196C">
        <w:rPr>
          <w:rFonts w:eastAsia="Times New Roman" w:cs="Times New Roman"/>
          <w:bCs/>
          <w:szCs w:val="24"/>
          <w:lang w:eastAsia="pl-PL"/>
        </w:rPr>
        <w:t>%</w:t>
      </w:r>
      <w:r w:rsidR="00E375EA">
        <w:rPr>
          <w:rFonts w:eastAsia="Times New Roman" w:cs="Times New Roman"/>
          <w:bCs/>
          <w:szCs w:val="24"/>
          <w:lang w:eastAsia="pl-PL"/>
        </w:rPr>
        <w:t xml:space="preserve"> </w:t>
      </w:r>
      <w:r w:rsidR="009741EF">
        <w:rPr>
          <w:rFonts w:eastAsia="Times New Roman" w:cs="Times New Roman"/>
          <w:bCs/>
          <w:szCs w:val="24"/>
          <w:lang w:eastAsia="pl-PL"/>
        </w:rPr>
        <w:t xml:space="preserve">tej </w:t>
      </w:r>
      <w:r w:rsidR="00E375EA">
        <w:rPr>
          <w:rFonts w:eastAsia="Times New Roman" w:cs="Times New Roman"/>
          <w:bCs/>
          <w:szCs w:val="24"/>
          <w:lang w:eastAsia="pl-PL"/>
        </w:rPr>
        <w:t>wartości</w:t>
      </w:r>
      <w:r w:rsidR="00C3196C">
        <w:rPr>
          <w:rFonts w:eastAsia="Times New Roman" w:cs="Times New Roman"/>
          <w:bCs/>
          <w:szCs w:val="24"/>
          <w:lang w:eastAsia="pl-PL"/>
        </w:rPr>
        <w:t>.</w:t>
      </w:r>
    </w:p>
    <w:p w14:paraId="7E6B558F" w14:textId="4810550F" w:rsidR="00797D6D" w:rsidRDefault="001217FB" w:rsidP="00A86AFA">
      <w:pPr>
        <w:spacing w:line="288" w:lineRule="auto"/>
        <w:rPr>
          <w:rFonts w:eastAsia="Times New Roman" w:cs="Times New Roman"/>
          <w:bCs/>
          <w:szCs w:val="24"/>
          <w:lang w:eastAsia="pl-PL"/>
        </w:rPr>
      </w:pPr>
      <w:r w:rsidRPr="00B8049B">
        <w:rPr>
          <w:rFonts w:eastAsia="Times New Roman" w:cs="Times New Roman"/>
          <w:bCs/>
          <w:szCs w:val="24"/>
          <w:lang w:eastAsia="pl-PL"/>
        </w:rPr>
        <w:t xml:space="preserve">Wartość instrumentów pochodnych w pasywach analizowanych przedsiębiorstw wyniosła </w:t>
      </w:r>
      <w:r w:rsidR="00270485">
        <w:rPr>
          <w:rFonts w:eastAsia="Times New Roman" w:cs="Times New Roman"/>
          <w:bCs/>
          <w:szCs w:val="24"/>
          <w:lang w:eastAsia="pl-PL"/>
        </w:rPr>
        <w:t>11,3</w:t>
      </w:r>
      <w:r>
        <w:rPr>
          <w:rFonts w:eastAsia="Times New Roman" w:cs="Times New Roman"/>
          <w:bCs/>
          <w:szCs w:val="24"/>
          <w:lang w:eastAsia="pl-PL"/>
        </w:rPr>
        <w:t> mld 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zł, </w:t>
      </w:r>
      <w:r>
        <w:rPr>
          <w:rFonts w:eastAsia="Times New Roman" w:cs="Times New Roman"/>
          <w:bCs/>
          <w:szCs w:val="24"/>
          <w:lang w:eastAsia="pl-PL"/>
        </w:rPr>
        <w:t xml:space="preserve">z </w:t>
      </w:r>
      <w:r w:rsidRPr="00B8049B">
        <w:rPr>
          <w:rFonts w:eastAsia="Times New Roman" w:cs="Times New Roman"/>
          <w:bCs/>
          <w:szCs w:val="24"/>
          <w:lang w:eastAsia="pl-PL"/>
        </w:rPr>
        <w:t>najwyższy</w:t>
      </w:r>
      <w:r>
        <w:rPr>
          <w:rFonts w:eastAsia="Times New Roman" w:cs="Times New Roman"/>
          <w:bCs/>
          <w:szCs w:val="24"/>
          <w:lang w:eastAsia="pl-PL"/>
        </w:rPr>
        <w:t>m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udzia</w:t>
      </w:r>
      <w:r>
        <w:rPr>
          <w:rFonts w:eastAsia="Times New Roman" w:cs="Times New Roman"/>
          <w:bCs/>
          <w:szCs w:val="24"/>
          <w:lang w:eastAsia="pl-PL"/>
        </w:rPr>
        <w:t>łem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kontrakt</w:t>
      </w:r>
      <w:r>
        <w:rPr>
          <w:rFonts w:eastAsia="Times New Roman" w:cs="Times New Roman"/>
          <w:bCs/>
          <w:szCs w:val="24"/>
          <w:lang w:eastAsia="pl-PL"/>
        </w:rPr>
        <w:t>ów</w:t>
      </w:r>
      <w:r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proofErr w:type="spellStart"/>
      <w:r w:rsidRPr="0009564B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>
        <w:rPr>
          <w:rFonts w:eastAsia="Times New Roman" w:cs="Times New Roman"/>
          <w:bCs/>
          <w:i/>
          <w:szCs w:val="24"/>
          <w:lang w:eastAsia="pl-PL"/>
        </w:rPr>
        <w:t xml:space="preserve">, </w:t>
      </w:r>
      <w:r>
        <w:rPr>
          <w:rFonts w:eastAsia="Times New Roman" w:cs="Times New Roman"/>
          <w:bCs/>
          <w:szCs w:val="24"/>
          <w:lang w:eastAsia="pl-PL"/>
        </w:rPr>
        <w:t>stanowiących</w:t>
      </w:r>
      <w:r w:rsidRPr="00423B68">
        <w:rPr>
          <w:rFonts w:eastAsia="Times New Roman" w:cs="Times New Roman"/>
          <w:bCs/>
          <w:szCs w:val="24"/>
          <w:lang w:eastAsia="pl-PL"/>
        </w:rPr>
        <w:t xml:space="preserve"> </w:t>
      </w:r>
      <w:r w:rsidR="00270485">
        <w:rPr>
          <w:rFonts w:eastAsia="Times New Roman" w:cs="Times New Roman"/>
          <w:bCs/>
          <w:szCs w:val="24"/>
          <w:lang w:eastAsia="pl-PL"/>
        </w:rPr>
        <w:t>81,5</w:t>
      </w:r>
      <w:r w:rsidRPr="00423B68">
        <w:rPr>
          <w:rFonts w:eastAsia="Times New Roman" w:cs="Times New Roman"/>
          <w:bCs/>
          <w:szCs w:val="24"/>
          <w:lang w:eastAsia="pl-PL"/>
        </w:rPr>
        <w:t>%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423B68">
        <w:rPr>
          <w:rFonts w:eastAsia="Times New Roman" w:cs="Times New Roman"/>
          <w:bCs/>
          <w:szCs w:val="24"/>
          <w:lang w:eastAsia="pl-PL"/>
        </w:rPr>
        <w:t>wartości.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="009F27EF">
        <w:rPr>
          <w:rFonts w:eastAsia="Times New Roman" w:cs="Times New Roman"/>
          <w:bCs/>
          <w:szCs w:val="24"/>
          <w:lang w:eastAsia="pl-PL"/>
        </w:rPr>
        <w:t>W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 xml:space="preserve"> przedsiębiorstwach działających samodzielnie wartość instrumentów pochodnych w pasywach wyniosła </w:t>
      </w:r>
      <w:r w:rsidR="00270485">
        <w:rPr>
          <w:rFonts w:eastAsia="Times New Roman" w:cs="Times New Roman"/>
          <w:bCs/>
          <w:szCs w:val="24"/>
          <w:lang w:eastAsia="pl-PL"/>
        </w:rPr>
        <w:t>0,3</w:t>
      </w:r>
      <w:r w:rsidR="009F27EF">
        <w:rPr>
          <w:rFonts w:eastAsia="Times New Roman" w:cs="Times New Roman"/>
          <w:bCs/>
          <w:szCs w:val="24"/>
          <w:lang w:eastAsia="pl-PL"/>
        </w:rPr>
        <w:t> 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>mld</w:t>
      </w:r>
      <w:r w:rsidR="009F27EF">
        <w:rPr>
          <w:rFonts w:eastAsia="Times New Roman" w:cs="Times New Roman"/>
          <w:bCs/>
          <w:szCs w:val="24"/>
          <w:lang w:eastAsia="pl-PL"/>
        </w:rPr>
        <w:t> 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 xml:space="preserve">zł, w tym kontrakty </w:t>
      </w:r>
      <w:proofErr w:type="spellStart"/>
      <w:r w:rsidR="009F27EF" w:rsidRPr="0009564B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9F27EF">
        <w:rPr>
          <w:rFonts w:eastAsia="Times New Roman" w:cs="Times New Roman"/>
          <w:bCs/>
          <w:szCs w:val="24"/>
          <w:lang w:eastAsia="pl-PL"/>
        </w:rPr>
        <w:t xml:space="preserve"> stanowiły </w:t>
      </w:r>
      <w:r w:rsidR="00270485">
        <w:rPr>
          <w:rFonts w:eastAsia="Times New Roman" w:cs="Times New Roman"/>
          <w:bCs/>
          <w:szCs w:val="24"/>
          <w:lang w:eastAsia="pl-PL"/>
        </w:rPr>
        <w:t>92,1</w:t>
      </w:r>
      <w:r w:rsidR="003F14CB">
        <w:rPr>
          <w:rFonts w:eastAsia="Times New Roman" w:cs="Times New Roman"/>
          <w:bCs/>
          <w:szCs w:val="24"/>
          <w:lang w:eastAsia="pl-PL"/>
        </w:rPr>
        <w:t>%</w:t>
      </w:r>
      <w:r w:rsidR="00FA4178">
        <w:rPr>
          <w:rFonts w:eastAsia="Times New Roman" w:cs="Times New Roman"/>
          <w:bCs/>
          <w:szCs w:val="24"/>
          <w:lang w:eastAsia="pl-PL"/>
        </w:rPr>
        <w:t xml:space="preserve">. </w:t>
      </w:r>
      <w:r w:rsidR="009F27EF">
        <w:rPr>
          <w:rFonts w:eastAsia="Times New Roman" w:cs="Times New Roman"/>
          <w:bCs/>
          <w:szCs w:val="24"/>
          <w:lang w:eastAsia="pl-PL"/>
        </w:rPr>
        <w:t>W j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>ednostk</w:t>
      </w:r>
      <w:r w:rsidR="009F27EF">
        <w:rPr>
          <w:rFonts w:eastAsia="Times New Roman" w:cs="Times New Roman"/>
          <w:bCs/>
          <w:szCs w:val="24"/>
          <w:lang w:eastAsia="pl-PL"/>
        </w:rPr>
        <w:t>ach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 xml:space="preserve"> dominujących w </w:t>
      </w:r>
      <w:r w:rsidR="009F27EF">
        <w:rPr>
          <w:rFonts w:eastAsia="Times New Roman" w:cs="Times New Roman"/>
          <w:bCs/>
          <w:szCs w:val="24"/>
          <w:lang w:eastAsia="pl-PL"/>
        </w:rPr>
        <w:t>grupach kapitałowych</w:t>
      </w:r>
      <w:r w:rsidR="009F27EF" w:rsidRPr="00B8049B">
        <w:rPr>
          <w:rFonts w:eastAsia="Times New Roman" w:cs="Times New Roman"/>
          <w:bCs/>
          <w:szCs w:val="24"/>
          <w:lang w:eastAsia="pl-PL"/>
        </w:rPr>
        <w:t xml:space="preserve"> wartość instrumentów pochodnych </w:t>
      </w:r>
      <w:r w:rsidR="009F27EF">
        <w:rPr>
          <w:rFonts w:eastAsia="Times New Roman" w:cs="Times New Roman"/>
          <w:bCs/>
          <w:szCs w:val="24"/>
          <w:lang w:eastAsia="pl-PL"/>
        </w:rPr>
        <w:t xml:space="preserve">po stronie </w:t>
      </w:r>
      <w:r w:rsidR="003F14CB">
        <w:rPr>
          <w:rFonts w:eastAsia="Times New Roman" w:cs="Times New Roman"/>
          <w:bCs/>
          <w:szCs w:val="24"/>
          <w:lang w:eastAsia="pl-PL"/>
        </w:rPr>
        <w:t xml:space="preserve">pasywów </w:t>
      </w:r>
      <w:r w:rsidR="009F27EF">
        <w:rPr>
          <w:rFonts w:eastAsia="Times New Roman" w:cs="Times New Roman"/>
          <w:bCs/>
          <w:szCs w:val="24"/>
          <w:lang w:eastAsia="pl-PL"/>
        </w:rPr>
        <w:t xml:space="preserve">wyniosła </w:t>
      </w:r>
      <w:r w:rsidR="00270485">
        <w:rPr>
          <w:rFonts w:eastAsia="Times New Roman" w:cs="Times New Roman"/>
          <w:bCs/>
          <w:szCs w:val="24"/>
          <w:lang w:eastAsia="pl-PL"/>
        </w:rPr>
        <w:t>2,6</w:t>
      </w:r>
      <w:r w:rsidR="009F27EF">
        <w:rPr>
          <w:rFonts w:eastAsia="Times New Roman" w:cs="Times New Roman"/>
          <w:bCs/>
          <w:szCs w:val="24"/>
          <w:lang w:eastAsia="pl-PL"/>
        </w:rPr>
        <w:t xml:space="preserve"> mld zł, </w:t>
      </w:r>
      <w:r w:rsidR="009F27EF" w:rsidRPr="000A35DE">
        <w:rPr>
          <w:rFonts w:eastAsia="Times New Roman" w:cs="Times New Roman"/>
          <w:bCs/>
          <w:szCs w:val="24"/>
          <w:lang w:eastAsia="pl-PL"/>
        </w:rPr>
        <w:t xml:space="preserve">z udziałem </w:t>
      </w:r>
      <w:r w:rsidR="00607369" w:rsidRPr="000A35DE">
        <w:rPr>
          <w:rFonts w:eastAsia="Times New Roman" w:cs="Times New Roman"/>
          <w:bCs/>
          <w:szCs w:val="24"/>
          <w:lang w:eastAsia="pl-PL"/>
        </w:rPr>
        <w:t xml:space="preserve">kontraktów </w:t>
      </w:r>
      <w:proofErr w:type="spellStart"/>
      <w:r w:rsidR="00310D6B" w:rsidRPr="000A35DE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3F14CB" w:rsidRPr="000A35DE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607369" w:rsidRPr="000A35DE">
        <w:rPr>
          <w:rFonts w:eastAsia="Times New Roman" w:cs="Times New Roman"/>
          <w:bCs/>
          <w:szCs w:val="24"/>
          <w:lang w:eastAsia="pl-PL"/>
        </w:rPr>
        <w:t xml:space="preserve">wynoszącym </w:t>
      </w:r>
      <w:r w:rsidR="00270485">
        <w:rPr>
          <w:rFonts w:eastAsia="Times New Roman" w:cs="Times New Roman"/>
          <w:bCs/>
          <w:szCs w:val="24"/>
          <w:lang w:eastAsia="pl-PL"/>
        </w:rPr>
        <w:t>60,6</w:t>
      </w:r>
      <w:r w:rsidR="00607369" w:rsidRPr="000A35DE">
        <w:rPr>
          <w:rFonts w:eastAsia="Times New Roman" w:cs="Times New Roman"/>
          <w:bCs/>
          <w:szCs w:val="24"/>
          <w:lang w:eastAsia="pl-PL"/>
        </w:rPr>
        <w:t>%.</w:t>
      </w:r>
      <w:r w:rsidR="00607369" w:rsidRPr="00607369">
        <w:rPr>
          <w:rFonts w:eastAsia="Times New Roman" w:cs="Times New Roman"/>
          <w:bCs/>
          <w:szCs w:val="24"/>
          <w:lang w:eastAsia="pl-PL"/>
        </w:rPr>
        <w:t xml:space="preserve"> 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W jednostkach </w:t>
      </w:r>
      <w:r w:rsidR="00624ACF">
        <w:rPr>
          <w:rFonts w:eastAsia="Times New Roman" w:cs="Times New Roman"/>
          <w:bCs/>
          <w:szCs w:val="24"/>
          <w:lang w:eastAsia="pl-PL"/>
        </w:rPr>
        <w:t>zależnych</w:t>
      </w:r>
      <w:r w:rsidR="00FF6559" w:rsidRPr="006E229E">
        <w:rPr>
          <w:rFonts w:eastAsia="Times New Roman" w:cs="Times New Roman"/>
          <w:bCs/>
          <w:szCs w:val="24"/>
          <w:lang w:eastAsia="pl-PL"/>
        </w:rPr>
        <w:t xml:space="preserve"> 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w </w:t>
      </w:r>
      <w:r w:rsidR="00607369">
        <w:rPr>
          <w:rFonts w:eastAsia="Times New Roman" w:cs="Times New Roman"/>
          <w:bCs/>
          <w:szCs w:val="24"/>
          <w:lang w:eastAsia="pl-PL"/>
        </w:rPr>
        <w:t>grupach kapitałowych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 instrumenty pochodne po stronie pasywów osiągnęły wartość </w:t>
      </w:r>
      <w:r w:rsidR="00270485">
        <w:rPr>
          <w:rFonts w:eastAsia="Times New Roman" w:cs="Times New Roman"/>
          <w:bCs/>
          <w:szCs w:val="24"/>
          <w:lang w:eastAsia="pl-PL"/>
        </w:rPr>
        <w:t>6,8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 mld zł, w tym najwięcej, bo </w:t>
      </w:r>
      <w:r w:rsidR="00270485">
        <w:rPr>
          <w:rFonts w:eastAsia="Times New Roman" w:cs="Times New Roman"/>
          <w:bCs/>
          <w:szCs w:val="24"/>
          <w:lang w:eastAsia="pl-PL"/>
        </w:rPr>
        <w:t>96,9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>%</w:t>
      </w:r>
      <w:r w:rsidR="006B5E90">
        <w:rPr>
          <w:rFonts w:eastAsia="Times New Roman" w:cs="Times New Roman"/>
          <w:bCs/>
          <w:szCs w:val="24"/>
          <w:lang w:eastAsia="pl-PL"/>
        </w:rPr>
        <w:t>,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 stanowiły kontrakty </w:t>
      </w:r>
      <w:proofErr w:type="spellStart"/>
      <w:r w:rsidR="00607369" w:rsidRPr="006E229E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607369" w:rsidRPr="006E229E">
        <w:rPr>
          <w:rFonts w:eastAsia="Times New Roman" w:cs="Times New Roman"/>
          <w:bCs/>
          <w:szCs w:val="24"/>
          <w:lang w:eastAsia="pl-PL"/>
        </w:rPr>
        <w:t>.</w:t>
      </w:r>
      <w:r w:rsidR="00607369">
        <w:rPr>
          <w:rFonts w:eastAsia="Times New Roman" w:cs="Times New Roman"/>
          <w:bCs/>
          <w:szCs w:val="24"/>
          <w:lang w:eastAsia="pl-PL"/>
        </w:rPr>
        <w:t xml:space="preserve"> 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Wartość instrumentów pochodnych w pasywach jednostek dominujących i jednocześnie </w:t>
      </w:r>
      <w:r w:rsidR="00624ACF">
        <w:rPr>
          <w:rFonts w:eastAsia="Times New Roman" w:cs="Times New Roman"/>
          <w:bCs/>
          <w:szCs w:val="24"/>
          <w:lang w:eastAsia="pl-PL"/>
        </w:rPr>
        <w:t>zależnych</w:t>
      </w:r>
      <w:r w:rsidR="00FF6559" w:rsidRPr="006E229E">
        <w:rPr>
          <w:rFonts w:eastAsia="Times New Roman" w:cs="Times New Roman"/>
          <w:bCs/>
          <w:szCs w:val="24"/>
          <w:lang w:eastAsia="pl-PL"/>
        </w:rPr>
        <w:t xml:space="preserve"> 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w </w:t>
      </w:r>
      <w:r w:rsidR="00607369">
        <w:rPr>
          <w:rFonts w:eastAsia="Times New Roman" w:cs="Times New Roman"/>
          <w:bCs/>
          <w:szCs w:val="24"/>
          <w:lang w:eastAsia="pl-PL"/>
        </w:rPr>
        <w:t>grupach kapitałowych</w:t>
      </w:r>
      <w:r w:rsidR="00607369" w:rsidRPr="006E229E">
        <w:rPr>
          <w:rFonts w:eastAsia="Times New Roman" w:cs="Times New Roman"/>
          <w:bCs/>
          <w:szCs w:val="24"/>
          <w:lang w:eastAsia="pl-PL"/>
        </w:rPr>
        <w:t xml:space="preserve"> wyniosła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r w:rsidR="00270485">
        <w:rPr>
          <w:rFonts w:eastAsia="Times New Roman" w:cs="Times New Roman"/>
          <w:bCs/>
          <w:szCs w:val="24"/>
          <w:lang w:eastAsia="pl-PL"/>
        </w:rPr>
        <w:t>1,6</w:t>
      </w:r>
      <w:r w:rsidR="00607369">
        <w:rPr>
          <w:rFonts w:eastAsia="Times New Roman" w:cs="Times New Roman"/>
          <w:bCs/>
          <w:szCs w:val="24"/>
          <w:lang w:eastAsia="pl-PL"/>
        </w:rPr>
        <w:t> 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>mld</w:t>
      </w:r>
      <w:r w:rsidR="00607369">
        <w:rPr>
          <w:rFonts w:eastAsia="Times New Roman" w:cs="Times New Roman"/>
          <w:bCs/>
          <w:szCs w:val="24"/>
          <w:lang w:eastAsia="pl-PL"/>
        </w:rPr>
        <w:t> zł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 </w:t>
      </w:r>
      <w:r w:rsidR="00607369">
        <w:rPr>
          <w:rFonts w:eastAsia="Times New Roman" w:cs="Times New Roman"/>
          <w:bCs/>
          <w:szCs w:val="24"/>
          <w:lang w:eastAsia="pl-PL"/>
        </w:rPr>
        <w:t>z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 najwyższy</w:t>
      </w:r>
      <w:r w:rsidR="00607369">
        <w:rPr>
          <w:rFonts w:eastAsia="Times New Roman" w:cs="Times New Roman"/>
          <w:bCs/>
          <w:szCs w:val="24"/>
          <w:lang w:eastAsia="pl-PL"/>
        </w:rPr>
        <w:t>mi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 udział</w:t>
      </w:r>
      <w:r w:rsidR="00607369">
        <w:rPr>
          <w:rFonts w:eastAsia="Times New Roman" w:cs="Times New Roman"/>
          <w:bCs/>
          <w:szCs w:val="24"/>
          <w:lang w:eastAsia="pl-PL"/>
        </w:rPr>
        <w:t>ami</w:t>
      </w:r>
      <w:r w:rsidR="00607369" w:rsidRPr="00B8049B">
        <w:rPr>
          <w:rFonts w:eastAsia="Times New Roman" w:cs="Times New Roman"/>
          <w:bCs/>
          <w:szCs w:val="24"/>
          <w:lang w:eastAsia="pl-PL"/>
        </w:rPr>
        <w:t xml:space="preserve"> kontrakt</w:t>
      </w:r>
      <w:r w:rsidR="00607369">
        <w:rPr>
          <w:rFonts w:eastAsia="Times New Roman" w:cs="Times New Roman"/>
          <w:bCs/>
          <w:szCs w:val="24"/>
          <w:lang w:eastAsia="pl-PL"/>
        </w:rPr>
        <w:t>ów</w:t>
      </w:r>
      <w:r w:rsidR="00FE7336">
        <w:rPr>
          <w:rFonts w:eastAsia="Times New Roman" w:cs="Times New Roman"/>
          <w:bCs/>
          <w:szCs w:val="24"/>
          <w:lang w:eastAsia="pl-PL"/>
        </w:rPr>
        <w:t xml:space="preserve"> </w:t>
      </w:r>
      <w:proofErr w:type="spellStart"/>
      <w:r w:rsidR="007C75CF">
        <w:rPr>
          <w:rFonts w:eastAsia="Times New Roman" w:cs="Times New Roman"/>
          <w:bCs/>
          <w:i/>
          <w:szCs w:val="24"/>
          <w:lang w:eastAsia="pl-PL"/>
        </w:rPr>
        <w:t>forward</w:t>
      </w:r>
      <w:proofErr w:type="spellEnd"/>
      <w:r w:rsidR="007C75CF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7C75CF" w:rsidRPr="00CF7AE9">
        <w:rPr>
          <w:rFonts w:eastAsia="Times New Roman" w:cs="Times New Roman"/>
          <w:bCs/>
          <w:szCs w:val="24"/>
          <w:lang w:eastAsia="pl-PL"/>
        </w:rPr>
        <w:t xml:space="preserve">– </w:t>
      </w:r>
      <w:r w:rsidR="00270485">
        <w:rPr>
          <w:rFonts w:eastAsia="Times New Roman" w:cs="Times New Roman"/>
          <w:bCs/>
          <w:szCs w:val="24"/>
          <w:lang w:eastAsia="pl-PL"/>
        </w:rPr>
        <w:t>48,0</w:t>
      </w:r>
      <w:r w:rsidR="007C75CF" w:rsidRPr="00CF7AE9">
        <w:rPr>
          <w:rFonts w:eastAsia="Times New Roman" w:cs="Times New Roman"/>
          <w:bCs/>
          <w:szCs w:val="24"/>
          <w:lang w:eastAsia="pl-PL"/>
        </w:rPr>
        <w:t>%</w:t>
      </w:r>
      <w:r w:rsidR="007C75CF" w:rsidRPr="0046430A">
        <w:rPr>
          <w:rFonts w:eastAsia="Times New Roman" w:cs="Times New Roman"/>
          <w:bCs/>
          <w:szCs w:val="24"/>
          <w:lang w:eastAsia="pl-PL"/>
        </w:rPr>
        <w:t>.</w:t>
      </w:r>
    </w:p>
    <w:p w14:paraId="2FB5EF73" w14:textId="77777777" w:rsidR="00797D6D" w:rsidRDefault="00797D6D">
      <w:pPr>
        <w:spacing w:before="0" w:after="160" w:line="259" w:lineRule="auto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br w:type="page"/>
      </w:r>
    </w:p>
    <w:p w14:paraId="78016B1D" w14:textId="26572310" w:rsidR="0087615E" w:rsidRPr="00C10991" w:rsidRDefault="00920FA9" w:rsidP="00CF7AE9">
      <w:pPr>
        <w:spacing w:before="360" w:line="240" w:lineRule="auto"/>
        <w:rPr>
          <w:rFonts w:eastAsia="Times New Roman" w:cs="Times New Roman"/>
          <w:bCs/>
          <w:szCs w:val="19"/>
          <w:lang w:eastAsia="pl-PL"/>
        </w:rPr>
      </w:pPr>
      <w:r w:rsidRPr="00C10991">
        <w:rPr>
          <w:rFonts w:ascii="Fira Sans SemiBold" w:eastAsia="Times New Roman" w:hAnsi="Fira Sans SemiBold" w:cs="Times New Roman"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3D9C88" wp14:editId="4FBDC69E">
                <wp:simplePos x="0" y="0"/>
                <wp:positionH relativeFrom="column">
                  <wp:posOffset>5238962</wp:posOffset>
                </wp:positionH>
                <wp:positionV relativeFrom="paragraph">
                  <wp:posOffset>1599142</wp:posOffset>
                </wp:positionV>
                <wp:extent cx="1731645" cy="1594884"/>
                <wp:effectExtent l="0" t="0" r="0" b="5715"/>
                <wp:wrapNone/>
                <wp:docPr id="18" name="Pole tekstowe 18" descr="Kontrakty forward odpowiadały za 76,2% wartości wszystkich instrumentów pochodnych wykazanych po stronie aktywów oraz za 81,5% wartości instrumentów pochodnych po stronie pasywó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1594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AD1DD1" w14:textId="61918218" w:rsidR="007918C5" w:rsidRPr="00644C13" w:rsidRDefault="007918C5" w:rsidP="00903EE0">
                            <w:pPr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764D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Kontrakty </w:t>
                            </w:r>
                            <w:proofErr w:type="spellStart"/>
                            <w:r w:rsidRPr="001F764D">
                              <w:rPr>
                                <w:i/>
                                <w:color w:val="002060"/>
                                <w:sz w:val="18"/>
                                <w:szCs w:val="18"/>
                              </w:rPr>
                              <w:t>forward</w:t>
                            </w:r>
                            <w:proofErr w:type="spellEnd"/>
                            <w:r w:rsidRPr="00184F69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odpowiadały za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76,2</w:t>
                            </w:r>
                            <w:r w:rsidRPr="001F764D">
                              <w:rPr>
                                <w:color w:val="002060"/>
                                <w:sz w:val="18"/>
                                <w:szCs w:val="18"/>
                              </w:rPr>
                              <w:t>% wartości wszystkich instrumentów pochod</w:t>
                            </w:r>
                            <w:r w:rsidRPr="00184F69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nych wykazanych po stronie aktywów oraz za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81,5</w:t>
                            </w:r>
                            <w:r w:rsidRPr="001F764D">
                              <w:rPr>
                                <w:color w:val="002060"/>
                                <w:sz w:val="18"/>
                                <w:szCs w:val="18"/>
                              </w:rPr>
                              <w:t>% wartości instrumentów pochodnych po stronie pasywów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9C88" id="Pole tekstowe 18" o:spid="_x0000_s1033" type="#_x0000_t202" alt="Kontrakty forward odpowiadały za 76,2% wartości wszystkich instrumentów pochodnych wykazanych po stronie aktywów oraz za 81,5% wartości instrumentów pochodnych po stronie pasywów" style="position:absolute;margin-left:412.5pt;margin-top:125.9pt;width:136.35pt;height:1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" filled="f" stroked="f" strokeweight=".5pt">
                <v:textbox>
                  <w:txbxContent>
                    <w:p w14:paraId="59AD1DD1" w14:textId="61918218" w:rsidR="007918C5" w:rsidRPr="00644C13" w:rsidRDefault="007918C5" w:rsidP="00903EE0">
                      <w:pPr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1F764D">
                        <w:rPr>
                          <w:color w:val="002060"/>
                          <w:sz w:val="18"/>
                          <w:szCs w:val="18"/>
                        </w:rPr>
                        <w:t xml:space="preserve">Kontrakty </w:t>
                      </w:r>
                      <w:proofErr w:type="spellStart"/>
                      <w:r w:rsidRPr="001F764D">
                        <w:rPr>
                          <w:i/>
                          <w:color w:val="002060"/>
                          <w:sz w:val="18"/>
                          <w:szCs w:val="18"/>
                        </w:rPr>
                        <w:t>forward</w:t>
                      </w:r>
                      <w:proofErr w:type="spellEnd"/>
                      <w:r w:rsidRPr="00184F69">
                        <w:rPr>
                          <w:color w:val="002060"/>
                          <w:sz w:val="18"/>
                          <w:szCs w:val="18"/>
                        </w:rPr>
                        <w:t xml:space="preserve"> odpowiadały za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76,2</w:t>
                      </w:r>
                      <w:r w:rsidRPr="001F764D">
                        <w:rPr>
                          <w:color w:val="002060"/>
                          <w:sz w:val="18"/>
                          <w:szCs w:val="18"/>
                        </w:rPr>
                        <w:t>% wartości wszystkich instrumentów pochod</w:t>
                      </w:r>
                      <w:r w:rsidRPr="00184F69">
                        <w:rPr>
                          <w:color w:val="002060"/>
                          <w:sz w:val="18"/>
                          <w:szCs w:val="18"/>
                        </w:rPr>
                        <w:t xml:space="preserve">nych wykazanych po stronie aktywów oraz za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81,5</w:t>
                      </w:r>
                      <w:r w:rsidRPr="001F764D">
                        <w:rPr>
                          <w:color w:val="002060"/>
                          <w:sz w:val="18"/>
                          <w:szCs w:val="18"/>
                        </w:rPr>
                        <w:t>% wartości instrumentów pochodnych po stronie pasywów</w:t>
                      </w:r>
                    </w:p>
                  </w:txbxContent>
                </v:textbox>
              </v:shape>
            </w:pict>
          </mc:Fallback>
        </mc:AlternateContent>
      </w:r>
      <w:r w:rsidR="0087615E" w:rsidRPr="00CF7AE9">
        <w:rPr>
          <w:rFonts w:eastAsia="Times New Roman" w:cs="Times New Roman"/>
          <w:b/>
          <w:bCs/>
          <w:szCs w:val="19"/>
          <w:lang w:eastAsia="pl-PL"/>
        </w:rPr>
        <w:t>Tablica 7. Instrumenty pochodne według rodzajów</w:t>
      </w:r>
      <w:r w:rsidR="00CC0FB9"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E34829">
        <w:rPr>
          <w:rFonts w:eastAsia="Fira Sans Light" w:cs="Times New Roman"/>
          <w:b/>
          <w:spacing w:val="-2"/>
          <w:szCs w:val="19"/>
          <w:shd w:val="clear" w:color="auto" w:fill="FFFFFF"/>
        </w:rPr>
        <w:t>(stan na 31 grudnia 2024 r.)</w:t>
      </w:r>
    </w:p>
    <w:tbl>
      <w:tblPr>
        <w:tblStyle w:val="Siatkatabelijasna11"/>
        <w:tblpPr w:leftFromText="141" w:rightFromText="141" w:vertAnchor="text" w:horzAnchor="margin" w:tblpY="129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lica 7. Instrumenty pochodne według rodzajów"/>
      </w:tblPr>
      <w:tblGrid>
        <w:gridCol w:w="2127"/>
        <w:gridCol w:w="1018"/>
        <w:gridCol w:w="1022"/>
        <w:gridCol w:w="1187"/>
        <w:gridCol w:w="1308"/>
        <w:gridCol w:w="1313"/>
      </w:tblGrid>
      <w:tr w:rsidR="00671828" w:rsidRPr="00BB0000" w14:paraId="5FC6E477" w14:textId="77777777" w:rsidTr="007918C5">
        <w:trPr>
          <w:trHeight w:val="582"/>
        </w:trPr>
        <w:tc>
          <w:tcPr>
            <w:tcW w:w="1334" w:type="pct"/>
            <w:vMerge w:val="restart"/>
            <w:tcBorders>
              <w:top w:val="single" w:sz="4" w:space="0" w:color="212492"/>
            </w:tcBorders>
            <w:vAlign w:val="center"/>
          </w:tcPr>
          <w:p w14:paraId="69773F74" w14:textId="77777777" w:rsidR="00671828" w:rsidRPr="00BB0000" w:rsidRDefault="00671828" w:rsidP="00E633F2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  <w:r w:rsidRPr="00BB0000">
              <w:rPr>
                <w:rFonts w:eastAsia="Times New Roman" w:cs="Times New Roman"/>
                <w:bCs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638" w:type="pct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ECA322A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Fira Sans Light" w:cs="Times New Roman"/>
                <w:szCs w:val="19"/>
              </w:rPr>
              <w:t>Ogółem</w:t>
            </w:r>
          </w:p>
        </w:tc>
        <w:tc>
          <w:tcPr>
            <w:tcW w:w="641" w:type="pct"/>
            <w:tcBorders>
              <w:top w:val="single" w:sz="4" w:space="0" w:color="212492"/>
              <w:right w:val="nil"/>
            </w:tcBorders>
            <w:vAlign w:val="center"/>
          </w:tcPr>
          <w:p w14:paraId="4DF333BF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Przedsiębiorstwa działające</w:t>
            </w:r>
          </w:p>
          <w:p w14:paraId="061512F6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samodzielnie</w:t>
            </w:r>
          </w:p>
        </w:tc>
        <w:tc>
          <w:tcPr>
            <w:tcW w:w="744" w:type="pct"/>
            <w:tcBorders>
              <w:top w:val="single" w:sz="4" w:space="0" w:color="212492"/>
              <w:right w:val="nil"/>
            </w:tcBorders>
          </w:tcPr>
          <w:p w14:paraId="71852268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1B85F515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dominujące w grupach kapitałowych</w:t>
            </w:r>
          </w:p>
        </w:tc>
        <w:tc>
          <w:tcPr>
            <w:tcW w:w="820" w:type="pct"/>
            <w:tcBorders>
              <w:top w:val="single" w:sz="4" w:space="0" w:color="212492"/>
              <w:right w:val="nil"/>
            </w:tcBorders>
            <w:vAlign w:val="center"/>
          </w:tcPr>
          <w:p w14:paraId="600E45E1" w14:textId="77777777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Jednostki</w:t>
            </w:r>
          </w:p>
          <w:p w14:paraId="1E9BA08E" w14:textId="3D6B772B" w:rsidR="00671828" w:rsidRPr="00BB0000" w:rsidRDefault="00624ACF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="00671828" w:rsidRPr="00BB0000">
              <w:rPr>
                <w:rFonts w:eastAsia="Times New Roman" w:cs="Times New Roman"/>
                <w:color w:val="000000"/>
                <w:szCs w:val="19"/>
              </w:rPr>
              <w:t xml:space="preserve"> w grupach</w:t>
            </w:r>
          </w:p>
          <w:p w14:paraId="17E6062C" w14:textId="78AFB154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kapitałowych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6E878359" w14:textId="6AB28FB3" w:rsidR="00671828" w:rsidRPr="00BB0000" w:rsidRDefault="00671828" w:rsidP="00E633F2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Jednostki dominujące i jednocześnie </w:t>
            </w:r>
            <w:r w:rsidR="00624ACF">
              <w:rPr>
                <w:rFonts w:eastAsia="Times New Roman" w:cs="Times New Roman"/>
                <w:color w:val="000000"/>
                <w:szCs w:val="19"/>
              </w:rPr>
              <w:t>zależne</w:t>
            </w:r>
            <w:r w:rsidRPr="00BB0000">
              <w:rPr>
                <w:rFonts w:eastAsia="Times New Roman" w:cs="Times New Roman"/>
                <w:color w:val="000000"/>
                <w:szCs w:val="19"/>
              </w:rPr>
              <w:t xml:space="preserve"> w grupach kapitałowych</w:t>
            </w:r>
          </w:p>
        </w:tc>
      </w:tr>
      <w:tr w:rsidR="004F4C3E" w:rsidRPr="00BB0000" w14:paraId="2602DE28" w14:textId="77777777" w:rsidTr="00E633F2">
        <w:trPr>
          <w:trHeight w:hRule="exact" w:val="322"/>
        </w:trPr>
        <w:tc>
          <w:tcPr>
            <w:tcW w:w="1334" w:type="pct"/>
            <w:vMerge/>
            <w:tcBorders>
              <w:bottom w:val="single" w:sz="12" w:space="0" w:color="212492"/>
            </w:tcBorders>
            <w:vAlign w:val="center"/>
          </w:tcPr>
          <w:p w14:paraId="6C37A23D" w14:textId="77777777" w:rsidR="004F4C3E" w:rsidRPr="00BB0000" w:rsidRDefault="004F4C3E" w:rsidP="00E633F2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color w:val="000000"/>
                <w:szCs w:val="19"/>
                <w:lang w:eastAsia="pl-PL"/>
              </w:rPr>
            </w:pPr>
          </w:p>
        </w:tc>
        <w:tc>
          <w:tcPr>
            <w:tcW w:w="3666" w:type="pct"/>
            <w:gridSpan w:val="5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D57E56A" w14:textId="77777777" w:rsidR="004F4C3E" w:rsidRPr="00BB0000" w:rsidRDefault="004F4C3E" w:rsidP="00E633F2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  <w:p w14:paraId="2008D2AD" w14:textId="77777777" w:rsidR="004F4C3E" w:rsidRPr="00BB0000" w:rsidRDefault="004F4C3E" w:rsidP="00E633F2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%</w:t>
            </w:r>
          </w:p>
          <w:p w14:paraId="0D86EF0C" w14:textId="77777777" w:rsidR="004F4C3E" w:rsidRPr="00BB0000" w:rsidRDefault="004F4C3E" w:rsidP="00E633F2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  <w:r w:rsidRPr="00BB0000">
              <w:rPr>
                <w:rFonts w:eastAsia="Times New Roman" w:cs="Times New Roman"/>
                <w:color w:val="000000"/>
                <w:szCs w:val="19"/>
              </w:rPr>
              <w:t>w mln zł</w:t>
            </w:r>
          </w:p>
          <w:p w14:paraId="0C8D5BAE" w14:textId="77777777" w:rsidR="004F4C3E" w:rsidRPr="00BB0000" w:rsidRDefault="004F4C3E" w:rsidP="00E633F2">
            <w:pPr>
              <w:keepNext/>
              <w:keepLines/>
              <w:spacing w:before="0" w:after="0"/>
              <w:jc w:val="center"/>
              <w:outlineLvl w:val="2"/>
              <w:rPr>
                <w:rFonts w:eastAsia="Times New Roman" w:cs="Times New Roman"/>
                <w:color w:val="000000"/>
                <w:szCs w:val="19"/>
              </w:rPr>
            </w:pPr>
          </w:p>
        </w:tc>
      </w:tr>
      <w:tr w:rsidR="00BB3DA1" w:rsidRPr="00BB0000" w14:paraId="02085928" w14:textId="77777777" w:rsidTr="00E633F2">
        <w:trPr>
          <w:trHeight w:hRule="exact" w:val="680"/>
        </w:trPr>
        <w:tc>
          <w:tcPr>
            <w:tcW w:w="133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71163FF" w14:textId="49256B19" w:rsidR="00BB3DA1" w:rsidRPr="00BB0000" w:rsidRDefault="00BB3DA1" w:rsidP="00E633F2">
            <w:pPr>
              <w:spacing w:before="0" w:after="0" w:line="240" w:lineRule="auto"/>
              <w:rPr>
                <w:rFonts w:eastAsia="Fira Sans Light" w:cs="Calibri"/>
                <w:bCs/>
                <w:szCs w:val="19"/>
              </w:rPr>
            </w:pPr>
            <w:r w:rsidRPr="00BB0000">
              <w:rPr>
                <w:rFonts w:eastAsia="Fira Sans Light" w:cs="Calibri"/>
                <w:b/>
                <w:bCs/>
                <w:szCs w:val="19"/>
              </w:rPr>
              <w:t>Instrumenty pochodne – aktywa</w:t>
            </w:r>
          </w:p>
        </w:tc>
        <w:tc>
          <w:tcPr>
            <w:tcW w:w="638" w:type="pct"/>
            <w:tcBorders>
              <w:top w:val="single" w:sz="12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513601B5" w14:textId="6F00F89A" w:rsidR="00BB3DA1" w:rsidRPr="00BB0000" w:rsidRDefault="00BB3DA1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rFonts w:cs="Calibri"/>
                <w:b/>
                <w:bCs/>
                <w:color w:val="000000"/>
                <w:szCs w:val="19"/>
              </w:rPr>
              <w:t>17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/>
                <w:bCs/>
                <w:color w:val="000000"/>
                <w:szCs w:val="19"/>
              </w:rPr>
              <w:t>107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,6</w:t>
            </w:r>
          </w:p>
        </w:tc>
        <w:tc>
          <w:tcPr>
            <w:tcW w:w="641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1FEC4EF4" w14:textId="5B9BABA7" w:rsidR="00BB3DA1" w:rsidRPr="00BB0000" w:rsidRDefault="00BB3DA1" w:rsidP="00E633F2">
            <w:pPr>
              <w:spacing w:before="0" w:after="0" w:line="240" w:lineRule="auto"/>
              <w:jc w:val="right"/>
              <w:rPr>
                <w:b/>
                <w:color w:val="000000"/>
                <w:szCs w:val="19"/>
              </w:rPr>
            </w:pPr>
            <w:r w:rsidRPr="00BB0000">
              <w:rPr>
                <w:rFonts w:cs="Calibri"/>
                <w:b/>
                <w:bCs/>
                <w:color w:val="000000"/>
                <w:szCs w:val="19"/>
              </w:rPr>
              <w:t>829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,3</w:t>
            </w:r>
          </w:p>
        </w:tc>
        <w:tc>
          <w:tcPr>
            <w:tcW w:w="744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479DA415" w14:textId="5C474223" w:rsidR="00BB3DA1" w:rsidRPr="00BB0000" w:rsidRDefault="00BB3DA1" w:rsidP="00E633F2">
            <w:pPr>
              <w:spacing w:before="0" w:after="0" w:line="240" w:lineRule="auto"/>
              <w:jc w:val="right"/>
              <w:rPr>
                <w:b/>
                <w:color w:val="000000"/>
                <w:szCs w:val="19"/>
              </w:rPr>
            </w:pPr>
            <w:r w:rsidRPr="00BB0000">
              <w:rPr>
                <w:rFonts w:cs="Calibri"/>
                <w:b/>
                <w:bCs/>
                <w:color w:val="000000"/>
                <w:szCs w:val="19"/>
              </w:rPr>
              <w:t>4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/>
                <w:bCs/>
                <w:color w:val="000000"/>
                <w:szCs w:val="19"/>
              </w:rPr>
              <w:t>406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,0</w:t>
            </w:r>
          </w:p>
        </w:tc>
        <w:tc>
          <w:tcPr>
            <w:tcW w:w="820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05AC9160" w14:textId="6D8FC782" w:rsidR="00BB3DA1" w:rsidRPr="00BB0000" w:rsidRDefault="00BB3DA1" w:rsidP="00E633F2">
            <w:pPr>
              <w:spacing w:before="0" w:after="0" w:line="240" w:lineRule="auto"/>
              <w:jc w:val="right"/>
              <w:rPr>
                <w:b/>
                <w:color w:val="000000"/>
                <w:szCs w:val="19"/>
              </w:rPr>
            </w:pPr>
            <w:r w:rsidRPr="00BB0000">
              <w:rPr>
                <w:rFonts w:cs="Calibri"/>
                <w:b/>
                <w:bCs/>
                <w:color w:val="000000"/>
                <w:szCs w:val="19"/>
              </w:rPr>
              <w:t>8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/>
                <w:bCs/>
                <w:color w:val="000000"/>
                <w:szCs w:val="19"/>
              </w:rPr>
              <w:t>125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,5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  <w:right w:val="nil"/>
            </w:tcBorders>
            <w:vAlign w:val="center"/>
          </w:tcPr>
          <w:p w14:paraId="4851B7E3" w14:textId="09C0950A" w:rsidR="00BB3DA1" w:rsidRPr="00BB0000" w:rsidRDefault="00BB3DA1" w:rsidP="00E633F2">
            <w:pPr>
              <w:spacing w:before="0" w:after="0" w:line="240" w:lineRule="auto"/>
              <w:jc w:val="right"/>
              <w:rPr>
                <w:b/>
                <w:color w:val="000000"/>
                <w:szCs w:val="19"/>
              </w:rPr>
            </w:pPr>
            <w:r w:rsidRPr="00BB0000">
              <w:rPr>
                <w:rFonts w:cs="Calibri"/>
                <w:b/>
                <w:bCs/>
                <w:color w:val="000000"/>
                <w:szCs w:val="19"/>
              </w:rPr>
              <w:t>3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/>
                <w:bCs/>
                <w:color w:val="000000"/>
                <w:szCs w:val="19"/>
              </w:rPr>
              <w:t>746</w:t>
            </w:r>
            <w:r w:rsidR="00455271" w:rsidRPr="00BB0000">
              <w:rPr>
                <w:rFonts w:cs="Calibri"/>
                <w:b/>
                <w:bCs/>
                <w:color w:val="000000"/>
                <w:szCs w:val="19"/>
              </w:rPr>
              <w:t>,9</w:t>
            </w:r>
          </w:p>
        </w:tc>
      </w:tr>
      <w:tr w:rsidR="00BB3DA1" w:rsidRPr="00BB0000" w14:paraId="19F17F3E" w14:textId="77777777" w:rsidTr="00E633F2">
        <w:trPr>
          <w:trHeight w:val="20"/>
        </w:trPr>
        <w:tc>
          <w:tcPr>
            <w:tcW w:w="1334" w:type="pct"/>
            <w:tcBorders>
              <w:top w:val="single" w:sz="4" w:space="0" w:color="212492"/>
            </w:tcBorders>
            <w:vAlign w:val="center"/>
          </w:tcPr>
          <w:p w14:paraId="15511745" w14:textId="13B0606F" w:rsidR="00BB3DA1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BB3DA1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BB3DA1" w:rsidRPr="00BB0000">
              <w:rPr>
                <w:rFonts w:eastAsia="Fira Sans Light" w:cs="Calibri"/>
                <w:i/>
                <w:szCs w:val="19"/>
              </w:rPr>
              <w:t>forward</w:t>
            </w:r>
            <w:proofErr w:type="spellEnd"/>
          </w:p>
        </w:tc>
        <w:tc>
          <w:tcPr>
            <w:tcW w:w="638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62F66D56" w14:textId="538CEB51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13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030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641" w:type="pct"/>
            <w:tcBorders>
              <w:top w:val="single" w:sz="4" w:space="0" w:color="212492"/>
              <w:right w:val="nil"/>
            </w:tcBorders>
            <w:vAlign w:val="center"/>
          </w:tcPr>
          <w:p w14:paraId="22CD60B9" w14:textId="3D897573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782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,8</w:t>
            </w:r>
          </w:p>
        </w:tc>
        <w:tc>
          <w:tcPr>
            <w:tcW w:w="744" w:type="pct"/>
            <w:tcBorders>
              <w:top w:val="single" w:sz="4" w:space="0" w:color="212492"/>
              <w:right w:val="nil"/>
            </w:tcBorders>
            <w:vAlign w:val="center"/>
          </w:tcPr>
          <w:p w14:paraId="3C0462F0" w14:textId="48A14834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522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820" w:type="pct"/>
            <w:tcBorders>
              <w:top w:val="single" w:sz="4" w:space="0" w:color="212492"/>
              <w:right w:val="nil"/>
            </w:tcBorders>
            <w:vAlign w:val="center"/>
          </w:tcPr>
          <w:p w14:paraId="0F5460D7" w14:textId="13869C65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7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899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3313CECE" w14:textId="2FF75A3B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82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6,0</w:t>
            </w:r>
          </w:p>
        </w:tc>
      </w:tr>
      <w:tr w:rsidR="00BB3DA1" w:rsidRPr="00BB0000" w14:paraId="2AAB1E84" w14:textId="77777777" w:rsidTr="00E633F2">
        <w:trPr>
          <w:trHeight w:val="20"/>
        </w:trPr>
        <w:tc>
          <w:tcPr>
            <w:tcW w:w="1334" w:type="pct"/>
            <w:vAlign w:val="center"/>
          </w:tcPr>
          <w:p w14:paraId="60AB2F29" w14:textId="1C3CE61A" w:rsidR="00BB3DA1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BB3DA1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BB3DA1" w:rsidRPr="00BB0000">
              <w:rPr>
                <w:rFonts w:eastAsia="Fira Sans Light" w:cs="Calibri"/>
                <w:i/>
                <w:szCs w:val="19"/>
              </w:rPr>
              <w:t>futures</w:t>
            </w:r>
            <w:proofErr w:type="spellEnd"/>
          </w:p>
        </w:tc>
        <w:tc>
          <w:tcPr>
            <w:tcW w:w="638" w:type="pct"/>
            <w:vAlign w:val="center"/>
          </w:tcPr>
          <w:p w14:paraId="223D163B" w14:textId="1A2CE26B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868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641" w:type="pct"/>
            <w:vAlign w:val="center"/>
          </w:tcPr>
          <w:p w14:paraId="1C8AA336" w14:textId="0886A755" w:rsidR="00BB3DA1" w:rsidRPr="00BB0000" w:rsidRDefault="001E379E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.</w:t>
            </w:r>
          </w:p>
        </w:tc>
        <w:tc>
          <w:tcPr>
            <w:tcW w:w="744" w:type="pct"/>
            <w:vAlign w:val="center"/>
          </w:tcPr>
          <w:p w14:paraId="0DA416ED" w14:textId="433B16C6" w:rsidR="00BB3DA1" w:rsidRPr="00BB0000" w:rsidRDefault="001E379E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.</w:t>
            </w:r>
          </w:p>
        </w:tc>
        <w:tc>
          <w:tcPr>
            <w:tcW w:w="820" w:type="pct"/>
            <w:vAlign w:val="center"/>
          </w:tcPr>
          <w:p w14:paraId="6B104070" w14:textId="6678A931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48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823" w:type="pct"/>
            <w:vAlign w:val="center"/>
          </w:tcPr>
          <w:p w14:paraId="6984E752" w14:textId="5029375F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380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</w:tr>
      <w:tr w:rsidR="00BB3DA1" w:rsidRPr="00BB0000" w14:paraId="3E611171" w14:textId="77777777" w:rsidTr="00E633F2">
        <w:trPr>
          <w:trHeight w:val="20"/>
        </w:trPr>
        <w:tc>
          <w:tcPr>
            <w:tcW w:w="1334" w:type="pct"/>
            <w:tcBorders>
              <w:bottom w:val="single" w:sz="4" w:space="0" w:color="212492"/>
            </w:tcBorders>
            <w:vAlign w:val="center"/>
          </w:tcPr>
          <w:p w14:paraId="01BE6CBF" w14:textId="27008862" w:rsidR="00BB3DA1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O</w:t>
            </w:r>
            <w:r w:rsidR="00BB3DA1" w:rsidRPr="00BB0000">
              <w:rPr>
                <w:rFonts w:eastAsia="Fira Sans Light" w:cs="Calibri"/>
                <w:szCs w:val="19"/>
              </w:rPr>
              <w:t>pcje</w:t>
            </w:r>
          </w:p>
        </w:tc>
        <w:tc>
          <w:tcPr>
            <w:tcW w:w="638" w:type="pct"/>
            <w:tcBorders>
              <w:bottom w:val="single" w:sz="4" w:space="0" w:color="212492"/>
            </w:tcBorders>
            <w:vAlign w:val="center"/>
          </w:tcPr>
          <w:p w14:paraId="015E971C" w14:textId="0F0A1CDD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455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,7</w:t>
            </w:r>
          </w:p>
        </w:tc>
        <w:tc>
          <w:tcPr>
            <w:tcW w:w="641" w:type="pct"/>
            <w:tcBorders>
              <w:bottom w:val="single" w:sz="4" w:space="0" w:color="212492"/>
            </w:tcBorders>
            <w:vAlign w:val="center"/>
          </w:tcPr>
          <w:p w14:paraId="24D7B7BC" w14:textId="3EA23AE7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8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744" w:type="pct"/>
            <w:tcBorders>
              <w:bottom w:val="single" w:sz="4" w:space="0" w:color="212492"/>
            </w:tcBorders>
            <w:vAlign w:val="center"/>
          </w:tcPr>
          <w:p w14:paraId="02B0785E" w14:textId="3E0D6C00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421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,5</w:t>
            </w:r>
          </w:p>
        </w:tc>
        <w:tc>
          <w:tcPr>
            <w:tcW w:w="820" w:type="pct"/>
            <w:tcBorders>
              <w:bottom w:val="single" w:sz="4" w:space="0" w:color="212492"/>
            </w:tcBorders>
            <w:vAlign w:val="center"/>
          </w:tcPr>
          <w:p w14:paraId="47066303" w14:textId="0CC4C535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,0</w:t>
            </w:r>
          </w:p>
        </w:tc>
        <w:tc>
          <w:tcPr>
            <w:tcW w:w="823" w:type="pct"/>
            <w:tcBorders>
              <w:bottom w:val="single" w:sz="4" w:space="0" w:color="212492"/>
            </w:tcBorders>
            <w:vAlign w:val="center"/>
          </w:tcPr>
          <w:p w14:paraId="5B113668" w14:textId="5CC5BC69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13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</w:tr>
      <w:tr w:rsidR="00BB3DA1" w:rsidRPr="00BB0000" w14:paraId="25B9CF87" w14:textId="77777777" w:rsidTr="00E633F2">
        <w:trPr>
          <w:trHeight w:val="20"/>
        </w:trPr>
        <w:tc>
          <w:tcPr>
            <w:tcW w:w="1334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2CE6F7D7" w14:textId="05F6D159" w:rsidR="00BB3DA1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BB3DA1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BB3DA1" w:rsidRPr="00BB0000">
              <w:rPr>
                <w:rFonts w:eastAsia="Fira Sans Light" w:cs="Calibri"/>
                <w:i/>
                <w:szCs w:val="19"/>
              </w:rPr>
              <w:t>swap</w:t>
            </w:r>
            <w:proofErr w:type="spellEnd"/>
            <w:r w:rsidR="00BB3DA1" w:rsidRPr="00BB0000">
              <w:rPr>
                <w:rFonts w:eastAsia="Fira Sans Light" w:cs="Calibri"/>
                <w:szCs w:val="19"/>
              </w:rPr>
              <w:t>, w tym:</w:t>
            </w:r>
          </w:p>
        </w:tc>
        <w:tc>
          <w:tcPr>
            <w:tcW w:w="638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3BEBA23" w14:textId="602C58AB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340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,0</w:t>
            </w:r>
          </w:p>
        </w:tc>
        <w:tc>
          <w:tcPr>
            <w:tcW w:w="641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6F7B20C" w14:textId="7F50CBCC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23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  <w:tc>
          <w:tcPr>
            <w:tcW w:w="744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57764E53" w14:textId="69C242F3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955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  <w:tc>
          <w:tcPr>
            <w:tcW w:w="820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70A7A96E" w14:textId="4CBFA473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130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,3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B1BD4A6" w14:textId="0EAC43B1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 </w:t>
            </w:r>
            <w:r w:rsidRPr="00BB0000">
              <w:rPr>
                <w:rFonts w:cs="Calibri"/>
                <w:bCs/>
                <w:color w:val="000000"/>
                <w:szCs w:val="19"/>
              </w:rPr>
              <w:t>23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1,0</w:t>
            </w:r>
          </w:p>
        </w:tc>
      </w:tr>
      <w:tr w:rsidR="00BB3DA1" w:rsidRPr="00BB0000" w14:paraId="44A687B3" w14:textId="77777777" w:rsidTr="00E633F2">
        <w:trPr>
          <w:trHeight w:val="20"/>
        </w:trPr>
        <w:tc>
          <w:tcPr>
            <w:tcW w:w="1334" w:type="pct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645B452F" w14:textId="77777777" w:rsidR="00BB3DA1" w:rsidRPr="00BB0000" w:rsidRDefault="00BB3DA1" w:rsidP="00E633F2">
            <w:pPr>
              <w:spacing w:before="0" w:after="0" w:line="240" w:lineRule="auto"/>
              <w:ind w:left="170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CIRS</w:t>
            </w:r>
          </w:p>
        </w:tc>
        <w:tc>
          <w:tcPr>
            <w:tcW w:w="638" w:type="pct"/>
            <w:tcBorders>
              <w:top w:val="single" w:sz="4" w:space="0" w:color="212492"/>
              <w:left w:val="single" w:sz="4" w:space="0" w:color="212492"/>
              <w:bottom w:val="single" w:sz="4" w:space="0" w:color="212492"/>
            </w:tcBorders>
            <w:vAlign w:val="center"/>
          </w:tcPr>
          <w:p w14:paraId="1C79FF6E" w14:textId="4C822987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584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641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F48F342" w14:textId="2537041D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,2</w:t>
            </w:r>
          </w:p>
        </w:tc>
        <w:tc>
          <w:tcPr>
            <w:tcW w:w="744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CA8EBB6" w14:textId="4A4773CD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505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,9</w:t>
            </w:r>
          </w:p>
        </w:tc>
        <w:tc>
          <w:tcPr>
            <w:tcW w:w="820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767A2EB" w14:textId="4912EC7F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12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,1</w:t>
            </w:r>
          </w:p>
        </w:tc>
        <w:tc>
          <w:tcPr>
            <w:tcW w:w="823" w:type="pct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DE210AC" w14:textId="528720F7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65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,7</w:t>
            </w:r>
          </w:p>
        </w:tc>
      </w:tr>
      <w:tr w:rsidR="00BB3DA1" w:rsidRPr="00BB0000" w14:paraId="47DBC139" w14:textId="77777777" w:rsidTr="00E633F2">
        <w:trPr>
          <w:trHeight w:val="20"/>
        </w:trPr>
        <w:tc>
          <w:tcPr>
            <w:tcW w:w="1334" w:type="pct"/>
            <w:tcBorders>
              <w:top w:val="single" w:sz="4" w:space="0" w:color="212492"/>
            </w:tcBorders>
            <w:vAlign w:val="center"/>
          </w:tcPr>
          <w:p w14:paraId="43B0C97A" w14:textId="27087522" w:rsidR="00BB3DA1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P</w:t>
            </w:r>
            <w:r w:rsidR="00BB3DA1" w:rsidRPr="00BB0000">
              <w:rPr>
                <w:rFonts w:eastAsia="Fira Sans Light" w:cs="Calibri"/>
                <w:szCs w:val="19"/>
              </w:rPr>
              <w:t>ozostałe instrumenty pochodne</w:t>
            </w:r>
          </w:p>
        </w:tc>
        <w:tc>
          <w:tcPr>
            <w:tcW w:w="638" w:type="pct"/>
            <w:tcBorders>
              <w:top w:val="single" w:sz="4" w:space="0" w:color="212492"/>
              <w:left w:val="single" w:sz="4" w:space="0" w:color="212492"/>
            </w:tcBorders>
            <w:vAlign w:val="center"/>
          </w:tcPr>
          <w:p w14:paraId="702E12ED" w14:textId="3CB2896B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413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,5</w:t>
            </w:r>
          </w:p>
        </w:tc>
        <w:tc>
          <w:tcPr>
            <w:tcW w:w="641" w:type="pct"/>
            <w:tcBorders>
              <w:top w:val="single" w:sz="4" w:space="0" w:color="212492"/>
              <w:right w:val="nil"/>
            </w:tcBorders>
            <w:vAlign w:val="center"/>
          </w:tcPr>
          <w:p w14:paraId="3299047C" w14:textId="6DABC759" w:rsidR="00BB3DA1" w:rsidRPr="00BB0000" w:rsidRDefault="001E379E" w:rsidP="00E633F2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.</w:t>
            </w:r>
          </w:p>
        </w:tc>
        <w:tc>
          <w:tcPr>
            <w:tcW w:w="744" w:type="pct"/>
            <w:tcBorders>
              <w:top w:val="single" w:sz="4" w:space="0" w:color="212492"/>
              <w:right w:val="nil"/>
            </w:tcBorders>
            <w:vAlign w:val="center"/>
          </w:tcPr>
          <w:p w14:paraId="334DE296" w14:textId="1E3614A2" w:rsidR="00BB3DA1" w:rsidRPr="00BB0000" w:rsidRDefault="001E379E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rFonts w:cs="Calibri"/>
                <w:bCs/>
                <w:color w:val="000000"/>
                <w:szCs w:val="19"/>
              </w:rPr>
              <w:t>.</w:t>
            </w:r>
          </w:p>
        </w:tc>
        <w:tc>
          <w:tcPr>
            <w:tcW w:w="820" w:type="pct"/>
            <w:tcBorders>
              <w:top w:val="single" w:sz="4" w:space="0" w:color="212492"/>
              <w:right w:val="nil"/>
            </w:tcBorders>
            <w:vAlign w:val="center"/>
          </w:tcPr>
          <w:p w14:paraId="4DFA70A7" w14:textId="383BA479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35</w:t>
            </w:r>
            <w:r w:rsidR="00455271" w:rsidRPr="00BB0000">
              <w:rPr>
                <w:rFonts w:cs="Calibri"/>
                <w:bCs/>
                <w:color w:val="000000"/>
                <w:szCs w:val="19"/>
              </w:rPr>
              <w:t>,8</w:t>
            </w:r>
          </w:p>
        </w:tc>
        <w:tc>
          <w:tcPr>
            <w:tcW w:w="823" w:type="pct"/>
            <w:tcBorders>
              <w:top w:val="single" w:sz="4" w:space="0" w:color="212492"/>
              <w:right w:val="nil"/>
            </w:tcBorders>
            <w:vAlign w:val="center"/>
          </w:tcPr>
          <w:p w14:paraId="1BC0A08B" w14:textId="09D1E769" w:rsidR="00BB3DA1" w:rsidRPr="00BB0000" w:rsidRDefault="00BB3DA1" w:rsidP="00E633F2">
            <w:pPr>
              <w:spacing w:before="0" w:after="0" w:line="240" w:lineRule="auto"/>
              <w:jc w:val="right"/>
              <w:rPr>
                <w:szCs w:val="19"/>
              </w:rPr>
            </w:pPr>
            <w:r w:rsidRPr="00BB0000">
              <w:rPr>
                <w:rFonts w:cs="Calibri"/>
                <w:bCs/>
                <w:color w:val="000000"/>
                <w:szCs w:val="19"/>
              </w:rPr>
              <w:t>296</w:t>
            </w:r>
            <w:r w:rsidR="00D37F2C" w:rsidRPr="00BB0000">
              <w:rPr>
                <w:rFonts w:cs="Calibri"/>
                <w:bCs/>
                <w:color w:val="000000"/>
                <w:szCs w:val="19"/>
              </w:rPr>
              <w:t>,4</w:t>
            </w:r>
          </w:p>
        </w:tc>
      </w:tr>
      <w:tr w:rsidR="00FA62EC" w:rsidRPr="00BB0000" w14:paraId="34ED6EEB" w14:textId="77777777" w:rsidTr="00E633F2">
        <w:trPr>
          <w:trHeight w:hRule="exact" w:val="680"/>
        </w:trPr>
        <w:tc>
          <w:tcPr>
            <w:tcW w:w="133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490818C" w14:textId="3B699E8B" w:rsidR="00FA62EC" w:rsidRPr="00BB0000" w:rsidRDefault="00FA62EC" w:rsidP="00E633F2">
            <w:pPr>
              <w:spacing w:before="0" w:after="0" w:line="240" w:lineRule="auto"/>
              <w:rPr>
                <w:rFonts w:eastAsia="Fira Sans Light" w:cs="Calibri"/>
                <w:bCs/>
                <w:szCs w:val="19"/>
              </w:rPr>
            </w:pPr>
            <w:r w:rsidRPr="00BB0000">
              <w:rPr>
                <w:rFonts w:eastAsia="Fira Sans Light" w:cs="Calibri"/>
                <w:b/>
                <w:bCs/>
                <w:szCs w:val="19"/>
              </w:rPr>
              <w:t>Instrumenty pochodne – pasywa</w:t>
            </w:r>
          </w:p>
        </w:tc>
        <w:tc>
          <w:tcPr>
            <w:tcW w:w="638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46C6A988" w14:textId="24314124" w:rsidR="00FA62EC" w:rsidRPr="00BB0000" w:rsidRDefault="00FA62EC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11</w:t>
            </w:r>
            <w:r w:rsidR="00D37F2C" w:rsidRPr="00BB0000">
              <w:rPr>
                <w:b/>
                <w:szCs w:val="19"/>
              </w:rPr>
              <w:t> </w:t>
            </w:r>
            <w:r w:rsidRPr="00BB0000">
              <w:rPr>
                <w:b/>
                <w:szCs w:val="19"/>
              </w:rPr>
              <w:t>258</w:t>
            </w:r>
            <w:r w:rsidR="00D37F2C" w:rsidRPr="00BB0000">
              <w:rPr>
                <w:b/>
                <w:szCs w:val="19"/>
              </w:rPr>
              <w:t>,1</w:t>
            </w:r>
          </w:p>
        </w:tc>
        <w:tc>
          <w:tcPr>
            <w:tcW w:w="641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4E629FCC" w14:textId="19895D30" w:rsidR="00FA62EC" w:rsidRPr="00BB0000" w:rsidRDefault="00FA62EC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336</w:t>
            </w:r>
            <w:r w:rsidR="00D37F2C" w:rsidRPr="00BB0000">
              <w:rPr>
                <w:b/>
                <w:szCs w:val="19"/>
              </w:rPr>
              <w:t>,9</w:t>
            </w:r>
          </w:p>
        </w:tc>
        <w:tc>
          <w:tcPr>
            <w:tcW w:w="744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38992356" w14:textId="3CAE8D91" w:rsidR="00FA62EC" w:rsidRPr="00BB0000" w:rsidRDefault="00FA62EC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2</w:t>
            </w:r>
            <w:r w:rsidR="00D37F2C" w:rsidRPr="00BB0000">
              <w:rPr>
                <w:b/>
                <w:szCs w:val="19"/>
              </w:rPr>
              <w:t> </w:t>
            </w:r>
            <w:r w:rsidRPr="00BB0000">
              <w:rPr>
                <w:b/>
                <w:szCs w:val="19"/>
              </w:rPr>
              <w:t>551</w:t>
            </w:r>
            <w:r w:rsidR="00D37F2C" w:rsidRPr="00BB0000">
              <w:rPr>
                <w:b/>
                <w:szCs w:val="19"/>
              </w:rPr>
              <w:t>,2</w:t>
            </w:r>
          </w:p>
        </w:tc>
        <w:tc>
          <w:tcPr>
            <w:tcW w:w="820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5ED65FE" w14:textId="0632F749" w:rsidR="00FA62EC" w:rsidRPr="00BB0000" w:rsidRDefault="00FA62EC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6</w:t>
            </w:r>
            <w:r w:rsidR="00D37F2C" w:rsidRPr="00BB0000">
              <w:rPr>
                <w:b/>
                <w:szCs w:val="19"/>
              </w:rPr>
              <w:t> </w:t>
            </w:r>
            <w:r w:rsidRPr="00BB0000">
              <w:rPr>
                <w:b/>
                <w:szCs w:val="19"/>
              </w:rPr>
              <w:t>758</w:t>
            </w:r>
            <w:r w:rsidR="00D37F2C" w:rsidRPr="00BB0000">
              <w:rPr>
                <w:b/>
                <w:szCs w:val="19"/>
              </w:rPr>
              <w:t>,1</w:t>
            </w:r>
          </w:p>
        </w:tc>
        <w:tc>
          <w:tcPr>
            <w:tcW w:w="823" w:type="pct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5F6EB39D" w14:textId="655D5684" w:rsidR="00FA62EC" w:rsidRPr="00BB0000" w:rsidRDefault="00FA62EC" w:rsidP="00E633F2">
            <w:pPr>
              <w:spacing w:before="0" w:after="0" w:line="240" w:lineRule="auto"/>
              <w:jc w:val="right"/>
              <w:rPr>
                <w:b/>
                <w:szCs w:val="19"/>
              </w:rPr>
            </w:pPr>
            <w:r w:rsidRPr="00BB0000">
              <w:rPr>
                <w:b/>
                <w:szCs w:val="19"/>
              </w:rPr>
              <w:t>1</w:t>
            </w:r>
            <w:r w:rsidR="00D37F2C" w:rsidRPr="00BB0000">
              <w:rPr>
                <w:b/>
                <w:szCs w:val="19"/>
              </w:rPr>
              <w:t> </w:t>
            </w:r>
            <w:r w:rsidRPr="00BB0000">
              <w:rPr>
                <w:b/>
                <w:szCs w:val="19"/>
              </w:rPr>
              <w:t>611</w:t>
            </w:r>
            <w:r w:rsidR="00D37F2C" w:rsidRPr="00BB0000">
              <w:rPr>
                <w:b/>
                <w:szCs w:val="19"/>
              </w:rPr>
              <w:t>,9</w:t>
            </w:r>
          </w:p>
        </w:tc>
      </w:tr>
      <w:tr w:rsidR="00FA62EC" w:rsidRPr="00BB0000" w14:paraId="5439518D" w14:textId="77777777" w:rsidTr="00E633F2">
        <w:trPr>
          <w:trHeight w:val="23"/>
        </w:trPr>
        <w:tc>
          <w:tcPr>
            <w:tcW w:w="1334" w:type="pct"/>
            <w:tcBorders>
              <w:top w:val="single" w:sz="4" w:space="0" w:color="212492"/>
            </w:tcBorders>
            <w:vAlign w:val="center"/>
          </w:tcPr>
          <w:p w14:paraId="13C501E5" w14:textId="44F5253D" w:rsidR="00FA62EC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FA62EC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FA62EC" w:rsidRPr="00BB0000">
              <w:rPr>
                <w:rFonts w:eastAsia="Fira Sans Light" w:cs="Calibri"/>
                <w:i/>
                <w:szCs w:val="19"/>
              </w:rPr>
              <w:t>forward</w:t>
            </w:r>
            <w:proofErr w:type="spellEnd"/>
          </w:p>
        </w:tc>
        <w:tc>
          <w:tcPr>
            <w:tcW w:w="638" w:type="pct"/>
            <w:tcBorders>
              <w:top w:val="single" w:sz="4" w:space="0" w:color="212492"/>
            </w:tcBorders>
            <w:vAlign w:val="center"/>
          </w:tcPr>
          <w:p w14:paraId="07E65D7A" w14:textId="320A0EE7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9</w:t>
            </w:r>
            <w:r w:rsidR="00D37F2C" w:rsidRPr="00BB0000">
              <w:rPr>
                <w:szCs w:val="19"/>
              </w:rPr>
              <w:t> </w:t>
            </w:r>
            <w:r w:rsidRPr="00BB0000">
              <w:rPr>
                <w:szCs w:val="19"/>
              </w:rPr>
              <w:t>175</w:t>
            </w:r>
            <w:r w:rsidR="00D37F2C" w:rsidRPr="00BB0000">
              <w:rPr>
                <w:szCs w:val="19"/>
              </w:rPr>
              <w:t>,8</w:t>
            </w:r>
          </w:p>
        </w:tc>
        <w:tc>
          <w:tcPr>
            <w:tcW w:w="641" w:type="pct"/>
            <w:tcBorders>
              <w:top w:val="single" w:sz="4" w:space="0" w:color="212492"/>
            </w:tcBorders>
            <w:vAlign w:val="center"/>
          </w:tcPr>
          <w:p w14:paraId="2B9CB609" w14:textId="1941698D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310</w:t>
            </w:r>
            <w:r w:rsidR="00D37F2C" w:rsidRPr="00BB0000">
              <w:rPr>
                <w:szCs w:val="19"/>
              </w:rPr>
              <w:t>,2</w:t>
            </w:r>
          </w:p>
        </w:tc>
        <w:tc>
          <w:tcPr>
            <w:tcW w:w="744" w:type="pct"/>
            <w:tcBorders>
              <w:top w:val="single" w:sz="4" w:space="0" w:color="212492"/>
            </w:tcBorders>
            <w:vAlign w:val="center"/>
          </w:tcPr>
          <w:p w14:paraId="36005142" w14:textId="68176D1E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1</w:t>
            </w:r>
            <w:r w:rsidR="00D37F2C" w:rsidRPr="00BB0000">
              <w:rPr>
                <w:szCs w:val="19"/>
              </w:rPr>
              <w:t> </w:t>
            </w:r>
            <w:r w:rsidRPr="00BB0000">
              <w:rPr>
                <w:szCs w:val="19"/>
              </w:rPr>
              <w:t>546</w:t>
            </w:r>
            <w:r w:rsidR="00D37F2C" w:rsidRPr="00BB0000">
              <w:rPr>
                <w:szCs w:val="19"/>
              </w:rPr>
              <w:t>,2</w:t>
            </w:r>
          </w:p>
        </w:tc>
        <w:tc>
          <w:tcPr>
            <w:tcW w:w="820" w:type="pct"/>
            <w:tcBorders>
              <w:top w:val="single" w:sz="4" w:space="0" w:color="212492"/>
            </w:tcBorders>
            <w:vAlign w:val="center"/>
          </w:tcPr>
          <w:p w14:paraId="453A3096" w14:textId="2A4F4E5C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6</w:t>
            </w:r>
            <w:r w:rsidR="00D37F2C" w:rsidRPr="00BB0000">
              <w:rPr>
                <w:szCs w:val="19"/>
              </w:rPr>
              <w:t> </w:t>
            </w:r>
            <w:r w:rsidRPr="00BB0000">
              <w:rPr>
                <w:szCs w:val="19"/>
              </w:rPr>
              <w:t>546</w:t>
            </w:r>
            <w:r w:rsidR="00D37F2C" w:rsidRPr="00BB0000">
              <w:rPr>
                <w:szCs w:val="19"/>
              </w:rPr>
              <w:t>,2</w:t>
            </w:r>
          </w:p>
        </w:tc>
        <w:tc>
          <w:tcPr>
            <w:tcW w:w="823" w:type="pct"/>
            <w:tcBorders>
              <w:top w:val="single" w:sz="4" w:space="0" w:color="212492"/>
            </w:tcBorders>
            <w:vAlign w:val="center"/>
          </w:tcPr>
          <w:p w14:paraId="6466BBA3" w14:textId="11FF3E95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773</w:t>
            </w:r>
            <w:r w:rsidR="00D37F2C" w:rsidRPr="00BB0000">
              <w:rPr>
                <w:szCs w:val="19"/>
              </w:rPr>
              <w:t>,3</w:t>
            </w:r>
          </w:p>
        </w:tc>
      </w:tr>
      <w:tr w:rsidR="00FA62EC" w:rsidRPr="00BB0000" w14:paraId="4AC8E0DF" w14:textId="77777777" w:rsidTr="00E633F2">
        <w:trPr>
          <w:trHeight w:val="23"/>
        </w:trPr>
        <w:tc>
          <w:tcPr>
            <w:tcW w:w="1334" w:type="pct"/>
            <w:vAlign w:val="center"/>
          </w:tcPr>
          <w:p w14:paraId="35FA794C" w14:textId="707AF0D3" w:rsidR="00FA62EC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FA62EC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FA62EC" w:rsidRPr="00BB0000">
              <w:rPr>
                <w:rFonts w:eastAsia="Fira Sans Light" w:cs="Calibri"/>
                <w:i/>
                <w:szCs w:val="19"/>
              </w:rPr>
              <w:t>futures</w:t>
            </w:r>
            <w:proofErr w:type="spellEnd"/>
          </w:p>
        </w:tc>
        <w:tc>
          <w:tcPr>
            <w:tcW w:w="638" w:type="pct"/>
            <w:vAlign w:val="center"/>
          </w:tcPr>
          <w:p w14:paraId="650C21BD" w14:textId="22E22E36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200</w:t>
            </w:r>
            <w:r w:rsidR="00D37F2C" w:rsidRPr="00BB0000">
              <w:rPr>
                <w:szCs w:val="19"/>
              </w:rPr>
              <w:t>,8</w:t>
            </w:r>
          </w:p>
        </w:tc>
        <w:tc>
          <w:tcPr>
            <w:tcW w:w="641" w:type="pct"/>
            <w:vAlign w:val="center"/>
          </w:tcPr>
          <w:p w14:paraId="1D77344B" w14:textId="09FFBE99" w:rsidR="00FA62EC" w:rsidRPr="00BB0000" w:rsidRDefault="001E379E" w:rsidP="00E633F2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.</w:t>
            </w:r>
          </w:p>
        </w:tc>
        <w:tc>
          <w:tcPr>
            <w:tcW w:w="744" w:type="pct"/>
            <w:vAlign w:val="center"/>
          </w:tcPr>
          <w:p w14:paraId="011DD28E" w14:textId="60FC22CC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105</w:t>
            </w:r>
            <w:r w:rsidR="00D37F2C" w:rsidRPr="00BB0000">
              <w:rPr>
                <w:szCs w:val="19"/>
              </w:rPr>
              <w:t>,7</w:t>
            </w:r>
          </w:p>
        </w:tc>
        <w:tc>
          <w:tcPr>
            <w:tcW w:w="820" w:type="pct"/>
            <w:vAlign w:val="center"/>
          </w:tcPr>
          <w:p w14:paraId="702332A0" w14:textId="198F8AC3" w:rsidR="00FA62EC" w:rsidRPr="00BB0000" w:rsidRDefault="001E379E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vAlign w:val="center"/>
          </w:tcPr>
          <w:p w14:paraId="115A284E" w14:textId="297DF733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28</w:t>
            </w:r>
            <w:r w:rsidR="00D37F2C" w:rsidRPr="00BB0000">
              <w:rPr>
                <w:szCs w:val="19"/>
              </w:rPr>
              <w:t>,1</w:t>
            </w:r>
          </w:p>
        </w:tc>
      </w:tr>
      <w:tr w:rsidR="00FA62EC" w:rsidRPr="00BB0000" w14:paraId="5886D4D9" w14:textId="77777777" w:rsidTr="00E633F2">
        <w:trPr>
          <w:trHeight w:val="23"/>
        </w:trPr>
        <w:tc>
          <w:tcPr>
            <w:tcW w:w="1334" w:type="pct"/>
            <w:vAlign w:val="center"/>
          </w:tcPr>
          <w:p w14:paraId="22782461" w14:textId="3E0BF39E" w:rsidR="00FA62EC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O</w:t>
            </w:r>
            <w:r w:rsidR="00FA62EC" w:rsidRPr="00BB0000">
              <w:rPr>
                <w:rFonts w:eastAsia="Fira Sans Light" w:cs="Calibri"/>
                <w:szCs w:val="19"/>
              </w:rPr>
              <w:t>pcje</w:t>
            </w:r>
          </w:p>
        </w:tc>
        <w:tc>
          <w:tcPr>
            <w:tcW w:w="638" w:type="pct"/>
            <w:vAlign w:val="center"/>
          </w:tcPr>
          <w:p w14:paraId="76186BFC" w14:textId="7FF3C228" w:rsidR="00FA62EC" w:rsidRPr="00BB0000" w:rsidRDefault="00FA62EC" w:rsidP="00E633F2">
            <w:pPr>
              <w:spacing w:before="0" w:after="0" w:line="240" w:lineRule="auto"/>
              <w:jc w:val="right"/>
              <w:rPr>
                <w:rFonts w:cs="Calibri"/>
                <w:bCs/>
                <w:szCs w:val="19"/>
              </w:rPr>
            </w:pPr>
            <w:r w:rsidRPr="00BB0000">
              <w:rPr>
                <w:szCs w:val="19"/>
              </w:rPr>
              <w:t>135</w:t>
            </w:r>
            <w:r w:rsidR="00D37F2C" w:rsidRPr="00BB0000">
              <w:rPr>
                <w:szCs w:val="19"/>
              </w:rPr>
              <w:t>,5</w:t>
            </w:r>
          </w:p>
        </w:tc>
        <w:tc>
          <w:tcPr>
            <w:tcW w:w="641" w:type="pct"/>
            <w:vAlign w:val="center"/>
          </w:tcPr>
          <w:p w14:paraId="21F39F14" w14:textId="2E995DDC" w:rsidR="00FA62EC" w:rsidRPr="00BB0000" w:rsidRDefault="001E379E" w:rsidP="00E633F2">
            <w:pPr>
              <w:spacing w:before="0" w:after="0" w:line="240" w:lineRule="auto"/>
              <w:jc w:val="right"/>
              <w:rPr>
                <w:rFonts w:cs="Calibri"/>
                <w:bCs/>
                <w:szCs w:val="19"/>
              </w:rPr>
            </w:pPr>
            <w:r>
              <w:rPr>
                <w:rFonts w:cs="Calibri"/>
                <w:bCs/>
                <w:szCs w:val="19"/>
              </w:rPr>
              <w:t>.</w:t>
            </w:r>
          </w:p>
        </w:tc>
        <w:tc>
          <w:tcPr>
            <w:tcW w:w="744" w:type="pct"/>
            <w:vAlign w:val="center"/>
          </w:tcPr>
          <w:p w14:paraId="1A2A97E9" w14:textId="201EDDD2" w:rsidR="00FA62EC" w:rsidRPr="00BB0000" w:rsidRDefault="001E379E" w:rsidP="00E633F2">
            <w:pPr>
              <w:spacing w:before="0" w:after="0" w:line="240" w:lineRule="auto"/>
              <w:jc w:val="right"/>
              <w:rPr>
                <w:rFonts w:cs="Calibri"/>
                <w:bCs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0" w:type="pct"/>
            <w:vAlign w:val="center"/>
          </w:tcPr>
          <w:p w14:paraId="6F1290B8" w14:textId="35161266" w:rsidR="00FA62EC" w:rsidRPr="00BB0000" w:rsidRDefault="001E379E" w:rsidP="00E633F2">
            <w:pPr>
              <w:spacing w:before="0" w:after="0" w:line="240" w:lineRule="auto"/>
              <w:jc w:val="right"/>
              <w:rPr>
                <w:rFonts w:cs="Calibri"/>
                <w:bCs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vAlign w:val="center"/>
          </w:tcPr>
          <w:p w14:paraId="3646E332" w14:textId="1116C722" w:rsidR="00FA62EC" w:rsidRPr="00BB0000" w:rsidRDefault="00FA62EC" w:rsidP="00E633F2">
            <w:pPr>
              <w:spacing w:before="0" w:after="0" w:line="240" w:lineRule="auto"/>
              <w:jc w:val="right"/>
              <w:rPr>
                <w:rFonts w:cs="Calibri"/>
                <w:bCs/>
                <w:szCs w:val="19"/>
              </w:rPr>
            </w:pPr>
            <w:r w:rsidRPr="00BB0000">
              <w:rPr>
                <w:szCs w:val="19"/>
              </w:rPr>
              <w:t>2</w:t>
            </w:r>
            <w:r w:rsidR="00D37F2C" w:rsidRPr="00BB0000">
              <w:rPr>
                <w:szCs w:val="19"/>
              </w:rPr>
              <w:t>,3</w:t>
            </w:r>
          </w:p>
        </w:tc>
      </w:tr>
      <w:tr w:rsidR="00FA62EC" w:rsidRPr="00BB0000" w14:paraId="009B1FA3" w14:textId="77777777" w:rsidTr="00E633F2">
        <w:trPr>
          <w:trHeight w:val="23"/>
        </w:trPr>
        <w:tc>
          <w:tcPr>
            <w:tcW w:w="1334" w:type="pct"/>
            <w:vAlign w:val="center"/>
          </w:tcPr>
          <w:p w14:paraId="5447426F" w14:textId="36FA90B1" w:rsidR="00FA62EC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K</w:t>
            </w:r>
            <w:r w:rsidR="00FA62EC" w:rsidRPr="00BB0000">
              <w:rPr>
                <w:rFonts w:eastAsia="Fira Sans Light" w:cs="Calibri"/>
                <w:szCs w:val="19"/>
              </w:rPr>
              <w:t xml:space="preserve">ontrakty </w:t>
            </w:r>
            <w:proofErr w:type="spellStart"/>
            <w:r w:rsidR="00FA62EC" w:rsidRPr="00BB0000">
              <w:rPr>
                <w:rFonts w:eastAsia="Fira Sans Light" w:cs="Calibri"/>
                <w:i/>
                <w:szCs w:val="19"/>
              </w:rPr>
              <w:t>swap</w:t>
            </w:r>
            <w:proofErr w:type="spellEnd"/>
            <w:r w:rsidR="00FA62EC" w:rsidRPr="00BB0000">
              <w:rPr>
                <w:rFonts w:eastAsia="Fira Sans Light" w:cs="Calibri"/>
                <w:szCs w:val="19"/>
              </w:rPr>
              <w:t>, w tym:</w:t>
            </w:r>
          </w:p>
        </w:tc>
        <w:tc>
          <w:tcPr>
            <w:tcW w:w="638" w:type="pct"/>
            <w:vAlign w:val="center"/>
          </w:tcPr>
          <w:p w14:paraId="4CCC8CCB" w14:textId="4E487968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1</w:t>
            </w:r>
            <w:r w:rsidR="00D37F2C" w:rsidRPr="00BB0000">
              <w:rPr>
                <w:szCs w:val="19"/>
              </w:rPr>
              <w:t> </w:t>
            </w:r>
            <w:r w:rsidRPr="00BB0000">
              <w:rPr>
                <w:szCs w:val="19"/>
              </w:rPr>
              <w:t>006</w:t>
            </w:r>
            <w:r w:rsidR="00D37F2C" w:rsidRPr="00BB0000">
              <w:rPr>
                <w:szCs w:val="19"/>
              </w:rPr>
              <w:t>,1</w:t>
            </w:r>
          </w:p>
        </w:tc>
        <w:tc>
          <w:tcPr>
            <w:tcW w:w="641" w:type="pct"/>
            <w:vAlign w:val="center"/>
          </w:tcPr>
          <w:p w14:paraId="5E4213DF" w14:textId="7A0D8656" w:rsidR="00FA62EC" w:rsidRPr="00BB0000" w:rsidRDefault="001E379E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744" w:type="pct"/>
            <w:vAlign w:val="center"/>
          </w:tcPr>
          <w:p w14:paraId="280140D5" w14:textId="0DA7BBE2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621</w:t>
            </w:r>
            <w:r w:rsidR="00D37F2C" w:rsidRPr="00BB0000">
              <w:rPr>
                <w:szCs w:val="19"/>
              </w:rPr>
              <w:t>,2</w:t>
            </w:r>
          </w:p>
        </w:tc>
        <w:tc>
          <w:tcPr>
            <w:tcW w:w="820" w:type="pct"/>
            <w:vAlign w:val="center"/>
          </w:tcPr>
          <w:p w14:paraId="5320F7A8" w14:textId="58FF6E88" w:rsidR="00FA62EC" w:rsidRPr="00BB0000" w:rsidRDefault="005C1F2A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vAlign w:val="center"/>
          </w:tcPr>
          <w:p w14:paraId="32C9BE6D" w14:textId="18602AF2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293</w:t>
            </w:r>
            <w:r w:rsidR="00D37F2C" w:rsidRPr="00BB0000">
              <w:rPr>
                <w:szCs w:val="19"/>
              </w:rPr>
              <w:t>,1</w:t>
            </w:r>
          </w:p>
        </w:tc>
      </w:tr>
      <w:tr w:rsidR="00FA62EC" w:rsidRPr="00BB0000" w14:paraId="1778466E" w14:textId="77777777" w:rsidTr="00E633F2">
        <w:trPr>
          <w:trHeight w:val="23"/>
        </w:trPr>
        <w:tc>
          <w:tcPr>
            <w:tcW w:w="1334" w:type="pct"/>
            <w:vAlign w:val="center"/>
          </w:tcPr>
          <w:p w14:paraId="5A1960FE" w14:textId="77777777" w:rsidR="00FA62EC" w:rsidRPr="00BB0000" w:rsidRDefault="00FA62EC" w:rsidP="00E633F2">
            <w:pPr>
              <w:spacing w:before="0" w:after="0" w:line="240" w:lineRule="auto"/>
              <w:ind w:left="170"/>
              <w:rPr>
                <w:rFonts w:eastAsia="Fira Sans Light" w:cs="Calibri"/>
                <w:szCs w:val="19"/>
              </w:rPr>
            </w:pPr>
            <w:r w:rsidRPr="00BB0000">
              <w:rPr>
                <w:rFonts w:eastAsia="Fira Sans Light" w:cs="Calibri"/>
                <w:szCs w:val="19"/>
              </w:rPr>
              <w:t>CIRS</w:t>
            </w:r>
          </w:p>
        </w:tc>
        <w:tc>
          <w:tcPr>
            <w:tcW w:w="638" w:type="pct"/>
            <w:vAlign w:val="center"/>
          </w:tcPr>
          <w:p w14:paraId="1AAAD3A2" w14:textId="2B1B743B" w:rsidR="00FA62EC" w:rsidRPr="00BB0000" w:rsidRDefault="00FA62EC" w:rsidP="00E633F2">
            <w:pPr>
              <w:spacing w:before="0" w:after="0" w:line="240" w:lineRule="auto"/>
              <w:ind w:left="170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296</w:t>
            </w:r>
            <w:r w:rsidR="00D37F2C" w:rsidRPr="00BB0000">
              <w:rPr>
                <w:szCs w:val="19"/>
              </w:rPr>
              <w:t>,9</w:t>
            </w:r>
          </w:p>
        </w:tc>
        <w:tc>
          <w:tcPr>
            <w:tcW w:w="641" w:type="pct"/>
            <w:tcBorders>
              <w:bottom w:val="nil"/>
            </w:tcBorders>
            <w:vAlign w:val="center"/>
          </w:tcPr>
          <w:p w14:paraId="2685A740" w14:textId="16A3CA14" w:rsidR="00FA62EC" w:rsidRPr="00BB0000" w:rsidRDefault="001E379E" w:rsidP="00E633F2">
            <w:pPr>
              <w:spacing w:before="0" w:after="0" w:line="240" w:lineRule="auto"/>
              <w:ind w:left="170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744" w:type="pct"/>
            <w:tcBorders>
              <w:bottom w:val="nil"/>
            </w:tcBorders>
            <w:vAlign w:val="center"/>
          </w:tcPr>
          <w:p w14:paraId="706DFAF8" w14:textId="5F8659F4" w:rsidR="00FA62EC" w:rsidRPr="00BB0000" w:rsidRDefault="00FA62EC" w:rsidP="00E633F2">
            <w:pPr>
              <w:spacing w:before="0" w:after="0" w:line="240" w:lineRule="auto"/>
              <w:ind w:left="170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234</w:t>
            </w:r>
            <w:r w:rsidR="00D37F2C" w:rsidRPr="00BB0000">
              <w:rPr>
                <w:szCs w:val="19"/>
              </w:rPr>
              <w:t>,2</w:t>
            </w:r>
          </w:p>
        </w:tc>
        <w:tc>
          <w:tcPr>
            <w:tcW w:w="820" w:type="pct"/>
            <w:tcBorders>
              <w:bottom w:val="nil"/>
            </w:tcBorders>
            <w:vAlign w:val="center"/>
          </w:tcPr>
          <w:p w14:paraId="4641E930" w14:textId="0606A1EA" w:rsidR="00FA62EC" w:rsidRPr="00BB0000" w:rsidRDefault="001E379E" w:rsidP="00E633F2">
            <w:pPr>
              <w:spacing w:before="0" w:after="0" w:line="240" w:lineRule="auto"/>
              <w:ind w:left="170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699BC242" w14:textId="50355D5D" w:rsidR="00FA62EC" w:rsidRPr="00BB0000" w:rsidRDefault="001E379E" w:rsidP="00E633F2">
            <w:pPr>
              <w:spacing w:before="0" w:after="0" w:line="240" w:lineRule="auto"/>
              <w:ind w:left="170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</w:tr>
      <w:tr w:rsidR="00FA62EC" w:rsidRPr="00BB0000" w14:paraId="6E76F88E" w14:textId="77777777" w:rsidTr="007918C5">
        <w:trPr>
          <w:trHeight w:val="23"/>
        </w:trPr>
        <w:tc>
          <w:tcPr>
            <w:tcW w:w="1334" w:type="pct"/>
            <w:tcBorders>
              <w:bottom w:val="nil"/>
            </w:tcBorders>
            <w:vAlign w:val="center"/>
          </w:tcPr>
          <w:p w14:paraId="7C32A560" w14:textId="656680DF" w:rsidR="00FA62EC" w:rsidRPr="00BB0000" w:rsidRDefault="001872C8" w:rsidP="00E633F2">
            <w:pPr>
              <w:spacing w:before="0" w:after="0" w:line="240" w:lineRule="auto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P</w:t>
            </w:r>
            <w:r w:rsidR="00FA62EC" w:rsidRPr="00BB0000">
              <w:rPr>
                <w:rFonts w:eastAsia="Fira Sans Light" w:cs="Calibri"/>
                <w:szCs w:val="19"/>
              </w:rPr>
              <w:t>ozostałe instrumenty pochodne</w:t>
            </w:r>
          </w:p>
        </w:tc>
        <w:tc>
          <w:tcPr>
            <w:tcW w:w="638" w:type="pct"/>
            <w:tcBorders>
              <w:bottom w:val="nil"/>
            </w:tcBorders>
            <w:vAlign w:val="center"/>
          </w:tcPr>
          <w:p w14:paraId="3DFF55A7" w14:textId="48AA2F9D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7</w:t>
            </w:r>
            <w:r w:rsidR="00457462" w:rsidRPr="00BB0000">
              <w:rPr>
                <w:szCs w:val="19"/>
              </w:rPr>
              <w:t>40,0</w:t>
            </w:r>
          </w:p>
        </w:tc>
        <w:tc>
          <w:tcPr>
            <w:tcW w:w="641" w:type="pct"/>
            <w:tcBorders>
              <w:bottom w:val="nil"/>
            </w:tcBorders>
            <w:vAlign w:val="center"/>
          </w:tcPr>
          <w:p w14:paraId="0785B23A" w14:textId="2BD3DC68" w:rsidR="00FA62EC" w:rsidRPr="00BB0000" w:rsidRDefault="001E379E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rFonts w:eastAsia="Fira Sans Light" w:cs="Calibri"/>
                <w:szCs w:val="19"/>
              </w:rPr>
              <w:t>.</w:t>
            </w:r>
          </w:p>
        </w:tc>
        <w:tc>
          <w:tcPr>
            <w:tcW w:w="744" w:type="pct"/>
            <w:tcBorders>
              <w:bottom w:val="nil"/>
            </w:tcBorders>
            <w:vAlign w:val="center"/>
          </w:tcPr>
          <w:p w14:paraId="2F130448" w14:textId="2306B236" w:rsidR="00FA62EC" w:rsidRPr="00BB0000" w:rsidRDefault="001E379E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0" w:type="pct"/>
            <w:tcBorders>
              <w:bottom w:val="nil"/>
            </w:tcBorders>
            <w:vAlign w:val="center"/>
          </w:tcPr>
          <w:p w14:paraId="07981441" w14:textId="52359D1F" w:rsidR="00FA62EC" w:rsidRPr="00BB0000" w:rsidRDefault="001E379E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>
              <w:rPr>
                <w:szCs w:val="19"/>
              </w:rPr>
              <w:t>.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14:paraId="704DA9C6" w14:textId="7AA6F177" w:rsidR="00FA62EC" w:rsidRPr="00BB0000" w:rsidRDefault="00FA62EC" w:rsidP="00E633F2">
            <w:pPr>
              <w:spacing w:before="0" w:after="0" w:line="240" w:lineRule="auto"/>
              <w:jc w:val="right"/>
              <w:rPr>
                <w:rFonts w:eastAsia="Fira Sans Light" w:cs="Calibri"/>
                <w:szCs w:val="19"/>
              </w:rPr>
            </w:pPr>
            <w:r w:rsidRPr="00BB0000">
              <w:rPr>
                <w:szCs w:val="19"/>
              </w:rPr>
              <w:t>515</w:t>
            </w:r>
            <w:r w:rsidR="00457462" w:rsidRPr="00BB0000">
              <w:rPr>
                <w:szCs w:val="19"/>
              </w:rPr>
              <w:t>,0</w:t>
            </w:r>
          </w:p>
        </w:tc>
      </w:tr>
    </w:tbl>
    <w:p w14:paraId="21204E61" w14:textId="656C699C" w:rsidR="00952574" w:rsidRPr="003E09CD" w:rsidRDefault="00095D46" w:rsidP="00CF7AE9">
      <w:pPr>
        <w:spacing w:before="240" w:line="288" w:lineRule="auto"/>
        <w:rPr>
          <w:szCs w:val="19"/>
        </w:rPr>
      </w:pPr>
      <w:bookmarkStart w:id="1" w:name="_GoBack"/>
      <w:bookmarkEnd w:id="1"/>
      <w:r w:rsidRPr="003E09CD">
        <w:rPr>
          <w:szCs w:val="19"/>
        </w:rPr>
        <w:t>Transakcje na instrumenty pochodne</w:t>
      </w:r>
      <w:r w:rsidR="0050527A" w:rsidRPr="003E09CD">
        <w:rPr>
          <w:szCs w:val="19"/>
        </w:rPr>
        <w:t>,</w:t>
      </w:r>
      <w:r w:rsidRPr="003E09CD">
        <w:rPr>
          <w:szCs w:val="19"/>
        </w:rPr>
        <w:t xml:space="preserve"> zawarte w okresie </w:t>
      </w:r>
      <w:r w:rsidR="00FB51FC" w:rsidRPr="003E09CD">
        <w:rPr>
          <w:szCs w:val="19"/>
        </w:rPr>
        <w:t xml:space="preserve">od 1 stycznia do 31 grudnia </w:t>
      </w:r>
      <w:r w:rsidR="00E106A0" w:rsidRPr="003E09CD">
        <w:rPr>
          <w:szCs w:val="19"/>
        </w:rPr>
        <w:t>202</w:t>
      </w:r>
      <w:r w:rsidR="00A431B1">
        <w:rPr>
          <w:szCs w:val="19"/>
        </w:rPr>
        <w:t>4</w:t>
      </w:r>
      <w:r w:rsidR="005F41BB">
        <w:rPr>
          <w:rStyle w:val="Odwoanieprzypisudolnego"/>
          <w:szCs w:val="19"/>
        </w:rPr>
        <w:footnoteReference w:id="3"/>
      </w:r>
      <w:r w:rsidRPr="003E09CD">
        <w:rPr>
          <w:szCs w:val="19"/>
        </w:rPr>
        <w:t xml:space="preserve"> r.</w:t>
      </w:r>
      <w:r w:rsidR="0050527A" w:rsidRPr="003E09CD">
        <w:rPr>
          <w:szCs w:val="19"/>
        </w:rPr>
        <w:t>,</w:t>
      </w:r>
      <w:r w:rsidRPr="003E09CD">
        <w:rPr>
          <w:szCs w:val="19"/>
        </w:rPr>
        <w:t xml:space="preserve"> wykazało </w:t>
      </w:r>
      <w:r w:rsidR="00A431B1">
        <w:rPr>
          <w:szCs w:val="19"/>
        </w:rPr>
        <w:t>678</w:t>
      </w:r>
      <w:r w:rsidR="00A431B1" w:rsidRPr="003E09CD">
        <w:rPr>
          <w:szCs w:val="19"/>
        </w:rPr>
        <w:t xml:space="preserve"> </w:t>
      </w:r>
      <w:r w:rsidRPr="003E09CD">
        <w:rPr>
          <w:szCs w:val="19"/>
        </w:rPr>
        <w:t xml:space="preserve">przedsiębiorstw. Podmioty te zawarły </w:t>
      </w:r>
      <w:r w:rsidR="00A431B1">
        <w:rPr>
          <w:szCs w:val="19"/>
        </w:rPr>
        <w:t>205,5</w:t>
      </w:r>
      <w:r w:rsidRPr="003E09CD">
        <w:rPr>
          <w:szCs w:val="19"/>
        </w:rPr>
        <w:t xml:space="preserve"> tys. tra</w:t>
      </w:r>
      <w:r w:rsidR="0014008B" w:rsidRPr="003E09CD">
        <w:rPr>
          <w:szCs w:val="19"/>
        </w:rPr>
        <w:t>nsakcji na instrumenty pochodne.</w:t>
      </w:r>
    </w:p>
    <w:p w14:paraId="6F6BA884" w14:textId="77777777" w:rsidR="00EC1873" w:rsidRPr="008416A1" w:rsidRDefault="00EC1873" w:rsidP="00EC1873">
      <w:pPr>
        <w:spacing w:before="240" w:after="240" w:line="20" w:lineRule="atLeast"/>
        <w:rPr>
          <w:rFonts w:eastAsia="Times New Roman" w:cs="Calibri"/>
          <w:b/>
          <w:szCs w:val="19"/>
          <w:lang w:eastAsia="pl-PL"/>
        </w:rPr>
      </w:pPr>
      <w:r w:rsidRPr="008416A1">
        <w:rPr>
          <w:rFonts w:eastAsia="Times New Roman" w:cs="Calibri"/>
          <w:b/>
          <w:szCs w:val="19"/>
          <w:lang w:eastAsia="pl-PL"/>
        </w:rPr>
        <w:t xml:space="preserve">Szczegółowe dane </w:t>
      </w:r>
      <w:r w:rsidR="00E453F0" w:rsidRPr="008416A1">
        <w:rPr>
          <w:rFonts w:eastAsia="Times New Roman" w:cs="Calibri"/>
          <w:b/>
          <w:szCs w:val="19"/>
          <w:lang w:eastAsia="pl-PL"/>
        </w:rPr>
        <w:t xml:space="preserve">z wynikami badania </w:t>
      </w:r>
      <w:r w:rsidRPr="008416A1">
        <w:rPr>
          <w:rFonts w:eastAsia="Times New Roman" w:cs="Calibri"/>
          <w:b/>
          <w:szCs w:val="19"/>
          <w:lang w:eastAsia="pl-PL"/>
        </w:rPr>
        <w:t xml:space="preserve">zamieszczono w załączniku do Informacji sygnalnej w Tabl. </w:t>
      </w:r>
      <w:r w:rsidR="00D364C0">
        <w:rPr>
          <w:rFonts w:eastAsia="Times New Roman" w:cs="Calibri"/>
          <w:b/>
          <w:szCs w:val="19"/>
          <w:lang w:eastAsia="pl-PL"/>
        </w:rPr>
        <w:t>1-</w:t>
      </w:r>
      <w:r w:rsidR="00571B14">
        <w:rPr>
          <w:rFonts w:eastAsia="Times New Roman" w:cs="Calibri"/>
          <w:b/>
          <w:szCs w:val="19"/>
          <w:lang w:eastAsia="pl-PL"/>
        </w:rPr>
        <w:t>30.</w:t>
      </w:r>
    </w:p>
    <w:p w14:paraId="102CC286" w14:textId="77777777" w:rsidR="00694AF0" w:rsidRDefault="00694AF0" w:rsidP="00E76D26">
      <w:pPr>
        <w:rPr>
          <w:sz w:val="18"/>
        </w:rPr>
      </w:pPr>
    </w:p>
    <w:p w14:paraId="202F37D1" w14:textId="7B736876" w:rsidR="0021642A" w:rsidRDefault="0021642A" w:rsidP="00E76D26">
      <w:pPr>
        <w:rPr>
          <w:sz w:val="18"/>
        </w:rPr>
      </w:pPr>
    </w:p>
    <w:p w14:paraId="488217FF" w14:textId="41DF6389" w:rsidR="007B2B79" w:rsidRDefault="007B2B79" w:rsidP="00E76D26">
      <w:pPr>
        <w:rPr>
          <w:sz w:val="18"/>
        </w:rPr>
      </w:pPr>
    </w:p>
    <w:p w14:paraId="37BC8F2E" w14:textId="57CD9F31" w:rsidR="003651A3" w:rsidRDefault="003651A3" w:rsidP="00E76D26">
      <w:pPr>
        <w:rPr>
          <w:sz w:val="18"/>
        </w:rPr>
      </w:pPr>
    </w:p>
    <w:p w14:paraId="10E3C5F2" w14:textId="77777777" w:rsidR="00797D6D" w:rsidRPr="00F92CF4" w:rsidRDefault="00797D6D" w:rsidP="00797D6D">
      <w:pPr>
        <w:spacing w:line="288" w:lineRule="auto"/>
        <w:rPr>
          <w:rFonts w:eastAsia="Times New Roman" w:cs="Times New Roman"/>
          <w:szCs w:val="19"/>
          <w:lang w:eastAsia="pl-PL"/>
        </w:rPr>
        <w:sectPr w:rsidR="00797D6D" w:rsidRPr="00F92CF4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92CF4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004C4" w14:paraId="1F263DC1" w14:textId="77777777" w:rsidTr="00C10991">
        <w:trPr>
          <w:trHeight w:val="1626"/>
        </w:trPr>
        <w:tc>
          <w:tcPr>
            <w:tcW w:w="4926" w:type="dxa"/>
          </w:tcPr>
          <w:p w14:paraId="10386900" w14:textId="77777777" w:rsidR="007004C4" w:rsidRPr="00C10991" w:rsidRDefault="007004C4" w:rsidP="007004C4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C10991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0973F9A0" w14:textId="1BEE976D" w:rsidR="007004C4" w:rsidRPr="00CF7AE9" w:rsidRDefault="007004C4" w:rsidP="00CF7AE9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CF7AE9">
              <w:rPr>
                <w:rFonts w:cs="Arial"/>
                <w:b/>
                <w:sz w:val="20"/>
                <w:szCs w:val="20"/>
              </w:rPr>
              <w:t>Departament Studiów Makroekonomicznych</w:t>
            </w:r>
            <w:r w:rsidR="006A0D61">
              <w:rPr>
                <w:rFonts w:cs="Arial"/>
                <w:b/>
                <w:sz w:val="20"/>
                <w:szCs w:val="20"/>
              </w:rPr>
              <w:br/>
            </w:r>
            <w:r w:rsidRPr="00CF7AE9">
              <w:rPr>
                <w:rFonts w:cs="Arial"/>
                <w:b/>
                <w:sz w:val="20"/>
                <w:szCs w:val="20"/>
              </w:rPr>
              <w:t>i Finansów</w:t>
            </w:r>
          </w:p>
          <w:p w14:paraId="413C2F1D" w14:textId="77777777" w:rsidR="007004C4" w:rsidRPr="00CF7AE9" w:rsidRDefault="007004C4" w:rsidP="007004C4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F7AE9">
              <w:rPr>
                <w:b/>
                <w:sz w:val="20"/>
                <w:szCs w:val="20"/>
                <w:lang w:val="fi-FI"/>
              </w:rPr>
              <w:t>Dyrektor Mirosław Błażej</w:t>
            </w:r>
          </w:p>
          <w:p w14:paraId="499419A4" w14:textId="3CE84A05" w:rsidR="007004C4" w:rsidRPr="00CF7AE9" w:rsidRDefault="007004C4" w:rsidP="007004C4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</w:pPr>
            <w:r w:rsidRPr="00CF7AE9">
              <w:rPr>
                <w:rFonts w:ascii="Fira Sans" w:hAnsi="Fira Sans" w:cs="Arial"/>
                <w:color w:val="auto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14:paraId="51A876A7" w14:textId="77777777" w:rsidR="007004C4" w:rsidRPr="00C4787C" w:rsidRDefault="007004C4" w:rsidP="00C10991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C10991">
              <w:rPr>
                <w:rFonts w:cs="Arial"/>
                <w:sz w:val="20"/>
                <w:szCs w:val="20"/>
              </w:rPr>
              <w:t>Rozpowszechnianie:</w:t>
            </w:r>
            <w:r w:rsidRPr="00C10991">
              <w:rPr>
                <w:rFonts w:cs="Arial"/>
                <w:sz w:val="20"/>
                <w:szCs w:val="20"/>
              </w:rPr>
              <w:br/>
            </w:r>
            <w:r w:rsidRPr="00C4787C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46DCC8D9" w14:textId="77777777" w:rsidR="007004C4" w:rsidRPr="00C4787C" w:rsidRDefault="007004C4" w:rsidP="00C10991">
            <w:pPr>
              <w:rPr>
                <w:sz w:val="20"/>
                <w:szCs w:val="20"/>
              </w:rPr>
            </w:pPr>
            <w:r w:rsidRPr="00C4787C">
              <w:rPr>
                <w:sz w:val="20"/>
                <w:szCs w:val="20"/>
              </w:rPr>
              <w:t>Tel. komórkowy: +48 695 255 032</w:t>
            </w:r>
          </w:p>
          <w:p w14:paraId="1F12010E" w14:textId="77777777" w:rsidR="007004C4" w:rsidRPr="00CF7AE9" w:rsidRDefault="007004C4" w:rsidP="00C10991">
            <w:pPr>
              <w:ind w:left="1554" w:hanging="1554"/>
              <w:rPr>
                <w:sz w:val="20"/>
                <w:szCs w:val="20"/>
              </w:rPr>
            </w:pPr>
            <w:r w:rsidRPr="00CF7AE9">
              <w:rPr>
                <w:sz w:val="20"/>
                <w:szCs w:val="20"/>
              </w:rPr>
              <w:t>Tel. stacjonarne: +48 22 608 38 04, +48 22 449 41 45, +48 22 608 30 09</w:t>
            </w:r>
          </w:p>
          <w:p w14:paraId="10BF2FDC" w14:textId="77777777" w:rsidR="007004C4" w:rsidRPr="00CF7AE9" w:rsidRDefault="007004C4" w:rsidP="00C10991">
            <w:pPr>
              <w:rPr>
                <w:sz w:val="20"/>
                <w:szCs w:val="20"/>
              </w:rPr>
            </w:pPr>
            <w:r w:rsidRPr="00CF7AE9">
              <w:rPr>
                <w:b/>
                <w:sz w:val="20"/>
                <w:szCs w:val="20"/>
              </w:rPr>
              <w:t>e-mail:</w:t>
            </w:r>
            <w:r w:rsidRPr="00CF7AE9">
              <w:rPr>
                <w:sz w:val="20"/>
                <w:szCs w:val="20"/>
              </w:rPr>
              <w:t xml:space="preserve"> </w:t>
            </w:r>
            <w:hyperlink r:id="rId15" w:history="1">
              <w:r w:rsidRPr="006A0D6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19BC020" w14:textId="77777777" w:rsidR="007004C4" w:rsidRPr="00CF7AE9" w:rsidRDefault="007004C4" w:rsidP="00C10991">
            <w:pPr>
              <w:rPr>
                <w:sz w:val="20"/>
                <w:szCs w:val="20"/>
              </w:rPr>
            </w:pPr>
          </w:p>
        </w:tc>
      </w:tr>
      <w:tr w:rsidR="007004C4" w14:paraId="52492375" w14:textId="77777777" w:rsidTr="00C10991">
        <w:trPr>
          <w:trHeight w:val="418"/>
        </w:trPr>
        <w:tc>
          <w:tcPr>
            <w:tcW w:w="4926" w:type="dxa"/>
            <w:vMerge w:val="restart"/>
          </w:tcPr>
          <w:p w14:paraId="191BDC73" w14:textId="77777777" w:rsidR="007004C4" w:rsidRPr="00F05FC7" w:rsidRDefault="007004C4" w:rsidP="00C1099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CE4D841" w14:textId="167221D7" w:rsidR="007004C4" w:rsidRDefault="007004C4" w:rsidP="00C1099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47832CB9" wp14:editId="0E578C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8" name="Obraz 3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7004C4" w14:paraId="22E0CF02" w14:textId="77777777" w:rsidTr="00C10991">
        <w:trPr>
          <w:trHeight w:val="418"/>
        </w:trPr>
        <w:tc>
          <w:tcPr>
            <w:tcW w:w="4926" w:type="dxa"/>
            <w:vMerge/>
          </w:tcPr>
          <w:p w14:paraId="5AE22448" w14:textId="77777777" w:rsidR="007004C4" w:rsidRPr="00C91687" w:rsidRDefault="007004C4" w:rsidP="00C10991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096C3C3" w14:textId="338905A8" w:rsidR="007004C4" w:rsidRDefault="007004C4" w:rsidP="00C1099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4FC154E9" wp14:editId="51944EB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9" name="Obraz 39" descr="Ikonka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7004C4" w14:paraId="676C33D0" w14:textId="77777777" w:rsidTr="00C10991">
        <w:trPr>
          <w:trHeight w:val="476"/>
        </w:trPr>
        <w:tc>
          <w:tcPr>
            <w:tcW w:w="4926" w:type="dxa"/>
            <w:vMerge/>
          </w:tcPr>
          <w:p w14:paraId="257237ED" w14:textId="77777777" w:rsidR="007004C4" w:rsidRPr="00C91687" w:rsidRDefault="007004C4" w:rsidP="00C1099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9D83B6B" w14:textId="2AAABBA0" w:rsidR="007004C4" w:rsidRDefault="007004C4" w:rsidP="00C1099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199700C1" wp14:editId="5104AE6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0" name="Obraz 4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7004C4" w14:paraId="38320340" w14:textId="77777777" w:rsidTr="00C10991">
        <w:trPr>
          <w:trHeight w:val="426"/>
        </w:trPr>
        <w:tc>
          <w:tcPr>
            <w:tcW w:w="4926" w:type="dxa"/>
          </w:tcPr>
          <w:p w14:paraId="3D0C9864" w14:textId="77777777" w:rsidR="007004C4" w:rsidRPr="00C91687" w:rsidRDefault="007004C4" w:rsidP="00C1099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3F0866" w14:textId="77777777" w:rsidR="007004C4" w:rsidRDefault="007004C4" w:rsidP="00C10991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3BA45BEC" wp14:editId="2B673BC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1" name="Obraz 41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004C4" w14:paraId="6E016577" w14:textId="77777777" w:rsidTr="00C10991">
        <w:trPr>
          <w:trHeight w:val="504"/>
        </w:trPr>
        <w:tc>
          <w:tcPr>
            <w:tcW w:w="4926" w:type="dxa"/>
          </w:tcPr>
          <w:p w14:paraId="71B3920D" w14:textId="77777777" w:rsidR="007004C4" w:rsidRPr="00C91687" w:rsidRDefault="007004C4" w:rsidP="00C1099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F6FAD5" w14:textId="77777777" w:rsidR="007004C4" w:rsidRDefault="007004C4" w:rsidP="00C10991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6672" behindDoc="0" locked="0" layoutInCell="1" allowOverlap="1" wp14:anchorId="326D59B3" wp14:editId="34A6739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2" name="Obraz 42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004C4" w14:paraId="6F96A8CC" w14:textId="77777777" w:rsidTr="00C10991">
        <w:trPr>
          <w:trHeight w:val="1546"/>
        </w:trPr>
        <w:tc>
          <w:tcPr>
            <w:tcW w:w="4926" w:type="dxa"/>
          </w:tcPr>
          <w:p w14:paraId="469E66E3" w14:textId="77777777" w:rsidR="007004C4" w:rsidRPr="00C91687" w:rsidRDefault="007004C4" w:rsidP="00C1099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5DDF898" w14:textId="77777777" w:rsidR="007004C4" w:rsidRDefault="007004C4" w:rsidP="00C10991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12905747" wp14:editId="4670EC9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3" name="Obraz 43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4C4" w:rsidRPr="0091780E" w14:paraId="629349CD" w14:textId="77777777" w:rsidTr="00C1099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1D68230" w14:textId="77777777" w:rsidR="007004C4" w:rsidRPr="00C10991" w:rsidRDefault="007004C4" w:rsidP="00C10991">
            <w:pPr>
              <w:shd w:val="clear" w:color="auto" w:fill="D9D9D9" w:themeFill="background1" w:themeFillShade="D9"/>
              <w:rPr>
                <w:b/>
                <w:szCs w:val="19"/>
              </w:rPr>
            </w:pPr>
            <w:r w:rsidRPr="00C10991">
              <w:rPr>
                <w:b/>
                <w:szCs w:val="19"/>
              </w:rPr>
              <w:t>Powiązane opracowania</w:t>
            </w:r>
          </w:p>
          <w:p w14:paraId="44D2BB1A" w14:textId="2B685D21" w:rsidR="007004C4" w:rsidRPr="00CF7AE9" w:rsidRDefault="007004C4" w:rsidP="007004C4">
            <w:pPr>
              <w:rPr>
                <w:rStyle w:val="Hipercze"/>
                <w:szCs w:val="19"/>
              </w:rPr>
            </w:pPr>
            <w:r w:rsidRPr="00CF7AE9">
              <w:rPr>
                <w:rFonts w:cs="Times New Roman"/>
                <w:szCs w:val="19"/>
              </w:rPr>
              <w:fldChar w:fldCharType="begin"/>
            </w:r>
            <w:r w:rsidR="00797D6D">
              <w:rPr>
                <w:rFonts w:cs="Times New Roman"/>
                <w:szCs w:val="19"/>
              </w:rPr>
              <w:instrText>HYPERLINK "https://stat.gov.pl/obszary-tematyczne/podmioty-gospodarcze-wyniki-finansowe/przedsiebiorstwa-finansowe/wyspecjalizowane-segmenty-rynku-finansowego-2023,18,9.html" \o "Linko do opracowania pt...."</w:instrText>
            </w:r>
            <w:r w:rsidRPr="00CF7AE9">
              <w:rPr>
                <w:rFonts w:cs="Times New Roman"/>
                <w:szCs w:val="19"/>
              </w:rPr>
              <w:fldChar w:fldCharType="separate"/>
            </w:r>
            <w:r w:rsidRPr="00CF7AE9">
              <w:rPr>
                <w:rStyle w:val="Hipercze"/>
                <w:szCs w:val="19"/>
              </w:rPr>
              <w:t>Wyspecjalizowane segmenty rynku finansowego</w:t>
            </w:r>
          </w:p>
          <w:p w14:paraId="1D4D2A74" w14:textId="30358646" w:rsidR="007004C4" w:rsidRPr="00CF7AE9" w:rsidRDefault="007004C4" w:rsidP="00C10991">
            <w:pPr>
              <w:rPr>
                <w:rStyle w:val="Hipercze"/>
                <w:szCs w:val="19"/>
              </w:rPr>
            </w:pPr>
          </w:p>
          <w:p w14:paraId="76DE2F09" w14:textId="456612E1" w:rsidR="007004C4" w:rsidRPr="00C10991" w:rsidRDefault="007004C4" w:rsidP="00CF7AE9">
            <w:pPr>
              <w:spacing w:before="360"/>
              <w:rPr>
                <w:b/>
                <w:color w:val="000000" w:themeColor="text1"/>
                <w:szCs w:val="19"/>
              </w:rPr>
            </w:pPr>
            <w:r w:rsidRPr="00CF7AE9">
              <w:rPr>
                <w:rFonts w:cs="Times New Roman"/>
                <w:szCs w:val="19"/>
              </w:rPr>
              <w:fldChar w:fldCharType="end"/>
            </w:r>
            <w:r w:rsidRPr="00C10991">
              <w:rPr>
                <w:b/>
                <w:color w:val="000000" w:themeColor="text1"/>
                <w:szCs w:val="19"/>
              </w:rPr>
              <w:t>Ważniejsze pojęcia dostępne w słowniku</w:t>
            </w:r>
          </w:p>
          <w:p w14:paraId="44BF0907" w14:textId="77777777" w:rsidR="007004C4" w:rsidRPr="00CF7AE9" w:rsidRDefault="007004C4" w:rsidP="007004C4">
            <w:pPr>
              <w:rPr>
                <w:rStyle w:val="Hipercze"/>
                <w:szCs w:val="19"/>
              </w:rPr>
            </w:pPr>
            <w:r w:rsidRPr="00C10991">
              <w:rPr>
                <w:rStyle w:val="Hipercze"/>
                <w:rFonts w:cs="Arial"/>
                <w:color w:val="001D77"/>
                <w:szCs w:val="19"/>
              </w:rPr>
              <w:fldChar w:fldCharType="begin"/>
            </w:r>
            <w:r w:rsidRPr="00CF7AE9">
              <w:rPr>
                <w:rStyle w:val="Hipercze"/>
                <w:rFonts w:cs="Arial"/>
                <w:color w:val="001D77"/>
                <w:szCs w:val="19"/>
              </w:rPr>
              <w:instrText xml:space="preserve"> HYPERLINK "http://stat.gov.pl/metainformacje/slownik-pojec/pojecia-stosowane-w-statystyce-publicznej/1655,pojecie.html" \o "wyjaśnienie pojęcia \"instrument finansowy\" </w:instrText>
            </w:r>
            <w:r w:rsidRPr="00C10991">
              <w:rPr>
                <w:rStyle w:val="Hipercze"/>
                <w:rFonts w:cs="Arial"/>
                <w:color w:val="001D77"/>
                <w:szCs w:val="19"/>
              </w:rPr>
              <w:fldChar w:fldCharType="separate"/>
            </w:r>
            <w:r w:rsidRPr="00CF7AE9">
              <w:rPr>
                <w:rStyle w:val="Hipercze"/>
                <w:szCs w:val="19"/>
              </w:rPr>
              <w:t>Instrument finansowy</w:t>
            </w:r>
          </w:p>
          <w:p w14:paraId="6FCA32F2" w14:textId="77777777" w:rsidR="007004C4" w:rsidRPr="00CF7AE9" w:rsidRDefault="007004C4" w:rsidP="007004C4">
            <w:pPr>
              <w:rPr>
                <w:rStyle w:val="Hipercze"/>
                <w:szCs w:val="19"/>
              </w:rPr>
            </w:pPr>
            <w:r w:rsidRPr="00C10991">
              <w:rPr>
                <w:rStyle w:val="Hipercze"/>
                <w:rFonts w:cs="Arial"/>
                <w:color w:val="001D77"/>
                <w:szCs w:val="19"/>
              </w:rPr>
              <w:fldChar w:fldCharType="end"/>
            </w:r>
            <w:hyperlink r:id="rId22" w:tooltip="wyjaśnienie pojęcia &quot;Instrument pochodny&quot;" w:history="1">
              <w:r w:rsidRPr="00CF7AE9">
                <w:rPr>
                  <w:rStyle w:val="Hipercze"/>
                  <w:szCs w:val="19"/>
                </w:rPr>
                <w:t>Instrument pochodny</w:t>
              </w:r>
            </w:hyperlink>
          </w:p>
          <w:p w14:paraId="02D835B2" w14:textId="35DA6AA1" w:rsidR="007004C4" w:rsidRPr="009B2A4A" w:rsidRDefault="007004C4" w:rsidP="00C10991">
            <w:pPr>
              <w:rPr>
                <w:rStyle w:val="Hipercze"/>
                <w:rFonts w:cstheme="minorBidi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Pr="009B2A4A">
              <w:rPr>
                <w:rFonts w:cs="Times New Roman"/>
                <w:lang w:val="en-GB"/>
              </w:rPr>
              <w:instrText xml:space="preserve"> HYPERLINK "https://stat.gov.pl/" \o "Link do słownika pojęć" </w:instrText>
            </w:r>
            <w:r>
              <w:rPr>
                <w:rFonts w:cs="Times New Roman"/>
              </w:rPr>
              <w:fldChar w:fldCharType="separate"/>
            </w:r>
          </w:p>
          <w:p w14:paraId="3B90AA22" w14:textId="77777777" w:rsidR="007004C4" w:rsidRPr="009B2A4A" w:rsidRDefault="007004C4" w:rsidP="00C10991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</w:p>
          <w:p w14:paraId="37DBA43C" w14:textId="76C638B6" w:rsidR="007004C4" w:rsidRDefault="007004C4" w:rsidP="00C1099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D7AA7C3" w14:textId="5582B13D" w:rsidR="006A0D61" w:rsidRDefault="006A0D61" w:rsidP="00C10991">
            <w:pPr>
              <w:rPr>
                <w:b/>
                <w:color w:val="000000" w:themeColor="text1"/>
                <w:szCs w:val="24"/>
              </w:rPr>
            </w:pPr>
          </w:p>
          <w:p w14:paraId="11D6635B" w14:textId="68AE46A4" w:rsidR="006A0D61" w:rsidRDefault="006A0D61" w:rsidP="00C10991">
            <w:pPr>
              <w:rPr>
                <w:b/>
                <w:color w:val="000000" w:themeColor="text1"/>
                <w:szCs w:val="24"/>
              </w:rPr>
            </w:pPr>
          </w:p>
          <w:p w14:paraId="00D8DE58" w14:textId="1AD68480" w:rsidR="006A0D61" w:rsidRDefault="006A0D61" w:rsidP="00C10991">
            <w:pPr>
              <w:rPr>
                <w:b/>
                <w:color w:val="000000" w:themeColor="text1"/>
                <w:szCs w:val="24"/>
              </w:rPr>
            </w:pPr>
          </w:p>
          <w:p w14:paraId="32A5F4A0" w14:textId="23A6601A" w:rsidR="006A0D61" w:rsidRDefault="006A0D61" w:rsidP="00C10991">
            <w:pPr>
              <w:rPr>
                <w:b/>
                <w:color w:val="000000" w:themeColor="text1"/>
                <w:szCs w:val="24"/>
              </w:rPr>
            </w:pPr>
          </w:p>
          <w:p w14:paraId="40C18998" w14:textId="5BC85AA1" w:rsidR="006A0D61" w:rsidRDefault="006A0D61" w:rsidP="00C10991">
            <w:pPr>
              <w:rPr>
                <w:b/>
                <w:color w:val="000000" w:themeColor="text1"/>
                <w:szCs w:val="24"/>
              </w:rPr>
            </w:pPr>
          </w:p>
          <w:p w14:paraId="3049C2E2" w14:textId="77777777" w:rsidR="006A0D61" w:rsidRDefault="006A0D61" w:rsidP="00C1099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00386007" w14:textId="77777777" w:rsidR="007004C4" w:rsidRDefault="007004C4" w:rsidP="00C1099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0DC891F0" w14:textId="77777777" w:rsidR="007004C4" w:rsidRPr="00876479" w:rsidRDefault="007004C4" w:rsidP="00C1099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64831C90" w14:textId="3715C09E" w:rsidR="00D261A2" w:rsidRPr="00001C5B" w:rsidRDefault="00D261A2">
      <w:pPr>
        <w:rPr>
          <w:sz w:val="18"/>
        </w:rPr>
      </w:pPr>
    </w:p>
    <w:sectPr w:rsidR="00D261A2" w:rsidRPr="00001C5B" w:rsidSect="00CF7AE9">
      <w:headerReference w:type="default" r:id="rId23"/>
      <w:footerReference w:type="default" r:id="rId24"/>
      <w:pgSz w:w="11906" w:h="16838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563F1" w14:textId="77777777" w:rsidR="007918C5" w:rsidRDefault="007918C5" w:rsidP="000662E2">
      <w:pPr>
        <w:spacing w:after="0" w:line="240" w:lineRule="auto"/>
      </w:pPr>
      <w:r>
        <w:separator/>
      </w:r>
    </w:p>
  </w:endnote>
  <w:endnote w:type="continuationSeparator" w:id="0">
    <w:p w14:paraId="0B231029" w14:textId="77777777" w:rsidR="007918C5" w:rsidRDefault="007918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7B0CC450" w14:textId="77777777" w:rsidR="007918C5" w:rsidRDefault="007918C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FBA54B8" w14:textId="77777777" w:rsidR="007918C5" w:rsidRDefault="007918C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2C893DEC" w14:textId="77777777" w:rsidR="007918C5" w:rsidRDefault="007918C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5C5CD" w14:textId="77777777" w:rsidR="007918C5" w:rsidRDefault="007918C5" w:rsidP="000662E2">
      <w:pPr>
        <w:spacing w:after="0" w:line="240" w:lineRule="auto"/>
      </w:pPr>
      <w:r>
        <w:separator/>
      </w:r>
    </w:p>
  </w:footnote>
  <w:footnote w:type="continuationSeparator" w:id="0">
    <w:p w14:paraId="251C0836" w14:textId="77777777" w:rsidR="007918C5" w:rsidRDefault="007918C5" w:rsidP="000662E2">
      <w:pPr>
        <w:spacing w:after="0" w:line="240" w:lineRule="auto"/>
      </w:pPr>
      <w:r>
        <w:continuationSeparator/>
      </w:r>
    </w:p>
  </w:footnote>
  <w:footnote w:id="1">
    <w:p w14:paraId="52095DCE" w14:textId="3C7501CB" w:rsidR="00D83774" w:rsidRDefault="00D83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0000">
        <w:rPr>
          <w:sz w:val="19"/>
          <w:szCs w:val="19"/>
        </w:rPr>
        <w:t>Do badania wytypowano 2 680 przedsiębiorstw. Wybrane zostały podmioty o liczbie pracujących 50 osób i więcej, które przynajmniej w jednym z kwartałów 2024 r. w sprawozdaniu „RF-01 Kwartalne statystyczne sprawozdanie o aktywach i pasywach finansowych” wykazały obecność wybranych instrumentów finansowych (instrumenty pochodne, dłużne papiery wartościowe, udziały w funduszach wspólnego inwestowania, udziałowe instrumenty kapitałowe). Uwzględniono również podmioty, które uczestniczyły w poprzedniej edycji badania i wykazały wtedy badane instrumenty finansowe.</w:t>
      </w:r>
    </w:p>
  </w:footnote>
  <w:footnote w:id="2">
    <w:p w14:paraId="11BC38A5" w14:textId="463DA4D8" w:rsidR="007918C5" w:rsidRPr="00BB0000" w:rsidRDefault="007918C5" w:rsidP="00CF7AE9">
      <w:pPr>
        <w:pStyle w:val="Tekstprzypisudolnego"/>
        <w:rPr>
          <w:sz w:val="19"/>
          <w:szCs w:val="19"/>
        </w:rPr>
      </w:pPr>
      <w:r w:rsidRPr="00BB0000">
        <w:rPr>
          <w:rStyle w:val="Odwoanieprzypisudolnego"/>
          <w:sz w:val="19"/>
          <w:szCs w:val="19"/>
        </w:rPr>
        <w:footnoteRef/>
      </w:r>
      <w:r w:rsidRPr="00BB0000">
        <w:rPr>
          <w:sz w:val="19"/>
          <w:szCs w:val="19"/>
        </w:rPr>
        <w:t xml:space="preserve"> </w:t>
      </w:r>
      <w:r w:rsidR="006B0825" w:rsidRPr="00BB0000">
        <w:rPr>
          <w:sz w:val="19"/>
          <w:szCs w:val="19"/>
        </w:rPr>
        <w:t xml:space="preserve">Prezentowane </w:t>
      </w:r>
      <w:r w:rsidR="00063C84">
        <w:rPr>
          <w:sz w:val="19"/>
          <w:szCs w:val="19"/>
        </w:rPr>
        <w:t xml:space="preserve">w tej części informacje </w:t>
      </w:r>
      <w:r w:rsidRPr="00BB0000">
        <w:rPr>
          <w:sz w:val="19"/>
          <w:szCs w:val="19"/>
        </w:rPr>
        <w:t>dotyczą osobno traktowanych jednostek gospodarczych</w:t>
      </w:r>
      <w:r w:rsidR="00113463">
        <w:rPr>
          <w:sz w:val="19"/>
          <w:szCs w:val="19"/>
        </w:rPr>
        <w:t xml:space="preserve"> </w:t>
      </w:r>
      <w:r w:rsidR="000A2150">
        <w:rPr>
          <w:sz w:val="19"/>
          <w:szCs w:val="19"/>
        </w:rPr>
        <w:t xml:space="preserve">tj. </w:t>
      </w:r>
      <w:r w:rsidR="00113463">
        <w:rPr>
          <w:sz w:val="19"/>
          <w:szCs w:val="19"/>
        </w:rPr>
        <w:t xml:space="preserve">odnoszą się do </w:t>
      </w:r>
      <w:r w:rsidR="000C0B37">
        <w:rPr>
          <w:sz w:val="19"/>
          <w:szCs w:val="19"/>
        </w:rPr>
        <w:t>stanów i wartości</w:t>
      </w:r>
      <w:r w:rsidR="00113463">
        <w:rPr>
          <w:sz w:val="19"/>
          <w:szCs w:val="19"/>
        </w:rPr>
        <w:t xml:space="preserve"> instrumentów finansowych w danym </w:t>
      </w:r>
      <w:r w:rsidR="00850229">
        <w:rPr>
          <w:sz w:val="19"/>
          <w:szCs w:val="19"/>
        </w:rPr>
        <w:t>podmiocie</w:t>
      </w:r>
      <w:r w:rsidR="00113463">
        <w:rPr>
          <w:sz w:val="19"/>
          <w:szCs w:val="19"/>
        </w:rPr>
        <w:t xml:space="preserve">, bez </w:t>
      </w:r>
      <w:r w:rsidR="001E2E1E">
        <w:rPr>
          <w:sz w:val="19"/>
          <w:szCs w:val="19"/>
        </w:rPr>
        <w:t>uwzględniania</w:t>
      </w:r>
      <w:r w:rsidR="00113463">
        <w:rPr>
          <w:sz w:val="19"/>
          <w:szCs w:val="19"/>
        </w:rPr>
        <w:t xml:space="preserve"> </w:t>
      </w:r>
      <w:r w:rsidR="000C0B37">
        <w:rPr>
          <w:sz w:val="19"/>
          <w:szCs w:val="19"/>
        </w:rPr>
        <w:t>stanów i wartości</w:t>
      </w:r>
      <w:r w:rsidR="00113463">
        <w:rPr>
          <w:sz w:val="19"/>
          <w:szCs w:val="19"/>
        </w:rPr>
        <w:t xml:space="preserve"> tych instrumentów w </w:t>
      </w:r>
      <w:r w:rsidR="000C0B37">
        <w:rPr>
          <w:sz w:val="19"/>
          <w:szCs w:val="19"/>
        </w:rPr>
        <w:t>jednostkach dominujących lub</w:t>
      </w:r>
      <w:r w:rsidR="00F77B64">
        <w:rPr>
          <w:sz w:val="19"/>
          <w:szCs w:val="19"/>
        </w:rPr>
        <w:t xml:space="preserve"> jednostkach</w:t>
      </w:r>
      <w:r w:rsidR="000C0B37">
        <w:rPr>
          <w:sz w:val="19"/>
          <w:szCs w:val="19"/>
        </w:rPr>
        <w:t xml:space="preserve"> </w:t>
      </w:r>
      <w:r w:rsidR="00850229">
        <w:rPr>
          <w:sz w:val="19"/>
          <w:szCs w:val="19"/>
        </w:rPr>
        <w:t xml:space="preserve">zależnych </w:t>
      </w:r>
      <w:r w:rsidR="000C0B37">
        <w:rPr>
          <w:sz w:val="19"/>
          <w:szCs w:val="19"/>
        </w:rPr>
        <w:t>od danego podmiotu</w:t>
      </w:r>
      <w:r w:rsidR="000A2150">
        <w:rPr>
          <w:sz w:val="19"/>
          <w:szCs w:val="19"/>
        </w:rPr>
        <w:t>.</w:t>
      </w:r>
      <w:r w:rsidR="00113463">
        <w:rPr>
          <w:sz w:val="19"/>
          <w:szCs w:val="19"/>
        </w:rPr>
        <w:t xml:space="preserve"> </w:t>
      </w:r>
    </w:p>
  </w:footnote>
  <w:footnote w:id="3">
    <w:p w14:paraId="0B1C6FB3" w14:textId="625C88DE" w:rsidR="005F41BB" w:rsidRPr="005F41BB" w:rsidRDefault="005F41BB">
      <w:pPr>
        <w:pStyle w:val="Tekstprzypisudolnego"/>
        <w:rPr>
          <w:sz w:val="19"/>
          <w:szCs w:val="19"/>
        </w:rPr>
      </w:pPr>
      <w:r w:rsidRPr="005F41BB">
        <w:rPr>
          <w:rStyle w:val="Odwoanieprzypisudolnego"/>
          <w:sz w:val="19"/>
          <w:szCs w:val="19"/>
        </w:rPr>
        <w:footnoteRef/>
      </w:r>
      <w:r w:rsidRPr="005F41BB">
        <w:rPr>
          <w:sz w:val="19"/>
          <w:szCs w:val="19"/>
        </w:rPr>
        <w:t xml:space="preserve"> Obejmuje również transakcje, które zostały zawarte i rozliczone przed końcem </w:t>
      </w:r>
      <w:r w:rsidR="00995F6B">
        <w:rPr>
          <w:sz w:val="19"/>
          <w:szCs w:val="19"/>
        </w:rPr>
        <w:t>2024 r.</w:t>
      </w:r>
      <w:r w:rsidRPr="005F41BB">
        <w:rPr>
          <w:sz w:val="19"/>
          <w:szCs w:val="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39AA" w14:textId="77777777" w:rsidR="007918C5" w:rsidRDefault="007918C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438B5BE" wp14:editId="3EA1225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D54B4" id="Prostokąt 12" o:spid="_x0000_s1026" style="position:absolute;margin-left:411.2pt;margin-top:-322.85pt;width:147.4pt;height:180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8440C7F" w14:textId="77777777" w:rsidR="007918C5" w:rsidRDefault="00791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A1CB" w14:textId="77777777" w:rsidR="007918C5" w:rsidRDefault="007918C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AE9DFF" wp14:editId="33F0234B">
              <wp:simplePos x="0" y="0"/>
              <wp:positionH relativeFrom="column">
                <wp:posOffset>5220031</wp:posOffset>
              </wp:positionH>
              <wp:positionV relativeFrom="paragraph">
                <wp:posOffset>511423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7D872" id="Prostokąt 4" o:spid="_x0000_s1026" style="position:absolute;margin-left:411.05pt;margin-top:40.2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sfnAIAAIgFAAAOAAAAZHJzL2Uyb0RvYy54bWysVM1u2zAMvg/YOwi6r/5BsqZ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1E86BE0E" wp14:editId="3235CF5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60158B" wp14:editId="622766A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6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2D86D2" w14:textId="77777777" w:rsidR="007918C5" w:rsidRPr="003C6C8D" w:rsidRDefault="007918C5" w:rsidP="00547385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60158B" id="Schemat blokowy: opóźnienie 6" o:spid="_x0000_s1034" alt="Napis &quot;Informacja sygnalna&quot;" style="position:absolute;margin-left:396.6pt;margin-top:15.65pt;width:162.25pt;height:28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D2D86D2" w14:textId="77777777" w:rsidR="007918C5" w:rsidRPr="003C6C8D" w:rsidRDefault="007918C5" w:rsidP="00547385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006BDDCA" w14:textId="77777777" w:rsidR="007918C5" w:rsidRDefault="007918C5">
    <w:pPr>
      <w:pStyle w:val="Nagwek"/>
      <w:rPr>
        <w:noProof/>
        <w:lang w:eastAsia="pl-PL"/>
      </w:rPr>
    </w:pPr>
  </w:p>
  <w:p w14:paraId="4528375E" w14:textId="77777777" w:rsidR="007918C5" w:rsidRDefault="007918C5">
    <w:pPr>
      <w:pStyle w:val="Nagwek"/>
      <w:rPr>
        <w:noProof/>
        <w:lang w:eastAsia="pl-PL"/>
      </w:rPr>
    </w:pPr>
  </w:p>
  <w:p w14:paraId="32E0F8B4" w14:textId="77777777" w:rsidR="007918C5" w:rsidRDefault="007918C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C995FB2" wp14:editId="42F8F96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BC7AF" w14:textId="02BC0FA2" w:rsidR="007918C5" w:rsidRPr="00A01B40" w:rsidRDefault="007918C5" w:rsidP="00547385">
                          <w:pPr>
                            <w:pStyle w:val="Datainformacjisygnalnej"/>
                          </w:pPr>
                          <w:r>
                            <w:t>20.11.2025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5FB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" style="position:absolute;margin-left:416.4pt;margin-top:20.95pt;width:112.8pt;height:2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" filled="f" stroked="f">
              <v:textbox>
                <w:txbxContent>
                  <w:p w14:paraId="771BC7AF" w14:textId="02BC0FA2" w:rsidR="007918C5" w:rsidRPr="00A01B40" w:rsidRDefault="007918C5" w:rsidP="00547385">
                    <w:pPr>
                      <w:pStyle w:val="Datainformacjisygnalnej"/>
                    </w:pPr>
                    <w:r>
                      <w:t>20.11.2025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B6CB" w14:textId="77777777" w:rsidR="007918C5" w:rsidRDefault="007918C5">
    <w:pPr>
      <w:pStyle w:val="Nagwek"/>
    </w:pPr>
  </w:p>
  <w:p w14:paraId="2D8F73D9" w14:textId="77777777" w:rsidR="007918C5" w:rsidRDefault="007918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23.2pt;height:124.85pt;visibility:visible" o:bullet="t">
        <v:imagedata r:id="rId1" o:title=""/>
      </v:shape>
    </w:pict>
  </w:numPicBullet>
  <w:numPicBullet w:numPicBulletId="1">
    <w:pict>
      <v:shape id="_x0000_i1117" type="#_x0000_t75" style="width:124pt;height:124.85pt;visibility:visible" o:bullet="t">
        <v:imagedata r:id="rId2" o:title=""/>
      </v:shape>
    </w:pict>
  </w:numPicBullet>
  <w:abstractNum w:abstractNumId="0" w15:restartNumberingAfterBreak="0">
    <w:nsid w:val="088636FF"/>
    <w:multiLevelType w:val="hybridMultilevel"/>
    <w:tmpl w:val="FCF01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E10F37"/>
    <w:multiLevelType w:val="hybridMultilevel"/>
    <w:tmpl w:val="FA16C1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455"/>
    <w:rsid w:val="00000966"/>
    <w:rsid w:val="00000EB2"/>
    <w:rsid w:val="00001C5B"/>
    <w:rsid w:val="00003437"/>
    <w:rsid w:val="00006097"/>
    <w:rsid w:val="00006635"/>
    <w:rsid w:val="0000709F"/>
    <w:rsid w:val="000108B8"/>
    <w:rsid w:val="00012AEF"/>
    <w:rsid w:val="00012F65"/>
    <w:rsid w:val="000152F5"/>
    <w:rsid w:val="0001548B"/>
    <w:rsid w:val="00016885"/>
    <w:rsid w:val="00016CA5"/>
    <w:rsid w:val="000201C1"/>
    <w:rsid w:val="000219FB"/>
    <w:rsid w:val="00021D70"/>
    <w:rsid w:val="00024730"/>
    <w:rsid w:val="000271A4"/>
    <w:rsid w:val="000349A4"/>
    <w:rsid w:val="000355D4"/>
    <w:rsid w:val="000355EC"/>
    <w:rsid w:val="00036411"/>
    <w:rsid w:val="000402FC"/>
    <w:rsid w:val="00040443"/>
    <w:rsid w:val="00041658"/>
    <w:rsid w:val="000423DC"/>
    <w:rsid w:val="00042C02"/>
    <w:rsid w:val="00043FAB"/>
    <w:rsid w:val="00044383"/>
    <w:rsid w:val="0004468D"/>
    <w:rsid w:val="00044E77"/>
    <w:rsid w:val="0004582E"/>
    <w:rsid w:val="000470AA"/>
    <w:rsid w:val="00047152"/>
    <w:rsid w:val="00047DCA"/>
    <w:rsid w:val="00052EBE"/>
    <w:rsid w:val="000530FA"/>
    <w:rsid w:val="0005378F"/>
    <w:rsid w:val="00055988"/>
    <w:rsid w:val="000561EB"/>
    <w:rsid w:val="00056F2A"/>
    <w:rsid w:val="00057CA1"/>
    <w:rsid w:val="00062979"/>
    <w:rsid w:val="00063C84"/>
    <w:rsid w:val="000641FB"/>
    <w:rsid w:val="000662E2"/>
    <w:rsid w:val="00066883"/>
    <w:rsid w:val="00067CC6"/>
    <w:rsid w:val="00071396"/>
    <w:rsid w:val="00073198"/>
    <w:rsid w:val="00074DD8"/>
    <w:rsid w:val="00076F6D"/>
    <w:rsid w:val="0008060F"/>
    <w:rsid w:val="000806F7"/>
    <w:rsid w:val="000833B5"/>
    <w:rsid w:val="00083513"/>
    <w:rsid w:val="00083965"/>
    <w:rsid w:val="000850C9"/>
    <w:rsid w:val="000861EC"/>
    <w:rsid w:val="00092032"/>
    <w:rsid w:val="00092170"/>
    <w:rsid w:val="00092741"/>
    <w:rsid w:val="0009591B"/>
    <w:rsid w:val="00095D46"/>
    <w:rsid w:val="00096EC8"/>
    <w:rsid w:val="00097840"/>
    <w:rsid w:val="000979B0"/>
    <w:rsid w:val="000A2150"/>
    <w:rsid w:val="000A35DE"/>
    <w:rsid w:val="000A4E3B"/>
    <w:rsid w:val="000B0727"/>
    <w:rsid w:val="000B1A8D"/>
    <w:rsid w:val="000B3242"/>
    <w:rsid w:val="000B45CC"/>
    <w:rsid w:val="000B4835"/>
    <w:rsid w:val="000B5EF9"/>
    <w:rsid w:val="000C0B37"/>
    <w:rsid w:val="000C10CA"/>
    <w:rsid w:val="000C135D"/>
    <w:rsid w:val="000C2DEB"/>
    <w:rsid w:val="000D1D43"/>
    <w:rsid w:val="000D225C"/>
    <w:rsid w:val="000D2A5C"/>
    <w:rsid w:val="000D4BA9"/>
    <w:rsid w:val="000D6ECF"/>
    <w:rsid w:val="000E07A2"/>
    <w:rsid w:val="000E0918"/>
    <w:rsid w:val="000E0CFF"/>
    <w:rsid w:val="000E1C23"/>
    <w:rsid w:val="000E2B66"/>
    <w:rsid w:val="000E3C5A"/>
    <w:rsid w:val="000E43E4"/>
    <w:rsid w:val="000E7D84"/>
    <w:rsid w:val="000F0FED"/>
    <w:rsid w:val="000F1B51"/>
    <w:rsid w:val="000F2697"/>
    <w:rsid w:val="000F2B24"/>
    <w:rsid w:val="000F2C07"/>
    <w:rsid w:val="000F3F78"/>
    <w:rsid w:val="000F44B3"/>
    <w:rsid w:val="000F68EB"/>
    <w:rsid w:val="001011C3"/>
    <w:rsid w:val="00101BEB"/>
    <w:rsid w:val="00101E6F"/>
    <w:rsid w:val="001031CB"/>
    <w:rsid w:val="00103A91"/>
    <w:rsid w:val="00107C87"/>
    <w:rsid w:val="00110D87"/>
    <w:rsid w:val="00110E07"/>
    <w:rsid w:val="001121A0"/>
    <w:rsid w:val="001122C6"/>
    <w:rsid w:val="00112372"/>
    <w:rsid w:val="00113463"/>
    <w:rsid w:val="001136CE"/>
    <w:rsid w:val="00114DB9"/>
    <w:rsid w:val="00116087"/>
    <w:rsid w:val="00117A18"/>
    <w:rsid w:val="00120E8A"/>
    <w:rsid w:val="00121013"/>
    <w:rsid w:val="001217FB"/>
    <w:rsid w:val="00122829"/>
    <w:rsid w:val="00124082"/>
    <w:rsid w:val="0012543B"/>
    <w:rsid w:val="0012575C"/>
    <w:rsid w:val="00127161"/>
    <w:rsid w:val="00127C44"/>
    <w:rsid w:val="00130296"/>
    <w:rsid w:val="001330A3"/>
    <w:rsid w:val="00133863"/>
    <w:rsid w:val="001375D8"/>
    <w:rsid w:val="00137CE1"/>
    <w:rsid w:val="0014008B"/>
    <w:rsid w:val="001423B6"/>
    <w:rsid w:val="001438E6"/>
    <w:rsid w:val="001448A7"/>
    <w:rsid w:val="001456D1"/>
    <w:rsid w:val="00146514"/>
    <w:rsid w:val="00146621"/>
    <w:rsid w:val="00150ED6"/>
    <w:rsid w:val="00151187"/>
    <w:rsid w:val="00151339"/>
    <w:rsid w:val="00153BA8"/>
    <w:rsid w:val="0015461D"/>
    <w:rsid w:val="00154C80"/>
    <w:rsid w:val="00156896"/>
    <w:rsid w:val="0015726A"/>
    <w:rsid w:val="00160882"/>
    <w:rsid w:val="001610CC"/>
    <w:rsid w:val="0016168A"/>
    <w:rsid w:val="00162325"/>
    <w:rsid w:val="00164764"/>
    <w:rsid w:val="00165821"/>
    <w:rsid w:val="00166237"/>
    <w:rsid w:val="00166E9A"/>
    <w:rsid w:val="00171665"/>
    <w:rsid w:val="00173B8E"/>
    <w:rsid w:val="00174342"/>
    <w:rsid w:val="00176646"/>
    <w:rsid w:val="00177132"/>
    <w:rsid w:val="00180A1E"/>
    <w:rsid w:val="00181B60"/>
    <w:rsid w:val="00182E97"/>
    <w:rsid w:val="0018442F"/>
    <w:rsid w:val="00184F69"/>
    <w:rsid w:val="00186D41"/>
    <w:rsid w:val="001872C8"/>
    <w:rsid w:val="001917F0"/>
    <w:rsid w:val="001935E2"/>
    <w:rsid w:val="001944FD"/>
    <w:rsid w:val="001951DA"/>
    <w:rsid w:val="001A0C50"/>
    <w:rsid w:val="001A20E3"/>
    <w:rsid w:val="001A411C"/>
    <w:rsid w:val="001A4384"/>
    <w:rsid w:val="001A755A"/>
    <w:rsid w:val="001B133F"/>
    <w:rsid w:val="001B1AC4"/>
    <w:rsid w:val="001B2B38"/>
    <w:rsid w:val="001B2E74"/>
    <w:rsid w:val="001B44FA"/>
    <w:rsid w:val="001B6F34"/>
    <w:rsid w:val="001B7123"/>
    <w:rsid w:val="001C3269"/>
    <w:rsid w:val="001C43EF"/>
    <w:rsid w:val="001C48DB"/>
    <w:rsid w:val="001C741C"/>
    <w:rsid w:val="001D1DB4"/>
    <w:rsid w:val="001D3124"/>
    <w:rsid w:val="001D3453"/>
    <w:rsid w:val="001E0935"/>
    <w:rsid w:val="001E26A6"/>
    <w:rsid w:val="001E2E1E"/>
    <w:rsid w:val="001E379E"/>
    <w:rsid w:val="001E4A48"/>
    <w:rsid w:val="001E7868"/>
    <w:rsid w:val="001E7D7F"/>
    <w:rsid w:val="001F00B7"/>
    <w:rsid w:val="001F21B7"/>
    <w:rsid w:val="001F2FE5"/>
    <w:rsid w:val="001F4AAF"/>
    <w:rsid w:val="001F6B80"/>
    <w:rsid w:val="001F6E7A"/>
    <w:rsid w:val="001F764D"/>
    <w:rsid w:val="00200C7F"/>
    <w:rsid w:val="00202C95"/>
    <w:rsid w:val="00203064"/>
    <w:rsid w:val="00204D85"/>
    <w:rsid w:val="002060F4"/>
    <w:rsid w:val="002067D4"/>
    <w:rsid w:val="0021060C"/>
    <w:rsid w:val="002109B3"/>
    <w:rsid w:val="002116FB"/>
    <w:rsid w:val="0021642A"/>
    <w:rsid w:val="00220E92"/>
    <w:rsid w:val="0022183D"/>
    <w:rsid w:val="002300D1"/>
    <w:rsid w:val="0023010D"/>
    <w:rsid w:val="00231AF0"/>
    <w:rsid w:val="0023339F"/>
    <w:rsid w:val="00235B31"/>
    <w:rsid w:val="00235E14"/>
    <w:rsid w:val="00243B7A"/>
    <w:rsid w:val="0024470B"/>
    <w:rsid w:val="00250B81"/>
    <w:rsid w:val="00250CAA"/>
    <w:rsid w:val="002525C8"/>
    <w:rsid w:val="0025376F"/>
    <w:rsid w:val="0025680C"/>
    <w:rsid w:val="00256EB1"/>
    <w:rsid w:val="002574F9"/>
    <w:rsid w:val="00262B61"/>
    <w:rsid w:val="00263D2C"/>
    <w:rsid w:val="00264B3D"/>
    <w:rsid w:val="00267BE7"/>
    <w:rsid w:val="00270485"/>
    <w:rsid w:val="00270E02"/>
    <w:rsid w:val="00274B5D"/>
    <w:rsid w:val="00276811"/>
    <w:rsid w:val="002768EC"/>
    <w:rsid w:val="0027706C"/>
    <w:rsid w:val="00277138"/>
    <w:rsid w:val="00277A4E"/>
    <w:rsid w:val="00281C05"/>
    <w:rsid w:val="00281E79"/>
    <w:rsid w:val="00282699"/>
    <w:rsid w:val="00282BEE"/>
    <w:rsid w:val="002834BC"/>
    <w:rsid w:val="00283682"/>
    <w:rsid w:val="00283959"/>
    <w:rsid w:val="00290E36"/>
    <w:rsid w:val="0029122D"/>
    <w:rsid w:val="0029164A"/>
    <w:rsid w:val="00291E94"/>
    <w:rsid w:val="002926DF"/>
    <w:rsid w:val="002930C0"/>
    <w:rsid w:val="00296697"/>
    <w:rsid w:val="002969D1"/>
    <w:rsid w:val="0029717A"/>
    <w:rsid w:val="00297CAB"/>
    <w:rsid w:val="002A1C57"/>
    <w:rsid w:val="002A1DD3"/>
    <w:rsid w:val="002A2703"/>
    <w:rsid w:val="002A2D4E"/>
    <w:rsid w:val="002A4FE7"/>
    <w:rsid w:val="002A5B0D"/>
    <w:rsid w:val="002A5E36"/>
    <w:rsid w:val="002A6D7D"/>
    <w:rsid w:val="002A7E22"/>
    <w:rsid w:val="002B0472"/>
    <w:rsid w:val="002B0DA8"/>
    <w:rsid w:val="002B4B2A"/>
    <w:rsid w:val="002B5C2F"/>
    <w:rsid w:val="002B6B12"/>
    <w:rsid w:val="002B6D0C"/>
    <w:rsid w:val="002B7D80"/>
    <w:rsid w:val="002C0357"/>
    <w:rsid w:val="002C0442"/>
    <w:rsid w:val="002C119C"/>
    <w:rsid w:val="002C1C8F"/>
    <w:rsid w:val="002C4D14"/>
    <w:rsid w:val="002C55E8"/>
    <w:rsid w:val="002C764B"/>
    <w:rsid w:val="002D1C5F"/>
    <w:rsid w:val="002D2964"/>
    <w:rsid w:val="002E4767"/>
    <w:rsid w:val="002E6140"/>
    <w:rsid w:val="002E6985"/>
    <w:rsid w:val="002E71B6"/>
    <w:rsid w:val="002E7333"/>
    <w:rsid w:val="002F1F63"/>
    <w:rsid w:val="002F29B0"/>
    <w:rsid w:val="002F37D0"/>
    <w:rsid w:val="002F455D"/>
    <w:rsid w:val="002F4A19"/>
    <w:rsid w:val="002F77C8"/>
    <w:rsid w:val="00300A1D"/>
    <w:rsid w:val="00304F22"/>
    <w:rsid w:val="00305F51"/>
    <w:rsid w:val="00306C7C"/>
    <w:rsid w:val="00310D6B"/>
    <w:rsid w:val="00315CF8"/>
    <w:rsid w:val="00316254"/>
    <w:rsid w:val="003179D8"/>
    <w:rsid w:val="00317F00"/>
    <w:rsid w:val="00321D85"/>
    <w:rsid w:val="00322EDD"/>
    <w:rsid w:val="003246DF"/>
    <w:rsid w:val="00324864"/>
    <w:rsid w:val="003248AD"/>
    <w:rsid w:val="00326215"/>
    <w:rsid w:val="00327F8D"/>
    <w:rsid w:val="0033051A"/>
    <w:rsid w:val="00332320"/>
    <w:rsid w:val="00335077"/>
    <w:rsid w:val="003353D1"/>
    <w:rsid w:val="003408AC"/>
    <w:rsid w:val="00342E26"/>
    <w:rsid w:val="00345A19"/>
    <w:rsid w:val="00347B65"/>
    <w:rsid w:val="00347D72"/>
    <w:rsid w:val="00354225"/>
    <w:rsid w:val="00355EE3"/>
    <w:rsid w:val="00355FC0"/>
    <w:rsid w:val="00357611"/>
    <w:rsid w:val="0036089B"/>
    <w:rsid w:val="00362230"/>
    <w:rsid w:val="00364A1B"/>
    <w:rsid w:val="00364D0F"/>
    <w:rsid w:val="003651A3"/>
    <w:rsid w:val="00365C04"/>
    <w:rsid w:val="00367237"/>
    <w:rsid w:val="00370526"/>
    <w:rsid w:val="0037077F"/>
    <w:rsid w:val="00370FFF"/>
    <w:rsid w:val="0037151E"/>
    <w:rsid w:val="003720D9"/>
    <w:rsid w:val="00372411"/>
    <w:rsid w:val="0037333D"/>
    <w:rsid w:val="00373882"/>
    <w:rsid w:val="00373FC5"/>
    <w:rsid w:val="00376045"/>
    <w:rsid w:val="0037607A"/>
    <w:rsid w:val="00380284"/>
    <w:rsid w:val="00383207"/>
    <w:rsid w:val="003840D2"/>
    <w:rsid w:val="003843DB"/>
    <w:rsid w:val="00386F9E"/>
    <w:rsid w:val="00387B61"/>
    <w:rsid w:val="003900B9"/>
    <w:rsid w:val="003909FF"/>
    <w:rsid w:val="00393761"/>
    <w:rsid w:val="00393CDC"/>
    <w:rsid w:val="00394D62"/>
    <w:rsid w:val="00395201"/>
    <w:rsid w:val="00397D18"/>
    <w:rsid w:val="003A0D9B"/>
    <w:rsid w:val="003A1B36"/>
    <w:rsid w:val="003A1B6A"/>
    <w:rsid w:val="003A2E01"/>
    <w:rsid w:val="003A41C1"/>
    <w:rsid w:val="003A4ED9"/>
    <w:rsid w:val="003B0C04"/>
    <w:rsid w:val="003B1454"/>
    <w:rsid w:val="003B18B6"/>
    <w:rsid w:val="003B1938"/>
    <w:rsid w:val="003B23FB"/>
    <w:rsid w:val="003B254D"/>
    <w:rsid w:val="003B31DD"/>
    <w:rsid w:val="003B6F5A"/>
    <w:rsid w:val="003B78B9"/>
    <w:rsid w:val="003C0490"/>
    <w:rsid w:val="003C42E4"/>
    <w:rsid w:val="003C59E0"/>
    <w:rsid w:val="003C6C8D"/>
    <w:rsid w:val="003C6CE2"/>
    <w:rsid w:val="003D11C1"/>
    <w:rsid w:val="003D2C82"/>
    <w:rsid w:val="003D348A"/>
    <w:rsid w:val="003D4F95"/>
    <w:rsid w:val="003D5F42"/>
    <w:rsid w:val="003D60A9"/>
    <w:rsid w:val="003D6E9F"/>
    <w:rsid w:val="003D7CE1"/>
    <w:rsid w:val="003E0228"/>
    <w:rsid w:val="003E09CD"/>
    <w:rsid w:val="003E1EB0"/>
    <w:rsid w:val="003E2799"/>
    <w:rsid w:val="003E6E32"/>
    <w:rsid w:val="003F0662"/>
    <w:rsid w:val="003F06BE"/>
    <w:rsid w:val="003F12AF"/>
    <w:rsid w:val="003F14CB"/>
    <w:rsid w:val="003F4C97"/>
    <w:rsid w:val="003F543F"/>
    <w:rsid w:val="003F7FE6"/>
    <w:rsid w:val="00400193"/>
    <w:rsid w:val="00400AD5"/>
    <w:rsid w:val="00401AC7"/>
    <w:rsid w:val="00402883"/>
    <w:rsid w:val="00404BBF"/>
    <w:rsid w:val="00405132"/>
    <w:rsid w:val="00410B36"/>
    <w:rsid w:val="00411813"/>
    <w:rsid w:val="00412B6E"/>
    <w:rsid w:val="00414932"/>
    <w:rsid w:val="00415D39"/>
    <w:rsid w:val="004212E7"/>
    <w:rsid w:val="00423235"/>
    <w:rsid w:val="004239BE"/>
    <w:rsid w:val="00423B68"/>
    <w:rsid w:val="0042446D"/>
    <w:rsid w:val="00424F29"/>
    <w:rsid w:val="00427BF8"/>
    <w:rsid w:val="00431C02"/>
    <w:rsid w:val="0043243A"/>
    <w:rsid w:val="00432C5D"/>
    <w:rsid w:val="00433206"/>
    <w:rsid w:val="00434CD6"/>
    <w:rsid w:val="00436CA9"/>
    <w:rsid w:val="0043720A"/>
    <w:rsid w:val="00437395"/>
    <w:rsid w:val="004377D2"/>
    <w:rsid w:val="00437895"/>
    <w:rsid w:val="00441A3F"/>
    <w:rsid w:val="00442108"/>
    <w:rsid w:val="00445047"/>
    <w:rsid w:val="00445A58"/>
    <w:rsid w:val="00445CD4"/>
    <w:rsid w:val="004501C9"/>
    <w:rsid w:val="00455271"/>
    <w:rsid w:val="004552DC"/>
    <w:rsid w:val="00455501"/>
    <w:rsid w:val="00457462"/>
    <w:rsid w:val="00457A2D"/>
    <w:rsid w:val="004615E6"/>
    <w:rsid w:val="00463E39"/>
    <w:rsid w:val="0046430A"/>
    <w:rsid w:val="004650A7"/>
    <w:rsid w:val="004653E5"/>
    <w:rsid w:val="004657FC"/>
    <w:rsid w:val="00471212"/>
    <w:rsid w:val="00471328"/>
    <w:rsid w:val="004721F4"/>
    <w:rsid w:val="00472C03"/>
    <w:rsid w:val="004733F6"/>
    <w:rsid w:val="00474E69"/>
    <w:rsid w:val="00480855"/>
    <w:rsid w:val="004812A5"/>
    <w:rsid w:val="004814A8"/>
    <w:rsid w:val="004829C9"/>
    <w:rsid w:val="004852E3"/>
    <w:rsid w:val="00486A6D"/>
    <w:rsid w:val="00487CA6"/>
    <w:rsid w:val="004907D0"/>
    <w:rsid w:val="00493C5B"/>
    <w:rsid w:val="00494A2D"/>
    <w:rsid w:val="00495A07"/>
    <w:rsid w:val="0049621B"/>
    <w:rsid w:val="004A044C"/>
    <w:rsid w:val="004A5E51"/>
    <w:rsid w:val="004B044F"/>
    <w:rsid w:val="004B0E6F"/>
    <w:rsid w:val="004B21E1"/>
    <w:rsid w:val="004B2E54"/>
    <w:rsid w:val="004B3185"/>
    <w:rsid w:val="004B3BCB"/>
    <w:rsid w:val="004B456F"/>
    <w:rsid w:val="004B45B7"/>
    <w:rsid w:val="004B6F25"/>
    <w:rsid w:val="004C1895"/>
    <w:rsid w:val="004C2BBE"/>
    <w:rsid w:val="004C3693"/>
    <w:rsid w:val="004C6664"/>
    <w:rsid w:val="004C66CD"/>
    <w:rsid w:val="004C6D40"/>
    <w:rsid w:val="004D0343"/>
    <w:rsid w:val="004D51AC"/>
    <w:rsid w:val="004E0246"/>
    <w:rsid w:val="004E05C5"/>
    <w:rsid w:val="004E0C0B"/>
    <w:rsid w:val="004E2F20"/>
    <w:rsid w:val="004E58B5"/>
    <w:rsid w:val="004F071D"/>
    <w:rsid w:val="004F0C3C"/>
    <w:rsid w:val="004F1790"/>
    <w:rsid w:val="004F4C3E"/>
    <w:rsid w:val="004F55E7"/>
    <w:rsid w:val="004F5B32"/>
    <w:rsid w:val="004F63FC"/>
    <w:rsid w:val="004F69BD"/>
    <w:rsid w:val="0050046D"/>
    <w:rsid w:val="00502C10"/>
    <w:rsid w:val="00504AC2"/>
    <w:rsid w:val="0050527A"/>
    <w:rsid w:val="005059CD"/>
    <w:rsid w:val="00505A92"/>
    <w:rsid w:val="00505FAD"/>
    <w:rsid w:val="00507204"/>
    <w:rsid w:val="00507D8A"/>
    <w:rsid w:val="005116F3"/>
    <w:rsid w:val="00511AD6"/>
    <w:rsid w:val="005133F6"/>
    <w:rsid w:val="00517A36"/>
    <w:rsid w:val="00517E87"/>
    <w:rsid w:val="005203F1"/>
    <w:rsid w:val="00521033"/>
    <w:rsid w:val="00521499"/>
    <w:rsid w:val="00521BC3"/>
    <w:rsid w:val="005236D5"/>
    <w:rsid w:val="0053081A"/>
    <w:rsid w:val="00530BD0"/>
    <w:rsid w:val="005314BC"/>
    <w:rsid w:val="00531F1B"/>
    <w:rsid w:val="00531F9C"/>
    <w:rsid w:val="005335FD"/>
    <w:rsid w:val="00533632"/>
    <w:rsid w:val="00533EE0"/>
    <w:rsid w:val="00534FF3"/>
    <w:rsid w:val="00535421"/>
    <w:rsid w:val="005404E4"/>
    <w:rsid w:val="00541E6E"/>
    <w:rsid w:val="0054251F"/>
    <w:rsid w:val="00544D03"/>
    <w:rsid w:val="00544FA7"/>
    <w:rsid w:val="00546B66"/>
    <w:rsid w:val="00547385"/>
    <w:rsid w:val="00547712"/>
    <w:rsid w:val="005520D8"/>
    <w:rsid w:val="00552145"/>
    <w:rsid w:val="005547AF"/>
    <w:rsid w:val="00554EDB"/>
    <w:rsid w:val="00555B0F"/>
    <w:rsid w:val="00556CF1"/>
    <w:rsid w:val="00562B98"/>
    <w:rsid w:val="00571B14"/>
    <w:rsid w:val="00571BF7"/>
    <w:rsid w:val="00572B9B"/>
    <w:rsid w:val="005740D1"/>
    <w:rsid w:val="00574F5A"/>
    <w:rsid w:val="005755BE"/>
    <w:rsid w:val="005762A7"/>
    <w:rsid w:val="0057778A"/>
    <w:rsid w:val="0058607B"/>
    <w:rsid w:val="00586ADA"/>
    <w:rsid w:val="00587089"/>
    <w:rsid w:val="00587C6D"/>
    <w:rsid w:val="00587EAB"/>
    <w:rsid w:val="005909F6"/>
    <w:rsid w:val="00591053"/>
    <w:rsid w:val="005916D7"/>
    <w:rsid w:val="00593D7A"/>
    <w:rsid w:val="005953BA"/>
    <w:rsid w:val="005A0CF3"/>
    <w:rsid w:val="005A394E"/>
    <w:rsid w:val="005A506F"/>
    <w:rsid w:val="005A698C"/>
    <w:rsid w:val="005A69DF"/>
    <w:rsid w:val="005B3059"/>
    <w:rsid w:val="005B344F"/>
    <w:rsid w:val="005B5B6F"/>
    <w:rsid w:val="005B7137"/>
    <w:rsid w:val="005B7F2B"/>
    <w:rsid w:val="005C0E48"/>
    <w:rsid w:val="005C1062"/>
    <w:rsid w:val="005C182F"/>
    <w:rsid w:val="005C1F2A"/>
    <w:rsid w:val="005C2478"/>
    <w:rsid w:val="005C49B8"/>
    <w:rsid w:val="005C520B"/>
    <w:rsid w:val="005C5B86"/>
    <w:rsid w:val="005C6ED6"/>
    <w:rsid w:val="005C7694"/>
    <w:rsid w:val="005D0603"/>
    <w:rsid w:val="005D19A3"/>
    <w:rsid w:val="005D1EAA"/>
    <w:rsid w:val="005D38E7"/>
    <w:rsid w:val="005D48B2"/>
    <w:rsid w:val="005D5424"/>
    <w:rsid w:val="005E0799"/>
    <w:rsid w:val="005E2146"/>
    <w:rsid w:val="005E2B9D"/>
    <w:rsid w:val="005E3C7F"/>
    <w:rsid w:val="005E5D01"/>
    <w:rsid w:val="005E5E24"/>
    <w:rsid w:val="005E6866"/>
    <w:rsid w:val="005E7160"/>
    <w:rsid w:val="005F063C"/>
    <w:rsid w:val="005F0A8E"/>
    <w:rsid w:val="005F18E4"/>
    <w:rsid w:val="005F3533"/>
    <w:rsid w:val="005F41BB"/>
    <w:rsid w:val="005F42CA"/>
    <w:rsid w:val="005F4D84"/>
    <w:rsid w:val="005F5A80"/>
    <w:rsid w:val="006005DB"/>
    <w:rsid w:val="006027A5"/>
    <w:rsid w:val="00604398"/>
    <w:rsid w:val="006044F9"/>
    <w:rsid w:val="006044FF"/>
    <w:rsid w:val="00604828"/>
    <w:rsid w:val="00604C39"/>
    <w:rsid w:val="0060685F"/>
    <w:rsid w:val="00607369"/>
    <w:rsid w:val="00607CC5"/>
    <w:rsid w:val="006118D4"/>
    <w:rsid w:val="0061324A"/>
    <w:rsid w:val="00613364"/>
    <w:rsid w:val="00613B1C"/>
    <w:rsid w:val="00624ACF"/>
    <w:rsid w:val="00633014"/>
    <w:rsid w:val="0063437B"/>
    <w:rsid w:val="0063578F"/>
    <w:rsid w:val="00636DD8"/>
    <w:rsid w:val="006413D2"/>
    <w:rsid w:val="0064174A"/>
    <w:rsid w:val="00642AE3"/>
    <w:rsid w:val="0064319F"/>
    <w:rsid w:val="00651BAB"/>
    <w:rsid w:val="00657EA9"/>
    <w:rsid w:val="00663A94"/>
    <w:rsid w:val="00664D6E"/>
    <w:rsid w:val="00665531"/>
    <w:rsid w:val="006670DF"/>
    <w:rsid w:val="006673CA"/>
    <w:rsid w:val="0066785E"/>
    <w:rsid w:val="00670AFF"/>
    <w:rsid w:val="00671828"/>
    <w:rsid w:val="006718CD"/>
    <w:rsid w:val="006726E3"/>
    <w:rsid w:val="00673C26"/>
    <w:rsid w:val="006764C9"/>
    <w:rsid w:val="00676E16"/>
    <w:rsid w:val="00677264"/>
    <w:rsid w:val="006805B6"/>
    <w:rsid w:val="006812AF"/>
    <w:rsid w:val="0068327D"/>
    <w:rsid w:val="006846DB"/>
    <w:rsid w:val="00685A47"/>
    <w:rsid w:val="00686482"/>
    <w:rsid w:val="00691446"/>
    <w:rsid w:val="00691D21"/>
    <w:rsid w:val="00693789"/>
    <w:rsid w:val="00694AF0"/>
    <w:rsid w:val="006A0D61"/>
    <w:rsid w:val="006A187E"/>
    <w:rsid w:val="006A41E8"/>
    <w:rsid w:val="006A4686"/>
    <w:rsid w:val="006A6B29"/>
    <w:rsid w:val="006B0825"/>
    <w:rsid w:val="006B0E9E"/>
    <w:rsid w:val="006B41A7"/>
    <w:rsid w:val="006B4C76"/>
    <w:rsid w:val="006B5198"/>
    <w:rsid w:val="006B5634"/>
    <w:rsid w:val="006B5AE4"/>
    <w:rsid w:val="006B5E90"/>
    <w:rsid w:val="006B79A4"/>
    <w:rsid w:val="006C180A"/>
    <w:rsid w:val="006C1B4B"/>
    <w:rsid w:val="006C1DCF"/>
    <w:rsid w:val="006C28F2"/>
    <w:rsid w:val="006C5728"/>
    <w:rsid w:val="006D0F9D"/>
    <w:rsid w:val="006D1220"/>
    <w:rsid w:val="006D1232"/>
    <w:rsid w:val="006D1507"/>
    <w:rsid w:val="006D2086"/>
    <w:rsid w:val="006D2C16"/>
    <w:rsid w:val="006D31D8"/>
    <w:rsid w:val="006D4054"/>
    <w:rsid w:val="006D5AFC"/>
    <w:rsid w:val="006D663E"/>
    <w:rsid w:val="006E02EC"/>
    <w:rsid w:val="006E229E"/>
    <w:rsid w:val="006E27D3"/>
    <w:rsid w:val="006E2EDF"/>
    <w:rsid w:val="006E3475"/>
    <w:rsid w:val="006E4904"/>
    <w:rsid w:val="006E5DEB"/>
    <w:rsid w:val="006E6049"/>
    <w:rsid w:val="006F0052"/>
    <w:rsid w:val="006F051B"/>
    <w:rsid w:val="006F2688"/>
    <w:rsid w:val="006F2E09"/>
    <w:rsid w:val="006F36D8"/>
    <w:rsid w:val="006F5B29"/>
    <w:rsid w:val="006F5F65"/>
    <w:rsid w:val="007004C4"/>
    <w:rsid w:val="00700961"/>
    <w:rsid w:val="007048ED"/>
    <w:rsid w:val="0070743B"/>
    <w:rsid w:val="00715F8F"/>
    <w:rsid w:val="007162C0"/>
    <w:rsid w:val="00716AA6"/>
    <w:rsid w:val="0071744A"/>
    <w:rsid w:val="00720D4B"/>
    <w:rsid w:val="007211B1"/>
    <w:rsid w:val="007308FB"/>
    <w:rsid w:val="00730EC9"/>
    <w:rsid w:val="00730ECE"/>
    <w:rsid w:val="007315F1"/>
    <w:rsid w:val="00732D0E"/>
    <w:rsid w:val="007352E7"/>
    <w:rsid w:val="007354D8"/>
    <w:rsid w:val="0073623B"/>
    <w:rsid w:val="007407EF"/>
    <w:rsid w:val="00740EA6"/>
    <w:rsid w:val="00742166"/>
    <w:rsid w:val="007455CF"/>
    <w:rsid w:val="00746187"/>
    <w:rsid w:val="007467DF"/>
    <w:rsid w:val="007468DD"/>
    <w:rsid w:val="0075252C"/>
    <w:rsid w:val="00754E1B"/>
    <w:rsid w:val="00755FEC"/>
    <w:rsid w:val="0075677D"/>
    <w:rsid w:val="00761149"/>
    <w:rsid w:val="00761BF2"/>
    <w:rsid w:val="0076254F"/>
    <w:rsid w:val="007666E8"/>
    <w:rsid w:val="0076725D"/>
    <w:rsid w:val="00772B8E"/>
    <w:rsid w:val="007740A9"/>
    <w:rsid w:val="007801F5"/>
    <w:rsid w:val="00782A9B"/>
    <w:rsid w:val="00783331"/>
    <w:rsid w:val="00783CA4"/>
    <w:rsid w:val="007842FB"/>
    <w:rsid w:val="00786124"/>
    <w:rsid w:val="007866F4"/>
    <w:rsid w:val="00786D1A"/>
    <w:rsid w:val="00790A4B"/>
    <w:rsid w:val="007917F1"/>
    <w:rsid w:val="007918C5"/>
    <w:rsid w:val="00791AC6"/>
    <w:rsid w:val="00794AC2"/>
    <w:rsid w:val="00794E1E"/>
    <w:rsid w:val="0079514B"/>
    <w:rsid w:val="00797165"/>
    <w:rsid w:val="00797D6D"/>
    <w:rsid w:val="007A2DC1"/>
    <w:rsid w:val="007A69CB"/>
    <w:rsid w:val="007A7D73"/>
    <w:rsid w:val="007B1A22"/>
    <w:rsid w:val="007B2B79"/>
    <w:rsid w:val="007B483F"/>
    <w:rsid w:val="007B715D"/>
    <w:rsid w:val="007C04C7"/>
    <w:rsid w:val="007C1757"/>
    <w:rsid w:val="007C1F73"/>
    <w:rsid w:val="007C3C3C"/>
    <w:rsid w:val="007C4054"/>
    <w:rsid w:val="007C539E"/>
    <w:rsid w:val="007C59A5"/>
    <w:rsid w:val="007C724D"/>
    <w:rsid w:val="007C75CF"/>
    <w:rsid w:val="007C7B1A"/>
    <w:rsid w:val="007D13A7"/>
    <w:rsid w:val="007D1D77"/>
    <w:rsid w:val="007D2040"/>
    <w:rsid w:val="007D272D"/>
    <w:rsid w:val="007D2FD9"/>
    <w:rsid w:val="007D3319"/>
    <w:rsid w:val="007D335D"/>
    <w:rsid w:val="007D6DAA"/>
    <w:rsid w:val="007D734D"/>
    <w:rsid w:val="007E2227"/>
    <w:rsid w:val="007E3314"/>
    <w:rsid w:val="007E3399"/>
    <w:rsid w:val="007E4B03"/>
    <w:rsid w:val="007E5CD1"/>
    <w:rsid w:val="007E614C"/>
    <w:rsid w:val="007F17E0"/>
    <w:rsid w:val="007F324B"/>
    <w:rsid w:val="007F3387"/>
    <w:rsid w:val="007F3C3F"/>
    <w:rsid w:val="00800CF0"/>
    <w:rsid w:val="0080553C"/>
    <w:rsid w:val="00805B46"/>
    <w:rsid w:val="008074AC"/>
    <w:rsid w:val="008079BF"/>
    <w:rsid w:val="008115FE"/>
    <w:rsid w:val="008116AB"/>
    <w:rsid w:val="00811728"/>
    <w:rsid w:val="00811BD0"/>
    <w:rsid w:val="00812DC2"/>
    <w:rsid w:val="00815698"/>
    <w:rsid w:val="00815F1C"/>
    <w:rsid w:val="0081687F"/>
    <w:rsid w:val="0081689B"/>
    <w:rsid w:val="00816DE7"/>
    <w:rsid w:val="00817534"/>
    <w:rsid w:val="00817765"/>
    <w:rsid w:val="00822A2D"/>
    <w:rsid w:val="00823FF5"/>
    <w:rsid w:val="00825DC2"/>
    <w:rsid w:val="00830292"/>
    <w:rsid w:val="0083406F"/>
    <w:rsid w:val="00834AD3"/>
    <w:rsid w:val="008350E6"/>
    <w:rsid w:val="00840265"/>
    <w:rsid w:val="00841688"/>
    <w:rsid w:val="008416A1"/>
    <w:rsid w:val="00842B4B"/>
    <w:rsid w:val="00843416"/>
    <w:rsid w:val="00843795"/>
    <w:rsid w:val="00843FD5"/>
    <w:rsid w:val="00845207"/>
    <w:rsid w:val="0084728D"/>
    <w:rsid w:val="00847F0F"/>
    <w:rsid w:val="00850229"/>
    <w:rsid w:val="00851FA4"/>
    <w:rsid w:val="00852448"/>
    <w:rsid w:val="008532F0"/>
    <w:rsid w:val="00854553"/>
    <w:rsid w:val="00856C76"/>
    <w:rsid w:val="0086039F"/>
    <w:rsid w:val="00860437"/>
    <w:rsid w:val="00860578"/>
    <w:rsid w:val="00862341"/>
    <w:rsid w:val="00862CBD"/>
    <w:rsid w:val="00862D22"/>
    <w:rsid w:val="00862DB4"/>
    <w:rsid w:val="008632F6"/>
    <w:rsid w:val="0086425F"/>
    <w:rsid w:val="00867918"/>
    <w:rsid w:val="008715C1"/>
    <w:rsid w:val="00874538"/>
    <w:rsid w:val="0087615E"/>
    <w:rsid w:val="00876557"/>
    <w:rsid w:val="00876B21"/>
    <w:rsid w:val="008779F6"/>
    <w:rsid w:val="00877F39"/>
    <w:rsid w:val="00877FAD"/>
    <w:rsid w:val="00881ADC"/>
    <w:rsid w:val="0088258A"/>
    <w:rsid w:val="0088380D"/>
    <w:rsid w:val="008841D9"/>
    <w:rsid w:val="00886332"/>
    <w:rsid w:val="008866C9"/>
    <w:rsid w:val="0089101C"/>
    <w:rsid w:val="008913BD"/>
    <w:rsid w:val="0089183E"/>
    <w:rsid w:val="00891C57"/>
    <w:rsid w:val="00891E73"/>
    <w:rsid w:val="00892E2C"/>
    <w:rsid w:val="00896197"/>
    <w:rsid w:val="0089634C"/>
    <w:rsid w:val="0089702C"/>
    <w:rsid w:val="00897892"/>
    <w:rsid w:val="008A1591"/>
    <w:rsid w:val="008A26D9"/>
    <w:rsid w:val="008A36F5"/>
    <w:rsid w:val="008A6043"/>
    <w:rsid w:val="008A7A1F"/>
    <w:rsid w:val="008B0F30"/>
    <w:rsid w:val="008B11FC"/>
    <w:rsid w:val="008B32D2"/>
    <w:rsid w:val="008B3567"/>
    <w:rsid w:val="008B3CE9"/>
    <w:rsid w:val="008B4967"/>
    <w:rsid w:val="008B56FF"/>
    <w:rsid w:val="008B6C96"/>
    <w:rsid w:val="008C0C29"/>
    <w:rsid w:val="008C4944"/>
    <w:rsid w:val="008C539E"/>
    <w:rsid w:val="008C6C21"/>
    <w:rsid w:val="008D01C4"/>
    <w:rsid w:val="008D170E"/>
    <w:rsid w:val="008D24FE"/>
    <w:rsid w:val="008D2917"/>
    <w:rsid w:val="008D34D2"/>
    <w:rsid w:val="008D34E4"/>
    <w:rsid w:val="008D45C1"/>
    <w:rsid w:val="008D49B0"/>
    <w:rsid w:val="008D683D"/>
    <w:rsid w:val="008E0A6B"/>
    <w:rsid w:val="008E29B8"/>
    <w:rsid w:val="008E3049"/>
    <w:rsid w:val="008E6348"/>
    <w:rsid w:val="008E6690"/>
    <w:rsid w:val="008F0A2A"/>
    <w:rsid w:val="008F22D3"/>
    <w:rsid w:val="008F3638"/>
    <w:rsid w:val="008F3B8F"/>
    <w:rsid w:val="008F4441"/>
    <w:rsid w:val="008F4EAC"/>
    <w:rsid w:val="008F62E9"/>
    <w:rsid w:val="008F6F31"/>
    <w:rsid w:val="008F74DF"/>
    <w:rsid w:val="008F7953"/>
    <w:rsid w:val="009010C5"/>
    <w:rsid w:val="0090117D"/>
    <w:rsid w:val="009024E4"/>
    <w:rsid w:val="00903EE0"/>
    <w:rsid w:val="00904AE5"/>
    <w:rsid w:val="0090526D"/>
    <w:rsid w:val="0090635F"/>
    <w:rsid w:val="00906C75"/>
    <w:rsid w:val="009127BA"/>
    <w:rsid w:val="00920FA9"/>
    <w:rsid w:val="00922165"/>
    <w:rsid w:val="0092218A"/>
    <w:rsid w:val="009227A6"/>
    <w:rsid w:val="00924578"/>
    <w:rsid w:val="00925002"/>
    <w:rsid w:val="00930910"/>
    <w:rsid w:val="00933A12"/>
    <w:rsid w:val="00933EC1"/>
    <w:rsid w:val="0093793B"/>
    <w:rsid w:val="00941F56"/>
    <w:rsid w:val="009449B9"/>
    <w:rsid w:val="0094786F"/>
    <w:rsid w:val="00950318"/>
    <w:rsid w:val="00952574"/>
    <w:rsid w:val="009530DB"/>
    <w:rsid w:val="00953676"/>
    <w:rsid w:val="009538B5"/>
    <w:rsid w:val="00954411"/>
    <w:rsid w:val="00954A1D"/>
    <w:rsid w:val="00954C04"/>
    <w:rsid w:val="00956153"/>
    <w:rsid w:val="00957D9F"/>
    <w:rsid w:val="009616C6"/>
    <w:rsid w:val="00961EB5"/>
    <w:rsid w:val="00965063"/>
    <w:rsid w:val="00965635"/>
    <w:rsid w:val="00965C65"/>
    <w:rsid w:val="00966445"/>
    <w:rsid w:val="009700B8"/>
    <w:rsid w:val="009705EE"/>
    <w:rsid w:val="00970D76"/>
    <w:rsid w:val="0097145C"/>
    <w:rsid w:val="009741EF"/>
    <w:rsid w:val="00975D34"/>
    <w:rsid w:val="00976741"/>
    <w:rsid w:val="00977927"/>
    <w:rsid w:val="0098135C"/>
    <w:rsid w:val="0098156A"/>
    <w:rsid w:val="00984294"/>
    <w:rsid w:val="00985843"/>
    <w:rsid w:val="00986417"/>
    <w:rsid w:val="00987475"/>
    <w:rsid w:val="00987C54"/>
    <w:rsid w:val="00991769"/>
    <w:rsid w:val="00991BAC"/>
    <w:rsid w:val="0099289E"/>
    <w:rsid w:val="00995F6B"/>
    <w:rsid w:val="00997533"/>
    <w:rsid w:val="009A4333"/>
    <w:rsid w:val="009A5503"/>
    <w:rsid w:val="009A5517"/>
    <w:rsid w:val="009A574F"/>
    <w:rsid w:val="009A6EA0"/>
    <w:rsid w:val="009A7959"/>
    <w:rsid w:val="009A7A17"/>
    <w:rsid w:val="009B150B"/>
    <w:rsid w:val="009B1872"/>
    <w:rsid w:val="009B2131"/>
    <w:rsid w:val="009B27F8"/>
    <w:rsid w:val="009B498C"/>
    <w:rsid w:val="009B55D8"/>
    <w:rsid w:val="009C1335"/>
    <w:rsid w:val="009C1AB2"/>
    <w:rsid w:val="009C3981"/>
    <w:rsid w:val="009C7251"/>
    <w:rsid w:val="009C7E6E"/>
    <w:rsid w:val="009C7EFE"/>
    <w:rsid w:val="009D095D"/>
    <w:rsid w:val="009D3500"/>
    <w:rsid w:val="009D38C7"/>
    <w:rsid w:val="009D3905"/>
    <w:rsid w:val="009D4105"/>
    <w:rsid w:val="009D7A31"/>
    <w:rsid w:val="009E12F9"/>
    <w:rsid w:val="009E2E91"/>
    <w:rsid w:val="009E4C58"/>
    <w:rsid w:val="009E5613"/>
    <w:rsid w:val="009F27EF"/>
    <w:rsid w:val="009F2F54"/>
    <w:rsid w:val="009F585C"/>
    <w:rsid w:val="00A005F7"/>
    <w:rsid w:val="00A06FD2"/>
    <w:rsid w:val="00A07295"/>
    <w:rsid w:val="00A072EC"/>
    <w:rsid w:val="00A109F8"/>
    <w:rsid w:val="00A11F5C"/>
    <w:rsid w:val="00A128E1"/>
    <w:rsid w:val="00A139F5"/>
    <w:rsid w:val="00A15444"/>
    <w:rsid w:val="00A15C18"/>
    <w:rsid w:val="00A161BC"/>
    <w:rsid w:val="00A168B9"/>
    <w:rsid w:val="00A219CB"/>
    <w:rsid w:val="00A21F28"/>
    <w:rsid w:val="00A24A72"/>
    <w:rsid w:val="00A25AC6"/>
    <w:rsid w:val="00A2732C"/>
    <w:rsid w:val="00A27EDA"/>
    <w:rsid w:val="00A309C1"/>
    <w:rsid w:val="00A31AF5"/>
    <w:rsid w:val="00A34168"/>
    <w:rsid w:val="00A34AEF"/>
    <w:rsid w:val="00A34C7B"/>
    <w:rsid w:val="00A35A6F"/>
    <w:rsid w:val="00A35C7B"/>
    <w:rsid w:val="00A35EA7"/>
    <w:rsid w:val="00A365F4"/>
    <w:rsid w:val="00A366AF"/>
    <w:rsid w:val="00A3748F"/>
    <w:rsid w:val="00A40502"/>
    <w:rsid w:val="00A4077E"/>
    <w:rsid w:val="00A40FB8"/>
    <w:rsid w:val="00A42EA2"/>
    <w:rsid w:val="00A431B1"/>
    <w:rsid w:val="00A47D80"/>
    <w:rsid w:val="00A53132"/>
    <w:rsid w:val="00A54119"/>
    <w:rsid w:val="00A563F2"/>
    <w:rsid w:val="00A566E8"/>
    <w:rsid w:val="00A61051"/>
    <w:rsid w:val="00A64ED4"/>
    <w:rsid w:val="00A65D09"/>
    <w:rsid w:val="00A66E47"/>
    <w:rsid w:val="00A66EA9"/>
    <w:rsid w:val="00A709D4"/>
    <w:rsid w:val="00A717C4"/>
    <w:rsid w:val="00A73FCE"/>
    <w:rsid w:val="00A77035"/>
    <w:rsid w:val="00A810F9"/>
    <w:rsid w:val="00A8481F"/>
    <w:rsid w:val="00A85536"/>
    <w:rsid w:val="00A86AFA"/>
    <w:rsid w:val="00A86ECC"/>
    <w:rsid w:val="00A86FCC"/>
    <w:rsid w:val="00A90D76"/>
    <w:rsid w:val="00A91897"/>
    <w:rsid w:val="00A92EBB"/>
    <w:rsid w:val="00A95F92"/>
    <w:rsid w:val="00A964B0"/>
    <w:rsid w:val="00AA4389"/>
    <w:rsid w:val="00AA6E67"/>
    <w:rsid w:val="00AA710D"/>
    <w:rsid w:val="00AB0C32"/>
    <w:rsid w:val="00AB6D25"/>
    <w:rsid w:val="00AC10B5"/>
    <w:rsid w:val="00AC13E2"/>
    <w:rsid w:val="00AC176B"/>
    <w:rsid w:val="00AC2E46"/>
    <w:rsid w:val="00AC3175"/>
    <w:rsid w:val="00AC3B26"/>
    <w:rsid w:val="00AC5AD6"/>
    <w:rsid w:val="00AD1C10"/>
    <w:rsid w:val="00AD28D8"/>
    <w:rsid w:val="00AD7732"/>
    <w:rsid w:val="00AE2D4B"/>
    <w:rsid w:val="00AE4657"/>
    <w:rsid w:val="00AE4BEE"/>
    <w:rsid w:val="00AE4F99"/>
    <w:rsid w:val="00AE72AE"/>
    <w:rsid w:val="00AE78B4"/>
    <w:rsid w:val="00AF0CE7"/>
    <w:rsid w:val="00AF1FDA"/>
    <w:rsid w:val="00AF7636"/>
    <w:rsid w:val="00AF779C"/>
    <w:rsid w:val="00B01546"/>
    <w:rsid w:val="00B01EFB"/>
    <w:rsid w:val="00B02CE2"/>
    <w:rsid w:val="00B02E6D"/>
    <w:rsid w:val="00B04352"/>
    <w:rsid w:val="00B11B69"/>
    <w:rsid w:val="00B11FB8"/>
    <w:rsid w:val="00B12780"/>
    <w:rsid w:val="00B13218"/>
    <w:rsid w:val="00B1371A"/>
    <w:rsid w:val="00B1441F"/>
    <w:rsid w:val="00B14952"/>
    <w:rsid w:val="00B15320"/>
    <w:rsid w:val="00B15FD1"/>
    <w:rsid w:val="00B168CF"/>
    <w:rsid w:val="00B202C4"/>
    <w:rsid w:val="00B2196A"/>
    <w:rsid w:val="00B232AC"/>
    <w:rsid w:val="00B2433F"/>
    <w:rsid w:val="00B26C1E"/>
    <w:rsid w:val="00B27B38"/>
    <w:rsid w:val="00B301B6"/>
    <w:rsid w:val="00B30EF8"/>
    <w:rsid w:val="00B31011"/>
    <w:rsid w:val="00B31E5A"/>
    <w:rsid w:val="00B33731"/>
    <w:rsid w:val="00B33BA9"/>
    <w:rsid w:val="00B3708F"/>
    <w:rsid w:val="00B37348"/>
    <w:rsid w:val="00B40557"/>
    <w:rsid w:val="00B43822"/>
    <w:rsid w:val="00B438F0"/>
    <w:rsid w:val="00B45CC4"/>
    <w:rsid w:val="00B47438"/>
    <w:rsid w:val="00B476A8"/>
    <w:rsid w:val="00B50CD0"/>
    <w:rsid w:val="00B510C3"/>
    <w:rsid w:val="00B529D6"/>
    <w:rsid w:val="00B52DA4"/>
    <w:rsid w:val="00B537A9"/>
    <w:rsid w:val="00B54232"/>
    <w:rsid w:val="00B5471B"/>
    <w:rsid w:val="00B5603E"/>
    <w:rsid w:val="00B5788E"/>
    <w:rsid w:val="00B57E4A"/>
    <w:rsid w:val="00B62DE4"/>
    <w:rsid w:val="00B636CE"/>
    <w:rsid w:val="00B64F79"/>
    <w:rsid w:val="00B65219"/>
    <w:rsid w:val="00B653AB"/>
    <w:rsid w:val="00B65C2B"/>
    <w:rsid w:val="00B65F9E"/>
    <w:rsid w:val="00B66B19"/>
    <w:rsid w:val="00B7122B"/>
    <w:rsid w:val="00B725ED"/>
    <w:rsid w:val="00B769C1"/>
    <w:rsid w:val="00B775F0"/>
    <w:rsid w:val="00B77C3D"/>
    <w:rsid w:val="00B81326"/>
    <w:rsid w:val="00B81ED6"/>
    <w:rsid w:val="00B8284A"/>
    <w:rsid w:val="00B854F7"/>
    <w:rsid w:val="00B87CF9"/>
    <w:rsid w:val="00B914E9"/>
    <w:rsid w:val="00B92B17"/>
    <w:rsid w:val="00B92E3B"/>
    <w:rsid w:val="00B9466D"/>
    <w:rsid w:val="00B956EE"/>
    <w:rsid w:val="00B95ADC"/>
    <w:rsid w:val="00B96ECF"/>
    <w:rsid w:val="00B97E3B"/>
    <w:rsid w:val="00BA0690"/>
    <w:rsid w:val="00BA11B3"/>
    <w:rsid w:val="00BA2BA1"/>
    <w:rsid w:val="00BA3562"/>
    <w:rsid w:val="00BA4CE8"/>
    <w:rsid w:val="00BA63DF"/>
    <w:rsid w:val="00BA6443"/>
    <w:rsid w:val="00BA6B61"/>
    <w:rsid w:val="00BA6FAB"/>
    <w:rsid w:val="00BA75AC"/>
    <w:rsid w:val="00BB0000"/>
    <w:rsid w:val="00BB0279"/>
    <w:rsid w:val="00BB0BE6"/>
    <w:rsid w:val="00BB22EC"/>
    <w:rsid w:val="00BB2A2E"/>
    <w:rsid w:val="00BB302F"/>
    <w:rsid w:val="00BB3DA1"/>
    <w:rsid w:val="00BB42BE"/>
    <w:rsid w:val="00BB4F09"/>
    <w:rsid w:val="00BB52E5"/>
    <w:rsid w:val="00BB6188"/>
    <w:rsid w:val="00BB6609"/>
    <w:rsid w:val="00BB7454"/>
    <w:rsid w:val="00BC06A3"/>
    <w:rsid w:val="00BC419E"/>
    <w:rsid w:val="00BC4468"/>
    <w:rsid w:val="00BC793E"/>
    <w:rsid w:val="00BD08E2"/>
    <w:rsid w:val="00BD1AB2"/>
    <w:rsid w:val="00BD226E"/>
    <w:rsid w:val="00BD3E1D"/>
    <w:rsid w:val="00BD4895"/>
    <w:rsid w:val="00BD4DF0"/>
    <w:rsid w:val="00BD4E33"/>
    <w:rsid w:val="00BE32A0"/>
    <w:rsid w:val="00BE3430"/>
    <w:rsid w:val="00BE5D0A"/>
    <w:rsid w:val="00BE7C96"/>
    <w:rsid w:val="00BF1745"/>
    <w:rsid w:val="00BF4512"/>
    <w:rsid w:val="00BF5CC2"/>
    <w:rsid w:val="00BF5DC9"/>
    <w:rsid w:val="00BF61CD"/>
    <w:rsid w:val="00BF6C58"/>
    <w:rsid w:val="00C00B86"/>
    <w:rsid w:val="00C030DE"/>
    <w:rsid w:val="00C05CB9"/>
    <w:rsid w:val="00C10991"/>
    <w:rsid w:val="00C10D53"/>
    <w:rsid w:val="00C1159C"/>
    <w:rsid w:val="00C129A1"/>
    <w:rsid w:val="00C147FB"/>
    <w:rsid w:val="00C14B47"/>
    <w:rsid w:val="00C17106"/>
    <w:rsid w:val="00C17D57"/>
    <w:rsid w:val="00C20601"/>
    <w:rsid w:val="00C206E7"/>
    <w:rsid w:val="00C20EF6"/>
    <w:rsid w:val="00C21200"/>
    <w:rsid w:val="00C22105"/>
    <w:rsid w:val="00C244B6"/>
    <w:rsid w:val="00C306B4"/>
    <w:rsid w:val="00C3196C"/>
    <w:rsid w:val="00C34047"/>
    <w:rsid w:val="00C3625F"/>
    <w:rsid w:val="00C367CC"/>
    <w:rsid w:val="00C36FAF"/>
    <w:rsid w:val="00C3702F"/>
    <w:rsid w:val="00C37952"/>
    <w:rsid w:val="00C37985"/>
    <w:rsid w:val="00C42D45"/>
    <w:rsid w:val="00C442B2"/>
    <w:rsid w:val="00C44A40"/>
    <w:rsid w:val="00C4500A"/>
    <w:rsid w:val="00C460A3"/>
    <w:rsid w:val="00C4787C"/>
    <w:rsid w:val="00C542C5"/>
    <w:rsid w:val="00C5515B"/>
    <w:rsid w:val="00C5544B"/>
    <w:rsid w:val="00C556AF"/>
    <w:rsid w:val="00C55EE4"/>
    <w:rsid w:val="00C56E16"/>
    <w:rsid w:val="00C605BF"/>
    <w:rsid w:val="00C605DD"/>
    <w:rsid w:val="00C64A37"/>
    <w:rsid w:val="00C66314"/>
    <w:rsid w:val="00C66AAD"/>
    <w:rsid w:val="00C67238"/>
    <w:rsid w:val="00C674CD"/>
    <w:rsid w:val="00C70DD5"/>
    <w:rsid w:val="00C7133C"/>
    <w:rsid w:val="00C7158E"/>
    <w:rsid w:val="00C7250B"/>
    <w:rsid w:val="00C7346B"/>
    <w:rsid w:val="00C73A12"/>
    <w:rsid w:val="00C76C38"/>
    <w:rsid w:val="00C77C0E"/>
    <w:rsid w:val="00C807F8"/>
    <w:rsid w:val="00C80800"/>
    <w:rsid w:val="00C819AC"/>
    <w:rsid w:val="00C85118"/>
    <w:rsid w:val="00C852C8"/>
    <w:rsid w:val="00C91687"/>
    <w:rsid w:val="00C924A8"/>
    <w:rsid w:val="00C945FE"/>
    <w:rsid w:val="00C9511E"/>
    <w:rsid w:val="00C96FAA"/>
    <w:rsid w:val="00C97A04"/>
    <w:rsid w:val="00CA107B"/>
    <w:rsid w:val="00CA12EC"/>
    <w:rsid w:val="00CA1409"/>
    <w:rsid w:val="00CA14CC"/>
    <w:rsid w:val="00CA188D"/>
    <w:rsid w:val="00CA285B"/>
    <w:rsid w:val="00CA2B7D"/>
    <w:rsid w:val="00CA4405"/>
    <w:rsid w:val="00CA484D"/>
    <w:rsid w:val="00CA4FB6"/>
    <w:rsid w:val="00CA5886"/>
    <w:rsid w:val="00CB056D"/>
    <w:rsid w:val="00CB22FF"/>
    <w:rsid w:val="00CB3289"/>
    <w:rsid w:val="00CB3AD2"/>
    <w:rsid w:val="00CB3F4D"/>
    <w:rsid w:val="00CB428E"/>
    <w:rsid w:val="00CB466B"/>
    <w:rsid w:val="00CB4C8D"/>
    <w:rsid w:val="00CB7AC7"/>
    <w:rsid w:val="00CB7B48"/>
    <w:rsid w:val="00CC031D"/>
    <w:rsid w:val="00CC0530"/>
    <w:rsid w:val="00CC0FB9"/>
    <w:rsid w:val="00CC2E0A"/>
    <w:rsid w:val="00CC4999"/>
    <w:rsid w:val="00CC739E"/>
    <w:rsid w:val="00CD08AE"/>
    <w:rsid w:val="00CD09DD"/>
    <w:rsid w:val="00CD2AB7"/>
    <w:rsid w:val="00CD3975"/>
    <w:rsid w:val="00CD4C77"/>
    <w:rsid w:val="00CD58B7"/>
    <w:rsid w:val="00CE0F0C"/>
    <w:rsid w:val="00CE127D"/>
    <w:rsid w:val="00CE71BF"/>
    <w:rsid w:val="00CF18CF"/>
    <w:rsid w:val="00CF19EA"/>
    <w:rsid w:val="00CF1FF4"/>
    <w:rsid w:val="00CF33AE"/>
    <w:rsid w:val="00CF34A5"/>
    <w:rsid w:val="00CF3F9B"/>
    <w:rsid w:val="00CF4099"/>
    <w:rsid w:val="00CF586B"/>
    <w:rsid w:val="00CF7041"/>
    <w:rsid w:val="00CF7AE9"/>
    <w:rsid w:val="00D00796"/>
    <w:rsid w:val="00D03A73"/>
    <w:rsid w:val="00D047E7"/>
    <w:rsid w:val="00D05DD3"/>
    <w:rsid w:val="00D07F7D"/>
    <w:rsid w:val="00D126BD"/>
    <w:rsid w:val="00D12A40"/>
    <w:rsid w:val="00D13E85"/>
    <w:rsid w:val="00D1535B"/>
    <w:rsid w:val="00D16E49"/>
    <w:rsid w:val="00D178B1"/>
    <w:rsid w:val="00D23EE2"/>
    <w:rsid w:val="00D2407F"/>
    <w:rsid w:val="00D25C4D"/>
    <w:rsid w:val="00D261A2"/>
    <w:rsid w:val="00D26FD7"/>
    <w:rsid w:val="00D3094D"/>
    <w:rsid w:val="00D3216A"/>
    <w:rsid w:val="00D32220"/>
    <w:rsid w:val="00D364C0"/>
    <w:rsid w:val="00D37A93"/>
    <w:rsid w:val="00D37F2C"/>
    <w:rsid w:val="00D465E9"/>
    <w:rsid w:val="00D47125"/>
    <w:rsid w:val="00D47466"/>
    <w:rsid w:val="00D50BB8"/>
    <w:rsid w:val="00D52C18"/>
    <w:rsid w:val="00D55106"/>
    <w:rsid w:val="00D616D2"/>
    <w:rsid w:val="00D618BD"/>
    <w:rsid w:val="00D63B5F"/>
    <w:rsid w:val="00D64BDB"/>
    <w:rsid w:val="00D70EF7"/>
    <w:rsid w:val="00D76222"/>
    <w:rsid w:val="00D7699F"/>
    <w:rsid w:val="00D81FCA"/>
    <w:rsid w:val="00D820F4"/>
    <w:rsid w:val="00D83774"/>
    <w:rsid w:val="00D8397C"/>
    <w:rsid w:val="00D84611"/>
    <w:rsid w:val="00D864B5"/>
    <w:rsid w:val="00D87355"/>
    <w:rsid w:val="00D90C24"/>
    <w:rsid w:val="00D910DC"/>
    <w:rsid w:val="00D91F1D"/>
    <w:rsid w:val="00D92847"/>
    <w:rsid w:val="00D943BA"/>
    <w:rsid w:val="00D94EED"/>
    <w:rsid w:val="00D95E0E"/>
    <w:rsid w:val="00D96026"/>
    <w:rsid w:val="00D97697"/>
    <w:rsid w:val="00DA0D2D"/>
    <w:rsid w:val="00DA2519"/>
    <w:rsid w:val="00DA5E2D"/>
    <w:rsid w:val="00DA7C1C"/>
    <w:rsid w:val="00DB09B4"/>
    <w:rsid w:val="00DB147A"/>
    <w:rsid w:val="00DB1B68"/>
    <w:rsid w:val="00DB1B7A"/>
    <w:rsid w:val="00DB1F35"/>
    <w:rsid w:val="00DB6D33"/>
    <w:rsid w:val="00DB701C"/>
    <w:rsid w:val="00DC1AF2"/>
    <w:rsid w:val="00DC37B3"/>
    <w:rsid w:val="00DC4276"/>
    <w:rsid w:val="00DC4B24"/>
    <w:rsid w:val="00DC53AD"/>
    <w:rsid w:val="00DC5A7D"/>
    <w:rsid w:val="00DC5D86"/>
    <w:rsid w:val="00DC6708"/>
    <w:rsid w:val="00DC7A65"/>
    <w:rsid w:val="00DD0976"/>
    <w:rsid w:val="00DD1442"/>
    <w:rsid w:val="00DD1EC9"/>
    <w:rsid w:val="00DD3061"/>
    <w:rsid w:val="00DD335F"/>
    <w:rsid w:val="00DD3A97"/>
    <w:rsid w:val="00DD64E2"/>
    <w:rsid w:val="00DD6C8A"/>
    <w:rsid w:val="00DE0276"/>
    <w:rsid w:val="00DE03A6"/>
    <w:rsid w:val="00DE0E94"/>
    <w:rsid w:val="00DE4503"/>
    <w:rsid w:val="00DE51A4"/>
    <w:rsid w:val="00DE577A"/>
    <w:rsid w:val="00DF1548"/>
    <w:rsid w:val="00E00387"/>
    <w:rsid w:val="00E01436"/>
    <w:rsid w:val="00E01DC4"/>
    <w:rsid w:val="00E02010"/>
    <w:rsid w:val="00E02F23"/>
    <w:rsid w:val="00E03AF3"/>
    <w:rsid w:val="00E03FD2"/>
    <w:rsid w:val="00E045BD"/>
    <w:rsid w:val="00E053CA"/>
    <w:rsid w:val="00E078AA"/>
    <w:rsid w:val="00E07C7F"/>
    <w:rsid w:val="00E102BA"/>
    <w:rsid w:val="00E1049A"/>
    <w:rsid w:val="00E106A0"/>
    <w:rsid w:val="00E10B64"/>
    <w:rsid w:val="00E10E8C"/>
    <w:rsid w:val="00E15E4E"/>
    <w:rsid w:val="00E178C6"/>
    <w:rsid w:val="00E17B77"/>
    <w:rsid w:val="00E20430"/>
    <w:rsid w:val="00E204CA"/>
    <w:rsid w:val="00E23337"/>
    <w:rsid w:val="00E24430"/>
    <w:rsid w:val="00E24AE6"/>
    <w:rsid w:val="00E259EA"/>
    <w:rsid w:val="00E27292"/>
    <w:rsid w:val="00E30938"/>
    <w:rsid w:val="00E313A2"/>
    <w:rsid w:val="00E32061"/>
    <w:rsid w:val="00E32145"/>
    <w:rsid w:val="00E3258F"/>
    <w:rsid w:val="00E34829"/>
    <w:rsid w:val="00E3487D"/>
    <w:rsid w:val="00E3550B"/>
    <w:rsid w:val="00E361B1"/>
    <w:rsid w:val="00E375EA"/>
    <w:rsid w:val="00E40F8B"/>
    <w:rsid w:val="00E41BC1"/>
    <w:rsid w:val="00E42FF9"/>
    <w:rsid w:val="00E434DE"/>
    <w:rsid w:val="00E436BC"/>
    <w:rsid w:val="00E44252"/>
    <w:rsid w:val="00E44504"/>
    <w:rsid w:val="00E453F0"/>
    <w:rsid w:val="00E4714C"/>
    <w:rsid w:val="00E47BD3"/>
    <w:rsid w:val="00E50D37"/>
    <w:rsid w:val="00E50E75"/>
    <w:rsid w:val="00E51AEB"/>
    <w:rsid w:val="00E522A7"/>
    <w:rsid w:val="00E52BC2"/>
    <w:rsid w:val="00E54452"/>
    <w:rsid w:val="00E55200"/>
    <w:rsid w:val="00E55D31"/>
    <w:rsid w:val="00E61AFB"/>
    <w:rsid w:val="00E633F2"/>
    <w:rsid w:val="00E65244"/>
    <w:rsid w:val="00E664C5"/>
    <w:rsid w:val="00E671A2"/>
    <w:rsid w:val="00E72674"/>
    <w:rsid w:val="00E73CA7"/>
    <w:rsid w:val="00E74357"/>
    <w:rsid w:val="00E7600F"/>
    <w:rsid w:val="00E769EA"/>
    <w:rsid w:val="00E76D26"/>
    <w:rsid w:val="00E8037A"/>
    <w:rsid w:val="00E815DE"/>
    <w:rsid w:val="00E82B31"/>
    <w:rsid w:val="00E86F4A"/>
    <w:rsid w:val="00E872CE"/>
    <w:rsid w:val="00E87EF5"/>
    <w:rsid w:val="00E9323E"/>
    <w:rsid w:val="00E94AC0"/>
    <w:rsid w:val="00EA243C"/>
    <w:rsid w:val="00EA2644"/>
    <w:rsid w:val="00EA2890"/>
    <w:rsid w:val="00EA3057"/>
    <w:rsid w:val="00EA3BBF"/>
    <w:rsid w:val="00EA5A2F"/>
    <w:rsid w:val="00EA6E97"/>
    <w:rsid w:val="00EA7913"/>
    <w:rsid w:val="00EB08FA"/>
    <w:rsid w:val="00EB0C7C"/>
    <w:rsid w:val="00EB1390"/>
    <w:rsid w:val="00EB2C71"/>
    <w:rsid w:val="00EB4340"/>
    <w:rsid w:val="00EB45BE"/>
    <w:rsid w:val="00EB4DC4"/>
    <w:rsid w:val="00EB556D"/>
    <w:rsid w:val="00EB5A7D"/>
    <w:rsid w:val="00EB7206"/>
    <w:rsid w:val="00EB74FB"/>
    <w:rsid w:val="00EC0634"/>
    <w:rsid w:val="00EC06EC"/>
    <w:rsid w:val="00EC1873"/>
    <w:rsid w:val="00EC25B2"/>
    <w:rsid w:val="00EC2CF7"/>
    <w:rsid w:val="00EC31BB"/>
    <w:rsid w:val="00EC4B03"/>
    <w:rsid w:val="00EC68B5"/>
    <w:rsid w:val="00EC6C57"/>
    <w:rsid w:val="00ED08C9"/>
    <w:rsid w:val="00ED1618"/>
    <w:rsid w:val="00ED496F"/>
    <w:rsid w:val="00ED55C0"/>
    <w:rsid w:val="00ED57E8"/>
    <w:rsid w:val="00ED60DB"/>
    <w:rsid w:val="00ED682B"/>
    <w:rsid w:val="00ED779D"/>
    <w:rsid w:val="00EE1128"/>
    <w:rsid w:val="00EE21F5"/>
    <w:rsid w:val="00EE2CD7"/>
    <w:rsid w:val="00EE4138"/>
    <w:rsid w:val="00EE41D5"/>
    <w:rsid w:val="00EF1211"/>
    <w:rsid w:val="00EF403C"/>
    <w:rsid w:val="00EF4C33"/>
    <w:rsid w:val="00EF5323"/>
    <w:rsid w:val="00EF5F54"/>
    <w:rsid w:val="00F01A55"/>
    <w:rsid w:val="00F02A73"/>
    <w:rsid w:val="00F037A4"/>
    <w:rsid w:val="00F04C5D"/>
    <w:rsid w:val="00F1055E"/>
    <w:rsid w:val="00F107B6"/>
    <w:rsid w:val="00F119C4"/>
    <w:rsid w:val="00F1560B"/>
    <w:rsid w:val="00F174F4"/>
    <w:rsid w:val="00F204E5"/>
    <w:rsid w:val="00F23D10"/>
    <w:rsid w:val="00F24B32"/>
    <w:rsid w:val="00F27BBD"/>
    <w:rsid w:val="00F27C8F"/>
    <w:rsid w:val="00F30C03"/>
    <w:rsid w:val="00F30C0D"/>
    <w:rsid w:val="00F32749"/>
    <w:rsid w:val="00F327F5"/>
    <w:rsid w:val="00F33E8E"/>
    <w:rsid w:val="00F34D49"/>
    <w:rsid w:val="00F37172"/>
    <w:rsid w:val="00F37AAE"/>
    <w:rsid w:val="00F37DCD"/>
    <w:rsid w:val="00F4341F"/>
    <w:rsid w:val="00F438D9"/>
    <w:rsid w:val="00F444BD"/>
    <w:rsid w:val="00F4477E"/>
    <w:rsid w:val="00F44F1B"/>
    <w:rsid w:val="00F46531"/>
    <w:rsid w:val="00F46EC4"/>
    <w:rsid w:val="00F5311D"/>
    <w:rsid w:val="00F54362"/>
    <w:rsid w:val="00F6073D"/>
    <w:rsid w:val="00F6701E"/>
    <w:rsid w:val="00F674A3"/>
    <w:rsid w:val="00F67D8F"/>
    <w:rsid w:val="00F70EC2"/>
    <w:rsid w:val="00F716A0"/>
    <w:rsid w:val="00F731B8"/>
    <w:rsid w:val="00F73E9E"/>
    <w:rsid w:val="00F73F60"/>
    <w:rsid w:val="00F745F7"/>
    <w:rsid w:val="00F7527F"/>
    <w:rsid w:val="00F753D1"/>
    <w:rsid w:val="00F75B47"/>
    <w:rsid w:val="00F77B64"/>
    <w:rsid w:val="00F77E37"/>
    <w:rsid w:val="00F802BE"/>
    <w:rsid w:val="00F80C4E"/>
    <w:rsid w:val="00F80E93"/>
    <w:rsid w:val="00F8114B"/>
    <w:rsid w:val="00F8127E"/>
    <w:rsid w:val="00F84C6C"/>
    <w:rsid w:val="00F84E15"/>
    <w:rsid w:val="00F85A93"/>
    <w:rsid w:val="00F85B51"/>
    <w:rsid w:val="00F86024"/>
    <w:rsid w:val="00F8611A"/>
    <w:rsid w:val="00F86EC1"/>
    <w:rsid w:val="00F87E99"/>
    <w:rsid w:val="00F914ED"/>
    <w:rsid w:val="00F915F2"/>
    <w:rsid w:val="00F932A0"/>
    <w:rsid w:val="00F96494"/>
    <w:rsid w:val="00FA1567"/>
    <w:rsid w:val="00FA1D41"/>
    <w:rsid w:val="00FA29A5"/>
    <w:rsid w:val="00FA4178"/>
    <w:rsid w:val="00FA5128"/>
    <w:rsid w:val="00FA5C20"/>
    <w:rsid w:val="00FA62EC"/>
    <w:rsid w:val="00FB099C"/>
    <w:rsid w:val="00FB151A"/>
    <w:rsid w:val="00FB31C1"/>
    <w:rsid w:val="00FB320B"/>
    <w:rsid w:val="00FB42D4"/>
    <w:rsid w:val="00FB4863"/>
    <w:rsid w:val="00FB4CAA"/>
    <w:rsid w:val="00FB51FC"/>
    <w:rsid w:val="00FB5906"/>
    <w:rsid w:val="00FB70AD"/>
    <w:rsid w:val="00FB762F"/>
    <w:rsid w:val="00FB7833"/>
    <w:rsid w:val="00FB7A3A"/>
    <w:rsid w:val="00FB7BEB"/>
    <w:rsid w:val="00FB7D11"/>
    <w:rsid w:val="00FC053B"/>
    <w:rsid w:val="00FC07F0"/>
    <w:rsid w:val="00FC2AED"/>
    <w:rsid w:val="00FC2B3C"/>
    <w:rsid w:val="00FC2B57"/>
    <w:rsid w:val="00FC3359"/>
    <w:rsid w:val="00FC3D51"/>
    <w:rsid w:val="00FC463D"/>
    <w:rsid w:val="00FC4AD1"/>
    <w:rsid w:val="00FC57B4"/>
    <w:rsid w:val="00FC7B3C"/>
    <w:rsid w:val="00FD0C72"/>
    <w:rsid w:val="00FD291C"/>
    <w:rsid w:val="00FD2CCC"/>
    <w:rsid w:val="00FD5EA7"/>
    <w:rsid w:val="00FD650F"/>
    <w:rsid w:val="00FD6942"/>
    <w:rsid w:val="00FD73C3"/>
    <w:rsid w:val="00FD7E9F"/>
    <w:rsid w:val="00FE0216"/>
    <w:rsid w:val="00FE0CB8"/>
    <w:rsid w:val="00FE0D80"/>
    <w:rsid w:val="00FE3592"/>
    <w:rsid w:val="00FE4838"/>
    <w:rsid w:val="00FE50B2"/>
    <w:rsid w:val="00FE535C"/>
    <w:rsid w:val="00FE5650"/>
    <w:rsid w:val="00FE7336"/>
    <w:rsid w:val="00FE76A8"/>
    <w:rsid w:val="00FF152E"/>
    <w:rsid w:val="00FF15C2"/>
    <w:rsid w:val="00FF180C"/>
    <w:rsid w:val="00FF2988"/>
    <w:rsid w:val="00FF50ED"/>
    <w:rsid w:val="00FF5746"/>
    <w:rsid w:val="00FF6559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3B97B"/>
  <w15:docId w15:val="{48AF2E95-990A-4006-8B85-6471C3DE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24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242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242"/>
    <w:rPr>
      <w:vertAlign w:val="superscript"/>
    </w:rPr>
  </w:style>
  <w:style w:type="table" w:customStyle="1" w:styleId="Siatkatabelijasna11">
    <w:name w:val="Siatka tabeli — jasna11"/>
    <w:basedOn w:val="Standardowy"/>
    <w:uiPriority w:val="40"/>
    <w:rsid w:val="00EC187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B1AC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53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5821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8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8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8E7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8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8E7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B854F7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854F7"/>
    <w:rPr>
      <w:rFonts w:ascii="Fira Sans SemiBold" w:hAnsi="Fira Sans SemiBold"/>
      <w:color w:val="66AFDE"/>
      <w:sz w:val="60"/>
      <w:szCs w:val="6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C96"/>
    <w:rPr>
      <w:color w:val="605E5C"/>
      <w:shd w:val="clear" w:color="auto" w:fill="E1DFDD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97D6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97D6D"/>
    <w:rPr>
      <w:rFonts w:ascii="Fira Sans SemiBold" w:hAnsi="Fira Sans SemiBold"/>
      <w:color w:val="001D7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metainformacje/slownik-pojec/pojecia-stosowane-w-statystyce-publicznej/153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instrumenty_finansowe_przedsiebiorstw_niefinansowych_w_2023.docx.docx</NazwaPliku>
    <Osoba xmlns="1E9983FF-DC4B-4F4E-A072-0441E2B88E6D">STAT\MERGIELP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1E9983FF-DC4B-4F4E-A072-0441E2B88E6D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66E2CB-F043-462E-AE63-BA010B98C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13637-59B1-4A31-844C-4657029C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2081</Words>
  <Characters>12486</Characters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Instrumenty finansowe przedsiebiorstw niefinansowych w 2024 r.</dc:title>
  <dc:subject/>
  <dc:creator>Główny Urząd Statystyczny</dc:creator>
  <cp:keywords/>
  <cp:lastPrinted>2024-11-14T16:35:00Z</cp:lastPrinted>
  <dcterms:created xsi:type="dcterms:W3CDTF">2025-11-17T10:30:00Z</dcterms:created>
  <dcterms:modified xsi:type="dcterms:W3CDTF">2025-11-17T17:20:00Z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