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068F" w14:textId="7422A96A" w:rsidR="00393761" w:rsidRPr="00E0102C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208680322"/>
      <w:bookmarkStart w:id="1" w:name="_Hlk95230319"/>
      <w:bookmarkStart w:id="2" w:name="_Hlk95230090"/>
      <w:bookmarkEnd w:id="0"/>
      <w:r w:rsidRPr="00E0102C">
        <w:rPr>
          <w:rFonts w:cs="Arial"/>
          <w:color w:val="auto"/>
          <w:szCs w:val="40"/>
        </w:rPr>
        <w:t xml:space="preserve">Obroty towarowe handlu zagranicznego ogółem </w:t>
      </w:r>
      <w:r w:rsidR="00091E91" w:rsidRPr="00E0102C">
        <w:rPr>
          <w:rFonts w:cs="Arial"/>
          <w:color w:val="auto"/>
          <w:szCs w:val="40"/>
        </w:rPr>
        <w:br/>
      </w:r>
      <w:r w:rsidRPr="00E0102C">
        <w:rPr>
          <w:rFonts w:cs="Arial"/>
          <w:color w:val="auto"/>
          <w:szCs w:val="40"/>
        </w:rPr>
        <w:t>i według krajów w</w:t>
      </w:r>
      <w:r w:rsidR="00616412" w:rsidRPr="00E0102C">
        <w:rPr>
          <w:rFonts w:cs="Arial"/>
          <w:color w:val="auto"/>
          <w:szCs w:val="40"/>
        </w:rPr>
        <w:t xml:space="preserve"> </w:t>
      </w:r>
      <w:r w:rsidR="006D23D1" w:rsidRPr="00E0102C">
        <w:rPr>
          <w:rFonts w:cs="Arial"/>
          <w:color w:val="auto"/>
          <w:szCs w:val="40"/>
        </w:rPr>
        <w:t>styczniu – październiku</w:t>
      </w:r>
      <w:r w:rsidR="00930A51" w:rsidRPr="00E0102C">
        <w:rPr>
          <w:rFonts w:cs="Arial"/>
          <w:color w:val="auto"/>
          <w:szCs w:val="40"/>
        </w:rPr>
        <w:t xml:space="preserve"> 202</w:t>
      </w:r>
      <w:r w:rsidR="000A63A6" w:rsidRPr="00E0102C">
        <w:rPr>
          <w:rFonts w:cs="Arial"/>
          <w:color w:val="auto"/>
          <w:szCs w:val="40"/>
        </w:rPr>
        <w:t>5</w:t>
      </w:r>
      <w:r w:rsidR="00443BA7" w:rsidRPr="00E0102C">
        <w:rPr>
          <w:rFonts w:cs="Arial"/>
          <w:color w:val="auto"/>
          <w:szCs w:val="40"/>
        </w:rPr>
        <w:t xml:space="preserve"> </w:t>
      </w:r>
      <w:r w:rsidR="006E6555" w:rsidRPr="00E0102C">
        <w:rPr>
          <w:rFonts w:cs="Arial"/>
          <w:color w:val="auto"/>
          <w:szCs w:val="40"/>
        </w:rPr>
        <w:t>r.</w:t>
      </w:r>
      <w:bookmarkEnd w:id="1"/>
      <w:bookmarkEnd w:id="2"/>
      <w:r w:rsidR="00393761" w:rsidRPr="00E0102C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375A4F" wp14:editId="64903B6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E2D0" w14:textId="77777777" w:rsidR="009E71B5" w:rsidRPr="009A5C86" w:rsidRDefault="009E71B5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5A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47C8E2D0" w14:textId="77777777" w:rsidR="009E71B5" w:rsidRPr="009A5C86" w:rsidRDefault="009E71B5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43B87E7B" w14:textId="34E6B157" w:rsidR="005916D7" w:rsidRPr="00E0102C" w:rsidRDefault="00A50551" w:rsidP="00E13BA6">
      <w:pPr>
        <w:pStyle w:val="Lead"/>
        <w:ind w:left="3686"/>
        <w:rPr>
          <w:spacing w:val="-4"/>
        </w:rPr>
      </w:pPr>
      <w:r w:rsidRPr="00E0102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C449D51" wp14:editId="0EEE03B8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 - październiku dwa tysiące dwudziestego piątego roku wyniosło minus 21,5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E79" w14:textId="7432E147" w:rsidR="009E71B5" w:rsidRPr="002704DA" w:rsidRDefault="009E71B5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- 21,5 mld</w:t>
                            </w:r>
                          </w:p>
                          <w:p w14:paraId="739ADE0C" w14:textId="77777777" w:rsidR="009E71B5" w:rsidRPr="004C5F77" w:rsidRDefault="009E71B5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174572B7" w14:textId="77777777" w:rsidR="009E71B5" w:rsidRDefault="009E71B5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9D51" id="_x0000_s1027" alt="Saldo obrotu towarowego w handlu z zagranicą w styczniu - październiku dwa tysiące dwudziestego piątego roku wyniosło minus 21,5 miliardów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" fillcolor="#001d77" stroked="f">
                <v:stroke joinstyle="miter"/>
                <v:textbox>
                  <w:txbxContent>
                    <w:p w14:paraId="4A211E79" w14:textId="7432E147" w:rsidR="009E71B5" w:rsidRPr="002704DA" w:rsidRDefault="009E71B5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- 21,5 mld</w:t>
                      </w:r>
                    </w:p>
                    <w:p w14:paraId="739ADE0C" w14:textId="77777777" w:rsidR="009E71B5" w:rsidRPr="004C5F77" w:rsidRDefault="009E71B5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174572B7" w14:textId="77777777" w:rsidR="009E71B5" w:rsidRDefault="009E71B5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E0102C">
        <w:br/>
      </w:r>
      <w:r w:rsidR="00900987" w:rsidRPr="00E0102C">
        <w:rPr>
          <w:spacing w:val="-4"/>
        </w:rPr>
        <w:t>Obroty towarowe handlu zagranicznego</w:t>
      </w:r>
      <w:r w:rsidR="00F36EAB" w:rsidRPr="00E0102C">
        <w:rPr>
          <w:rStyle w:val="Odwoanieprzypisudolnego"/>
          <w:spacing w:val="-4"/>
        </w:rPr>
        <w:footnoteReference w:id="1"/>
      </w:r>
      <w:r w:rsidR="00900987" w:rsidRPr="00E0102C">
        <w:rPr>
          <w:spacing w:val="-4"/>
        </w:rPr>
        <w:t xml:space="preserve"> w</w:t>
      </w:r>
      <w:r w:rsidR="001F0112" w:rsidRPr="00E0102C">
        <w:rPr>
          <w:spacing w:val="-4"/>
        </w:rPr>
        <w:t> </w:t>
      </w:r>
      <w:r w:rsidR="006C529C" w:rsidRPr="00E0102C">
        <w:rPr>
          <w:spacing w:val="-4"/>
        </w:rPr>
        <w:t xml:space="preserve">okresie </w:t>
      </w:r>
      <w:r w:rsidR="006D23D1" w:rsidRPr="00E0102C">
        <w:rPr>
          <w:spacing w:val="-4"/>
        </w:rPr>
        <w:t>styczeń – październik</w:t>
      </w:r>
      <w:r w:rsidR="00930A51" w:rsidRPr="00E0102C">
        <w:rPr>
          <w:spacing w:val="-4"/>
        </w:rPr>
        <w:t xml:space="preserve"> 202</w:t>
      </w:r>
      <w:r w:rsidR="0091766F" w:rsidRPr="00E0102C">
        <w:rPr>
          <w:spacing w:val="-4"/>
        </w:rPr>
        <w:t>5</w:t>
      </w:r>
      <w:r w:rsidR="00C651AA" w:rsidRPr="00E0102C">
        <w:rPr>
          <w:spacing w:val="-4"/>
        </w:rPr>
        <w:t xml:space="preserve"> r</w:t>
      </w:r>
      <w:r w:rsidR="002F3CCA" w:rsidRPr="00E0102C">
        <w:rPr>
          <w:spacing w:val="-4"/>
        </w:rPr>
        <w:t>.</w:t>
      </w:r>
      <w:r w:rsidR="002B307A" w:rsidRPr="00E0102C">
        <w:rPr>
          <w:spacing w:val="-4"/>
        </w:rPr>
        <w:t xml:space="preserve"> </w:t>
      </w:r>
      <w:r w:rsidR="00900987" w:rsidRPr="00E0102C">
        <w:rPr>
          <w:spacing w:val="-4"/>
        </w:rPr>
        <w:t xml:space="preserve">wyniosły w cenach bieżących </w:t>
      </w:r>
      <w:r w:rsidR="006B3FE9" w:rsidRPr="00E0102C">
        <w:rPr>
          <w:rFonts w:eastAsiaTheme="minorEastAsia" w:cs="Fira Sans"/>
          <w:noProof w:val="0"/>
          <w:color w:val="000000"/>
        </w:rPr>
        <w:t>1 290,7</w:t>
      </w:r>
      <w:r w:rsidR="007C7D6D" w:rsidRPr="00E0102C">
        <w:rPr>
          <w:rFonts w:eastAsiaTheme="minorEastAsia" w:cs="Fira Sans"/>
          <w:noProof w:val="0"/>
          <w:color w:val="000000"/>
        </w:rPr>
        <w:t xml:space="preserve"> </w:t>
      </w:r>
      <w:r w:rsidR="00900987" w:rsidRPr="00E0102C">
        <w:rPr>
          <w:spacing w:val="-4"/>
        </w:rPr>
        <w:t xml:space="preserve">mld PLN w eksporcie oraz </w:t>
      </w:r>
      <w:r w:rsidR="006B3FE9" w:rsidRPr="00E0102C">
        <w:rPr>
          <w:rFonts w:eastAsiaTheme="minorEastAsia" w:cs="Fira Sans"/>
          <w:noProof w:val="0"/>
          <w:color w:val="000000"/>
        </w:rPr>
        <w:t>1 312,2</w:t>
      </w:r>
      <w:r w:rsidR="007C7D6D" w:rsidRPr="00E0102C">
        <w:rPr>
          <w:rFonts w:eastAsiaTheme="minorEastAsia" w:cs="Fira Sans"/>
          <w:noProof w:val="0"/>
          <w:color w:val="000000"/>
        </w:rPr>
        <w:t xml:space="preserve"> </w:t>
      </w:r>
      <w:r w:rsidR="00900987" w:rsidRPr="00E0102C">
        <w:rPr>
          <w:spacing w:val="-4"/>
        </w:rPr>
        <w:t xml:space="preserve">mld PLN w imporcie. </w:t>
      </w:r>
      <w:r w:rsidR="00B47844" w:rsidRPr="00E0102C">
        <w:rPr>
          <w:spacing w:val="-4"/>
        </w:rPr>
        <w:t>Ujemne</w:t>
      </w:r>
      <w:r w:rsidR="00900987" w:rsidRPr="00E0102C">
        <w:rPr>
          <w:spacing w:val="-4"/>
        </w:rPr>
        <w:t xml:space="preserve"> saldo ukształtowało się na poziomie</w:t>
      </w:r>
      <w:r w:rsidR="00FE1CCD" w:rsidRPr="00E0102C">
        <w:rPr>
          <w:spacing w:val="-4"/>
        </w:rPr>
        <w:t xml:space="preserve"> </w:t>
      </w:r>
      <w:r w:rsidR="006B3FE9" w:rsidRPr="00E0102C">
        <w:rPr>
          <w:rFonts w:eastAsiaTheme="minorEastAsia" w:cs="Fira Sans"/>
          <w:noProof w:val="0"/>
          <w:color w:val="000000"/>
        </w:rPr>
        <w:t>21,5</w:t>
      </w:r>
      <w:r w:rsidR="007C7D6D" w:rsidRPr="00E0102C">
        <w:rPr>
          <w:rFonts w:eastAsiaTheme="minorEastAsia" w:cs="Fira Sans"/>
          <w:noProof w:val="0"/>
          <w:color w:val="000000"/>
        </w:rPr>
        <w:t xml:space="preserve"> </w:t>
      </w:r>
      <w:r w:rsidR="00900987" w:rsidRPr="00E0102C">
        <w:rPr>
          <w:spacing w:val="-4"/>
        </w:rPr>
        <w:t>mld PLN. W porówn</w:t>
      </w:r>
      <w:r w:rsidR="00F36EAB" w:rsidRPr="00E0102C">
        <w:rPr>
          <w:spacing w:val="-4"/>
        </w:rPr>
        <w:t>aniu z</w:t>
      </w:r>
      <w:r w:rsidRPr="00E0102C">
        <w:rPr>
          <w:spacing w:val="-4"/>
        </w:rPr>
        <w:t> </w:t>
      </w:r>
      <w:r w:rsidR="00F36EAB" w:rsidRPr="00E0102C">
        <w:rPr>
          <w:spacing w:val="-4"/>
        </w:rPr>
        <w:t xml:space="preserve">analogicznym okresem </w:t>
      </w:r>
      <w:r w:rsidR="00E57320" w:rsidRPr="00E0102C">
        <w:rPr>
          <w:spacing w:val="-4"/>
        </w:rPr>
        <w:t>2024</w:t>
      </w:r>
      <w:r w:rsidR="005571B5" w:rsidRPr="00E0102C">
        <w:rPr>
          <w:spacing w:val="-4"/>
        </w:rPr>
        <w:t xml:space="preserve"> </w:t>
      </w:r>
      <w:r w:rsidR="0063494C" w:rsidRPr="00E0102C">
        <w:rPr>
          <w:spacing w:val="-4"/>
        </w:rPr>
        <w:t xml:space="preserve">r. </w:t>
      </w:r>
      <w:r w:rsidR="00F36EAB" w:rsidRPr="00E0102C">
        <w:rPr>
          <w:spacing w:val="-4"/>
        </w:rPr>
        <w:t xml:space="preserve">eksport </w:t>
      </w:r>
      <w:r w:rsidR="007C7D6D" w:rsidRPr="00E0102C">
        <w:rPr>
          <w:spacing w:val="-4"/>
        </w:rPr>
        <w:t>wzrósł</w:t>
      </w:r>
      <w:r w:rsidR="00B53406" w:rsidRPr="00E0102C">
        <w:rPr>
          <w:spacing w:val="-4"/>
        </w:rPr>
        <w:t xml:space="preserve"> </w:t>
      </w:r>
      <w:r w:rsidR="00F36EAB" w:rsidRPr="00E0102C">
        <w:rPr>
          <w:spacing w:val="-4"/>
        </w:rPr>
        <w:t xml:space="preserve">o </w:t>
      </w:r>
      <w:r w:rsidR="00871CEE" w:rsidRPr="00E0102C">
        <w:rPr>
          <w:rFonts w:eastAsiaTheme="minorEastAsia" w:cs="Fira Sans"/>
          <w:noProof w:val="0"/>
        </w:rPr>
        <w:t>1,2</w:t>
      </w:r>
      <w:r w:rsidR="00900987" w:rsidRPr="00E0102C">
        <w:rPr>
          <w:spacing w:val="-4"/>
        </w:rPr>
        <w:t>%, a</w:t>
      </w:r>
      <w:r w:rsidR="00DA6DB7" w:rsidRPr="00E0102C">
        <w:rPr>
          <w:spacing w:val="-4"/>
        </w:rPr>
        <w:t> </w:t>
      </w:r>
      <w:r w:rsidR="00900987" w:rsidRPr="00E0102C">
        <w:rPr>
          <w:spacing w:val="-4"/>
        </w:rPr>
        <w:t xml:space="preserve">import o </w:t>
      </w:r>
      <w:r w:rsidR="00871CEE" w:rsidRPr="00E0102C">
        <w:rPr>
          <w:rFonts w:eastAsiaTheme="minorEastAsia" w:cs="Fira Sans"/>
          <w:noProof w:val="0"/>
          <w:color w:val="000000"/>
        </w:rPr>
        <w:t>3,7</w:t>
      </w:r>
      <w:r w:rsidR="00900987" w:rsidRPr="00E0102C">
        <w:rPr>
          <w:spacing w:val="-4"/>
        </w:rPr>
        <w:t>%</w:t>
      </w:r>
      <w:r w:rsidR="009222CF" w:rsidRPr="00E0102C">
        <w:rPr>
          <w:rFonts w:cs="Arial"/>
          <w:spacing w:val="-4"/>
        </w:rPr>
        <w:t>.</w:t>
      </w:r>
    </w:p>
    <w:bookmarkEnd w:id="3"/>
    <w:p w14:paraId="17D90921" w14:textId="77777777" w:rsidR="0018682C" w:rsidRPr="00E0102C" w:rsidRDefault="0018682C" w:rsidP="007E7738">
      <w:pPr>
        <w:pStyle w:val="Nagwek1"/>
        <w:spacing w:before="360" w:after="0"/>
      </w:pPr>
    </w:p>
    <w:p w14:paraId="7C4005A9" w14:textId="77777777" w:rsidR="00533818" w:rsidRPr="00E0102C" w:rsidRDefault="00533818" w:rsidP="00533818">
      <w:pPr>
        <w:spacing w:before="60" w:after="60"/>
        <w:rPr>
          <w:b/>
        </w:rPr>
      </w:pPr>
      <w:r w:rsidRPr="00E0102C">
        <w:rPr>
          <w:b/>
        </w:rPr>
        <w:t>Wykres 1. Obroty towarowe handlu zagranicznego</w:t>
      </w:r>
    </w:p>
    <w:p w14:paraId="3F2619F5" w14:textId="77777777" w:rsidR="00533818" w:rsidRPr="00E0102C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E0102C">
        <w:rPr>
          <w:color w:val="767171" w:themeColor="background2" w:themeShade="80"/>
        </w:rPr>
        <w:t xml:space="preserve"> analogiczny okres roku poprzedniego = 100</w:t>
      </w:r>
    </w:p>
    <w:p w14:paraId="33BEA5B2" w14:textId="6CE1DE95" w:rsidR="00DD5F25" w:rsidRPr="00E0102C" w:rsidRDefault="00376347" w:rsidP="00543917">
      <w:pPr>
        <w:pStyle w:val="Nagwek1"/>
        <w:spacing w:before="0"/>
        <w:rPr>
          <w:rFonts w:ascii="Fira Sans" w:hAnsi="Fira Sans"/>
          <w:b/>
          <w:szCs w:val="19"/>
        </w:rPr>
      </w:pPr>
      <w:r w:rsidRPr="00E0102C">
        <w:rPr>
          <w:noProof/>
        </w:rPr>
        <w:drawing>
          <wp:inline distT="0" distB="0" distL="0" distR="0" wp14:anchorId="3024E487" wp14:editId="55D26CBF">
            <wp:extent cx="4831099" cy="2805114"/>
            <wp:effectExtent l="0" t="0" r="7620" b="0"/>
            <wp:docPr id="20" name="Wykres 20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E0102C">
        <w:rPr>
          <w:color w:val="3B3838" w:themeColor="background2" w:themeShade="40"/>
        </w:rPr>
        <w:br/>
      </w:r>
    </w:p>
    <w:p w14:paraId="33E76166" w14:textId="77777777" w:rsidR="009834DA" w:rsidRPr="00E0102C" w:rsidRDefault="009834DA" w:rsidP="00543917">
      <w:pPr>
        <w:pStyle w:val="Nagwek1"/>
        <w:spacing w:before="0"/>
        <w:rPr>
          <w:shd w:val="clear" w:color="auto" w:fill="FFFFFF"/>
        </w:rPr>
      </w:pPr>
      <w:r w:rsidRPr="00E0102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62AC1999" wp14:editId="7F5EF71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8398" w14:textId="77777777" w:rsidR="009E71B5" w:rsidRPr="00D616D2" w:rsidRDefault="009E71B5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1999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6EF8398" w14:textId="77777777" w:rsidR="009E71B5" w:rsidRPr="00D616D2" w:rsidRDefault="009E71B5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6" w:name="_Hlk95313908"/>
      <w:r w:rsidRPr="00E0102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6"/>
    </w:p>
    <w:p w14:paraId="4E9067B0" w14:textId="05269672" w:rsidR="009834DA" w:rsidRPr="00E0102C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7" w:name="_Hlk95231690"/>
      <w:bookmarkStart w:id="8" w:name="_Hlk95230804"/>
      <w:r w:rsidRPr="00E0102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7"/>
      <w:r w:rsidRPr="00E0102C">
        <w:rPr>
          <w:rFonts w:eastAsia="Times New Roman" w:cs="Times New Roman"/>
          <w:szCs w:val="19"/>
          <w:lang w:eastAsia="pl-PL"/>
        </w:rPr>
        <w:t xml:space="preserve">dolarach USA w </w:t>
      </w:r>
      <w:r w:rsidR="006D23D1" w:rsidRPr="00E0102C">
        <w:rPr>
          <w:rFonts w:eastAsia="Times New Roman" w:cs="Times New Roman"/>
          <w:szCs w:val="19"/>
          <w:lang w:eastAsia="pl-PL"/>
        </w:rPr>
        <w:t>styczniu – październiku</w:t>
      </w:r>
      <w:r w:rsidRPr="00E0102C">
        <w:rPr>
          <w:rFonts w:eastAsia="Times New Roman" w:cs="Times New Roman"/>
          <w:szCs w:val="19"/>
          <w:lang w:eastAsia="pl-PL"/>
        </w:rPr>
        <w:t xml:space="preserve"> 2025 r. wyniósł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340,0</w:t>
      </w:r>
      <w:r w:rsidR="00196B22" w:rsidRPr="00E0102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 xml:space="preserve">mld USD, a import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345,6</w:t>
      </w:r>
      <w:r w:rsidR="00196B22" w:rsidRPr="00E0102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>mld USD (</w:t>
      </w:r>
      <w:r w:rsidR="00E155B1" w:rsidRPr="00E0102C">
        <w:rPr>
          <w:rFonts w:eastAsia="Times New Roman" w:cs="Times New Roman"/>
          <w:szCs w:val="19"/>
          <w:lang w:eastAsia="pl-PL"/>
        </w:rPr>
        <w:t>wzrost</w:t>
      </w:r>
      <w:r w:rsidRPr="00E0102C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5,6</w:t>
      </w:r>
      <w:r w:rsidR="00390BBF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Pr="00E0102C">
        <w:rPr>
          <w:rFonts w:eastAsia="Times New Roman" w:cs="Times New Roman"/>
          <w:szCs w:val="19"/>
          <w:lang w:eastAsia="pl-PL"/>
        </w:rPr>
        <w:t>, a w imporcie</w:t>
      </w:r>
      <w:r w:rsidR="00BA481E" w:rsidRPr="00E0102C">
        <w:rPr>
          <w:rFonts w:eastAsia="Times New Roman" w:cs="Times New Roman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 xml:space="preserve">o </w:t>
      </w:r>
      <w:r w:rsidR="00871CEE" w:rsidRPr="00E0102C">
        <w:rPr>
          <w:rFonts w:eastAsia="Times New Roman" w:cs="Times New Roman"/>
          <w:szCs w:val="19"/>
          <w:lang w:eastAsia="pl-PL"/>
        </w:rPr>
        <w:t>8,2</w:t>
      </w:r>
      <w:r w:rsidR="00D1270C" w:rsidRPr="00E0102C">
        <w:rPr>
          <w:rFonts w:eastAsia="Times New Roman" w:cs="Times New Roman"/>
          <w:szCs w:val="19"/>
          <w:lang w:eastAsia="pl-PL"/>
        </w:rPr>
        <w:t>%</w:t>
      </w:r>
      <w:r w:rsidRPr="00E0102C">
        <w:rPr>
          <w:rFonts w:eastAsia="Times New Roman" w:cs="Times New Roman"/>
          <w:szCs w:val="19"/>
          <w:lang w:eastAsia="pl-PL"/>
        </w:rPr>
        <w:t xml:space="preserve">). Ujemne saldo ukształtowało się </w:t>
      </w:r>
      <w:r w:rsidRPr="00E0102C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r w:rsidR="00871CEE" w:rsidRPr="00E0102C">
        <w:rPr>
          <w:rFonts w:eastAsia="Times New Roman" w:cs="Calibri"/>
          <w:color w:val="000000"/>
          <w:szCs w:val="19"/>
          <w:lang w:eastAsia="pl-PL"/>
        </w:rPr>
        <w:t>5,6</w:t>
      </w:r>
      <w:r w:rsidR="00196B22" w:rsidRPr="00E0102C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pacing w:val="-2"/>
          <w:szCs w:val="19"/>
          <w:lang w:eastAsia="pl-PL"/>
        </w:rPr>
        <w:t xml:space="preserve">mld USD (w analogicznym okresie 2024 r. było dodatnie i wyniosło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 xml:space="preserve">2,5 </w:t>
      </w:r>
      <w:r w:rsidRPr="00E0102C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4E6986B" w14:textId="346639C7" w:rsidR="009834DA" w:rsidRPr="00E0102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E0102C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304,3</w:t>
      </w:r>
      <w:r w:rsidR="00A14F5F" w:rsidRPr="00E0102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 xml:space="preserve">mld EUR, a import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309,3</w:t>
      </w:r>
      <w:r w:rsidR="00A14F5F" w:rsidRPr="00E0102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E0102C">
        <w:rPr>
          <w:rFonts w:eastAsia="Times New Roman" w:cs="Times New Roman"/>
          <w:szCs w:val="19"/>
          <w:lang w:eastAsia="pl-PL"/>
        </w:rPr>
        <w:t xml:space="preserve">stycznia – </w:t>
      </w:r>
      <w:r w:rsidR="00BC37D0" w:rsidRPr="00E0102C">
        <w:rPr>
          <w:rFonts w:eastAsia="Times New Roman" w:cs="Times New Roman"/>
          <w:szCs w:val="19"/>
          <w:lang w:eastAsia="pl-PL"/>
        </w:rPr>
        <w:t>października</w:t>
      </w:r>
      <w:r w:rsidRPr="00E0102C">
        <w:rPr>
          <w:rFonts w:eastAsia="Times New Roman" w:cs="Times New Roman"/>
          <w:szCs w:val="19"/>
          <w:lang w:eastAsia="pl-PL"/>
        </w:rPr>
        <w:t xml:space="preserve"> 2024 r. w eksporcie obserwowano </w:t>
      </w:r>
      <w:r w:rsidR="00743634" w:rsidRPr="00E0102C">
        <w:rPr>
          <w:rFonts w:eastAsia="Times New Roman" w:cs="Times New Roman"/>
          <w:szCs w:val="19"/>
          <w:lang w:eastAsia="pl-PL"/>
        </w:rPr>
        <w:t>wzrost</w:t>
      </w:r>
      <w:r w:rsidRPr="00E0102C">
        <w:rPr>
          <w:rFonts w:eastAsia="Times New Roman" w:cs="Times New Roman"/>
          <w:szCs w:val="19"/>
          <w:lang w:eastAsia="pl-PL"/>
        </w:rPr>
        <w:t xml:space="preserve"> o 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2,8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Pr="00E0102C">
        <w:rPr>
          <w:rFonts w:eastAsia="Times New Roman" w:cs="Times New Roman"/>
          <w:szCs w:val="19"/>
          <w:lang w:eastAsia="pl-PL"/>
        </w:rPr>
        <w:t xml:space="preserve">, a w imporcie o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5,4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Pr="00E0102C">
        <w:rPr>
          <w:rFonts w:eastAsia="Times New Roman" w:cs="Times New Roman"/>
          <w:szCs w:val="19"/>
          <w:lang w:eastAsia="pl-PL"/>
        </w:rPr>
        <w:t xml:space="preserve">). Ujemne saldo wyniosło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5,1</w:t>
      </w:r>
      <w:r w:rsidR="008D267E" w:rsidRPr="00E0102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>mld EUR (wobec</w:t>
      </w:r>
      <w:bookmarkStart w:id="9" w:name="_Hlk161082307"/>
      <w:r w:rsidRPr="00E0102C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End w:id="9"/>
      <w:r w:rsidR="00871CEE" w:rsidRPr="00E0102C">
        <w:rPr>
          <w:rFonts w:eastAsiaTheme="minorEastAsia" w:cs="Fira Sans"/>
          <w:color w:val="000000"/>
          <w:szCs w:val="19"/>
          <w:lang w:eastAsia="pl-PL"/>
        </w:rPr>
        <w:t xml:space="preserve">2,3 </w:t>
      </w:r>
      <w:r w:rsidRPr="00E0102C">
        <w:rPr>
          <w:rFonts w:eastAsia="Times New Roman" w:cs="Times New Roman"/>
          <w:szCs w:val="19"/>
          <w:lang w:eastAsia="pl-PL"/>
        </w:rPr>
        <w:t>mld EUR).</w:t>
      </w:r>
      <w:bookmarkEnd w:id="8"/>
    </w:p>
    <w:p w14:paraId="6D71ED4D" w14:textId="77777777" w:rsidR="009834DA" w:rsidRPr="00E0102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bookmarkStart w:id="10" w:name="_Hlk95313965"/>
    <w:bookmarkStart w:id="11" w:name="_Hlk95231570"/>
    <w:p w14:paraId="46A99829" w14:textId="77777777" w:rsidR="00F802BE" w:rsidRPr="00E0102C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E0102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3A3EDD" wp14:editId="175CCB46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w eksporcie był wyższy o 0,4 p. proc., a w imporcie był niższy o 0,5 p. proc. w porównaniu z okresem styczeń-październik 2024 r.&#10;&#10;Szczegółowe informacje do-stępne w Dziedzinowych Ba-zach Wiedzy 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C534" w14:textId="40E905AA" w:rsidR="009E71B5" w:rsidRDefault="009E71B5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wyższy </w:t>
                            </w:r>
                            <w:r w:rsidRPr="0028194D">
                              <w:t>o 0,</w:t>
                            </w:r>
                            <w:r>
                              <w:t>4</w:t>
                            </w:r>
                            <w:r w:rsidRPr="0028194D">
                              <w:t xml:space="preserve"> p. proc., a w </w:t>
                            </w:r>
                            <w:r w:rsidRPr="0028194D">
                              <w:rPr>
                                <w:bCs w:val="0"/>
                              </w:rPr>
                              <w:t>imporcie</w:t>
                            </w:r>
                            <w:r w:rsidRPr="0028194D">
                              <w:t xml:space="preserve"> był niższy o </w:t>
                            </w:r>
                            <w:r>
                              <w:t>0,5</w:t>
                            </w:r>
                            <w:r w:rsidRPr="0028194D">
                              <w:rPr>
                                <w:bCs w:val="0"/>
                              </w:rPr>
                              <w:t xml:space="preserve"> p.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styczeń-październik 2024 r.</w:t>
                            </w:r>
                          </w:p>
                          <w:p w14:paraId="6E16217F" w14:textId="77777777" w:rsidR="009E71B5" w:rsidRDefault="009E71B5" w:rsidP="00901EEB">
                            <w:pPr>
                              <w:pStyle w:val="tekstzboku"/>
                            </w:pPr>
                          </w:p>
                          <w:p w14:paraId="620FFB86" w14:textId="77777777" w:rsidR="009E71B5" w:rsidRPr="00CC7084" w:rsidRDefault="009E71B5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1A311D39" w14:textId="77777777" w:rsidR="009E71B5" w:rsidRDefault="009E71B5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693AC981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F5143BE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3BA07663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15EA8DCF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624EE982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860F99F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B54F0A1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549FF5E0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17A884B8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36F8415D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6CF0614D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5CD1C2FA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7631E255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72C4DE32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58D262B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12FDF8CB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343E4DED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55405031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1F515280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DD6C528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3563C0B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1E4A216E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1CF12B9D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6B22F7C8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37889404" w14:textId="77777777" w:rsidR="009E71B5" w:rsidRDefault="009E71B5" w:rsidP="00F802BE">
                            <w:pPr>
                              <w:pStyle w:val="tekstzboku"/>
                            </w:pPr>
                          </w:p>
                          <w:p w14:paraId="0DA327B6" w14:textId="77777777" w:rsidR="009E71B5" w:rsidRPr="00074DD8" w:rsidRDefault="009E71B5" w:rsidP="00F802BE">
                            <w:pPr>
                              <w:pStyle w:val="tekstzboku"/>
                            </w:pPr>
                          </w:p>
                          <w:p w14:paraId="473724D1" w14:textId="77777777" w:rsidR="009E71B5" w:rsidRPr="00D616D2" w:rsidRDefault="009E71B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3EDD" id="Pole tekstowe 16" o:spid="_x0000_s1029" type="#_x0000_t202" alt="Udział krajów UE w eksporcie był wyższy o 0,4 p. proc., a w imporcie był niższy o 0,5 p. proc. w porównaniu z okresem styczeń-październik 2024 r.&#10;&#10;Szczegółowe informacje do-stępne w Dziedzinowych Ba-zach Wiedzy &#10;&#10;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" filled="f" stroked="f">
                <v:textbox>
                  <w:txbxContent>
                    <w:p w14:paraId="3BACC534" w14:textId="40E905AA" w:rsidR="009E71B5" w:rsidRDefault="009E71B5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wyższy </w:t>
                      </w:r>
                      <w:r w:rsidRPr="0028194D">
                        <w:t>o 0,</w:t>
                      </w:r>
                      <w:r>
                        <w:t>4</w:t>
                      </w:r>
                      <w:r w:rsidRPr="0028194D">
                        <w:t xml:space="preserve"> p. proc., a w </w:t>
                      </w:r>
                      <w:r w:rsidRPr="0028194D">
                        <w:rPr>
                          <w:bCs w:val="0"/>
                        </w:rPr>
                        <w:t>imporcie</w:t>
                      </w:r>
                      <w:r w:rsidRPr="0028194D">
                        <w:t xml:space="preserve"> był niższy o </w:t>
                      </w:r>
                      <w:r>
                        <w:t>0,5</w:t>
                      </w:r>
                      <w:r w:rsidRPr="0028194D">
                        <w:rPr>
                          <w:bCs w:val="0"/>
                        </w:rPr>
                        <w:t xml:space="preserve"> p.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styczeń-październik 2024 r.</w:t>
                      </w:r>
                    </w:p>
                    <w:p w14:paraId="6E16217F" w14:textId="77777777" w:rsidR="009E71B5" w:rsidRDefault="009E71B5" w:rsidP="00901EEB">
                      <w:pPr>
                        <w:pStyle w:val="tekstzboku"/>
                      </w:pPr>
                    </w:p>
                    <w:p w14:paraId="620FFB86" w14:textId="77777777" w:rsidR="009E71B5" w:rsidRPr="00CC7084" w:rsidRDefault="009E71B5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1A311D39" w14:textId="77777777" w:rsidR="009E71B5" w:rsidRDefault="009E71B5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693AC981" w14:textId="77777777" w:rsidR="009E71B5" w:rsidRDefault="009E71B5" w:rsidP="00F802BE">
                      <w:pPr>
                        <w:pStyle w:val="tekstzboku"/>
                      </w:pPr>
                    </w:p>
                    <w:p w14:paraId="0F5143BE" w14:textId="77777777" w:rsidR="009E71B5" w:rsidRDefault="009E71B5" w:rsidP="00F802BE">
                      <w:pPr>
                        <w:pStyle w:val="tekstzboku"/>
                      </w:pPr>
                    </w:p>
                    <w:p w14:paraId="3BA07663" w14:textId="77777777" w:rsidR="009E71B5" w:rsidRDefault="009E71B5" w:rsidP="00F802BE">
                      <w:pPr>
                        <w:pStyle w:val="tekstzboku"/>
                      </w:pPr>
                    </w:p>
                    <w:p w14:paraId="15EA8DCF" w14:textId="77777777" w:rsidR="009E71B5" w:rsidRDefault="009E71B5" w:rsidP="00F802BE">
                      <w:pPr>
                        <w:pStyle w:val="tekstzboku"/>
                      </w:pPr>
                    </w:p>
                    <w:p w14:paraId="624EE982" w14:textId="77777777" w:rsidR="009E71B5" w:rsidRDefault="009E71B5" w:rsidP="00F802BE">
                      <w:pPr>
                        <w:pStyle w:val="tekstzboku"/>
                      </w:pPr>
                    </w:p>
                    <w:p w14:paraId="0860F99F" w14:textId="77777777" w:rsidR="009E71B5" w:rsidRDefault="009E71B5" w:rsidP="00F802BE">
                      <w:pPr>
                        <w:pStyle w:val="tekstzboku"/>
                      </w:pPr>
                    </w:p>
                    <w:p w14:paraId="0B54F0A1" w14:textId="77777777" w:rsidR="009E71B5" w:rsidRDefault="009E71B5" w:rsidP="00F802BE">
                      <w:pPr>
                        <w:pStyle w:val="tekstzboku"/>
                      </w:pPr>
                    </w:p>
                    <w:p w14:paraId="549FF5E0" w14:textId="77777777" w:rsidR="009E71B5" w:rsidRDefault="009E71B5" w:rsidP="00F802BE">
                      <w:pPr>
                        <w:pStyle w:val="tekstzboku"/>
                      </w:pPr>
                    </w:p>
                    <w:p w14:paraId="17A884B8" w14:textId="77777777" w:rsidR="009E71B5" w:rsidRDefault="009E71B5" w:rsidP="00F802BE">
                      <w:pPr>
                        <w:pStyle w:val="tekstzboku"/>
                      </w:pPr>
                    </w:p>
                    <w:p w14:paraId="36F8415D" w14:textId="77777777" w:rsidR="009E71B5" w:rsidRDefault="009E71B5" w:rsidP="00F802BE">
                      <w:pPr>
                        <w:pStyle w:val="tekstzboku"/>
                      </w:pPr>
                    </w:p>
                    <w:p w14:paraId="6CF0614D" w14:textId="77777777" w:rsidR="009E71B5" w:rsidRDefault="009E71B5" w:rsidP="00F802BE">
                      <w:pPr>
                        <w:pStyle w:val="tekstzboku"/>
                      </w:pPr>
                    </w:p>
                    <w:p w14:paraId="5CD1C2FA" w14:textId="77777777" w:rsidR="009E71B5" w:rsidRDefault="009E71B5" w:rsidP="00F802BE">
                      <w:pPr>
                        <w:pStyle w:val="tekstzboku"/>
                      </w:pPr>
                    </w:p>
                    <w:p w14:paraId="7631E255" w14:textId="77777777" w:rsidR="009E71B5" w:rsidRDefault="009E71B5" w:rsidP="00F802BE">
                      <w:pPr>
                        <w:pStyle w:val="tekstzboku"/>
                      </w:pPr>
                    </w:p>
                    <w:p w14:paraId="72C4DE32" w14:textId="77777777" w:rsidR="009E71B5" w:rsidRDefault="009E71B5" w:rsidP="00F802BE">
                      <w:pPr>
                        <w:pStyle w:val="tekstzboku"/>
                      </w:pPr>
                    </w:p>
                    <w:p w14:paraId="058D262B" w14:textId="77777777" w:rsidR="009E71B5" w:rsidRDefault="009E71B5" w:rsidP="00F802BE">
                      <w:pPr>
                        <w:pStyle w:val="tekstzboku"/>
                      </w:pPr>
                    </w:p>
                    <w:p w14:paraId="12FDF8CB" w14:textId="77777777" w:rsidR="009E71B5" w:rsidRDefault="009E71B5" w:rsidP="00F802BE">
                      <w:pPr>
                        <w:pStyle w:val="tekstzboku"/>
                      </w:pPr>
                    </w:p>
                    <w:p w14:paraId="343E4DED" w14:textId="77777777" w:rsidR="009E71B5" w:rsidRDefault="009E71B5" w:rsidP="00F802BE">
                      <w:pPr>
                        <w:pStyle w:val="tekstzboku"/>
                      </w:pPr>
                    </w:p>
                    <w:p w14:paraId="55405031" w14:textId="77777777" w:rsidR="009E71B5" w:rsidRDefault="009E71B5" w:rsidP="00F802BE">
                      <w:pPr>
                        <w:pStyle w:val="tekstzboku"/>
                      </w:pPr>
                    </w:p>
                    <w:p w14:paraId="1F515280" w14:textId="77777777" w:rsidR="009E71B5" w:rsidRDefault="009E71B5" w:rsidP="00F802BE">
                      <w:pPr>
                        <w:pStyle w:val="tekstzboku"/>
                      </w:pPr>
                    </w:p>
                    <w:p w14:paraId="0DD6C528" w14:textId="77777777" w:rsidR="009E71B5" w:rsidRDefault="009E71B5" w:rsidP="00F802BE">
                      <w:pPr>
                        <w:pStyle w:val="tekstzboku"/>
                      </w:pPr>
                    </w:p>
                    <w:p w14:paraId="03563C0B" w14:textId="77777777" w:rsidR="009E71B5" w:rsidRDefault="009E71B5" w:rsidP="00F802BE">
                      <w:pPr>
                        <w:pStyle w:val="tekstzboku"/>
                      </w:pPr>
                    </w:p>
                    <w:p w14:paraId="1E4A216E" w14:textId="77777777" w:rsidR="009E71B5" w:rsidRDefault="009E71B5" w:rsidP="00F802BE">
                      <w:pPr>
                        <w:pStyle w:val="tekstzboku"/>
                      </w:pPr>
                    </w:p>
                    <w:p w14:paraId="1CF12B9D" w14:textId="77777777" w:rsidR="009E71B5" w:rsidRDefault="009E71B5" w:rsidP="00F802BE">
                      <w:pPr>
                        <w:pStyle w:val="tekstzboku"/>
                      </w:pPr>
                    </w:p>
                    <w:p w14:paraId="6B22F7C8" w14:textId="77777777" w:rsidR="009E71B5" w:rsidRDefault="009E71B5" w:rsidP="00F802BE">
                      <w:pPr>
                        <w:pStyle w:val="tekstzboku"/>
                      </w:pPr>
                    </w:p>
                    <w:p w14:paraId="37889404" w14:textId="77777777" w:rsidR="009E71B5" w:rsidRDefault="009E71B5" w:rsidP="00F802BE">
                      <w:pPr>
                        <w:pStyle w:val="tekstzboku"/>
                      </w:pPr>
                    </w:p>
                    <w:p w14:paraId="0DA327B6" w14:textId="77777777" w:rsidR="009E71B5" w:rsidRPr="00074DD8" w:rsidRDefault="009E71B5" w:rsidP="00F802BE">
                      <w:pPr>
                        <w:pStyle w:val="tekstzboku"/>
                      </w:pPr>
                    </w:p>
                    <w:p w14:paraId="473724D1" w14:textId="77777777" w:rsidR="009E71B5" w:rsidRPr="00D616D2" w:rsidRDefault="009E71B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E0102C">
        <w:rPr>
          <w:rFonts w:ascii="Fira Sans" w:hAnsi="Fira Sans"/>
          <w:b/>
          <w:szCs w:val="19"/>
        </w:rPr>
        <w:t>Obroty t</w:t>
      </w:r>
      <w:r w:rsidR="00932408" w:rsidRPr="00E0102C">
        <w:rPr>
          <w:rFonts w:ascii="Fira Sans" w:hAnsi="Fira Sans"/>
          <w:b/>
          <w:szCs w:val="19"/>
        </w:rPr>
        <w:t xml:space="preserve">owarowe </w:t>
      </w:r>
      <w:r w:rsidR="003C6B82" w:rsidRPr="00E0102C">
        <w:rPr>
          <w:rFonts w:ascii="Fira Sans" w:hAnsi="Fira Sans"/>
          <w:b/>
          <w:szCs w:val="19"/>
        </w:rPr>
        <w:t xml:space="preserve">ogółem i </w:t>
      </w:r>
      <w:r w:rsidR="00932408" w:rsidRPr="00E0102C">
        <w:rPr>
          <w:rFonts w:ascii="Fira Sans" w:hAnsi="Fira Sans"/>
          <w:b/>
          <w:szCs w:val="19"/>
        </w:rPr>
        <w:t>według</w:t>
      </w:r>
      <w:r w:rsidR="003C6B82" w:rsidRPr="00E0102C">
        <w:rPr>
          <w:rFonts w:ascii="Fira Sans" w:hAnsi="Fira Sans"/>
          <w:b/>
          <w:szCs w:val="19"/>
        </w:rPr>
        <w:t xml:space="preserve"> grup krajów</w:t>
      </w:r>
      <w:bookmarkEnd w:id="10"/>
    </w:p>
    <w:p w14:paraId="733F3A07" w14:textId="6A18C5E8" w:rsidR="00F802BE" w:rsidRPr="00E0102C" w:rsidRDefault="008F02DA" w:rsidP="0018682C">
      <w:pPr>
        <w:spacing w:before="60" w:after="60"/>
        <w:rPr>
          <w:lang w:eastAsia="pl-PL"/>
        </w:rPr>
      </w:pPr>
      <w:r w:rsidRPr="00E0102C">
        <w:rPr>
          <w:lang w:eastAsia="pl-PL"/>
        </w:rPr>
        <w:t>U</w:t>
      </w:r>
      <w:r w:rsidR="0032494E" w:rsidRPr="00E0102C">
        <w:rPr>
          <w:lang w:eastAsia="pl-PL"/>
        </w:rPr>
        <w:t>dział</w:t>
      </w:r>
      <w:r w:rsidRPr="00E0102C">
        <w:rPr>
          <w:lang w:eastAsia="pl-PL"/>
        </w:rPr>
        <w:t xml:space="preserve"> krajów rozwiniętych</w:t>
      </w:r>
      <w:r w:rsidR="00A33FD1" w:rsidRPr="00E0102C">
        <w:rPr>
          <w:lang w:eastAsia="pl-PL"/>
        </w:rPr>
        <w:t xml:space="preserve"> </w:t>
      </w:r>
      <w:r w:rsidR="0032494E" w:rsidRPr="00E0102C">
        <w:rPr>
          <w:lang w:eastAsia="pl-PL"/>
        </w:rPr>
        <w:t xml:space="preserve">w eksporcie ogółem wyniósł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87,2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E0102C">
        <w:rPr>
          <w:rFonts w:eastAsia="Times New Roman" w:cs="Times New Roman"/>
          <w:szCs w:val="19"/>
          <w:lang w:eastAsia="pl-PL"/>
        </w:rPr>
        <w:t xml:space="preserve"> (w tym UE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74,8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E0102C">
        <w:rPr>
          <w:rFonts w:eastAsia="Times New Roman" w:cs="Times New Roman"/>
          <w:szCs w:val="19"/>
          <w:lang w:eastAsia="pl-PL"/>
        </w:rPr>
        <w:t>)</w:t>
      </w:r>
      <w:r w:rsidR="0032494E" w:rsidRPr="00E0102C">
        <w:rPr>
          <w:lang w:eastAsia="pl-PL"/>
        </w:rPr>
        <w:t xml:space="preserve">, a w imporcie ogółem </w:t>
      </w:r>
      <w:r w:rsidR="005A762F" w:rsidRPr="00E0102C">
        <w:rPr>
          <w:shd w:val="clear" w:color="auto" w:fill="FFFFFF"/>
        </w:rPr>
        <w:t>–</w:t>
      </w:r>
      <w:r w:rsidR="0032494E" w:rsidRPr="00E0102C">
        <w:rPr>
          <w:lang w:eastAsia="pl-PL"/>
        </w:rPr>
        <w:t xml:space="preserve">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64,5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E0102C">
        <w:rPr>
          <w:rFonts w:eastAsia="Times New Roman" w:cs="Times New Roman"/>
          <w:szCs w:val="19"/>
          <w:lang w:eastAsia="pl-PL"/>
        </w:rPr>
        <w:t xml:space="preserve"> (w tym UE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52,8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E0102C">
        <w:rPr>
          <w:rFonts w:eastAsia="Times New Roman" w:cs="Times New Roman"/>
          <w:szCs w:val="19"/>
          <w:lang w:eastAsia="pl-PL"/>
        </w:rPr>
        <w:t>),</w:t>
      </w:r>
      <w:bookmarkStart w:id="12" w:name="_Hlk95313996"/>
      <w:r w:rsidR="0032494E" w:rsidRPr="00E0102C">
        <w:rPr>
          <w:lang w:eastAsia="pl-PL"/>
        </w:rPr>
        <w:t xml:space="preserve"> </w:t>
      </w:r>
      <w:r w:rsidR="003C6B82" w:rsidRPr="00E0102C">
        <w:rPr>
          <w:rFonts w:eastAsia="Times New Roman" w:cs="Times New Roman"/>
          <w:szCs w:val="19"/>
          <w:lang w:eastAsia="pl-PL"/>
        </w:rPr>
        <w:t xml:space="preserve">wobec odpowiednio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86,6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E0102C">
        <w:rPr>
          <w:rFonts w:eastAsia="Times New Roman" w:cs="Times New Roman"/>
          <w:szCs w:val="19"/>
          <w:lang w:eastAsia="pl-PL"/>
        </w:rPr>
        <w:t xml:space="preserve"> (w tym UE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74,4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E0102C">
        <w:rPr>
          <w:rFonts w:eastAsia="Times New Roman" w:cs="Times New Roman"/>
          <w:szCs w:val="19"/>
          <w:lang w:eastAsia="pl-PL"/>
        </w:rPr>
        <w:t>) i</w:t>
      </w:r>
      <w:r w:rsidR="004E224E" w:rsidRPr="00E0102C">
        <w:rPr>
          <w:rFonts w:eastAsia="Times New Roman" w:cs="Times New Roman"/>
          <w:szCs w:val="19"/>
          <w:lang w:eastAsia="pl-PL"/>
        </w:rPr>
        <w:t xml:space="preserve">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65,3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E0102C">
        <w:rPr>
          <w:rFonts w:eastAsia="Times New Roman" w:cs="Times New Roman"/>
          <w:szCs w:val="19"/>
          <w:lang w:eastAsia="pl-PL"/>
        </w:rPr>
        <w:t xml:space="preserve"> (w tym UE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53,3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E0102C">
        <w:rPr>
          <w:rFonts w:eastAsia="Times New Roman" w:cs="Times New Roman"/>
          <w:szCs w:val="19"/>
          <w:lang w:eastAsia="pl-PL"/>
        </w:rPr>
        <w:t>) w </w:t>
      </w:r>
      <w:r w:rsidR="006D23D1" w:rsidRPr="00E0102C">
        <w:rPr>
          <w:rFonts w:eastAsia="Times New Roman" w:cs="Times New Roman"/>
          <w:szCs w:val="19"/>
          <w:lang w:eastAsia="pl-PL"/>
        </w:rPr>
        <w:t>styczniu – październiku</w:t>
      </w:r>
      <w:r w:rsidR="008177DB" w:rsidRPr="00E0102C">
        <w:rPr>
          <w:rFonts w:eastAsia="Times New Roman" w:cs="Times New Roman"/>
          <w:szCs w:val="19"/>
          <w:lang w:eastAsia="pl-PL"/>
        </w:rPr>
        <w:t xml:space="preserve"> </w:t>
      </w:r>
      <w:r w:rsidR="00E57320" w:rsidRPr="00E0102C">
        <w:rPr>
          <w:rFonts w:eastAsia="Times New Roman" w:cs="Times New Roman"/>
          <w:szCs w:val="19"/>
          <w:lang w:eastAsia="pl-PL"/>
        </w:rPr>
        <w:t>2024</w:t>
      </w:r>
      <w:r w:rsidR="003C6B82" w:rsidRPr="00E0102C">
        <w:rPr>
          <w:rFonts w:eastAsia="Times New Roman" w:cs="Times New Roman"/>
          <w:szCs w:val="19"/>
          <w:lang w:eastAsia="pl-PL"/>
        </w:rPr>
        <w:t xml:space="preserve"> r</w:t>
      </w:r>
      <w:r w:rsidR="00F802BE" w:rsidRPr="00E0102C">
        <w:rPr>
          <w:rFonts w:eastAsia="Times New Roman" w:cs="Times New Roman"/>
          <w:szCs w:val="19"/>
          <w:lang w:eastAsia="pl-PL"/>
        </w:rPr>
        <w:t>.</w:t>
      </w:r>
      <w:r w:rsidR="008720A0" w:rsidRPr="00E0102C">
        <w:rPr>
          <w:rFonts w:eastAsia="Times New Roman" w:cs="Times New Roman"/>
          <w:szCs w:val="19"/>
          <w:lang w:eastAsia="pl-PL"/>
        </w:rPr>
        <w:t xml:space="preserve"> </w:t>
      </w:r>
      <w:r w:rsidR="0032494E" w:rsidRPr="00E0102C">
        <w:rPr>
          <w:rFonts w:eastAsia="Times New Roman" w:cs="Times New Roman"/>
          <w:szCs w:val="19"/>
          <w:lang w:eastAsia="pl-PL"/>
        </w:rPr>
        <w:t>N</w:t>
      </w:r>
      <w:r w:rsidR="00701D51" w:rsidRPr="00E0102C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E0102C">
        <w:rPr>
          <w:rFonts w:eastAsia="Times New Roman" w:cs="Times New Roman"/>
          <w:szCs w:val="19"/>
          <w:lang w:eastAsia="pl-PL"/>
        </w:rPr>
        <w:t>odnotowano</w:t>
      </w:r>
      <w:r w:rsidR="0032494E" w:rsidRPr="00E0102C">
        <w:rPr>
          <w:rFonts w:eastAsia="Times New Roman" w:cs="Times New Roman"/>
          <w:szCs w:val="19"/>
          <w:lang w:eastAsia="pl-PL"/>
        </w:rPr>
        <w:t xml:space="preserve"> </w:t>
      </w:r>
      <w:r w:rsidR="00701D51" w:rsidRPr="00E0102C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E0102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E0102C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4,7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E0102C">
        <w:rPr>
          <w:rFonts w:eastAsia="Times New Roman" w:cs="Times New Roman"/>
          <w:szCs w:val="19"/>
          <w:lang w:eastAsia="pl-PL"/>
        </w:rPr>
        <w:t>, a</w:t>
      </w:r>
      <w:r w:rsidR="00192087" w:rsidRPr="00E0102C">
        <w:rPr>
          <w:rFonts w:eastAsia="Times New Roman" w:cs="Times New Roman"/>
          <w:szCs w:val="19"/>
          <w:lang w:eastAsia="pl-PL"/>
        </w:rPr>
        <w:t xml:space="preserve"> </w:t>
      </w:r>
      <w:r w:rsidR="00701D51" w:rsidRPr="00E0102C">
        <w:rPr>
          <w:rFonts w:eastAsia="Times New Roman" w:cs="Times New Roman"/>
          <w:szCs w:val="19"/>
          <w:lang w:eastAsia="pl-PL"/>
        </w:rPr>
        <w:t>w</w:t>
      </w:r>
      <w:r w:rsidR="00192087" w:rsidRPr="00E0102C">
        <w:rPr>
          <w:rFonts w:eastAsia="Times New Roman" w:cs="Times New Roman"/>
          <w:szCs w:val="19"/>
          <w:lang w:eastAsia="pl-PL"/>
        </w:rPr>
        <w:t xml:space="preserve"> </w:t>
      </w:r>
      <w:r w:rsidR="00701D51" w:rsidRPr="00E0102C">
        <w:rPr>
          <w:rFonts w:eastAsia="Times New Roman" w:cs="Times New Roman"/>
          <w:szCs w:val="19"/>
          <w:lang w:eastAsia="pl-PL"/>
        </w:rPr>
        <w:t xml:space="preserve">imporcie </w:t>
      </w:r>
      <w:r w:rsidR="00871CEE" w:rsidRPr="00E0102C">
        <w:rPr>
          <w:rFonts w:eastAsiaTheme="minorEastAsia" w:cs="Fira Sans"/>
          <w:color w:val="000000"/>
          <w:szCs w:val="19"/>
          <w:lang w:eastAsia="pl-PL"/>
        </w:rPr>
        <w:t>1,7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E0102C">
        <w:rPr>
          <w:rFonts w:eastAsia="Times New Roman" w:cs="Times New Roman"/>
          <w:szCs w:val="19"/>
          <w:lang w:eastAsia="pl-PL"/>
        </w:rPr>
        <w:t xml:space="preserve"> </w:t>
      </w:r>
      <w:r w:rsidR="00DC0BD2" w:rsidRPr="00E0102C">
        <w:rPr>
          <w:rFonts w:eastAsia="Times New Roman" w:cs="Times New Roman"/>
          <w:szCs w:val="19"/>
          <w:lang w:eastAsia="pl-PL"/>
        </w:rPr>
        <w:t>(</w:t>
      </w:r>
      <w:r w:rsidR="00701D51" w:rsidRPr="00E0102C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E0102C">
        <w:rPr>
          <w:rFonts w:eastAsia="Times New Roman" w:cs="Times New Roman"/>
          <w:szCs w:val="19"/>
          <w:lang w:eastAsia="pl-PL"/>
        </w:rPr>
        <w:t xml:space="preserve">odpowiednio </w:t>
      </w:r>
      <w:r w:rsidR="001B32EB" w:rsidRPr="00E0102C">
        <w:rPr>
          <w:rFonts w:eastAsiaTheme="minorEastAsia" w:cs="Fira Sans"/>
          <w:color w:val="000000"/>
          <w:szCs w:val="19"/>
          <w:lang w:eastAsia="pl-PL"/>
        </w:rPr>
        <w:t>5,2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E0102C">
        <w:rPr>
          <w:rFonts w:eastAsia="Times New Roman" w:cs="Times New Roman"/>
          <w:szCs w:val="19"/>
          <w:lang w:eastAsia="pl-PL"/>
        </w:rPr>
        <w:t xml:space="preserve"> i </w:t>
      </w:r>
      <w:r w:rsidR="00647C68" w:rsidRPr="00E0102C">
        <w:rPr>
          <w:rFonts w:eastAsiaTheme="minorEastAsia" w:cs="Fira Sans"/>
          <w:color w:val="000000"/>
          <w:szCs w:val="19"/>
          <w:lang w:eastAsia="pl-PL"/>
        </w:rPr>
        <w:t>2,1</w:t>
      </w:r>
      <w:r w:rsidR="00D1270C" w:rsidRPr="00E0102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E0102C">
        <w:rPr>
          <w:rFonts w:eastAsia="Times New Roman" w:cs="Times New Roman"/>
          <w:szCs w:val="19"/>
          <w:lang w:eastAsia="pl-PL"/>
        </w:rPr>
        <w:t xml:space="preserve"> </w:t>
      </w:r>
      <w:r w:rsidR="00DC0BD2" w:rsidRPr="00E0102C">
        <w:rPr>
          <w:rFonts w:eastAsia="Times New Roman" w:cs="Times New Roman"/>
          <w:szCs w:val="19"/>
          <w:lang w:eastAsia="pl-PL"/>
        </w:rPr>
        <w:t>przed rokiem)</w:t>
      </w:r>
      <w:r w:rsidR="00771315" w:rsidRPr="00E0102C">
        <w:rPr>
          <w:rFonts w:eastAsia="Times New Roman" w:cs="Times New Roman"/>
          <w:szCs w:val="19"/>
          <w:lang w:eastAsia="pl-PL"/>
        </w:rPr>
        <w:t>.</w:t>
      </w:r>
      <w:r w:rsidR="00A33FD1" w:rsidRPr="00E0102C">
        <w:rPr>
          <w:rFonts w:eastAsia="Times New Roman" w:cs="Times New Roman"/>
          <w:szCs w:val="19"/>
          <w:lang w:eastAsia="pl-PL"/>
        </w:rPr>
        <w:t xml:space="preserve"> </w:t>
      </w:r>
    </w:p>
    <w:p w14:paraId="5BA21647" w14:textId="204FEA92" w:rsidR="00345F7C" w:rsidRPr="00E0102C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E0102C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E0102C">
        <w:rPr>
          <w:rFonts w:eastAsia="Times New Roman" w:cs="Times New Roman"/>
          <w:szCs w:val="19"/>
          <w:lang w:eastAsia="pl-PL"/>
        </w:rPr>
        <w:t xml:space="preserve">wyniosło </w:t>
      </w:r>
      <w:r w:rsidR="00C77CCB" w:rsidRPr="00E0102C">
        <w:rPr>
          <w:rFonts w:eastAsiaTheme="minorEastAsia" w:cs="Fira Sans"/>
          <w:color w:val="000000"/>
          <w:szCs w:val="19"/>
          <w:lang w:eastAsia="pl-PL"/>
        </w:rPr>
        <w:t xml:space="preserve">278,7 </w:t>
      </w:r>
      <w:r w:rsidRPr="00E0102C">
        <w:rPr>
          <w:rFonts w:eastAsia="Times New Roman" w:cs="Times New Roman"/>
          <w:szCs w:val="19"/>
          <w:lang w:eastAsia="pl-PL"/>
        </w:rPr>
        <w:t>mld PLN (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73,5</w:t>
      </w:r>
      <w:r w:rsidR="008D267E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 xml:space="preserve">mld USD, 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65,7</w:t>
      </w:r>
      <w:r w:rsidR="001B32EB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>mld EUR), w tym z krajami UE </w:t>
      </w:r>
      <w:r w:rsidRPr="00AE05E7">
        <w:rPr>
          <w:rFonts w:eastAsia="Times New Roman" w:cs="Times New Roman"/>
          <w:spacing w:val="-2"/>
          <w:szCs w:val="19"/>
          <w:lang w:eastAsia="pl-PL"/>
        </w:rPr>
        <w:t>–</w:t>
      </w:r>
      <w:r w:rsidRPr="00AE05E7">
        <w:rPr>
          <w:rFonts w:eastAsia="Times New Roman" w:cs="Times New Roman"/>
          <w:szCs w:val="19"/>
          <w:lang w:eastAsia="pl-PL"/>
        </w:rPr>
        <w:t> 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273,6</w:t>
      </w:r>
      <w:r w:rsidR="003E29E9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>mld PLN (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72,2</w:t>
      </w:r>
      <w:r w:rsidR="00AA2346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 xml:space="preserve">mld USD, 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64,5</w:t>
      </w:r>
      <w:r w:rsidR="00C4547E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>mld EUR)</w:t>
      </w:r>
      <w:r w:rsidR="00774CD9" w:rsidRPr="00AE05E7">
        <w:rPr>
          <w:rFonts w:eastAsia="Times New Roman" w:cs="Times New Roman"/>
          <w:szCs w:val="19"/>
          <w:lang w:eastAsia="pl-PL"/>
        </w:rPr>
        <w:t>, a z</w:t>
      </w:r>
      <w:r w:rsidRPr="00AE05E7">
        <w:rPr>
          <w:rFonts w:eastAsia="Times New Roman" w:cs="Times New Roman"/>
          <w:szCs w:val="19"/>
          <w:lang w:eastAsia="pl-PL"/>
        </w:rPr>
        <w:t xml:space="preserve"> krajami Europy Środkowo-Wschodniej</w:t>
      </w:r>
      <w:r w:rsidRPr="00E0102C">
        <w:rPr>
          <w:rFonts w:eastAsia="Times New Roman" w:cs="Times New Roman"/>
          <w:szCs w:val="19"/>
          <w:lang w:eastAsia="pl-PL"/>
        </w:rPr>
        <w:t xml:space="preserve"> </w:t>
      </w:r>
      <w:r w:rsidR="00C77CCB" w:rsidRPr="00E0102C">
        <w:rPr>
          <w:rFonts w:eastAsiaTheme="minorEastAsia" w:cs="Fira Sans"/>
          <w:color w:val="000000"/>
          <w:szCs w:val="19"/>
          <w:lang w:eastAsia="pl-PL"/>
        </w:rPr>
        <w:t>38,0</w:t>
      </w:r>
      <w:r w:rsidR="00C4547E" w:rsidRPr="00E0102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E0102C">
        <w:rPr>
          <w:rFonts w:eastAsia="Times New Roman" w:cs="Times New Roman"/>
          <w:szCs w:val="19"/>
          <w:lang w:eastAsia="pl-PL"/>
        </w:rPr>
        <w:t xml:space="preserve">mld </w:t>
      </w:r>
      <w:r w:rsidRPr="00AE05E7">
        <w:rPr>
          <w:rFonts w:eastAsia="Times New Roman" w:cs="Times New Roman"/>
          <w:szCs w:val="19"/>
          <w:lang w:eastAsia="pl-PL"/>
        </w:rPr>
        <w:t>PLN (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10,0</w:t>
      </w:r>
      <w:r w:rsidR="002D5048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 xml:space="preserve">mld USD, 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8,9</w:t>
      </w:r>
      <w:r w:rsidR="00C4547E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AE05E7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AE05E7">
        <w:rPr>
          <w:rFonts w:eastAsia="Times New Roman" w:cs="Times New Roman"/>
          <w:szCs w:val="19"/>
          <w:lang w:eastAsia="pl-PL"/>
        </w:rPr>
        <w:t>Ujemne saldo</w:t>
      </w:r>
      <w:r w:rsidR="008720A0" w:rsidRPr="00AE05E7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AE05E7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AE05E7">
        <w:rPr>
          <w:rFonts w:eastAsia="Times New Roman" w:cs="Times New Roman"/>
          <w:szCs w:val="19"/>
          <w:lang w:eastAsia="pl-PL"/>
        </w:rPr>
        <w:t xml:space="preserve">minus 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338,1</w:t>
      </w:r>
      <w:r w:rsidR="00C4547E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AE05E7">
        <w:rPr>
          <w:rFonts w:eastAsia="Times New Roman" w:cs="Times New Roman"/>
          <w:szCs w:val="19"/>
          <w:lang w:eastAsia="pl-PL"/>
        </w:rPr>
        <w:t>ml</w:t>
      </w:r>
      <w:r w:rsidR="00F70DA2" w:rsidRPr="00AE05E7">
        <w:rPr>
          <w:rFonts w:eastAsia="Times New Roman" w:cs="Times New Roman"/>
          <w:szCs w:val="19"/>
          <w:lang w:eastAsia="pl-PL"/>
        </w:rPr>
        <w:t>d</w:t>
      </w:r>
      <w:r w:rsidR="008720A0" w:rsidRPr="00AE05E7">
        <w:rPr>
          <w:rFonts w:eastAsia="Times New Roman" w:cs="Times New Roman"/>
          <w:szCs w:val="19"/>
          <w:lang w:eastAsia="pl-PL"/>
        </w:rPr>
        <w:t xml:space="preserve"> </w:t>
      </w:r>
      <w:r w:rsidR="00A52A97" w:rsidRPr="00AE05E7">
        <w:rPr>
          <w:rFonts w:eastAsia="Times New Roman" w:cs="Times New Roman"/>
          <w:szCs w:val="19"/>
          <w:lang w:eastAsia="pl-PL"/>
        </w:rPr>
        <w:t>PLN</w:t>
      </w:r>
      <w:r w:rsidR="008720A0" w:rsidRPr="00AE05E7">
        <w:rPr>
          <w:rFonts w:eastAsia="Times New Roman" w:cs="Times New Roman"/>
          <w:szCs w:val="19"/>
          <w:lang w:eastAsia="pl-PL"/>
        </w:rPr>
        <w:t xml:space="preserve"> (minus 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89,1</w:t>
      </w:r>
      <w:r w:rsidR="00C4547E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AE05E7">
        <w:rPr>
          <w:rFonts w:eastAsia="Times New Roman" w:cs="Times New Roman"/>
          <w:szCs w:val="19"/>
          <w:lang w:eastAsia="pl-PL"/>
        </w:rPr>
        <w:t>ml</w:t>
      </w:r>
      <w:r w:rsidR="00F70DA2" w:rsidRPr="00AE05E7">
        <w:rPr>
          <w:rFonts w:eastAsia="Times New Roman" w:cs="Times New Roman"/>
          <w:szCs w:val="19"/>
          <w:lang w:eastAsia="pl-PL"/>
        </w:rPr>
        <w:t>d</w:t>
      </w:r>
      <w:r w:rsidR="008720A0" w:rsidRPr="00AE05E7">
        <w:rPr>
          <w:rFonts w:eastAsia="Times New Roman" w:cs="Times New Roman"/>
          <w:szCs w:val="19"/>
          <w:lang w:eastAsia="pl-PL"/>
        </w:rPr>
        <w:t xml:space="preserve"> USD, minus </w:t>
      </w:r>
      <w:r w:rsidR="00C77CCB" w:rsidRPr="00AE05E7">
        <w:rPr>
          <w:rFonts w:eastAsiaTheme="minorEastAsia" w:cs="Fira Sans"/>
          <w:color w:val="000000"/>
          <w:szCs w:val="19"/>
          <w:lang w:eastAsia="pl-PL"/>
        </w:rPr>
        <w:t>79,7</w:t>
      </w:r>
      <w:r w:rsidR="00C4547E" w:rsidRPr="00AE05E7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AE05E7">
        <w:rPr>
          <w:rFonts w:eastAsia="Times New Roman" w:cs="Times New Roman"/>
          <w:szCs w:val="19"/>
          <w:lang w:eastAsia="pl-PL"/>
        </w:rPr>
        <w:t>ml</w:t>
      </w:r>
      <w:r w:rsidR="00F70DA2" w:rsidRPr="00AE05E7">
        <w:rPr>
          <w:rFonts w:eastAsia="Times New Roman" w:cs="Times New Roman"/>
          <w:szCs w:val="19"/>
          <w:lang w:eastAsia="pl-PL"/>
        </w:rPr>
        <w:t>d</w:t>
      </w:r>
      <w:r w:rsidR="008720A0" w:rsidRPr="00AE05E7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AE05E7">
        <w:rPr>
          <w:rFonts w:eastAsia="Times New Roman" w:cs="Times New Roman"/>
          <w:szCs w:val="19"/>
          <w:lang w:eastAsia="pl-PL"/>
        </w:rPr>
        <w:t>.</w:t>
      </w:r>
      <w:r w:rsidR="00166CCC" w:rsidRPr="00E0102C">
        <w:rPr>
          <w:rFonts w:eastAsia="Times New Roman" w:cs="Times New Roman"/>
          <w:szCs w:val="19"/>
          <w:lang w:eastAsia="pl-PL"/>
        </w:rPr>
        <w:t xml:space="preserve"> </w:t>
      </w:r>
    </w:p>
    <w:p w14:paraId="743D85D2" w14:textId="77777777" w:rsidR="009834DA" w:rsidRPr="00E0102C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7743B5EF" w14:textId="77777777" w:rsidR="00585385" w:rsidRPr="00E0102C" w:rsidRDefault="00C30406" w:rsidP="0018682C">
      <w:pPr>
        <w:pStyle w:val="Tytutablicy"/>
        <w:spacing w:before="120"/>
      </w:pPr>
      <w:bookmarkStart w:id="13" w:name="_Hlk95387332"/>
      <w:bookmarkEnd w:id="11"/>
      <w:bookmarkEnd w:id="12"/>
      <w:r w:rsidRPr="00E0102C">
        <w:t xml:space="preserve">Tablica 1. </w:t>
      </w:r>
      <w:bookmarkStart w:id="14" w:name="_Hlk95314539"/>
      <w:r w:rsidRPr="00E0102C">
        <w:t>Obroty towarowe ogółem i według grup krajów</w:t>
      </w:r>
      <w:bookmarkEnd w:id="14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E0102C" w14:paraId="2F4C38E8" w14:textId="77777777" w:rsidTr="00BD2BD8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BA77A59" w14:textId="77777777" w:rsidR="0043023F" w:rsidRPr="00E0102C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5" w:name="_Hlk95314603"/>
            <w:bookmarkEnd w:id="13"/>
            <w:r w:rsidRPr="00E0102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630D9128" w14:textId="0E978D09" w:rsidR="0043023F" w:rsidRPr="00E0102C" w:rsidRDefault="001B135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A72989" w:rsidRPr="00E0102C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vAlign w:val="center"/>
          </w:tcPr>
          <w:p w14:paraId="1A8689DE" w14:textId="77777777" w:rsidR="0043023F" w:rsidRPr="00E0102C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202</w:t>
            </w:r>
            <w:r w:rsidR="00E57320" w:rsidRPr="00E0102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14:paraId="3663D76D" w14:textId="77777777" w:rsidR="0043023F" w:rsidRPr="00E0102C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</w:t>
            </w:r>
            <w:r w:rsidR="00AD0EEE" w:rsidRPr="00E0102C">
              <w:rPr>
                <w:rFonts w:cs="Arial"/>
                <w:sz w:val="16"/>
                <w:szCs w:val="16"/>
              </w:rPr>
              <w:t>2</w:t>
            </w:r>
            <w:r w:rsidR="00E57320" w:rsidRPr="00E0102C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E0102C" w14:paraId="084DF6AA" w14:textId="77777777" w:rsidTr="00BD2BD8">
        <w:trPr>
          <w:trHeight w:val="578"/>
        </w:trPr>
        <w:tc>
          <w:tcPr>
            <w:tcW w:w="2552" w:type="dxa"/>
            <w:vMerge/>
          </w:tcPr>
          <w:p w14:paraId="1A2FDAA0" w14:textId="77777777" w:rsidR="001D4D4F" w:rsidRPr="00E0102C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38E2E466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7360E056" w14:textId="123EE9C0" w:rsidR="001D4D4F" w:rsidRPr="00E0102C" w:rsidRDefault="001B135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1D4D4F" w:rsidRPr="00E0102C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14:paraId="668B47CA" w14:textId="3C55B674" w:rsidR="001D4D4F" w:rsidRPr="00E0102C" w:rsidRDefault="001B135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</w:p>
        </w:tc>
      </w:tr>
      <w:tr w:rsidR="001D4D4F" w:rsidRPr="00E0102C" w14:paraId="2BF52181" w14:textId="77777777" w:rsidTr="00BD2BD8">
        <w:trPr>
          <w:trHeight w:val="261"/>
        </w:trPr>
        <w:tc>
          <w:tcPr>
            <w:tcW w:w="2552" w:type="dxa"/>
            <w:vMerge/>
          </w:tcPr>
          <w:p w14:paraId="31FC88E9" w14:textId="77777777" w:rsidR="001D4D4F" w:rsidRPr="00E0102C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D327A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3B265860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49191D7C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638D0A3E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4CED174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D461C50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05B92CB7" w14:textId="77777777" w:rsidR="001D4D4F" w:rsidRPr="00E0102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B135D" w:rsidRPr="008A6E7C" w14:paraId="70B59012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76130E1A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0FD25" w14:textId="262012D8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1290,7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5E77" w14:textId="382386D7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50D5E4" w14:textId="748665F6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304,3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A83CA" w14:textId="4040ADC1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0EAEE0" w14:textId="72F45E9C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57C70E" w14:textId="2A847593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77C2B59" w14:textId="40FCE755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1979ED8" w14:textId="568399A0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B135D" w:rsidRPr="008A6E7C" w14:paraId="2BC244BB" w14:textId="77777777" w:rsidTr="00BD2BD8">
        <w:trPr>
          <w:trHeight w:val="352"/>
        </w:trPr>
        <w:tc>
          <w:tcPr>
            <w:tcW w:w="2552" w:type="dxa"/>
            <w:vAlign w:val="center"/>
          </w:tcPr>
          <w:p w14:paraId="0064E6F2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94AD" w14:textId="56B91C5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1125,6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849F" w14:textId="4E5160A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296,5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54C8C79" w14:textId="4577747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B5C717" w14:textId="1A15E6E2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A37B9F" w14:textId="23B02CA8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6CA5A6E" w14:textId="03ABB97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BFBF55F" w14:textId="3E6E3B6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00F4F5" w14:textId="1FB0F37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87,2</w:t>
            </w:r>
          </w:p>
        </w:tc>
      </w:tr>
      <w:tr w:rsidR="001B135D" w:rsidRPr="008A6E7C" w14:paraId="6639B4BB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56D378B9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tym UE</w:t>
            </w:r>
            <w:r w:rsidRPr="00E0102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0102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334B" w14:textId="2E91F0FE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966,0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6ECE" w14:textId="696523F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254,5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156B545" w14:textId="6DCB9A0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227,7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674E924" w14:textId="7D6CD69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20D216" w14:textId="350F8AA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285ED3" w14:textId="383C3F0D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3CA8D69" w14:textId="430B6AF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C9FB6EF" w14:textId="04137D1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74,8</w:t>
            </w:r>
          </w:p>
        </w:tc>
      </w:tr>
      <w:tr w:rsidR="001B135D" w:rsidRPr="008A6E7C" w14:paraId="6FF24EB6" w14:textId="77777777" w:rsidTr="00BD2BD8">
        <w:trPr>
          <w:trHeight w:val="270"/>
        </w:trPr>
        <w:tc>
          <w:tcPr>
            <w:tcW w:w="2552" w:type="dxa"/>
            <w:vAlign w:val="center"/>
          </w:tcPr>
          <w:p w14:paraId="4ED755D4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956F" w14:textId="09E1539B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757,3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5A0FB" w14:textId="57B39C6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C5DBF55" w14:textId="5DB591A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178,5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820D46" w14:textId="4201398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4417C2" w14:textId="1C3662D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2506BCF" w14:textId="6F3834D4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44A145" w14:textId="3927C89D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EB88F8" w14:textId="546F6C3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58,7</w:t>
            </w:r>
          </w:p>
        </w:tc>
      </w:tr>
      <w:tr w:rsidR="001B135D" w:rsidRPr="008A6E7C" w14:paraId="29507087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3DC28AF0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E58A" w14:textId="670EEF1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BC7E" w14:textId="761F37DD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5CE1434" w14:textId="2258717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E9CDFB" w14:textId="2F75962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8FEDC6" w14:textId="3138523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A1ABBC" w14:textId="0508F37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4606DD" w14:textId="6B7579C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8235A3" w14:textId="27F49FD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</w:tr>
      <w:tr w:rsidR="001B135D" w:rsidRPr="008A6E7C" w14:paraId="7BE3FF26" w14:textId="77777777" w:rsidTr="00BD2BD8">
        <w:trPr>
          <w:trHeight w:val="308"/>
        </w:trPr>
        <w:tc>
          <w:tcPr>
            <w:tcW w:w="2552" w:type="dxa"/>
            <w:vAlign w:val="center"/>
          </w:tcPr>
          <w:p w14:paraId="0DF9BB5F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0102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E0102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5D433" w14:textId="13580E7B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A7434" w14:textId="3990E6F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948DA42" w14:textId="7F5FD85C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AEA2157" w14:textId="714EB5F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0E011E" w14:textId="7EC06CB3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B4D8EC6" w14:textId="090C6F1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96B2895" w14:textId="4BE84C0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F00C721" w14:textId="5E4D11A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1B135D" w:rsidRPr="008A6E7C" w14:paraId="61237E5E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74C03D8D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E0102C">
              <w:rPr>
                <w:rFonts w:cs="Arial"/>
                <w:sz w:val="16"/>
                <w:szCs w:val="16"/>
              </w:rPr>
              <w:t>(wg kraju pochodzenia)</w:t>
            </w:r>
            <w:r w:rsidRPr="00E0102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4808" w14:textId="4E6DE3B4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1312,2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60D7C" w14:textId="7624AF6D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345,6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D4018D3" w14:textId="3871D238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309,3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F053B21" w14:textId="392BC3A1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BA5116" w14:textId="213714E0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4C56247" w14:textId="04DA3091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3581ADB" w14:textId="2DADA090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60B0DF7" w14:textId="7F8C1DA3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B135D" w:rsidRPr="008A6E7C" w14:paraId="49706618" w14:textId="77777777" w:rsidTr="00BD2BD8">
        <w:trPr>
          <w:trHeight w:val="352"/>
        </w:trPr>
        <w:tc>
          <w:tcPr>
            <w:tcW w:w="2552" w:type="dxa"/>
            <w:vAlign w:val="center"/>
          </w:tcPr>
          <w:p w14:paraId="29B3BA7C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F4D2" w14:textId="58C48B72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846,9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E0AF5" w14:textId="6B79E19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223,0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473DC9" w14:textId="79E9A2E8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199,7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E1A0741" w14:textId="485D67B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7955481" w14:textId="7145C722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6D7B77F" w14:textId="0C1BBA5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A76CC9" w14:textId="3161D18B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E053935" w14:textId="60A8F668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64,5</w:t>
            </w:r>
          </w:p>
        </w:tc>
      </w:tr>
      <w:tr w:rsidR="001B135D" w:rsidRPr="008A6E7C" w14:paraId="6F245165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78097743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tym UE</w:t>
            </w:r>
            <w:r w:rsidRPr="00E0102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0102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4FA9" w14:textId="54787F6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692,4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C5DB" w14:textId="5D0EB142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182,3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BB85CFE" w14:textId="4CE62C4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D44E78" w14:textId="5B3CA748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DD33567" w14:textId="7C438BF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AB461CC" w14:textId="3B9ADD9B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5189D7D" w14:textId="588CD9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5E77BD" w14:textId="6E1CCB2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52,8</w:t>
            </w:r>
          </w:p>
        </w:tc>
      </w:tr>
      <w:tr w:rsidR="001B135D" w:rsidRPr="008A6E7C" w14:paraId="3354FDCD" w14:textId="77777777" w:rsidTr="00BD2BD8">
        <w:trPr>
          <w:trHeight w:val="352"/>
        </w:trPr>
        <w:tc>
          <w:tcPr>
            <w:tcW w:w="2552" w:type="dxa"/>
            <w:vAlign w:val="center"/>
          </w:tcPr>
          <w:p w14:paraId="5F537152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F4AB5" w14:textId="2B33A98D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551,1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1B527" w14:textId="2737C06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145,1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9F8A3B" w14:textId="62C8DDC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C86FD61" w14:textId="5DCA8494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1B36D80" w14:textId="5187AB0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B7C7356" w14:textId="199878DB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6167AF" w14:textId="70F3ADC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3D37C51" w14:textId="0B1D4098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</w:tr>
      <w:tr w:rsidR="001B135D" w:rsidRPr="008A6E7C" w14:paraId="57A32907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5E997B29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BDFE" w14:textId="0DAC29B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443,0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39AE8" w14:textId="5363F22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3DA83C1" w14:textId="13DDA65C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0FD7C46" w14:textId="508B8BBC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955854" w14:textId="0B707A5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6A729E" w14:textId="487ECA8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BC0B03" w14:textId="0FDB97E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FF566B" w14:textId="34D3857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</w:tr>
      <w:tr w:rsidR="001B135D" w:rsidRPr="008A6E7C" w14:paraId="2BF1CEE9" w14:textId="77777777" w:rsidTr="00BD2BD8">
        <w:trPr>
          <w:trHeight w:val="355"/>
        </w:trPr>
        <w:tc>
          <w:tcPr>
            <w:tcW w:w="2552" w:type="dxa"/>
            <w:vAlign w:val="center"/>
          </w:tcPr>
          <w:p w14:paraId="2969C970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0102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E0102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83A2" w14:textId="7DE8994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3D5A9" w14:textId="3ACDEA7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0289F3E" w14:textId="2387B36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71E81D" w14:textId="59D0DC2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9E26B2A" w14:textId="12E04213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E3600CC" w14:textId="5FA7854A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8C98A72" w14:textId="0316692D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D10676" w14:textId="237BEA3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</w:tr>
      <w:tr w:rsidR="001B135D" w:rsidRPr="00E0102C" w14:paraId="2776570F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769B85A7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33CAC" w14:textId="1F66D98A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-21,5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B66A1" w14:textId="6C909770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73D07A7" w14:textId="051A05F1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-5,1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5B715B" w14:textId="77777777" w:rsidR="001B135D" w:rsidRPr="008A6E7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E1861CF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6D336B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5A54F5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7A009E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1B135D" w:rsidRPr="00E0102C" w14:paraId="19C46A33" w14:textId="77777777" w:rsidTr="00BD2BD8">
        <w:trPr>
          <w:trHeight w:val="352"/>
        </w:trPr>
        <w:tc>
          <w:tcPr>
            <w:tcW w:w="2552" w:type="dxa"/>
            <w:vAlign w:val="center"/>
          </w:tcPr>
          <w:p w14:paraId="01F6B3FE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3CD12" w14:textId="2F5E9325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278,7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F156A" w14:textId="5CCBF4FB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0A5673D" w14:textId="78EB5D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65FF0" w14:textId="777777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4B2652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9F11A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A736010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393C1F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135D" w:rsidRPr="00E0102C" w14:paraId="696659D0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1F2AE073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tym UE</w:t>
            </w:r>
            <w:r w:rsidRPr="00E0102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0102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5EEA" w14:textId="1E2AB3AE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273,6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30742" w14:textId="7ED84D6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2CA370F" w14:textId="44788DF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AF0A3F" w14:textId="777777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028FDE2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FA0AFA0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7E75F4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87FC99D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135D" w:rsidRPr="00E0102C" w14:paraId="4259BBE3" w14:textId="77777777" w:rsidTr="00BD2BD8">
        <w:trPr>
          <w:trHeight w:val="352"/>
        </w:trPr>
        <w:tc>
          <w:tcPr>
            <w:tcW w:w="2552" w:type="dxa"/>
            <w:vAlign w:val="center"/>
          </w:tcPr>
          <w:p w14:paraId="16905FE0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C9A6" w14:textId="30F41BB1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206,3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6C4C4" w14:textId="18C8DCD6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547566A" w14:textId="0621873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CAF7BA" w14:textId="777777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18E5E89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DCD5794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9A5B03E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6719E8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135D" w:rsidRPr="00E0102C" w14:paraId="2653DD46" w14:textId="77777777" w:rsidTr="00BD2BD8">
        <w:trPr>
          <w:trHeight w:val="342"/>
        </w:trPr>
        <w:tc>
          <w:tcPr>
            <w:tcW w:w="2552" w:type="dxa"/>
            <w:vAlign w:val="center"/>
          </w:tcPr>
          <w:p w14:paraId="0789CECE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786C" w14:textId="56E2AD29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-338,1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B9AEE" w14:textId="663FA6E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-89,1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583722E" w14:textId="57FB7C5F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-79,7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C020C2" w14:textId="777777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B58859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E3C77F4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0D29945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A4EA670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B135D" w:rsidRPr="00E0102C" w14:paraId="5ECFAE11" w14:textId="77777777" w:rsidTr="00BD2BD8">
        <w:trPr>
          <w:trHeight w:val="258"/>
        </w:trPr>
        <w:tc>
          <w:tcPr>
            <w:tcW w:w="2552" w:type="dxa"/>
            <w:vAlign w:val="center"/>
          </w:tcPr>
          <w:p w14:paraId="7A5C8973" w14:textId="77777777" w:rsidR="001B135D" w:rsidRPr="00E0102C" w:rsidRDefault="001B135D" w:rsidP="001B13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2001E" w14:textId="3F5A8428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B6062" w14:textId="4A04F022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FCD4F24" w14:textId="6D2E0820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61F31E" w14:textId="77777777" w:rsidR="001B135D" w:rsidRPr="008A6E7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B893F9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E119BA3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8C906F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8DD275" w14:textId="77777777" w:rsidR="001B135D" w:rsidRPr="00E0102C" w:rsidRDefault="001B135D" w:rsidP="001B135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0102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5"/>
    <w:p w14:paraId="60559AAA" w14:textId="77777777" w:rsidR="00345F7C" w:rsidRPr="00E010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E0102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26531B6" wp14:editId="3F30E9E2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BDE5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2204A32E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26F4DCE7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1ACB3E72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02275B8F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3AF01CA5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2887B96A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79E0EF52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454A187F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469A95C8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3370E4BC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0D03DA4A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67DA0220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31907D23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0F1D76B1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785F2902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75B52138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40C845F9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5E313932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216C27E8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4D43A29B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36C1FE68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4B49BD6A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66F458FB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47068E58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618F94CB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5C4C0CE1" w14:textId="77777777" w:rsidR="009E71B5" w:rsidRDefault="009E71B5" w:rsidP="00345F7C">
                            <w:pPr>
                              <w:pStyle w:val="tekstzboku"/>
                            </w:pPr>
                          </w:p>
                          <w:p w14:paraId="6C970B79" w14:textId="77777777" w:rsidR="009E71B5" w:rsidRPr="00074DD8" w:rsidRDefault="009E71B5" w:rsidP="00345F7C">
                            <w:pPr>
                              <w:pStyle w:val="tekstzboku"/>
                            </w:pPr>
                          </w:p>
                          <w:p w14:paraId="79A004D5" w14:textId="77777777" w:rsidR="009E71B5" w:rsidRPr="00D616D2" w:rsidRDefault="009E71B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31B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065FBDE5" w14:textId="77777777" w:rsidR="009E71B5" w:rsidRDefault="009E71B5" w:rsidP="00345F7C">
                      <w:pPr>
                        <w:pStyle w:val="tekstzboku"/>
                      </w:pPr>
                    </w:p>
                    <w:p w14:paraId="2204A32E" w14:textId="77777777" w:rsidR="009E71B5" w:rsidRDefault="009E71B5" w:rsidP="00345F7C">
                      <w:pPr>
                        <w:pStyle w:val="tekstzboku"/>
                      </w:pPr>
                    </w:p>
                    <w:p w14:paraId="26F4DCE7" w14:textId="77777777" w:rsidR="009E71B5" w:rsidRDefault="009E71B5" w:rsidP="00345F7C">
                      <w:pPr>
                        <w:pStyle w:val="tekstzboku"/>
                      </w:pPr>
                    </w:p>
                    <w:p w14:paraId="1ACB3E72" w14:textId="77777777" w:rsidR="009E71B5" w:rsidRDefault="009E71B5" w:rsidP="00345F7C">
                      <w:pPr>
                        <w:pStyle w:val="tekstzboku"/>
                      </w:pPr>
                    </w:p>
                    <w:p w14:paraId="02275B8F" w14:textId="77777777" w:rsidR="009E71B5" w:rsidRDefault="009E71B5" w:rsidP="00345F7C">
                      <w:pPr>
                        <w:pStyle w:val="tekstzboku"/>
                      </w:pPr>
                    </w:p>
                    <w:p w14:paraId="3AF01CA5" w14:textId="77777777" w:rsidR="009E71B5" w:rsidRDefault="009E71B5" w:rsidP="00345F7C">
                      <w:pPr>
                        <w:pStyle w:val="tekstzboku"/>
                      </w:pPr>
                    </w:p>
                    <w:p w14:paraId="2887B96A" w14:textId="77777777" w:rsidR="009E71B5" w:rsidRDefault="009E71B5" w:rsidP="00345F7C">
                      <w:pPr>
                        <w:pStyle w:val="tekstzboku"/>
                      </w:pPr>
                    </w:p>
                    <w:p w14:paraId="79E0EF52" w14:textId="77777777" w:rsidR="009E71B5" w:rsidRDefault="009E71B5" w:rsidP="00345F7C">
                      <w:pPr>
                        <w:pStyle w:val="tekstzboku"/>
                      </w:pPr>
                    </w:p>
                    <w:p w14:paraId="454A187F" w14:textId="77777777" w:rsidR="009E71B5" w:rsidRDefault="009E71B5" w:rsidP="00345F7C">
                      <w:pPr>
                        <w:pStyle w:val="tekstzboku"/>
                      </w:pPr>
                    </w:p>
                    <w:p w14:paraId="469A95C8" w14:textId="77777777" w:rsidR="009E71B5" w:rsidRDefault="009E71B5" w:rsidP="00345F7C">
                      <w:pPr>
                        <w:pStyle w:val="tekstzboku"/>
                      </w:pPr>
                    </w:p>
                    <w:p w14:paraId="3370E4BC" w14:textId="77777777" w:rsidR="009E71B5" w:rsidRDefault="009E71B5" w:rsidP="00345F7C">
                      <w:pPr>
                        <w:pStyle w:val="tekstzboku"/>
                      </w:pPr>
                    </w:p>
                    <w:p w14:paraId="0D03DA4A" w14:textId="77777777" w:rsidR="009E71B5" w:rsidRDefault="009E71B5" w:rsidP="00345F7C">
                      <w:pPr>
                        <w:pStyle w:val="tekstzboku"/>
                      </w:pPr>
                    </w:p>
                    <w:p w14:paraId="67DA0220" w14:textId="77777777" w:rsidR="009E71B5" w:rsidRDefault="009E71B5" w:rsidP="00345F7C">
                      <w:pPr>
                        <w:pStyle w:val="tekstzboku"/>
                      </w:pPr>
                    </w:p>
                    <w:p w14:paraId="31907D23" w14:textId="77777777" w:rsidR="009E71B5" w:rsidRDefault="009E71B5" w:rsidP="00345F7C">
                      <w:pPr>
                        <w:pStyle w:val="tekstzboku"/>
                      </w:pPr>
                    </w:p>
                    <w:p w14:paraId="0F1D76B1" w14:textId="77777777" w:rsidR="009E71B5" w:rsidRDefault="009E71B5" w:rsidP="00345F7C">
                      <w:pPr>
                        <w:pStyle w:val="tekstzboku"/>
                      </w:pPr>
                    </w:p>
                    <w:p w14:paraId="785F2902" w14:textId="77777777" w:rsidR="009E71B5" w:rsidRDefault="009E71B5" w:rsidP="00345F7C">
                      <w:pPr>
                        <w:pStyle w:val="tekstzboku"/>
                      </w:pPr>
                    </w:p>
                    <w:p w14:paraId="75B52138" w14:textId="77777777" w:rsidR="009E71B5" w:rsidRDefault="009E71B5" w:rsidP="00345F7C">
                      <w:pPr>
                        <w:pStyle w:val="tekstzboku"/>
                      </w:pPr>
                    </w:p>
                    <w:p w14:paraId="40C845F9" w14:textId="77777777" w:rsidR="009E71B5" w:rsidRDefault="009E71B5" w:rsidP="00345F7C">
                      <w:pPr>
                        <w:pStyle w:val="tekstzboku"/>
                      </w:pPr>
                    </w:p>
                    <w:p w14:paraId="5E313932" w14:textId="77777777" w:rsidR="009E71B5" w:rsidRDefault="009E71B5" w:rsidP="00345F7C">
                      <w:pPr>
                        <w:pStyle w:val="tekstzboku"/>
                      </w:pPr>
                    </w:p>
                    <w:p w14:paraId="216C27E8" w14:textId="77777777" w:rsidR="009E71B5" w:rsidRDefault="009E71B5" w:rsidP="00345F7C">
                      <w:pPr>
                        <w:pStyle w:val="tekstzboku"/>
                      </w:pPr>
                    </w:p>
                    <w:p w14:paraId="4D43A29B" w14:textId="77777777" w:rsidR="009E71B5" w:rsidRDefault="009E71B5" w:rsidP="00345F7C">
                      <w:pPr>
                        <w:pStyle w:val="tekstzboku"/>
                      </w:pPr>
                    </w:p>
                    <w:p w14:paraId="36C1FE68" w14:textId="77777777" w:rsidR="009E71B5" w:rsidRDefault="009E71B5" w:rsidP="00345F7C">
                      <w:pPr>
                        <w:pStyle w:val="tekstzboku"/>
                      </w:pPr>
                    </w:p>
                    <w:p w14:paraId="4B49BD6A" w14:textId="77777777" w:rsidR="009E71B5" w:rsidRDefault="009E71B5" w:rsidP="00345F7C">
                      <w:pPr>
                        <w:pStyle w:val="tekstzboku"/>
                      </w:pPr>
                    </w:p>
                    <w:p w14:paraId="66F458FB" w14:textId="77777777" w:rsidR="009E71B5" w:rsidRDefault="009E71B5" w:rsidP="00345F7C">
                      <w:pPr>
                        <w:pStyle w:val="tekstzboku"/>
                      </w:pPr>
                    </w:p>
                    <w:p w14:paraId="47068E58" w14:textId="77777777" w:rsidR="009E71B5" w:rsidRDefault="009E71B5" w:rsidP="00345F7C">
                      <w:pPr>
                        <w:pStyle w:val="tekstzboku"/>
                      </w:pPr>
                    </w:p>
                    <w:p w14:paraId="618F94CB" w14:textId="77777777" w:rsidR="009E71B5" w:rsidRDefault="009E71B5" w:rsidP="00345F7C">
                      <w:pPr>
                        <w:pStyle w:val="tekstzboku"/>
                      </w:pPr>
                    </w:p>
                    <w:p w14:paraId="5C4C0CE1" w14:textId="77777777" w:rsidR="009E71B5" w:rsidRDefault="009E71B5" w:rsidP="00345F7C">
                      <w:pPr>
                        <w:pStyle w:val="tekstzboku"/>
                      </w:pPr>
                    </w:p>
                    <w:p w14:paraId="6C970B79" w14:textId="77777777" w:rsidR="009E71B5" w:rsidRPr="00074DD8" w:rsidRDefault="009E71B5" w:rsidP="00345F7C">
                      <w:pPr>
                        <w:pStyle w:val="tekstzboku"/>
                      </w:pPr>
                    </w:p>
                    <w:p w14:paraId="79A004D5" w14:textId="77777777" w:rsidR="009E71B5" w:rsidRPr="00D616D2" w:rsidRDefault="009E71B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E0102C">
        <w:rPr>
          <w:rFonts w:ascii="Fira Sans" w:hAnsi="Fira Sans"/>
          <w:b/>
          <w:szCs w:val="19"/>
        </w:rPr>
        <w:t>Obroty towarowe według ważniejszych krajów</w:t>
      </w:r>
    </w:p>
    <w:p w14:paraId="4F1B5974" w14:textId="1E4CAF67" w:rsidR="00D4076A" w:rsidRPr="00E0102C" w:rsidRDefault="00F102BB" w:rsidP="00D4076A">
      <w:r w:rsidRPr="00E0102C">
        <w:t xml:space="preserve">W </w:t>
      </w:r>
      <w:r w:rsidR="006D23D1" w:rsidRPr="00E0102C">
        <w:t>styczniu – październiku</w:t>
      </w:r>
      <w:r w:rsidRPr="00E0102C">
        <w:t xml:space="preserve"> br. w porównaniu z analogicznym okresem roku ubiegłego, wśród głównych partnerów handlowych Polski odnotowano w większości przypadków wzrosty eksportu, za wyjątkiem spadku eksportu do </w:t>
      </w:r>
      <w:r w:rsidR="00D0197F" w:rsidRPr="00E0102C">
        <w:t xml:space="preserve">Stanów Zjednoczonych (o 1,3%), </w:t>
      </w:r>
      <w:r w:rsidRPr="00E0102C">
        <w:t xml:space="preserve">Włoch (o </w:t>
      </w:r>
      <w:r w:rsidR="00D0197F" w:rsidRPr="00E0102C">
        <w:t>0</w:t>
      </w:r>
      <w:r w:rsidRPr="00E0102C">
        <w:t>,</w:t>
      </w:r>
      <w:r w:rsidR="00D0197F" w:rsidRPr="00E0102C">
        <w:t>9</w:t>
      </w:r>
      <w:r w:rsidRPr="00E0102C">
        <w:t xml:space="preserve">%) oraz </w:t>
      </w:r>
      <w:r w:rsidR="00D0197F" w:rsidRPr="00E0102C">
        <w:t>Wielką Brytanią</w:t>
      </w:r>
      <w:r w:rsidRPr="00E0102C">
        <w:t xml:space="preserve"> (o 0,</w:t>
      </w:r>
      <w:r w:rsidR="00D0197F" w:rsidRPr="00E0102C">
        <w:t>1</w:t>
      </w:r>
      <w:r w:rsidRPr="00E0102C">
        <w:t xml:space="preserve">%). W imporcie również dominowały wzrosty, a spadki odnotowano jedynie w obrotach z Francją (o </w:t>
      </w:r>
      <w:r w:rsidR="00D0197F" w:rsidRPr="00E0102C">
        <w:t>0</w:t>
      </w:r>
      <w:r w:rsidRPr="00E0102C">
        <w:t>,</w:t>
      </w:r>
      <w:r w:rsidR="00D0197F" w:rsidRPr="00E0102C">
        <w:t>6</w:t>
      </w:r>
      <w:r w:rsidRPr="00E0102C">
        <w:t>%) oraz Belgią (o 0,</w:t>
      </w:r>
      <w:r w:rsidR="00D0197F" w:rsidRPr="00E0102C">
        <w:t>1</w:t>
      </w:r>
      <w:r w:rsidRPr="00E0102C">
        <w:t>%).</w:t>
      </w:r>
      <w:r w:rsidR="00233621" w:rsidRPr="00E0102C">
        <w:t xml:space="preserve"> </w:t>
      </w:r>
      <w:r w:rsidR="00D4076A" w:rsidRPr="00E0102C">
        <w:t xml:space="preserve"> </w:t>
      </w:r>
    </w:p>
    <w:p w14:paraId="67438DFB" w14:textId="1274A093" w:rsidR="00345F7C" w:rsidRPr="00E0102C" w:rsidRDefault="00E64E91" w:rsidP="00D4076A">
      <w:pPr>
        <w:rPr>
          <w:shd w:val="clear" w:color="auto" w:fill="FFFFFF"/>
        </w:rPr>
      </w:pPr>
      <w:r w:rsidRPr="00E0102C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312B07" w:rsidRPr="00E0102C">
        <w:rPr>
          <w:rFonts w:eastAsiaTheme="minorEastAsia" w:cs="Fira Sans"/>
          <w:szCs w:val="19"/>
          <w:lang w:eastAsia="pl-PL"/>
        </w:rPr>
        <w:t>65,9</w:t>
      </w:r>
      <w:r w:rsidR="006C529C" w:rsidRPr="00E0102C">
        <w:rPr>
          <w:shd w:val="clear" w:color="auto" w:fill="FFFFFF"/>
        </w:rPr>
        <w:t xml:space="preserve">% eksportu </w:t>
      </w:r>
      <w:r w:rsidR="006C529C" w:rsidRPr="004F5CBC">
        <w:rPr>
          <w:shd w:val="clear" w:color="auto" w:fill="FFFFFF"/>
        </w:rPr>
        <w:t>ogółem (</w:t>
      </w:r>
      <w:r w:rsidR="007E79A2" w:rsidRPr="004F5CBC">
        <w:rPr>
          <w:shd w:val="clear" w:color="auto" w:fill="FFFFFF"/>
        </w:rPr>
        <w:t>w</w:t>
      </w:r>
      <w:r w:rsidR="00C86014" w:rsidRPr="004F5CBC">
        <w:rPr>
          <w:shd w:val="clear" w:color="auto" w:fill="FFFFFF"/>
        </w:rPr>
        <w:t xml:space="preserve">obec </w:t>
      </w:r>
      <w:r w:rsidR="007B1B62" w:rsidRPr="004F5CBC">
        <w:rPr>
          <w:shd w:val="clear" w:color="auto" w:fill="FFFFFF"/>
        </w:rPr>
        <w:t>66,4</w:t>
      </w:r>
      <w:r w:rsidR="00C86014" w:rsidRPr="004F5CBC">
        <w:rPr>
          <w:shd w:val="clear" w:color="auto" w:fill="FFFFFF"/>
        </w:rPr>
        <w:t>% w</w:t>
      </w:r>
      <w:r w:rsidR="007E79A2" w:rsidRPr="004F5CBC">
        <w:rPr>
          <w:shd w:val="clear" w:color="auto" w:fill="FFFFFF"/>
        </w:rPr>
        <w:t xml:space="preserve"> analogicznym</w:t>
      </w:r>
      <w:r w:rsidR="007E79A2" w:rsidRPr="00E0102C">
        <w:rPr>
          <w:shd w:val="clear" w:color="auto" w:fill="FFFFFF"/>
        </w:rPr>
        <w:t xml:space="preserve"> okresie roku poprzedniego</w:t>
      </w:r>
      <w:r w:rsidR="006C529C" w:rsidRPr="00E0102C">
        <w:rPr>
          <w:shd w:val="clear" w:color="auto" w:fill="FFFFFF"/>
        </w:rPr>
        <w:t>)</w:t>
      </w:r>
      <w:r w:rsidRPr="00E0102C">
        <w:rPr>
          <w:shd w:val="clear" w:color="auto" w:fill="FFFFFF"/>
        </w:rPr>
        <w:t xml:space="preserve">, a importu ogółem – </w:t>
      </w:r>
      <w:r w:rsidR="00233621" w:rsidRPr="00E0102C">
        <w:rPr>
          <w:rFonts w:eastAsiaTheme="minorEastAsia" w:cs="Fira Sans"/>
          <w:szCs w:val="19"/>
          <w:lang w:eastAsia="pl-PL"/>
        </w:rPr>
        <w:t>61,</w:t>
      </w:r>
      <w:r w:rsidR="00312B07" w:rsidRPr="00E0102C">
        <w:rPr>
          <w:rFonts w:eastAsiaTheme="minorEastAsia" w:cs="Fira Sans"/>
          <w:szCs w:val="19"/>
          <w:lang w:eastAsia="pl-PL"/>
        </w:rPr>
        <w:t>5</w:t>
      </w:r>
      <w:r w:rsidRPr="00E0102C">
        <w:rPr>
          <w:shd w:val="clear" w:color="auto" w:fill="FFFFFF"/>
        </w:rPr>
        <w:t xml:space="preserve">% </w:t>
      </w:r>
      <w:r w:rsidRPr="00800686">
        <w:rPr>
          <w:shd w:val="clear" w:color="auto" w:fill="FFFFFF"/>
        </w:rPr>
        <w:t xml:space="preserve">(wobec </w:t>
      </w:r>
      <w:r w:rsidR="007B1B62" w:rsidRPr="00800686">
        <w:rPr>
          <w:shd w:val="clear" w:color="auto" w:fill="FFFFFF"/>
        </w:rPr>
        <w:t>61,3</w:t>
      </w:r>
      <w:r w:rsidR="00390BBF" w:rsidRPr="00800686">
        <w:rPr>
          <w:shd w:val="clear" w:color="auto" w:fill="FFFFFF"/>
        </w:rPr>
        <w:t>%</w:t>
      </w:r>
      <w:r w:rsidRPr="00800686">
        <w:rPr>
          <w:shd w:val="clear" w:color="auto" w:fill="FFFFFF"/>
        </w:rPr>
        <w:t>).</w:t>
      </w:r>
    </w:p>
    <w:p w14:paraId="25AAC408" w14:textId="7CF27475" w:rsidR="00ED3B34" w:rsidRPr="00E0102C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E0102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28969FA" wp14:editId="0BDED986">
                <wp:simplePos x="0" y="0"/>
                <wp:positionH relativeFrom="column">
                  <wp:posOffset>5334000</wp:posOffset>
                </wp:positionH>
                <wp:positionV relativeFrom="paragraph">
                  <wp:posOffset>631190</wp:posOffset>
                </wp:positionV>
                <wp:extent cx="1485900" cy="1316990"/>
                <wp:effectExtent l="0" t="0" r="0" b="0"/>
                <wp:wrapTight wrapText="bothSides">
                  <wp:wrapPolygon edited="0">
                    <wp:start x="831" y="0"/>
                    <wp:lineTo x="831" y="21246"/>
                    <wp:lineTo x="20492" y="21246"/>
                    <wp:lineTo x="20492" y="0"/>
                    <wp:lineTo x="831" y="0"/>
                  </wp:wrapPolygon>
                </wp:wrapTight>
                <wp:docPr id="13" name="Pole tekstowe 13" descr="Udział Francji w eksporcie towarów wyniósł 6,1%, tj. tyle samo co w analogicznym okresie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6057" w14:textId="472831F9" w:rsidR="009E71B5" w:rsidRDefault="009E71B5" w:rsidP="00570A00">
                            <w:pPr>
                              <w:pStyle w:val="tekstzboku"/>
                              <w:spacing w:before="0"/>
                            </w:pPr>
                            <w:r>
                              <w:t>Udział Francji w eksporcie towarów wyniósł 6,1%, tj. tyle samo co w analogicznym okresie 2024 r.</w:t>
                            </w:r>
                          </w:p>
                          <w:p w14:paraId="209BC685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131B98C9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24C120E7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2017F524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52243AE5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52F454B5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026284B7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188A159B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046BACD6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31D249D6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6B676424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7879AB44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6EAC4902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6279D4ED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76EA6408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190C823E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0FED3767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1A732AB6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4F3A35BF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072CD1FB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5D804BBF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1DE6B5C1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36D77F03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04305E06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4E93CE0B" w14:textId="77777777" w:rsidR="009E71B5" w:rsidRDefault="009E71B5" w:rsidP="00C41AFC">
                            <w:pPr>
                              <w:pStyle w:val="tekstzboku"/>
                            </w:pPr>
                          </w:p>
                          <w:p w14:paraId="175448E0" w14:textId="77777777" w:rsidR="009E71B5" w:rsidRPr="00074DD8" w:rsidRDefault="009E71B5" w:rsidP="00C41AFC">
                            <w:pPr>
                              <w:pStyle w:val="tekstzboku"/>
                            </w:pPr>
                          </w:p>
                          <w:p w14:paraId="177C7ACA" w14:textId="77777777" w:rsidR="009E71B5" w:rsidRPr="00D616D2" w:rsidRDefault="009E71B5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69FA" id="Pole tekstowe 13" o:spid="_x0000_s1031" type="#_x0000_t202" alt="Udział Francji w eksporcie towarów wyniósł 6,1%, tj. tyle samo co w analogicznym okresie 2024 r.&#10;" style="position:absolute;margin-left:420pt;margin-top:49.7pt;width:117pt;height:103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" filled="f" stroked="f">
                <v:textbox>
                  <w:txbxContent>
                    <w:p w14:paraId="43AB6057" w14:textId="472831F9" w:rsidR="009E71B5" w:rsidRDefault="009E71B5" w:rsidP="00570A00">
                      <w:pPr>
                        <w:pStyle w:val="tekstzboku"/>
                        <w:spacing w:before="0"/>
                      </w:pPr>
                      <w:r>
                        <w:t>Udział Francji w eksporcie towarów wyniósł 6,1%, tj. tyle samo co w analogicznym okresie 2024 r.</w:t>
                      </w:r>
                    </w:p>
                    <w:p w14:paraId="209BC685" w14:textId="77777777" w:rsidR="009E71B5" w:rsidRDefault="009E71B5" w:rsidP="00C41AFC">
                      <w:pPr>
                        <w:pStyle w:val="tekstzboku"/>
                      </w:pPr>
                    </w:p>
                    <w:p w14:paraId="131B98C9" w14:textId="77777777" w:rsidR="009E71B5" w:rsidRDefault="009E71B5" w:rsidP="00C41AFC">
                      <w:pPr>
                        <w:pStyle w:val="tekstzboku"/>
                      </w:pPr>
                    </w:p>
                    <w:p w14:paraId="24C120E7" w14:textId="77777777" w:rsidR="009E71B5" w:rsidRDefault="009E71B5" w:rsidP="00C41AFC">
                      <w:pPr>
                        <w:pStyle w:val="tekstzboku"/>
                      </w:pPr>
                    </w:p>
                    <w:p w14:paraId="2017F524" w14:textId="77777777" w:rsidR="009E71B5" w:rsidRDefault="009E71B5" w:rsidP="00C41AFC">
                      <w:pPr>
                        <w:pStyle w:val="tekstzboku"/>
                      </w:pPr>
                    </w:p>
                    <w:p w14:paraId="52243AE5" w14:textId="77777777" w:rsidR="009E71B5" w:rsidRDefault="009E71B5" w:rsidP="00C41AFC">
                      <w:pPr>
                        <w:pStyle w:val="tekstzboku"/>
                      </w:pPr>
                    </w:p>
                    <w:p w14:paraId="52F454B5" w14:textId="77777777" w:rsidR="009E71B5" w:rsidRDefault="009E71B5" w:rsidP="00C41AFC">
                      <w:pPr>
                        <w:pStyle w:val="tekstzboku"/>
                      </w:pPr>
                    </w:p>
                    <w:p w14:paraId="026284B7" w14:textId="77777777" w:rsidR="009E71B5" w:rsidRDefault="009E71B5" w:rsidP="00C41AFC">
                      <w:pPr>
                        <w:pStyle w:val="tekstzboku"/>
                      </w:pPr>
                    </w:p>
                    <w:p w14:paraId="188A159B" w14:textId="77777777" w:rsidR="009E71B5" w:rsidRDefault="009E71B5" w:rsidP="00C41AFC">
                      <w:pPr>
                        <w:pStyle w:val="tekstzboku"/>
                      </w:pPr>
                    </w:p>
                    <w:p w14:paraId="046BACD6" w14:textId="77777777" w:rsidR="009E71B5" w:rsidRDefault="009E71B5" w:rsidP="00C41AFC">
                      <w:pPr>
                        <w:pStyle w:val="tekstzboku"/>
                      </w:pPr>
                    </w:p>
                    <w:p w14:paraId="31D249D6" w14:textId="77777777" w:rsidR="009E71B5" w:rsidRDefault="009E71B5" w:rsidP="00C41AFC">
                      <w:pPr>
                        <w:pStyle w:val="tekstzboku"/>
                      </w:pPr>
                    </w:p>
                    <w:p w14:paraId="6B676424" w14:textId="77777777" w:rsidR="009E71B5" w:rsidRDefault="009E71B5" w:rsidP="00C41AFC">
                      <w:pPr>
                        <w:pStyle w:val="tekstzboku"/>
                      </w:pPr>
                    </w:p>
                    <w:p w14:paraId="7879AB44" w14:textId="77777777" w:rsidR="009E71B5" w:rsidRDefault="009E71B5" w:rsidP="00C41AFC">
                      <w:pPr>
                        <w:pStyle w:val="tekstzboku"/>
                      </w:pPr>
                    </w:p>
                    <w:p w14:paraId="6EAC4902" w14:textId="77777777" w:rsidR="009E71B5" w:rsidRDefault="009E71B5" w:rsidP="00C41AFC">
                      <w:pPr>
                        <w:pStyle w:val="tekstzboku"/>
                      </w:pPr>
                    </w:p>
                    <w:p w14:paraId="6279D4ED" w14:textId="77777777" w:rsidR="009E71B5" w:rsidRDefault="009E71B5" w:rsidP="00C41AFC">
                      <w:pPr>
                        <w:pStyle w:val="tekstzboku"/>
                      </w:pPr>
                    </w:p>
                    <w:p w14:paraId="76EA6408" w14:textId="77777777" w:rsidR="009E71B5" w:rsidRDefault="009E71B5" w:rsidP="00C41AFC">
                      <w:pPr>
                        <w:pStyle w:val="tekstzboku"/>
                      </w:pPr>
                    </w:p>
                    <w:p w14:paraId="190C823E" w14:textId="77777777" w:rsidR="009E71B5" w:rsidRDefault="009E71B5" w:rsidP="00C41AFC">
                      <w:pPr>
                        <w:pStyle w:val="tekstzboku"/>
                      </w:pPr>
                    </w:p>
                    <w:p w14:paraId="0FED3767" w14:textId="77777777" w:rsidR="009E71B5" w:rsidRDefault="009E71B5" w:rsidP="00C41AFC">
                      <w:pPr>
                        <w:pStyle w:val="tekstzboku"/>
                      </w:pPr>
                    </w:p>
                    <w:p w14:paraId="1A732AB6" w14:textId="77777777" w:rsidR="009E71B5" w:rsidRDefault="009E71B5" w:rsidP="00C41AFC">
                      <w:pPr>
                        <w:pStyle w:val="tekstzboku"/>
                      </w:pPr>
                    </w:p>
                    <w:p w14:paraId="4F3A35BF" w14:textId="77777777" w:rsidR="009E71B5" w:rsidRDefault="009E71B5" w:rsidP="00C41AFC">
                      <w:pPr>
                        <w:pStyle w:val="tekstzboku"/>
                      </w:pPr>
                    </w:p>
                    <w:p w14:paraId="072CD1FB" w14:textId="77777777" w:rsidR="009E71B5" w:rsidRDefault="009E71B5" w:rsidP="00C41AFC">
                      <w:pPr>
                        <w:pStyle w:val="tekstzboku"/>
                      </w:pPr>
                    </w:p>
                    <w:p w14:paraId="5D804BBF" w14:textId="77777777" w:rsidR="009E71B5" w:rsidRDefault="009E71B5" w:rsidP="00C41AFC">
                      <w:pPr>
                        <w:pStyle w:val="tekstzboku"/>
                      </w:pPr>
                    </w:p>
                    <w:p w14:paraId="1DE6B5C1" w14:textId="77777777" w:rsidR="009E71B5" w:rsidRDefault="009E71B5" w:rsidP="00C41AFC">
                      <w:pPr>
                        <w:pStyle w:val="tekstzboku"/>
                      </w:pPr>
                    </w:p>
                    <w:p w14:paraId="36D77F03" w14:textId="77777777" w:rsidR="009E71B5" w:rsidRDefault="009E71B5" w:rsidP="00C41AFC">
                      <w:pPr>
                        <w:pStyle w:val="tekstzboku"/>
                      </w:pPr>
                    </w:p>
                    <w:p w14:paraId="04305E06" w14:textId="77777777" w:rsidR="009E71B5" w:rsidRDefault="009E71B5" w:rsidP="00C41AFC">
                      <w:pPr>
                        <w:pStyle w:val="tekstzboku"/>
                      </w:pPr>
                    </w:p>
                    <w:p w14:paraId="4E93CE0B" w14:textId="77777777" w:rsidR="009E71B5" w:rsidRDefault="009E71B5" w:rsidP="00C41AFC">
                      <w:pPr>
                        <w:pStyle w:val="tekstzboku"/>
                      </w:pPr>
                    </w:p>
                    <w:p w14:paraId="175448E0" w14:textId="77777777" w:rsidR="009E71B5" w:rsidRPr="00074DD8" w:rsidRDefault="009E71B5" w:rsidP="00C41AFC">
                      <w:pPr>
                        <w:pStyle w:val="tekstzboku"/>
                      </w:pPr>
                    </w:p>
                    <w:p w14:paraId="177C7ACA" w14:textId="77777777" w:rsidR="009E71B5" w:rsidRPr="00D616D2" w:rsidRDefault="009E71B5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E0102C">
        <w:rPr>
          <w:shd w:val="clear" w:color="auto" w:fill="FFFFFF"/>
        </w:rPr>
        <w:t xml:space="preserve">Udział Niemiec </w:t>
      </w:r>
      <w:r w:rsidR="000F2529" w:rsidRPr="00E0102C">
        <w:rPr>
          <w:shd w:val="clear" w:color="auto" w:fill="FFFFFF"/>
        </w:rPr>
        <w:t>w eksporcie zmniejszył się w porównaniu z</w:t>
      </w:r>
      <w:r w:rsidR="003962EE" w:rsidRPr="00E0102C">
        <w:rPr>
          <w:shd w:val="clear" w:color="auto" w:fill="FFFFFF"/>
        </w:rPr>
        <w:t>e</w:t>
      </w:r>
      <w:r w:rsidR="000F2529" w:rsidRPr="00E0102C">
        <w:rPr>
          <w:shd w:val="clear" w:color="auto" w:fill="FFFFFF"/>
        </w:rPr>
        <w:t xml:space="preserve"> </w:t>
      </w:r>
      <w:r w:rsidR="003962EE" w:rsidRPr="00E0102C">
        <w:rPr>
          <w:shd w:val="clear" w:color="auto" w:fill="FFFFFF"/>
        </w:rPr>
        <w:t>styczniem</w:t>
      </w:r>
      <w:r w:rsidR="00AA57F5" w:rsidRPr="00E0102C">
        <w:rPr>
          <w:shd w:val="clear" w:color="auto" w:fill="FFFFFF"/>
        </w:rPr>
        <w:t xml:space="preserve"> – </w:t>
      </w:r>
      <w:r w:rsidR="00D90172" w:rsidRPr="00E0102C">
        <w:rPr>
          <w:shd w:val="clear" w:color="auto" w:fill="FFFFFF"/>
        </w:rPr>
        <w:t>październiki</w:t>
      </w:r>
      <w:r w:rsidR="001F0262" w:rsidRPr="00E0102C">
        <w:rPr>
          <w:spacing w:val="-4"/>
        </w:rPr>
        <w:t>em</w:t>
      </w:r>
      <w:r w:rsidR="00AA57F5" w:rsidRPr="00E0102C">
        <w:rPr>
          <w:shd w:val="clear" w:color="auto" w:fill="FFFFFF"/>
        </w:rPr>
        <w:t xml:space="preserve"> </w:t>
      </w:r>
      <w:r w:rsidR="003962EE" w:rsidRPr="00E0102C">
        <w:rPr>
          <w:shd w:val="clear" w:color="auto" w:fill="FFFFFF"/>
        </w:rPr>
        <w:t xml:space="preserve">2024 </w:t>
      </w:r>
      <w:r w:rsidR="003962EE" w:rsidRPr="004F5CBC">
        <w:rPr>
          <w:shd w:val="clear" w:color="auto" w:fill="FFFFFF"/>
        </w:rPr>
        <w:t xml:space="preserve">r. </w:t>
      </w:r>
      <w:r w:rsidR="00C248CB" w:rsidRPr="004F5CBC">
        <w:rPr>
          <w:shd w:val="clear" w:color="auto" w:fill="FFFFFF"/>
        </w:rPr>
        <w:t xml:space="preserve">o </w:t>
      </w:r>
      <w:r w:rsidR="00643915" w:rsidRPr="004F5CBC">
        <w:rPr>
          <w:shd w:val="clear" w:color="auto" w:fill="FFFFFF"/>
        </w:rPr>
        <w:t>0,</w:t>
      </w:r>
      <w:r w:rsidR="009F79CB" w:rsidRPr="004F5CBC">
        <w:rPr>
          <w:shd w:val="clear" w:color="auto" w:fill="FFFFFF"/>
        </w:rPr>
        <w:t>2</w:t>
      </w:r>
      <w:r w:rsidR="00643915" w:rsidRPr="004F5CBC">
        <w:rPr>
          <w:shd w:val="clear" w:color="auto" w:fill="FFFFFF"/>
        </w:rPr>
        <w:t xml:space="preserve"> </w:t>
      </w:r>
      <w:r w:rsidR="007F2A42" w:rsidRPr="004F5CBC">
        <w:rPr>
          <w:shd w:val="clear" w:color="auto" w:fill="FFFFFF"/>
        </w:rPr>
        <w:t>p. proc. i</w:t>
      </w:r>
      <w:r w:rsidR="00637342" w:rsidRPr="00E0102C">
        <w:rPr>
          <w:shd w:val="clear" w:color="auto" w:fill="FFFFFF"/>
        </w:rPr>
        <w:t> </w:t>
      </w:r>
      <w:r w:rsidR="007F2A42" w:rsidRPr="00E0102C">
        <w:rPr>
          <w:shd w:val="clear" w:color="auto" w:fill="FFFFFF"/>
        </w:rPr>
        <w:t xml:space="preserve">wyniósł </w:t>
      </w:r>
      <w:r w:rsidR="009F79CB" w:rsidRPr="00E0102C">
        <w:rPr>
          <w:shd w:val="clear" w:color="auto" w:fill="FFFFFF"/>
        </w:rPr>
        <w:t>26,9</w:t>
      </w:r>
      <w:r w:rsidR="000F2529" w:rsidRPr="00E0102C">
        <w:rPr>
          <w:shd w:val="clear" w:color="auto" w:fill="FFFFFF"/>
        </w:rPr>
        <w:t>%</w:t>
      </w:r>
      <w:r w:rsidR="00C77C4A" w:rsidRPr="00E0102C">
        <w:rPr>
          <w:shd w:val="clear" w:color="auto" w:fill="FFFFFF"/>
        </w:rPr>
        <w:t xml:space="preserve">, a w </w:t>
      </w:r>
      <w:r w:rsidR="00C77C4A" w:rsidRPr="00800686">
        <w:rPr>
          <w:shd w:val="clear" w:color="auto" w:fill="FFFFFF"/>
        </w:rPr>
        <w:t>imporcie</w:t>
      </w:r>
      <w:r w:rsidR="00ED7CBA" w:rsidRPr="00800686">
        <w:rPr>
          <w:shd w:val="clear" w:color="auto" w:fill="FFFFFF"/>
        </w:rPr>
        <w:t xml:space="preserve"> </w:t>
      </w:r>
      <w:r w:rsidR="0086302D" w:rsidRPr="00800686">
        <w:rPr>
          <w:shd w:val="clear" w:color="auto" w:fill="FFFFFF"/>
        </w:rPr>
        <w:t>spadł</w:t>
      </w:r>
      <w:r w:rsidR="00C77C4A" w:rsidRPr="00800686">
        <w:rPr>
          <w:shd w:val="clear" w:color="auto" w:fill="FFFFFF"/>
        </w:rPr>
        <w:t xml:space="preserve"> o </w:t>
      </w:r>
      <w:bookmarkStart w:id="16" w:name="_Hlk205884978"/>
      <w:r w:rsidR="003379A2" w:rsidRPr="00800686">
        <w:rPr>
          <w:shd w:val="clear" w:color="auto" w:fill="FFFFFF"/>
        </w:rPr>
        <w:t>0</w:t>
      </w:r>
      <w:r w:rsidR="00643915" w:rsidRPr="00800686">
        <w:rPr>
          <w:shd w:val="clear" w:color="auto" w:fill="FFFFFF"/>
        </w:rPr>
        <w:t>,</w:t>
      </w:r>
      <w:r w:rsidR="009F79CB" w:rsidRPr="00800686">
        <w:rPr>
          <w:shd w:val="clear" w:color="auto" w:fill="FFFFFF"/>
        </w:rPr>
        <w:t>2</w:t>
      </w:r>
      <w:r w:rsidR="00643915" w:rsidRPr="00800686">
        <w:rPr>
          <w:shd w:val="clear" w:color="auto" w:fill="FFFFFF"/>
        </w:rPr>
        <w:t xml:space="preserve"> </w:t>
      </w:r>
      <w:bookmarkEnd w:id="16"/>
      <w:r w:rsidR="00C77C4A" w:rsidRPr="00800686">
        <w:rPr>
          <w:shd w:val="clear" w:color="auto" w:fill="FFFFFF"/>
        </w:rPr>
        <w:t>p.</w:t>
      </w:r>
      <w:r w:rsidR="00C77C4A" w:rsidRPr="00E0102C">
        <w:rPr>
          <w:shd w:val="clear" w:color="auto" w:fill="FFFFFF"/>
        </w:rPr>
        <w:t xml:space="preserve"> proc</w:t>
      </w:r>
      <w:r w:rsidR="00772D14" w:rsidRPr="00E0102C">
        <w:rPr>
          <w:shd w:val="clear" w:color="auto" w:fill="FFFFFF"/>
        </w:rPr>
        <w:t>.</w:t>
      </w:r>
      <w:r w:rsidR="00C77C4A" w:rsidRPr="00E0102C">
        <w:rPr>
          <w:shd w:val="clear" w:color="auto" w:fill="FFFFFF"/>
        </w:rPr>
        <w:t xml:space="preserve"> </w:t>
      </w:r>
      <w:r w:rsidR="00637342" w:rsidRPr="00E0102C">
        <w:rPr>
          <w:shd w:val="clear" w:color="auto" w:fill="FFFFFF"/>
        </w:rPr>
        <w:t xml:space="preserve">do </w:t>
      </w:r>
      <w:r w:rsidR="009F79CB" w:rsidRPr="00E0102C">
        <w:rPr>
          <w:shd w:val="clear" w:color="auto" w:fill="FFFFFF"/>
        </w:rPr>
        <w:t>19,2</w:t>
      </w:r>
      <w:r w:rsidR="00937786" w:rsidRPr="00E0102C">
        <w:rPr>
          <w:shd w:val="clear" w:color="auto" w:fill="FFFFFF"/>
        </w:rPr>
        <w:t>%</w:t>
      </w:r>
      <w:r w:rsidR="00C77C4A" w:rsidRPr="00E0102C">
        <w:rPr>
          <w:shd w:val="clear" w:color="auto" w:fill="FFFFFF"/>
        </w:rPr>
        <w:t xml:space="preserve">. Dodatnie saldo wyniosło </w:t>
      </w:r>
      <w:r w:rsidR="009F79CB" w:rsidRPr="00E0102C">
        <w:rPr>
          <w:shd w:val="clear" w:color="auto" w:fill="FFFFFF"/>
        </w:rPr>
        <w:t>95,5</w:t>
      </w:r>
      <w:r w:rsidR="00DA445C" w:rsidRPr="00E0102C">
        <w:rPr>
          <w:shd w:val="clear" w:color="auto" w:fill="FFFFFF"/>
        </w:rPr>
        <w:t xml:space="preserve"> </w:t>
      </w:r>
      <w:r w:rsidR="00C77C4A" w:rsidRPr="00E0102C">
        <w:rPr>
          <w:shd w:val="clear" w:color="auto" w:fill="FFFFFF"/>
        </w:rPr>
        <w:t>ml</w:t>
      </w:r>
      <w:r w:rsidR="00F70DA2" w:rsidRPr="00E0102C">
        <w:rPr>
          <w:shd w:val="clear" w:color="auto" w:fill="FFFFFF"/>
        </w:rPr>
        <w:t>d</w:t>
      </w:r>
      <w:r w:rsidR="00C77C4A" w:rsidRPr="00E0102C">
        <w:rPr>
          <w:shd w:val="clear" w:color="auto" w:fill="FFFFFF"/>
        </w:rPr>
        <w:t xml:space="preserve"> </w:t>
      </w:r>
      <w:r w:rsidR="00A52A97" w:rsidRPr="00800686">
        <w:rPr>
          <w:shd w:val="clear" w:color="auto" w:fill="FFFFFF"/>
        </w:rPr>
        <w:t>PLN</w:t>
      </w:r>
      <w:r w:rsidR="00C77C4A" w:rsidRPr="00800686">
        <w:rPr>
          <w:shd w:val="clear" w:color="auto" w:fill="FFFFFF"/>
        </w:rPr>
        <w:t xml:space="preserve"> (</w:t>
      </w:r>
      <w:r w:rsidR="009F79CB" w:rsidRPr="00800686">
        <w:rPr>
          <w:shd w:val="clear" w:color="auto" w:fill="FFFFFF"/>
        </w:rPr>
        <w:t xml:space="preserve">25,1 </w:t>
      </w:r>
      <w:r w:rsidR="00F70DA2" w:rsidRPr="00800686">
        <w:rPr>
          <w:shd w:val="clear" w:color="auto" w:fill="FFFFFF"/>
        </w:rPr>
        <w:t>mld</w:t>
      </w:r>
      <w:r w:rsidR="00C77C4A" w:rsidRPr="00800686">
        <w:rPr>
          <w:shd w:val="clear" w:color="auto" w:fill="FFFFFF"/>
        </w:rPr>
        <w:t xml:space="preserve"> USD</w:t>
      </w:r>
      <w:r w:rsidR="00C77C4A" w:rsidRPr="00E0102C">
        <w:rPr>
          <w:shd w:val="clear" w:color="auto" w:fill="FFFFFF"/>
        </w:rPr>
        <w:t xml:space="preserve">, </w:t>
      </w:r>
      <w:r w:rsidR="009F79CB" w:rsidRPr="00E0102C">
        <w:rPr>
          <w:shd w:val="clear" w:color="auto" w:fill="FFFFFF"/>
        </w:rPr>
        <w:t>22,5</w:t>
      </w:r>
      <w:r w:rsidR="00DA445C" w:rsidRPr="00E0102C">
        <w:rPr>
          <w:shd w:val="clear" w:color="auto" w:fill="FFFFFF"/>
        </w:rPr>
        <w:t xml:space="preserve"> </w:t>
      </w:r>
      <w:r w:rsidR="00C77C4A" w:rsidRPr="00E0102C">
        <w:rPr>
          <w:shd w:val="clear" w:color="auto" w:fill="FFFFFF"/>
        </w:rPr>
        <w:t>ml</w:t>
      </w:r>
      <w:r w:rsidR="00F70DA2" w:rsidRPr="00E0102C">
        <w:rPr>
          <w:shd w:val="clear" w:color="auto" w:fill="FFFFFF"/>
        </w:rPr>
        <w:t>d</w:t>
      </w:r>
      <w:r w:rsidR="00C77C4A" w:rsidRPr="00E0102C">
        <w:rPr>
          <w:shd w:val="clear" w:color="auto" w:fill="FFFFFF"/>
        </w:rPr>
        <w:t xml:space="preserve"> EUR)</w:t>
      </w:r>
      <w:r w:rsidR="0090020B" w:rsidRPr="00E0102C">
        <w:rPr>
          <w:shd w:val="clear" w:color="auto" w:fill="FFFFFF"/>
        </w:rPr>
        <w:t>,</w:t>
      </w:r>
      <w:r w:rsidR="00C77C4A" w:rsidRPr="00E0102C">
        <w:rPr>
          <w:shd w:val="clear" w:color="auto" w:fill="FFFFFF"/>
        </w:rPr>
        <w:t xml:space="preserve"> wobec </w:t>
      </w:r>
      <w:r w:rsidR="009F79CB" w:rsidRPr="00E0102C">
        <w:rPr>
          <w:shd w:val="clear" w:color="auto" w:fill="FFFFFF"/>
        </w:rPr>
        <w:t xml:space="preserve">100,1 </w:t>
      </w:r>
      <w:r w:rsidR="00C77C4A" w:rsidRPr="00E0102C">
        <w:rPr>
          <w:shd w:val="clear" w:color="auto" w:fill="FFFFFF"/>
        </w:rPr>
        <w:t>ml</w:t>
      </w:r>
      <w:r w:rsidR="00F70DA2" w:rsidRPr="00E0102C">
        <w:rPr>
          <w:shd w:val="clear" w:color="auto" w:fill="FFFFFF"/>
        </w:rPr>
        <w:t>d</w:t>
      </w:r>
      <w:r w:rsidR="00C77C4A" w:rsidRPr="00E0102C">
        <w:rPr>
          <w:shd w:val="clear" w:color="auto" w:fill="FFFFFF"/>
        </w:rPr>
        <w:t xml:space="preserve"> </w:t>
      </w:r>
      <w:r w:rsidR="00A52A97" w:rsidRPr="00E0102C">
        <w:rPr>
          <w:shd w:val="clear" w:color="auto" w:fill="FFFFFF"/>
        </w:rPr>
        <w:t>PLN</w:t>
      </w:r>
      <w:r w:rsidR="00C77C4A" w:rsidRPr="00E0102C">
        <w:rPr>
          <w:shd w:val="clear" w:color="auto" w:fill="FFFFFF"/>
        </w:rPr>
        <w:t xml:space="preserve"> </w:t>
      </w:r>
      <w:r w:rsidR="00512E4D" w:rsidRPr="00E0102C">
        <w:rPr>
          <w:shd w:val="clear" w:color="auto" w:fill="FFFFFF"/>
        </w:rPr>
        <w:t>(</w:t>
      </w:r>
      <w:r w:rsidR="009F79CB" w:rsidRPr="00E0102C">
        <w:rPr>
          <w:shd w:val="clear" w:color="auto" w:fill="FFFFFF"/>
        </w:rPr>
        <w:t xml:space="preserve">25,3 </w:t>
      </w:r>
      <w:r w:rsidR="00C77C4A" w:rsidRPr="00E0102C">
        <w:rPr>
          <w:shd w:val="clear" w:color="auto" w:fill="FFFFFF"/>
        </w:rPr>
        <w:t>ml</w:t>
      </w:r>
      <w:r w:rsidR="00F70DA2" w:rsidRPr="00E0102C">
        <w:rPr>
          <w:shd w:val="clear" w:color="auto" w:fill="FFFFFF"/>
        </w:rPr>
        <w:t>d</w:t>
      </w:r>
      <w:r w:rsidR="00C77C4A" w:rsidRPr="00E0102C">
        <w:rPr>
          <w:shd w:val="clear" w:color="auto" w:fill="FFFFFF"/>
        </w:rPr>
        <w:t xml:space="preserve"> USD, </w:t>
      </w:r>
      <w:r w:rsidR="009F79CB" w:rsidRPr="00E0102C">
        <w:rPr>
          <w:shd w:val="clear" w:color="auto" w:fill="FFFFFF"/>
        </w:rPr>
        <w:t>23,2</w:t>
      </w:r>
      <w:r w:rsidR="00DA445C" w:rsidRPr="00E0102C">
        <w:rPr>
          <w:shd w:val="clear" w:color="auto" w:fill="FFFFFF"/>
        </w:rPr>
        <w:t xml:space="preserve"> </w:t>
      </w:r>
      <w:r w:rsidR="00C77C4A" w:rsidRPr="00E0102C">
        <w:rPr>
          <w:shd w:val="clear" w:color="auto" w:fill="FFFFFF"/>
        </w:rPr>
        <w:t>ml</w:t>
      </w:r>
      <w:r w:rsidR="00F70DA2" w:rsidRPr="00E0102C">
        <w:rPr>
          <w:shd w:val="clear" w:color="auto" w:fill="FFFFFF"/>
        </w:rPr>
        <w:t>d</w:t>
      </w:r>
      <w:r w:rsidR="00C77C4A" w:rsidRPr="00E0102C">
        <w:rPr>
          <w:shd w:val="clear" w:color="auto" w:fill="FFFFFF"/>
        </w:rPr>
        <w:t xml:space="preserve"> </w:t>
      </w:r>
      <w:r w:rsidR="00030509" w:rsidRPr="00E0102C">
        <w:rPr>
          <w:shd w:val="clear" w:color="auto" w:fill="FFFFFF"/>
        </w:rPr>
        <w:t>E</w:t>
      </w:r>
      <w:r w:rsidR="00C77C4A" w:rsidRPr="00E0102C">
        <w:rPr>
          <w:shd w:val="clear" w:color="auto" w:fill="FFFFFF"/>
        </w:rPr>
        <w:t xml:space="preserve">UR) </w:t>
      </w:r>
      <w:r w:rsidR="00637342" w:rsidRPr="00E0102C">
        <w:rPr>
          <w:shd w:val="clear" w:color="auto" w:fill="FFFFFF"/>
        </w:rPr>
        <w:t>przed rokiem.</w:t>
      </w:r>
      <w:r w:rsidR="00BE3BF9" w:rsidRPr="00E0102C">
        <w:rPr>
          <w:shd w:val="clear" w:color="auto" w:fill="FFFFFF"/>
        </w:rPr>
        <w:t xml:space="preserve"> </w:t>
      </w:r>
    </w:p>
    <w:p w14:paraId="232F2553" w14:textId="5EC0BEC5" w:rsidR="00FE3081" w:rsidRPr="00E0102C" w:rsidRDefault="00FE3081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E0102C">
        <w:rPr>
          <w:shd w:val="clear" w:color="auto" w:fill="FFFFFF"/>
        </w:rPr>
        <w:t xml:space="preserve">Saldo obrotów </w:t>
      </w:r>
      <w:r w:rsidR="00E5499B" w:rsidRPr="00E0102C">
        <w:rPr>
          <w:shd w:val="clear" w:color="auto" w:fill="FFFFFF"/>
        </w:rPr>
        <w:t xml:space="preserve">z </w:t>
      </w:r>
      <w:r w:rsidR="00F25BFB" w:rsidRPr="00E0102C">
        <w:rPr>
          <w:shd w:val="clear" w:color="auto" w:fill="FFFFFF"/>
        </w:rPr>
        <w:t>Francją</w:t>
      </w:r>
      <w:r w:rsidR="00DA445C" w:rsidRPr="00E0102C">
        <w:rPr>
          <w:shd w:val="clear" w:color="auto" w:fill="FFFFFF"/>
        </w:rPr>
        <w:t xml:space="preserve"> </w:t>
      </w:r>
      <w:r w:rsidR="00D23529" w:rsidRPr="00E0102C">
        <w:rPr>
          <w:shd w:val="clear" w:color="auto" w:fill="FFFFFF"/>
        </w:rPr>
        <w:t>w</w:t>
      </w:r>
      <w:r w:rsidR="00AC354B" w:rsidRPr="00E0102C">
        <w:rPr>
          <w:shd w:val="clear" w:color="auto" w:fill="FFFFFF"/>
        </w:rPr>
        <w:t xml:space="preserve"> </w:t>
      </w:r>
      <w:r w:rsidR="006D23D1" w:rsidRPr="00E0102C">
        <w:rPr>
          <w:shd w:val="clear" w:color="auto" w:fill="FFFFFF"/>
        </w:rPr>
        <w:t>styczniu – październiku</w:t>
      </w:r>
      <w:r w:rsidR="00E5499B" w:rsidRPr="00E0102C">
        <w:rPr>
          <w:shd w:val="clear" w:color="auto" w:fill="FFFFFF"/>
        </w:rPr>
        <w:t xml:space="preserve"> br. było</w:t>
      </w:r>
      <w:r w:rsidR="004C7668" w:rsidRPr="00E0102C">
        <w:rPr>
          <w:shd w:val="clear" w:color="auto" w:fill="FFFFFF"/>
        </w:rPr>
        <w:t xml:space="preserve"> </w:t>
      </w:r>
      <w:r w:rsidR="00DA445C" w:rsidRPr="00E0102C">
        <w:rPr>
          <w:shd w:val="clear" w:color="auto" w:fill="FFFFFF"/>
        </w:rPr>
        <w:t>dodatnie</w:t>
      </w:r>
      <w:r w:rsidR="00AA23AB" w:rsidRPr="00E0102C">
        <w:rPr>
          <w:shd w:val="clear" w:color="auto" w:fill="FFFFFF"/>
        </w:rPr>
        <w:t xml:space="preserve"> i</w:t>
      </w:r>
      <w:r w:rsidR="00FC05D7" w:rsidRPr="00E0102C">
        <w:rPr>
          <w:shd w:val="clear" w:color="auto" w:fill="FFFFFF"/>
        </w:rPr>
        <w:t xml:space="preserve"> </w:t>
      </w:r>
      <w:r w:rsidR="00FC05D7" w:rsidRPr="00013833">
        <w:rPr>
          <w:shd w:val="clear" w:color="auto" w:fill="FFFFFF"/>
        </w:rPr>
        <w:t xml:space="preserve">wyniosło </w:t>
      </w:r>
      <w:r w:rsidR="00F25BFB" w:rsidRPr="00013833">
        <w:rPr>
          <w:shd w:val="clear" w:color="auto" w:fill="FFFFFF"/>
        </w:rPr>
        <w:t>34,1</w:t>
      </w:r>
      <w:r w:rsidR="00DA445C" w:rsidRPr="00013833">
        <w:rPr>
          <w:shd w:val="clear" w:color="auto" w:fill="FFFFFF"/>
        </w:rPr>
        <w:t xml:space="preserve"> </w:t>
      </w:r>
      <w:r w:rsidR="00FC05D7" w:rsidRPr="00013833">
        <w:rPr>
          <w:shd w:val="clear" w:color="auto" w:fill="FFFFFF"/>
        </w:rPr>
        <w:t>mld PLN (</w:t>
      </w:r>
      <w:r w:rsidR="00F25BFB" w:rsidRPr="00013833">
        <w:rPr>
          <w:shd w:val="clear" w:color="auto" w:fill="FFFFFF"/>
        </w:rPr>
        <w:t xml:space="preserve">9,0 </w:t>
      </w:r>
      <w:r w:rsidR="00FC05D7" w:rsidRPr="00013833">
        <w:rPr>
          <w:shd w:val="clear" w:color="auto" w:fill="FFFFFF"/>
        </w:rPr>
        <w:t xml:space="preserve">mld USD, </w:t>
      </w:r>
      <w:r w:rsidR="00F25BFB" w:rsidRPr="00013833">
        <w:rPr>
          <w:shd w:val="clear" w:color="auto" w:fill="FFFFFF"/>
        </w:rPr>
        <w:t xml:space="preserve">8,0 </w:t>
      </w:r>
      <w:r w:rsidR="00FC05D7" w:rsidRPr="00013833">
        <w:rPr>
          <w:shd w:val="clear" w:color="auto" w:fill="FFFFFF"/>
        </w:rPr>
        <w:t>mld EUR).</w:t>
      </w:r>
      <w:r w:rsidR="00E5499B" w:rsidRPr="00013833">
        <w:rPr>
          <w:shd w:val="clear" w:color="auto" w:fill="FFFFFF"/>
        </w:rPr>
        <w:t xml:space="preserve"> </w:t>
      </w:r>
      <w:r w:rsidRPr="00013833">
        <w:rPr>
          <w:shd w:val="clear" w:color="auto" w:fill="FFFFFF"/>
        </w:rPr>
        <w:t>Eksport</w:t>
      </w:r>
      <w:r w:rsidRPr="00E0102C">
        <w:rPr>
          <w:shd w:val="clear" w:color="auto" w:fill="FFFFFF"/>
        </w:rPr>
        <w:t xml:space="preserve"> do </w:t>
      </w:r>
      <w:r w:rsidR="00F25BFB" w:rsidRPr="00E0102C">
        <w:rPr>
          <w:shd w:val="clear" w:color="auto" w:fill="FFFFFF"/>
        </w:rPr>
        <w:t>Francji</w:t>
      </w:r>
      <w:r w:rsidRPr="00E0102C">
        <w:rPr>
          <w:shd w:val="clear" w:color="auto" w:fill="FFFFFF"/>
        </w:rPr>
        <w:t xml:space="preserve"> stanowił </w:t>
      </w:r>
      <w:r w:rsidR="00F25BFB" w:rsidRPr="00E0102C">
        <w:t>6,1</w:t>
      </w:r>
      <w:r w:rsidRPr="00E0102C">
        <w:rPr>
          <w:shd w:val="clear" w:color="auto" w:fill="FFFFFF"/>
        </w:rPr>
        <w:t>% eksportu ogółem</w:t>
      </w:r>
      <w:r w:rsidR="006F3BE7" w:rsidRPr="00E0102C">
        <w:rPr>
          <w:shd w:val="clear" w:color="auto" w:fill="FFFFFF"/>
        </w:rPr>
        <w:t>,</w:t>
      </w:r>
      <w:r w:rsidR="00E5499B" w:rsidRPr="00E0102C">
        <w:rPr>
          <w:shd w:val="clear" w:color="auto" w:fill="FFFFFF"/>
        </w:rPr>
        <w:t xml:space="preserve"> </w:t>
      </w:r>
      <w:r w:rsidR="006F3BE7" w:rsidRPr="00E0102C">
        <w:rPr>
          <w:shd w:val="clear" w:color="auto" w:fill="FFFFFF"/>
        </w:rPr>
        <w:t>a i</w:t>
      </w:r>
      <w:r w:rsidR="00E5499B" w:rsidRPr="00E0102C">
        <w:rPr>
          <w:shd w:val="clear" w:color="auto" w:fill="FFFFFF"/>
        </w:rPr>
        <w:t>mport</w:t>
      </w:r>
      <w:r w:rsidR="006F3BE7" w:rsidRPr="00E0102C">
        <w:rPr>
          <w:shd w:val="clear" w:color="auto" w:fill="FFFFFF"/>
        </w:rPr>
        <w:t xml:space="preserve"> wyniósł </w:t>
      </w:r>
      <w:r w:rsidR="00F25BFB" w:rsidRPr="00E0102C">
        <w:rPr>
          <w:shd w:val="clear" w:color="auto" w:fill="FFFFFF"/>
        </w:rPr>
        <w:t>3,4</w:t>
      </w:r>
      <w:r w:rsidR="00FC05D7" w:rsidRPr="00E0102C">
        <w:rPr>
          <w:shd w:val="clear" w:color="auto" w:fill="FFFFFF"/>
        </w:rPr>
        <w:t>%</w:t>
      </w:r>
      <w:r w:rsidR="00746CE6" w:rsidRPr="00E0102C">
        <w:rPr>
          <w:shd w:val="clear" w:color="auto" w:fill="FFFFFF"/>
        </w:rPr>
        <w:t>.</w:t>
      </w:r>
    </w:p>
    <w:p w14:paraId="62B7A064" w14:textId="054E1909" w:rsidR="005F032E" w:rsidRPr="00E0102C" w:rsidRDefault="005F032E" w:rsidP="005F032E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E0102C">
        <w:rPr>
          <w:shd w:val="clear" w:color="auto" w:fill="FFFFFF"/>
        </w:rPr>
        <w:t xml:space="preserve">Największy udział w wymianie towarowej zarówno w imporcie, jak i eksporcie z </w:t>
      </w:r>
      <w:r w:rsidR="00F25BFB" w:rsidRPr="00E0102C">
        <w:rPr>
          <w:shd w:val="clear" w:color="auto" w:fill="FFFFFF"/>
        </w:rPr>
        <w:t>Francją</w:t>
      </w:r>
      <w:r w:rsidR="00DA445C" w:rsidRPr="00E0102C">
        <w:rPr>
          <w:shd w:val="clear" w:color="auto" w:fill="FFFFFF"/>
        </w:rPr>
        <w:t xml:space="preserve"> </w:t>
      </w:r>
      <w:r w:rsidRPr="00E0102C">
        <w:rPr>
          <w:shd w:val="clear" w:color="auto" w:fill="FFFFFF"/>
        </w:rPr>
        <w:t xml:space="preserve">miały towary z branży mechanicznej. </w:t>
      </w:r>
      <w:r w:rsidR="008B49C9" w:rsidRPr="00E0102C">
        <w:rPr>
          <w:shd w:val="clear" w:color="auto" w:fill="FFFFFF"/>
        </w:rPr>
        <w:t xml:space="preserve">Wśród towarów znaczących w eksporcie do </w:t>
      </w:r>
      <w:r w:rsidR="00F25BFB" w:rsidRPr="00E0102C">
        <w:rPr>
          <w:shd w:val="clear" w:color="auto" w:fill="FFFFFF"/>
        </w:rPr>
        <w:t>Francji</w:t>
      </w:r>
      <w:r w:rsidR="00DA445C" w:rsidRPr="00E0102C">
        <w:rPr>
          <w:shd w:val="clear" w:color="auto" w:fill="FFFFFF"/>
        </w:rPr>
        <w:t xml:space="preserve"> </w:t>
      </w:r>
      <w:r w:rsidR="008B49C9" w:rsidRPr="00E0102C">
        <w:rPr>
          <w:shd w:val="clear" w:color="auto" w:fill="FFFFFF"/>
        </w:rPr>
        <w:t>wymienić można również</w:t>
      </w:r>
      <w:r w:rsidR="00DA445C" w:rsidRPr="00E0102C">
        <w:rPr>
          <w:shd w:val="clear" w:color="auto" w:fill="FFFFFF"/>
        </w:rPr>
        <w:t xml:space="preserve"> </w:t>
      </w:r>
      <w:r w:rsidR="00F25BFB" w:rsidRPr="00E0102C">
        <w:rPr>
          <w:shd w:val="clear" w:color="auto" w:fill="FFFFFF"/>
        </w:rPr>
        <w:t>akumulatory litowo-jonowe, samochody, silniki spalinowe</w:t>
      </w:r>
      <w:r w:rsidR="00C662F0" w:rsidRPr="00E0102C">
        <w:rPr>
          <w:shd w:val="clear" w:color="auto" w:fill="FFFFFF"/>
        </w:rPr>
        <w:t>, mięso drobiowe, komputery, odbiorniki telewizyjne oraz drzwi i okna.</w:t>
      </w:r>
    </w:p>
    <w:p w14:paraId="399101DB" w14:textId="77777777" w:rsidR="00366025" w:rsidRPr="00E0102C" w:rsidRDefault="00AE4B6E" w:rsidP="00881A16">
      <w:pPr>
        <w:pStyle w:val="Tytutablicy"/>
      </w:pPr>
      <w:r w:rsidRPr="00E0102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DF76C13" wp14:editId="3D75D16B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okresie styczeń - październik 2025 r. wyniósł 21,5 mld PLN (5,7 mld USD oraz 5,1 mld EUR), tj. był mniej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E5B4" w14:textId="12838554" w:rsidR="009E71B5" w:rsidRPr="00091F9D" w:rsidRDefault="009E71B5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okresie </w:t>
                            </w:r>
                            <w:r w:rsidRPr="00091F9D">
                              <w:t>stycz</w:t>
                            </w:r>
                            <w:r>
                              <w:t>eń - październik</w:t>
                            </w:r>
                            <w:r w:rsidRPr="00091F9D">
                              <w:t xml:space="preserve">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21,5</w:t>
                            </w:r>
                            <w:r w:rsidRPr="006B3A68">
                              <w:t xml:space="preserve"> mld PLN (</w:t>
                            </w:r>
                            <w:r>
                              <w:t>5</w:t>
                            </w:r>
                            <w:r w:rsidRPr="006B3A68">
                              <w:t>,</w:t>
                            </w:r>
                            <w:r>
                              <w:t>7</w:t>
                            </w:r>
                            <w:r w:rsidRPr="006B3A68">
                              <w:t xml:space="preserve"> mld USD oraz </w:t>
                            </w:r>
                            <w:r>
                              <w:t>5</w:t>
                            </w:r>
                            <w:r w:rsidRPr="006B3A68">
                              <w:t>,</w:t>
                            </w:r>
                            <w:r>
                              <w:t>1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>), tj. był mniejszy niż przed rokiem</w:t>
                            </w:r>
                          </w:p>
                          <w:p w14:paraId="55C5F192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25D15D4F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6BF56F6C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41C06644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D200510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206EFFCB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5D57E570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1009D999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64ED893D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7B6CE04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B0A35AA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21B975CE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62E91868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235A2CF1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557AE740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670669F3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7C1B7819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44DB5BB5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2E59F5B6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4C34217B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6F547C6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ACF337A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49F679CE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FABAD4E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4824382A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308B9141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755036F6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21597F18" w14:textId="77777777" w:rsidR="009E71B5" w:rsidRPr="00666F55" w:rsidRDefault="009E71B5" w:rsidP="00A00ADB">
                            <w:pPr>
                              <w:pStyle w:val="tekstzboku"/>
                            </w:pPr>
                          </w:p>
                          <w:p w14:paraId="016D7BC9" w14:textId="77777777" w:rsidR="009E71B5" w:rsidRPr="00666F55" w:rsidRDefault="009E71B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6C13" id="Pole tekstowe 14" o:spid="_x0000_s1032" type="#_x0000_t202" alt="Import z Wielkiej Brytanii w  okresie styczeń - październik 2025 r. wyniósł 21,5 mld PLN (5,7 mld USD oraz 5,1 mld EUR), tj. był mniejszy niż przed rokiem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" filled="f" stroked="f">
                <v:textbox>
                  <w:txbxContent>
                    <w:p w14:paraId="3AB1E5B4" w14:textId="12838554" w:rsidR="009E71B5" w:rsidRPr="00091F9D" w:rsidRDefault="009E71B5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okresie </w:t>
                      </w:r>
                      <w:r w:rsidRPr="00091F9D">
                        <w:t>stycz</w:t>
                      </w:r>
                      <w:r>
                        <w:t>eń - październik</w:t>
                      </w:r>
                      <w:r w:rsidRPr="00091F9D">
                        <w:t xml:space="preserve">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21,5</w:t>
                      </w:r>
                      <w:r w:rsidRPr="006B3A68">
                        <w:t xml:space="preserve"> mld PLN (</w:t>
                      </w:r>
                      <w:r>
                        <w:t>5</w:t>
                      </w:r>
                      <w:r w:rsidRPr="006B3A68">
                        <w:t>,</w:t>
                      </w:r>
                      <w:r>
                        <w:t>7</w:t>
                      </w:r>
                      <w:r w:rsidRPr="006B3A68">
                        <w:t xml:space="preserve"> mld USD oraz </w:t>
                      </w:r>
                      <w:r>
                        <w:t>5</w:t>
                      </w:r>
                      <w:r w:rsidRPr="006B3A68">
                        <w:t>,</w:t>
                      </w:r>
                      <w:r>
                        <w:t>1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>), tj. był mniejszy niż przed rokiem</w:t>
                      </w:r>
                    </w:p>
                    <w:p w14:paraId="55C5F192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25D15D4F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6BF56F6C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41C06644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D200510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206EFFCB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5D57E570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1009D999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64ED893D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7B6CE04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B0A35AA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21B975CE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62E91868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235A2CF1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557AE740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670669F3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7C1B7819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44DB5BB5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2E59F5B6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4C34217B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6F547C6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ACF337A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49F679CE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FABAD4E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4824382A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308B9141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755036F6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21597F18" w14:textId="77777777" w:rsidR="009E71B5" w:rsidRPr="00666F55" w:rsidRDefault="009E71B5" w:rsidP="00A00ADB">
                      <w:pPr>
                        <w:pStyle w:val="tekstzboku"/>
                      </w:pPr>
                    </w:p>
                    <w:p w14:paraId="016D7BC9" w14:textId="77777777" w:rsidR="009E71B5" w:rsidRPr="00666F55" w:rsidRDefault="009E71B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E0102C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E0102C" w14:paraId="77E23437" w14:textId="77777777" w:rsidTr="00BD2BD8">
        <w:trPr>
          <w:trHeight w:val="370"/>
        </w:trPr>
        <w:tc>
          <w:tcPr>
            <w:tcW w:w="2407" w:type="dxa"/>
            <w:vMerge w:val="restart"/>
            <w:vAlign w:val="center"/>
          </w:tcPr>
          <w:p w14:paraId="0B010D1F" w14:textId="77777777" w:rsidR="00F11B9E" w:rsidRPr="00E0102C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42611A94" w14:textId="5F01ED3D" w:rsidR="00F11B9E" w:rsidRPr="00E0102C" w:rsidRDefault="001B135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A72989" w:rsidRPr="00E0102C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14:paraId="22458213" w14:textId="77777777" w:rsidR="00F11B9E" w:rsidRPr="00E0102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202</w:t>
            </w:r>
            <w:r w:rsidR="00E57320" w:rsidRPr="00E0102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5F9BD25D" w14:textId="77777777" w:rsidR="00F11B9E" w:rsidRPr="00E0102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202</w:t>
            </w:r>
            <w:r w:rsidR="00E57320" w:rsidRPr="00E0102C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E0102C" w14:paraId="5FE1A0A2" w14:textId="77777777" w:rsidTr="00BD2BD8">
        <w:trPr>
          <w:trHeight w:val="727"/>
        </w:trPr>
        <w:tc>
          <w:tcPr>
            <w:tcW w:w="2407" w:type="dxa"/>
            <w:vMerge/>
          </w:tcPr>
          <w:p w14:paraId="3BFA1A8A" w14:textId="77777777" w:rsidR="00026476" w:rsidRPr="00E0102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4D90404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147BC5CD" w14:textId="0F50D49F" w:rsidR="00026476" w:rsidRPr="00E0102C" w:rsidRDefault="001B135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026476" w:rsidRPr="00E0102C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14:paraId="6B6013B9" w14:textId="426AF451" w:rsidR="00026476" w:rsidRPr="00E0102C" w:rsidRDefault="001B135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</w:p>
        </w:tc>
      </w:tr>
      <w:tr w:rsidR="00026476" w:rsidRPr="00E0102C" w14:paraId="1D41B147" w14:textId="77777777" w:rsidTr="00BD2BD8">
        <w:trPr>
          <w:trHeight w:val="293"/>
        </w:trPr>
        <w:tc>
          <w:tcPr>
            <w:tcW w:w="2407" w:type="dxa"/>
            <w:vMerge/>
          </w:tcPr>
          <w:p w14:paraId="6DDC4D93" w14:textId="77777777" w:rsidR="00026476" w:rsidRPr="00E0102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79901BB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03E42A32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633369AC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669DD73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6661692E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420CF2D6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5CCCF84" w14:textId="77777777" w:rsidR="00026476" w:rsidRPr="00E0102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E0102C" w14:paraId="74B36F15" w14:textId="77777777" w:rsidTr="00BD2BD8">
        <w:tc>
          <w:tcPr>
            <w:tcW w:w="8023" w:type="dxa"/>
            <w:gridSpan w:val="9"/>
            <w:vAlign w:val="center"/>
          </w:tcPr>
          <w:p w14:paraId="7C3ABEB7" w14:textId="77777777" w:rsidR="00026476" w:rsidRPr="00E0102C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D247B" w:rsidRPr="00E0102C" w14:paraId="23997399" w14:textId="77777777" w:rsidTr="00BD2BD8">
        <w:tc>
          <w:tcPr>
            <w:tcW w:w="2407" w:type="dxa"/>
            <w:shd w:val="clear" w:color="auto" w:fill="auto"/>
            <w:vAlign w:val="bottom"/>
          </w:tcPr>
          <w:p w14:paraId="22B97B88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C4D078" w14:textId="7AD7530A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347,5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97E710C" w14:textId="705FBD8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C3B0F3" w14:textId="3EA8112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684115" w14:textId="1A4D962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2957E33" w14:textId="7CEFC91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172D83" w14:textId="6FDDF4E9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39E345" w14:textId="1575D860" w:rsidR="00AD247B" w:rsidRPr="008A6E7C" w:rsidRDefault="00784B39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7D07807" w14:textId="6B06011F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AD247B" w:rsidRPr="00E0102C" w14:paraId="19B6716E" w14:textId="77777777" w:rsidTr="00BD2BD8">
        <w:tc>
          <w:tcPr>
            <w:tcW w:w="2407" w:type="dxa"/>
            <w:shd w:val="clear" w:color="auto" w:fill="auto"/>
            <w:vAlign w:val="bottom"/>
          </w:tcPr>
          <w:p w14:paraId="50F46848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B5178BC" w14:textId="3F467CC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19154" w14:textId="0F28320C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80EC80" w14:textId="788A9F7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FDD20E" w14:textId="46375AEC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70179D" w14:textId="46CA145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D46A22D" w14:textId="5CD2C09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9C85E68" w14:textId="702F4920" w:rsidR="00AD247B" w:rsidRPr="008A6E7C" w:rsidRDefault="00784B39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DA8F40" w14:textId="02C284C5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AD247B" w:rsidRPr="00E0102C" w14:paraId="1FF990AD" w14:textId="77777777" w:rsidTr="00BD2BD8">
        <w:tc>
          <w:tcPr>
            <w:tcW w:w="2407" w:type="dxa"/>
            <w:shd w:val="clear" w:color="auto" w:fill="auto"/>
            <w:vAlign w:val="bottom"/>
          </w:tcPr>
          <w:p w14:paraId="072A4103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0CBE78" w14:textId="7FF4B19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F3EC25" w14:textId="52E7FBC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B7064E" w14:textId="620E7FFB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79C762" w14:textId="700B9D7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E2EDC5" w14:textId="5B46634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C85903" w14:textId="5D2E997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0B95A5" w14:textId="1B5EC797" w:rsidR="00AD247B" w:rsidRPr="008A6E7C" w:rsidRDefault="00784B39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88E59" w14:textId="122E10A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AD247B" w:rsidRPr="00E0102C" w14:paraId="504498CE" w14:textId="77777777" w:rsidTr="00BD2BD8">
        <w:tc>
          <w:tcPr>
            <w:tcW w:w="2407" w:type="dxa"/>
            <w:shd w:val="clear" w:color="auto" w:fill="auto"/>
            <w:vAlign w:val="bottom"/>
          </w:tcPr>
          <w:p w14:paraId="442FF3FF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B04B7C" w14:textId="6AF8DC0A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4CC9AF" w14:textId="6F16855A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E21F4F" w14:textId="71C3142A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D7E048" w14:textId="108526F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C4080A" w14:textId="79355E79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755853" w14:textId="43E12AE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CCA4930" w14:textId="02824FFD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7667288" w14:textId="7EB53A0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</w:tr>
      <w:tr w:rsidR="00AD247B" w:rsidRPr="00E0102C" w14:paraId="77D1D494" w14:textId="77777777" w:rsidTr="00BD2BD8">
        <w:tc>
          <w:tcPr>
            <w:tcW w:w="2407" w:type="dxa"/>
            <w:shd w:val="clear" w:color="auto" w:fill="auto"/>
            <w:vAlign w:val="bottom"/>
          </w:tcPr>
          <w:p w14:paraId="72A70906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12247E" w14:textId="32680F4C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EAC40" w14:textId="2048C56A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9F2C8C0" w14:textId="4151B73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0C3BC0" w14:textId="1702016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5D11F7" w14:textId="4F944A7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86E2B5" w14:textId="388B462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4B41983" w14:textId="0483DE72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C4395AC" w14:textId="6FECE133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AD247B" w:rsidRPr="00E0102C" w14:paraId="1EF164E4" w14:textId="77777777" w:rsidTr="00BD2BD8">
        <w:tc>
          <w:tcPr>
            <w:tcW w:w="2407" w:type="dxa"/>
            <w:shd w:val="clear" w:color="auto" w:fill="auto"/>
            <w:vAlign w:val="bottom"/>
          </w:tcPr>
          <w:p w14:paraId="47D51D96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5DCEC04" w14:textId="21E0EE4A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7573E35" w14:textId="38957DDE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8FA2830" w14:textId="5F532B3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FE45E00" w14:textId="72242B0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6F7186A" w14:textId="6D7281A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708270" w14:textId="49562EE0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48B3C3" w14:textId="29F0847E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253F12" w14:textId="3F84B6E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AD247B" w:rsidRPr="00E0102C" w14:paraId="42E65FC3" w14:textId="77777777" w:rsidTr="00BD2BD8">
        <w:tc>
          <w:tcPr>
            <w:tcW w:w="2407" w:type="dxa"/>
            <w:shd w:val="clear" w:color="auto" w:fill="auto"/>
            <w:vAlign w:val="bottom"/>
          </w:tcPr>
          <w:p w14:paraId="2DB84004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7CB458" w14:textId="1A526110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1F541C" w14:textId="08FF81C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EA7C3B" w14:textId="3588528C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DACB6E8" w14:textId="57D7DB0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F1A318" w14:textId="5BE615A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0AAE22" w14:textId="27D0F467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EC6FCBC" w14:textId="43469B0C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2DA7C7B" w14:textId="0681BF9B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AD247B" w:rsidRPr="00E0102C" w14:paraId="731F8515" w14:textId="77777777" w:rsidTr="00BD2BD8">
        <w:tc>
          <w:tcPr>
            <w:tcW w:w="2407" w:type="dxa"/>
            <w:shd w:val="clear" w:color="auto" w:fill="auto"/>
            <w:vAlign w:val="bottom"/>
          </w:tcPr>
          <w:p w14:paraId="1AF49708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52C38E" w14:textId="351C8B9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24FA85" w14:textId="55ADE893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ABBBA6" w14:textId="69D4F4D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E4AA865" w14:textId="027FEF5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B0367" w14:textId="23B3505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A2E8905" w14:textId="3FE0A0E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64B4F60" w14:textId="164C9E05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230BF17" w14:textId="7CFF8EC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AD247B" w:rsidRPr="00E0102C" w14:paraId="5CE536E4" w14:textId="77777777" w:rsidTr="00BD2BD8">
        <w:tc>
          <w:tcPr>
            <w:tcW w:w="2407" w:type="dxa"/>
            <w:shd w:val="clear" w:color="auto" w:fill="auto"/>
            <w:vAlign w:val="bottom"/>
          </w:tcPr>
          <w:p w14:paraId="1B416B85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7C68E94" w14:textId="7BB1A04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58A59F" w14:textId="1A4674B5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6A724" w14:textId="16F91463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BD6FCE1" w14:textId="65CBC29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1AFED53" w14:textId="3BFE7AF9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5305BB9" w14:textId="6FF73B1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B3BA87E" w14:textId="6FADB067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ABBACEA" w14:textId="6FF4ACA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D247B" w:rsidRPr="00E0102C" w14:paraId="66D3F0E8" w14:textId="77777777" w:rsidTr="00BD2BD8">
        <w:tc>
          <w:tcPr>
            <w:tcW w:w="2407" w:type="dxa"/>
            <w:shd w:val="clear" w:color="auto" w:fill="auto"/>
            <w:vAlign w:val="bottom"/>
          </w:tcPr>
          <w:p w14:paraId="6077B745" w14:textId="77777777" w:rsidR="00AD247B" w:rsidRPr="00E0102C" w:rsidRDefault="00AD247B" w:rsidP="00AD247B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BEC83A" w14:textId="5AF3679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1144412" w14:textId="3923E98F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8428B3" w14:textId="413257A7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1A43C7" w14:textId="5D200229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A70096" w14:textId="03E28D7E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9CE456C" w14:textId="29C0C6BD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4A0C4A" w14:textId="5D5F7F12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8C6345E" w14:textId="7416C5C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E0102C" w14:paraId="5699512F" w14:textId="77777777" w:rsidTr="00BD2BD8">
        <w:tc>
          <w:tcPr>
            <w:tcW w:w="8023" w:type="dxa"/>
            <w:gridSpan w:val="9"/>
            <w:vAlign w:val="center"/>
          </w:tcPr>
          <w:p w14:paraId="6BCDF0BC" w14:textId="77777777" w:rsidR="00026476" w:rsidRPr="00E0102C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AD247B" w:rsidRPr="00E0102C" w14:paraId="47AF12C8" w14:textId="77777777" w:rsidTr="00BD2BD8">
        <w:tc>
          <w:tcPr>
            <w:tcW w:w="2407" w:type="dxa"/>
            <w:shd w:val="clear" w:color="auto" w:fill="auto"/>
            <w:vAlign w:val="bottom"/>
          </w:tcPr>
          <w:p w14:paraId="52CC5FB3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8037E3" w14:textId="09A5634F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ECBB7C" w14:textId="24316D1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E14A7A" w14:textId="022E4B9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3F320A2" w14:textId="6B64258E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137B980" w14:textId="6834F979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1D42463" w14:textId="4781E11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CF59" w14:textId="3D72A655" w:rsidR="00AD247B" w:rsidRPr="008A6E7C" w:rsidRDefault="007B1B62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133398" w14:textId="1BAFA531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</w:tr>
      <w:tr w:rsidR="00AD247B" w:rsidRPr="00E0102C" w14:paraId="0C086E33" w14:textId="77777777" w:rsidTr="00BD2BD8">
        <w:tc>
          <w:tcPr>
            <w:tcW w:w="2407" w:type="dxa"/>
            <w:shd w:val="clear" w:color="auto" w:fill="auto"/>
            <w:vAlign w:val="bottom"/>
          </w:tcPr>
          <w:p w14:paraId="227054DB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741300" w14:textId="719DEBBC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202,7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09BEBD" w14:textId="35C34321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AE74D66" w14:textId="6D0DF8E8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911BBF" w14:textId="07291AD6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23220" w14:textId="7A706F2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A9B0E6" w14:textId="26D81074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7F40EAC" w14:textId="05E98009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E388EB" w14:textId="60FD99EA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</w:tr>
      <w:tr w:rsidR="00AD247B" w:rsidRPr="00E0102C" w14:paraId="66BF2815" w14:textId="77777777" w:rsidTr="00BD2BD8">
        <w:tc>
          <w:tcPr>
            <w:tcW w:w="2407" w:type="dxa"/>
            <w:shd w:val="clear" w:color="auto" w:fill="auto"/>
            <w:vAlign w:val="bottom"/>
          </w:tcPr>
          <w:p w14:paraId="3A78514D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D3C859" w14:textId="23F87040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BB9BBD9" w14:textId="7E251363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68528A" w14:textId="2E7B5C5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03368C0" w14:textId="74A4A857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F4667D1" w14:textId="4F2739DC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097D24" w14:textId="68850638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129B1A" w14:textId="1DFE5B33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D52A29" w14:textId="7E293772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AD247B" w:rsidRPr="00E0102C" w14:paraId="793EA914" w14:textId="77777777" w:rsidTr="00BD2BD8">
        <w:tc>
          <w:tcPr>
            <w:tcW w:w="2407" w:type="dxa"/>
            <w:shd w:val="clear" w:color="auto" w:fill="auto"/>
            <w:vAlign w:val="bottom"/>
          </w:tcPr>
          <w:p w14:paraId="4E718884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8F1674" w14:textId="7132CEA0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5D4C90" w14:textId="081FA98B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64F03DD" w14:textId="45F7160E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053D6B5" w14:textId="6AFC6EF3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6091AE" w14:textId="3F00D9FC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2C19554" w14:textId="7BE331B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8A9E8A" w14:textId="7E76DECF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F10AF8" w14:textId="32B127C0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AD247B" w:rsidRPr="00E0102C" w14:paraId="273B7E1F" w14:textId="77777777" w:rsidTr="00BD2BD8">
        <w:tc>
          <w:tcPr>
            <w:tcW w:w="2407" w:type="dxa"/>
            <w:shd w:val="clear" w:color="auto" w:fill="auto"/>
            <w:vAlign w:val="bottom"/>
          </w:tcPr>
          <w:p w14:paraId="73E94E10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864A7EF" w14:textId="573A6EF7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88B59DC" w14:textId="1743A14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032531" w14:textId="32E683A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4B67B3A" w14:textId="6F59C0B0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A24346" w14:textId="3CEF83D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FBC127" w14:textId="05C95FA3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32DBE25" w14:textId="7C510C40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E48E7F" w14:textId="040D9B47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AD247B" w:rsidRPr="00E0102C" w14:paraId="67CF30BF" w14:textId="77777777" w:rsidTr="00BD2BD8">
        <w:tc>
          <w:tcPr>
            <w:tcW w:w="2407" w:type="dxa"/>
            <w:shd w:val="clear" w:color="auto" w:fill="auto"/>
            <w:vAlign w:val="bottom"/>
          </w:tcPr>
          <w:p w14:paraId="306238E4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2D3D33" w14:textId="489C569C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91941C" w14:textId="6F73B326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0EBD40F" w14:textId="2E9ED1CB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330DC8" w14:textId="2BAEC8FE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A46C53" w14:textId="149D48D8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DDC8E9B" w14:textId="34D21B83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57C413" w14:textId="1B9476AA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09D8CD" w14:textId="71A0D422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AD247B" w:rsidRPr="00E0102C" w14:paraId="1838D4DD" w14:textId="77777777" w:rsidTr="00BD2BD8">
        <w:tc>
          <w:tcPr>
            <w:tcW w:w="2407" w:type="dxa"/>
            <w:shd w:val="clear" w:color="auto" w:fill="auto"/>
            <w:vAlign w:val="bottom"/>
          </w:tcPr>
          <w:p w14:paraId="128E0E65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AE798" w14:textId="3D85A290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923A72E" w14:textId="64415670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D17E61" w14:textId="7AF772FA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EA3404" w14:textId="41436E96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DA630F" w14:textId="4FA80F5F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616F59E" w14:textId="464DA99C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D96699" w14:textId="53300381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41B7E5" w14:textId="6582E1E5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AD247B" w:rsidRPr="00E0102C" w14:paraId="0DAA091D" w14:textId="77777777" w:rsidTr="00BD2BD8">
        <w:tc>
          <w:tcPr>
            <w:tcW w:w="2407" w:type="dxa"/>
            <w:shd w:val="clear" w:color="auto" w:fill="auto"/>
            <w:vAlign w:val="bottom"/>
          </w:tcPr>
          <w:p w14:paraId="574AE1C0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356D1" w14:textId="32F2F8B8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6887C" w14:textId="6239A510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50EE0ED" w14:textId="00D771E6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D7C2D0" w14:textId="00CB8C3B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E594975" w14:textId="004F7771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63C134" w14:textId="0AEA3FE9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7F7CE78" w14:textId="52E90217" w:rsidR="00AD247B" w:rsidRPr="008A6E7C" w:rsidRDefault="007B1B62" w:rsidP="00AD247B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8B89E9E" w14:textId="5A30B3B4" w:rsidR="00AD247B" w:rsidRPr="008A6E7C" w:rsidRDefault="00AD247B" w:rsidP="00AD247B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AD247B" w:rsidRPr="00E0102C" w14:paraId="315BD624" w14:textId="77777777" w:rsidTr="00BD2BD8">
        <w:tc>
          <w:tcPr>
            <w:tcW w:w="2407" w:type="dxa"/>
            <w:shd w:val="clear" w:color="auto" w:fill="auto"/>
            <w:vAlign w:val="bottom"/>
          </w:tcPr>
          <w:p w14:paraId="4F2C5EB9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3ABA18" w14:textId="3736AD95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21139" w14:textId="7B50DE1F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65B7DC4" w14:textId="394150C5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F49BAC" w14:textId="1D60781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904FCA9" w14:textId="0D80EA3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F5DBDCD" w14:textId="573D9EB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A475C95" w14:textId="5069A350" w:rsidR="00AD247B" w:rsidRPr="008A6E7C" w:rsidRDefault="00734EF0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B78451" w14:textId="510B7175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AD247B" w:rsidRPr="00E0102C" w14:paraId="489BD644" w14:textId="77777777" w:rsidTr="00BD2BD8">
        <w:tc>
          <w:tcPr>
            <w:tcW w:w="2407" w:type="dxa"/>
            <w:shd w:val="clear" w:color="auto" w:fill="auto"/>
            <w:vAlign w:val="bottom"/>
          </w:tcPr>
          <w:p w14:paraId="2B32FE31" w14:textId="77777777" w:rsidR="00AD247B" w:rsidRPr="00E0102C" w:rsidRDefault="00AD247B" w:rsidP="00AD247B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4E72D8" w14:textId="5D9677EE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98A888" w14:textId="0A1DB55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8617A3" w14:textId="2C276E72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445A4D3" w14:textId="3E820CF6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D136FA" w14:textId="657CC9FF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36E645" w14:textId="5B085159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2CA98C" w14:textId="21E30C03" w:rsidR="00AD247B" w:rsidRPr="008A6E7C" w:rsidRDefault="00734EF0" w:rsidP="00AD247B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7160CF" w14:textId="02C796D4" w:rsidR="00AD247B" w:rsidRPr="008A6E7C" w:rsidRDefault="00AD247B" w:rsidP="00AD247B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1D77CC4A" w14:textId="77777777" w:rsidR="00A272F6" w:rsidRPr="00E0102C" w:rsidRDefault="00A272F6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14:paraId="17E507B4" w14:textId="77777777" w:rsidR="00AD34B4" w:rsidRPr="00E0102C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E0102C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E0102C">
        <w:rPr>
          <w:rFonts w:ascii="Fira Sans" w:hAnsi="Fira Sans"/>
          <w:b/>
          <w:szCs w:val="19"/>
        </w:rPr>
        <w:t xml:space="preserve"> </w:t>
      </w:r>
    </w:p>
    <w:p w14:paraId="48654F8B" w14:textId="2625436C" w:rsidR="0048231B" w:rsidRPr="00E0102C" w:rsidRDefault="0048231B" w:rsidP="0048231B">
      <w:pPr>
        <w:rPr>
          <w:shd w:val="clear" w:color="auto" w:fill="FFFFFF"/>
        </w:rPr>
      </w:pPr>
      <w:r w:rsidRPr="00E0102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E0102C">
        <w:rPr>
          <w:rFonts w:cs="Arial"/>
          <w:szCs w:val="19"/>
        </w:rPr>
        <w:t>–</w:t>
      </w:r>
      <w:r w:rsidR="00684163" w:rsidRPr="00E0102C">
        <w:rPr>
          <w:rFonts w:cs="Arial"/>
          <w:szCs w:val="19"/>
        </w:rPr>
        <w:t xml:space="preserve"> </w:t>
      </w:r>
      <w:r w:rsidR="00C662F0" w:rsidRPr="00E0102C">
        <w:rPr>
          <w:rFonts w:eastAsiaTheme="minorEastAsia" w:cs="Fira Sans"/>
          <w:color w:val="000000"/>
          <w:szCs w:val="19"/>
          <w:lang w:eastAsia="pl-PL"/>
        </w:rPr>
        <w:t xml:space="preserve">1 005,9 </w:t>
      </w:r>
      <w:r w:rsidRPr="00E0102C">
        <w:rPr>
          <w:rFonts w:cs="Arial"/>
          <w:spacing w:val="-3"/>
          <w:szCs w:val="19"/>
        </w:rPr>
        <w:t>mld</w:t>
      </w:r>
      <w:r w:rsidR="004921B7" w:rsidRPr="00E0102C">
        <w:rPr>
          <w:rFonts w:cs="Arial"/>
          <w:spacing w:val="-3"/>
          <w:szCs w:val="19"/>
        </w:rPr>
        <w:t xml:space="preserve"> </w:t>
      </w:r>
      <w:r w:rsidR="00A52A97" w:rsidRPr="00E0102C">
        <w:rPr>
          <w:rFonts w:cs="Arial"/>
          <w:spacing w:val="-3"/>
          <w:szCs w:val="19"/>
        </w:rPr>
        <w:t>PLN</w:t>
      </w:r>
      <w:r w:rsidRPr="00E0102C">
        <w:rPr>
          <w:rFonts w:cs="Arial"/>
          <w:spacing w:val="-3"/>
          <w:szCs w:val="19"/>
        </w:rPr>
        <w:t xml:space="preserve">, w tym z UE – </w:t>
      </w:r>
      <w:r w:rsidR="00C662F0" w:rsidRPr="00E0102C">
        <w:rPr>
          <w:rFonts w:eastAsiaTheme="minorEastAsia" w:cs="Fira Sans"/>
          <w:color w:val="000000"/>
          <w:szCs w:val="19"/>
          <w:lang w:eastAsia="pl-PL"/>
        </w:rPr>
        <w:t xml:space="preserve">896,8 </w:t>
      </w:r>
      <w:r w:rsidRPr="00E0102C">
        <w:rPr>
          <w:rFonts w:cs="Arial"/>
          <w:spacing w:val="-3"/>
          <w:szCs w:val="19"/>
        </w:rPr>
        <w:t>mld</w:t>
      </w:r>
      <w:r w:rsidR="004921B7" w:rsidRPr="00E0102C">
        <w:rPr>
          <w:rFonts w:cs="Arial"/>
          <w:spacing w:val="-3"/>
          <w:szCs w:val="19"/>
        </w:rPr>
        <w:t xml:space="preserve"> </w:t>
      </w:r>
      <w:r w:rsidR="00A52A97" w:rsidRPr="00E0102C">
        <w:rPr>
          <w:rFonts w:cs="Arial"/>
          <w:spacing w:val="-3"/>
          <w:szCs w:val="19"/>
        </w:rPr>
        <w:t>PLN</w:t>
      </w:r>
      <w:r w:rsidR="009D3C24" w:rsidRPr="00E0102C">
        <w:rPr>
          <w:rFonts w:cs="Arial"/>
          <w:spacing w:val="-3"/>
          <w:szCs w:val="19"/>
        </w:rPr>
        <w:t>. W analogicznym okresie 202</w:t>
      </w:r>
      <w:r w:rsidR="00617516" w:rsidRPr="00E0102C">
        <w:rPr>
          <w:rFonts w:cs="Arial"/>
          <w:spacing w:val="-3"/>
          <w:szCs w:val="19"/>
        </w:rPr>
        <w:t>4</w:t>
      </w:r>
      <w:r w:rsidR="009D3C24" w:rsidRPr="00E0102C">
        <w:rPr>
          <w:rFonts w:cs="Arial"/>
          <w:spacing w:val="-3"/>
          <w:szCs w:val="19"/>
        </w:rPr>
        <w:t xml:space="preserve"> r. obroty te wyniosły</w:t>
      </w:r>
      <w:r w:rsidRPr="00E0102C">
        <w:rPr>
          <w:rFonts w:cs="Arial"/>
          <w:spacing w:val="-3"/>
          <w:szCs w:val="19"/>
        </w:rPr>
        <w:t xml:space="preserve"> </w:t>
      </w:r>
      <w:r w:rsidR="00C662F0" w:rsidRPr="00E0102C">
        <w:rPr>
          <w:rFonts w:eastAsiaTheme="minorEastAsia" w:cs="Fira Sans"/>
          <w:color w:val="000000"/>
          <w:szCs w:val="19"/>
          <w:lang w:eastAsia="pl-PL"/>
        </w:rPr>
        <w:t xml:space="preserve">967,1 </w:t>
      </w:r>
      <w:r w:rsidRPr="00E0102C">
        <w:rPr>
          <w:rFonts w:cs="Arial"/>
          <w:spacing w:val="-3"/>
          <w:szCs w:val="19"/>
        </w:rPr>
        <w:t>mld</w:t>
      </w:r>
      <w:r w:rsidR="004921B7" w:rsidRPr="00E0102C">
        <w:rPr>
          <w:rFonts w:cs="Arial"/>
          <w:spacing w:val="-3"/>
          <w:szCs w:val="19"/>
        </w:rPr>
        <w:t xml:space="preserve"> </w:t>
      </w:r>
      <w:r w:rsidR="00A52A97" w:rsidRPr="00E0102C">
        <w:rPr>
          <w:rFonts w:cs="Arial"/>
          <w:spacing w:val="-3"/>
          <w:szCs w:val="19"/>
        </w:rPr>
        <w:t>PLN</w:t>
      </w:r>
      <w:r w:rsidRPr="00E0102C">
        <w:rPr>
          <w:rFonts w:cs="Arial"/>
          <w:spacing w:val="-3"/>
          <w:szCs w:val="19"/>
        </w:rPr>
        <w:t xml:space="preserve">, w tym z </w:t>
      </w:r>
      <w:r w:rsidR="00F657FD" w:rsidRPr="00E0102C">
        <w:rPr>
          <w:rFonts w:cs="Arial"/>
          <w:spacing w:val="-3"/>
          <w:szCs w:val="19"/>
        </w:rPr>
        <w:t xml:space="preserve">UE </w:t>
      </w:r>
      <w:r w:rsidR="00C662F0" w:rsidRPr="00E0102C">
        <w:rPr>
          <w:rFonts w:eastAsiaTheme="minorEastAsia" w:cs="Fira Sans"/>
          <w:color w:val="000000"/>
          <w:szCs w:val="19"/>
          <w:lang w:eastAsia="pl-PL"/>
        </w:rPr>
        <w:t xml:space="preserve">863,7 </w:t>
      </w:r>
      <w:r w:rsidRPr="00E0102C">
        <w:rPr>
          <w:rFonts w:cs="Arial"/>
          <w:spacing w:val="-3"/>
          <w:szCs w:val="19"/>
        </w:rPr>
        <w:t>mld</w:t>
      </w:r>
      <w:r w:rsidR="004921B7" w:rsidRPr="00E0102C">
        <w:rPr>
          <w:rFonts w:cs="Arial"/>
          <w:spacing w:val="-3"/>
        </w:rPr>
        <w:t xml:space="preserve"> </w:t>
      </w:r>
      <w:r w:rsidR="00A52A97" w:rsidRPr="00E0102C">
        <w:rPr>
          <w:rFonts w:cs="Arial"/>
          <w:spacing w:val="-3"/>
        </w:rPr>
        <w:t>PLN</w:t>
      </w:r>
      <w:r w:rsidR="009D3C24" w:rsidRPr="00E0102C">
        <w:rPr>
          <w:rFonts w:cs="Arial"/>
          <w:spacing w:val="-3"/>
        </w:rPr>
        <w:t>.</w:t>
      </w:r>
      <w:r w:rsidR="00A33FD1" w:rsidRPr="00E0102C">
        <w:rPr>
          <w:rFonts w:cs="Arial"/>
          <w:spacing w:val="-3"/>
        </w:rPr>
        <w:t xml:space="preserve"> </w:t>
      </w:r>
    </w:p>
    <w:p w14:paraId="71A96873" w14:textId="77777777" w:rsidR="00490CCF" w:rsidRPr="00E0102C" w:rsidRDefault="00490CCF" w:rsidP="0048231B">
      <w:pPr>
        <w:rPr>
          <w:shd w:val="clear" w:color="auto" w:fill="FFFFFF"/>
        </w:rPr>
      </w:pPr>
    </w:p>
    <w:p w14:paraId="0B1905A2" w14:textId="77777777" w:rsidR="00AE636C" w:rsidRPr="00E0102C" w:rsidRDefault="0048231B" w:rsidP="00366025">
      <w:pPr>
        <w:rPr>
          <w:b/>
          <w:sz w:val="18"/>
          <w:szCs w:val="18"/>
          <w:shd w:val="clear" w:color="auto" w:fill="FFFFFF"/>
        </w:rPr>
      </w:pPr>
      <w:r w:rsidRPr="00E0102C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E0102C">
        <w:rPr>
          <w:rFonts w:cs="Arial"/>
          <w:b/>
          <w:spacing w:val="-3"/>
          <w:sz w:val="18"/>
          <w:szCs w:val="18"/>
        </w:rPr>
        <w:t>3</w:t>
      </w:r>
      <w:r w:rsidRPr="00E0102C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E0102C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E0102C" w14:paraId="31758FB0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59F9C315" w14:textId="77777777" w:rsidR="0051165C" w:rsidRPr="00E0102C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5DBDF569" w14:textId="4E4CDC9A" w:rsidR="0051165C" w:rsidRPr="00E0102C" w:rsidRDefault="001B135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A72989" w:rsidRPr="00E0102C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14:paraId="5B7CB5DA" w14:textId="77777777" w:rsidR="0051165C" w:rsidRPr="00E0102C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202</w:t>
            </w:r>
            <w:r w:rsidR="00E57320" w:rsidRPr="00E0102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14:paraId="5A595DEF" w14:textId="77777777" w:rsidR="0051165C" w:rsidRPr="00E0102C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</w:t>
            </w:r>
            <w:r w:rsidR="0009617A" w:rsidRPr="00E0102C">
              <w:rPr>
                <w:rFonts w:cs="Arial"/>
                <w:sz w:val="16"/>
                <w:szCs w:val="16"/>
              </w:rPr>
              <w:t>2</w:t>
            </w:r>
            <w:r w:rsidR="00E57320" w:rsidRPr="00E0102C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E0102C" w14:paraId="74FAA065" w14:textId="77777777" w:rsidTr="00BD2BD8">
        <w:trPr>
          <w:trHeight w:val="705"/>
        </w:trPr>
        <w:tc>
          <w:tcPr>
            <w:tcW w:w="2268" w:type="dxa"/>
            <w:vMerge/>
          </w:tcPr>
          <w:p w14:paraId="06162211" w14:textId="77777777" w:rsidR="00026476" w:rsidRPr="00E0102C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A259276" w14:textId="77777777" w:rsidR="00026476" w:rsidRPr="00E0102C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2E7079C2" w14:textId="2AB1B41B" w:rsidR="00026476" w:rsidRPr="00E0102C" w:rsidRDefault="001B135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026476" w:rsidRPr="00E0102C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14:paraId="2BFBC67E" w14:textId="7224DFD7" w:rsidR="00026476" w:rsidRPr="00E0102C" w:rsidRDefault="001B135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</w:p>
        </w:tc>
      </w:tr>
      <w:tr w:rsidR="00E54FAC" w:rsidRPr="00E0102C" w14:paraId="262BCCDC" w14:textId="77777777" w:rsidTr="00BD2BD8">
        <w:trPr>
          <w:trHeight w:val="279"/>
        </w:trPr>
        <w:tc>
          <w:tcPr>
            <w:tcW w:w="2268" w:type="dxa"/>
            <w:vMerge/>
          </w:tcPr>
          <w:p w14:paraId="4DE82D9D" w14:textId="77777777" w:rsidR="00E54FAC" w:rsidRPr="00E0102C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F2AC1AA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6548A9A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7455E260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1DDA7211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6056ACF2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7835B7A5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FD33F2F" w14:textId="77777777" w:rsidR="00E54FAC" w:rsidRPr="00E0102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D247B" w:rsidRPr="00E0102C" w14:paraId="7938DE82" w14:textId="77777777" w:rsidTr="00BD2BD8">
        <w:trPr>
          <w:trHeight w:val="342"/>
        </w:trPr>
        <w:tc>
          <w:tcPr>
            <w:tcW w:w="2268" w:type="dxa"/>
            <w:vAlign w:val="center"/>
          </w:tcPr>
          <w:p w14:paraId="795EE524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E0102C">
              <w:rPr>
                <w:rFonts w:cs="Arial"/>
                <w:sz w:val="16"/>
                <w:szCs w:val="16"/>
              </w:rPr>
              <w:t>(wg kraju wysyłki)</w:t>
            </w:r>
            <w:r w:rsidRPr="00E0102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8899262" w14:textId="618D36B6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1312,2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C1A0A0" w14:textId="139469B8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345,6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3C10F5" w14:textId="39FC338B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309,3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638A5B" w14:textId="523DF62B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BBF8893" w14:textId="2C3E863E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DE715C4" w14:textId="1B778BFA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3ADA0B" w14:textId="64764A2E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DCBA9AB" w14:textId="4BE448CF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D247B" w:rsidRPr="00E0102C" w14:paraId="61790991" w14:textId="77777777" w:rsidTr="00BD2BD8">
        <w:trPr>
          <w:trHeight w:val="352"/>
        </w:trPr>
        <w:tc>
          <w:tcPr>
            <w:tcW w:w="2268" w:type="dxa"/>
            <w:vAlign w:val="center"/>
          </w:tcPr>
          <w:p w14:paraId="15BD15D1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1FABEAE" w14:textId="3DAA718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1005,9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71E530" w14:textId="52E549C0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264,9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B724352" w14:textId="7C62940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237,1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98D754F" w14:textId="78757E5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DA2D58" w14:textId="29C095F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70A540B" w14:textId="78B05E0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472A59" w14:textId="346C438D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307804" w14:textId="130D396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76,7</w:t>
            </w:r>
          </w:p>
        </w:tc>
      </w:tr>
      <w:tr w:rsidR="00AD247B" w:rsidRPr="00E0102C" w14:paraId="1F0B784E" w14:textId="77777777" w:rsidTr="00BD2BD8">
        <w:trPr>
          <w:trHeight w:val="316"/>
        </w:trPr>
        <w:tc>
          <w:tcPr>
            <w:tcW w:w="2268" w:type="dxa"/>
            <w:vAlign w:val="center"/>
          </w:tcPr>
          <w:p w14:paraId="7B70F0E4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6D64647" w14:textId="10513F4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896,8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52D78D" w14:textId="37A6654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236,2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241A2E" w14:textId="49D8489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211,4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0D4E60" w14:textId="715D606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846F6D" w14:textId="3730341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AB36511" w14:textId="77109C09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39070E" w14:textId="31A83CD0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081AD" w14:textId="78AB490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68,3</w:t>
            </w:r>
          </w:p>
        </w:tc>
      </w:tr>
      <w:tr w:rsidR="00AD247B" w:rsidRPr="00E0102C" w14:paraId="7AAE67FE" w14:textId="77777777" w:rsidTr="00BD2BD8">
        <w:trPr>
          <w:trHeight w:val="352"/>
        </w:trPr>
        <w:tc>
          <w:tcPr>
            <w:tcW w:w="2268" w:type="dxa"/>
            <w:vAlign w:val="center"/>
          </w:tcPr>
          <w:p w14:paraId="1613137E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DF835D" w14:textId="4B36A10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732,9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BF88A3" w14:textId="61A581F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193,1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E9A6CF" w14:textId="2DCD756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172,8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9B14BFB" w14:textId="4544028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BCD4E6" w14:textId="69D8A6B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4402092" w14:textId="55887BD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B2E508A" w14:textId="72EFE28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D4A442" w14:textId="3B844F8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55,9</w:t>
            </w:r>
          </w:p>
        </w:tc>
      </w:tr>
      <w:tr w:rsidR="00AD247B" w:rsidRPr="00E0102C" w14:paraId="26A558F6" w14:textId="77777777" w:rsidTr="00BD2BD8">
        <w:trPr>
          <w:trHeight w:val="342"/>
        </w:trPr>
        <w:tc>
          <w:tcPr>
            <w:tcW w:w="2268" w:type="dxa"/>
            <w:vAlign w:val="center"/>
          </w:tcPr>
          <w:p w14:paraId="0FD86A65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C76668D" w14:textId="25F7963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5492276" w14:textId="14967FA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BBF0CB" w14:textId="1F121843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11731C" w14:textId="643ECD0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279F16E" w14:textId="675AD92D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B2FF742" w14:textId="7A2BD20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2D60D6" w14:textId="6BBF4D6D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E8E4FB" w14:textId="1583F6FC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</w:tr>
      <w:tr w:rsidR="00AD247B" w:rsidRPr="00E0102C" w14:paraId="70EF9C7C" w14:textId="77777777" w:rsidTr="00BD2BD8">
        <w:trPr>
          <w:trHeight w:val="355"/>
        </w:trPr>
        <w:tc>
          <w:tcPr>
            <w:tcW w:w="2268" w:type="dxa"/>
            <w:vAlign w:val="center"/>
          </w:tcPr>
          <w:p w14:paraId="30529ECC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0102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E0102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A2D23F" w14:textId="63169B9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68A86F" w14:textId="5E07BB5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3127360" w14:textId="38BCA8A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5E12DE7" w14:textId="55B733C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AAAAC7E" w14:textId="166E63A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0A832BF" w14:textId="6C5E811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FAF7C1E" w14:textId="6F3ABFA9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393D40" w14:textId="594379C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</w:tr>
      <w:tr w:rsidR="00AD247B" w:rsidRPr="00E0102C" w14:paraId="23FA3F10" w14:textId="77777777" w:rsidTr="00BD2BD8">
        <w:trPr>
          <w:trHeight w:val="342"/>
        </w:trPr>
        <w:tc>
          <w:tcPr>
            <w:tcW w:w="2268" w:type="dxa"/>
            <w:vAlign w:val="center"/>
          </w:tcPr>
          <w:p w14:paraId="335331E4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9ADC096" w14:textId="5E9C989A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-21,5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C1FC48" w14:textId="1A073C64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F81C10" w14:textId="1E89D8D7" w:rsidR="00AD247B" w:rsidRPr="008A6E7C" w:rsidRDefault="00AD247B" w:rsidP="00AD247B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b/>
                <w:bCs/>
                <w:color w:val="000000"/>
                <w:sz w:val="16"/>
                <w:szCs w:val="16"/>
              </w:rPr>
              <w:t>-5,1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597DB7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38782C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B670DA5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834EBA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7022F6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AD247B" w:rsidRPr="00E0102C" w14:paraId="719E3CE2" w14:textId="77777777" w:rsidTr="00BD2BD8">
        <w:trPr>
          <w:trHeight w:val="352"/>
        </w:trPr>
        <w:tc>
          <w:tcPr>
            <w:tcW w:w="2268" w:type="dxa"/>
            <w:vAlign w:val="center"/>
          </w:tcPr>
          <w:p w14:paraId="525220DA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3C33572" w14:textId="1108434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E61F9E" w14:textId="3E01FFB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57DBFF" w14:textId="03F1DF5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9F992F" w14:textId="77777777" w:rsidR="00AD247B" w:rsidRPr="008A6E7C" w:rsidRDefault="00AD247B" w:rsidP="00AD247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C467DC" w14:textId="77777777" w:rsidR="00AD247B" w:rsidRPr="008A6E7C" w:rsidRDefault="00AD247B" w:rsidP="00AD247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CD116D8" w14:textId="77777777" w:rsidR="00AD247B" w:rsidRPr="008A6E7C" w:rsidRDefault="00AD247B" w:rsidP="00AD247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6657F2" w14:textId="77777777" w:rsidR="00AD247B" w:rsidRPr="008A6E7C" w:rsidRDefault="00AD247B" w:rsidP="00AD247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48EC4D" w14:textId="77777777" w:rsidR="00AD247B" w:rsidRPr="008A6E7C" w:rsidRDefault="00AD247B" w:rsidP="00AD247B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AD247B" w:rsidRPr="00E0102C" w14:paraId="10A2A2B7" w14:textId="77777777" w:rsidTr="00BD2BD8">
        <w:trPr>
          <w:trHeight w:val="342"/>
        </w:trPr>
        <w:tc>
          <w:tcPr>
            <w:tcW w:w="2268" w:type="dxa"/>
            <w:vAlign w:val="center"/>
          </w:tcPr>
          <w:p w14:paraId="5E928E21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76374B6" w14:textId="2E05CA4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813318" w14:textId="120AEBE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921CC6" w14:textId="4102746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66B7E9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AA59A2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53D7C96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2E14D13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856AFC9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AD247B" w:rsidRPr="00E0102C" w14:paraId="77F526F7" w14:textId="77777777" w:rsidTr="00BD2BD8">
        <w:trPr>
          <w:trHeight w:val="313"/>
        </w:trPr>
        <w:tc>
          <w:tcPr>
            <w:tcW w:w="2268" w:type="dxa"/>
            <w:vAlign w:val="center"/>
          </w:tcPr>
          <w:p w14:paraId="4A490126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BDF142" w14:textId="702B238C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DD64BE" w14:textId="0A3F177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A6E98EE" w14:textId="55FF0F9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FED9603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A0C9BA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67E033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10F97D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401F15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AD247B" w:rsidRPr="00E0102C" w14:paraId="48873D21" w14:textId="77777777" w:rsidTr="00BD2BD8">
        <w:trPr>
          <w:trHeight w:val="405"/>
        </w:trPr>
        <w:tc>
          <w:tcPr>
            <w:tcW w:w="2268" w:type="dxa"/>
            <w:vAlign w:val="center"/>
          </w:tcPr>
          <w:p w14:paraId="12E4D6BB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00E874B" w14:textId="6A80C7E3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-180,1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8692D65" w14:textId="1DB828E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-47,5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FF8448" w14:textId="01B6F95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-42,5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82C374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911860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660EF8A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D28B12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2E412D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AD247B" w:rsidRPr="00E0102C" w14:paraId="6FE459F4" w14:textId="77777777" w:rsidTr="00BD2BD8">
        <w:trPr>
          <w:trHeight w:val="258"/>
        </w:trPr>
        <w:tc>
          <w:tcPr>
            <w:tcW w:w="2268" w:type="dxa"/>
            <w:vAlign w:val="center"/>
          </w:tcPr>
          <w:p w14:paraId="0740F668" w14:textId="77777777" w:rsidR="00AD247B" w:rsidRPr="00E0102C" w:rsidRDefault="00AD247B" w:rsidP="00AD24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23997F8" w14:textId="2A5B5F6C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687FB08" w14:textId="56FE7E2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B63800" w14:textId="192118C9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E8F2687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C5CA4D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2EEF431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1ADE56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D03740" w14:textId="7777777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</w:tbl>
    <w:p w14:paraId="265BDF53" w14:textId="77777777" w:rsidR="00F71623" w:rsidRPr="00E0102C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E0102C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E0102C">
        <w:rPr>
          <w:rFonts w:ascii="Fira Sans" w:hAnsi="Fira Sans"/>
          <w:b/>
          <w:szCs w:val="19"/>
        </w:rPr>
        <w:t>e</w:t>
      </w:r>
    </w:p>
    <w:p w14:paraId="2D934C65" w14:textId="567B208B" w:rsidR="00393B0C" w:rsidRPr="00E0102C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E0102C">
        <w:rPr>
          <w:b w:val="0"/>
        </w:rPr>
        <w:t>Udział Niemiec</w:t>
      </w:r>
      <w:r w:rsidR="00F94C00" w:rsidRPr="00E0102C">
        <w:rPr>
          <w:b w:val="0"/>
        </w:rPr>
        <w:t xml:space="preserve"> w imporcie według </w:t>
      </w:r>
      <w:r w:rsidRPr="00E0102C">
        <w:rPr>
          <w:b w:val="0"/>
        </w:rPr>
        <w:t>kraju wysyłki</w:t>
      </w:r>
      <w:r w:rsidR="009D3C24" w:rsidRPr="00E0102C">
        <w:rPr>
          <w:b w:val="0"/>
        </w:rPr>
        <w:t xml:space="preserve"> był o </w:t>
      </w:r>
      <w:bookmarkStart w:id="17" w:name="_Hlk205885441"/>
      <w:r w:rsidR="00136405" w:rsidRPr="00E0102C">
        <w:rPr>
          <w:b w:val="0"/>
        </w:rPr>
        <w:t>6,</w:t>
      </w:r>
      <w:bookmarkEnd w:id="17"/>
      <w:r w:rsidR="00D90172" w:rsidRPr="00E0102C">
        <w:rPr>
          <w:b w:val="0"/>
        </w:rPr>
        <w:t>4</w:t>
      </w:r>
      <w:r w:rsidR="00F46A69" w:rsidRPr="00E0102C">
        <w:rPr>
          <w:b w:val="0"/>
        </w:rPr>
        <w:t xml:space="preserve"> </w:t>
      </w:r>
      <w:r w:rsidR="009D3C24" w:rsidRPr="00E0102C">
        <w:rPr>
          <w:b w:val="0"/>
        </w:rPr>
        <w:t>p. proc. większy</w:t>
      </w:r>
      <w:r w:rsidRPr="00E0102C">
        <w:rPr>
          <w:b w:val="0"/>
        </w:rPr>
        <w:t xml:space="preserve"> w porównaniu z importem według kraju pochodzenia</w:t>
      </w:r>
      <w:r w:rsidR="009D3C24" w:rsidRPr="00E0102C">
        <w:rPr>
          <w:b w:val="0"/>
        </w:rPr>
        <w:t>. Udział</w:t>
      </w:r>
      <w:r w:rsidRPr="00E0102C">
        <w:rPr>
          <w:b w:val="0"/>
        </w:rPr>
        <w:t xml:space="preserve"> Holandii</w:t>
      </w:r>
      <w:r w:rsidR="009D3C24" w:rsidRPr="00E0102C">
        <w:rPr>
          <w:b w:val="0"/>
        </w:rPr>
        <w:t xml:space="preserve"> był większy</w:t>
      </w:r>
      <w:r w:rsidRPr="00E0102C">
        <w:rPr>
          <w:b w:val="0"/>
        </w:rPr>
        <w:t xml:space="preserve"> odpowiednio o </w:t>
      </w:r>
      <w:bookmarkStart w:id="18" w:name="_Hlk205885451"/>
      <w:r w:rsidR="00D90172" w:rsidRPr="00E0102C">
        <w:rPr>
          <w:b w:val="0"/>
        </w:rPr>
        <w:t>3</w:t>
      </w:r>
      <w:r w:rsidR="00136405" w:rsidRPr="00E0102C">
        <w:rPr>
          <w:b w:val="0"/>
        </w:rPr>
        <w:t>,</w:t>
      </w:r>
      <w:r w:rsidR="00D90172" w:rsidRPr="00E0102C">
        <w:rPr>
          <w:b w:val="0"/>
        </w:rPr>
        <w:t>0</w:t>
      </w:r>
      <w:r w:rsidR="00A20D00" w:rsidRPr="00E0102C">
        <w:rPr>
          <w:b w:val="0"/>
        </w:rPr>
        <w:t xml:space="preserve"> </w:t>
      </w:r>
      <w:bookmarkEnd w:id="18"/>
      <w:r w:rsidRPr="00E0102C">
        <w:rPr>
          <w:b w:val="0"/>
        </w:rPr>
        <w:t xml:space="preserve">p. proc., Belgii o </w:t>
      </w:r>
      <w:r w:rsidR="00D90172" w:rsidRPr="00E0102C">
        <w:rPr>
          <w:b w:val="0"/>
        </w:rPr>
        <w:t>1</w:t>
      </w:r>
      <w:r w:rsidR="00F46A69" w:rsidRPr="00E0102C">
        <w:rPr>
          <w:b w:val="0"/>
        </w:rPr>
        <w:t>,</w:t>
      </w:r>
      <w:r w:rsidR="00D90172" w:rsidRPr="00E0102C">
        <w:rPr>
          <w:b w:val="0"/>
        </w:rPr>
        <w:t>9</w:t>
      </w:r>
      <w:r w:rsidR="00136405" w:rsidRPr="00E0102C">
        <w:rPr>
          <w:b w:val="0"/>
        </w:rPr>
        <w:t xml:space="preserve"> </w:t>
      </w:r>
      <w:r w:rsidRPr="00E0102C">
        <w:rPr>
          <w:b w:val="0"/>
        </w:rPr>
        <w:t xml:space="preserve">p. proc., </w:t>
      </w:r>
      <w:r w:rsidR="004E6FA6" w:rsidRPr="00E0102C">
        <w:rPr>
          <w:b w:val="0"/>
        </w:rPr>
        <w:t xml:space="preserve">Czech o </w:t>
      </w:r>
      <w:r w:rsidR="00136405" w:rsidRPr="00E0102C">
        <w:rPr>
          <w:b w:val="0"/>
        </w:rPr>
        <w:t>1,</w:t>
      </w:r>
      <w:r w:rsidR="00D90172" w:rsidRPr="00E0102C">
        <w:rPr>
          <w:b w:val="0"/>
        </w:rPr>
        <w:t>0</w:t>
      </w:r>
      <w:r w:rsidR="00136405" w:rsidRPr="00E0102C">
        <w:rPr>
          <w:b w:val="0"/>
        </w:rPr>
        <w:t xml:space="preserve"> </w:t>
      </w:r>
      <w:r w:rsidR="004E6FA6" w:rsidRPr="00E0102C">
        <w:rPr>
          <w:b w:val="0"/>
        </w:rPr>
        <w:t>p. proc.,</w:t>
      </w:r>
      <w:r w:rsidR="00DA798B" w:rsidRPr="00E0102C">
        <w:rPr>
          <w:b w:val="0"/>
        </w:rPr>
        <w:t xml:space="preserve"> </w:t>
      </w:r>
      <w:r w:rsidR="004E6FA6" w:rsidRPr="00E0102C">
        <w:rPr>
          <w:b w:val="0"/>
        </w:rPr>
        <w:t xml:space="preserve">a </w:t>
      </w:r>
      <w:r w:rsidR="003F3687" w:rsidRPr="00E0102C">
        <w:rPr>
          <w:b w:val="0"/>
        </w:rPr>
        <w:t xml:space="preserve">Francji o </w:t>
      </w:r>
      <w:bookmarkStart w:id="19" w:name="_Hlk161085853"/>
      <w:r w:rsidR="008F5EE3" w:rsidRPr="00E0102C">
        <w:rPr>
          <w:b w:val="0"/>
        </w:rPr>
        <w:t>0,</w:t>
      </w:r>
      <w:r w:rsidR="00D90172" w:rsidRPr="00E0102C">
        <w:rPr>
          <w:b w:val="0"/>
        </w:rPr>
        <w:t>7</w:t>
      </w:r>
      <w:r w:rsidR="003F3687" w:rsidRPr="00E0102C">
        <w:rPr>
          <w:b w:val="0"/>
        </w:rPr>
        <w:t xml:space="preserve"> </w:t>
      </w:r>
      <w:bookmarkEnd w:id="19"/>
      <w:r w:rsidR="003F3687" w:rsidRPr="00E0102C">
        <w:rPr>
          <w:b w:val="0"/>
        </w:rPr>
        <w:t>p. proc.</w:t>
      </w:r>
      <w:r w:rsidR="00A33FD1" w:rsidRPr="00E0102C">
        <w:rPr>
          <w:b w:val="0"/>
        </w:rPr>
        <w:t xml:space="preserve"> </w:t>
      </w:r>
    </w:p>
    <w:p w14:paraId="06E67EFC" w14:textId="77777777" w:rsidR="00393B0C" w:rsidRPr="00E0102C" w:rsidRDefault="00393B0C" w:rsidP="00393B0C">
      <w:pPr>
        <w:pStyle w:val="Tytutablicy"/>
      </w:pPr>
      <w:r w:rsidRPr="00E0102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6D36886" wp14:editId="66D6EFEC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5,8 p. proc. od importu według kraju pochodzenia &#10;Udział Stanów Zjednoczonych w imporcie według kraju wysyłki był o 1,3 p. proc. mniejszy w porównaniu z importem według kraju pochodzenia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2C4" w14:textId="37E48669" w:rsidR="009E71B5" w:rsidRDefault="009E71B5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6B3A68">
                              <w:t>5,</w:t>
                            </w:r>
                            <w:r>
                              <w:t>8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</w:p>
                          <w:p w14:paraId="047A251C" w14:textId="72936DA3" w:rsidR="009E71B5" w:rsidRDefault="009E71B5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3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14:paraId="5CEE56B9" w14:textId="77777777" w:rsidR="009E71B5" w:rsidRPr="00BE7876" w:rsidRDefault="009E71B5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6886" id="_x0000_s1033" type="#_x0000_t202" alt="Udział importu z Chin według kraju wysyłki był mniejszy o 5,8 p. proc. od importu według kraju pochodzenia &#10;Udział Stanów Zjednoczonych w imporcie według kraju wysyłki był o 1,3 p. proc. mniejszy w porównaniu z importem według kraju pochodzenia&#10;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" filled="f" stroked="f">
                <v:textbox>
                  <w:txbxContent>
                    <w:p w14:paraId="0E5C42C4" w14:textId="37E48669" w:rsidR="009E71B5" w:rsidRDefault="009E71B5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6B3A68">
                        <w:t>5,</w:t>
                      </w:r>
                      <w:r>
                        <w:t>8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</w:p>
                    <w:p w14:paraId="047A251C" w14:textId="72936DA3" w:rsidR="009E71B5" w:rsidRDefault="009E71B5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3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14:paraId="5CEE56B9" w14:textId="77777777" w:rsidR="009E71B5" w:rsidRPr="00BE7876" w:rsidRDefault="009E71B5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E0102C">
        <w:t xml:space="preserve">Tablica 4. Import według kraju wysyłki </w:t>
      </w:r>
      <w:r w:rsidRPr="00E0102C">
        <w:rPr>
          <w:shd w:val="clear" w:color="auto" w:fill="FFFFFF"/>
        </w:rPr>
        <w:t>–</w:t>
      </w:r>
      <w:r w:rsidRPr="00E0102C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E0102C" w14:paraId="5D13EBD0" w14:textId="77777777" w:rsidTr="00BD2BD8">
        <w:trPr>
          <w:trHeight w:val="269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53A2372D" w14:textId="77777777" w:rsidR="005A00B1" w:rsidRPr="00E0102C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</w:tcPr>
          <w:p w14:paraId="112BAAF1" w14:textId="69101B95" w:rsidR="005A00B1" w:rsidRPr="00E0102C" w:rsidRDefault="001B135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5A00B1" w:rsidRPr="00E0102C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49A11D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B6ACE7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2025</w:t>
            </w:r>
          </w:p>
        </w:tc>
      </w:tr>
      <w:tr w:rsidR="005A00B1" w:rsidRPr="00E0102C" w14:paraId="255B6387" w14:textId="77777777" w:rsidTr="00BD2BD8">
        <w:trPr>
          <w:trHeight w:val="697"/>
        </w:trPr>
        <w:tc>
          <w:tcPr>
            <w:tcW w:w="2317" w:type="dxa"/>
            <w:vMerge/>
            <w:shd w:val="clear" w:color="auto" w:fill="auto"/>
          </w:tcPr>
          <w:p w14:paraId="604A78DB" w14:textId="77777777" w:rsidR="005A00B1" w:rsidRPr="00E0102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14:paraId="240B51C9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14:paraId="614D58E5" w14:textId="39B97F8C" w:rsidR="005A00B1" w:rsidRPr="00E0102C" w:rsidRDefault="001B135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  <w:r w:rsidR="005A00B1" w:rsidRPr="00E0102C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6F5830F7" w14:textId="7FE75B80" w:rsidR="005A00B1" w:rsidRPr="00E0102C" w:rsidRDefault="001B135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01-10</w:t>
            </w:r>
          </w:p>
        </w:tc>
      </w:tr>
      <w:tr w:rsidR="005A00B1" w:rsidRPr="00E0102C" w14:paraId="2A9C09EA" w14:textId="77777777" w:rsidTr="00BD2BD8">
        <w:trPr>
          <w:trHeight w:val="275"/>
        </w:trPr>
        <w:tc>
          <w:tcPr>
            <w:tcW w:w="2317" w:type="dxa"/>
            <w:vMerge/>
            <w:shd w:val="clear" w:color="auto" w:fill="auto"/>
          </w:tcPr>
          <w:p w14:paraId="3E05E5D2" w14:textId="77777777" w:rsidR="005A00B1" w:rsidRPr="00E0102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34E707A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3D9ADC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6AE003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820A7D6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7D380EE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05E92D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75CF3E75" w14:textId="77777777" w:rsidR="005A00B1" w:rsidRPr="00E0102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E0102C" w14:paraId="71AB20DA" w14:textId="77777777" w:rsidTr="00BD2BD8">
        <w:trPr>
          <w:trHeight w:val="316"/>
        </w:trPr>
        <w:tc>
          <w:tcPr>
            <w:tcW w:w="7725" w:type="dxa"/>
            <w:gridSpan w:val="9"/>
            <w:shd w:val="clear" w:color="auto" w:fill="auto"/>
            <w:vAlign w:val="center"/>
          </w:tcPr>
          <w:p w14:paraId="3F350FC7" w14:textId="77777777" w:rsidR="005A00B1" w:rsidRPr="00E0102C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0102C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AD247B" w:rsidRPr="00E0102C" w14:paraId="5FCBE975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D184A0C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7DD9C21" w14:textId="58F6C97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336,2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BBB7BCC" w14:textId="33953F2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2892AD5" w14:textId="6EC610E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33D1289" w14:textId="2368BFA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8FCCDA4" w14:textId="4B8EBE29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569C514" w14:textId="389E232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5BA4218" w14:textId="5D520036" w:rsidR="00AD247B" w:rsidRPr="008A6E7C" w:rsidRDefault="00734EF0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86648B" w14:textId="34FBA47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</w:tr>
      <w:tr w:rsidR="00AD247B" w:rsidRPr="00E0102C" w14:paraId="54007438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CC819DA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948CB3" w14:textId="6D0BBE0D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126,3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4E673F6" w14:textId="336D096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7FB8267" w14:textId="309EEAF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6C681AE" w14:textId="0BC358D3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869EF5D" w14:textId="2DA0C3C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310A5FE" w14:textId="4E648B5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BCC7A1" w14:textId="1D1BDD7D" w:rsidR="00AD247B" w:rsidRPr="008A6E7C" w:rsidRDefault="00734EF0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435AD6" w14:textId="3D9081F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</w:tr>
      <w:tr w:rsidR="00AD247B" w:rsidRPr="00E0102C" w14:paraId="7338708F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30777631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FDF437" w14:textId="2DBC5FC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8EC796" w14:textId="2F5CCC6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8B84A9" w14:textId="059B838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96CFF97" w14:textId="3129D44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96268A" w14:textId="3C34844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C513813" w14:textId="7C62DB0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2E116BC" w14:textId="3E1C8F34" w:rsidR="00AD247B" w:rsidRPr="008A6E7C" w:rsidRDefault="00734EF0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031D800" w14:textId="2D3AF3D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</w:tr>
      <w:tr w:rsidR="00AD247B" w:rsidRPr="00E0102C" w14:paraId="25507D8A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574301C1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0A720DB" w14:textId="133BB8F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A43FEE" w14:textId="698215AC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6358D83" w14:textId="43A6AF3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F82C4B1" w14:textId="6AF1A4D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6C07592" w14:textId="6409907D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06B2F84" w14:textId="326B23CF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B0AADBF" w14:textId="2B0FD7DF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B86D94" w14:textId="12F1E24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AD247B" w:rsidRPr="00E0102C" w14:paraId="325194B0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1BECE882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A080BE" w14:textId="61923D8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77D7BC" w14:textId="5655DA3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29C118D" w14:textId="6DA3C6D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bookmarkStart w:id="20" w:name="_GoBack"/>
            <w:bookmarkEnd w:id="20"/>
            <w:r w:rsidRPr="008A6E7C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5A2849" w14:textId="780DF013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5C85F19" w14:textId="67BCBC0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2F50F1C" w14:textId="180C4F4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E517484" w14:textId="1D01FA08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5EFF9DF" w14:textId="74493501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AD247B" w:rsidRPr="00E0102C" w14:paraId="15AA6D49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7EC1F202" w14:textId="2389DB11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6E4144" w14:textId="473756B3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CAC85D" w14:textId="4DA81A7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7755899" w14:textId="619EA0C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BD4C3FE" w14:textId="6D7BCBE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C6FBC05" w14:textId="6B0BFCD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58CD001" w14:textId="28D5550C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6147515" w14:textId="6EB7A39B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9DC5B60" w14:textId="77BED8B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D247B" w:rsidRPr="00E0102C" w14:paraId="4BE84846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462F434A" w14:textId="7AA5EB92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354973" w14:textId="0D24E8C4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4F72E7" w14:textId="648DF22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BF7F59C" w14:textId="0723EA9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2965EE1" w14:textId="67D7E98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DC2A54B" w14:textId="1A8125D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F4C19FF" w14:textId="6EECC2A7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58E06E8" w14:textId="1DB65FD0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ABBFC3" w14:textId="37A47394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AD247B" w:rsidRPr="00E0102C" w14:paraId="1C73077C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29297442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5DBEC0" w14:textId="105FDCD0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56B9D1F" w14:textId="4001E4BD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779224" w14:textId="583382C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22E4DCA" w14:textId="788FFA0B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56B08A3" w14:textId="139A3174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372F47" w14:textId="37A99F5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1D9D5F" w14:textId="4E0C7C66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12B1289" w14:textId="4DD6D720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AD247B" w:rsidRPr="00E0102C" w14:paraId="20842495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3F2E150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7BA758F" w14:textId="30A93B5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73CAAF7" w14:textId="6FAC75E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D77B287" w14:textId="3CA53C0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408B4FF" w14:textId="6211603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D1446D9" w14:textId="7C839B08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DEEACC0" w14:textId="1CEE1994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8662B40" w14:textId="36311758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2960680" w14:textId="230D78B6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AD247B" w:rsidRPr="00E0102C" w14:paraId="5C9682CE" w14:textId="77777777" w:rsidTr="00BD2BD8">
        <w:trPr>
          <w:trHeight w:val="316"/>
        </w:trPr>
        <w:tc>
          <w:tcPr>
            <w:tcW w:w="2317" w:type="dxa"/>
            <w:shd w:val="clear" w:color="auto" w:fill="auto"/>
            <w:vAlign w:val="bottom"/>
          </w:tcPr>
          <w:p w14:paraId="087C37EE" w14:textId="77777777" w:rsidR="00AD247B" w:rsidRPr="00E0102C" w:rsidRDefault="00AD247B" w:rsidP="00AD247B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E0102C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07A6A19" w14:textId="6ABE185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45033F" w14:textId="03711AF2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99A4A46" w14:textId="5C665DCA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F2036B9" w14:textId="6483CBC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1E02222" w14:textId="2804D33E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E8A64C4" w14:textId="1F687600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E489B0E" w14:textId="183EE4D0" w:rsidR="00AD247B" w:rsidRPr="008A6E7C" w:rsidRDefault="009F79C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27138A2" w14:textId="654E52D5" w:rsidR="00AD247B" w:rsidRPr="008A6E7C" w:rsidRDefault="00AD247B" w:rsidP="00AD247B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8A6E7C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1524FE84" w14:textId="77777777" w:rsidR="007E7738" w:rsidRPr="00E0102C" w:rsidRDefault="007E7738" w:rsidP="007E7738">
      <w:pPr>
        <w:spacing w:before="60" w:after="60"/>
        <w:rPr>
          <w:shd w:val="clear" w:color="auto" w:fill="FFFFFF"/>
        </w:rPr>
      </w:pPr>
    </w:p>
    <w:p w14:paraId="4744D416" w14:textId="77777777" w:rsidR="007E7738" w:rsidRPr="00E0102C" w:rsidRDefault="007E7738" w:rsidP="007E7738">
      <w:pPr>
        <w:spacing w:before="60" w:after="60"/>
        <w:rPr>
          <w:shd w:val="clear" w:color="auto" w:fill="FFFFFF"/>
        </w:rPr>
      </w:pPr>
    </w:p>
    <w:p w14:paraId="36892A6E" w14:textId="25183783" w:rsidR="007E7738" w:rsidRPr="00E0102C" w:rsidRDefault="007E7738" w:rsidP="0018682C">
      <w:pPr>
        <w:rPr>
          <w:strike/>
          <w:shd w:val="clear" w:color="auto" w:fill="FFFFFF"/>
        </w:rPr>
      </w:pPr>
      <w:r w:rsidRPr="00E0102C">
        <w:rPr>
          <w:shd w:val="clear" w:color="auto" w:fill="FFFFFF"/>
        </w:rPr>
        <w:t xml:space="preserve">W </w:t>
      </w:r>
      <w:r w:rsidR="006D23D1" w:rsidRPr="00E0102C">
        <w:rPr>
          <w:shd w:val="clear" w:color="auto" w:fill="FFFFFF"/>
        </w:rPr>
        <w:t>styczniu – październiku</w:t>
      </w:r>
      <w:r w:rsidRPr="00E0102C">
        <w:rPr>
          <w:shd w:val="clear" w:color="auto" w:fill="FFFFFF"/>
        </w:rPr>
        <w:t xml:space="preserve"> 2025 r. w obrotach towarowych wg nomenklatury SITC w porównaniu z analogicznym okresem 2024 r. odnotowano wzrosty w </w:t>
      </w:r>
      <w:r w:rsidR="00A864FA" w:rsidRPr="00E0102C">
        <w:rPr>
          <w:shd w:val="clear" w:color="auto" w:fill="FFFFFF"/>
        </w:rPr>
        <w:t>pięciu</w:t>
      </w:r>
      <w:r w:rsidRPr="00E0102C">
        <w:rPr>
          <w:shd w:val="clear" w:color="auto" w:fill="FFFFFF"/>
        </w:rPr>
        <w:t xml:space="preserve"> sekcjach towarowych w eksporcie, natomiast w imporcie wzrosty </w:t>
      </w:r>
      <w:r w:rsidRPr="007C4AED">
        <w:rPr>
          <w:shd w:val="clear" w:color="auto" w:fill="FFFFFF"/>
        </w:rPr>
        <w:t xml:space="preserve">odnotowano w </w:t>
      </w:r>
      <w:r w:rsidR="007C4AED">
        <w:t>ośmiu</w:t>
      </w:r>
      <w:r w:rsidR="007C4AED" w:rsidRPr="007C4AED">
        <w:rPr>
          <w:shd w:val="clear" w:color="auto" w:fill="FFFFFF"/>
        </w:rPr>
        <w:t xml:space="preserve"> </w:t>
      </w:r>
      <w:r w:rsidRPr="007C4AED">
        <w:rPr>
          <w:shd w:val="clear" w:color="auto" w:fill="FFFFFF"/>
        </w:rPr>
        <w:t>sekcjach</w:t>
      </w:r>
      <w:r w:rsidRPr="00E0102C">
        <w:rPr>
          <w:shd w:val="clear" w:color="auto" w:fill="FFFFFF"/>
        </w:rPr>
        <w:t>.</w:t>
      </w:r>
    </w:p>
    <w:p w14:paraId="472DA104" w14:textId="63AC0810" w:rsidR="007E7738" w:rsidRPr="00E0102C" w:rsidRDefault="007E7738" w:rsidP="0018682C">
      <w:pPr>
        <w:rPr>
          <w:spacing w:val="-2"/>
          <w:shd w:val="clear" w:color="auto" w:fill="FFFFFF"/>
        </w:rPr>
      </w:pPr>
      <w:r w:rsidRPr="00E0102C">
        <w:rPr>
          <w:spacing w:val="-2"/>
          <w:shd w:val="clear" w:color="auto" w:fill="FFFFFF"/>
        </w:rPr>
        <w:t>W eksporcie wzrost wystąpił w zakresie towarów i transakcji niesklasyfikowanych w SITC (o </w:t>
      </w:r>
      <w:r w:rsidR="00295A8B" w:rsidRPr="00E0102C">
        <w:rPr>
          <w:spacing w:val="-2"/>
          <w:shd w:val="clear" w:color="auto" w:fill="FFFFFF"/>
        </w:rPr>
        <w:t>33,7</w:t>
      </w:r>
      <w:r w:rsidRPr="00E0102C">
        <w:rPr>
          <w:spacing w:val="-2"/>
          <w:shd w:val="clear" w:color="auto" w:fill="FFFFFF"/>
        </w:rPr>
        <w:t>%)</w:t>
      </w:r>
      <w:r w:rsidR="008F5415" w:rsidRPr="00E0102C">
        <w:rPr>
          <w:spacing w:val="-2"/>
          <w:shd w:val="clear" w:color="auto" w:fill="FFFFFF"/>
        </w:rPr>
        <w:t>,</w:t>
      </w:r>
      <w:r w:rsidR="00434714" w:rsidRPr="00E0102C">
        <w:rPr>
          <w:spacing w:val="-2"/>
          <w:shd w:val="clear" w:color="auto" w:fill="FFFFFF"/>
        </w:rPr>
        <w:t xml:space="preserve"> </w:t>
      </w:r>
      <w:r w:rsidRPr="00E0102C">
        <w:rPr>
          <w:spacing w:val="-2"/>
          <w:shd w:val="clear" w:color="auto" w:fill="FFFFFF"/>
        </w:rPr>
        <w:t xml:space="preserve">żywności i zwierząt żywych (o </w:t>
      </w:r>
      <w:r w:rsidR="00295A8B" w:rsidRPr="00E0102C">
        <w:rPr>
          <w:spacing w:val="-2"/>
          <w:shd w:val="clear" w:color="auto" w:fill="FFFFFF"/>
        </w:rPr>
        <w:t>8,2</w:t>
      </w:r>
      <w:r w:rsidRPr="00E0102C">
        <w:rPr>
          <w:spacing w:val="-2"/>
          <w:shd w:val="clear" w:color="auto" w:fill="FFFFFF"/>
        </w:rPr>
        <w:t>%)</w:t>
      </w:r>
      <w:r w:rsidR="008F5415" w:rsidRPr="00E0102C">
        <w:rPr>
          <w:spacing w:val="-2"/>
          <w:shd w:val="clear" w:color="auto" w:fill="FFFFFF"/>
        </w:rPr>
        <w:t>, różnych wyrobów przemysłowych (o </w:t>
      </w:r>
      <w:r w:rsidR="00295A8B" w:rsidRPr="00E0102C">
        <w:rPr>
          <w:spacing w:val="-2"/>
          <w:shd w:val="clear" w:color="auto" w:fill="FFFFFF"/>
        </w:rPr>
        <w:t>3,4</w:t>
      </w:r>
      <w:r w:rsidR="008F5415" w:rsidRPr="00E0102C">
        <w:rPr>
          <w:spacing w:val="-2"/>
          <w:shd w:val="clear" w:color="auto" w:fill="FFFFFF"/>
        </w:rPr>
        <w:t>%)</w:t>
      </w:r>
      <w:r w:rsidR="006D3E69" w:rsidRPr="00E0102C">
        <w:rPr>
          <w:spacing w:val="-2"/>
          <w:shd w:val="clear" w:color="auto" w:fill="FFFFFF"/>
        </w:rPr>
        <w:t xml:space="preserve">, </w:t>
      </w:r>
      <w:r w:rsidR="008F5415" w:rsidRPr="00E0102C">
        <w:rPr>
          <w:spacing w:val="-2"/>
          <w:shd w:val="clear" w:color="auto" w:fill="FFFFFF"/>
        </w:rPr>
        <w:t xml:space="preserve">chemikaliów i produktów pokrewnych (o </w:t>
      </w:r>
      <w:r w:rsidR="00295A8B" w:rsidRPr="00E0102C">
        <w:rPr>
          <w:spacing w:val="-2"/>
          <w:shd w:val="clear" w:color="auto" w:fill="FFFFFF"/>
        </w:rPr>
        <w:t>2,2</w:t>
      </w:r>
      <w:r w:rsidR="008F5415" w:rsidRPr="00E0102C">
        <w:rPr>
          <w:spacing w:val="-2"/>
          <w:shd w:val="clear" w:color="auto" w:fill="FFFFFF"/>
        </w:rPr>
        <w:t>%</w:t>
      </w:r>
      <w:r w:rsidR="00A864FA" w:rsidRPr="00E0102C">
        <w:rPr>
          <w:spacing w:val="-2"/>
          <w:shd w:val="clear" w:color="auto" w:fill="FFFFFF"/>
        </w:rPr>
        <w:t xml:space="preserve">) oraz </w:t>
      </w:r>
      <w:r w:rsidR="00295A8B" w:rsidRPr="00E0102C">
        <w:rPr>
          <w:spacing w:val="-2"/>
          <w:shd w:val="clear" w:color="auto" w:fill="FFFFFF"/>
        </w:rPr>
        <w:t xml:space="preserve">maszyn i urządzeń transportowych (o 0,3%). </w:t>
      </w:r>
      <w:r w:rsidRPr="00E0102C">
        <w:rPr>
          <w:spacing w:val="-2"/>
          <w:shd w:val="clear" w:color="auto" w:fill="FFFFFF"/>
        </w:rPr>
        <w:t xml:space="preserve">Spadek dotyczył natomiast: </w:t>
      </w:r>
      <w:r w:rsidR="00686A7F" w:rsidRPr="00E0102C">
        <w:rPr>
          <w:spacing w:val="-2"/>
          <w:shd w:val="clear" w:color="auto" w:fill="FFFFFF"/>
        </w:rPr>
        <w:t xml:space="preserve">paliw mineralnych, smarów i materiałów pochodnych (o </w:t>
      </w:r>
      <w:r w:rsidR="00295A8B" w:rsidRPr="00E0102C">
        <w:rPr>
          <w:spacing w:val="-2"/>
          <w:shd w:val="clear" w:color="auto" w:fill="FFFFFF"/>
        </w:rPr>
        <w:t>20,2</w:t>
      </w:r>
      <w:r w:rsidR="00686A7F" w:rsidRPr="00E0102C">
        <w:rPr>
          <w:spacing w:val="-2"/>
          <w:shd w:val="clear" w:color="auto" w:fill="FFFFFF"/>
        </w:rPr>
        <w:t xml:space="preserve">%), </w:t>
      </w:r>
      <w:r w:rsidRPr="00E0102C">
        <w:rPr>
          <w:spacing w:val="-2"/>
          <w:shd w:val="clear" w:color="auto" w:fill="FFFFFF"/>
        </w:rPr>
        <w:t xml:space="preserve">olejów, tłuszczy, wosków zwierzęcych i roślinnych (o </w:t>
      </w:r>
      <w:r w:rsidR="00295A8B" w:rsidRPr="00E0102C">
        <w:rPr>
          <w:spacing w:val="-2"/>
          <w:shd w:val="clear" w:color="auto" w:fill="FFFFFF"/>
        </w:rPr>
        <w:t>12,3</w:t>
      </w:r>
      <w:r w:rsidRPr="00E0102C">
        <w:rPr>
          <w:spacing w:val="-2"/>
          <w:shd w:val="clear" w:color="auto" w:fill="FFFFFF"/>
        </w:rPr>
        <w:t xml:space="preserve">%), </w:t>
      </w:r>
      <w:r w:rsidR="00D119C7" w:rsidRPr="00E0102C">
        <w:rPr>
          <w:spacing w:val="-2"/>
          <w:shd w:val="clear" w:color="auto" w:fill="FFFFFF"/>
        </w:rPr>
        <w:t>surowców niejadalnych z wyjątkiem paliw (o </w:t>
      </w:r>
      <w:r w:rsidR="00295A8B" w:rsidRPr="00E0102C">
        <w:rPr>
          <w:spacing w:val="-2"/>
          <w:shd w:val="clear" w:color="auto" w:fill="FFFFFF"/>
        </w:rPr>
        <w:t>5,7</w:t>
      </w:r>
      <w:r w:rsidR="00D119C7" w:rsidRPr="00E0102C">
        <w:rPr>
          <w:spacing w:val="-2"/>
          <w:shd w:val="clear" w:color="auto" w:fill="FFFFFF"/>
        </w:rPr>
        <w:t>%),</w:t>
      </w:r>
      <w:r w:rsidR="00D1210C" w:rsidRPr="00E0102C">
        <w:rPr>
          <w:spacing w:val="-2"/>
          <w:shd w:val="clear" w:color="auto" w:fill="FFFFFF"/>
        </w:rPr>
        <w:t xml:space="preserve"> towarów przemysłowych sklasyfikowanych głównie według surowca (o </w:t>
      </w:r>
      <w:r w:rsidR="00295A8B" w:rsidRPr="00E0102C">
        <w:rPr>
          <w:spacing w:val="-2"/>
          <w:shd w:val="clear" w:color="auto" w:fill="FFFFFF"/>
        </w:rPr>
        <w:t>1,0</w:t>
      </w:r>
      <w:r w:rsidR="00D1210C" w:rsidRPr="00E0102C">
        <w:rPr>
          <w:spacing w:val="-2"/>
          <w:shd w:val="clear" w:color="auto" w:fill="FFFFFF"/>
        </w:rPr>
        <w:t>%)</w:t>
      </w:r>
      <w:r w:rsidR="00A864FA" w:rsidRPr="00E0102C">
        <w:rPr>
          <w:spacing w:val="-2"/>
          <w:shd w:val="clear" w:color="auto" w:fill="FFFFFF"/>
        </w:rPr>
        <w:t xml:space="preserve"> </w:t>
      </w:r>
      <w:r w:rsidR="00D1210C" w:rsidRPr="00E0102C">
        <w:rPr>
          <w:spacing w:val="-2"/>
          <w:shd w:val="clear" w:color="auto" w:fill="FFFFFF"/>
        </w:rPr>
        <w:t>oraz</w:t>
      </w:r>
      <w:r w:rsidR="009F3D6D" w:rsidRPr="00E0102C">
        <w:rPr>
          <w:spacing w:val="-2"/>
          <w:shd w:val="clear" w:color="auto" w:fill="FFFFFF"/>
        </w:rPr>
        <w:t xml:space="preserve"> </w:t>
      </w:r>
      <w:r w:rsidR="00295A8B" w:rsidRPr="00E0102C">
        <w:rPr>
          <w:spacing w:val="-2"/>
          <w:shd w:val="clear" w:color="auto" w:fill="FFFFFF"/>
        </w:rPr>
        <w:t>napojów i tytoniu (o 0,1</w:t>
      </w:r>
      <w:r w:rsidR="00A91C8D" w:rsidRPr="00E0102C">
        <w:rPr>
          <w:spacing w:val="-2"/>
          <w:shd w:val="clear" w:color="auto" w:fill="FFFFFF"/>
        </w:rPr>
        <w:t>%</w:t>
      </w:r>
      <w:r w:rsidR="00295A8B" w:rsidRPr="00E0102C">
        <w:rPr>
          <w:spacing w:val="-2"/>
          <w:shd w:val="clear" w:color="auto" w:fill="FFFFFF"/>
        </w:rPr>
        <w:t>).</w:t>
      </w:r>
    </w:p>
    <w:p w14:paraId="3C86F53D" w14:textId="60FF06AA" w:rsidR="007E7738" w:rsidRPr="00E0102C" w:rsidRDefault="007E7738" w:rsidP="0018682C">
      <w:r w:rsidRPr="00E0102C">
        <w:rPr>
          <w:shd w:val="clear" w:color="auto" w:fill="FFFFFF"/>
        </w:rPr>
        <w:t xml:space="preserve">W imporcie wzrosty notowano w: </w:t>
      </w:r>
      <w:r w:rsidR="0083451D" w:rsidRPr="00E0102C">
        <w:rPr>
          <w:shd w:val="clear" w:color="auto" w:fill="FFFFFF"/>
        </w:rPr>
        <w:t>towarach i transakcjach niesklasyfikowanych w SITC (o</w:t>
      </w:r>
      <w:r w:rsidR="007C46A8" w:rsidRPr="00E0102C">
        <w:rPr>
          <w:shd w:val="clear" w:color="auto" w:fill="FFFFFF"/>
        </w:rPr>
        <w:t xml:space="preserve"> </w:t>
      </w:r>
      <w:r w:rsidR="00295A8B" w:rsidRPr="00E0102C">
        <w:rPr>
          <w:shd w:val="clear" w:color="auto" w:fill="FFFFFF"/>
        </w:rPr>
        <w:t>41,8</w:t>
      </w:r>
      <w:r w:rsidR="0083451D" w:rsidRPr="00E0102C">
        <w:rPr>
          <w:shd w:val="clear" w:color="auto" w:fill="FFFFFF"/>
        </w:rPr>
        <w:t xml:space="preserve">%), różnych wyrobach przemysłowych (o </w:t>
      </w:r>
      <w:r w:rsidR="006D1F26" w:rsidRPr="00E0102C">
        <w:rPr>
          <w:shd w:val="clear" w:color="auto" w:fill="FFFFFF"/>
        </w:rPr>
        <w:t>10,6</w:t>
      </w:r>
      <w:r w:rsidR="0083451D" w:rsidRPr="00E0102C">
        <w:rPr>
          <w:shd w:val="clear" w:color="auto" w:fill="FFFFFF"/>
        </w:rPr>
        <w:t>%)</w:t>
      </w:r>
      <w:r w:rsidR="008F5415" w:rsidRPr="00E0102C">
        <w:rPr>
          <w:shd w:val="clear" w:color="auto" w:fill="FFFFFF"/>
        </w:rPr>
        <w:t xml:space="preserve">, </w:t>
      </w:r>
      <w:r w:rsidR="00686A7F" w:rsidRPr="00E0102C">
        <w:rPr>
          <w:shd w:val="clear" w:color="auto" w:fill="FFFFFF"/>
        </w:rPr>
        <w:t>żywności i zwierzętach żywych</w:t>
      </w:r>
      <w:r w:rsidR="007C46A8" w:rsidRPr="00E0102C">
        <w:rPr>
          <w:shd w:val="clear" w:color="auto" w:fill="FFFFFF"/>
        </w:rPr>
        <w:t xml:space="preserve"> </w:t>
      </w:r>
      <w:r w:rsidR="00686A7F" w:rsidRPr="00E0102C">
        <w:rPr>
          <w:shd w:val="clear" w:color="auto" w:fill="FFFFFF"/>
        </w:rPr>
        <w:t>(o</w:t>
      </w:r>
      <w:r w:rsidR="007C46A8" w:rsidRPr="00E0102C">
        <w:rPr>
          <w:shd w:val="clear" w:color="auto" w:fill="FFFFFF"/>
        </w:rPr>
        <w:t xml:space="preserve"> </w:t>
      </w:r>
      <w:r w:rsidR="006D1F26" w:rsidRPr="00E0102C">
        <w:rPr>
          <w:shd w:val="clear" w:color="auto" w:fill="FFFFFF"/>
        </w:rPr>
        <w:t>8,3</w:t>
      </w:r>
      <w:r w:rsidR="00592517" w:rsidRPr="00E0102C">
        <w:rPr>
          <w:shd w:val="clear" w:color="auto" w:fill="FFFFFF"/>
        </w:rPr>
        <w:t xml:space="preserve">%), </w:t>
      </w:r>
      <w:r w:rsidR="00A864FA" w:rsidRPr="00E0102C">
        <w:rPr>
          <w:shd w:val="clear" w:color="auto" w:fill="FFFFFF"/>
        </w:rPr>
        <w:t xml:space="preserve">maszynach i urządzeniach transportowych (o </w:t>
      </w:r>
      <w:r w:rsidR="00B868CA" w:rsidRPr="00E0102C">
        <w:rPr>
          <w:shd w:val="clear" w:color="auto" w:fill="FFFFFF"/>
        </w:rPr>
        <w:t>3,5</w:t>
      </w:r>
      <w:r w:rsidR="00A864FA" w:rsidRPr="00E0102C">
        <w:rPr>
          <w:shd w:val="clear" w:color="auto" w:fill="FFFFFF"/>
        </w:rPr>
        <w:t xml:space="preserve">%), </w:t>
      </w:r>
      <w:r w:rsidR="0095427D" w:rsidRPr="00E0102C">
        <w:rPr>
          <w:shd w:val="clear" w:color="auto" w:fill="FFFFFF"/>
        </w:rPr>
        <w:t xml:space="preserve">chemikaliach i produktach pokrewnych (o 1,9%), </w:t>
      </w:r>
      <w:r w:rsidR="00E2018B" w:rsidRPr="00E0102C">
        <w:rPr>
          <w:shd w:val="clear" w:color="auto" w:fill="FFFFFF"/>
        </w:rPr>
        <w:t xml:space="preserve">towarach przemysłowych sklasyfikowanych głównie według surowca (o </w:t>
      </w:r>
      <w:r w:rsidR="0095427D" w:rsidRPr="00E0102C">
        <w:rPr>
          <w:shd w:val="clear" w:color="auto" w:fill="FFFFFF"/>
        </w:rPr>
        <w:t>1,9</w:t>
      </w:r>
      <w:r w:rsidR="00E2018B" w:rsidRPr="00E0102C">
        <w:rPr>
          <w:shd w:val="clear" w:color="auto" w:fill="FFFFFF"/>
        </w:rPr>
        <w:t xml:space="preserve">%), </w:t>
      </w:r>
      <w:r w:rsidR="00A864FA" w:rsidRPr="00E0102C">
        <w:rPr>
          <w:shd w:val="clear" w:color="auto" w:fill="FFFFFF"/>
        </w:rPr>
        <w:t xml:space="preserve">napojach i tytoniu (o </w:t>
      </w:r>
      <w:r w:rsidR="0095427D" w:rsidRPr="00E0102C">
        <w:rPr>
          <w:shd w:val="clear" w:color="auto" w:fill="FFFFFF"/>
        </w:rPr>
        <w:t>1,0</w:t>
      </w:r>
      <w:r w:rsidR="00A864FA" w:rsidRPr="00E0102C">
        <w:rPr>
          <w:shd w:val="clear" w:color="auto" w:fill="FFFFFF"/>
        </w:rPr>
        <w:t xml:space="preserve">%) </w:t>
      </w:r>
      <w:r w:rsidR="00274011" w:rsidRPr="00E0102C">
        <w:rPr>
          <w:shd w:val="clear" w:color="auto" w:fill="FFFFFF"/>
        </w:rPr>
        <w:t>oraz</w:t>
      </w:r>
      <w:r w:rsidR="00E2018B" w:rsidRPr="00E0102C">
        <w:rPr>
          <w:shd w:val="clear" w:color="auto" w:fill="FFFFFF"/>
        </w:rPr>
        <w:t xml:space="preserve"> surowcach niejadalnych z wyjątkiem paliw (o </w:t>
      </w:r>
      <w:r w:rsidR="00A864FA" w:rsidRPr="00E0102C">
        <w:rPr>
          <w:shd w:val="clear" w:color="auto" w:fill="FFFFFF"/>
        </w:rPr>
        <w:t>0,9</w:t>
      </w:r>
      <w:r w:rsidR="00E2018B" w:rsidRPr="00E0102C">
        <w:rPr>
          <w:shd w:val="clear" w:color="auto" w:fill="FFFFFF"/>
        </w:rPr>
        <w:t>%)</w:t>
      </w:r>
      <w:r w:rsidR="004B2033" w:rsidRPr="00E0102C">
        <w:rPr>
          <w:shd w:val="clear" w:color="auto" w:fill="FFFFFF"/>
        </w:rPr>
        <w:t xml:space="preserve">. </w:t>
      </w:r>
      <w:r w:rsidR="0083451D" w:rsidRPr="00E0102C">
        <w:rPr>
          <w:shd w:val="clear" w:color="auto" w:fill="FFFFFF"/>
        </w:rPr>
        <w:t xml:space="preserve">Spadki obserwowano natomiast w: </w:t>
      </w:r>
      <w:r w:rsidR="003945FA" w:rsidRPr="00E0102C">
        <w:rPr>
          <w:shd w:val="clear" w:color="auto" w:fill="FFFFFF"/>
        </w:rPr>
        <w:t xml:space="preserve">paliwach mineralnych, smarach i materiałach pochodnych (o </w:t>
      </w:r>
      <w:r w:rsidR="0095427D" w:rsidRPr="00E0102C">
        <w:rPr>
          <w:shd w:val="clear" w:color="auto" w:fill="FFFFFF"/>
        </w:rPr>
        <w:t>13,4</w:t>
      </w:r>
      <w:r w:rsidR="003945FA" w:rsidRPr="00E0102C">
        <w:rPr>
          <w:shd w:val="clear" w:color="auto" w:fill="FFFFFF"/>
        </w:rPr>
        <w:t xml:space="preserve">%) </w:t>
      </w:r>
      <w:r w:rsidR="00E2018B" w:rsidRPr="00E0102C">
        <w:rPr>
          <w:shd w:val="clear" w:color="auto" w:fill="FFFFFF"/>
        </w:rPr>
        <w:t xml:space="preserve">oraz </w:t>
      </w:r>
      <w:r w:rsidR="003945FA" w:rsidRPr="00E0102C">
        <w:rPr>
          <w:shd w:val="clear" w:color="auto" w:fill="FFFFFF"/>
        </w:rPr>
        <w:t xml:space="preserve">olejach, tłuszczach, woskach zwierzęcych i roślinnych (o </w:t>
      </w:r>
      <w:r w:rsidR="0095427D" w:rsidRPr="00E0102C">
        <w:rPr>
          <w:shd w:val="clear" w:color="auto" w:fill="FFFFFF"/>
        </w:rPr>
        <w:t>1,2</w:t>
      </w:r>
      <w:r w:rsidR="003945FA" w:rsidRPr="00E0102C">
        <w:rPr>
          <w:shd w:val="clear" w:color="auto" w:fill="FFFFFF"/>
        </w:rPr>
        <w:t xml:space="preserve">%). </w:t>
      </w:r>
    </w:p>
    <w:p w14:paraId="207AF662" w14:textId="29205D3A" w:rsidR="001B2E48" w:rsidRPr="00E0102C" w:rsidRDefault="0066620D" w:rsidP="00592751">
      <w:pPr>
        <w:pStyle w:val="Tytuwykresu0"/>
        <w:rPr>
          <w:spacing w:val="-6"/>
        </w:rPr>
      </w:pPr>
      <w:r w:rsidRPr="00E0102C">
        <w:rPr>
          <w:color w:val="auto"/>
          <w:spacing w:val="-6"/>
        </w:rPr>
        <w:lastRenderedPageBreak/>
        <w:t xml:space="preserve">Wykres </w:t>
      </w:r>
      <w:r w:rsidR="007E7738" w:rsidRPr="00E0102C">
        <w:rPr>
          <w:color w:val="auto"/>
          <w:spacing w:val="-6"/>
        </w:rPr>
        <w:t>2</w:t>
      </w:r>
      <w:r w:rsidRPr="00E0102C">
        <w:rPr>
          <w:color w:val="auto"/>
          <w:spacing w:val="-6"/>
        </w:rPr>
        <w:t xml:space="preserve">. Struktura eksportu według sekcji nomenklatury SITC w </w:t>
      </w:r>
      <w:r w:rsidR="006D23D1" w:rsidRPr="00E0102C">
        <w:rPr>
          <w:color w:val="auto"/>
          <w:spacing w:val="-6"/>
        </w:rPr>
        <w:t>styczniu – październiku</w:t>
      </w:r>
      <w:r w:rsidR="00930A51" w:rsidRPr="00E0102C">
        <w:rPr>
          <w:color w:val="auto"/>
          <w:spacing w:val="-6"/>
        </w:rPr>
        <w:t xml:space="preserve"> 202</w:t>
      </w:r>
      <w:r w:rsidR="00A81AA4" w:rsidRPr="00E0102C">
        <w:rPr>
          <w:color w:val="auto"/>
          <w:spacing w:val="-6"/>
        </w:rPr>
        <w:t>5</w:t>
      </w:r>
      <w:r w:rsidRPr="00E0102C">
        <w:rPr>
          <w:color w:val="auto"/>
          <w:spacing w:val="-6"/>
        </w:rPr>
        <w:t xml:space="preserve"> r.</w:t>
      </w:r>
      <w:r w:rsidR="00137070" w:rsidRPr="00E0102C">
        <w:rPr>
          <w:spacing w:val="-6"/>
        </w:rPr>
        <w:t xml:space="preserve"> </w:t>
      </w:r>
    </w:p>
    <w:p w14:paraId="284AE38C" w14:textId="1CC3BE82" w:rsidR="00924E0F" w:rsidRPr="00E0102C" w:rsidRDefault="006F25CF" w:rsidP="00592751">
      <w:pPr>
        <w:pStyle w:val="Tytuwykresu0"/>
      </w:pPr>
      <w:r w:rsidRPr="00E0102C">
        <w:drawing>
          <wp:inline distT="0" distB="0" distL="0" distR="0" wp14:anchorId="1C703202" wp14:editId="759F1E7D">
            <wp:extent cx="5031146" cy="2676749"/>
            <wp:effectExtent l="0" t="0" r="0" b="0"/>
            <wp:docPr id="1" name="Wykres 1" descr="Wykres 2. Struktura eksportu według sekcji nomenklatury SITC w styczniu – październiku 2025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083272" w14:textId="32F62CD5" w:rsidR="004B7A56" w:rsidRPr="00E0102C" w:rsidRDefault="004B7A56" w:rsidP="00592751">
      <w:pPr>
        <w:pStyle w:val="Tytuwykresu0"/>
        <w:rPr>
          <w:color w:val="auto"/>
          <w:spacing w:val="-6"/>
        </w:rPr>
      </w:pPr>
      <w:r w:rsidRPr="00E0102C">
        <w:rPr>
          <w:color w:val="auto"/>
          <w:spacing w:val="-6"/>
        </w:rPr>
        <w:t xml:space="preserve">Wykres </w:t>
      </w:r>
      <w:r w:rsidR="007E7738" w:rsidRPr="00E0102C">
        <w:rPr>
          <w:color w:val="auto"/>
          <w:spacing w:val="-6"/>
        </w:rPr>
        <w:t>3</w:t>
      </w:r>
      <w:r w:rsidRPr="00E0102C">
        <w:rPr>
          <w:color w:val="auto"/>
          <w:spacing w:val="-6"/>
        </w:rPr>
        <w:t xml:space="preserve">. Struktura importu według sekcji nomenklatury SITC w </w:t>
      </w:r>
      <w:r w:rsidR="006D23D1" w:rsidRPr="00E0102C">
        <w:rPr>
          <w:color w:val="auto"/>
          <w:spacing w:val="-6"/>
        </w:rPr>
        <w:t>styczniu – październiku</w:t>
      </w:r>
      <w:r w:rsidR="00930A51" w:rsidRPr="00E0102C">
        <w:rPr>
          <w:color w:val="auto"/>
          <w:spacing w:val="-6"/>
        </w:rPr>
        <w:t xml:space="preserve"> 202</w:t>
      </w:r>
      <w:r w:rsidR="00A81AA4" w:rsidRPr="00E0102C">
        <w:rPr>
          <w:color w:val="auto"/>
          <w:spacing w:val="-6"/>
        </w:rPr>
        <w:t>5</w:t>
      </w:r>
      <w:r w:rsidRPr="00E0102C">
        <w:rPr>
          <w:color w:val="auto"/>
          <w:spacing w:val="-6"/>
        </w:rPr>
        <w:t xml:space="preserve"> r.</w:t>
      </w:r>
    </w:p>
    <w:p w14:paraId="41842F48" w14:textId="0A75D2E6" w:rsidR="00E6405E" w:rsidRPr="00E0102C" w:rsidRDefault="006F25CF" w:rsidP="00592751">
      <w:pPr>
        <w:pStyle w:val="Tytuwykresu0"/>
        <w:rPr>
          <w:color w:val="auto"/>
        </w:rPr>
      </w:pPr>
      <w:r w:rsidRPr="00E0102C">
        <w:drawing>
          <wp:inline distT="0" distB="0" distL="0" distR="0" wp14:anchorId="65287D45" wp14:editId="332DC761">
            <wp:extent cx="5090918" cy="2686947"/>
            <wp:effectExtent l="0" t="0" r="0" b="0"/>
            <wp:docPr id="12" name="Wykres 12" descr="Wykres 3. Struktura importu według sekcji nomenklatury SITC w styczniu – październiku 2025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16BE44" w14:textId="77777777" w:rsidR="00A67662" w:rsidRPr="00E0102C" w:rsidRDefault="00A67662" w:rsidP="00A67662">
      <w:pPr>
        <w:rPr>
          <w:rFonts w:ascii="Calibri" w:hAnsi="Calibri"/>
          <w:sz w:val="22"/>
        </w:rPr>
      </w:pPr>
    </w:p>
    <w:p w14:paraId="0E8DF9C4" w14:textId="77777777" w:rsidR="00792508" w:rsidRPr="00E0102C" w:rsidRDefault="00792508" w:rsidP="003D744D">
      <w:pPr>
        <w:rPr>
          <w:sz w:val="18"/>
          <w:szCs w:val="18"/>
          <w:lang w:eastAsia="pl-PL"/>
        </w:rPr>
      </w:pPr>
    </w:p>
    <w:p w14:paraId="77B39D7B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40AD6A40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57D1E8BF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2ADADCE0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29585006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3C02B711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4F35EC8E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62C0D435" w14:textId="77777777" w:rsidR="00774CD9" w:rsidRPr="00E0102C" w:rsidRDefault="00774CD9" w:rsidP="003D744D">
      <w:pPr>
        <w:rPr>
          <w:sz w:val="18"/>
          <w:szCs w:val="18"/>
          <w:lang w:eastAsia="pl-PL"/>
        </w:rPr>
      </w:pPr>
    </w:p>
    <w:p w14:paraId="1A99E02E" w14:textId="77777777" w:rsidR="00774CD9" w:rsidRPr="00E0102C" w:rsidRDefault="00774CD9" w:rsidP="003D744D">
      <w:pPr>
        <w:rPr>
          <w:sz w:val="18"/>
          <w:szCs w:val="18"/>
          <w:lang w:eastAsia="pl-PL"/>
        </w:rPr>
        <w:sectPr w:rsidR="00774CD9" w:rsidRPr="00E0102C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E0102C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E0102C" w14:paraId="6928763B" w14:textId="77777777" w:rsidTr="0063494C">
        <w:trPr>
          <w:trHeight w:val="1626"/>
        </w:trPr>
        <w:tc>
          <w:tcPr>
            <w:tcW w:w="4926" w:type="dxa"/>
          </w:tcPr>
          <w:p w14:paraId="1C39FFE8" w14:textId="5F0D24EC" w:rsidR="00335920" w:rsidRPr="00E0102C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E0102C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1B2DC9" w14:textId="77777777" w:rsidR="00335920" w:rsidRPr="00E0102C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0102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45B8754D" w14:textId="77777777" w:rsidR="00335920" w:rsidRPr="00E0102C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E0102C">
              <w:rPr>
                <w:b/>
                <w:lang w:val="fi-FI"/>
              </w:rPr>
              <w:t>Dyrektor Ewa Adach – Stankiewicz</w:t>
            </w:r>
          </w:p>
          <w:p w14:paraId="5078D96C" w14:textId="77777777" w:rsidR="00335920" w:rsidRPr="00E0102C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010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4739E4E4" w14:textId="77777777" w:rsidR="00335920" w:rsidRPr="00E0102C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0102C">
              <w:rPr>
                <w:rFonts w:cs="Arial"/>
                <w:sz w:val="20"/>
              </w:rPr>
              <w:t>Rozpowszechnianie:</w:t>
            </w:r>
            <w:r w:rsidRPr="00E0102C">
              <w:rPr>
                <w:rFonts w:cs="Arial"/>
                <w:sz w:val="20"/>
              </w:rPr>
              <w:br/>
            </w:r>
            <w:r w:rsidRPr="00E0102C">
              <w:rPr>
                <w:rFonts w:cs="Arial"/>
                <w:b/>
                <w:sz w:val="20"/>
              </w:rPr>
              <w:t>Wydział Współpracy z Mediami</w:t>
            </w:r>
          </w:p>
          <w:p w14:paraId="130EE4CF" w14:textId="77777777" w:rsidR="00335920" w:rsidRPr="00E0102C" w:rsidRDefault="00335920" w:rsidP="0063494C">
            <w:r w:rsidRPr="00E0102C">
              <w:t>Tel. komórkowy: +48 695 255 032</w:t>
            </w:r>
          </w:p>
          <w:p w14:paraId="3D6C94D8" w14:textId="77777777" w:rsidR="00335920" w:rsidRPr="00E0102C" w:rsidRDefault="00335920" w:rsidP="0063494C">
            <w:pPr>
              <w:ind w:left="1494" w:hanging="1494"/>
            </w:pPr>
            <w:r w:rsidRPr="00E0102C">
              <w:t xml:space="preserve">Tel. stacjonarne: +48 22 608 38 04, </w:t>
            </w:r>
          </w:p>
          <w:p w14:paraId="0996EC6D" w14:textId="77777777" w:rsidR="00335920" w:rsidRPr="00E0102C" w:rsidRDefault="00335920" w:rsidP="0063494C">
            <w:pPr>
              <w:ind w:left="1494" w:hanging="1494"/>
              <w:rPr>
                <w:lang w:val="en-GB"/>
              </w:rPr>
            </w:pPr>
            <w:r w:rsidRPr="00E0102C">
              <w:rPr>
                <w:lang w:val="en-GB"/>
              </w:rPr>
              <w:t>+48 22 449 41 45, +48 22 608 30 09</w:t>
            </w:r>
          </w:p>
          <w:p w14:paraId="7DF8CFC9" w14:textId="77777777" w:rsidR="00335920" w:rsidRPr="00E0102C" w:rsidRDefault="00335920" w:rsidP="0063494C">
            <w:pPr>
              <w:rPr>
                <w:lang w:val="en-GB"/>
              </w:rPr>
            </w:pPr>
            <w:r w:rsidRPr="00E0102C">
              <w:rPr>
                <w:b/>
                <w:sz w:val="20"/>
                <w:lang w:val="en-GB"/>
              </w:rPr>
              <w:t>e-mail:</w:t>
            </w:r>
            <w:r w:rsidRPr="00E0102C">
              <w:rPr>
                <w:sz w:val="20"/>
                <w:lang w:val="en-GB"/>
              </w:rPr>
              <w:t xml:space="preserve"> </w:t>
            </w:r>
            <w:bookmarkStart w:id="21" w:name="_Hlk187408277"/>
            <w:r w:rsidRPr="00E0102C">
              <w:fldChar w:fldCharType="begin"/>
            </w:r>
            <w:r w:rsidRPr="00E0102C">
              <w:instrText xml:space="preserve"> HYPERLINK "mailto:obslugaprasowa@stat.gov.pl" </w:instrText>
            </w:r>
            <w:r w:rsidRPr="00E0102C">
              <w:fldChar w:fldCharType="separate"/>
            </w:r>
            <w:r w:rsidRPr="00E0102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E0102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21"/>
          </w:p>
          <w:p w14:paraId="4D484915" w14:textId="77777777" w:rsidR="00335920" w:rsidRPr="00E0102C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E0102C" w14:paraId="3ED10FE0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504C99D6" w14:textId="77777777" w:rsidR="00335920" w:rsidRPr="00E0102C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25B68FDE" w14:textId="77777777" w:rsidR="00335920" w:rsidRPr="00E0102C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67BA0B6B" w14:textId="77777777" w:rsidR="00335920" w:rsidRPr="00E0102C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E0102C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6754E48E" w14:textId="77777777" w:rsidR="00335920" w:rsidRPr="00E0102C" w:rsidRDefault="00335920" w:rsidP="0063494C">
            <w:pPr>
              <w:ind w:firstLine="680"/>
              <w:rPr>
                <w:sz w:val="18"/>
              </w:rPr>
            </w:pPr>
            <w:r w:rsidRPr="00E0102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06E2300D" wp14:editId="2E5A0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02C">
              <w:rPr>
                <w:sz w:val="20"/>
              </w:rPr>
              <w:t>www.stat.gov.pl</w:t>
            </w:r>
          </w:p>
        </w:tc>
      </w:tr>
      <w:tr w:rsidR="00335920" w:rsidRPr="00E0102C" w14:paraId="4110C675" w14:textId="77777777" w:rsidTr="0063494C">
        <w:trPr>
          <w:trHeight w:val="418"/>
        </w:trPr>
        <w:tc>
          <w:tcPr>
            <w:tcW w:w="4926" w:type="dxa"/>
            <w:vMerge/>
          </w:tcPr>
          <w:p w14:paraId="755ADA9D" w14:textId="77777777" w:rsidR="00335920" w:rsidRPr="00E0102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81BBDC" w14:textId="77777777" w:rsidR="00335920" w:rsidRPr="00E0102C" w:rsidRDefault="00335920" w:rsidP="0063494C">
            <w:pPr>
              <w:ind w:firstLine="680"/>
              <w:rPr>
                <w:sz w:val="18"/>
              </w:rPr>
            </w:pPr>
            <w:r w:rsidRPr="00E0102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FED4164" wp14:editId="5BF2711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02C">
              <w:rPr>
                <w:sz w:val="20"/>
              </w:rPr>
              <w:t>@GUS_STAT</w:t>
            </w:r>
            <w:r w:rsidRPr="00E0102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E0102C" w14:paraId="317A26D2" w14:textId="77777777" w:rsidTr="0063494C">
        <w:trPr>
          <w:trHeight w:val="476"/>
        </w:trPr>
        <w:tc>
          <w:tcPr>
            <w:tcW w:w="4926" w:type="dxa"/>
            <w:vMerge/>
          </w:tcPr>
          <w:p w14:paraId="3B9A40AF" w14:textId="77777777" w:rsidR="00335920" w:rsidRPr="00E0102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B04CAC" w14:textId="77777777" w:rsidR="00335920" w:rsidRPr="00E0102C" w:rsidRDefault="00335920" w:rsidP="0063494C">
            <w:pPr>
              <w:ind w:firstLine="680"/>
              <w:rPr>
                <w:sz w:val="18"/>
              </w:rPr>
            </w:pPr>
            <w:r w:rsidRPr="00E0102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EE88DE9" wp14:editId="3A9923B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02C">
              <w:rPr>
                <w:sz w:val="20"/>
              </w:rPr>
              <w:t>@</w:t>
            </w:r>
            <w:proofErr w:type="spellStart"/>
            <w:r w:rsidRPr="00E0102C">
              <w:rPr>
                <w:sz w:val="20"/>
              </w:rPr>
              <w:t>GlownyUrzadStatystyczny</w:t>
            </w:r>
            <w:proofErr w:type="spellEnd"/>
            <w:r w:rsidRPr="00E0102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E0102C" w14:paraId="368C5707" w14:textId="77777777" w:rsidTr="0063494C">
        <w:trPr>
          <w:trHeight w:val="426"/>
        </w:trPr>
        <w:tc>
          <w:tcPr>
            <w:tcW w:w="4926" w:type="dxa"/>
          </w:tcPr>
          <w:p w14:paraId="363012F1" w14:textId="77777777" w:rsidR="00335920" w:rsidRPr="00E0102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D537A6B" w14:textId="77777777" w:rsidR="00335920" w:rsidRPr="00E0102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E0102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FFB4DD7" wp14:editId="06E5F3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02C">
              <w:rPr>
                <w:sz w:val="20"/>
              </w:rPr>
              <w:t>gus_stat</w:t>
            </w:r>
          </w:p>
        </w:tc>
      </w:tr>
      <w:tr w:rsidR="00335920" w:rsidRPr="00E0102C" w14:paraId="3EE859EA" w14:textId="77777777" w:rsidTr="0063494C">
        <w:trPr>
          <w:trHeight w:val="504"/>
        </w:trPr>
        <w:tc>
          <w:tcPr>
            <w:tcW w:w="4926" w:type="dxa"/>
          </w:tcPr>
          <w:p w14:paraId="40F380A2" w14:textId="77777777" w:rsidR="00335920" w:rsidRPr="00E0102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9A9F91" w14:textId="77777777" w:rsidR="00335920" w:rsidRPr="00E0102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E0102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EB54053" wp14:editId="4A71835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02C">
              <w:rPr>
                <w:sz w:val="20"/>
              </w:rPr>
              <w:t>glownyurzadstatystycznygus</w:t>
            </w:r>
          </w:p>
        </w:tc>
      </w:tr>
      <w:tr w:rsidR="00335920" w:rsidRPr="00E0102C" w14:paraId="506C17BE" w14:textId="77777777" w:rsidTr="0063494C">
        <w:trPr>
          <w:trHeight w:val="1546"/>
        </w:trPr>
        <w:tc>
          <w:tcPr>
            <w:tcW w:w="4926" w:type="dxa"/>
          </w:tcPr>
          <w:p w14:paraId="72CE307C" w14:textId="77777777" w:rsidR="00335920" w:rsidRPr="00E0102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B26F403" w14:textId="77777777" w:rsidR="00335920" w:rsidRPr="00E0102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E0102C">
              <w:rPr>
                <w:noProof/>
                <w:sz w:val="20"/>
                <w:lang w:eastAsia="pl-PL"/>
              </w:rPr>
              <w:t>glownyurzadstatystyczny</w:t>
            </w:r>
            <w:r w:rsidRPr="00E0102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FC7D274" wp14:editId="2FE19B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33A3A0F6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DD7A937" w14:textId="77777777" w:rsidR="00335920" w:rsidRPr="00E0102C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E0102C">
              <w:rPr>
                <w:b/>
              </w:rPr>
              <w:t>Powiązane opracowania</w:t>
            </w:r>
          </w:p>
          <w:p w14:paraId="358390FA" w14:textId="77777777" w:rsidR="00335920" w:rsidRPr="00E0102C" w:rsidRDefault="00673A82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E0102C">
                <w:rPr>
                  <w:rStyle w:val="Hipercze"/>
                </w:rPr>
                <w:t>Handel zagraniczny 2021. Ceny w handlu zagranicznym</w:t>
              </w:r>
            </w:hyperlink>
          </w:p>
          <w:p w14:paraId="135D932D" w14:textId="4B2A3BB2" w:rsidR="00335920" w:rsidRPr="00E0102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E0102C">
              <w:rPr>
                <w:rFonts w:cs="Times New Roman"/>
                <w:u w:val="single"/>
              </w:rPr>
              <w:fldChar w:fldCharType="begin"/>
            </w:r>
            <w:r w:rsidRPr="00E0102C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E0102C">
              <w:rPr>
                <w:rFonts w:cs="Times New Roman"/>
                <w:u w:val="single"/>
              </w:rPr>
              <w:fldChar w:fldCharType="separate"/>
            </w:r>
            <w:r w:rsidR="00CC750C" w:rsidRPr="00E0102C">
              <w:fldChar w:fldCharType="begin"/>
            </w:r>
            <w:r w:rsidR="00CC750C" w:rsidRPr="00E0102C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E0102C">
              <w:fldChar w:fldCharType="separate"/>
            </w:r>
            <w:r w:rsidRPr="00E0102C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E0102C">
              <w:rPr>
                <w:rStyle w:val="Hipercze"/>
                <w:rFonts w:cstheme="minorBidi"/>
              </w:rPr>
              <w:t>5</w:t>
            </w:r>
          </w:p>
          <w:p w14:paraId="07E3DC59" w14:textId="1765818D" w:rsidR="00335920" w:rsidRPr="00E0102C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E0102C">
              <w:fldChar w:fldCharType="end"/>
            </w:r>
            <w:r w:rsidR="00335920" w:rsidRPr="00E0102C">
              <w:rPr>
                <w:rFonts w:cs="Times New Roman"/>
              </w:rPr>
              <w:fldChar w:fldCharType="end"/>
            </w:r>
            <w:r w:rsidR="00335920" w:rsidRPr="00E0102C">
              <w:rPr>
                <w:rFonts w:cs="Times New Roman"/>
                <w:u w:val="single"/>
              </w:rPr>
              <w:fldChar w:fldCharType="begin"/>
            </w:r>
            <w:r w:rsidR="00335920" w:rsidRPr="00E0102C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E0102C">
              <w:rPr>
                <w:rFonts w:cs="Times New Roman"/>
                <w:u w:val="single"/>
              </w:rPr>
              <w:fldChar w:fldCharType="separate"/>
            </w:r>
            <w:r w:rsidR="00335920" w:rsidRPr="00E0102C">
              <w:rPr>
                <w:rStyle w:val="Hipercze"/>
              </w:rPr>
              <w:t>Handel Zagraniczny. Statystyka lustrzana i statystyka asymetrii</w:t>
            </w:r>
          </w:p>
          <w:p w14:paraId="4B89023F" w14:textId="77777777" w:rsidR="00335920" w:rsidRPr="00E0102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E0102C">
              <w:rPr>
                <w:rFonts w:cs="Times New Roman"/>
              </w:rPr>
              <w:fldChar w:fldCharType="end"/>
            </w:r>
            <w:r w:rsidRPr="00E0102C">
              <w:rPr>
                <w:rFonts w:cs="Times New Roman"/>
                <w:u w:val="single"/>
              </w:rPr>
              <w:fldChar w:fldCharType="begin"/>
            </w:r>
            <w:r w:rsidRPr="00E0102C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E0102C">
              <w:rPr>
                <w:rFonts w:cs="Times New Roman"/>
                <w:u w:val="single"/>
              </w:rPr>
              <w:fldChar w:fldCharType="separate"/>
            </w:r>
            <w:r w:rsidRPr="00E0102C">
              <w:rPr>
                <w:rStyle w:val="Hipercze"/>
              </w:rPr>
              <w:t>Handel zagraniczny. Polska w Unii Europejskiej</w:t>
            </w:r>
          </w:p>
          <w:p w14:paraId="62280267" w14:textId="77777777" w:rsidR="00335920" w:rsidRPr="00E0102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E0102C">
              <w:rPr>
                <w:rFonts w:cs="Times New Roman"/>
              </w:rPr>
              <w:fldChar w:fldCharType="end"/>
            </w:r>
            <w:r w:rsidRPr="00E0102C">
              <w:rPr>
                <w:rFonts w:cs="Times New Roman"/>
              </w:rPr>
              <w:fldChar w:fldCharType="begin"/>
            </w:r>
            <w:r w:rsidRPr="00E0102C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E0102C">
              <w:rPr>
                <w:rFonts w:cs="Times New Roman"/>
              </w:rPr>
              <w:fldChar w:fldCharType="separate"/>
            </w:r>
            <w:r w:rsidRPr="00E0102C">
              <w:rPr>
                <w:rStyle w:val="Hipercze"/>
              </w:rPr>
              <w:t>Handel zagraniczny. Handel towarami według cech przedsiębiorstw (TEC)</w:t>
            </w:r>
          </w:p>
          <w:p w14:paraId="33F10941" w14:textId="77777777" w:rsidR="00335920" w:rsidRPr="00E0102C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E0102C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E0102C">
                <w:rPr>
                  <w:rStyle w:val="Hipercze"/>
                </w:rPr>
                <w:t>Handel zagraniczny. Polska w świecie</w:t>
              </w:r>
            </w:hyperlink>
          </w:p>
          <w:p w14:paraId="40FCC24D" w14:textId="77777777" w:rsidR="00335920" w:rsidRPr="00E0102C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0102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BB6ECF3" w14:textId="77777777" w:rsidR="00335920" w:rsidRPr="00E0102C" w:rsidRDefault="00673A82" w:rsidP="0063494C">
            <w:pPr>
              <w:rPr>
                <w:rStyle w:val="Hipercze"/>
              </w:rPr>
            </w:pPr>
            <w:hyperlink r:id="rId25" w:tooltip="Nowa wersja DBW" w:history="1">
              <w:r w:rsidR="00335920" w:rsidRPr="00E0102C">
                <w:rPr>
                  <w:rStyle w:val="Hipercze"/>
                </w:rPr>
                <w:t>DBW Wymiana międzynarodowa</w:t>
              </w:r>
            </w:hyperlink>
          </w:p>
          <w:p w14:paraId="73ACEC1C" w14:textId="77777777" w:rsidR="00335920" w:rsidRPr="00E0102C" w:rsidRDefault="00673A82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335920" w:rsidRPr="00E0102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BEAD31A" w14:textId="77777777" w:rsidR="00335920" w:rsidRPr="00E0102C" w:rsidRDefault="00335920" w:rsidP="0063494C">
            <w:pPr>
              <w:rPr>
                <w:rStyle w:val="Hipercze"/>
              </w:rPr>
            </w:pPr>
            <w:r w:rsidRPr="00E0102C">
              <w:rPr>
                <w:rStyle w:val="Hipercze"/>
                <w:lang w:val="en-GB"/>
              </w:rPr>
              <w:fldChar w:fldCharType="begin"/>
            </w:r>
            <w:r w:rsidRPr="00E0102C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E0102C">
              <w:rPr>
                <w:rStyle w:val="Hipercze"/>
                <w:lang w:val="en-GB"/>
              </w:rPr>
              <w:fldChar w:fldCharType="separate"/>
            </w:r>
            <w:r w:rsidRPr="00E0102C">
              <w:rPr>
                <w:rStyle w:val="Hipercze"/>
              </w:rPr>
              <w:t xml:space="preserve">Eksport towarów </w:t>
            </w:r>
          </w:p>
          <w:p w14:paraId="0AB159B3" w14:textId="77777777" w:rsidR="00335920" w:rsidRPr="00E0102C" w:rsidRDefault="00335920" w:rsidP="0063494C">
            <w:pPr>
              <w:rPr>
                <w:rStyle w:val="Hipercze"/>
              </w:rPr>
            </w:pPr>
            <w:r w:rsidRPr="00E0102C">
              <w:rPr>
                <w:rStyle w:val="Hipercze"/>
                <w:lang w:val="en-GB"/>
              </w:rPr>
              <w:fldChar w:fldCharType="end"/>
            </w:r>
            <w:r w:rsidRPr="00E0102C">
              <w:rPr>
                <w:rStyle w:val="Hipercze"/>
                <w:lang w:val="en-GB"/>
              </w:rPr>
              <w:fldChar w:fldCharType="begin"/>
            </w:r>
            <w:r w:rsidRPr="00E0102C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E0102C">
              <w:rPr>
                <w:rStyle w:val="Hipercze"/>
                <w:lang w:val="en-GB"/>
              </w:rPr>
              <w:fldChar w:fldCharType="separate"/>
            </w:r>
            <w:r w:rsidRPr="00E0102C">
              <w:rPr>
                <w:rStyle w:val="Hipercze"/>
              </w:rPr>
              <w:t>Import towarów</w:t>
            </w:r>
          </w:p>
          <w:p w14:paraId="50CAE5EB" w14:textId="77777777" w:rsidR="00335920" w:rsidRPr="00E0102C" w:rsidRDefault="00335920" w:rsidP="0063494C">
            <w:pPr>
              <w:rPr>
                <w:rStyle w:val="Hipercze"/>
              </w:rPr>
            </w:pPr>
            <w:r w:rsidRPr="00E0102C">
              <w:rPr>
                <w:rStyle w:val="Hipercze"/>
                <w:lang w:val="en-GB"/>
              </w:rPr>
              <w:fldChar w:fldCharType="end"/>
            </w:r>
            <w:r w:rsidRPr="00E0102C">
              <w:rPr>
                <w:rFonts w:cs="Times New Roman"/>
                <w:color w:val="0000FF"/>
                <w:u w:val="single"/>
              </w:rPr>
              <w:fldChar w:fldCharType="begin"/>
            </w:r>
            <w:r w:rsidRPr="00E0102C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E0102C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E0102C">
              <w:rPr>
                <w:rStyle w:val="Hipercze"/>
              </w:rPr>
              <w:t>Saldo obrotów towarowych handlu zagranicznego</w:t>
            </w:r>
          </w:p>
          <w:p w14:paraId="12E34390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E0102C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2762D94E" w14:textId="439CCC50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2240D" w14:textId="77777777" w:rsidR="00673A82" w:rsidRDefault="00673A82" w:rsidP="000662E2">
      <w:pPr>
        <w:spacing w:after="0" w:line="240" w:lineRule="auto"/>
      </w:pPr>
      <w:r>
        <w:separator/>
      </w:r>
    </w:p>
  </w:endnote>
  <w:endnote w:type="continuationSeparator" w:id="0">
    <w:p w14:paraId="540767AA" w14:textId="77777777" w:rsidR="00673A82" w:rsidRDefault="00673A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48E88589" w14:textId="77777777" w:rsidR="009E71B5" w:rsidRDefault="009E71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57B17D" w14:textId="77777777" w:rsidR="009E71B5" w:rsidRDefault="009E71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58C0F3D4" w14:textId="77777777" w:rsidR="009E71B5" w:rsidRDefault="009E71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56F729" w14:textId="77777777" w:rsidR="009E71B5" w:rsidRDefault="009E7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2BBB" w14:textId="77777777" w:rsidR="00673A82" w:rsidRDefault="00673A82" w:rsidP="000662E2">
      <w:pPr>
        <w:spacing w:after="0" w:line="240" w:lineRule="auto"/>
      </w:pPr>
      <w:r>
        <w:separator/>
      </w:r>
    </w:p>
  </w:footnote>
  <w:footnote w:type="continuationSeparator" w:id="0">
    <w:p w14:paraId="738085FC" w14:textId="77777777" w:rsidR="00673A82" w:rsidRDefault="00673A82" w:rsidP="000662E2">
      <w:pPr>
        <w:spacing w:after="0" w:line="240" w:lineRule="auto"/>
      </w:pPr>
      <w:r>
        <w:continuationSeparator/>
      </w:r>
    </w:p>
  </w:footnote>
  <w:footnote w:id="1">
    <w:p w14:paraId="7017FAB5" w14:textId="77777777" w:rsidR="009E71B5" w:rsidRPr="00BE7876" w:rsidRDefault="009E71B5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62F9E3B8" w14:textId="77777777" w:rsidR="009E71B5" w:rsidRPr="00BE7876" w:rsidRDefault="009E71B5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7A1EE53" w14:textId="77777777" w:rsidR="009E71B5" w:rsidRPr="00BE7876" w:rsidRDefault="009E71B5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A40AFE3" w14:textId="77777777" w:rsidR="009E71B5" w:rsidRPr="00BE7876" w:rsidRDefault="009E71B5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6963" w14:textId="77777777" w:rsidR="009E71B5" w:rsidRDefault="009E71B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32A5AF" wp14:editId="770AE9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447B08A" w14:textId="77777777" w:rsidR="009E71B5" w:rsidRDefault="009E71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0FF" w14:textId="77777777" w:rsidR="009E71B5" w:rsidRDefault="009E71B5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D369B" wp14:editId="2814C7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A4ED0C" w14:textId="77777777" w:rsidR="009E71B5" w:rsidRPr="003C6C8D" w:rsidRDefault="009E71B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D369B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A4ED0C" w14:textId="77777777" w:rsidR="009E71B5" w:rsidRPr="003C6C8D" w:rsidRDefault="009E71B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3388D3" wp14:editId="1414D38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E03C9D1" wp14:editId="726246B7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3788E59B" w14:textId="77777777" w:rsidR="009E71B5" w:rsidRDefault="009E71B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F3FDAFC" wp14:editId="23755CE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&#10;grudni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E5797" w14:textId="48E43A50" w:rsidR="009E71B5" w:rsidRPr="00C97596" w:rsidRDefault="009E71B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FDAF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&#10;grudni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EjWB01aAgAAZA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14:paraId="40DE5797" w14:textId="48E43A50" w:rsidR="009E71B5" w:rsidRPr="00C97596" w:rsidRDefault="009E71B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41A5" w14:textId="77777777" w:rsidR="009E71B5" w:rsidRDefault="009E71B5">
    <w:pPr>
      <w:pStyle w:val="Nagwek"/>
    </w:pPr>
  </w:p>
  <w:p w14:paraId="5DD30F96" w14:textId="77777777" w:rsidR="009E71B5" w:rsidRDefault="009E71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25" type="#_x0000_t75" style="width:122.95pt;height:125.3pt;visibility:visible" o:bullet="t">
        <v:imagedata r:id="rId1" o:title=""/>
      </v:shape>
    </w:pict>
  </w:numPicBullet>
  <w:numPicBullet w:numPicBulletId="1">
    <w:pict>
      <v:shape id="_x0000_i1726" type="#_x0000_t75" style="width:123.9pt;height:125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6F5C"/>
    <w:rsid w:val="0000709F"/>
    <w:rsid w:val="00010302"/>
    <w:rsid w:val="000103A6"/>
    <w:rsid w:val="000108B8"/>
    <w:rsid w:val="00010CE2"/>
    <w:rsid w:val="000112A9"/>
    <w:rsid w:val="00012BAB"/>
    <w:rsid w:val="00013266"/>
    <w:rsid w:val="00013833"/>
    <w:rsid w:val="00013B46"/>
    <w:rsid w:val="00014621"/>
    <w:rsid w:val="000152F5"/>
    <w:rsid w:val="000154BE"/>
    <w:rsid w:val="0001557D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97C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759"/>
    <w:rsid w:val="00040D74"/>
    <w:rsid w:val="00041A3F"/>
    <w:rsid w:val="00041DF5"/>
    <w:rsid w:val="00042C5D"/>
    <w:rsid w:val="00042E95"/>
    <w:rsid w:val="00042F9F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412E"/>
    <w:rsid w:val="0005446C"/>
    <w:rsid w:val="0005449E"/>
    <w:rsid w:val="00054C15"/>
    <w:rsid w:val="00054DB9"/>
    <w:rsid w:val="00055BA7"/>
    <w:rsid w:val="00056F5C"/>
    <w:rsid w:val="00057655"/>
    <w:rsid w:val="00057CA1"/>
    <w:rsid w:val="00057E4B"/>
    <w:rsid w:val="00060C01"/>
    <w:rsid w:val="00061424"/>
    <w:rsid w:val="0006181F"/>
    <w:rsid w:val="00061882"/>
    <w:rsid w:val="000618BD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661"/>
    <w:rsid w:val="00077B31"/>
    <w:rsid w:val="000800A7"/>
    <w:rsid w:val="000800E9"/>
    <w:rsid w:val="000806F7"/>
    <w:rsid w:val="00080FE0"/>
    <w:rsid w:val="00081D58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1C3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5837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36E0"/>
    <w:rsid w:val="001041C8"/>
    <w:rsid w:val="00104D29"/>
    <w:rsid w:val="001051ED"/>
    <w:rsid w:val="00106F42"/>
    <w:rsid w:val="00107637"/>
    <w:rsid w:val="00107F69"/>
    <w:rsid w:val="001103C8"/>
    <w:rsid w:val="001106A6"/>
    <w:rsid w:val="00110D87"/>
    <w:rsid w:val="00110F0F"/>
    <w:rsid w:val="00111370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6621"/>
    <w:rsid w:val="0014694D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AB5"/>
    <w:rsid w:val="00174B8B"/>
    <w:rsid w:val="00176A88"/>
    <w:rsid w:val="0017749E"/>
    <w:rsid w:val="00177A9D"/>
    <w:rsid w:val="00180FB3"/>
    <w:rsid w:val="00181042"/>
    <w:rsid w:val="001822EE"/>
    <w:rsid w:val="001827A7"/>
    <w:rsid w:val="00183104"/>
    <w:rsid w:val="001836C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6B22"/>
    <w:rsid w:val="00197DA0"/>
    <w:rsid w:val="00197F97"/>
    <w:rsid w:val="001A10E7"/>
    <w:rsid w:val="001A118C"/>
    <w:rsid w:val="001A15C2"/>
    <w:rsid w:val="001A183C"/>
    <w:rsid w:val="001A1F61"/>
    <w:rsid w:val="001A398A"/>
    <w:rsid w:val="001A4011"/>
    <w:rsid w:val="001A4BE1"/>
    <w:rsid w:val="001A4CA1"/>
    <w:rsid w:val="001A5D76"/>
    <w:rsid w:val="001A61FD"/>
    <w:rsid w:val="001A6818"/>
    <w:rsid w:val="001A6B0B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591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8BA"/>
    <w:rsid w:val="001D6AE9"/>
    <w:rsid w:val="001D6B85"/>
    <w:rsid w:val="001D7035"/>
    <w:rsid w:val="001D7C82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324D"/>
    <w:rsid w:val="002132E2"/>
    <w:rsid w:val="00213623"/>
    <w:rsid w:val="00213B0B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574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30948"/>
    <w:rsid w:val="002313BE"/>
    <w:rsid w:val="002313C5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17E"/>
    <w:rsid w:val="002445A1"/>
    <w:rsid w:val="00244764"/>
    <w:rsid w:val="00245D3A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206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892"/>
    <w:rsid w:val="00261D1A"/>
    <w:rsid w:val="0026203D"/>
    <w:rsid w:val="00262623"/>
    <w:rsid w:val="002628DF"/>
    <w:rsid w:val="002638D9"/>
    <w:rsid w:val="00263C82"/>
    <w:rsid w:val="00265F04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BAE"/>
    <w:rsid w:val="00276FEF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2317"/>
    <w:rsid w:val="002B2322"/>
    <w:rsid w:val="002B2CF1"/>
    <w:rsid w:val="002B307A"/>
    <w:rsid w:val="002B34F4"/>
    <w:rsid w:val="002B40D0"/>
    <w:rsid w:val="002B4142"/>
    <w:rsid w:val="002B4350"/>
    <w:rsid w:val="002B490B"/>
    <w:rsid w:val="002B4F61"/>
    <w:rsid w:val="002B5A75"/>
    <w:rsid w:val="002B5F68"/>
    <w:rsid w:val="002B6591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347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62EE"/>
    <w:rsid w:val="003964BB"/>
    <w:rsid w:val="00396811"/>
    <w:rsid w:val="00396965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B40"/>
    <w:rsid w:val="003D0C5D"/>
    <w:rsid w:val="003D111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44D"/>
    <w:rsid w:val="003D7AFD"/>
    <w:rsid w:val="003D7BD2"/>
    <w:rsid w:val="003E0083"/>
    <w:rsid w:val="003E00C6"/>
    <w:rsid w:val="003E02BE"/>
    <w:rsid w:val="003E06AE"/>
    <w:rsid w:val="003E0EA7"/>
    <w:rsid w:val="003E1A66"/>
    <w:rsid w:val="003E21BA"/>
    <w:rsid w:val="003E27A3"/>
    <w:rsid w:val="003E29E9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021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3B0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542F"/>
    <w:rsid w:val="004A5AD4"/>
    <w:rsid w:val="004A71D1"/>
    <w:rsid w:val="004A75A6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5F77"/>
    <w:rsid w:val="004C62A3"/>
    <w:rsid w:val="004C6450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4B7D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39F"/>
    <w:rsid w:val="005A3F36"/>
    <w:rsid w:val="005A551F"/>
    <w:rsid w:val="005A5C66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40FA"/>
    <w:rsid w:val="005B41B0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605A"/>
    <w:rsid w:val="005E675D"/>
    <w:rsid w:val="005E67F5"/>
    <w:rsid w:val="005E6859"/>
    <w:rsid w:val="005E69EB"/>
    <w:rsid w:val="005E711B"/>
    <w:rsid w:val="005E76AC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E9A"/>
    <w:rsid w:val="006061B9"/>
    <w:rsid w:val="00606310"/>
    <w:rsid w:val="00606430"/>
    <w:rsid w:val="006066F2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96D"/>
    <w:rsid w:val="00622BE0"/>
    <w:rsid w:val="006230A2"/>
    <w:rsid w:val="006230BE"/>
    <w:rsid w:val="00623AA5"/>
    <w:rsid w:val="00623AF0"/>
    <w:rsid w:val="006249F3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1EF5"/>
    <w:rsid w:val="00672129"/>
    <w:rsid w:val="00673305"/>
    <w:rsid w:val="00673A82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94D"/>
    <w:rsid w:val="00697D79"/>
    <w:rsid w:val="00697F0A"/>
    <w:rsid w:val="006A0A8F"/>
    <w:rsid w:val="006A0CA8"/>
    <w:rsid w:val="006A180F"/>
    <w:rsid w:val="006A1A80"/>
    <w:rsid w:val="006A215D"/>
    <w:rsid w:val="006A2926"/>
    <w:rsid w:val="006A2C42"/>
    <w:rsid w:val="006A302A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14B7"/>
    <w:rsid w:val="006B210A"/>
    <w:rsid w:val="006B253C"/>
    <w:rsid w:val="006B2C0F"/>
    <w:rsid w:val="006B3369"/>
    <w:rsid w:val="006B3A68"/>
    <w:rsid w:val="006B3EE4"/>
    <w:rsid w:val="006B3FE9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3A"/>
    <w:rsid w:val="006B7DB7"/>
    <w:rsid w:val="006C0C5A"/>
    <w:rsid w:val="006C1F3C"/>
    <w:rsid w:val="006C30E7"/>
    <w:rsid w:val="006C343B"/>
    <w:rsid w:val="006C3749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1F26"/>
    <w:rsid w:val="006D2117"/>
    <w:rsid w:val="006D23D1"/>
    <w:rsid w:val="006D255F"/>
    <w:rsid w:val="006D2888"/>
    <w:rsid w:val="006D2924"/>
    <w:rsid w:val="006D31C0"/>
    <w:rsid w:val="006D37E9"/>
    <w:rsid w:val="006D3E69"/>
    <w:rsid w:val="006D4054"/>
    <w:rsid w:val="006D43AB"/>
    <w:rsid w:val="006D4520"/>
    <w:rsid w:val="006D4C07"/>
    <w:rsid w:val="006D4CD2"/>
    <w:rsid w:val="006D504F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282"/>
    <w:rsid w:val="007324AA"/>
    <w:rsid w:val="0073256A"/>
    <w:rsid w:val="00732E29"/>
    <w:rsid w:val="00733F15"/>
    <w:rsid w:val="00734465"/>
    <w:rsid w:val="00734669"/>
    <w:rsid w:val="00734968"/>
    <w:rsid w:val="00734BB0"/>
    <w:rsid w:val="00734EF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CE6"/>
    <w:rsid w:val="007476ED"/>
    <w:rsid w:val="0075078A"/>
    <w:rsid w:val="0075187E"/>
    <w:rsid w:val="007523AC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6EEB"/>
    <w:rsid w:val="00777F44"/>
    <w:rsid w:val="007801F5"/>
    <w:rsid w:val="00781C26"/>
    <w:rsid w:val="00782276"/>
    <w:rsid w:val="0078321D"/>
    <w:rsid w:val="00783CA4"/>
    <w:rsid w:val="007842FB"/>
    <w:rsid w:val="00784604"/>
    <w:rsid w:val="00784618"/>
    <w:rsid w:val="00784688"/>
    <w:rsid w:val="00784B39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4614"/>
    <w:rsid w:val="007A5EF4"/>
    <w:rsid w:val="007A718D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DB1"/>
    <w:rsid w:val="007C6E00"/>
    <w:rsid w:val="007C7D6D"/>
    <w:rsid w:val="007D0080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02A"/>
    <w:rsid w:val="007E5621"/>
    <w:rsid w:val="007E5EAA"/>
    <w:rsid w:val="007E619C"/>
    <w:rsid w:val="007E6AF8"/>
    <w:rsid w:val="007E6FD7"/>
    <w:rsid w:val="007E745C"/>
    <w:rsid w:val="007E7738"/>
    <w:rsid w:val="007E79A2"/>
    <w:rsid w:val="007F2112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3BF"/>
    <w:rsid w:val="007F4594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531D"/>
    <w:rsid w:val="0081614A"/>
    <w:rsid w:val="0081655E"/>
    <w:rsid w:val="008165A4"/>
    <w:rsid w:val="00816FB3"/>
    <w:rsid w:val="008177DB"/>
    <w:rsid w:val="008220B9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7B5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491"/>
    <w:rsid w:val="00887BD4"/>
    <w:rsid w:val="0089075E"/>
    <w:rsid w:val="00891DCA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604B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165"/>
    <w:rsid w:val="008A42C7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270A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7E"/>
    <w:rsid w:val="008D26B8"/>
    <w:rsid w:val="008D2D0F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8CB"/>
    <w:rsid w:val="008E40FB"/>
    <w:rsid w:val="008E4435"/>
    <w:rsid w:val="008E4786"/>
    <w:rsid w:val="008E67E4"/>
    <w:rsid w:val="008E6F42"/>
    <w:rsid w:val="008E715E"/>
    <w:rsid w:val="008E7391"/>
    <w:rsid w:val="008E750D"/>
    <w:rsid w:val="008E79C3"/>
    <w:rsid w:val="008E7C6F"/>
    <w:rsid w:val="008E7D72"/>
    <w:rsid w:val="008F000F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E28"/>
    <w:rsid w:val="009109EC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587"/>
    <w:rsid w:val="0097589B"/>
    <w:rsid w:val="00975988"/>
    <w:rsid w:val="009764BC"/>
    <w:rsid w:val="009766F6"/>
    <w:rsid w:val="009768A5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726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144D"/>
    <w:rsid w:val="009A17E9"/>
    <w:rsid w:val="009A1E15"/>
    <w:rsid w:val="009A39CF"/>
    <w:rsid w:val="009A3FA9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50B3"/>
    <w:rsid w:val="009F5515"/>
    <w:rsid w:val="009F5614"/>
    <w:rsid w:val="009F577E"/>
    <w:rsid w:val="009F58E1"/>
    <w:rsid w:val="009F59A3"/>
    <w:rsid w:val="009F6DFB"/>
    <w:rsid w:val="009F79CB"/>
    <w:rsid w:val="00A00ADB"/>
    <w:rsid w:val="00A01606"/>
    <w:rsid w:val="00A01B46"/>
    <w:rsid w:val="00A0226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2943"/>
    <w:rsid w:val="00A13525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4E5"/>
    <w:rsid w:val="00A33FD1"/>
    <w:rsid w:val="00A341F3"/>
    <w:rsid w:val="00A34233"/>
    <w:rsid w:val="00A34491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6242"/>
    <w:rsid w:val="00A96497"/>
    <w:rsid w:val="00A96A58"/>
    <w:rsid w:val="00A972EF"/>
    <w:rsid w:val="00A97344"/>
    <w:rsid w:val="00AA020F"/>
    <w:rsid w:val="00AA08EC"/>
    <w:rsid w:val="00AA2038"/>
    <w:rsid w:val="00AA2346"/>
    <w:rsid w:val="00AA23AB"/>
    <w:rsid w:val="00AA2C90"/>
    <w:rsid w:val="00AA405C"/>
    <w:rsid w:val="00AA53DE"/>
    <w:rsid w:val="00AA56A5"/>
    <w:rsid w:val="00AA572E"/>
    <w:rsid w:val="00AA57AD"/>
    <w:rsid w:val="00AA57F5"/>
    <w:rsid w:val="00AA619D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1C67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47B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97F"/>
    <w:rsid w:val="00AD6F62"/>
    <w:rsid w:val="00AD77B9"/>
    <w:rsid w:val="00AE004D"/>
    <w:rsid w:val="00AE05E7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0F"/>
    <w:rsid w:val="00B348B4"/>
    <w:rsid w:val="00B35D2A"/>
    <w:rsid w:val="00B3637B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320B"/>
    <w:rsid w:val="00B6477C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709E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671"/>
    <w:rsid w:val="00B81F25"/>
    <w:rsid w:val="00B836C9"/>
    <w:rsid w:val="00B84B42"/>
    <w:rsid w:val="00B84D82"/>
    <w:rsid w:val="00B851E6"/>
    <w:rsid w:val="00B855B3"/>
    <w:rsid w:val="00B859F8"/>
    <w:rsid w:val="00B863D2"/>
    <w:rsid w:val="00B868CA"/>
    <w:rsid w:val="00B87E92"/>
    <w:rsid w:val="00B90444"/>
    <w:rsid w:val="00B9055A"/>
    <w:rsid w:val="00B9122E"/>
    <w:rsid w:val="00B914E9"/>
    <w:rsid w:val="00B92146"/>
    <w:rsid w:val="00B923AB"/>
    <w:rsid w:val="00B92654"/>
    <w:rsid w:val="00B92BCD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228"/>
    <w:rsid w:val="00BF1784"/>
    <w:rsid w:val="00BF221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13B"/>
    <w:rsid w:val="00BF7962"/>
    <w:rsid w:val="00BF7CAA"/>
    <w:rsid w:val="00BF7CE9"/>
    <w:rsid w:val="00BF7E06"/>
    <w:rsid w:val="00C00269"/>
    <w:rsid w:val="00C00826"/>
    <w:rsid w:val="00C00D5E"/>
    <w:rsid w:val="00C01C0A"/>
    <w:rsid w:val="00C02127"/>
    <w:rsid w:val="00C02601"/>
    <w:rsid w:val="00C02C9F"/>
    <w:rsid w:val="00C02FFF"/>
    <w:rsid w:val="00C030DE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BF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20A71"/>
    <w:rsid w:val="00C20B7F"/>
    <w:rsid w:val="00C20C2C"/>
    <w:rsid w:val="00C20CB8"/>
    <w:rsid w:val="00C21F29"/>
    <w:rsid w:val="00C22105"/>
    <w:rsid w:val="00C22413"/>
    <w:rsid w:val="00C22BA7"/>
    <w:rsid w:val="00C2307E"/>
    <w:rsid w:val="00C244B6"/>
    <w:rsid w:val="00C248CB"/>
    <w:rsid w:val="00C2551A"/>
    <w:rsid w:val="00C25792"/>
    <w:rsid w:val="00C25C31"/>
    <w:rsid w:val="00C25C7C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257D"/>
    <w:rsid w:val="00C425A6"/>
    <w:rsid w:val="00C44514"/>
    <w:rsid w:val="00C4547E"/>
    <w:rsid w:val="00C45C6A"/>
    <w:rsid w:val="00C461A5"/>
    <w:rsid w:val="00C466B5"/>
    <w:rsid w:val="00C469DF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FAC"/>
    <w:rsid w:val="00C662F0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D06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497"/>
    <w:rsid w:val="00C96C01"/>
    <w:rsid w:val="00C96FAA"/>
    <w:rsid w:val="00C9761E"/>
    <w:rsid w:val="00C97A04"/>
    <w:rsid w:val="00CA0682"/>
    <w:rsid w:val="00CA0FDE"/>
    <w:rsid w:val="00CA107B"/>
    <w:rsid w:val="00CA14BC"/>
    <w:rsid w:val="00CA14EB"/>
    <w:rsid w:val="00CA23EC"/>
    <w:rsid w:val="00CA374C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B7B4B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315"/>
    <w:rsid w:val="00CF370F"/>
    <w:rsid w:val="00CF4099"/>
    <w:rsid w:val="00CF4583"/>
    <w:rsid w:val="00CF4FBA"/>
    <w:rsid w:val="00CF584E"/>
    <w:rsid w:val="00CF7E1E"/>
    <w:rsid w:val="00D00796"/>
    <w:rsid w:val="00D0197F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E95"/>
    <w:rsid w:val="00D23018"/>
    <w:rsid w:val="00D23456"/>
    <w:rsid w:val="00D23529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6A18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6769"/>
    <w:rsid w:val="00D36A08"/>
    <w:rsid w:val="00D36D7C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568"/>
    <w:rsid w:val="00D4668B"/>
    <w:rsid w:val="00D466DC"/>
    <w:rsid w:val="00D46A15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60A9"/>
    <w:rsid w:val="00D873A6"/>
    <w:rsid w:val="00D90172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E8E"/>
    <w:rsid w:val="00D972B6"/>
    <w:rsid w:val="00D975DE"/>
    <w:rsid w:val="00D977C4"/>
    <w:rsid w:val="00D977E4"/>
    <w:rsid w:val="00D9785A"/>
    <w:rsid w:val="00D97EFB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45C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AAA"/>
    <w:rsid w:val="00DD0441"/>
    <w:rsid w:val="00DD08C1"/>
    <w:rsid w:val="00DD0DC3"/>
    <w:rsid w:val="00DD18D2"/>
    <w:rsid w:val="00DD220E"/>
    <w:rsid w:val="00DD25A0"/>
    <w:rsid w:val="00DD282C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281"/>
    <w:rsid w:val="00E079BE"/>
    <w:rsid w:val="00E1152A"/>
    <w:rsid w:val="00E121D5"/>
    <w:rsid w:val="00E1239C"/>
    <w:rsid w:val="00E12635"/>
    <w:rsid w:val="00E12DB3"/>
    <w:rsid w:val="00E12E3A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BE"/>
    <w:rsid w:val="00E42FF9"/>
    <w:rsid w:val="00E43E83"/>
    <w:rsid w:val="00E441B4"/>
    <w:rsid w:val="00E444D8"/>
    <w:rsid w:val="00E445E2"/>
    <w:rsid w:val="00E44BAC"/>
    <w:rsid w:val="00E44BC0"/>
    <w:rsid w:val="00E45261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158"/>
    <w:rsid w:val="00E95AA1"/>
    <w:rsid w:val="00E96A7F"/>
    <w:rsid w:val="00E97662"/>
    <w:rsid w:val="00E9769C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CF9"/>
    <w:rsid w:val="00EE6094"/>
    <w:rsid w:val="00EE66B3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3E44"/>
    <w:rsid w:val="00F049B5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AF3"/>
    <w:rsid w:val="00F10B1E"/>
    <w:rsid w:val="00F11B9E"/>
    <w:rsid w:val="00F1200E"/>
    <w:rsid w:val="00F12464"/>
    <w:rsid w:val="00F12625"/>
    <w:rsid w:val="00F12710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5BFB"/>
    <w:rsid w:val="00F263AF"/>
    <w:rsid w:val="00F26AD3"/>
    <w:rsid w:val="00F2723F"/>
    <w:rsid w:val="00F274D0"/>
    <w:rsid w:val="00F274D5"/>
    <w:rsid w:val="00F276B8"/>
    <w:rsid w:val="00F2775E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866"/>
    <w:rsid w:val="00F657FD"/>
    <w:rsid w:val="00F65A98"/>
    <w:rsid w:val="00F661A0"/>
    <w:rsid w:val="00F66334"/>
    <w:rsid w:val="00F6653B"/>
    <w:rsid w:val="00F66F5E"/>
    <w:rsid w:val="00F678A0"/>
    <w:rsid w:val="00F67B9E"/>
    <w:rsid w:val="00F67D8F"/>
    <w:rsid w:val="00F70326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31B5"/>
    <w:rsid w:val="00F834B7"/>
    <w:rsid w:val="00F83C70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02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D073C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765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79C"/>
    <w:rsid w:val="00FF3C29"/>
    <w:rsid w:val="00FF5225"/>
    <w:rsid w:val="00FF548D"/>
    <w:rsid w:val="00FF67C1"/>
    <w:rsid w:val="00FF681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EF2EB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zbi&#243;r%20wrzesiniowy%20og&#243;&#322;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Arkusz1!$K$1:$AI$2</c:f>
              <c:multiLvlStrCache>
                <c:ptCount val="25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01</c:v>
                  </c:pt>
                  <c:pt idx="4">
                    <c:v>02</c:v>
                  </c:pt>
                  <c:pt idx="5">
                    <c:v>03</c:v>
                  </c:pt>
                  <c:pt idx="6">
                    <c:v>04</c:v>
                  </c:pt>
                  <c:pt idx="7">
                    <c:v>05</c:v>
                  </c:pt>
                  <c:pt idx="8">
                    <c:v>06</c:v>
                  </c:pt>
                  <c:pt idx="9">
                    <c:v>07</c:v>
                  </c:pt>
                  <c:pt idx="10">
                    <c:v>08</c:v>
                  </c:pt>
                  <c:pt idx="11">
                    <c:v>09</c:v>
                  </c:pt>
                  <c:pt idx="12">
                    <c:v>10</c:v>
                  </c:pt>
                  <c:pt idx="13">
                    <c:v>11</c:v>
                  </c:pt>
                  <c:pt idx="14">
                    <c:v>12</c:v>
                  </c:pt>
                  <c:pt idx="15">
                    <c:v>01</c:v>
                  </c:pt>
                  <c:pt idx="16">
                    <c:v>02</c:v>
                  </c:pt>
                  <c:pt idx="17">
                    <c:v>03</c:v>
                  </c:pt>
                  <c:pt idx="18">
                    <c:v>04</c:v>
                  </c:pt>
                  <c:pt idx="19">
                    <c:v>05</c:v>
                  </c:pt>
                  <c:pt idx="20">
                    <c:v>06</c:v>
                  </c:pt>
                  <c:pt idx="21">
                    <c:v>07</c:v>
                  </c:pt>
                  <c:pt idx="22">
                    <c:v>08</c:v>
                  </c:pt>
                  <c:pt idx="23">
                    <c:v>09</c:v>
                  </c:pt>
                  <c:pt idx="24">
                    <c:v>10</c:v>
                  </c:pt>
                </c:lvl>
                <c:lvl>
                  <c:pt idx="0">
                    <c:v>2023</c:v>
                  </c:pt>
                  <c:pt idx="3">
                    <c:v>2024</c:v>
                  </c:pt>
                  <c:pt idx="15">
                    <c:v>2025</c:v>
                  </c:pt>
                </c:lvl>
              </c:multiLvlStrCache>
            </c:multiLvlStrRef>
          </c:cat>
          <c:val>
            <c:numRef>
              <c:f>Arkusz1!$K$3:$AI$3</c:f>
              <c:numCache>
                <c:formatCode>#\ ##0.0</c:formatCode>
                <c:ptCount val="25"/>
                <c:pt idx="0">
                  <c:v>96.5</c:v>
                </c:pt>
                <c:pt idx="1">
                  <c:v>89.1</c:v>
                </c:pt>
                <c:pt idx="2">
                  <c:v>88</c:v>
                </c:pt>
                <c:pt idx="3" formatCode="0.0">
                  <c:v>90.6</c:v>
                </c:pt>
                <c:pt idx="4" formatCode="0.0">
                  <c:v>93</c:v>
                </c:pt>
                <c:pt idx="5" formatCode="0.0">
                  <c:v>84</c:v>
                </c:pt>
                <c:pt idx="6" formatCode="0.0">
                  <c:v>99.4</c:v>
                </c:pt>
                <c:pt idx="7" formatCode="0.0">
                  <c:v>89.5</c:v>
                </c:pt>
                <c:pt idx="8" formatCode="0.0">
                  <c:v>92</c:v>
                </c:pt>
                <c:pt idx="9" formatCode="0.0">
                  <c:v>102.3</c:v>
                </c:pt>
                <c:pt idx="10" formatCode="0.0">
                  <c:v>94.8</c:v>
                </c:pt>
                <c:pt idx="11" formatCode="0.0">
                  <c:v>96</c:v>
                </c:pt>
                <c:pt idx="12" formatCode="0.0">
                  <c:v>97.7</c:v>
                </c:pt>
                <c:pt idx="13" formatCode="0.0">
                  <c:v>96.6</c:v>
                </c:pt>
                <c:pt idx="14" formatCode="0.0">
                  <c:v>100.5</c:v>
                </c:pt>
                <c:pt idx="15" formatCode="0.0">
                  <c:v>101</c:v>
                </c:pt>
                <c:pt idx="16" formatCode="0.0">
                  <c:v>96.4</c:v>
                </c:pt>
                <c:pt idx="17" formatCode="0.0">
                  <c:v>101.7</c:v>
                </c:pt>
                <c:pt idx="18" formatCode="0.0">
                  <c:v>98.9</c:v>
                </c:pt>
                <c:pt idx="19" formatCode="0.0">
                  <c:v>104</c:v>
                </c:pt>
                <c:pt idx="20" formatCode="0.0">
                  <c:v>102.5</c:v>
                </c:pt>
                <c:pt idx="21" formatCode="0.0">
                  <c:v>102.5</c:v>
                </c:pt>
                <c:pt idx="22" formatCode="0.0">
                  <c:v>98.5</c:v>
                </c:pt>
                <c:pt idx="23" formatCode="0.0">
                  <c:v>105.3</c:v>
                </c:pt>
                <c:pt idx="24" formatCode="0.0">
                  <c:v>100.9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1D-4231-9254-F2D7B484D59E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Arkusz1!$K$1:$AI$2</c:f>
              <c:multiLvlStrCache>
                <c:ptCount val="25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01</c:v>
                  </c:pt>
                  <c:pt idx="4">
                    <c:v>02</c:v>
                  </c:pt>
                  <c:pt idx="5">
                    <c:v>03</c:v>
                  </c:pt>
                  <c:pt idx="6">
                    <c:v>04</c:v>
                  </c:pt>
                  <c:pt idx="7">
                    <c:v>05</c:v>
                  </c:pt>
                  <c:pt idx="8">
                    <c:v>06</c:v>
                  </c:pt>
                  <c:pt idx="9">
                    <c:v>07</c:v>
                  </c:pt>
                  <c:pt idx="10">
                    <c:v>08</c:v>
                  </c:pt>
                  <c:pt idx="11">
                    <c:v>09</c:v>
                  </c:pt>
                  <c:pt idx="12">
                    <c:v>10</c:v>
                  </c:pt>
                  <c:pt idx="13">
                    <c:v>11</c:v>
                  </c:pt>
                  <c:pt idx="14">
                    <c:v>12</c:v>
                  </c:pt>
                  <c:pt idx="15">
                    <c:v>01</c:v>
                  </c:pt>
                  <c:pt idx="16">
                    <c:v>02</c:v>
                  </c:pt>
                  <c:pt idx="17">
                    <c:v>03</c:v>
                  </c:pt>
                  <c:pt idx="18">
                    <c:v>04</c:v>
                  </c:pt>
                  <c:pt idx="19">
                    <c:v>05</c:v>
                  </c:pt>
                  <c:pt idx="20">
                    <c:v>06</c:v>
                  </c:pt>
                  <c:pt idx="21">
                    <c:v>07</c:v>
                  </c:pt>
                  <c:pt idx="22">
                    <c:v>08</c:v>
                  </c:pt>
                  <c:pt idx="23">
                    <c:v>09</c:v>
                  </c:pt>
                  <c:pt idx="24">
                    <c:v>10</c:v>
                  </c:pt>
                </c:lvl>
                <c:lvl>
                  <c:pt idx="0">
                    <c:v>2023</c:v>
                  </c:pt>
                  <c:pt idx="3">
                    <c:v>2024</c:v>
                  </c:pt>
                  <c:pt idx="15">
                    <c:v>2025</c:v>
                  </c:pt>
                </c:lvl>
              </c:multiLvlStrCache>
            </c:multiLvlStrRef>
          </c:cat>
          <c:val>
            <c:numRef>
              <c:f>Arkusz1!$K$4:$AI$4</c:f>
              <c:numCache>
                <c:formatCode>#\ ##0.0</c:formatCode>
                <c:ptCount val="25"/>
                <c:pt idx="0">
                  <c:v>87.8</c:v>
                </c:pt>
                <c:pt idx="1">
                  <c:v>87.4</c:v>
                </c:pt>
                <c:pt idx="2">
                  <c:v>81.099999999999994</c:v>
                </c:pt>
                <c:pt idx="3" formatCode="0.0">
                  <c:v>88.1</c:v>
                </c:pt>
                <c:pt idx="4" formatCode="0.0">
                  <c:v>94</c:v>
                </c:pt>
                <c:pt idx="5" formatCode="0.0">
                  <c:v>84.9</c:v>
                </c:pt>
                <c:pt idx="6" formatCode="0.0">
                  <c:v>99.6</c:v>
                </c:pt>
                <c:pt idx="7" formatCode="0.0">
                  <c:v>92.8</c:v>
                </c:pt>
                <c:pt idx="8" formatCode="0.0">
                  <c:v>97.8</c:v>
                </c:pt>
                <c:pt idx="9" formatCode="0.0">
                  <c:v>105.6</c:v>
                </c:pt>
                <c:pt idx="10" formatCode="0.0">
                  <c:v>101.3</c:v>
                </c:pt>
                <c:pt idx="11" formatCode="0.0">
                  <c:v>99.2</c:v>
                </c:pt>
                <c:pt idx="12" formatCode="0.0">
                  <c:v>101.3</c:v>
                </c:pt>
                <c:pt idx="13" formatCode="0.0">
                  <c:v>99.1</c:v>
                </c:pt>
                <c:pt idx="14" formatCode="0.0">
                  <c:v>103.7</c:v>
                </c:pt>
                <c:pt idx="15" formatCode="0.0">
                  <c:v>108.4</c:v>
                </c:pt>
                <c:pt idx="16" formatCode="0.0">
                  <c:v>100.1</c:v>
                </c:pt>
                <c:pt idx="17" formatCode="0.0">
                  <c:v>108.7</c:v>
                </c:pt>
                <c:pt idx="18" formatCode="0.0">
                  <c:v>103.7</c:v>
                </c:pt>
                <c:pt idx="19" formatCode="0.0">
                  <c:v>108.3</c:v>
                </c:pt>
                <c:pt idx="20" formatCode="0.0">
                  <c:v>101.9</c:v>
                </c:pt>
                <c:pt idx="21" formatCode="0.0">
                  <c:v>102.1</c:v>
                </c:pt>
                <c:pt idx="22" formatCode="0.0">
                  <c:v>98.7</c:v>
                </c:pt>
                <c:pt idx="23" formatCode="0.0">
                  <c:v>106.5</c:v>
                </c:pt>
                <c:pt idx="24" formatCode="0.0">
                  <c:v>99.1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1D-4231-9254-F2D7B484D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417852539352685"/>
          <c:y val="5.0767914677923555E-2"/>
          <c:w val="0.47243001288981246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17.600000000000001</c:v>
                </c:pt>
                <c:pt idx="2">
                  <c:v>37</c:v>
                </c:pt>
                <c:pt idx="3">
                  <c:v>16.3</c:v>
                </c:pt>
                <c:pt idx="4">
                  <c:v>9.4</c:v>
                </c:pt>
                <c:pt idx="5">
                  <c:v>0.3</c:v>
                </c:pt>
                <c:pt idx="6">
                  <c:v>2</c:v>
                </c:pt>
                <c:pt idx="7">
                  <c:v>1.8</c:v>
                </c:pt>
                <c:pt idx="8">
                  <c:v>2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8-4FC5-B866-30C73901F3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2.1</c:v>
                </c:pt>
                <c:pt idx="1">
                  <c:v>15.7</c:v>
                </c:pt>
                <c:pt idx="2">
                  <c:v>35.299999999999997</c:v>
                </c:pt>
                <c:pt idx="3">
                  <c:v>14.6</c:v>
                </c:pt>
                <c:pt idx="4">
                  <c:v>13.7</c:v>
                </c:pt>
                <c:pt idx="5">
                  <c:v>0.5</c:v>
                </c:pt>
                <c:pt idx="6">
                  <c:v>6.4</c:v>
                </c:pt>
                <c:pt idx="7">
                  <c:v>2.5</c:v>
                </c:pt>
                <c:pt idx="8">
                  <c:v>0.9</c:v>
                </c:pt>
                <c:pt idx="9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D4-4632-87E6-112D32E57D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A3BCEB8-97D0-43D8-8D4C-1A45EF68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2252</Words>
  <Characters>10767</Characters>
  <DocSecurity>0</DocSecurity>
  <Lines>978</Lines>
  <Paragraphs>929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Obroty_towarowe_handlu_zagranicznego_ogolem_i_wedlug_krajow_w_styczniu_październiku_2025_r</dc:title>
  <dc:subject/>
  <dc:creator>GUS</dc:creator>
  <cp:keywords/>
  <dc:description/>
  <cp:lastPrinted>2025-10-10T06:07:00Z</cp:lastPrinted>
  <dcterms:created xsi:type="dcterms:W3CDTF">2025-12-05T09:20:00Z</dcterms:created>
  <dcterms:modified xsi:type="dcterms:W3CDTF">2025-12-05T12:12:00Z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