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xlsx" ContentType="application/vnd.openxmlformats-officedocument.spreadsheetml.sheet"/>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9AE056E" w14:textId="0E9BFCCF" w:rsidR="00EF6FC5" w:rsidRPr="007A5771" w:rsidRDefault="00EF6FC5" w:rsidP="00EF6FC5">
      <w:pPr>
        <w:pStyle w:val="Tytuinfomacjisygnalnej"/>
      </w:pPr>
      <w:r w:rsidRPr="007A5771">
        <w:t xml:space="preserve">Wskaźniki cen produkcji sprzedanej przemysłu </w:t>
      </w:r>
      <w:r w:rsidR="001D54A4">
        <w:t>w</w:t>
      </w:r>
      <w:r w:rsidR="008B11F9">
        <w:t> </w:t>
      </w:r>
      <w:r w:rsidR="0042346F">
        <w:t>listopadzie</w:t>
      </w:r>
      <w:r w:rsidR="005228C2">
        <w:t xml:space="preserve"> </w:t>
      </w:r>
      <w:r w:rsidR="003D63D6">
        <w:t>2025</w:t>
      </w:r>
      <w:r w:rsidRPr="007A5771">
        <w:t xml:space="preserve"> r.</w:t>
      </w:r>
      <w:r w:rsidR="00810463">
        <w:rPr>
          <w:rStyle w:val="Odwoanieprzypisudolnego"/>
        </w:rPr>
        <w:footnoteReference w:id="1"/>
      </w:r>
    </w:p>
    <w:p w14:paraId="2413455F" w14:textId="77777777" w:rsidR="00EF6FC5" w:rsidRDefault="00EF6FC5" w:rsidP="00792D90">
      <w:pPr>
        <w:pStyle w:val="Przypis"/>
        <w:rPr>
          <w:lang w:val="pl-PL"/>
        </w:rPr>
      </w:pPr>
    </w:p>
    <w:p w14:paraId="12592375" w14:textId="06D91325" w:rsidR="00E95B8E" w:rsidRPr="0066387C" w:rsidRDefault="006D7409" w:rsidP="00883E43">
      <w:pPr>
        <w:pStyle w:val="Lead"/>
        <w:rPr>
          <w:b w:val="0"/>
        </w:rPr>
      </w:pPr>
      <w:r w:rsidRPr="00587CEE">
        <w:rPr>
          <w:color w:val="001D77"/>
        </w:rPr>
        <mc:AlternateContent>
          <mc:Choice Requires="wps">
            <w:drawing>
              <wp:anchor distT="45720" distB="45720" distL="114300" distR="114300" simplePos="0" relativeHeight="251738112" behindDoc="0" locked="0" layoutInCell="1" allowOverlap="1" wp14:anchorId="4B49E08E" wp14:editId="738DA731">
                <wp:simplePos x="0" y="0"/>
                <wp:positionH relativeFrom="margin">
                  <wp:posOffset>-15240</wp:posOffset>
                </wp:positionH>
                <wp:positionV relativeFrom="paragraph">
                  <wp:posOffset>10160</wp:posOffset>
                </wp:positionV>
                <wp:extent cx="2204085" cy="1310640"/>
                <wp:effectExtent l="0" t="0" r="5715" b="3810"/>
                <wp:wrapSquare wrapText="bothSides"/>
                <wp:docPr id="6" name="Pole tekstowe 2" descr="2,4% - spadek cen producentów w przemyśle w porównaniu z listopadem 2024 r.&#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4085" cy="1310640"/>
                        </a:xfrm>
                        <a:prstGeom prst="roundRect">
                          <a:avLst/>
                        </a:prstGeom>
                        <a:solidFill>
                          <a:srgbClr val="001D77"/>
                        </a:solidFill>
                        <a:ln w="9525">
                          <a:noFill/>
                          <a:miter lim="800000"/>
                          <a:headEnd/>
                          <a:tailEnd/>
                        </a:ln>
                      </wps:spPr>
                      <wps:txbx>
                        <w:txbxContent>
                          <w:p w14:paraId="7B0609D6" w14:textId="7C854967" w:rsidR="00313F5C" w:rsidRPr="00883E43" w:rsidRDefault="00883E43" w:rsidP="00F65A5A">
                            <w:pPr>
                              <w:autoSpaceDE w:val="0"/>
                              <w:autoSpaceDN w:val="0"/>
                              <w:adjustRightInd w:val="0"/>
                              <w:spacing w:before="0" w:after="0" w:line="240" w:lineRule="auto"/>
                              <w:rPr>
                                <w:rFonts w:ascii="Fira Sans SemiBold" w:hAnsi="Fira Sans SemiBold"/>
                                <w:color w:val="FFFFFF" w:themeColor="background1"/>
                                <w:sz w:val="72"/>
                                <w:szCs w:val="72"/>
                              </w:rPr>
                            </w:pPr>
                            <w:r w:rsidRPr="00883E43">
                              <w:rPr>
                                <w:rStyle w:val="IkonawskanikaZnak"/>
                                <w:sz w:val="72"/>
                                <w:szCs w:val="72"/>
                              </w:rPr>
                              <w:sym w:font="Wingdings" w:char="F0F2"/>
                            </w:r>
                            <w:bookmarkStart w:id="0" w:name="_Hlk206408172"/>
                            <w:bookmarkStart w:id="1" w:name="_Hlk206408173"/>
                            <w:r w:rsidR="001B48CE">
                              <w:rPr>
                                <w:rStyle w:val="WartowskanikaZnak"/>
                                <w:sz w:val="72"/>
                                <w:szCs w:val="72"/>
                              </w:rPr>
                              <w:t>2</w:t>
                            </w:r>
                            <w:r w:rsidR="005228C2">
                              <w:rPr>
                                <w:rStyle w:val="WartowskanikaZnak"/>
                                <w:sz w:val="72"/>
                                <w:szCs w:val="72"/>
                              </w:rPr>
                              <w:t>,</w:t>
                            </w:r>
                            <w:r w:rsidR="0042346F">
                              <w:rPr>
                                <w:rStyle w:val="WartowskanikaZnak"/>
                                <w:sz w:val="72"/>
                                <w:szCs w:val="72"/>
                              </w:rPr>
                              <w:t>4</w:t>
                            </w:r>
                            <w:r w:rsidR="004B4292" w:rsidRPr="00883E43">
                              <w:rPr>
                                <w:rStyle w:val="WartowskanikaZnak"/>
                                <w:sz w:val="72"/>
                                <w:szCs w:val="72"/>
                              </w:rPr>
                              <w:t>%</w:t>
                            </w:r>
                          </w:p>
                          <w:p w14:paraId="31B4475C" w14:textId="78A6727E" w:rsidR="005C0CAC" w:rsidRPr="007D605C" w:rsidRDefault="00883E43" w:rsidP="00883E43">
                            <w:pPr>
                              <w:pStyle w:val="tekstnaniebieskimtle"/>
                              <w:rPr>
                                <w:sz w:val="18"/>
                                <w:szCs w:val="20"/>
                              </w:rPr>
                            </w:pPr>
                            <w:r>
                              <w:rPr>
                                <w:szCs w:val="20"/>
                              </w:rPr>
                              <w:t xml:space="preserve">spadek </w:t>
                            </w:r>
                            <w:r w:rsidRPr="002002D0">
                              <w:rPr>
                                <w:szCs w:val="20"/>
                              </w:rPr>
                              <w:t>cen producentów w</w:t>
                            </w:r>
                            <w:r>
                              <w:rPr>
                                <w:szCs w:val="20"/>
                              </w:rPr>
                              <w:t> </w:t>
                            </w:r>
                            <w:r w:rsidRPr="002002D0">
                              <w:rPr>
                                <w:szCs w:val="20"/>
                              </w:rPr>
                              <w:t>przemyśle w porównaniu</w:t>
                            </w:r>
                            <w:r>
                              <w:rPr>
                                <w:szCs w:val="20"/>
                              </w:rPr>
                              <w:t xml:space="preserve"> </w:t>
                            </w:r>
                            <w:r w:rsidR="003D63D6">
                              <w:rPr>
                                <w:szCs w:val="20"/>
                              </w:rPr>
                              <w:t>z </w:t>
                            </w:r>
                            <w:r w:rsidR="0042346F">
                              <w:rPr>
                                <w:szCs w:val="20"/>
                              </w:rPr>
                              <w:t xml:space="preserve">listopadem </w:t>
                            </w:r>
                            <w:r w:rsidR="003D63D6">
                              <w:rPr>
                                <w:szCs w:val="20"/>
                              </w:rPr>
                              <w:t>202</w:t>
                            </w:r>
                            <w:r w:rsidR="008C64D4">
                              <w:rPr>
                                <w:szCs w:val="20"/>
                              </w:rPr>
                              <w:t>4</w:t>
                            </w:r>
                            <w:r w:rsidRPr="002002D0">
                              <w:rPr>
                                <w:szCs w:val="20"/>
                              </w:rPr>
                              <w:t xml:space="preserve"> r.</w:t>
                            </w:r>
                            <w:bookmarkEnd w:id="0"/>
                            <w:bookmarkEnd w:id="1"/>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4B49E08E" id="Pole tekstowe 2" o:spid="_x0000_s1026" alt="2,4% - spadek cen producentów w przemyśle w porównaniu z listopadem 2024 r.&#10;" style="position:absolute;margin-left:-1.2pt;margin-top:.8pt;width:173.55pt;height:103.2pt;z-index:2517381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" fillcolor="#001d77" stroked="f">
                <v:stroke joinstyle="miter"/>
                <v:textbox>
                  <w:txbxContent>
                    <w:p w14:paraId="7B0609D6" w14:textId="7C854967" w:rsidR="00313F5C" w:rsidRPr="00883E43" w:rsidRDefault="00883E43" w:rsidP="00F65A5A">
                      <w:pPr>
                        <w:autoSpaceDE w:val="0"/>
                        <w:autoSpaceDN w:val="0"/>
                        <w:adjustRightInd w:val="0"/>
                        <w:spacing w:before="0" w:after="0" w:line="240" w:lineRule="auto"/>
                        <w:rPr>
                          <w:rFonts w:ascii="Fira Sans SemiBold" w:hAnsi="Fira Sans SemiBold"/>
                          <w:color w:val="FFFFFF" w:themeColor="background1"/>
                          <w:sz w:val="72"/>
                          <w:szCs w:val="72"/>
                        </w:rPr>
                      </w:pPr>
                      <w:r w:rsidRPr="00883E43">
                        <w:rPr>
                          <w:rStyle w:val="IkonawskanikaZnak"/>
                          <w:sz w:val="72"/>
                          <w:szCs w:val="72"/>
                        </w:rPr>
                        <w:sym w:font="Wingdings" w:char="F0F2"/>
                      </w:r>
                      <w:bookmarkStart w:id="2" w:name="_Hlk206408172"/>
                      <w:bookmarkStart w:id="3" w:name="_Hlk206408173"/>
                      <w:r w:rsidR="001B48CE">
                        <w:rPr>
                          <w:rStyle w:val="WartowskanikaZnak"/>
                          <w:sz w:val="72"/>
                          <w:szCs w:val="72"/>
                        </w:rPr>
                        <w:t>2</w:t>
                      </w:r>
                      <w:r w:rsidR="005228C2">
                        <w:rPr>
                          <w:rStyle w:val="WartowskanikaZnak"/>
                          <w:sz w:val="72"/>
                          <w:szCs w:val="72"/>
                        </w:rPr>
                        <w:t>,</w:t>
                      </w:r>
                      <w:r w:rsidR="0042346F">
                        <w:rPr>
                          <w:rStyle w:val="WartowskanikaZnak"/>
                          <w:sz w:val="72"/>
                          <w:szCs w:val="72"/>
                        </w:rPr>
                        <w:t>4</w:t>
                      </w:r>
                      <w:r w:rsidR="004B4292" w:rsidRPr="00883E43">
                        <w:rPr>
                          <w:rStyle w:val="WartowskanikaZnak"/>
                          <w:sz w:val="72"/>
                          <w:szCs w:val="72"/>
                        </w:rPr>
                        <w:t>%</w:t>
                      </w:r>
                    </w:p>
                    <w:p w14:paraId="31B4475C" w14:textId="78A6727E" w:rsidR="005C0CAC" w:rsidRPr="007D605C" w:rsidRDefault="00883E43" w:rsidP="00883E43">
                      <w:pPr>
                        <w:pStyle w:val="tekstnaniebieskimtle"/>
                        <w:rPr>
                          <w:sz w:val="18"/>
                          <w:szCs w:val="20"/>
                        </w:rPr>
                      </w:pPr>
                      <w:r>
                        <w:rPr>
                          <w:szCs w:val="20"/>
                        </w:rPr>
                        <w:t xml:space="preserve">spadek </w:t>
                      </w:r>
                      <w:r w:rsidRPr="002002D0">
                        <w:rPr>
                          <w:szCs w:val="20"/>
                        </w:rPr>
                        <w:t>cen producentów w</w:t>
                      </w:r>
                      <w:r>
                        <w:rPr>
                          <w:szCs w:val="20"/>
                        </w:rPr>
                        <w:t> </w:t>
                      </w:r>
                      <w:r w:rsidRPr="002002D0">
                        <w:rPr>
                          <w:szCs w:val="20"/>
                        </w:rPr>
                        <w:t>przemyśle w porównaniu</w:t>
                      </w:r>
                      <w:r>
                        <w:rPr>
                          <w:szCs w:val="20"/>
                        </w:rPr>
                        <w:t xml:space="preserve"> </w:t>
                      </w:r>
                      <w:r w:rsidR="003D63D6">
                        <w:rPr>
                          <w:szCs w:val="20"/>
                        </w:rPr>
                        <w:t>z </w:t>
                      </w:r>
                      <w:r w:rsidR="0042346F">
                        <w:rPr>
                          <w:szCs w:val="20"/>
                        </w:rPr>
                        <w:t xml:space="preserve">listopadem </w:t>
                      </w:r>
                      <w:r w:rsidR="003D63D6">
                        <w:rPr>
                          <w:szCs w:val="20"/>
                        </w:rPr>
                        <w:t>202</w:t>
                      </w:r>
                      <w:r w:rsidR="008C64D4">
                        <w:rPr>
                          <w:szCs w:val="20"/>
                        </w:rPr>
                        <w:t>4</w:t>
                      </w:r>
                      <w:r w:rsidRPr="002002D0">
                        <w:rPr>
                          <w:szCs w:val="20"/>
                        </w:rPr>
                        <w:t xml:space="preserve"> r.</w:t>
                      </w:r>
                      <w:bookmarkEnd w:id="2"/>
                      <w:bookmarkEnd w:id="3"/>
                    </w:p>
                  </w:txbxContent>
                </v:textbox>
                <w10:wrap type="square" anchorx="margin"/>
              </v:roundrect>
            </w:pict>
          </mc:Fallback>
        </mc:AlternateContent>
      </w:r>
      <w:r w:rsidR="00883E43" w:rsidRPr="0088650D">
        <w:rPr>
          <w:rFonts w:eastAsia="Times New Roman" w:cs="Times New Roman"/>
          <w:bCs/>
        </w:rPr>
        <w:t>Według wstępnych danych</w:t>
      </w:r>
      <w:r w:rsidR="00883E43" w:rsidRPr="00B117AD">
        <w:rPr>
          <w:rFonts w:eastAsia="Times New Roman" w:cs="Times New Roman"/>
          <w:bCs/>
        </w:rPr>
        <w:t xml:space="preserve"> </w:t>
      </w:r>
      <w:r w:rsidR="001B48CE">
        <w:rPr>
          <w:rFonts w:eastAsia="Times New Roman" w:cs="Times New Roman"/>
          <w:bCs/>
        </w:rPr>
        <w:t xml:space="preserve">w </w:t>
      </w:r>
      <w:r w:rsidR="0042346F">
        <w:rPr>
          <w:rFonts w:eastAsia="Times New Roman" w:cs="Times New Roman"/>
          <w:bCs/>
        </w:rPr>
        <w:t>listopadzie</w:t>
      </w:r>
      <w:r w:rsidR="005228C2">
        <w:rPr>
          <w:rFonts w:eastAsia="Times New Roman" w:cs="Times New Roman"/>
          <w:bCs/>
        </w:rPr>
        <w:t xml:space="preserve"> </w:t>
      </w:r>
      <w:r w:rsidR="003D63D6">
        <w:rPr>
          <w:rFonts w:eastAsia="Times New Roman" w:cs="Times New Roman"/>
          <w:bCs/>
        </w:rPr>
        <w:t>2025</w:t>
      </w:r>
      <w:r w:rsidR="00883E43" w:rsidRPr="0088650D">
        <w:rPr>
          <w:rFonts w:eastAsia="Times New Roman" w:cs="Times New Roman"/>
          <w:bCs/>
        </w:rPr>
        <w:t xml:space="preserve"> r. ceny produkcji sprzedanej przemysłu </w:t>
      </w:r>
      <w:r w:rsidR="00227625">
        <w:rPr>
          <w:spacing w:val="-6"/>
        </w:rPr>
        <w:t>spadły</w:t>
      </w:r>
      <w:r w:rsidR="00BB7A57">
        <w:rPr>
          <w:spacing w:val="-6"/>
        </w:rPr>
        <w:t xml:space="preserve"> </w:t>
      </w:r>
      <w:r w:rsidR="000429DE">
        <w:rPr>
          <w:spacing w:val="-6"/>
        </w:rPr>
        <w:t>w</w:t>
      </w:r>
      <w:r w:rsidR="00E907F1">
        <w:rPr>
          <w:spacing w:val="-6"/>
        </w:rPr>
        <w:t xml:space="preserve"> porównaniu </w:t>
      </w:r>
      <w:r w:rsidR="00FB0C8B">
        <w:rPr>
          <w:spacing w:val="-6"/>
        </w:rPr>
        <w:t>z</w:t>
      </w:r>
      <w:r w:rsidR="005E084F">
        <w:rPr>
          <w:rFonts w:eastAsia="Times New Roman" w:cs="Times New Roman"/>
          <w:bCs/>
        </w:rPr>
        <w:t> </w:t>
      </w:r>
      <w:r w:rsidR="0042346F">
        <w:rPr>
          <w:rFonts w:eastAsia="Times New Roman" w:cs="Times New Roman"/>
          <w:bCs/>
        </w:rPr>
        <w:t>listopad</w:t>
      </w:r>
      <w:r w:rsidR="001978EB">
        <w:rPr>
          <w:rFonts w:eastAsia="Times New Roman" w:cs="Times New Roman"/>
          <w:bCs/>
        </w:rPr>
        <w:t>em</w:t>
      </w:r>
      <w:r w:rsidR="006D75E2">
        <w:rPr>
          <w:rFonts w:eastAsia="Times New Roman" w:cs="Times New Roman"/>
          <w:bCs/>
        </w:rPr>
        <w:t xml:space="preserve"> 2024 r.</w:t>
      </w:r>
      <w:r w:rsidR="00095C4A">
        <w:rPr>
          <w:rFonts w:eastAsia="Times New Roman" w:cs="Times New Roman"/>
          <w:bCs/>
        </w:rPr>
        <w:t xml:space="preserve"> </w:t>
      </w:r>
      <w:r w:rsidR="001702B9">
        <w:rPr>
          <w:rFonts w:eastAsia="Times New Roman" w:cs="Times New Roman"/>
          <w:bCs/>
        </w:rPr>
        <w:t>(</w:t>
      </w:r>
      <w:r w:rsidR="004E74D9">
        <w:rPr>
          <w:rFonts w:eastAsia="Times New Roman" w:cs="Times New Roman"/>
          <w:bCs/>
        </w:rPr>
        <w:t>o</w:t>
      </w:r>
      <w:r w:rsidR="00E907F1">
        <w:rPr>
          <w:rFonts w:eastAsia="Times New Roman" w:cs="Times New Roman"/>
          <w:bCs/>
        </w:rPr>
        <w:t> </w:t>
      </w:r>
      <w:r w:rsidR="001B48CE">
        <w:rPr>
          <w:rFonts w:eastAsia="Times New Roman" w:cs="Times New Roman"/>
          <w:bCs/>
        </w:rPr>
        <w:t>2</w:t>
      </w:r>
      <w:r w:rsidR="005228C2">
        <w:rPr>
          <w:rFonts w:eastAsia="Times New Roman" w:cs="Times New Roman"/>
          <w:bCs/>
        </w:rPr>
        <w:t>,</w:t>
      </w:r>
      <w:r w:rsidR="0042346F">
        <w:rPr>
          <w:rFonts w:eastAsia="Times New Roman" w:cs="Times New Roman"/>
          <w:bCs/>
        </w:rPr>
        <w:t>4</w:t>
      </w:r>
      <w:r w:rsidR="00883E43" w:rsidRPr="003B7240">
        <w:rPr>
          <w:rFonts w:eastAsia="Times New Roman" w:cs="Times New Roman"/>
          <w:bCs/>
        </w:rPr>
        <w:t>%</w:t>
      </w:r>
      <w:r w:rsidR="001702B9">
        <w:rPr>
          <w:rFonts w:eastAsia="Times New Roman" w:cs="Times New Roman"/>
          <w:bCs/>
        </w:rPr>
        <w:t>)</w:t>
      </w:r>
      <w:r w:rsidR="00025B99">
        <w:rPr>
          <w:rFonts w:eastAsia="Times New Roman" w:cs="Times New Roman"/>
          <w:bCs/>
        </w:rPr>
        <w:t xml:space="preserve">, </w:t>
      </w:r>
      <w:r w:rsidR="0042346F">
        <w:rPr>
          <w:rFonts w:eastAsia="Times New Roman" w:cs="Times New Roman"/>
          <w:bCs/>
        </w:rPr>
        <w:t xml:space="preserve">a wzrosły </w:t>
      </w:r>
      <w:r w:rsidR="0014653E">
        <w:rPr>
          <w:rFonts w:eastAsia="Times New Roman" w:cs="Times New Roman"/>
          <w:bCs/>
        </w:rPr>
        <w:t xml:space="preserve">w stosunku </w:t>
      </w:r>
      <w:r w:rsidR="00025B99">
        <w:rPr>
          <w:rFonts w:eastAsia="Times New Roman" w:cs="Times New Roman"/>
          <w:bCs/>
        </w:rPr>
        <w:t>do</w:t>
      </w:r>
      <w:r w:rsidR="00025B99" w:rsidRPr="00025B99">
        <w:rPr>
          <w:spacing w:val="-6"/>
        </w:rPr>
        <w:t xml:space="preserve"> </w:t>
      </w:r>
      <w:r w:rsidR="0042346F">
        <w:rPr>
          <w:spacing w:val="-6"/>
        </w:rPr>
        <w:t>października</w:t>
      </w:r>
      <w:r w:rsidR="008B11F9">
        <w:rPr>
          <w:spacing w:val="-6"/>
        </w:rPr>
        <w:t xml:space="preserve"> </w:t>
      </w:r>
      <w:r w:rsidR="00025B99">
        <w:rPr>
          <w:rFonts w:eastAsia="Times New Roman" w:cs="Times New Roman"/>
          <w:bCs/>
        </w:rPr>
        <w:t>2025 </w:t>
      </w:r>
      <w:r w:rsidR="00025B99" w:rsidRPr="00370072">
        <w:rPr>
          <w:rFonts w:eastAsia="Times New Roman" w:cs="Times New Roman"/>
          <w:bCs/>
        </w:rPr>
        <w:t>r</w:t>
      </w:r>
      <w:r w:rsidR="00025B99" w:rsidRPr="0052591A">
        <w:rPr>
          <w:rFonts w:eastAsia="Times New Roman" w:cs="Times New Roman"/>
          <w:bCs/>
        </w:rPr>
        <w:t>.</w:t>
      </w:r>
      <w:r w:rsidR="00025B99" w:rsidRPr="00E907F1">
        <w:rPr>
          <w:spacing w:val="-6"/>
        </w:rPr>
        <w:t xml:space="preserve"> </w:t>
      </w:r>
      <w:r w:rsidR="00025B99">
        <w:rPr>
          <w:spacing w:val="-6"/>
        </w:rPr>
        <w:t>(o</w:t>
      </w:r>
      <w:r w:rsidR="0042346F">
        <w:rPr>
          <w:spacing w:val="-6"/>
        </w:rPr>
        <w:t> </w:t>
      </w:r>
      <w:r w:rsidR="008B11F9">
        <w:rPr>
          <w:spacing w:val="-6"/>
        </w:rPr>
        <w:t>0,</w:t>
      </w:r>
      <w:r w:rsidR="0042346F">
        <w:rPr>
          <w:spacing w:val="-6"/>
        </w:rPr>
        <w:t>1</w:t>
      </w:r>
      <w:r w:rsidR="00025B99">
        <w:rPr>
          <w:spacing w:val="-6"/>
        </w:rPr>
        <w:t>%)</w:t>
      </w:r>
      <w:r w:rsidR="00025B99">
        <w:rPr>
          <w:rFonts w:eastAsia="Times New Roman" w:cs="Times New Roman"/>
          <w:bCs/>
        </w:rPr>
        <w:t>.</w:t>
      </w:r>
      <w:r w:rsidR="00CB6AD4" w:rsidRPr="00883E43">
        <w:rPr>
          <w:shd w:val="clear" w:color="auto" w:fill="FFFFFF"/>
        </w:rPr>
        <w:br/>
      </w:r>
    </w:p>
    <w:p w14:paraId="00B20019" w14:textId="77777777" w:rsidR="00DE6B58" w:rsidRPr="0066387C" w:rsidRDefault="00DE6B58" w:rsidP="00216634">
      <w:pPr>
        <w:spacing w:line="288" w:lineRule="auto"/>
        <w:rPr>
          <w:rFonts w:eastAsia="Times New Roman" w:cs="Times New Roman"/>
          <w:szCs w:val="19"/>
          <w:lang w:eastAsia="pl-PL"/>
        </w:rPr>
      </w:pPr>
    </w:p>
    <w:p w14:paraId="47BA6239" w14:textId="77777777" w:rsidR="00883E43" w:rsidRPr="0066387C" w:rsidRDefault="00883E43" w:rsidP="00216634">
      <w:pPr>
        <w:spacing w:line="288" w:lineRule="auto"/>
        <w:rPr>
          <w:rFonts w:eastAsia="Times New Roman" w:cs="Times New Roman"/>
          <w:szCs w:val="19"/>
          <w:lang w:eastAsia="pl-PL"/>
        </w:rPr>
      </w:pPr>
    </w:p>
    <w:p w14:paraId="545705D0" w14:textId="77777777" w:rsidR="00883E43" w:rsidRPr="00EF3A1D" w:rsidRDefault="00883E43" w:rsidP="00883E43"/>
    <w:p w14:paraId="2986F174" w14:textId="77777777" w:rsidR="00883E43" w:rsidRDefault="00883E43" w:rsidP="00C57AAC">
      <w:pPr>
        <w:spacing w:line="240" w:lineRule="auto"/>
        <w:rPr>
          <w:b/>
          <w:shd w:val="clear" w:color="auto" w:fill="FFFFFF"/>
        </w:rPr>
      </w:pPr>
      <w:r w:rsidRPr="00D11337">
        <w:rPr>
          <w:b/>
          <w:shd w:val="clear" w:color="auto" w:fill="FFFFFF"/>
        </w:rPr>
        <w:t xml:space="preserve">Tablica 1. Wskaźniki cen produkcji sprzedanej </w:t>
      </w:r>
      <w:r w:rsidRPr="00774298">
        <w:rPr>
          <w:b/>
          <w:shd w:val="clear" w:color="auto" w:fill="FFFFFF"/>
        </w:rPr>
        <w:t xml:space="preserve">przemysłu </w:t>
      </w:r>
    </w:p>
    <w:tbl>
      <w:tblPr>
        <w:tblStyle w:val="Tabela-Siatka1"/>
        <w:tblW w:w="7634" w:type="dxa"/>
        <w:tblBorders>
          <w:top w:val="none" w:sz="0" w:space="0" w:color="auto"/>
          <w:left w:val="none" w:sz="0" w:space="0" w:color="auto"/>
          <w:bottom w:val="none" w:sz="0" w:space="0" w:color="auto"/>
          <w:right w:val="none" w:sz="0" w:space="0" w:color="auto"/>
          <w:insideH w:val="single" w:sz="4" w:space="0" w:color="001D77"/>
          <w:insideV w:val="single" w:sz="4" w:space="0" w:color="001D77"/>
        </w:tblBorders>
        <w:tblLayout w:type="fixed"/>
        <w:tblLook w:val="04A0" w:firstRow="1" w:lastRow="0" w:firstColumn="1" w:lastColumn="0" w:noHBand="0" w:noVBand="1"/>
        <w:tblCaption w:val="Wskaźniki cen produkcji sprzedanej przemysłu "/>
        <w:tblDescription w:val="Wskaźniki cen produkcji sprzedanej przemysłu w różnych okresach odniesienia: październik 2025 r. do września 2025 r., październik 2025 r. do analogicznego okresu roku ubiegłego tj. października 2024 r., listopad 2025 r. do analogicznego okresu roku ubiegłego tj. listopada 2024 r., listopad 2025 r. do października 2025 r., listopad 2025 r. do grudnia 2024 r., narastająco styczeń - listopad 2025 r. do stycznia - listopada 2024 r."/>
      </w:tblPr>
      <w:tblGrid>
        <w:gridCol w:w="2191"/>
        <w:gridCol w:w="907"/>
        <w:gridCol w:w="907"/>
        <w:gridCol w:w="907"/>
        <w:gridCol w:w="907"/>
        <w:gridCol w:w="907"/>
        <w:gridCol w:w="908"/>
      </w:tblGrid>
      <w:tr w:rsidR="0045581E" w:rsidRPr="00774298" w14:paraId="4DDD4F75" w14:textId="77777777" w:rsidTr="000F41EB">
        <w:tc>
          <w:tcPr>
            <w:tcW w:w="2191" w:type="dxa"/>
            <w:vMerge w:val="restart"/>
            <w:tcBorders>
              <w:top w:val="single" w:sz="4" w:space="0" w:color="auto"/>
            </w:tcBorders>
            <w:vAlign w:val="center"/>
          </w:tcPr>
          <w:p w14:paraId="38E9B067" w14:textId="77777777" w:rsidR="0045581E" w:rsidRDefault="002E4BDC" w:rsidP="00717D68">
            <w:pPr>
              <w:jc w:val="center"/>
              <w:rPr>
                <w:shd w:val="clear" w:color="auto" w:fill="FFFFFF"/>
              </w:rPr>
            </w:pPr>
            <w:r w:rsidRPr="009C7251">
              <w:rPr>
                <w:rFonts w:cs="Arial"/>
                <w:color w:val="000000" w:themeColor="text1"/>
                <w:sz w:val="16"/>
                <w:szCs w:val="16"/>
              </w:rPr>
              <w:t>W</w:t>
            </w:r>
            <w:r>
              <w:rPr>
                <w:rFonts w:cs="Arial"/>
                <w:color w:val="000000" w:themeColor="text1"/>
                <w:sz w:val="16"/>
                <w:szCs w:val="16"/>
              </w:rPr>
              <w:t>yszczególnienie</w:t>
            </w:r>
          </w:p>
        </w:tc>
        <w:tc>
          <w:tcPr>
            <w:tcW w:w="1814" w:type="dxa"/>
            <w:gridSpan w:val="2"/>
            <w:tcBorders>
              <w:top w:val="single" w:sz="4" w:space="0" w:color="auto"/>
              <w:bottom w:val="single" w:sz="4" w:space="0" w:color="001D77"/>
            </w:tcBorders>
            <w:vAlign w:val="center"/>
          </w:tcPr>
          <w:p w14:paraId="78214145" w14:textId="55D96854" w:rsidR="0045581E" w:rsidRPr="00774298" w:rsidRDefault="0042346F" w:rsidP="00152CEF">
            <w:pPr>
              <w:jc w:val="center"/>
              <w:rPr>
                <w:shd w:val="clear" w:color="auto" w:fill="FFFFFF"/>
              </w:rPr>
            </w:pPr>
            <w:r>
              <w:rPr>
                <w:color w:val="000000" w:themeColor="text1"/>
                <w:sz w:val="16"/>
                <w:szCs w:val="16"/>
              </w:rPr>
              <w:t>10</w:t>
            </w:r>
            <w:r w:rsidR="001B48CE">
              <w:rPr>
                <w:color w:val="000000" w:themeColor="text1"/>
                <w:sz w:val="16"/>
                <w:szCs w:val="16"/>
              </w:rPr>
              <w:t xml:space="preserve"> </w:t>
            </w:r>
            <w:r w:rsidR="0045581E" w:rsidRPr="00774298">
              <w:rPr>
                <w:color w:val="000000" w:themeColor="text1"/>
                <w:sz w:val="16"/>
                <w:szCs w:val="16"/>
              </w:rPr>
              <w:t>202</w:t>
            </w:r>
            <w:r w:rsidR="0045581E">
              <w:rPr>
                <w:color w:val="000000" w:themeColor="text1"/>
                <w:sz w:val="16"/>
                <w:szCs w:val="16"/>
              </w:rPr>
              <w:t>5</w:t>
            </w:r>
          </w:p>
        </w:tc>
        <w:tc>
          <w:tcPr>
            <w:tcW w:w="2721" w:type="dxa"/>
            <w:gridSpan w:val="3"/>
            <w:tcBorders>
              <w:top w:val="single" w:sz="4" w:space="0" w:color="auto"/>
              <w:bottom w:val="single" w:sz="4" w:space="0" w:color="001D77"/>
            </w:tcBorders>
            <w:vAlign w:val="center"/>
          </w:tcPr>
          <w:p w14:paraId="2ED1FCD0" w14:textId="364B30DB" w:rsidR="0045581E" w:rsidRPr="00774298" w:rsidRDefault="0042346F">
            <w:pPr>
              <w:jc w:val="center"/>
              <w:rPr>
                <w:color w:val="000000" w:themeColor="text1"/>
                <w:sz w:val="16"/>
                <w:szCs w:val="16"/>
              </w:rPr>
            </w:pPr>
            <w:r>
              <w:rPr>
                <w:color w:val="000000" w:themeColor="text1"/>
                <w:sz w:val="16"/>
                <w:szCs w:val="16"/>
              </w:rPr>
              <w:t>11</w:t>
            </w:r>
            <w:r w:rsidR="0045581E" w:rsidRPr="00774298">
              <w:rPr>
                <w:color w:val="000000" w:themeColor="text1"/>
                <w:sz w:val="16"/>
                <w:szCs w:val="16"/>
              </w:rPr>
              <w:t xml:space="preserve"> 202</w:t>
            </w:r>
            <w:r w:rsidR="0045581E">
              <w:rPr>
                <w:color w:val="000000" w:themeColor="text1"/>
                <w:sz w:val="16"/>
                <w:szCs w:val="16"/>
              </w:rPr>
              <w:t>5</w:t>
            </w:r>
          </w:p>
        </w:tc>
        <w:tc>
          <w:tcPr>
            <w:tcW w:w="908" w:type="dxa"/>
            <w:tcBorders>
              <w:top w:val="single" w:sz="4" w:space="0" w:color="auto"/>
              <w:bottom w:val="single" w:sz="4" w:space="0" w:color="001D77"/>
            </w:tcBorders>
          </w:tcPr>
          <w:p w14:paraId="48DC7E12" w14:textId="330726D3" w:rsidR="0045581E" w:rsidRDefault="0045581E" w:rsidP="00717D68">
            <w:pPr>
              <w:jc w:val="center"/>
              <w:rPr>
                <w:color w:val="000000" w:themeColor="text1"/>
                <w:sz w:val="16"/>
                <w:szCs w:val="16"/>
              </w:rPr>
            </w:pPr>
            <w:r>
              <w:rPr>
                <w:color w:val="000000" w:themeColor="text1"/>
                <w:sz w:val="16"/>
                <w:szCs w:val="16"/>
              </w:rPr>
              <w:t>01</w:t>
            </w:r>
            <w:r w:rsidR="00DA4649">
              <w:rPr>
                <w:color w:val="000000" w:themeColor="text1"/>
                <w:sz w:val="16"/>
                <w:szCs w:val="16"/>
              </w:rPr>
              <w:t>‒</w:t>
            </w:r>
            <w:r w:rsidR="001B48CE">
              <w:rPr>
                <w:color w:val="000000" w:themeColor="text1"/>
                <w:sz w:val="16"/>
                <w:szCs w:val="16"/>
              </w:rPr>
              <w:t>1</w:t>
            </w:r>
            <w:r w:rsidR="0042346F">
              <w:rPr>
                <w:color w:val="000000" w:themeColor="text1"/>
                <w:sz w:val="16"/>
                <w:szCs w:val="16"/>
              </w:rPr>
              <w:t>1</w:t>
            </w:r>
            <w:r w:rsidRPr="00774298">
              <w:rPr>
                <w:color w:val="000000" w:themeColor="text1"/>
                <w:sz w:val="16"/>
                <w:szCs w:val="16"/>
              </w:rPr>
              <w:t xml:space="preserve"> 202</w:t>
            </w:r>
            <w:r>
              <w:rPr>
                <w:color w:val="000000" w:themeColor="text1"/>
                <w:sz w:val="16"/>
                <w:szCs w:val="16"/>
              </w:rPr>
              <w:t>5</w:t>
            </w:r>
          </w:p>
        </w:tc>
      </w:tr>
      <w:tr w:rsidR="00760D2F" w:rsidRPr="00774298" w14:paraId="56F040AE" w14:textId="77777777" w:rsidTr="0045581E">
        <w:tc>
          <w:tcPr>
            <w:tcW w:w="2191" w:type="dxa"/>
            <w:vMerge/>
            <w:tcBorders>
              <w:bottom w:val="single" w:sz="12" w:space="0" w:color="001D77"/>
            </w:tcBorders>
          </w:tcPr>
          <w:p w14:paraId="3E3E09F4" w14:textId="77777777" w:rsidR="00760D2F" w:rsidRDefault="00760D2F" w:rsidP="00760D2F">
            <w:pPr>
              <w:jc w:val="center"/>
              <w:rPr>
                <w:shd w:val="clear" w:color="auto" w:fill="FFFFFF"/>
              </w:rPr>
            </w:pPr>
          </w:p>
        </w:tc>
        <w:tc>
          <w:tcPr>
            <w:tcW w:w="907" w:type="dxa"/>
            <w:tcBorders>
              <w:top w:val="single" w:sz="4" w:space="0" w:color="001D77"/>
              <w:bottom w:val="single" w:sz="12" w:space="0" w:color="001D77"/>
            </w:tcBorders>
            <w:vAlign w:val="center"/>
          </w:tcPr>
          <w:p w14:paraId="6D10B64C" w14:textId="46ADD6D7" w:rsidR="00760D2F" w:rsidRPr="00211BF5" w:rsidRDefault="00760D2F" w:rsidP="00760D2F">
            <w:pPr>
              <w:jc w:val="center"/>
              <w:rPr>
                <w:color w:val="000000" w:themeColor="text1"/>
                <w:sz w:val="16"/>
                <w:szCs w:val="16"/>
              </w:rPr>
            </w:pPr>
            <w:r>
              <w:rPr>
                <w:color w:val="000000" w:themeColor="text1"/>
                <w:sz w:val="16"/>
                <w:szCs w:val="16"/>
              </w:rPr>
              <w:t>0</w:t>
            </w:r>
            <w:r w:rsidR="0042346F">
              <w:rPr>
                <w:color w:val="000000" w:themeColor="text1"/>
                <w:sz w:val="16"/>
                <w:szCs w:val="16"/>
              </w:rPr>
              <w:t>9</w:t>
            </w:r>
            <w:r w:rsidR="008B11F9">
              <w:rPr>
                <w:color w:val="000000" w:themeColor="text1"/>
                <w:sz w:val="16"/>
                <w:szCs w:val="16"/>
              </w:rPr>
              <w:t xml:space="preserve"> </w:t>
            </w:r>
            <w:r w:rsidRPr="00482FEF">
              <w:rPr>
                <w:color w:val="000000" w:themeColor="text1"/>
                <w:sz w:val="16"/>
                <w:szCs w:val="16"/>
              </w:rPr>
              <w:t>202</w:t>
            </w:r>
            <w:r>
              <w:rPr>
                <w:color w:val="000000" w:themeColor="text1"/>
                <w:sz w:val="16"/>
                <w:szCs w:val="16"/>
              </w:rPr>
              <w:t>5</w:t>
            </w:r>
            <w:r w:rsidRPr="00482FEF">
              <w:rPr>
                <w:color w:val="000000" w:themeColor="text1"/>
                <w:sz w:val="16"/>
                <w:szCs w:val="16"/>
              </w:rPr>
              <w:t>=100</w:t>
            </w:r>
          </w:p>
        </w:tc>
        <w:tc>
          <w:tcPr>
            <w:tcW w:w="1814" w:type="dxa"/>
            <w:gridSpan w:val="2"/>
            <w:tcBorders>
              <w:top w:val="single" w:sz="4" w:space="0" w:color="001D77"/>
              <w:bottom w:val="single" w:sz="12" w:space="0" w:color="001D77"/>
            </w:tcBorders>
            <w:vAlign w:val="center"/>
          </w:tcPr>
          <w:p w14:paraId="352E6796" w14:textId="77777777" w:rsidR="00760D2F" w:rsidRPr="00774298" w:rsidRDefault="00760D2F" w:rsidP="00760D2F">
            <w:pPr>
              <w:spacing w:after="0"/>
              <w:jc w:val="center"/>
              <w:rPr>
                <w:color w:val="000000" w:themeColor="text1"/>
                <w:sz w:val="16"/>
                <w:szCs w:val="16"/>
              </w:rPr>
            </w:pPr>
            <w:r w:rsidRPr="00774298">
              <w:rPr>
                <w:color w:val="000000" w:themeColor="text1"/>
                <w:sz w:val="16"/>
                <w:szCs w:val="16"/>
              </w:rPr>
              <w:t>analogiczny okres</w:t>
            </w:r>
          </w:p>
          <w:p w14:paraId="5048C793" w14:textId="77777777" w:rsidR="00760D2F" w:rsidRPr="00211BF5" w:rsidRDefault="00760D2F" w:rsidP="00760D2F">
            <w:pPr>
              <w:spacing w:before="0"/>
              <w:jc w:val="center"/>
              <w:rPr>
                <w:color w:val="000000" w:themeColor="text1"/>
                <w:sz w:val="16"/>
                <w:szCs w:val="16"/>
              </w:rPr>
            </w:pPr>
            <w:r w:rsidRPr="00774298">
              <w:rPr>
                <w:color w:val="000000" w:themeColor="text1"/>
                <w:sz w:val="16"/>
                <w:szCs w:val="16"/>
              </w:rPr>
              <w:t>20</w:t>
            </w:r>
            <w:r>
              <w:rPr>
                <w:color w:val="000000" w:themeColor="text1"/>
                <w:sz w:val="16"/>
                <w:szCs w:val="16"/>
              </w:rPr>
              <w:t>24</w:t>
            </w:r>
            <w:r w:rsidRPr="00774298">
              <w:rPr>
                <w:color w:val="000000" w:themeColor="text1"/>
                <w:sz w:val="16"/>
                <w:szCs w:val="16"/>
              </w:rPr>
              <w:t>=100</w:t>
            </w:r>
          </w:p>
        </w:tc>
        <w:tc>
          <w:tcPr>
            <w:tcW w:w="907" w:type="dxa"/>
            <w:tcBorders>
              <w:top w:val="single" w:sz="4" w:space="0" w:color="001D77"/>
              <w:bottom w:val="single" w:sz="12" w:space="0" w:color="001D77"/>
            </w:tcBorders>
            <w:vAlign w:val="center"/>
          </w:tcPr>
          <w:p w14:paraId="131D2354" w14:textId="43E889D3" w:rsidR="00760D2F" w:rsidRPr="00211BF5" w:rsidRDefault="0042346F" w:rsidP="00760D2F">
            <w:pPr>
              <w:jc w:val="center"/>
              <w:rPr>
                <w:color w:val="000000" w:themeColor="text1"/>
                <w:sz w:val="16"/>
                <w:szCs w:val="16"/>
              </w:rPr>
            </w:pPr>
            <w:r>
              <w:rPr>
                <w:color w:val="000000" w:themeColor="text1"/>
                <w:sz w:val="16"/>
                <w:szCs w:val="16"/>
              </w:rPr>
              <w:t>10</w:t>
            </w:r>
            <w:r w:rsidR="00760D2F">
              <w:rPr>
                <w:color w:val="000000" w:themeColor="text1"/>
                <w:sz w:val="16"/>
                <w:szCs w:val="16"/>
              </w:rPr>
              <w:t xml:space="preserve"> </w:t>
            </w:r>
            <w:r w:rsidR="00760D2F" w:rsidRPr="00482FEF">
              <w:rPr>
                <w:color w:val="000000" w:themeColor="text1"/>
                <w:sz w:val="16"/>
                <w:szCs w:val="16"/>
              </w:rPr>
              <w:t>202</w:t>
            </w:r>
            <w:r w:rsidR="00760D2F">
              <w:rPr>
                <w:color w:val="000000" w:themeColor="text1"/>
                <w:sz w:val="16"/>
                <w:szCs w:val="16"/>
              </w:rPr>
              <w:t>5</w:t>
            </w:r>
            <w:r w:rsidR="00760D2F" w:rsidRPr="00482FEF">
              <w:rPr>
                <w:color w:val="000000" w:themeColor="text1"/>
                <w:sz w:val="16"/>
                <w:szCs w:val="16"/>
              </w:rPr>
              <w:t>=100</w:t>
            </w:r>
          </w:p>
        </w:tc>
        <w:tc>
          <w:tcPr>
            <w:tcW w:w="907" w:type="dxa"/>
            <w:tcBorders>
              <w:top w:val="single" w:sz="4" w:space="0" w:color="001D77"/>
              <w:bottom w:val="single" w:sz="12" w:space="0" w:color="001D77"/>
            </w:tcBorders>
            <w:vAlign w:val="center"/>
          </w:tcPr>
          <w:p w14:paraId="5FE10795" w14:textId="77777777" w:rsidR="00760D2F" w:rsidRPr="00C57AAC" w:rsidRDefault="00760D2F" w:rsidP="00760D2F">
            <w:pPr>
              <w:jc w:val="center"/>
              <w:rPr>
                <w:color w:val="000000" w:themeColor="text1"/>
                <w:sz w:val="16"/>
                <w:szCs w:val="16"/>
              </w:rPr>
            </w:pPr>
            <w:r w:rsidRPr="00211BF5">
              <w:rPr>
                <w:color w:val="000000" w:themeColor="text1"/>
                <w:sz w:val="16"/>
                <w:szCs w:val="16"/>
              </w:rPr>
              <w:t>12 2024=100</w:t>
            </w:r>
          </w:p>
        </w:tc>
        <w:tc>
          <w:tcPr>
            <w:tcW w:w="908" w:type="dxa"/>
            <w:tcBorders>
              <w:top w:val="single" w:sz="4" w:space="0" w:color="001D77"/>
              <w:bottom w:val="single" w:sz="12" w:space="0" w:color="001D77"/>
            </w:tcBorders>
          </w:tcPr>
          <w:p w14:paraId="56ECD690" w14:textId="477CD737" w:rsidR="00760D2F" w:rsidRDefault="00760D2F" w:rsidP="00760D2F">
            <w:pPr>
              <w:jc w:val="center"/>
              <w:rPr>
                <w:color w:val="000000" w:themeColor="text1"/>
                <w:sz w:val="16"/>
                <w:szCs w:val="16"/>
              </w:rPr>
            </w:pPr>
            <w:r>
              <w:rPr>
                <w:color w:val="000000" w:themeColor="text1"/>
                <w:sz w:val="16"/>
                <w:szCs w:val="16"/>
              </w:rPr>
              <w:t>01‒</w:t>
            </w:r>
            <w:r w:rsidR="001B48CE">
              <w:rPr>
                <w:color w:val="000000" w:themeColor="text1"/>
                <w:sz w:val="16"/>
                <w:szCs w:val="16"/>
              </w:rPr>
              <w:t>1</w:t>
            </w:r>
            <w:r w:rsidR="0042346F">
              <w:rPr>
                <w:color w:val="000000" w:themeColor="text1"/>
                <w:sz w:val="16"/>
                <w:szCs w:val="16"/>
              </w:rPr>
              <w:t>1</w:t>
            </w:r>
            <w:r w:rsidRPr="00774298">
              <w:rPr>
                <w:color w:val="000000" w:themeColor="text1"/>
                <w:sz w:val="16"/>
                <w:szCs w:val="16"/>
              </w:rPr>
              <w:t xml:space="preserve"> 20</w:t>
            </w:r>
            <w:r>
              <w:rPr>
                <w:color w:val="000000" w:themeColor="text1"/>
                <w:sz w:val="16"/>
                <w:szCs w:val="16"/>
              </w:rPr>
              <w:t>24</w:t>
            </w:r>
            <w:r w:rsidRPr="00774298">
              <w:rPr>
                <w:color w:val="000000" w:themeColor="text1"/>
                <w:sz w:val="16"/>
                <w:szCs w:val="16"/>
              </w:rPr>
              <w:t>=100</w:t>
            </w:r>
          </w:p>
        </w:tc>
      </w:tr>
      <w:tr w:rsidR="0042346F" w:rsidRPr="00991B7A" w14:paraId="69A0B5C2" w14:textId="77777777" w:rsidTr="00CD311A">
        <w:tc>
          <w:tcPr>
            <w:tcW w:w="2191" w:type="dxa"/>
          </w:tcPr>
          <w:p w14:paraId="59EE4267" w14:textId="77777777" w:rsidR="0042346F" w:rsidRPr="000F41EB" w:rsidRDefault="0042346F" w:rsidP="0042346F">
            <w:pPr>
              <w:rPr>
                <w:b/>
                <w:shd w:val="clear" w:color="auto" w:fill="FFFFFF"/>
              </w:rPr>
            </w:pPr>
            <w:r w:rsidRPr="000F41EB">
              <w:rPr>
                <w:b/>
                <w:color w:val="000000" w:themeColor="text1"/>
                <w:sz w:val="16"/>
                <w:szCs w:val="16"/>
              </w:rPr>
              <w:t>Ogółem</w:t>
            </w:r>
          </w:p>
        </w:tc>
        <w:tc>
          <w:tcPr>
            <w:tcW w:w="907" w:type="dxa"/>
            <w:vAlign w:val="center"/>
          </w:tcPr>
          <w:p w14:paraId="2476588A" w14:textId="07239524" w:rsidR="0042346F" w:rsidRPr="000F41EB" w:rsidRDefault="0042346F" w:rsidP="0042346F">
            <w:pPr>
              <w:jc w:val="right"/>
              <w:rPr>
                <w:rFonts w:cs="Arial"/>
                <w:b/>
                <w:color w:val="000000" w:themeColor="text1"/>
                <w:sz w:val="16"/>
                <w:szCs w:val="16"/>
              </w:rPr>
            </w:pPr>
            <w:r>
              <w:rPr>
                <w:rFonts w:cs="Arial"/>
                <w:b/>
                <w:color w:val="000000" w:themeColor="text1"/>
                <w:sz w:val="16"/>
                <w:szCs w:val="16"/>
              </w:rPr>
              <w:t>99,7*</w:t>
            </w:r>
          </w:p>
        </w:tc>
        <w:tc>
          <w:tcPr>
            <w:tcW w:w="907" w:type="dxa"/>
            <w:vAlign w:val="center"/>
          </w:tcPr>
          <w:p w14:paraId="6B2F67EB" w14:textId="6A756291" w:rsidR="0042346F" w:rsidRPr="000F41EB" w:rsidRDefault="0042346F" w:rsidP="0042346F">
            <w:pPr>
              <w:jc w:val="right"/>
              <w:rPr>
                <w:rFonts w:cs="Arial"/>
                <w:b/>
                <w:color w:val="000000" w:themeColor="text1"/>
                <w:sz w:val="16"/>
                <w:szCs w:val="16"/>
              </w:rPr>
            </w:pPr>
            <w:r>
              <w:rPr>
                <w:rFonts w:cs="Arial"/>
                <w:b/>
                <w:color w:val="000000" w:themeColor="text1"/>
                <w:sz w:val="16"/>
                <w:szCs w:val="16"/>
              </w:rPr>
              <w:t>97,8</w:t>
            </w:r>
          </w:p>
        </w:tc>
        <w:tc>
          <w:tcPr>
            <w:tcW w:w="907" w:type="dxa"/>
            <w:vAlign w:val="center"/>
          </w:tcPr>
          <w:p w14:paraId="14B28EA5" w14:textId="3E180D37" w:rsidR="0042346F" w:rsidRPr="000F41EB" w:rsidRDefault="0042346F" w:rsidP="0042346F">
            <w:pPr>
              <w:jc w:val="right"/>
              <w:rPr>
                <w:rFonts w:cs="Arial"/>
                <w:b/>
                <w:color w:val="000000" w:themeColor="text1"/>
                <w:sz w:val="16"/>
                <w:szCs w:val="16"/>
              </w:rPr>
            </w:pPr>
            <w:r>
              <w:rPr>
                <w:rFonts w:cs="Arial"/>
                <w:b/>
                <w:color w:val="000000" w:themeColor="text1"/>
                <w:sz w:val="16"/>
                <w:szCs w:val="16"/>
              </w:rPr>
              <w:t>97,6</w:t>
            </w:r>
          </w:p>
        </w:tc>
        <w:tc>
          <w:tcPr>
            <w:tcW w:w="907" w:type="dxa"/>
            <w:vAlign w:val="center"/>
          </w:tcPr>
          <w:p w14:paraId="2117158D" w14:textId="0D92F107" w:rsidR="0042346F" w:rsidRPr="000F41EB" w:rsidRDefault="0042346F" w:rsidP="0042346F">
            <w:pPr>
              <w:jc w:val="right"/>
              <w:rPr>
                <w:rFonts w:cs="Arial"/>
                <w:b/>
                <w:color w:val="000000" w:themeColor="text1"/>
                <w:sz w:val="16"/>
                <w:szCs w:val="16"/>
              </w:rPr>
            </w:pPr>
            <w:r>
              <w:rPr>
                <w:rFonts w:cs="Arial"/>
                <w:b/>
                <w:color w:val="000000" w:themeColor="text1"/>
                <w:sz w:val="16"/>
                <w:szCs w:val="16"/>
              </w:rPr>
              <w:t>100,1</w:t>
            </w:r>
          </w:p>
        </w:tc>
        <w:tc>
          <w:tcPr>
            <w:tcW w:w="907" w:type="dxa"/>
            <w:vAlign w:val="center"/>
          </w:tcPr>
          <w:p w14:paraId="0DA29240" w14:textId="182B9E5C" w:rsidR="0042346F" w:rsidRPr="000F41EB" w:rsidRDefault="0042346F" w:rsidP="0042346F">
            <w:pPr>
              <w:jc w:val="right"/>
              <w:rPr>
                <w:rFonts w:cs="Arial"/>
                <w:b/>
                <w:color w:val="000000" w:themeColor="text1"/>
                <w:sz w:val="16"/>
                <w:szCs w:val="16"/>
              </w:rPr>
            </w:pPr>
            <w:r>
              <w:rPr>
                <w:rFonts w:cs="Arial"/>
                <w:b/>
                <w:color w:val="000000" w:themeColor="text1"/>
                <w:sz w:val="16"/>
                <w:szCs w:val="16"/>
              </w:rPr>
              <w:t>97,9</w:t>
            </w:r>
          </w:p>
        </w:tc>
        <w:tc>
          <w:tcPr>
            <w:tcW w:w="908" w:type="dxa"/>
            <w:vAlign w:val="center"/>
          </w:tcPr>
          <w:p w14:paraId="30D1546D" w14:textId="3998B77F" w:rsidR="0042346F" w:rsidRPr="000F41EB" w:rsidRDefault="0042346F" w:rsidP="0042346F">
            <w:pPr>
              <w:jc w:val="right"/>
              <w:rPr>
                <w:rFonts w:cs="Arial"/>
                <w:b/>
                <w:color w:val="000000" w:themeColor="text1"/>
                <w:sz w:val="16"/>
                <w:szCs w:val="16"/>
              </w:rPr>
            </w:pPr>
            <w:r>
              <w:rPr>
                <w:rFonts w:cs="Arial"/>
                <w:b/>
                <w:color w:val="000000" w:themeColor="text1"/>
                <w:sz w:val="16"/>
                <w:szCs w:val="16"/>
              </w:rPr>
              <w:t>98,5</w:t>
            </w:r>
          </w:p>
        </w:tc>
      </w:tr>
      <w:tr w:rsidR="0042346F" w:rsidRPr="00991B7A" w14:paraId="4D90FC0A" w14:textId="77777777" w:rsidTr="00CD311A">
        <w:tc>
          <w:tcPr>
            <w:tcW w:w="2191" w:type="dxa"/>
          </w:tcPr>
          <w:p w14:paraId="5569BD59" w14:textId="77777777" w:rsidR="0042346F" w:rsidRDefault="0042346F" w:rsidP="0042346F">
            <w:pPr>
              <w:rPr>
                <w:shd w:val="clear" w:color="auto" w:fill="FFFFFF"/>
              </w:rPr>
            </w:pPr>
            <w:r w:rsidRPr="001717B6">
              <w:rPr>
                <w:color w:val="000000" w:themeColor="text1"/>
                <w:sz w:val="16"/>
                <w:szCs w:val="16"/>
                <w:lang w:val="en-US"/>
              </w:rPr>
              <w:t>Górnictwo i wydobywanie</w:t>
            </w:r>
          </w:p>
        </w:tc>
        <w:tc>
          <w:tcPr>
            <w:tcW w:w="907" w:type="dxa"/>
            <w:vAlign w:val="center"/>
          </w:tcPr>
          <w:p w14:paraId="5491F26C" w14:textId="5EFB4B46" w:rsidR="0042346F" w:rsidRPr="00991B7A" w:rsidRDefault="00F448D7" w:rsidP="0042346F">
            <w:pPr>
              <w:jc w:val="right"/>
              <w:rPr>
                <w:rFonts w:cs="Arial"/>
                <w:color w:val="000000" w:themeColor="text1"/>
                <w:sz w:val="16"/>
                <w:szCs w:val="16"/>
              </w:rPr>
            </w:pPr>
            <w:r>
              <w:rPr>
                <w:rFonts w:cs="Arial"/>
                <w:color w:val="000000" w:themeColor="text1"/>
                <w:sz w:val="16"/>
                <w:szCs w:val="16"/>
              </w:rPr>
              <w:t>99,9*</w:t>
            </w:r>
          </w:p>
        </w:tc>
        <w:tc>
          <w:tcPr>
            <w:tcW w:w="907" w:type="dxa"/>
            <w:vAlign w:val="center"/>
          </w:tcPr>
          <w:p w14:paraId="7E0DF312" w14:textId="73F78CAC" w:rsidR="0042346F" w:rsidRPr="00991B7A" w:rsidRDefault="0042346F" w:rsidP="0042346F">
            <w:pPr>
              <w:jc w:val="right"/>
              <w:rPr>
                <w:rFonts w:cs="Arial"/>
                <w:color w:val="000000" w:themeColor="text1"/>
                <w:sz w:val="16"/>
                <w:szCs w:val="16"/>
              </w:rPr>
            </w:pPr>
            <w:r>
              <w:rPr>
                <w:rFonts w:cs="Arial"/>
                <w:color w:val="000000" w:themeColor="text1"/>
                <w:sz w:val="16"/>
                <w:szCs w:val="16"/>
              </w:rPr>
              <w:t>94,</w:t>
            </w:r>
            <w:r w:rsidR="00F448D7">
              <w:rPr>
                <w:rFonts w:cs="Arial"/>
                <w:color w:val="000000" w:themeColor="text1"/>
                <w:sz w:val="16"/>
                <w:szCs w:val="16"/>
              </w:rPr>
              <w:t>0*</w:t>
            </w:r>
          </w:p>
        </w:tc>
        <w:tc>
          <w:tcPr>
            <w:tcW w:w="907" w:type="dxa"/>
            <w:vAlign w:val="center"/>
          </w:tcPr>
          <w:p w14:paraId="7832F192" w14:textId="59415B51" w:rsidR="0042346F" w:rsidRPr="00991B7A" w:rsidRDefault="00F448D7" w:rsidP="0042346F">
            <w:pPr>
              <w:jc w:val="right"/>
              <w:rPr>
                <w:rFonts w:cs="Arial"/>
                <w:color w:val="000000" w:themeColor="text1"/>
                <w:sz w:val="16"/>
                <w:szCs w:val="16"/>
              </w:rPr>
            </w:pPr>
            <w:r>
              <w:rPr>
                <w:rFonts w:cs="Arial"/>
                <w:color w:val="000000" w:themeColor="text1"/>
                <w:sz w:val="16"/>
                <w:szCs w:val="16"/>
              </w:rPr>
              <w:t>95,4</w:t>
            </w:r>
          </w:p>
        </w:tc>
        <w:tc>
          <w:tcPr>
            <w:tcW w:w="907" w:type="dxa"/>
            <w:vAlign w:val="center"/>
          </w:tcPr>
          <w:p w14:paraId="556A6DF1" w14:textId="3CFF27DC" w:rsidR="0042346F" w:rsidRPr="00991B7A" w:rsidRDefault="00F448D7" w:rsidP="0042346F">
            <w:pPr>
              <w:jc w:val="right"/>
              <w:rPr>
                <w:rFonts w:cs="Arial"/>
                <w:color w:val="000000" w:themeColor="text1"/>
                <w:sz w:val="16"/>
                <w:szCs w:val="16"/>
              </w:rPr>
            </w:pPr>
            <w:r>
              <w:rPr>
                <w:rFonts w:cs="Arial"/>
                <w:color w:val="000000" w:themeColor="text1"/>
                <w:sz w:val="16"/>
                <w:szCs w:val="16"/>
              </w:rPr>
              <w:t>101,4</w:t>
            </w:r>
          </w:p>
        </w:tc>
        <w:tc>
          <w:tcPr>
            <w:tcW w:w="907" w:type="dxa"/>
            <w:vAlign w:val="center"/>
          </w:tcPr>
          <w:p w14:paraId="6F0892C9" w14:textId="598698F7" w:rsidR="0042346F" w:rsidRPr="00991B7A" w:rsidRDefault="00F448D7" w:rsidP="0042346F">
            <w:pPr>
              <w:jc w:val="right"/>
              <w:rPr>
                <w:rFonts w:cs="Arial"/>
                <w:color w:val="000000" w:themeColor="text1"/>
                <w:sz w:val="16"/>
                <w:szCs w:val="16"/>
              </w:rPr>
            </w:pPr>
            <w:r>
              <w:rPr>
                <w:rFonts w:cs="Arial"/>
                <w:color w:val="000000" w:themeColor="text1"/>
                <w:sz w:val="16"/>
                <w:szCs w:val="16"/>
              </w:rPr>
              <w:t>97,2</w:t>
            </w:r>
          </w:p>
        </w:tc>
        <w:tc>
          <w:tcPr>
            <w:tcW w:w="908" w:type="dxa"/>
            <w:vAlign w:val="center"/>
          </w:tcPr>
          <w:p w14:paraId="36F419DD" w14:textId="54F0EB6F" w:rsidR="0042346F" w:rsidRDefault="00F448D7" w:rsidP="0042346F">
            <w:pPr>
              <w:jc w:val="right"/>
              <w:rPr>
                <w:rFonts w:cs="Arial"/>
                <w:color w:val="000000" w:themeColor="text1"/>
                <w:sz w:val="16"/>
                <w:szCs w:val="16"/>
              </w:rPr>
            </w:pPr>
            <w:r>
              <w:rPr>
                <w:rFonts w:cs="Arial"/>
                <w:color w:val="000000" w:themeColor="text1"/>
                <w:sz w:val="16"/>
                <w:szCs w:val="16"/>
              </w:rPr>
              <w:t>94,2</w:t>
            </w:r>
          </w:p>
        </w:tc>
      </w:tr>
      <w:tr w:rsidR="0042346F" w:rsidRPr="00991B7A" w14:paraId="56BA5BA5" w14:textId="77777777" w:rsidTr="00CD311A">
        <w:tc>
          <w:tcPr>
            <w:tcW w:w="2191" w:type="dxa"/>
          </w:tcPr>
          <w:p w14:paraId="4E21F3C8" w14:textId="77777777" w:rsidR="0042346F" w:rsidRDefault="0042346F" w:rsidP="0042346F">
            <w:pPr>
              <w:rPr>
                <w:shd w:val="clear" w:color="auto" w:fill="FFFFFF"/>
              </w:rPr>
            </w:pPr>
            <w:r w:rsidRPr="001717B6">
              <w:rPr>
                <w:color w:val="000000" w:themeColor="text1"/>
                <w:sz w:val="16"/>
                <w:szCs w:val="16"/>
                <w:lang w:val="en-US"/>
              </w:rPr>
              <w:t>Przetwórstwo przemysłowe</w:t>
            </w:r>
          </w:p>
        </w:tc>
        <w:tc>
          <w:tcPr>
            <w:tcW w:w="907" w:type="dxa"/>
            <w:vAlign w:val="center"/>
          </w:tcPr>
          <w:p w14:paraId="07922BEE" w14:textId="45913B3F" w:rsidR="0042346F" w:rsidRPr="00991B7A" w:rsidRDefault="0042346F" w:rsidP="0042346F">
            <w:pPr>
              <w:jc w:val="right"/>
              <w:rPr>
                <w:rFonts w:cs="Arial"/>
                <w:color w:val="000000" w:themeColor="text1"/>
                <w:sz w:val="16"/>
                <w:szCs w:val="16"/>
              </w:rPr>
            </w:pPr>
            <w:r>
              <w:rPr>
                <w:rFonts w:cs="Arial"/>
                <w:color w:val="000000" w:themeColor="text1"/>
                <w:sz w:val="16"/>
                <w:szCs w:val="16"/>
              </w:rPr>
              <w:t>99,</w:t>
            </w:r>
            <w:r w:rsidR="00F448D7">
              <w:rPr>
                <w:rFonts w:cs="Arial"/>
                <w:color w:val="000000" w:themeColor="text1"/>
                <w:sz w:val="16"/>
                <w:szCs w:val="16"/>
              </w:rPr>
              <w:t>7*</w:t>
            </w:r>
          </w:p>
        </w:tc>
        <w:tc>
          <w:tcPr>
            <w:tcW w:w="907" w:type="dxa"/>
            <w:vAlign w:val="center"/>
          </w:tcPr>
          <w:p w14:paraId="0DAC0EFF" w14:textId="76AAC9EE" w:rsidR="0042346F" w:rsidRPr="00991B7A" w:rsidRDefault="0042346F" w:rsidP="0042346F">
            <w:pPr>
              <w:jc w:val="right"/>
              <w:rPr>
                <w:rFonts w:cs="Arial"/>
                <w:color w:val="000000" w:themeColor="text1"/>
                <w:sz w:val="16"/>
                <w:szCs w:val="16"/>
              </w:rPr>
            </w:pPr>
            <w:r>
              <w:rPr>
                <w:rFonts w:cs="Arial"/>
                <w:color w:val="000000" w:themeColor="text1"/>
                <w:sz w:val="16"/>
                <w:szCs w:val="16"/>
              </w:rPr>
              <w:t>97,7</w:t>
            </w:r>
          </w:p>
        </w:tc>
        <w:tc>
          <w:tcPr>
            <w:tcW w:w="907" w:type="dxa"/>
            <w:vAlign w:val="center"/>
          </w:tcPr>
          <w:p w14:paraId="1CC815B2" w14:textId="78BD6836" w:rsidR="0042346F" w:rsidRPr="00991B7A" w:rsidRDefault="00F448D7" w:rsidP="0042346F">
            <w:pPr>
              <w:jc w:val="right"/>
              <w:rPr>
                <w:rFonts w:cs="Arial"/>
                <w:color w:val="000000" w:themeColor="text1"/>
                <w:sz w:val="16"/>
                <w:szCs w:val="16"/>
              </w:rPr>
            </w:pPr>
            <w:r>
              <w:rPr>
                <w:rFonts w:cs="Arial"/>
                <w:color w:val="000000" w:themeColor="text1"/>
                <w:sz w:val="16"/>
                <w:szCs w:val="16"/>
              </w:rPr>
              <w:t>97,6</w:t>
            </w:r>
          </w:p>
        </w:tc>
        <w:tc>
          <w:tcPr>
            <w:tcW w:w="907" w:type="dxa"/>
            <w:vAlign w:val="center"/>
          </w:tcPr>
          <w:p w14:paraId="42F504F6" w14:textId="6818B2B4" w:rsidR="0042346F" w:rsidRPr="00991B7A" w:rsidRDefault="00F448D7" w:rsidP="0042346F">
            <w:pPr>
              <w:jc w:val="right"/>
              <w:rPr>
                <w:rFonts w:cs="Arial"/>
                <w:color w:val="000000" w:themeColor="text1"/>
                <w:sz w:val="16"/>
                <w:szCs w:val="16"/>
              </w:rPr>
            </w:pPr>
            <w:r>
              <w:rPr>
                <w:rFonts w:cs="Arial"/>
                <w:color w:val="000000" w:themeColor="text1"/>
                <w:sz w:val="16"/>
                <w:szCs w:val="16"/>
              </w:rPr>
              <w:t>100,1</w:t>
            </w:r>
          </w:p>
        </w:tc>
        <w:tc>
          <w:tcPr>
            <w:tcW w:w="907" w:type="dxa"/>
            <w:vAlign w:val="center"/>
          </w:tcPr>
          <w:p w14:paraId="4CCC2D27" w14:textId="6F2D3C0E" w:rsidR="0042346F" w:rsidRPr="00991B7A" w:rsidRDefault="00F448D7" w:rsidP="0042346F">
            <w:pPr>
              <w:jc w:val="right"/>
              <w:rPr>
                <w:rFonts w:cs="Arial"/>
                <w:color w:val="000000" w:themeColor="text1"/>
                <w:sz w:val="16"/>
                <w:szCs w:val="16"/>
              </w:rPr>
            </w:pPr>
            <w:r>
              <w:rPr>
                <w:rFonts w:cs="Arial"/>
                <w:color w:val="000000" w:themeColor="text1"/>
                <w:sz w:val="16"/>
                <w:szCs w:val="16"/>
              </w:rPr>
              <w:t>97,7</w:t>
            </w:r>
          </w:p>
        </w:tc>
        <w:tc>
          <w:tcPr>
            <w:tcW w:w="908" w:type="dxa"/>
            <w:vAlign w:val="center"/>
          </w:tcPr>
          <w:p w14:paraId="4FED1E90" w14:textId="4D9E5FAD" w:rsidR="0042346F" w:rsidRDefault="00F448D7" w:rsidP="0042346F">
            <w:pPr>
              <w:jc w:val="right"/>
              <w:rPr>
                <w:rFonts w:cs="Arial"/>
                <w:color w:val="000000" w:themeColor="text1"/>
                <w:sz w:val="16"/>
                <w:szCs w:val="16"/>
              </w:rPr>
            </w:pPr>
            <w:r>
              <w:rPr>
                <w:rFonts w:cs="Arial"/>
                <w:color w:val="000000" w:themeColor="text1"/>
                <w:sz w:val="16"/>
                <w:szCs w:val="16"/>
              </w:rPr>
              <w:t>98,5</w:t>
            </w:r>
          </w:p>
        </w:tc>
      </w:tr>
      <w:tr w:rsidR="0042346F" w:rsidRPr="00991B7A" w14:paraId="2F135CBC" w14:textId="77777777" w:rsidTr="00CD311A">
        <w:tc>
          <w:tcPr>
            <w:tcW w:w="2191" w:type="dxa"/>
          </w:tcPr>
          <w:p w14:paraId="465AA0E8" w14:textId="77777777" w:rsidR="0042346F" w:rsidRPr="00D97063" w:rsidRDefault="0042346F" w:rsidP="0042346F">
            <w:pPr>
              <w:rPr>
                <w:shd w:val="clear" w:color="auto" w:fill="FFFFFF"/>
              </w:rPr>
            </w:pPr>
            <w:r w:rsidRPr="007237A7">
              <w:rPr>
                <w:color w:val="000000" w:themeColor="text1"/>
                <w:sz w:val="16"/>
                <w:szCs w:val="16"/>
              </w:rPr>
              <w:t>Wytwarzanie i</w:t>
            </w:r>
            <w:r>
              <w:rPr>
                <w:color w:val="000000" w:themeColor="text1"/>
                <w:sz w:val="16"/>
                <w:szCs w:val="16"/>
              </w:rPr>
              <w:t> </w:t>
            </w:r>
            <w:r w:rsidRPr="007237A7">
              <w:rPr>
                <w:color w:val="000000" w:themeColor="text1"/>
                <w:sz w:val="16"/>
                <w:szCs w:val="16"/>
              </w:rPr>
              <w:t>zaopatrywanie w</w:t>
            </w:r>
            <w:r>
              <w:rPr>
                <w:color w:val="000000" w:themeColor="text1"/>
                <w:sz w:val="16"/>
                <w:szCs w:val="16"/>
              </w:rPr>
              <w:t xml:space="preserve"> </w:t>
            </w:r>
            <w:r w:rsidRPr="007237A7">
              <w:rPr>
                <w:color w:val="000000" w:themeColor="text1"/>
                <w:sz w:val="16"/>
                <w:szCs w:val="16"/>
              </w:rPr>
              <w:t xml:space="preserve">energię elektryczną, gaz, parę wodną i gorącą </w:t>
            </w:r>
            <w:proofErr w:type="spellStart"/>
            <w:r w:rsidRPr="007237A7">
              <w:rPr>
                <w:color w:val="000000" w:themeColor="text1"/>
                <w:sz w:val="16"/>
                <w:szCs w:val="16"/>
              </w:rPr>
              <w:t>wodę</w:t>
            </w:r>
            <w:r w:rsidRPr="0045581E">
              <w:rPr>
                <w:rFonts w:cstheme="majorBidi"/>
                <w:color w:val="000000" w:themeColor="text1"/>
                <w:sz w:val="16"/>
                <w:szCs w:val="16"/>
                <w:vertAlign w:val="superscript"/>
              </w:rPr>
              <w:t>a</w:t>
            </w:r>
            <w:proofErr w:type="spellEnd"/>
          </w:p>
        </w:tc>
        <w:tc>
          <w:tcPr>
            <w:tcW w:w="907" w:type="dxa"/>
            <w:vAlign w:val="center"/>
          </w:tcPr>
          <w:p w14:paraId="1DDBC790" w14:textId="0562B342" w:rsidR="0042346F" w:rsidRPr="00991B7A" w:rsidRDefault="00F448D7" w:rsidP="0042346F">
            <w:pPr>
              <w:jc w:val="right"/>
              <w:rPr>
                <w:rFonts w:cs="Arial"/>
                <w:color w:val="000000" w:themeColor="text1"/>
                <w:sz w:val="16"/>
                <w:szCs w:val="16"/>
              </w:rPr>
            </w:pPr>
            <w:r>
              <w:rPr>
                <w:rFonts w:cs="Arial"/>
                <w:color w:val="000000" w:themeColor="text1"/>
                <w:sz w:val="16"/>
                <w:szCs w:val="16"/>
              </w:rPr>
              <w:t>99,1*</w:t>
            </w:r>
          </w:p>
        </w:tc>
        <w:tc>
          <w:tcPr>
            <w:tcW w:w="907" w:type="dxa"/>
            <w:vAlign w:val="center"/>
          </w:tcPr>
          <w:p w14:paraId="1383ACA4" w14:textId="23D71413" w:rsidR="0042346F" w:rsidRPr="00991B7A" w:rsidRDefault="0042346F" w:rsidP="0042346F">
            <w:pPr>
              <w:jc w:val="right"/>
              <w:rPr>
                <w:rFonts w:cs="Arial"/>
                <w:color w:val="000000" w:themeColor="text1"/>
                <w:sz w:val="16"/>
                <w:szCs w:val="16"/>
              </w:rPr>
            </w:pPr>
            <w:r>
              <w:rPr>
                <w:rFonts w:cs="Arial"/>
                <w:color w:val="000000" w:themeColor="text1"/>
                <w:sz w:val="16"/>
                <w:szCs w:val="16"/>
              </w:rPr>
              <w:t>99,</w:t>
            </w:r>
            <w:r w:rsidR="00F448D7">
              <w:rPr>
                <w:rFonts w:cs="Arial"/>
                <w:color w:val="000000" w:themeColor="text1"/>
                <w:sz w:val="16"/>
                <w:szCs w:val="16"/>
              </w:rPr>
              <w:t>2*</w:t>
            </w:r>
          </w:p>
        </w:tc>
        <w:tc>
          <w:tcPr>
            <w:tcW w:w="907" w:type="dxa"/>
            <w:vAlign w:val="center"/>
          </w:tcPr>
          <w:p w14:paraId="3D82D470" w14:textId="4B5B28F6" w:rsidR="0042346F" w:rsidRPr="00991B7A" w:rsidRDefault="00F448D7" w:rsidP="0042346F">
            <w:pPr>
              <w:jc w:val="right"/>
              <w:rPr>
                <w:rFonts w:cs="Arial"/>
                <w:color w:val="000000" w:themeColor="text1"/>
                <w:sz w:val="16"/>
                <w:szCs w:val="16"/>
              </w:rPr>
            </w:pPr>
            <w:r>
              <w:rPr>
                <w:rFonts w:cs="Arial"/>
                <w:color w:val="000000" w:themeColor="text1"/>
                <w:sz w:val="16"/>
                <w:szCs w:val="16"/>
              </w:rPr>
              <w:t>98,1</w:t>
            </w:r>
          </w:p>
        </w:tc>
        <w:tc>
          <w:tcPr>
            <w:tcW w:w="907" w:type="dxa"/>
            <w:vAlign w:val="center"/>
          </w:tcPr>
          <w:p w14:paraId="5F1CA3C1" w14:textId="350D23FC" w:rsidR="0042346F" w:rsidRPr="00991B7A" w:rsidRDefault="00F448D7" w:rsidP="0042346F">
            <w:pPr>
              <w:jc w:val="right"/>
              <w:rPr>
                <w:rFonts w:cs="Arial"/>
                <w:color w:val="000000" w:themeColor="text1"/>
                <w:sz w:val="16"/>
                <w:szCs w:val="16"/>
              </w:rPr>
            </w:pPr>
            <w:r>
              <w:rPr>
                <w:rFonts w:cs="Arial"/>
                <w:color w:val="000000" w:themeColor="text1"/>
                <w:sz w:val="16"/>
                <w:szCs w:val="16"/>
              </w:rPr>
              <w:t>99,0</w:t>
            </w:r>
          </w:p>
        </w:tc>
        <w:tc>
          <w:tcPr>
            <w:tcW w:w="907" w:type="dxa"/>
            <w:vAlign w:val="center"/>
          </w:tcPr>
          <w:p w14:paraId="68C2FF7F" w14:textId="3361D91C" w:rsidR="0042346F" w:rsidRPr="00991B7A" w:rsidRDefault="00F448D7" w:rsidP="0042346F">
            <w:pPr>
              <w:jc w:val="right"/>
              <w:rPr>
                <w:rFonts w:cs="Arial"/>
                <w:color w:val="000000" w:themeColor="text1"/>
                <w:sz w:val="16"/>
                <w:szCs w:val="16"/>
              </w:rPr>
            </w:pPr>
            <w:r>
              <w:rPr>
                <w:rFonts w:cs="Arial"/>
                <w:color w:val="000000" w:themeColor="text1"/>
                <w:sz w:val="16"/>
                <w:szCs w:val="16"/>
              </w:rPr>
              <w:t>99,0</w:t>
            </w:r>
          </w:p>
        </w:tc>
        <w:tc>
          <w:tcPr>
            <w:tcW w:w="908" w:type="dxa"/>
            <w:vAlign w:val="center"/>
          </w:tcPr>
          <w:p w14:paraId="1BD0A9EB" w14:textId="1DFDEFC2" w:rsidR="0042346F" w:rsidRDefault="00F448D7" w:rsidP="0042346F">
            <w:pPr>
              <w:jc w:val="right"/>
              <w:rPr>
                <w:rFonts w:cs="Arial"/>
                <w:color w:val="000000" w:themeColor="text1"/>
                <w:sz w:val="16"/>
                <w:szCs w:val="16"/>
              </w:rPr>
            </w:pPr>
            <w:r>
              <w:rPr>
                <w:rFonts w:cs="Arial"/>
                <w:color w:val="000000" w:themeColor="text1"/>
                <w:sz w:val="16"/>
                <w:szCs w:val="16"/>
              </w:rPr>
              <w:t>99,4</w:t>
            </w:r>
          </w:p>
        </w:tc>
      </w:tr>
      <w:tr w:rsidR="0042346F" w:rsidRPr="00991B7A" w14:paraId="3C6A7920" w14:textId="77777777" w:rsidTr="00CD311A">
        <w:tc>
          <w:tcPr>
            <w:tcW w:w="2191" w:type="dxa"/>
          </w:tcPr>
          <w:p w14:paraId="14D97343" w14:textId="77777777" w:rsidR="0042346F" w:rsidRDefault="0042346F" w:rsidP="0042346F">
            <w:pPr>
              <w:rPr>
                <w:shd w:val="clear" w:color="auto" w:fill="FFFFFF"/>
              </w:rPr>
            </w:pPr>
            <w:r w:rsidRPr="0071293F">
              <w:rPr>
                <w:color w:val="000000" w:themeColor="text1"/>
                <w:sz w:val="16"/>
                <w:szCs w:val="16"/>
              </w:rPr>
              <w:t xml:space="preserve">Dostawa wody; </w:t>
            </w:r>
            <w:r w:rsidRPr="008E54A7">
              <w:rPr>
                <w:color w:val="000000" w:themeColor="text1"/>
                <w:sz w:val="16"/>
                <w:szCs w:val="16"/>
              </w:rPr>
              <w:t>gospodarowanie</w:t>
            </w:r>
            <w:r>
              <w:rPr>
                <w:color w:val="000000" w:themeColor="text1"/>
                <w:sz w:val="16"/>
                <w:szCs w:val="16"/>
              </w:rPr>
              <w:t xml:space="preserve"> ściekami i </w:t>
            </w:r>
            <w:r w:rsidRPr="0071293F">
              <w:rPr>
                <w:color w:val="000000" w:themeColor="text1"/>
                <w:sz w:val="16"/>
                <w:szCs w:val="16"/>
              </w:rPr>
              <w:t xml:space="preserve">odpadami; </w:t>
            </w:r>
            <w:proofErr w:type="spellStart"/>
            <w:r w:rsidRPr="0071293F">
              <w:rPr>
                <w:color w:val="000000" w:themeColor="text1"/>
                <w:sz w:val="16"/>
                <w:szCs w:val="16"/>
              </w:rPr>
              <w:t>rekultywacja</w:t>
            </w:r>
            <w:r w:rsidRPr="0045581E">
              <w:rPr>
                <w:rFonts w:cstheme="majorBidi"/>
                <w:color w:val="000000" w:themeColor="text1"/>
                <w:sz w:val="16"/>
                <w:szCs w:val="16"/>
                <w:vertAlign w:val="superscript"/>
              </w:rPr>
              <w:t>a</w:t>
            </w:r>
            <w:proofErr w:type="spellEnd"/>
          </w:p>
        </w:tc>
        <w:tc>
          <w:tcPr>
            <w:tcW w:w="907" w:type="dxa"/>
            <w:vAlign w:val="center"/>
          </w:tcPr>
          <w:p w14:paraId="75279872" w14:textId="655133F5" w:rsidR="0042346F" w:rsidRPr="00991B7A" w:rsidRDefault="0042346F" w:rsidP="0042346F">
            <w:pPr>
              <w:jc w:val="right"/>
              <w:rPr>
                <w:rFonts w:cs="Arial"/>
                <w:color w:val="000000" w:themeColor="text1"/>
                <w:sz w:val="16"/>
                <w:szCs w:val="16"/>
              </w:rPr>
            </w:pPr>
            <w:r>
              <w:rPr>
                <w:rFonts w:cs="Arial"/>
                <w:color w:val="000000" w:themeColor="text1"/>
                <w:sz w:val="16"/>
                <w:szCs w:val="16"/>
              </w:rPr>
              <w:t>99</w:t>
            </w:r>
            <w:r w:rsidR="00F448D7">
              <w:rPr>
                <w:rFonts w:cs="Arial"/>
                <w:color w:val="000000" w:themeColor="text1"/>
                <w:sz w:val="16"/>
                <w:szCs w:val="16"/>
              </w:rPr>
              <w:t>,5*</w:t>
            </w:r>
          </w:p>
        </w:tc>
        <w:tc>
          <w:tcPr>
            <w:tcW w:w="907" w:type="dxa"/>
            <w:vAlign w:val="center"/>
          </w:tcPr>
          <w:p w14:paraId="0B1035B8" w14:textId="0CCD3AC2" w:rsidR="0042346F" w:rsidRPr="00991B7A" w:rsidRDefault="00F448D7" w:rsidP="0042346F">
            <w:pPr>
              <w:jc w:val="right"/>
              <w:rPr>
                <w:rFonts w:cs="Arial"/>
                <w:color w:val="000000" w:themeColor="text1"/>
                <w:sz w:val="16"/>
                <w:szCs w:val="16"/>
              </w:rPr>
            </w:pPr>
            <w:r>
              <w:rPr>
                <w:rFonts w:cs="Arial"/>
                <w:color w:val="000000" w:themeColor="text1"/>
                <w:sz w:val="16"/>
                <w:szCs w:val="16"/>
              </w:rPr>
              <w:t>101,9*</w:t>
            </w:r>
          </w:p>
        </w:tc>
        <w:tc>
          <w:tcPr>
            <w:tcW w:w="907" w:type="dxa"/>
            <w:vAlign w:val="center"/>
          </w:tcPr>
          <w:p w14:paraId="07E98154" w14:textId="663183DA" w:rsidR="0042346F" w:rsidRPr="00991B7A" w:rsidRDefault="00F448D7" w:rsidP="0042346F">
            <w:pPr>
              <w:jc w:val="right"/>
              <w:rPr>
                <w:rFonts w:cs="Arial"/>
                <w:color w:val="000000" w:themeColor="text1"/>
                <w:sz w:val="16"/>
                <w:szCs w:val="16"/>
              </w:rPr>
            </w:pPr>
            <w:r>
              <w:rPr>
                <w:rFonts w:cs="Arial"/>
                <w:color w:val="000000" w:themeColor="text1"/>
                <w:sz w:val="16"/>
                <w:szCs w:val="16"/>
              </w:rPr>
              <w:t>101,5</w:t>
            </w:r>
          </w:p>
        </w:tc>
        <w:tc>
          <w:tcPr>
            <w:tcW w:w="907" w:type="dxa"/>
            <w:vAlign w:val="center"/>
          </w:tcPr>
          <w:p w14:paraId="241330CF" w14:textId="2F42E1FD" w:rsidR="0042346F" w:rsidRPr="00991B7A" w:rsidRDefault="00F448D7" w:rsidP="0042346F">
            <w:pPr>
              <w:jc w:val="right"/>
              <w:rPr>
                <w:rFonts w:cs="Arial"/>
                <w:color w:val="000000" w:themeColor="text1"/>
                <w:sz w:val="16"/>
                <w:szCs w:val="16"/>
              </w:rPr>
            </w:pPr>
            <w:r>
              <w:rPr>
                <w:rFonts w:cs="Arial"/>
                <w:color w:val="000000" w:themeColor="text1"/>
                <w:sz w:val="16"/>
                <w:szCs w:val="16"/>
              </w:rPr>
              <w:t>100,0</w:t>
            </w:r>
          </w:p>
        </w:tc>
        <w:tc>
          <w:tcPr>
            <w:tcW w:w="907" w:type="dxa"/>
            <w:shd w:val="clear" w:color="auto" w:fill="auto"/>
            <w:vAlign w:val="center"/>
          </w:tcPr>
          <w:p w14:paraId="0F443F02" w14:textId="58DDC81C" w:rsidR="0042346F" w:rsidRPr="00991B7A" w:rsidRDefault="00F448D7" w:rsidP="0042346F">
            <w:pPr>
              <w:jc w:val="right"/>
              <w:rPr>
                <w:rFonts w:cs="Arial"/>
                <w:color w:val="000000" w:themeColor="text1"/>
                <w:sz w:val="16"/>
                <w:szCs w:val="16"/>
              </w:rPr>
            </w:pPr>
            <w:r>
              <w:rPr>
                <w:rFonts w:cs="Arial"/>
                <w:color w:val="000000" w:themeColor="text1"/>
                <w:sz w:val="16"/>
                <w:szCs w:val="16"/>
              </w:rPr>
              <w:t>101,5</w:t>
            </w:r>
          </w:p>
        </w:tc>
        <w:tc>
          <w:tcPr>
            <w:tcW w:w="908" w:type="dxa"/>
            <w:vAlign w:val="center"/>
          </w:tcPr>
          <w:p w14:paraId="4831DFFB" w14:textId="6177ED0C" w:rsidR="0042346F" w:rsidRDefault="00F448D7" w:rsidP="0042346F">
            <w:pPr>
              <w:jc w:val="right"/>
              <w:rPr>
                <w:rFonts w:cs="Arial"/>
                <w:color w:val="000000" w:themeColor="text1"/>
                <w:sz w:val="16"/>
                <w:szCs w:val="16"/>
              </w:rPr>
            </w:pPr>
            <w:r>
              <w:rPr>
                <w:rFonts w:cs="Arial"/>
                <w:color w:val="000000" w:themeColor="text1"/>
                <w:sz w:val="16"/>
                <w:szCs w:val="16"/>
              </w:rPr>
              <w:t>102,5</w:t>
            </w:r>
          </w:p>
        </w:tc>
      </w:tr>
    </w:tbl>
    <w:p w14:paraId="5BB58B67" w14:textId="77777777" w:rsidR="00883E43" w:rsidRDefault="00883E43" w:rsidP="00883E43">
      <w:pPr>
        <w:rPr>
          <w:b/>
          <w:shd w:val="clear" w:color="auto" w:fill="FFFFFF"/>
        </w:rPr>
      </w:pPr>
    </w:p>
    <w:p w14:paraId="5EB1D2E5" w14:textId="77777777" w:rsidR="00883E43" w:rsidRPr="00FB0C8B" w:rsidRDefault="00883E43" w:rsidP="00211BF5">
      <w:pPr>
        <w:pStyle w:val="Przypis"/>
        <w:rPr>
          <w:lang w:val="pl-PL"/>
        </w:rPr>
      </w:pPr>
      <w:r w:rsidRPr="00FB0C8B">
        <w:rPr>
          <w:lang w:val="pl-PL"/>
        </w:rPr>
        <w:t>a</w:t>
      </w:r>
      <w:r w:rsidRPr="00FB0C8B">
        <w:rPr>
          <w:i/>
          <w:vertAlign w:val="superscript"/>
          <w:lang w:val="pl-PL"/>
        </w:rPr>
        <w:t xml:space="preserve"> </w:t>
      </w:r>
      <w:r w:rsidRPr="00FB0C8B">
        <w:rPr>
          <w:lang w:val="pl-PL"/>
        </w:rPr>
        <w:t>Nazwa skrócona według PKD 2007</w:t>
      </w:r>
      <w:r w:rsidR="00702990" w:rsidRPr="00FB0C8B">
        <w:rPr>
          <w:lang w:val="pl-PL"/>
        </w:rPr>
        <w:t>.</w:t>
      </w:r>
    </w:p>
    <w:p w14:paraId="66F48B48" w14:textId="77777777" w:rsidR="00883E43" w:rsidRPr="00FB0C8B" w:rsidRDefault="00883E43" w:rsidP="00211BF5">
      <w:pPr>
        <w:pStyle w:val="Przypis"/>
        <w:rPr>
          <w:lang w:val="pl-PL"/>
        </w:rPr>
      </w:pPr>
      <w:r w:rsidRPr="00FB0C8B">
        <w:rPr>
          <w:lang w:val="pl-PL"/>
        </w:rPr>
        <w:t>* Dane zmienione w stosunku do wcześniej opublikowanych.</w:t>
      </w:r>
    </w:p>
    <w:p w14:paraId="4E903F2B" w14:textId="77777777" w:rsidR="00883E43" w:rsidRDefault="00883E43" w:rsidP="00883E43">
      <w:pPr>
        <w:rPr>
          <w:lang w:eastAsia="pl-PL"/>
        </w:rPr>
      </w:pPr>
    </w:p>
    <w:p w14:paraId="0ED431AF" w14:textId="77777777" w:rsidR="00883E43" w:rsidRDefault="00883E43" w:rsidP="00883E43">
      <w:pPr>
        <w:rPr>
          <w:lang w:eastAsia="pl-PL"/>
        </w:rPr>
      </w:pPr>
    </w:p>
    <w:p w14:paraId="7D82D0F9" w14:textId="77777777" w:rsidR="00883E43" w:rsidRDefault="00883E43" w:rsidP="00883E43">
      <w:pPr>
        <w:rPr>
          <w:lang w:eastAsia="pl-PL"/>
        </w:rPr>
      </w:pPr>
    </w:p>
    <w:p w14:paraId="1E97EED3" w14:textId="77777777" w:rsidR="00883E43" w:rsidRDefault="00883E43" w:rsidP="00883E43">
      <w:pPr>
        <w:rPr>
          <w:lang w:eastAsia="pl-PL"/>
        </w:rPr>
      </w:pPr>
    </w:p>
    <w:p w14:paraId="45B1CCA0" w14:textId="77777777" w:rsidR="00883E43" w:rsidRDefault="00883E43" w:rsidP="00883E43">
      <w:pPr>
        <w:rPr>
          <w:lang w:eastAsia="pl-PL"/>
        </w:rPr>
      </w:pPr>
    </w:p>
    <w:p w14:paraId="1D4ADD3A" w14:textId="386C5631" w:rsidR="000B586A" w:rsidRDefault="000B586A" w:rsidP="000B586A">
      <w:pPr>
        <w:pStyle w:val="Nagwek1"/>
        <w:rPr>
          <w:rFonts w:ascii="Fira Sans" w:hAnsi="Fira Sans"/>
          <w:b/>
          <w:szCs w:val="19"/>
        </w:rPr>
      </w:pPr>
      <w:r w:rsidRPr="0088650D">
        <w:rPr>
          <w:rFonts w:ascii="Fira Sans" w:hAnsi="Fira Sans"/>
          <w:b/>
          <w:szCs w:val="19"/>
        </w:rPr>
        <w:lastRenderedPageBreak/>
        <w:t>Zmiany</w:t>
      </w:r>
      <w:r w:rsidRPr="00350CF7">
        <w:rPr>
          <w:rFonts w:ascii="Fira Sans" w:hAnsi="Fira Sans"/>
          <w:b/>
          <w:szCs w:val="19"/>
        </w:rPr>
        <w:t xml:space="preserve"> </w:t>
      </w:r>
      <w:r>
        <w:rPr>
          <w:rFonts w:ascii="Fira Sans" w:hAnsi="Fira Sans"/>
          <w:b/>
          <w:szCs w:val="19"/>
        </w:rPr>
        <w:t xml:space="preserve">cen </w:t>
      </w:r>
      <w:r w:rsidRPr="00776FC9">
        <w:rPr>
          <w:rFonts w:ascii="Fira Sans" w:hAnsi="Fira Sans"/>
          <w:b/>
          <w:szCs w:val="19"/>
        </w:rPr>
        <w:t xml:space="preserve">produkcji </w:t>
      </w:r>
      <w:r w:rsidRPr="0022146D">
        <w:rPr>
          <w:rFonts w:ascii="Fira Sans" w:hAnsi="Fira Sans"/>
          <w:b/>
          <w:szCs w:val="19"/>
        </w:rPr>
        <w:t xml:space="preserve">sprzedanej przemysłu </w:t>
      </w:r>
      <w:r w:rsidR="001B48CE">
        <w:rPr>
          <w:rFonts w:ascii="Fira Sans" w:hAnsi="Fira Sans"/>
          <w:b/>
          <w:szCs w:val="19"/>
        </w:rPr>
        <w:t xml:space="preserve">w </w:t>
      </w:r>
      <w:r w:rsidR="00F448D7">
        <w:rPr>
          <w:rFonts w:ascii="Fira Sans" w:hAnsi="Fira Sans"/>
          <w:b/>
          <w:szCs w:val="19"/>
        </w:rPr>
        <w:t>listopadzie</w:t>
      </w:r>
      <w:r w:rsidR="00760D2F">
        <w:rPr>
          <w:rFonts w:ascii="Fira Sans" w:hAnsi="Fira Sans"/>
          <w:b/>
          <w:szCs w:val="19"/>
        </w:rPr>
        <w:t xml:space="preserve"> </w:t>
      </w:r>
      <w:r>
        <w:rPr>
          <w:rFonts w:ascii="Fira Sans" w:hAnsi="Fira Sans"/>
          <w:b/>
          <w:szCs w:val="19"/>
        </w:rPr>
        <w:t>2025</w:t>
      </w:r>
      <w:r w:rsidRPr="00776FC9">
        <w:rPr>
          <w:rFonts w:ascii="Fira Sans" w:hAnsi="Fira Sans"/>
          <w:b/>
          <w:szCs w:val="19"/>
        </w:rPr>
        <w:t xml:space="preserve"> r. w </w:t>
      </w:r>
      <w:r w:rsidRPr="0022146D">
        <w:rPr>
          <w:rFonts w:ascii="Fira Sans" w:hAnsi="Fira Sans"/>
          <w:b/>
          <w:szCs w:val="19"/>
        </w:rPr>
        <w:t>porównaniu</w:t>
      </w:r>
      <w:r>
        <w:rPr>
          <w:rFonts w:ascii="Fira Sans" w:hAnsi="Fira Sans"/>
          <w:b/>
          <w:szCs w:val="19"/>
        </w:rPr>
        <w:t xml:space="preserve"> z</w:t>
      </w:r>
      <w:r w:rsidR="001B48CE">
        <w:rPr>
          <w:rFonts w:ascii="Fira Sans" w:hAnsi="Fira Sans"/>
          <w:b/>
          <w:szCs w:val="19"/>
        </w:rPr>
        <w:t> </w:t>
      </w:r>
      <w:r>
        <w:rPr>
          <w:rFonts w:ascii="Fira Sans" w:hAnsi="Fira Sans"/>
          <w:b/>
          <w:szCs w:val="19"/>
        </w:rPr>
        <w:t xml:space="preserve"> poprzednim miesiącem</w:t>
      </w:r>
    </w:p>
    <w:p w14:paraId="5C15B869" w14:textId="3E7686AC" w:rsidR="000B586A" w:rsidRPr="00A963B8" w:rsidRDefault="000B586A" w:rsidP="00A963B8">
      <w:pPr>
        <w:spacing w:after="0"/>
        <w:rPr>
          <w:spacing w:val="-6"/>
          <w:shd w:val="clear" w:color="auto" w:fill="FFFFFF"/>
        </w:rPr>
      </w:pPr>
      <w:r w:rsidRPr="00DE402D">
        <w:rPr>
          <w:spacing w:val="-6"/>
          <w:shd w:val="clear" w:color="auto" w:fill="FFFFFF"/>
        </w:rPr>
        <w:t xml:space="preserve">Według wstępnych danych </w:t>
      </w:r>
      <w:r w:rsidRPr="007E26DF">
        <w:rPr>
          <w:spacing w:val="-6"/>
          <w:shd w:val="clear" w:color="auto" w:fill="FFFFFF"/>
        </w:rPr>
        <w:t xml:space="preserve">ceny </w:t>
      </w:r>
      <w:r w:rsidRPr="000F41EB">
        <w:rPr>
          <w:spacing w:val="-6"/>
          <w:shd w:val="clear" w:color="auto" w:fill="FFFFFF"/>
        </w:rPr>
        <w:t>produkcji sprzedanej przemysłu</w:t>
      </w:r>
      <w:r w:rsidRPr="00DE402D">
        <w:rPr>
          <w:spacing w:val="-6"/>
          <w:shd w:val="clear" w:color="auto" w:fill="FFFFFF"/>
        </w:rPr>
        <w:t xml:space="preserve"> </w:t>
      </w:r>
      <w:r w:rsidR="001B48CE">
        <w:rPr>
          <w:spacing w:val="-6"/>
          <w:shd w:val="clear" w:color="auto" w:fill="FFFFFF"/>
        </w:rPr>
        <w:t xml:space="preserve">w </w:t>
      </w:r>
      <w:r w:rsidR="00F448D7">
        <w:rPr>
          <w:spacing w:val="-6"/>
          <w:shd w:val="clear" w:color="auto" w:fill="FFFFFF"/>
        </w:rPr>
        <w:t>listopadzie</w:t>
      </w:r>
      <w:r>
        <w:rPr>
          <w:spacing w:val="-6"/>
          <w:shd w:val="clear" w:color="auto" w:fill="FFFFFF"/>
        </w:rPr>
        <w:t xml:space="preserve"> </w:t>
      </w:r>
      <w:r w:rsidRPr="00DE402D">
        <w:rPr>
          <w:spacing w:val="-6"/>
          <w:shd w:val="clear" w:color="auto" w:fill="FFFFFF"/>
        </w:rPr>
        <w:t>202</w:t>
      </w:r>
      <w:r>
        <w:rPr>
          <w:spacing w:val="-6"/>
          <w:shd w:val="clear" w:color="auto" w:fill="FFFFFF"/>
        </w:rPr>
        <w:t>5</w:t>
      </w:r>
      <w:r w:rsidRPr="00DE402D">
        <w:rPr>
          <w:spacing w:val="-6"/>
          <w:shd w:val="clear" w:color="auto" w:fill="FFFFFF"/>
        </w:rPr>
        <w:t xml:space="preserve"> r. </w:t>
      </w:r>
      <w:r w:rsidR="00F448D7">
        <w:rPr>
          <w:spacing w:val="-6"/>
          <w:shd w:val="clear" w:color="auto" w:fill="FFFFFF"/>
        </w:rPr>
        <w:t xml:space="preserve">wzrosły </w:t>
      </w:r>
      <w:r w:rsidRPr="00A55249">
        <w:rPr>
          <w:spacing w:val="-6"/>
          <w:shd w:val="clear" w:color="auto" w:fill="FFFFFF"/>
        </w:rPr>
        <w:t>w</w:t>
      </w:r>
      <w:r>
        <w:rPr>
          <w:spacing w:val="-6"/>
          <w:shd w:val="clear" w:color="auto" w:fill="FFFFFF"/>
        </w:rPr>
        <w:t> </w:t>
      </w:r>
      <w:r w:rsidRPr="00A55249">
        <w:rPr>
          <w:spacing w:val="-6"/>
          <w:shd w:val="clear" w:color="auto" w:fill="FFFFFF"/>
        </w:rPr>
        <w:t xml:space="preserve">porównaniu </w:t>
      </w:r>
      <w:r>
        <w:rPr>
          <w:spacing w:val="-6"/>
          <w:shd w:val="clear" w:color="auto" w:fill="FFFFFF"/>
        </w:rPr>
        <w:t xml:space="preserve">z </w:t>
      </w:r>
      <w:r w:rsidR="00F448D7">
        <w:rPr>
          <w:spacing w:val="-6"/>
          <w:shd w:val="clear" w:color="auto" w:fill="FFFFFF"/>
        </w:rPr>
        <w:t>październikiem</w:t>
      </w:r>
      <w:r>
        <w:rPr>
          <w:spacing w:val="-6"/>
          <w:shd w:val="clear" w:color="auto" w:fill="FFFFFF"/>
        </w:rPr>
        <w:t xml:space="preserve"> 2025 r.</w:t>
      </w:r>
      <w:r w:rsidRPr="00A55249">
        <w:rPr>
          <w:spacing w:val="-6"/>
          <w:shd w:val="clear" w:color="auto" w:fill="FFFFFF"/>
        </w:rPr>
        <w:t xml:space="preserve"> o 0,</w:t>
      </w:r>
      <w:r w:rsidR="00F448D7">
        <w:rPr>
          <w:spacing w:val="-6"/>
          <w:shd w:val="clear" w:color="auto" w:fill="FFFFFF"/>
        </w:rPr>
        <w:t>1</w:t>
      </w:r>
      <w:r w:rsidRPr="00A55249">
        <w:rPr>
          <w:spacing w:val="-6"/>
          <w:shd w:val="clear" w:color="auto" w:fill="FFFFFF"/>
        </w:rPr>
        <w:t>%</w:t>
      </w:r>
      <w:r>
        <w:rPr>
          <w:spacing w:val="-6"/>
          <w:shd w:val="clear" w:color="auto" w:fill="FFFFFF"/>
        </w:rPr>
        <w:t>.</w:t>
      </w:r>
      <w:r w:rsidR="004B00C2">
        <w:rPr>
          <w:spacing w:val="-6"/>
          <w:shd w:val="clear" w:color="auto" w:fill="FFFFFF"/>
        </w:rPr>
        <w:t xml:space="preserve"> </w:t>
      </w:r>
      <w:r w:rsidR="00386D2A">
        <w:rPr>
          <w:spacing w:val="-6"/>
          <w:shd w:val="clear" w:color="auto" w:fill="FFFFFF"/>
        </w:rPr>
        <w:t>W kolejnych miesiącach br.</w:t>
      </w:r>
      <w:r w:rsidR="005A16C6">
        <w:rPr>
          <w:spacing w:val="-6"/>
          <w:shd w:val="clear" w:color="auto" w:fill="FFFFFF"/>
        </w:rPr>
        <w:t>,</w:t>
      </w:r>
      <w:r w:rsidR="004B00C2">
        <w:rPr>
          <w:spacing w:val="-6"/>
          <w:shd w:val="clear" w:color="auto" w:fill="FFFFFF"/>
        </w:rPr>
        <w:t xml:space="preserve"> poza czerwcem, kiedy ceny wzrosły o 0,5%, notowano nieznaczne spadki cen.</w:t>
      </w:r>
    </w:p>
    <w:p w14:paraId="485072C7" w14:textId="6338CD39" w:rsidR="00304048" w:rsidRDefault="00EA30BC" w:rsidP="00304048">
      <w:pPr>
        <w:spacing w:after="0"/>
        <w:ind w:left="851" w:hanging="851"/>
        <w:rPr>
          <w:rFonts w:ascii="Fira Sans SemiBold" w:eastAsia="Times New Roman" w:hAnsi="Fira Sans SemiBold" w:cs="Times New Roman"/>
          <w:b/>
          <w:bCs/>
          <w:noProof/>
          <w:szCs w:val="24"/>
          <w:lang w:eastAsia="pl-PL"/>
        </w:rPr>
      </w:pPr>
      <w:r w:rsidRPr="00C57AAC">
        <w:rPr>
          <w:b/>
          <w:strike/>
          <w:noProof/>
          <w:spacing w:val="-2"/>
          <w:szCs w:val="19"/>
          <w:lang w:eastAsia="pl-PL"/>
        </w:rPr>
        <mc:AlternateContent>
          <mc:Choice Requires="wps">
            <w:drawing>
              <wp:anchor distT="45720" distB="45720" distL="114300" distR="114300" simplePos="0" relativeHeight="251856896" behindDoc="1" locked="0" layoutInCell="1" allowOverlap="1" wp14:anchorId="57E33197" wp14:editId="09D671A3">
                <wp:simplePos x="0" y="0"/>
                <wp:positionH relativeFrom="column">
                  <wp:posOffset>5314950</wp:posOffset>
                </wp:positionH>
                <wp:positionV relativeFrom="paragraph">
                  <wp:posOffset>678815</wp:posOffset>
                </wp:positionV>
                <wp:extent cx="1663700" cy="1066800"/>
                <wp:effectExtent l="0" t="0" r="0" b="0"/>
                <wp:wrapTight wrapText="bothSides">
                  <wp:wrapPolygon edited="0">
                    <wp:start x="742" y="0"/>
                    <wp:lineTo x="742" y="21214"/>
                    <wp:lineTo x="20776" y="21214"/>
                    <wp:lineTo x="20776" y="0"/>
                    <wp:lineTo x="742" y="0"/>
                  </wp:wrapPolygon>
                </wp:wrapTight>
                <wp:docPr id="24" name="Pole tekstowe 24" descr="W listopadzie 2025 r. ceny produkcji sprzedanej przemysłu wzrosły w porównaniu z poprzednim miesiącem o 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3700" cy="1066800"/>
                        </a:xfrm>
                        <a:prstGeom prst="rect">
                          <a:avLst/>
                        </a:prstGeom>
                        <a:noFill/>
                        <a:ln w="9525">
                          <a:noFill/>
                          <a:miter lim="800000"/>
                          <a:headEnd/>
                          <a:tailEnd/>
                        </a:ln>
                      </wps:spPr>
                      <wps:txbx>
                        <w:txbxContent>
                          <w:p w14:paraId="6B6DBB89" w14:textId="469BFDC6" w:rsidR="00304048" w:rsidRPr="00DC2453" w:rsidRDefault="001B48CE" w:rsidP="00304048">
                            <w:pPr>
                              <w:pStyle w:val="tekstzboku"/>
                            </w:pPr>
                            <w:r>
                              <w:t xml:space="preserve">W </w:t>
                            </w:r>
                            <w:r w:rsidR="009F506D">
                              <w:t>listopadzie</w:t>
                            </w:r>
                            <w:r w:rsidR="005C679D">
                              <w:t xml:space="preserve"> </w:t>
                            </w:r>
                            <w:r w:rsidR="00B42609" w:rsidRPr="00C61C5D">
                              <w:t xml:space="preserve">2025 r. </w:t>
                            </w:r>
                            <w:r w:rsidR="00304048" w:rsidRPr="00C61C5D">
                              <w:t xml:space="preserve">ceny produkcji sprzedanej przemysłu </w:t>
                            </w:r>
                            <w:r w:rsidR="009F506D">
                              <w:t>wzrosły</w:t>
                            </w:r>
                            <w:r w:rsidR="00304048" w:rsidRPr="00C61C5D">
                              <w:t xml:space="preserve"> </w:t>
                            </w:r>
                            <w:r w:rsidR="008139A3">
                              <w:t>w</w:t>
                            </w:r>
                            <w:r w:rsidR="00C94596">
                              <w:t> </w:t>
                            </w:r>
                            <w:r w:rsidR="008139A3">
                              <w:t>p</w:t>
                            </w:r>
                            <w:r w:rsidR="008139A3" w:rsidRPr="00C61C5D">
                              <w:t>orównaniu z</w:t>
                            </w:r>
                            <w:r w:rsidR="008139A3">
                              <w:t> </w:t>
                            </w:r>
                            <w:r w:rsidR="008139A3" w:rsidRPr="00C61C5D">
                              <w:t xml:space="preserve">poprzednim miesiącem </w:t>
                            </w:r>
                            <w:r w:rsidR="00304048" w:rsidRPr="00C61C5D">
                              <w:t xml:space="preserve">o </w:t>
                            </w:r>
                            <w:r w:rsidR="00151FA1">
                              <w:t>0</w:t>
                            </w:r>
                            <w:r w:rsidR="00304048" w:rsidRPr="00C61C5D">
                              <w:t>,</w:t>
                            </w:r>
                            <w:r w:rsidR="009F506D">
                              <w:t>1</w:t>
                            </w:r>
                            <w:r w:rsidR="00304048" w:rsidRPr="00C61C5D">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7E33197" id="_x0000_t202" coordsize="21600,21600" o:spt="202" path="m,l,21600r21600,l21600,xe">
                <v:stroke joinstyle="miter"/>
                <v:path gradientshapeok="t" o:connecttype="rect"/>
              </v:shapetype>
              <v:shape id="Pole tekstowe 24" o:spid="_x0000_s1027" type="#_x0000_t202" alt="W listopadzie 2025 r. ceny produkcji sprzedanej przemysłu wzrosły w porównaniu z poprzednim miesiącem o 0,1%" style="position:absolute;left:0;text-align:left;margin-left:418.5pt;margin-top:53.45pt;width:131pt;height:84pt;z-index:-2514595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" filled="f" stroked="f">
                <v:textbox>
                  <w:txbxContent>
                    <w:p w14:paraId="6B6DBB89" w14:textId="469BFDC6" w:rsidR="00304048" w:rsidRPr="00DC2453" w:rsidRDefault="001B48CE" w:rsidP="00304048">
                      <w:pPr>
                        <w:pStyle w:val="tekstzboku"/>
                      </w:pPr>
                      <w:r>
                        <w:t xml:space="preserve">W </w:t>
                      </w:r>
                      <w:r w:rsidR="009F506D">
                        <w:t>listopadzie</w:t>
                      </w:r>
                      <w:r w:rsidR="005C679D">
                        <w:t xml:space="preserve"> </w:t>
                      </w:r>
                      <w:r w:rsidR="00B42609" w:rsidRPr="00C61C5D">
                        <w:t xml:space="preserve">2025 r. </w:t>
                      </w:r>
                      <w:r w:rsidR="00304048" w:rsidRPr="00C61C5D">
                        <w:t xml:space="preserve">ceny produkcji sprzedanej przemysłu </w:t>
                      </w:r>
                      <w:r w:rsidR="009F506D">
                        <w:t>wzrosły</w:t>
                      </w:r>
                      <w:r w:rsidR="00304048" w:rsidRPr="00C61C5D">
                        <w:t xml:space="preserve"> </w:t>
                      </w:r>
                      <w:r w:rsidR="008139A3">
                        <w:t>w</w:t>
                      </w:r>
                      <w:r w:rsidR="00C94596">
                        <w:t> </w:t>
                      </w:r>
                      <w:r w:rsidR="008139A3">
                        <w:t>p</w:t>
                      </w:r>
                      <w:r w:rsidR="008139A3" w:rsidRPr="00C61C5D">
                        <w:t>orównaniu z</w:t>
                      </w:r>
                      <w:r w:rsidR="008139A3">
                        <w:t> </w:t>
                      </w:r>
                      <w:r w:rsidR="008139A3" w:rsidRPr="00C61C5D">
                        <w:t xml:space="preserve">poprzednim miesiącem </w:t>
                      </w:r>
                      <w:r w:rsidR="00304048" w:rsidRPr="00C61C5D">
                        <w:t xml:space="preserve">o </w:t>
                      </w:r>
                      <w:r w:rsidR="00151FA1">
                        <w:t>0</w:t>
                      </w:r>
                      <w:r w:rsidR="00304048" w:rsidRPr="00C61C5D">
                        <w:t>,</w:t>
                      </w:r>
                      <w:r w:rsidR="009F506D">
                        <w:t>1</w:t>
                      </w:r>
                      <w:r w:rsidR="00304048" w:rsidRPr="00C61C5D">
                        <w:t>%</w:t>
                      </w:r>
                    </w:p>
                  </w:txbxContent>
                </v:textbox>
                <w10:wrap type="tight"/>
              </v:shape>
            </w:pict>
          </mc:Fallback>
        </mc:AlternateContent>
      </w:r>
      <w:r w:rsidR="00B83095">
        <w:rPr>
          <w:noProof/>
          <w:lang w:eastAsia="pl-PL"/>
        </w:rPr>
        <w:drawing>
          <wp:anchor distT="0" distB="0" distL="114300" distR="114300" simplePos="0" relativeHeight="251869184" behindDoc="0" locked="0" layoutInCell="1" allowOverlap="1" wp14:anchorId="6B3DCDC5" wp14:editId="0E54FBD3">
            <wp:simplePos x="0" y="0"/>
            <wp:positionH relativeFrom="margin">
              <wp:align>left</wp:align>
            </wp:positionH>
            <wp:positionV relativeFrom="paragraph">
              <wp:posOffset>334949</wp:posOffset>
            </wp:positionV>
            <wp:extent cx="5122545" cy="2835275"/>
            <wp:effectExtent l="0" t="0" r="1905" b="3175"/>
            <wp:wrapTopAndBottom/>
            <wp:docPr id="29" name="Wykres 29" descr="Wykres 1. Zmiany cen produkcji sprzedanej przemysłu w stosunku do poprzedniego miesiąca"/>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14:sizeRelV relativeFrom="margin">
              <wp14:pctHeight>0</wp14:pctHeight>
            </wp14:sizeRelV>
          </wp:anchor>
        </w:drawing>
      </w:r>
      <w:r w:rsidR="00304048" w:rsidRPr="0066387C">
        <w:rPr>
          <w:rFonts w:ascii="Fira Sans SemiBold" w:eastAsia="Times New Roman" w:hAnsi="Fira Sans SemiBold" w:cs="Times New Roman"/>
          <w:b/>
          <w:bCs/>
          <w:noProof/>
          <w:szCs w:val="24"/>
          <w:lang w:eastAsia="pl-PL"/>
        </w:rPr>
        <w:t xml:space="preserve">Wykres </w:t>
      </w:r>
      <w:r w:rsidR="000427C1">
        <w:rPr>
          <w:rFonts w:ascii="Fira Sans SemiBold" w:eastAsia="Times New Roman" w:hAnsi="Fira Sans SemiBold" w:cs="Times New Roman"/>
          <w:b/>
          <w:bCs/>
          <w:noProof/>
          <w:szCs w:val="24"/>
          <w:lang w:eastAsia="pl-PL"/>
        </w:rPr>
        <w:t>1</w:t>
      </w:r>
      <w:r w:rsidR="00304048" w:rsidRPr="0066387C">
        <w:rPr>
          <w:rFonts w:ascii="Fira Sans SemiBold" w:eastAsia="Times New Roman" w:hAnsi="Fira Sans SemiBold" w:cs="Times New Roman"/>
          <w:b/>
          <w:bCs/>
          <w:noProof/>
          <w:szCs w:val="24"/>
          <w:lang w:eastAsia="pl-PL"/>
        </w:rPr>
        <w:t xml:space="preserve">. Zmiany cen produkcji sprzedanej przemysłu </w:t>
      </w:r>
      <w:r w:rsidR="00525EF1">
        <w:rPr>
          <w:rFonts w:ascii="Fira Sans SemiBold" w:eastAsia="Times New Roman" w:hAnsi="Fira Sans SemiBold" w:cs="Times New Roman"/>
          <w:b/>
          <w:bCs/>
          <w:noProof/>
          <w:szCs w:val="24"/>
          <w:lang w:eastAsia="pl-PL"/>
        </w:rPr>
        <w:t xml:space="preserve">w </w:t>
      </w:r>
      <w:r w:rsidR="00F54511">
        <w:rPr>
          <w:rFonts w:ascii="Fira Sans SemiBold" w:eastAsia="Times New Roman" w:hAnsi="Fira Sans SemiBold" w:cs="Times New Roman"/>
          <w:b/>
          <w:bCs/>
          <w:noProof/>
          <w:szCs w:val="24"/>
          <w:lang w:eastAsia="pl-PL"/>
        </w:rPr>
        <w:t>stosunku do poprzedniego miesi</w:t>
      </w:r>
      <w:r w:rsidR="00C57AAC">
        <w:rPr>
          <w:rFonts w:ascii="Fira Sans SemiBold" w:eastAsia="Times New Roman" w:hAnsi="Fira Sans SemiBold" w:cs="Times New Roman"/>
          <w:b/>
          <w:bCs/>
          <w:noProof/>
          <w:szCs w:val="24"/>
          <w:lang w:eastAsia="pl-PL"/>
        </w:rPr>
        <w:t>ą</w:t>
      </w:r>
      <w:r w:rsidR="00F54511">
        <w:rPr>
          <w:rFonts w:ascii="Fira Sans SemiBold" w:eastAsia="Times New Roman" w:hAnsi="Fira Sans SemiBold" w:cs="Times New Roman"/>
          <w:b/>
          <w:bCs/>
          <w:noProof/>
          <w:szCs w:val="24"/>
          <w:lang w:eastAsia="pl-PL"/>
        </w:rPr>
        <w:t>ca</w:t>
      </w:r>
    </w:p>
    <w:p w14:paraId="0ACC6CBD" w14:textId="2FCE7735" w:rsidR="00FB1CDE" w:rsidRPr="00582B59" w:rsidRDefault="009F506D" w:rsidP="00B83095">
      <w:pPr>
        <w:spacing w:after="0"/>
        <w:rPr>
          <w:spacing w:val="-6"/>
          <w:shd w:val="clear" w:color="auto" w:fill="FFFFFF"/>
        </w:rPr>
      </w:pPr>
      <w:r>
        <w:rPr>
          <w:spacing w:val="-6"/>
          <w:shd w:val="clear" w:color="auto" w:fill="FFFFFF"/>
        </w:rPr>
        <w:t>Wzrosty</w:t>
      </w:r>
      <w:r w:rsidR="000429DE">
        <w:rPr>
          <w:spacing w:val="-6"/>
          <w:shd w:val="clear" w:color="auto" w:fill="FFFFFF"/>
        </w:rPr>
        <w:t xml:space="preserve"> </w:t>
      </w:r>
      <w:r w:rsidR="000429DE">
        <w:rPr>
          <w:bCs/>
          <w:spacing w:val="-6"/>
          <w:shd w:val="clear" w:color="auto" w:fill="FFFFFF"/>
        </w:rPr>
        <w:t xml:space="preserve">cen </w:t>
      </w:r>
      <w:r w:rsidR="004B00C2">
        <w:rPr>
          <w:bCs/>
          <w:spacing w:val="-6"/>
          <w:shd w:val="clear" w:color="auto" w:fill="FFFFFF"/>
        </w:rPr>
        <w:t xml:space="preserve">zaobserwowano </w:t>
      </w:r>
      <w:r w:rsidR="005C679D">
        <w:rPr>
          <w:spacing w:val="-6"/>
          <w:shd w:val="clear" w:color="auto" w:fill="FFFFFF"/>
        </w:rPr>
        <w:t>w </w:t>
      </w:r>
      <w:r w:rsidRPr="001D3D02">
        <w:rPr>
          <w:b/>
          <w:shd w:val="clear" w:color="auto" w:fill="FFFFFF"/>
        </w:rPr>
        <w:t>górnictw</w:t>
      </w:r>
      <w:r>
        <w:rPr>
          <w:b/>
          <w:shd w:val="clear" w:color="auto" w:fill="FFFFFF"/>
        </w:rPr>
        <w:t>ie</w:t>
      </w:r>
      <w:r w:rsidRPr="001D3D02">
        <w:rPr>
          <w:b/>
          <w:shd w:val="clear" w:color="auto" w:fill="FFFFFF"/>
        </w:rPr>
        <w:t xml:space="preserve"> i</w:t>
      </w:r>
      <w:r>
        <w:rPr>
          <w:b/>
          <w:shd w:val="clear" w:color="auto" w:fill="FFFFFF"/>
        </w:rPr>
        <w:t> </w:t>
      </w:r>
      <w:r w:rsidRPr="006D26F7">
        <w:rPr>
          <w:b/>
          <w:shd w:val="clear" w:color="auto" w:fill="FFFFFF"/>
        </w:rPr>
        <w:t>wydobywani</w:t>
      </w:r>
      <w:r>
        <w:rPr>
          <w:b/>
          <w:shd w:val="clear" w:color="auto" w:fill="FFFFFF"/>
        </w:rPr>
        <w:t xml:space="preserve">u </w:t>
      </w:r>
      <w:r w:rsidRPr="009F506D">
        <w:rPr>
          <w:shd w:val="clear" w:color="auto" w:fill="FFFFFF"/>
        </w:rPr>
        <w:t>– o 1,4%</w:t>
      </w:r>
      <w:r>
        <w:rPr>
          <w:b/>
          <w:shd w:val="clear" w:color="auto" w:fill="FFFFFF"/>
        </w:rPr>
        <w:t xml:space="preserve"> </w:t>
      </w:r>
      <w:r>
        <w:rPr>
          <w:bCs/>
          <w:shd w:val="clear" w:color="auto" w:fill="FFFFFF"/>
        </w:rPr>
        <w:t>(</w:t>
      </w:r>
      <w:r>
        <w:rPr>
          <w:shd w:val="clear" w:color="auto" w:fill="FFFFFF"/>
        </w:rPr>
        <w:t>w tym w wydobywaniu węgla kamiennego i </w:t>
      </w:r>
      <w:r w:rsidRPr="00665010">
        <w:rPr>
          <w:shd w:val="clear" w:color="auto" w:fill="FFFFFF"/>
        </w:rPr>
        <w:t>węgla brunatnego (lignitu)</w:t>
      </w:r>
      <w:r>
        <w:rPr>
          <w:shd w:val="clear" w:color="auto" w:fill="FFFFFF"/>
        </w:rPr>
        <w:t xml:space="preserve"> – o 0,3%, a w górnictwie rud metali – o 2,8%) oraz w</w:t>
      </w:r>
      <w:r>
        <w:rPr>
          <w:bCs/>
          <w:spacing w:val="-6"/>
          <w:shd w:val="clear" w:color="auto" w:fill="FFFFFF"/>
        </w:rPr>
        <w:t xml:space="preserve"> </w:t>
      </w:r>
      <w:r w:rsidRPr="001F2115">
        <w:rPr>
          <w:b/>
          <w:spacing w:val="-6"/>
          <w:shd w:val="clear" w:color="auto" w:fill="FFFFFF"/>
        </w:rPr>
        <w:t>przetwórstw</w:t>
      </w:r>
      <w:r>
        <w:rPr>
          <w:b/>
          <w:spacing w:val="-6"/>
          <w:shd w:val="clear" w:color="auto" w:fill="FFFFFF"/>
        </w:rPr>
        <w:t>ie</w:t>
      </w:r>
      <w:r w:rsidRPr="001F2115">
        <w:rPr>
          <w:b/>
          <w:spacing w:val="-6"/>
          <w:shd w:val="clear" w:color="auto" w:fill="FFFFFF"/>
        </w:rPr>
        <w:t xml:space="preserve"> przemysłow</w:t>
      </w:r>
      <w:r>
        <w:rPr>
          <w:b/>
          <w:spacing w:val="-6"/>
          <w:shd w:val="clear" w:color="auto" w:fill="FFFFFF"/>
        </w:rPr>
        <w:t xml:space="preserve">ym </w:t>
      </w:r>
      <w:r w:rsidRPr="009F506D">
        <w:rPr>
          <w:spacing w:val="-6"/>
          <w:shd w:val="clear" w:color="auto" w:fill="FFFFFF"/>
        </w:rPr>
        <w:t>– o 0,1% .</w:t>
      </w:r>
      <w:r>
        <w:rPr>
          <w:b/>
          <w:spacing w:val="-6"/>
          <w:shd w:val="clear" w:color="auto" w:fill="FFFFFF"/>
        </w:rPr>
        <w:t xml:space="preserve"> </w:t>
      </w:r>
      <w:r w:rsidR="006E489F">
        <w:rPr>
          <w:spacing w:val="-6"/>
          <w:shd w:val="clear" w:color="auto" w:fill="FFFFFF"/>
        </w:rPr>
        <w:t>W</w:t>
      </w:r>
      <w:r>
        <w:rPr>
          <w:spacing w:val="-6"/>
          <w:shd w:val="clear" w:color="auto" w:fill="FFFFFF"/>
        </w:rPr>
        <w:t xml:space="preserve"> </w:t>
      </w:r>
      <w:r w:rsidR="00423E51" w:rsidRPr="00B84F73">
        <w:rPr>
          <w:b/>
          <w:bCs/>
          <w:spacing w:val="-6"/>
          <w:shd w:val="clear" w:color="auto" w:fill="FFFFFF"/>
        </w:rPr>
        <w:t>wytwarzani</w:t>
      </w:r>
      <w:r w:rsidR="00423E51">
        <w:rPr>
          <w:b/>
          <w:bCs/>
          <w:spacing w:val="-6"/>
          <w:shd w:val="clear" w:color="auto" w:fill="FFFFFF"/>
        </w:rPr>
        <w:t>u</w:t>
      </w:r>
      <w:r w:rsidR="00423E51" w:rsidRPr="00B84F73">
        <w:rPr>
          <w:b/>
          <w:bCs/>
          <w:spacing w:val="-6"/>
          <w:shd w:val="clear" w:color="auto" w:fill="FFFFFF"/>
        </w:rPr>
        <w:t xml:space="preserve"> i</w:t>
      </w:r>
      <w:r w:rsidR="00423E51">
        <w:rPr>
          <w:b/>
          <w:bCs/>
          <w:spacing w:val="-6"/>
          <w:shd w:val="clear" w:color="auto" w:fill="FFFFFF"/>
        </w:rPr>
        <w:t> </w:t>
      </w:r>
      <w:r w:rsidR="00423E51" w:rsidRPr="00B84F73">
        <w:rPr>
          <w:b/>
          <w:bCs/>
          <w:spacing w:val="-6"/>
          <w:shd w:val="clear" w:color="auto" w:fill="FFFFFF"/>
        </w:rPr>
        <w:t>zaopatrywani</w:t>
      </w:r>
      <w:r w:rsidR="00423E51">
        <w:rPr>
          <w:b/>
          <w:bCs/>
          <w:spacing w:val="-6"/>
          <w:shd w:val="clear" w:color="auto" w:fill="FFFFFF"/>
        </w:rPr>
        <w:t>u</w:t>
      </w:r>
      <w:r w:rsidR="00423E51" w:rsidRPr="00B84F73">
        <w:rPr>
          <w:b/>
          <w:bCs/>
          <w:spacing w:val="-6"/>
          <w:shd w:val="clear" w:color="auto" w:fill="FFFFFF"/>
        </w:rPr>
        <w:t xml:space="preserve"> w energię elektryczną, gaz, parę wodną i</w:t>
      </w:r>
      <w:r w:rsidR="00423E51">
        <w:rPr>
          <w:b/>
          <w:bCs/>
          <w:spacing w:val="-6"/>
          <w:shd w:val="clear" w:color="auto" w:fill="FFFFFF"/>
        </w:rPr>
        <w:t> </w:t>
      </w:r>
      <w:r w:rsidR="00423E51" w:rsidRPr="00B84F73">
        <w:rPr>
          <w:b/>
          <w:bCs/>
          <w:spacing w:val="-6"/>
          <w:shd w:val="clear" w:color="auto" w:fill="FFFFFF"/>
        </w:rPr>
        <w:t>gorącą wodę</w:t>
      </w:r>
      <w:r w:rsidR="005C679D">
        <w:rPr>
          <w:b/>
          <w:bCs/>
          <w:spacing w:val="-6"/>
          <w:shd w:val="clear" w:color="auto" w:fill="FFFFFF"/>
        </w:rPr>
        <w:t xml:space="preserve"> </w:t>
      </w:r>
      <w:r w:rsidR="00BE365B">
        <w:rPr>
          <w:shd w:val="clear" w:color="auto" w:fill="FFFFFF"/>
        </w:rPr>
        <w:t xml:space="preserve">ceny spadły </w:t>
      </w:r>
      <w:r w:rsidR="00B55BEC">
        <w:rPr>
          <w:shd w:val="clear" w:color="auto" w:fill="FFFFFF"/>
        </w:rPr>
        <w:t xml:space="preserve"> </w:t>
      </w:r>
      <w:r w:rsidR="00252F2F" w:rsidRPr="00CF653A">
        <w:rPr>
          <w:shd w:val="clear" w:color="auto" w:fill="FFFFFF"/>
        </w:rPr>
        <w:t xml:space="preserve">o </w:t>
      </w:r>
      <w:r w:rsidR="009739E2">
        <w:rPr>
          <w:shd w:val="clear" w:color="auto" w:fill="FFFFFF"/>
        </w:rPr>
        <w:t>1</w:t>
      </w:r>
      <w:r w:rsidR="00252F2F">
        <w:rPr>
          <w:shd w:val="clear" w:color="auto" w:fill="FFFFFF"/>
        </w:rPr>
        <w:t>,</w:t>
      </w:r>
      <w:r>
        <w:rPr>
          <w:shd w:val="clear" w:color="auto" w:fill="FFFFFF"/>
        </w:rPr>
        <w:t>0</w:t>
      </w:r>
      <w:r w:rsidR="00252F2F" w:rsidRPr="00CF653A">
        <w:rPr>
          <w:shd w:val="clear" w:color="auto" w:fill="FFFFFF"/>
        </w:rPr>
        <w:t>%</w:t>
      </w:r>
      <w:r w:rsidR="00BE365B">
        <w:rPr>
          <w:bCs/>
          <w:spacing w:val="-6"/>
          <w:shd w:val="clear" w:color="auto" w:fill="FFFFFF"/>
        </w:rPr>
        <w:t>, a</w:t>
      </w:r>
      <w:r w:rsidR="002B083D">
        <w:rPr>
          <w:bCs/>
          <w:spacing w:val="-6"/>
          <w:shd w:val="clear" w:color="auto" w:fill="FFFFFF"/>
        </w:rPr>
        <w:t xml:space="preserve"> </w:t>
      </w:r>
      <w:bookmarkStart w:id="4" w:name="_GoBack"/>
      <w:bookmarkEnd w:id="4"/>
      <w:r w:rsidR="00BE365B">
        <w:rPr>
          <w:bCs/>
          <w:spacing w:val="-6"/>
          <w:shd w:val="clear" w:color="auto" w:fill="FFFFFF"/>
        </w:rPr>
        <w:t>w</w:t>
      </w:r>
      <w:r>
        <w:rPr>
          <w:bCs/>
          <w:spacing w:val="-6"/>
          <w:shd w:val="clear" w:color="auto" w:fill="FFFFFF"/>
        </w:rPr>
        <w:t xml:space="preserve"> sekcji</w:t>
      </w:r>
      <w:r w:rsidR="009739E2">
        <w:rPr>
          <w:bCs/>
          <w:spacing w:val="-6"/>
          <w:shd w:val="clear" w:color="auto" w:fill="FFFFFF"/>
        </w:rPr>
        <w:t xml:space="preserve"> </w:t>
      </w:r>
      <w:r w:rsidR="00423E51" w:rsidRPr="00A52D3D">
        <w:rPr>
          <w:b/>
          <w:shd w:val="clear" w:color="auto" w:fill="FFFFFF"/>
        </w:rPr>
        <w:t>dostaw</w:t>
      </w:r>
      <w:r>
        <w:rPr>
          <w:b/>
          <w:shd w:val="clear" w:color="auto" w:fill="FFFFFF"/>
        </w:rPr>
        <w:t>a</w:t>
      </w:r>
      <w:r w:rsidR="00423E51" w:rsidRPr="00A52D3D">
        <w:rPr>
          <w:b/>
          <w:shd w:val="clear" w:color="auto" w:fill="FFFFFF"/>
        </w:rPr>
        <w:t xml:space="preserve"> wody; gospodarowani</w:t>
      </w:r>
      <w:r>
        <w:rPr>
          <w:b/>
          <w:shd w:val="clear" w:color="auto" w:fill="FFFFFF"/>
        </w:rPr>
        <w:t>e</w:t>
      </w:r>
      <w:r w:rsidR="00423E51" w:rsidRPr="00A52D3D">
        <w:rPr>
          <w:b/>
          <w:shd w:val="clear" w:color="auto" w:fill="FFFFFF"/>
        </w:rPr>
        <w:t xml:space="preserve"> ściekami i</w:t>
      </w:r>
      <w:r w:rsidR="00423E51">
        <w:rPr>
          <w:b/>
          <w:shd w:val="clear" w:color="auto" w:fill="FFFFFF"/>
        </w:rPr>
        <w:t> </w:t>
      </w:r>
      <w:r w:rsidR="00423E51" w:rsidRPr="00A52D3D">
        <w:rPr>
          <w:b/>
          <w:shd w:val="clear" w:color="auto" w:fill="FFFFFF"/>
        </w:rPr>
        <w:t>odpadami; rekultywacj</w:t>
      </w:r>
      <w:r>
        <w:rPr>
          <w:b/>
          <w:shd w:val="clear" w:color="auto" w:fill="FFFFFF"/>
        </w:rPr>
        <w:t>a</w:t>
      </w:r>
      <w:r w:rsidR="009739E2">
        <w:rPr>
          <w:b/>
          <w:shd w:val="clear" w:color="auto" w:fill="FFFFFF"/>
        </w:rPr>
        <w:t xml:space="preserve"> </w:t>
      </w:r>
      <w:r w:rsidR="00582B59">
        <w:rPr>
          <w:shd w:val="clear" w:color="auto" w:fill="FFFFFF"/>
        </w:rPr>
        <w:t xml:space="preserve"> utrzymały się na poziomie zbliżonym do notowanych w poprzednim miesiącu</w:t>
      </w:r>
      <w:r w:rsidR="001978EB">
        <w:rPr>
          <w:shd w:val="clear" w:color="auto" w:fill="FFFFFF"/>
        </w:rPr>
        <w:t>.</w:t>
      </w:r>
      <w:r w:rsidR="009739E2">
        <w:rPr>
          <w:shd w:val="clear" w:color="auto" w:fill="FFFFFF"/>
        </w:rPr>
        <w:t xml:space="preserve"> </w:t>
      </w:r>
    </w:p>
    <w:p w14:paraId="0BF4550D" w14:textId="45BCF51D" w:rsidR="008E374E" w:rsidRDefault="00103D0B" w:rsidP="00582B59">
      <w:pPr>
        <w:pStyle w:val="Tytuwykresu0"/>
        <w:spacing w:after="0"/>
        <w:ind w:left="851" w:hanging="851"/>
      </w:pPr>
      <w:bookmarkStart w:id="5" w:name="_Hlk156312737"/>
      <w:r w:rsidRPr="00C57AAC">
        <w:rPr>
          <w:b w:val="0"/>
          <w:bCs w:val="0"/>
        </w:rPr>
        <mc:AlternateContent>
          <mc:Choice Requires="wps">
            <w:drawing>
              <wp:anchor distT="45720" distB="45720" distL="114300" distR="114300" simplePos="0" relativeHeight="251759616" behindDoc="1" locked="0" layoutInCell="1" allowOverlap="1" wp14:anchorId="0916ADEC" wp14:editId="084FA0E5">
                <wp:simplePos x="0" y="0"/>
                <wp:positionH relativeFrom="column">
                  <wp:posOffset>5257800</wp:posOffset>
                </wp:positionH>
                <wp:positionV relativeFrom="paragraph">
                  <wp:posOffset>875665</wp:posOffset>
                </wp:positionV>
                <wp:extent cx="1801495" cy="1905000"/>
                <wp:effectExtent l="0" t="0" r="0" b="0"/>
                <wp:wrapTight wrapText="bothSides">
                  <wp:wrapPolygon edited="0">
                    <wp:start x="685" y="0"/>
                    <wp:lineTo x="685" y="21384"/>
                    <wp:lineTo x="20785" y="21384"/>
                    <wp:lineTo x="20785" y="0"/>
                    <wp:lineTo x="685" y="0"/>
                  </wp:wrapPolygon>
                </wp:wrapTight>
                <wp:docPr id="4" name="Pole tekstowe 4" descr="Spośród działów przetwórstwa przemysłowego w listopadzie 2025 r. w stosunku do poprzedniego miesiąca najbardziej wzrosły ceny w wytwarzaniu i przetwarzaniu koksu i produktów rafinacji ropy naftowej - o 2,5%. Największy spadek cen odnotowano natomiast w produkcji odzieży – o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1495" cy="1905000"/>
                        </a:xfrm>
                        <a:prstGeom prst="rect">
                          <a:avLst/>
                        </a:prstGeom>
                        <a:noFill/>
                        <a:ln w="9525">
                          <a:noFill/>
                          <a:miter lim="800000"/>
                          <a:headEnd/>
                          <a:tailEnd/>
                        </a:ln>
                      </wps:spPr>
                      <wps:txbx>
                        <w:txbxContent>
                          <w:p w14:paraId="4D3A32E6" w14:textId="5C79F6BC" w:rsidR="00E564B6" w:rsidRPr="003A3F07" w:rsidRDefault="00883E43" w:rsidP="003A3F07">
                            <w:pPr>
                              <w:pStyle w:val="tekstzboku"/>
                            </w:pPr>
                            <w:r w:rsidRPr="003A3F07">
                              <w:t xml:space="preserve">Spośród działów przetwórstwa przemysłowego </w:t>
                            </w:r>
                            <w:r w:rsidR="009739E2">
                              <w:t xml:space="preserve">w </w:t>
                            </w:r>
                            <w:r w:rsidR="00103D0B">
                              <w:t>listopadzie</w:t>
                            </w:r>
                            <w:r w:rsidR="003A3F07" w:rsidRPr="003A3F07">
                              <w:t xml:space="preserve"> </w:t>
                            </w:r>
                            <w:r w:rsidR="009A6731" w:rsidRPr="003A3F07">
                              <w:t>2025</w:t>
                            </w:r>
                            <w:r w:rsidR="00AD2909" w:rsidRPr="003A3F07">
                              <w:t> </w:t>
                            </w:r>
                            <w:r w:rsidR="00E315B8" w:rsidRPr="003A3F07">
                              <w:t>r.</w:t>
                            </w:r>
                            <w:r w:rsidRPr="003A3F07">
                              <w:t xml:space="preserve"> w</w:t>
                            </w:r>
                            <w:r w:rsidR="005B3FDB" w:rsidRPr="003A3F07">
                              <w:t> </w:t>
                            </w:r>
                            <w:r w:rsidRPr="003A3F07">
                              <w:t xml:space="preserve">stosunku do </w:t>
                            </w:r>
                            <w:r w:rsidR="00CC579C" w:rsidRPr="003A3F07">
                              <w:t xml:space="preserve">poprzedniego </w:t>
                            </w:r>
                            <w:r w:rsidRPr="003A3F07">
                              <w:t>miesiąca na</w:t>
                            </w:r>
                            <w:r w:rsidR="003A3F07" w:rsidRPr="003A3F07">
                              <w:t>j</w:t>
                            </w:r>
                            <w:r w:rsidR="003D6E10">
                              <w:t>bardziej</w:t>
                            </w:r>
                            <w:r w:rsidR="003A3F07" w:rsidRPr="003A3F07">
                              <w:t xml:space="preserve"> </w:t>
                            </w:r>
                            <w:r w:rsidR="00103D0B">
                              <w:t>wzrosły ceny w</w:t>
                            </w:r>
                            <w:r w:rsidR="00A73AC2">
                              <w:t xml:space="preserve"> wytwarzaniu i przetwarzaniu koksu i produktów rafinacji ropy naftowej - o 2,5%. </w:t>
                            </w:r>
                            <w:r w:rsidR="007D7146">
                              <w:t>Największy spadek</w:t>
                            </w:r>
                            <w:r w:rsidR="00362301">
                              <w:t xml:space="preserve"> cen odnotowano </w:t>
                            </w:r>
                            <w:r w:rsidR="004B00C2">
                              <w:t xml:space="preserve">natomiast </w:t>
                            </w:r>
                            <w:r w:rsidR="00A73AC2">
                              <w:t>w produkcji odzieży</w:t>
                            </w:r>
                            <w:r w:rsidR="00A73AC2" w:rsidRPr="003A3F07">
                              <w:t xml:space="preserve"> –</w:t>
                            </w:r>
                            <w:r w:rsidR="00A73AC2">
                              <w:t> </w:t>
                            </w:r>
                            <w:r w:rsidR="00A73AC2" w:rsidRPr="003A3F07">
                              <w:t>o </w:t>
                            </w:r>
                            <w:r w:rsidR="00A73AC2">
                              <w:t>1,0%.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916ADEC" id="Pole tekstowe 4" o:spid="_x0000_s1028" type="#_x0000_t202" alt="Spośród działów przetwórstwa przemysłowego w listopadzie 2025 r. w stosunku do poprzedniego miesiąca najbardziej wzrosły ceny w wytwarzaniu i przetwarzaniu koksu i produktów rafinacji ropy naftowej - o 2,5%. Największy spadek cen odnotowano natomiast w produkcji odzieży – o 1,0%." style="position:absolute;left:0;text-align:left;margin-left:414pt;margin-top:68.95pt;width:141.85pt;height:150pt;z-index:-2515568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" filled="f" stroked="f">
                <v:textbox>
                  <w:txbxContent>
                    <w:p w14:paraId="4D3A32E6" w14:textId="5C79F6BC" w:rsidR="00E564B6" w:rsidRPr="003A3F07" w:rsidRDefault="00883E43" w:rsidP="003A3F07">
                      <w:pPr>
                        <w:pStyle w:val="tekstzboku"/>
                      </w:pPr>
                      <w:r w:rsidRPr="003A3F07">
                        <w:t xml:space="preserve">Spośród działów przetwórstwa przemysłowego </w:t>
                      </w:r>
                      <w:r w:rsidR="009739E2">
                        <w:t xml:space="preserve">w </w:t>
                      </w:r>
                      <w:r w:rsidR="00103D0B">
                        <w:t>listopadzie</w:t>
                      </w:r>
                      <w:r w:rsidR="003A3F07" w:rsidRPr="003A3F07">
                        <w:t xml:space="preserve"> </w:t>
                      </w:r>
                      <w:r w:rsidR="009A6731" w:rsidRPr="003A3F07">
                        <w:t>2025</w:t>
                      </w:r>
                      <w:r w:rsidR="00AD2909" w:rsidRPr="003A3F07">
                        <w:t> </w:t>
                      </w:r>
                      <w:r w:rsidR="00E315B8" w:rsidRPr="003A3F07">
                        <w:t>r.</w:t>
                      </w:r>
                      <w:r w:rsidRPr="003A3F07">
                        <w:t xml:space="preserve"> w</w:t>
                      </w:r>
                      <w:r w:rsidR="005B3FDB" w:rsidRPr="003A3F07">
                        <w:t> </w:t>
                      </w:r>
                      <w:r w:rsidRPr="003A3F07">
                        <w:t xml:space="preserve">stosunku do </w:t>
                      </w:r>
                      <w:r w:rsidR="00CC579C" w:rsidRPr="003A3F07">
                        <w:t xml:space="preserve">poprzedniego </w:t>
                      </w:r>
                      <w:r w:rsidRPr="003A3F07">
                        <w:t>miesiąca na</w:t>
                      </w:r>
                      <w:r w:rsidR="003A3F07" w:rsidRPr="003A3F07">
                        <w:t>j</w:t>
                      </w:r>
                      <w:r w:rsidR="003D6E10">
                        <w:t>bardziej</w:t>
                      </w:r>
                      <w:r w:rsidR="003A3F07" w:rsidRPr="003A3F07">
                        <w:t xml:space="preserve"> </w:t>
                      </w:r>
                      <w:r w:rsidR="00103D0B">
                        <w:t>wzrosły ceny w</w:t>
                      </w:r>
                      <w:r w:rsidR="00A73AC2">
                        <w:t xml:space="preserve"> wytwarzaniu i przetwarzaniu koksu i produktów rafinacji ropy naftowej - o 2,5%. </w:t>
                      </w:r>
                      <w:r w:rsidR="007D7146">
                        <w:t>Największy spadek</w:t>
                      </w:r>
                      <w:r w:rsidR="00362301">
                        <w:t xml:space="preserve"> cen odnotowano </w:t>
                      </w:r>
                      <w:r w:rsidR="004B00C2">
                        <w:t xml:space="preserve">natomiast </w:t>
                      </w:r>
                      <w:r w:rsidR="00A73AC2">
                        <w:t>w produkcji odzieży</w:t>
                      </w:r>
                      <w:r w:rsidR="00A73AC2" w:rsidRPr="003A3F07">
                        <w:t xml:space="preserve"> –</w:t>
                      </w:r>
                      <w:r w:rsidR="00A73AC2">
                        <w:t> </w:t>
                      </w:r>
                      <w:r w:rsidR="00A73AC2" w:rsidRPr="003A3F07">
                        <w:t>o </w:t>
                      </w:r>
                      <w:r w:rsidR="00A73AC2">
                        <w:t>1,0%.</w:t>
                      </w:r>
                    </w:p>
                  </w:txbxContent>
                </v:textbox>
                <w10:wrap type="tight"/>
              </v:shape>
            </w:pict>
          </mc:Fallback>
        </mc:AlternateContent>
      </w:r>
      <w:r w:rsidR="00CB1B4D" w:rsidRPr="00C57AAC">
        <w:drawing>
          <wp:anchor distT="0" distB="0" distL="114300" distR="114300" simplePos="0" relativeHeight="251871232" behindDoc="0" locked="0" layoutInCell="1" allowOverlap="1" wp14:anchorId="33D1DDCF" wp14:editId="114419CB">
            <wp:simplePos x="0" y="0"/>
            <wp:positionH relativeFrom="margin">
              <wp:align>left</wp:align>
            </wp:positionH>
            <wp:positionV relativeFrom="paragraph">
              <wp:posOffset>520700</wp:posOffset>
            </wp:positionV>
            <wp:extent cx="5044440" cy="3063240"/>
            <wp:effectExtent l="0" t="0" r="3810" b="3810"/>
            <wp:wrapTopAndBottom/>
            <wp:docPr id="3" name="Wykres 3" descr="Wykres 2. Zmiany cen w sekcji przetwórstwo przemysłowe według działów w listopadzie 2025 r. w porównaniu z poprzednim miesiącem"/>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H relativeFrom="margin">
              <wp14:pctWidth>0</wp14:pctWidth>
            </wp14:sizeRelH>
            <wp14:sizeRelV relativeFrom="margin">
              <wp14:pctHeight>0</wp14:pctHeight>
            </wp14:sizeRelV>
          </wp:anchor>
        </w:drawing>
      </w:r>
      <w:r w:rsidR="004E0DA6" w:rsidRPr="00C57AAC">
        <w:t>Wykres</w:t>
      </w:r>
      <w:r w:rsidR="00D86077" w:rsidRPr="00C57AAC">
        <w:t xml:space="preserve"> </w:t>
      </w:r>
      <w:r w:rsidR="000427C1" w:rsidRPr="00C57AAC">
        <w:t>2</w:t>
      </w:r>
      <w:r w:rsidR="00D86077" w:rsidRPr="00C57AAC">
        <w:t>.</w:t>
      </w:r>
      <w:r w:rsidR="004E0DA6" w:rsidRPr="00C57AAC">
        <w:t xml:space="preserve"> </w:t>
      </w:r>
      <w:r w:rsidR="00CF0A53" w:rsidRPr="00C57AAC">
        <w:t xml:space="preserve">Zmiany cen w </w:t>
      </w:r>
      <w:r w:rsidR="00D8306C" w:rsidRPr="00C57AAC">
        <w:t>sekcji przetwórstwo</w:t>
      </w:r>
      <w:r w:rsidR="00CF0A53" w:rsidRPr="00C57AAC">
        <w:t xml:space="preserve"> przemysłowe według działów </w:t>
      </w:r>
      <w:r w:rsidR="009C2C10">
        <w:t xml:space="preserve">w </w:t>
      </w:r>
      <w:r>
        <w:t>listopadzie</w:t>
      </w:r>
      <w:r w:rsidR="005D0A2E" w:rsidRPr="00C57AAC">
        <w:t xml:space="preserve"> </w:t>
      </w:r>
      <w:r w:rsidR="009A6731" w:rsidRPr="00C57AAC">
        <w:t>2025</w:t>
      </w:r>
      <w:r w:rsidR="006A3BF8" w:rsidRPr="00C57AAC">
        <w:t> </w:t>
      </w:r>
      <w:r w:rsidR="00CF0A53" w:rsidRPr="00C57AAC">
        <w:t>r.</w:t>
      </w:r>
      <w:r w:rsidR="00582B59">
        <w:t xml:space="preserve"> </w:t>
      </w:r>
      <w:r w:rsidR="00C57AAC" w:rsidRPr="00C57AAC">
        <w:t xml:space="preserve">w porównaniu z poprzednim </w:t>
      </w:r>
      <w:r w:rsidR="008E374E" w:rsidRPr="00C57AAC">
        <w:t>miesiąc</w:t>
      </w:r>
      <w:r w:rsidR="00C57AAC" w:rsidRPr="00C57AAC">
        <w:t>em</w:t>
      </w:r>
    </w:p>
    <w:bookmarkEnd w:id="5"/>
    <w:p w14:paraId="376F9151" w14:textId="5306C4E9" w:rsidR="00611E2F" w:rsidRDefault="00611E2F" w:rsidP="00B83095">
      <w:pPr>
        <w:pStyle w:val="Tytuwykresu0"/>
        <w:spacing w:after="0"/>
        <w:ind w:left="851" w:hanging="851"/>
        <w:rPr>
          <w:bCs w:val="0"/>
          <w:shd w:val="clear" w:color="auto" w:fill="FFFFFF"/>
        </w:rPr>
      </w:pPr>
      <w:r>
        <w:rPr>
          <w:shd w:val="clear" w:color="auto" w:fill="FFFFFF"/>
        </w:rPr>
        <w:br w:type="page"/>
      </w:r>
    </w:p>
    <w:p w14:paraId="4E268FBD" w14:textId="47B8B10E" w:rsidR="00AD6966" w:rsidRPr="00811F7F" w:rsidRDefault="00AD6966" w:rsidP="00AD6966">
      <w:r w:rsidRPr="00F7077B">
        <w:rPr>
          <w:rFonts w:eastAsia="Times New Roman" w:cs="Times New Roman"/>
          <w:b/>
          <w:bCs/>
          <w:color w:val="001D77"/>
          <w:szCs w:val="19"/>
          <w:lang w:eastAsia="pl-PL"/>
        </w:rPr>
        <w:lastRenderedPageBreak/>
        <w:t xml:space="preserve">Zmiany cen produkcji sprzedanej przemysłu </w:t>
      </w:r>
      <w:r w:rsidR="009739E2">
        <w:rPr>
          <w:rFonts w:eastAsia="Times New Roman" w:cs="Times New Roman"/>
          <w:b/>
          <w:bCs/>
          <w:color w:val="001D77"/>
          <w:szCs w:val="19"/>
          <w:lang w:eastAsia="pl-PL"/>
        </w:rPr>
        <w:t xml:space="preserve">w </w:t>
      </w:r>
      <w:r w:rsidR="009F506D">
        <w:rPr>
          <w:rFonts w:eastAsia="Times New Roman" w:cs="Times New Roman"/>
          <w:b/>
          <w:bCs/>
          <w:color w:val="001D77"/>
          <w:szCs w:val="19"/>
          <w:lang w:eastAsia="pl-PL"/>
        </w:rPr>
        <w:t>listopadzie</w:t>
      </w:r>
      <w:r>
        <w:rPr>
          <w:rFonts w:eastAsia="Times New Roman" w:cs="Times New Roman"/>
          <w:b/>
          <w:bCs/>
          <w:color w:val="001D77"/>
          <w:szCs w:val="19"/>
          <w:lang w:eastAsia="pl-PL"/>
        </w:rPr>
        <w:t xml:space="preserve"> 2025 r</w:t>
      </w:r>
      <w:r w:rsidRPr="00F7077B">
        <w:rPr>
          <w:rFonts w:eastAsia="Times New Roman" w:cs="Times New Roman"/>
          <w:b/>
          <w:bCs/>
          <w:color w:val="001D77"/>
          <w:szCs w:val="19"/>
          <w:lang w:eastAsia="pl-PL"/>
        </w:rPr>
        <w:t xml:space="preserve">. w porównaniu </w:t>
      </w:r>
      <w:r>
        <w:rPr>
          <w:rFonts w:eastAsia="Times New Roman" w:cs="Times New Roman"/>
          <w:b/>
          <w:bCs/>
          <w:color w:val="001D77"/>
          <w:szCs w:val="19"/>
          <w:lang w:eastAsia="pl-PL"/>
        </w:rPr>
        <w:t>z  analogicznym miesiącem ub. roku</w:t>
      </w:r>
    </w:p>
    <w:p w14:paraId="2A933236" w14:textId="41B6AB30" w:rsidR="00016EAE" w:rsidRDefault="009739E2" w:rsidP="00AD6966">
      <w:pPr>
        <w:rPr>
          <w:bCs/>
          <w:shd w:val="clear" w:color="auto" w:fill="FFFFFF"/>
        </w:rPr>
      </w:pPr>
      <w:r>
        <w:rPr>
          <w:shd w:val="clear" w:color="auto" w:fill="FFFFFF"/>
        </w:rPr>
        <w:t xml:space="preserve">W </w:t>
      </w:r>
      <w:r w:rsidR="009F506D">
        <w:rPr>
          <w:shd w:val="clear" w:color="auto" w:fill="FFFFFF"/>
        </w:rPr>
        <w:t>listopadzie</w:t>
      </w:r>
      <w:r w:rsidR="00582B59">
        <w:rPr>
          <w:shd w:val="clear" w:color="auto" w:fill="FFFFFF"/>
        </w:rPr>
        <w:t xml:space="preserve"> </w:t>
      </w:r>
      <w:r w:rsidR="00AD6966">
        <w:rPr>
          <w:shd w:val="clear" w:color="auto" w:fill="FFFFFF"/>
        </w:rPr>
        <w:t>2025</w:t>
      </w:r>
      <w:r w:rsidR="00AD6966" w:rsidRPr="007969A7">
        <w:rPr>
          <w:shd w:val="clear" w:color="auto" w:fill="FFFFFF"/>
        </w:rPr>
        <w:t xml:space="preserve"> r.</w:t>
      </w:r>
      <w:r w:rsidR="00AD6966" w:rsidRPr="000377B7">
        <w:rPr>
          <w:shd w:val="clear" w:color="auto" w:fill="FFFFFF"/>
        </w:rPr>
        <w:t xml:space="preserve"> </w:t>
      </w:r>
      <w:r w:rsidR="00AD6966" w:rsidRPr="000F41EB">
        <w:rPr>
          <w:shd w:val="clear" w:color="auto" w:fill="FFFFFF"/>
        </w:rPr>
        <w:t>ceny produkcji sprzedanej przemysłu</w:t>
      </w:r>
      <w:r w:rsidR="00AD6966">
        <w:rPr>
          <w:shd w:val="clear" w:color="auto" w:fill="FFFFFF"/>
        </w:rPr>
        <w:t xml:space="preserve"> </w:t>
      </w:r>
      <w:r w:rsidR="00AD6966" w:rsidRPr="00645D98">
        <w:rPr>
          <w:shd w:val="clear" w:color="auto" w:fill="FFFFFF"/>
        </w:rPr>
        <w:t>w</w:t>
      </w:r>
      <w:r w:rsidR="00AD6966" w:rsidRPr="00B70A76">
        <w:rPr>
          <w:shd w:val="clear" w:color="auto" w:fill="FFFFFF"/>
        </w:rPr>
        <w:t xml:space="preserve"> </w:t>
      </w:r>
      <w:r w:rsidR="00AD6966">
        <w:rPr>
          <w:shd w:val="clear" w:color="auto" w:fill="FFFFFF"/>
        </w:rPr>
        <w:t xml:space="preserve">porównaniu </w:t>
      </w:r>
      <w:r w:rsidR="00AD6966" w:rsidRPr="00EB239B">
        <w:rPr>
          <w:shd w:val="clear" w:color="auto" w:fill="FFFFFF"/>
        </w:rPr>
        <w:t xml:space="preserve">z </w:t>
      </w:r>
      <w:r w:rsidR="00AD6966">
        <w:rPr>
          <w:shd w:val="clear" w:color="auto" w:fill="FFFFFF"/>
        </w:rPr>
        <w:t>analogicznym miesiącem ub. roku obniżono</w:t>
      </w:r>
      <w:r w:rsidR="00AD6966" w:rsidRPr="00F411EC">
        <w:rPr>
          <w:shd w:val="clear" w:color="auto" w:fill="FFFFFF"/>
        </w:rPr>
        <w:t xml:space="preserve"> </w:t>
      </w:r>
      <w:r w:rsidR="00AD6966" w:rsidRPr="00295375">
        <w:rPr>
          <w:shd w:val="clear" w:color="auto" w:fill="FFFFFF"/>
        </w:rPr>
        <w:t xml:space="preserve">o </w:t>
      </w:r>
      <w:r>
        <w:rPr>
          <w:shd w:val="clear" w:color="auto" w:fill="FFFFFF"/>
        </w:rPr>
        <w:t>2</w:t>
      </w:r>
      <w:r w:rsidR="00AD6966">
        <w:rPr>
          <w:shd w:val="clear" w:color="auto" w:fill="FFFFFF"/>
        </w:rPr>
        <w:t>,</w:t>
      </w:r>
      <w:r w:rsidR="009F506D">
        <w:rPr>
          <w:shd w:val="clear" w:color="auto" w:fill="FFFFFF"/>
        </w:rPr>
        <w:t>4</w:t>
      </w:r>
      <w:r w:rsidR="00AD6966" w:rsidRPr="00295375">
        <w:rPr>
          <w:shd w:val="clear" w:color="auto" w:fill="FFFFFF"/>
        </w:rPr>
        <w:t>%.</w:t>
      </w:r>
      <w:r w:rsidR="004B00C2">
        <w:rPr>
          <w:shd w:val="clear" w:color="auto" w:fill="FFFFFF"/>
        </w:rPr>
        <w:t xml:space="preserve"> </w:t>
      </w:r>
      <w:r w:rsidR="00016EAE">
        <w:rPr>
          <w:bCs/>
          <w:shd w:val="clear" w:color="auto" w:fill="FFFFFF"/>
        </w:rPr>
        <w:t>Trend spadkowy obserwowany jest od lipca 2023 r. W</w:t>
      </w:r>
      <w:r w:rsidR="007A04E0">
        <w:rPr>
          <w:bCs/>
          <w:shd w:val="clear" w:color="auto" w:fill="FFFFFF"/>
        </w:rPr>
        <w:t> </w:t>
      </w:r>
      <w:r w:rsidR="00016EAE">
        <w:rPr>
          <w:bCs/>
          <w:shd w:val="clear" w:color="auto" w:fill="FFFFFF"/>
        </w:rPr>
        <w:t xml:space="preserve"> 2025 r. tempo zmian cen utrzymuje się jednak na niższym poziomie niż miało to miejsce w</w:t>
      </w:r>
      <w:r w:rsidR="007A04E0">
        <w:rPr>
          <w:bCs/>
          <w:shd w:val="clear" w:color="auto" w:fill="FFFFFF"/>
        </w:rPr>
        <w:t> </w:t>
      </w:r>
      <w:r w:rsidR="00016EAE">
        <w:rPr>
          <w:bCs/>
          <w:shd w:val="clear" w:color="auto" w:fill="FFFFFF"/>
        </w:rPr>
        <w:t xml:space="preserve"> ubiegłym roku.</w:t>
      </w:r>
    </w:p>
    <w:p w14:paraId="6BFA0247" w14:textId="458880C1" w:rsidR="000427C1" w:rsidRDefault="000427C1" w:rsidP="00D91EDB">
      <w:pPr>
        <w:pStyle w:val="Tytuwykresu0"/>
      </w:pPr>
      <w:r>
        <w:t>W</w:t>
      </w:r>
      <w:r w:rsidRPr="00CD555D">
        <w:t xml:space="preserve">ykres </w:t>
      </w:r>
      <w:r>
        <w:t>3</w:t>
      </w:r>
      <w:r w:rsidRPr="00CD555D">
        <w:t>.</w:t>
      </w:r>
      <w:r w:rsidRPr="001D4B5F">
        <w:t xml:space="preserve"> Zmiany cen produkcji sprzedanej przemysłu</w:t>
      </w:r>
      <w:r w:rsidR="00C57AAC">
        <w:t xml:space="preserve"> w porównaniu z analogicznym okresem poprzedniego roku</w:t>
      </w:r>
    </w:p>
    <w:p w14:paraId="4C5981A0" w14:textId="1DC7DAC7" w:rsidR="000427C1" w:rsidRDefault="00736BF0" w:rsidP="00D91EDB">
      <w:pPr>
        <w:pStyle w:val="Tytuwykresu0"/>
        <w:spacing w:before="120"/>
      </w:pPr>
      <w:r>
        <w:drawing>
          <wp:anchor distT="0" distB="0" distL="114300" distR="114300" simplePos="0" relativeHeight="251873280" behindDoc="0" locked="0" layoutInCell="1" allowOverlap="1" wp14:anchorId="796CCBAA" wp14:editId="121A62C2">
            <wp:simplePos x="0" y="0"/>
            <wp:positionH relativeFrom="margin">
              <wp:align>left</wp:align>
            </wp:positionH>
            <wp:positionV relativeFrom="paragraph">
              <wp:posOffset>159385</wp:posOffset>
            </wp:positionV>
            <wp:extent cx="5006975" cy="2641600"/>
            <wp:effectExtent l="0" t="0" r="3175" b="6350"/>
            <wp:wrapTopAndBottom/>
            <wp:docPr id="32" name="Wykres 32" descr="Wykres 3. Zmiany cen produkcji sprzedanej przemysłu w porównaniu z analogicznym okresem poprzedniego roku"/>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margin">
              <wp14:pctWidth>0</wp14:pctWidth>
            </wp14:sizeRelH>
            <wp14:sizeRelV relativeFrom="margin">
              <wp14:pctHeight>0</wp14:pctHeight>
            </wp14:sizeRelV>
          </wp:anchor>
        </w:drawing>
      </w:r>
      <w:r w:rsidR="0038690E" w:rsidRPr="00823593">
        <w:rPr>
          <w:b w:val="0"/>
          <w:spacing w:val="-2"/>
          <w:szCs w:val="19"/>
        </w:rPr>
        <mc:AlternateContent>
          <mc:Choice Requires="wps">
            <w:drawing>
              <wp:anchor distT="45720" distB="45720" distL="114300" distR="114300" simplePos="0" relativeHeight="251860992" behindDoc="1" locked="0" layoutInCell="1" allowOverlap="1" wp14:anchorId="38FA74F6" wp14:editId="76791B1A">
                <wp:simplePos x="0" y="0"/>
                <wp:positionH relativeFrom="column">
                  <wp:posOffset>5287010</wp:posOffset>
                </wp:positionH>
                <wp:positionV relativeFrom="paragraph">
                  <wp:posOffset>774065</wp:posOffset>
                </wp:positionV>
                <wp:extent cx="1725295" cy="988060"/>
                <wp:effectExtent l="0" t="0" r="0" b="2540"/>
                <wp:wrapTight wrapText="bothSides">
                  <wp:wrapPolygon edited="0">
                    <wp:start x="715" y="0"/>
                    <wp:lineTo x="715" y="21239"/>
                    <wp:lineTo x="20749" y="21239"/>
                    <wp:lineTo x="20749" y="0"/>
                    <wp:lineTo x="715" y="0"/>
                  </wp:wrapPolygon>
                </wp:wrapTight>
                <wp:docPr id="31" name="Pole tekstowe 31" descr="W listopadzie 2025 r. obserwowano spadek cen produkcji sprzedanej przemysłu w skali roku o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988060"/>
                        </a:xfrm>
                        <a:prstGeom prst="rect">
                          <a:avLst/>
                        </a:prstGeom>
                        <a:noFill/>
                        <a:ln w="9525">
                          <a:noFill/>
                          <a:miter lim="800000"/>
                          <a:headEnd/>
                          <a:tailEnd/>
                        </a:ln>
                      </wps:spPr>
                      <wps:txbx>
                        <w:txbxContent>
                          <w:p w14:paraId="6A8B90BD" w14:textId="3B573C98" w:rsidR="000427C1" w:rsidRPr="005C0F80" w:rsidRDefault="009739E2" w:rsidP="000427C1">
                            <w:pPr>
                              <w:pStyle w:val="tekstzboku"/>
                              <w:rPr>
                                <w:iCs/>
                              </w:rPr>
                            </w:pPr>
                            <w:r>
                              <w:rPr>
                                <w:iCs/>
                              </w:rPr>
                              <w:t xml:space="preserve">W </w:t>
                            </w:r>
                            <w:r w:rsidR="009F506D">
                              <w:rPr>
                                <w:iCs/>
                              </w:rPr>
                              <w:t>listopadzie</w:t>
                            </w:r>
                            <w:r w:rsidR="000427C1">
                              <w:rPr>
                                <w:iCs/>
                              </w:rPr>
                              <w:t xml:space="preserve"> 2025 r. obserwowano spadek cen produkcji sprzedanej przemysłu w skali roku o</w:t>
                            </w:r>
                            <w:r w:rsidR="002C7B43">
                              <w:rPr>
                                <w:iCs/>
                              </w:rPr>
                              <w:t> </w:t>
                            </w:r>
                            <w:r>
                              <w:rPr>
                                <w:iCs/>
                              </w:rPr>
                              <w:t>2</w:t>
                            </w:r>
                            <w:r w:rsidR="000427C1">
                              <w:rPr>
                                <w:iCs/>
                              </w:rPr>
                              <w:t>,</w:t>
                            </w:r>
                            <w:r w:rsidR="009F506D">
                              <w:rPr>
                                <w:iCs/>
                              </w:rPr>
                              <w:t>4</w:t>
                            </w:r>
                            <w:r w:rsidR="000427C1">
                              <w:rPr>
                                <w:iCs/>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8FA74F6" id="Pole tekstowe 31" o:spid="_x0000_s1029" type="#_x0000_t202" alt="W listopadzie 2025 r. obserwowano spadek cen produkcji sprzedanej przemysłu w skali roku o 2,4%" style="position:absolute;margin-left:416.3pt;margin-top:60.95pt;width:135.85pt;height:77.8pt;z-index:-2514554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" filled="f" stroked="f">
                <v:textbox>
                  <w:txbxContent>
                    <w:p w14:paraId="6A8B90BD" w14:textId="3B573C98" w:rsidR="000427C1" w:rsidRPr="005C0F80" w:rsidRDefault="009739E2" w:rsidP="000427C1">
                      <w:pPr>
                        <w:pStyle w:val="tekstzboku"/>
                        <w:rPr>
                          <w:iCs/>
                        </w:rPr>
                      </w:pPr>
                      <w:r>
                        <w:rPr>
                          <w:iCs/>
                        </w:rPr>
                        <w:t xml:space="preserve">W </w:t>
                      </w:r>
                      <w:r w:rsidR="009F506D">
                        <w:rPr>
                          <w:iCs/>
                        </w:rPr>
                        <w:t>listopadzie</w:t>
                      </w:r>
                      <w:r w:rsidR="000427C1">
                        <w:rPr>
                          <w:iCs/>
                        </w:rPr>
                        <w:t xml:space="preserve"> 2025 r. obserwowano spadek cen produkcji sprzedanej przemysłu w skali roku o</w:t>
                      </w:r>
                      <w:r w:rsidR="002C7B43">
                        <w:rPr>
                          <w:iCs/>
                        </w:rPr>
                        <w:t> </w:t>
                      </w:r>
                      <w:r>
                        <w:rPr>
                          <w:iCs/>
                        </w:rPr>
                        <w:t>2</w:t>
                      </w:r>
                      <w:r w:rsidR="000427C1">
                        <w:rPr>
                          <w:iCs/>
                        </w:rPr>
                        <w:t>,</w:t>
                      </w:r>
                      <w:r w:rsidR="009F506D">
                        <w:rPr>
                          <w:iCs/>
                        </w:rPr>
                        <w:t>4</w:t>
                      </w:r>
                      <w:r w:rsidR="000427C1">
                        <w:rPr>
                          <w:iCs/>
                        </w:rPr>
                        <w:t>%</w:t>
                      </w:r>
                    </w:p>
                  </w:txbxContent>
                </v:textbox>
                <w10:wrap type="tight"/>
              </v:shape>
            </w:pict>
          </mc:Fallback>
        </mc:AlternateContent>
      </w:r>
    </w:p>
    <w:p w14:paraId="20CEA893" w14:textId="78FA244D" w:rsidR="002C7B43" w:rsidRDefault="002C7B43" w:rsidP="000F41EB">
      <w:pPr>
        <w:spacing w:after="0"/>
        <w:rPr>
          <w:shd w:val="clear" w:color="auto" w:fill="FFFFFF"/>
        </w:rPr>
      </w:pPr>
      <w:r>
        <w:rPr>
          <w:shd w:val="clear" w:color="auto" w:fill="FFFFFF"/>
        </w:rPr>
        <w:t>Spośród sekcji największy spadek cen odnotowano w </w:t>
      </w:r>
      <w:r w:rsidR="0038690E" w:rsidRPr="00B84F73">
        <w:rPr>
          <w:b/>
          <w:shd w:val="clear" w:color="auto" w:fill="FFFFFF"/>
        </w:rPr>
        <w:t>górnictw</w:t>
      </w:r>
      <w:r w:rsidR="0038690E">
        <w:rPr>
          <w:b/>
          <w:shd w:val="clear" w:color="auto" w:fill="FFFFFF"/>
        </w:rPr>
        <w:t>ie</w:t>
      </w:r>
      <w:r w:rsidR="0038690E" w:rsidRPr="00B84F73">
        <w:rPr>
          <w:b/>
          <w:shd w:val="clear" w:color="auto" w:fill="FFFFFF"/>
        </w:rPr>
        <w:t xml:space="preserve"> i wydobywani</w:t>
      </w:r>
      <w:r w:rsidR="0038690E">
        <w:rPr>
          <w:b/>
          <w:shd w:val="clear" w:color="auto" w:fill="FFFFFF"/>
        </w:rPr>
        <w:t>u</w:t>
      </w:r>
      <w:r w:rsidR="00152CEF">
        <w:rPr>
          <w:b/>
          <w:shd w:val="clear" w:color="auto" w:fill="FFFFFF"/>
        </w:rPr>
        <w:t xml:space="preserve"> </w:t>
      </w:r>
      <w:r>
        <w:rPr>
          <w:shd w:val="clear" w:color="auto" w:fill="FFFFFF"/>
        </w:rPr>
        <w:t xml:space="preserve">– o </w:t>
      </w:r>
      <w:r w:rsidR="00813BB9">
        <w:rPr>
          <w:shd w:val="clear" w:color="auto" w:fill="FFFFFF"/>
        </w:rPr>
        <w:t>4</w:t>
      </w:r>
      <w:r w:rsidR="009F506D">
        <w:rPr>
          <w:shd w:val="clear" w:color="auto" w:fill="FFFFFF"/>
        </w:rPr>
        <w:t>,</w:t>
      </w:r>
      <w:r w:rsidR="00813BB9">
        <w:rPr>
          <w:shd w:val="clear" w:color="auto" w:fill="FFFFFF"/>
        </w:rPr>
        <w:t>6</w:t>
      </w:r>
      <w:r>
        <w:rPr>
          <w:shd w:val="clear" w:color="auto" w:fill="FFFFFF"/>
        </w:rPr>
        <w:t xml:space="preserve">% </w:t>
      </w:r>
      <w:r w:rsidR="0038690E">
        <w:rPr>
          <w:shd w:val="clear" w:color="auto" w:fill="FFFFFF"/>
        </w:rPr>
        <w:t>(w</w:t>
      </w:r>
      <w:r w:rsidR="007A04E0">
        <w:rPr>
          <w:shd w:val="clear" w:color="auto" w:fill="FFFFFF"/>
        </w:rPr>
        <w:t> </w:t>
      </w:r>
      <w:r w:rsidR="0038690E">
        <w:rPr>
          <w:shd w:val="clear" w:color="auto" w:fill="FFFFFF"/>
        </w:rPr>
        <w:t xml:space="preserve">tym w </w:t>
      </w:r>
      <w:r w:rsidR="0038690E" w:rsidRPr="00B43AD5">
        <w:rPr>
          <w:shd w:val="clear" w:color="auto" w:fill="FFFFFF"/>
        </w:rPr>
        <w:t>wydobywani</w:t>
      </w:r>
      <w:r w:rsidR="0038690E">
        <w:rPr>
          <w:shd w:val="clear" w:color="auto" w:fill="FFFFFF"/>
        </w:rPr>
        <w:t>u</w:t>
      </w:r>
      <w:r w:rsidR="0038690E" w:rsidRPr="00B43AD5">
        <w:rPr>
          <w:shd w:val="clear" w:color="auto" w:fill="FFFFFF"/>
        </w:rPr>
        <w:t xml:space="preserve"> węgla kamiennego i węgla brunatnego (lignitu) </w:t>
      </w:r>
      <w:r w:rsidR="0038690E">
        <w:rPr>
          <w:shd w:val="clear" w:color="auto" w:fill="FFFFFF"/>
        </w:rPr>
        <w:t xml:space="preserve">ceny spadły </w:t>
      </w:r>
      <w:r w:rsidR="0038690E" w:rsidRPr="00B43AD5">
        <w:rPr>
          <w:shd w:val="clear" w:color="auto" w:fill="FFFFFF"/>
        </w:rPr>
        <w:t xml:space="preserve">o </w:t>
      </w:r>
      <w:r w:rsidR="00CB1B4D">
        <w:rPr>
          <w:shd w:val="clear" w:color="auto" w:fill="FFFFFF"/>
        </w:rPr>
        <w:t>15,3</w:t>
      </w:r>
      <w:r w:rsidR="0038690E" w:rsidRPr="00B43AD5">
        <w:rPr>
          <w:shd w:val="clear" w:color="auto" w:fill="FFFFFF"/>
        </w:rPr>
        <w:t>%</w:t>
      </w:r>
      <w:r w:rsidR="0038690E">
        <w:rPr>
          <w:shd w:val="clear" w:color="auto" w:fill="FFFFFF"/>
        </w:rPr>
        <w:t xml:space="preserve">, </w:t>
      </w:r>
      <w:r w:rsidR="00503D91">
        <w:rPr>
          <w:shd w:val="clear" w:color="auto" w:fill="FFFFFF"/>
        </w:rPr>
        <w:t>p</w:t>
      </w:r>
      <w:r w:rsidR="003A3F07">
        <w:rPr>
          <w:shd w:val="clear" w:color="auto" w:fill="FFFFFF"/>
        </w:rPr>
        <w:t xml:space="preserve">rzy wzroście </w:t>
      </w:r>
      <w:r w:rsidR="0038690E">
        <w:rPr>
          <w:shd w:val="clear" w:color="auto" w:fill="FFFFFF"/>
        </w:rPr>
        <w:t xml:space="preserve">w </w:t>
      </w:r>
      <w:r w:rsidR="0038690E" w:rsidRPr="00B43AD5">
        <w:rPr>
          <w:shd w:val="clear" w:color="auto" w:fill="FFFFFF"/>
        </w:rPr>
        <w:t>górnictwie rud metali</w:t>
      </w:r>
      <w:r w:rsidR="0038690E">
        <w:rPr>
          <w:shd w:val="clear" w:color="auto" w:fill="FFFFFF"/>
        </w:rPr>
        <w:t xml:space="preserve"> – o </w:t>
      </w:r>
      <w:r w:rsidR="009F506D">
        <w:rPr>
          <w:shd w:val="clear" w:color="auto" w:fill="FFFFFF"/>
        </w:rPr>
        <w:t>3,0</w:t>
      </w:r>
      <w:r w:rsidR="0038690E">
        <w:rPr>
          <w:shd w:val="clear" w:color="auto" w:fill="FFFFFF"/>
        </w:rPr>
        <w:t>%)</w:t>
      </w:r>
      <w:r w:rsidR="00252F2F">
        <w:rPr>
          <w:shd w:val="clear" w:color="auto" w:fill="FFFFFF"/>
        </w:rPr>
        <w:t xml:space="preserve">. </w:t>
      </w:r>
      <w:r w:rsidR="00D04CE9">
        <w:rPr>
          <w:shd w:val="clear" w:color="auto" w:fill="FFFFFF"/>
        </w:rPr>
        <w:t>Obniżono również ceny</w:t>
      </w:r>
      <w:r w:rsidR="00252F2F">
        <w:rPr>
          <w:shd w:val="clear" w:color="auto" w:fill="FFFFFF"/>
        </w:rPr>
        <w:t xml:space="preserve"> w sekcji</w:t>
      </w:r>
      <w:r w:rsidR="0038690E">
        <w:rPr>
          <w:shd w:val="clear" w:color="auto" w:fill="FFFFFF"/>
        </w:rPr>
        <w:t xml:space="preserve"> </w:t>
      </w:r>
      <w:r w:rsidR="00D04CE9" w:rsidRPr="00B4064D">
        <w:rPr>
          <w:b/>
          <w:shd w:val="clear" w:color="auto" w:fill="FFFFFF"/>
        </w:rPr>
        <w:t>przetwórstw</w:t>
      </w:r>
      <w:r w:rsidR="00BC7C14">
        <w:rPr>
          <w:b/>
          <w:shd w:val="clear" w:color="auto" w:fill="FFFFFF"/>
        </w:rPr>
        <w:t>o</w:t>
      </w:r>
      <w:r w:rsidR="00D04CE9" w:rsidRPr="00B4064D">
        <w:rPr>
          <w:b/>
          <w:shd w:val="clear" w:color="auto" w:fill="FFFFFF"/>
        </w:rPr>
        <w:t xml:space="preserve"> </w:t>
      </w:r>
      <w:r w:rsidR="00D04CE9" w:rsidRPr="00C378CF">
        <w:rPr>
          <w:b/>
          <w:shd w:val="clear" w:color="auto" w:fill="FFFFFF"/>
        </w:rPr>
        <w:t>przemysłow</w:t>
      </w:r>
      <w:r w:rsidR="00BC7C14">
        <w:rPr>
          <w:b/>
          <w:shd w:val="clear" w:color="auto" w:fill="FFFFFF"/>
        </w:rPr>
        <w:t>e</w:t>
      </w:r>
      <w:r w:rsidR="00D04CE9">
        <w:rPr>
          <w:shd w:val="clear" w:color="auto" w:fill="FFFFFF"/>
        </w:rPr>
        <w:t xml:space="preserve"> – </w:t>
      </w:r>
      <w:r w:rsidR="00D04CE9" w:rsidRPr="00B84F73">
        <w:rPr>
          <w:shd w:val="clear" w:color="auto" w:fill="FFFFFF"/>
        </w:rPr>
        <w:t xml:space="preserve">o </w:t>
      </w:r>
      <w:r w:rsidR="00CB1B4D">
        <w:rPr>
          <w:shd w:val="clear" w:color="auto" w:fill="FFFFFF"/>
        </w:rPr>
        <w:t>2,</w:t>
      </w:r>
      <w:r w:rsidR="00B75D1C">
        <w:rPr>
          <w:shd w:val="clear" w:color="auto" w:fill="FFFFFF"/>
        </w:rPr>
        <w:t>4</w:t>
      </w:r>
      <w:r w:rsidR="00D04CE9" w:rsidRPr="00B84F73">
        <w:rPr>
          <w:shd w:val="clear" w:color="auto" w:fill="FFFFFF"/>
        </w:rPr>
        <w:t>%</w:t>
      </w:r>
      <w:r w:rsidR="007A04E0" w:rsidRPr="007A04E0">
        <w:rPr>
          <w:b/>
          <w:shd w:val="clear" w:color="auto" w:fill="FFFFFF"/>
        </w:rPr>
        <w:t xml:space="preserve"> </w:t>
      </w:r>
      <w:r w:rsidR="007A04E0">
        <w:rPr>
          <w:shd w:val="clear" w:color="auto" w:fill="FFFFFF"/>
        </w:rPr>
        <w:t xml:space="preserve">oraz w </w:t>
      </w:r>
      <w:r w:rsidR="007A04E0" w:rsidRPr="00C555F9">
        <w:rPr>
          <w:b/>
          <w:shd w:val="clear" w:color="auto" w:fill="FFFFFF"/>
        </w:rPr>
        <w:t>wytwarzani</w:t>
      </w:r>
      <w:r w:rsidR="007A04E0">
        <w:rPr>
          <w:b/>
          <w:shd w:val="clear" w:color="auto" w:fill="FFFFFF"/>
        </w:rPr>
        <w:t xml:space="preserve">u </w:t>
      </w:r>
      <w:r w:rsidR="007A04E0" w:rsidRPr="00C555F9">
        <w:rPr>
          <w:b/>
          <w:shd w:val="clear" w:color="auto" w:fill="FFFFFF"/>
        </w:rPr>
        <w:t>i</w:t>
      </w:r>
      <w:r w:rsidR="007A04E0">
        <w:rPr>
          <w:b/>
          <w:shd w:val="clear" w:color="auto" w:fill="FFFFFF"/>
        </w:rPr>
        <w:t> </w:t>
      </w:r>
      <w:r w:rsidR="007A04E0" w:rsidRPr="00C555F9">
        <w:rPr>
          <w:b/>
          <w:shd w:val="clear" w:color="auto" w:fill="FFFFFF"/>
        </w:rPr>
        <w:t xml:space="preserve"> zaopatrywani</w:t>
      </w:r>
      <w:r w:rsidR="007A04E0">
        <w:rPr>
          <w:b/>
          <w:shd w:val="clear" w:color="auto" w:fill="FFFFFF"/>
        </w:rPr>
        <w:t>u</w:t>
      </w:r>
      <w:r w:rsidR="007A04E0" w:rsidRPr="00C555F9">
        <w:rPr>
          <w:b/>
          <w:shd w:val="clear" w:color="auto" w:fill="FFFFFF"/>
        </w:rPr>
        <w:t xml:space="preserve"> w</w:t>
      </w:r>
      <w:r w:rsidR="007A04E0">
        <w:rPr>
          <w:b/>
          <w:shd w:val="clear" w:color="auto" w:fill="FFFFFF"/>
        </w:rPr>
        <w:t> </w:t>
      </w:r>
      <w:r w:rsidR="007A04E0" w:rsidRPr="00C555F9">
        <w:rPr>
          <w:b/>
          <w:shd w:val="clear" w:color="auto" w:fill="FFFFFF"/>
        </w:rPr>
        <w:t>energię elektryczną, gaz, parę wodną i gorącą wodę</w:t>
      </w:r>
      <w:r w:rsidR="007A04E0" w:rsidRPr="00C555F9">
        <w:rPr>
          <w:shd w:val="clear" w:color="auto" w:fill="FFFFFF"/>
        </w:rPr>
        <w:t xml:space="preserve"> </w:t>
      </w:r>
      <w:r w:rsidR="007A04E0">
        <w:rPr>
          <w:shd w:val="clear" w:color="auto" w:fill="FFFFFF"/>
        </w:rPr>
        <w:t>– o </w:t>
      </w:r>
      <w:r w:rsidR="00CB1B4D">
        <w:rPr>
          <w:shd w:val="clear" w:color="auto" w:fill="FFFFFF"/>
        </w:rPr>
        <w:t>1,</w:t>
      </w:r>
      <w:r w:rsidR="00B75D1C">
        <w:rPr>
          <w:shd w:val="clear" w:color="auto" w:fill="FFFFFF"/>
        </w:rPr>
        <w:t>9</w:t>
      </w:r>
      <w:r w:rsidR="007A04E0">
        <w:rPr>
          <w:shd w:val="clear" w:color="auto" w:fill="FFFFFF"/>
        </w:rPr>
        <w:t>%</w:t>
      </w:r>
      <w:r w:rsidR="00BC7C14">
        <w:rPr>
          <w:shd w:val="clear" w:color="auto" w:fill="FFFFFF"/>
        </w:rPr>
        <w:t>.</w:t>
      </w:r>
    </w:p>
    <w:p w14:paraId="3325D3E3" w14:textId="1770929F" w:rsidR="002C7B43" w:rsidRDefault="002C7B43" w:rsidP="000F41EB">
      <w:pPr>
        <w:spacing w:after="0"/>
        <w:rPr>
          <w:shd w:val="clear" w:color="auto" w:fill="FFFFFF"/>
        </w:rPr>
      </w:pPr>
      <w:r>
        <w:rPr>
          <w:bCs/>
          <w:shd w:val="clear" w:color="auto" w:fill="FFFFFF"/>
        </w:rPr>
        <w:t xml:space="preserve">Wyższe niż </w:t>
      </w:r>
      <w:r w:rsidR="00CB1B4D">
        <w:rPr>
          <w:bCs/>
          <w:shd w:val="clear" w:color="auto" w:fill="FFFFFF"/>
        </w:rPr>
        <w:t xml:space="preserve">w </w:t>
      </w:r>
      <w:r w:rsidR="00B75D1C">
        <w:rPr>
          <w:bCs/>
          <w:shd w:val="clear" w:color="auto" w:fill="FFFFFF"/>
        </w:rPr>
        <w:t>listopadzie</w:t>
      </w:r>
      <w:r>
        <w:rPr>
          <w:bCs/>
          <w:shd w:val="clear" w:color="auto" w:fill="FFFFFF"/>
        </w:rPr>
        <w:t xml:space="preserve"> </w:t>
      </w:r>
      <w:r w:rsidR="00375446">
        <w:rPr>
          <w:bCs/>
          <w:shd w:val="clear" w:color="auto" w:fill="FFFFFF"/>
        </w:rPr>
        <w:t xml:space="preserve">ub. </w:t>
      </w:r>
      <w:r>
        <w:rPr>
          <w:bCs/>
          <w:shd w:val="clear" w:color="auto" w:fill="FFFFFF"/>
        </w:rPr>
        <w:t>roku były natomiast ceny w</w:t>
      </w:r>
      <w:r w:rsidRPr="00B43AD5">
        <w:rPr>
          <w:shd w:val="clear" w:color="auto" w:fill="FFFFFF"/>
        </w:rPr>
        <w:t xml:space="preserve"> sekcji</w:t>
      </w:r>
      <w:r w:rsidRPr="00B43AD5">
        <w:rPr>
          <w:b/>
          <w:shd w:val="clear" w:color="auto" w:fill="FFFFFF"/>
        </w:rPr>
        <w:t xml:space="preserve"> </w:t>
      </w:r>
      <w:r w:rsidRPr="00B84F73">
        <w:rPr>
          <w:b/>
          <w:shd w:val="clear" w:color="auto" w:fill="FFFFFF"/>
        </w:rPr>
        <w:t>dostawa wody; gospodarowanie ściekami i</w:t>
      </w:r>
      <w:r>
        <w:rPr>
          <w:b/>
          <w:shd w:val="clear" w:color="auto" w:fill="FFFFFF"/>
        </w:rPr>
        <w:t> </w:t>
      </w:r>
      <w:r w:rsidRPr="00B84F73">
        <w:rPr>
          <w:b/>
          <w:shd w:val="clear" w:color="auto" w:fill="FFFFFF"/>
        </w:rPr>
        <w:t>odpadami; rekultywacja</w:t>
      </w:r>
      <w:r w:rsidRPr="00B84F73">
        <w:rPr>
          <w:bCs/>
          <w:shd w:val="clear" w:color="auto" w:fill="FFFFFF"/>
        </w:rPr>
        <w:t xml:space="preserve"> </w:t>
      </w:r>
      <w:r>
        <w:rPr>
          <w:shd w:val="clear" w:color="auto" w:fill="FFFFFF"/>
        </w:rPr>
        <w:t xml:space="preserve">– </w:t>
      </w:r>
      <w:r w:rsidRPr="00B84F73">
        <w:rPr>
          <w:bCs/>
          <w:shd w:val="clear" w:color="auto" w:fill="FFFFFF"/>
        </w:rPr>
        <w:t>o </w:t>
      </w:r>
      <w:r w:rsidR="00B75D1C">
        <w:rPr>
          <w:bCs/>
          <w:shd w:val="clear" w:color="auto" w:fill="FFFFFF"/>
        </w:rPr>
        <w:t>1,5</w:t>
      </w:r>
      <w:r>
        <w:rPr>
          <w:bCs/>
          <w:shd w:val="clear" w:color="auto" w:fill="FFFFFF"/>
        </w:rPr>
        <w:t>%</w:t>
      </w:r>
      <w:r w:rsidR="00252F2F">
        <w:rPr>
          <w:bCs/>
          <w:shd w:val="clear" w:color="auto" w:fill="FFFFFF"/>
        </w:rPr>
        <w:t>.</w:t>
      </w:r>
    </w:p>
    <w:p w14:paraId="4D3E860D" w14:textId="268D1CB6" w:rsidR="00EE1130" w:rsidRPr="0066387C" w:rsidRDefault="0066387C" w:rsidP="001B10C5">
      <w:pPr>
        <w:pStyle w:val="Tytuwykresu0"/>
        <w:ind w:left="851" w:hanging="851"/>
      </w:pPr>
      <w:bookmarkStart w:id="6" w:name="_Hlk206416755"/>
      <w:r>
        <w:t>Wykres</w:t>
      </w:r>
      <w:r w:rsidR="00D86077">
        <w:t xml:space="preserve"> </w:t>
      </w:r>
      <w:r w:rsidR="000427C1">
        <w:t>4</w:t>
      </w:r>
      <w:r w:rsidR="00D86077">
        <w:t>.</w:t>
      </w:r>
      <w:r>
        <w:t xml:space="preserve"> </w:t>
      </w:r>
      <w:r w:rsidR="00EE1130" w:rsidRPr="00CF0A53">
        <w:t xml:space="preserve">Zmiany cen w </w:t>
      </w:r>
      <w:r w:rsidR="00437615">
        <w:t>sekcji przetwórstw</w:t>
      </w:r>
      <w:r w:rsidR="00466D1E">
        <w:t>o</w:t>
      </w:r>
      <w:r w:rsidR="00437615">
        <w:t xml:space="preserve"> </w:t>
      </w:r>
      <w:r w:rsidR="00EE1130" w:rsidRPr="00CF0A53">
        <w:t xml:space="preserve">przemysłowe według działów </w:t>
      </w:r>
      <w:r w:rsidR="009C2C10">
        <w:t xml:space="preserve">w </w:t>
      </w:r>
      <w:r w:rsidR="00C9013E">
        <w:t>listopadzie</w:t>
      </w:r>
      <w:r w:rsidR="00BC7C14">
        <w:t xml:space="preserve"> </w:t>
      </w:r>
      <w:r w:rsidR="009A6731">
        <w:t>2025</w:t>
      </w:r>
      <w:r w:rsidR="00E90EB4">
        <w:t> </w:t>
      </w:r>
      <w:r w:rsidR="00EE1130" w:rsidRPr="00CF0A53">
        <w:t xml:space="preserve"> r. </w:t>
      </w:r>
      <w:r w:rsidR="00C57AAC">
        <w:t>w</w:t>
      </w:r>
      <w:r w:rsidR="00AF372C">
        <w:t> </w:t>
      </w:r>
      <w:r w:rsidR="00C57AAC">
        <w:t>porównaniu z analogicznym okresem ubiegłego r</w:t>
      </w:r>
      <w:r w:rsidR="001B10C5">
        <w:t>oku</w:t>
      </w:r>
    </w:p>
    <w:bookmarkEnd w:id="6"/>
    <w:p w14:paraId="0B6703BD" w14:textId="49BE77A6" w:rsidR="00D91EDB" w:rsidRDefault="00CB1B4D">
      <w:pPr>
        <w:spacing w:before="0" w:after="160" w:line="259" w:lineRule="auto"/>
      </w:pPr>
      <w:r w:rsidRPr="00F7077B">
        <w:rPr>
          <w:b/>
          <w:bCs/>
          <w:noProof/>
          <w:color w:val="001D77"/>
          <w:szCs w:val="19"/>
        </w:rPr>
        <mc:AlternateContent>
          <mc:Choice Requires="wps">
            <w:drawing>
              <wp:anchor distT="45720" distB="45720" distL="114300" distR="114300" simplePos="0" relativeHeight="251865088" behindDoc="1" locked="0" layoutInCell="1" allowOverlap="1" wp14:anchorId="4C10099B" wp14:editId="53E836A3">
                <wp:simplePos x="0" y="0"/>
                <wp:positionH relativeFrom="rightMargin">
                  <wp:posOffset>81915</wp:posOffset>
                </wp:positionH>
                <wp:positionV relativeFrom="page">
                  <wp:posOffset>7231380</wp:posOffset>
                </wp:positionV>
                <wp:extent cx="1886585" cy="1691640"/>
                <wp:effectExtent l="0" t="0" r="0" b="3810"/>
                <wp:wrapTight wrapText="bothSides">
                  <wp:wrapPolygon edited="0">
                    <wp:start x="654" y="0"/>
                    <wp:lineTo x="654" y="21405"/>
                    <wp:lineTo x="20720" y="21405"/>
                    <wp:lineTo x="20720" y="0"/>
                    <wp:lineTo x="654" y="0"/>
                  </wp:wrapPolygon>
                </wp:wrapTight>
                <wp:docPr id="13" name="Pole tekstowe 13" descr="Największy spadek cen w listopadzie 2025 r. w porównaniu z analogicznym okresem ub. roku notowano w dziale wytwarzanie i przetwarzanie koksu i produktów rafinacji ropy naftowej – o 6,3%. Najbardziej wzrosły natomiast ceny produkcji wyrobów tytoniowych - o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6585" cy="1691640"/>
                        </a:xfrm>
                        <a:prstGeom prst="rect">
                          <a:avLst/>
                        </a:prstGeom>
                        <a:noFill/>
                        <a:ln w="9525">
                          <a:noFill/>
                          <a:miter lim="800000"/>
                          <a:headEnd/>
                          <a:tailEnd/>
                        </a:ln>
                      </wps:spPr>
                      <wps:txbx>
                        <w:txbxContent>
                          <w:p w14:paraId="466B0009" w14:textId="5FF152ED" w:rsidR="008E374E" w:rsidRPr="00E95B8E" w:rsidRDefault="008E374E" w:rsidP="008E374E">
                            <w:pPr>
                              <w:pStyle w:val="Tekstkomentarza"/>
                            </w:pPr>
                            <w:r w:rsidRPr="00A51734">
                              <w:rPr>
                                <w:rFonts w:eastAsia="Times New Roman" w:cs="Times New Roman"/>
                                <w:bCs/>
                                <w:color w:val="001D77"/>
                                <w:sz w:val="18"/>
                                <w:szCs w:val="18"/>
                                <w:lang w:eastAsia="pl-PL"/>
                              </w:rPr>
                              <w:t>Naj</w:t>
                            </w:r>
                            <w:r w:rsidR="00BB24D8">
                              <w:rPr>
                                <w:rFonts w:eastAsia="Times New Roman" w:cs="Times New Roman"/>
                                <w:bCs/>
                                <w:color w:val="001D77"/>
                                <w:sz w:val="18"/>
                                <w:szCs w:val="18"/>
                                <w:lang w:eastAsia="pl-PL"/>
                              </w:rPr>
                              <w:t>większy</w:t>
                            </w:r>
                            <w:r w:rsidRPr="00A51734">
                              <w:rPr>
                                <w:rFonts w:eastAsia="Times New Roman" w:cs="Times New Roman"/>
                                <w:bCs/>
                                <w:color w:val="001D77"/>
                                <w:sz w:val="18"/>
                                <w:szCs w:val="18"/>
                                <w:lang w:eastAsia="pl-PL"/>
                              </w:rPr>
                              <w:t xml:space="preserve"> spadek cen </w:t>
                            </w:r>
                            <w:r w:rsidR="00CB1B4D">
                              <w:rPr>
                                <w:rFonts w:eastAsia="Times New Roman" w:cs="Times New Roman"/>
                                <w:bCs/>
                                <w:color w:val="001D77"/>
                                <w:sz w:val="18"/>
                                <w:szCs w:val="18"/>
                                <w:lang w:eastAsia="pl-PL"/>
                              </w:rPr>
                              <w:t xml:space="preserve">w </w:t>
                            </w:r>
                            <w:r w:rsidR="00C9013E">
                              <w:rPr>
                                <w:rFonts w:eastAsia="Times New Roman" w:cs="Times New Roman"/>
                                <w:bCs/>
                                <w:color w:val="001D77"/>
                                <w:sz w:val="18"/>
                                <w:szCs w:val="18"/>
                                <w:lang w:eastAsia="pl-PL"/>
                              </w:rPr>
                              <w:t>listopadzie</w:t>
                            </w:r>
                            <w:r w:rsidRPr="00A51734">
                              <w:rPr>
                                <w:rFonts w:eastAsia="Times New Roman" w:cs="Times New Roman"/>
                                <w:bCs/>
                                <w:color w:val="001D77"/>
                                <w:sz w:val="18"/>
                                <w:szCs w:val="18"/>
                                <w:lang w:eastAsia="pl-PL"/>
                              </w:rPr>
                              <w:t xml:space="preserve"> 2025 r. w porównaniu z</w:t>
                            </w:r>
                            <w:r w:rsidR="002C7B43">
                              <w:rPr>
                                <w:rFonts w:eastAsia="Times New Roman" w:cs="Times New Roman"/>
                                <w:bCs/>
                                <w:color w:val="001D77"/>
                                <w:sz w:val="18"/>
                                <w:szCs w:val="18"/>
                                <w:lang w:eastAsia="pl-PL"/>
                              </w:rPr>
                              <w:t> </w:t>
                            </w:r>
                            <w:r w:rsidRPr="00A51734">
                              <w:rPr>
                                <w:rFonts w:eastAsia="Times New Roman" w:cs="Times New Roman"/>
                                <w:bCs/>
                                <w:color w:val="001D77"/>
                                <w:sz w:val="18"/>
                                <w:szCs w:val="18"/>
                                <w:lang w:eastAsia="pl-PL"/>
                              </w:rPr>
                              <w:t xml:space="preserve">analogicznym okresem </w:t>
                            </w:r>
                            <w:r w:rsidR="00361780" w:rsidRPr="00A51734">
                              <w:rPr>
                                <w:rFonts w:eastAsia="Times New Roman" w:cs="Times New Roman"/>
                                <w:bCs/>
                                <w:color w:val="001D77"/>
                                <w:sz w:val="18"/>
                                <w:szCs w:val="18"/>
                                <w:lang w:eastAsia="pl-PL"/>
                              </w:rPr>
                              <w:t>ub</w:t>
                            </w:r>
                            <w:r w:rsidR="00361780">
                              <w:rPr>
                                <w:rFonts w:eastAsia="Times New Roman" w:cs="Times New Roman"/>
                                <w:bCs/>
                                <w:color w:val="001D77"/>
                                <w:sz w:val="18"/>
                                <w:szCs w:val="18"/>
                                <w:lang w:eastAsia="pl-PL"/>
                              </w:rPr>
                              <w:t>.</w:t>
                            </w:r>
                            <w:r w:rsidR="0038690E">
                              <w:rPr>
                                <w:rFonts w:eastAsia="Times New Roman" w:cs="Times New Roman"/>
                                <w:bCs/>
                                <w:color w:val="001D77"/>
                                <w:sz w:val="18"/>
                                <w:szCs w:val="18"/>
                                <w:lang w:eastAsia="pl-PL"/>
                              </w:rPr>
                              <w:t> </w:t>
                            </w:r>
                            <w:r w:rsidRPr="00A51734">
                              <w:rPr>
                                <w:rFonts w:eastAsia="Times New Roman" w:cs="Times New Roman"/>
                                <w:bCs/>
                                <w:color w:val="001D77"/>
                                <w:sz w:val="18"/>
                                <w:szCs w:val="18"/>
                                <w:lang w:eastAsia="pl-PL"/>
                              </w:rPr>
                              <w:t xml:space="preserve">roku </w:t>
                            </w:r>
                            <w:r>
                              <w:rPr>
                                <w:rFonts w:eastAsia="Times New Roman" w:cs="Times New Roman"/>
                                <w:bCs/>
                                <w:color w:val="001D77"/>
                                <w:sz w:val="18"/>
                                <w:szCs w:val="18"/>
                                <w:lang w:eastAsia="pl-PL"/>
                              </w:rPr>
                              <w:t xml:space="preserve">notowano </w:t>
                            </w:r>
                            <w:r w:rsidRPr="00A51734">
                              <w:rPr>
                                <w:rFonts w:eastAsia="Times New Roman" w:cs="Times New Roman"/>
                                <w:bCs/>
                                <w:color w:val="001D77"/>
                                <w:sz w:val="18"/>
                                <w:szCs w:val="18"/>
                                <w:lang w:eastAsia="pl-PL"/>
                              </w:rPr>
                              <w:t>w</w:t>
                            </w:r>
                            <w:r w:rsidR="002C7B43">
                              <w:rPr>
                                <w:rFonts w:eastAsia="Times New Roman" w:cs="Times New Roman"/>
                                <w:bCs/>
                                <w:color w:val="001D77"/>
                                <w:sz w:val="18"/>
                                <w:szCs w:val="18"/>
                                <w:lang w:eastAsia="pl-PL"/>
                              </w:rPr>
                              <w:t> </w:t>
                            </w:r>
                            <w:r w:rsidRPr="00A51734">
                              <w:rPr>
                                <w:rFonts w:eastAsia="Times New Roman" w:cs="Times New Roman"/>
                                <w:bCs/>
                                <w:color w:val="001D77"/>
                                <w:sz w:val="18"/>
                                <w:szCs w:val="18"/>
                                <w:lang w:eastAsia="pl-PL"/>
                              </w:rPr>
                              <w:t xml:space="preserve">dziale </w:t>
                            </w:r>
                            <w:r w:rsidR="00BC7C14" w:rsidRPr="00BC7C14">
                              <w:rPr>
                                <w:rFonts w:eastAsia="Times New Roman" w:cs="Times New Roman"/>
                                <w:bCs/>
                                <w:color w:val="001D77"/>
                                <w:sz w:val="18"/>
                                <w:szCs w:val="18"/>
                                <w:lang w:eastAsia="pl-PL"/>
                              </w:rPr>
                              <w:t>wytwarzani</w:t>
                            </w:r>
                            <w:r w:rsidR="00BC7C14">
                              <w:rPr>
                                <w:rFonts w:eastAsia="Times New Roman" w:cs="Times New Roman"/>
                                <w:bCs/>
                                <w:color w:val="001D77"/>
                                <w:sz w:val="18"/>
                                <w:szCs w:val="18"/>
                                <w:lang w:eastAsia="pl-PL"/>
                              </w:rPr>
                              <w:t>e</w:t>
                            </w:r>
                            <w:r w:rsidR="00BC7C14" w:rsidRPr="00BC7C14">
                              <w:rPr>
                                <w:rFonts w:eastAsia="Times New Roman" w:cs="Times New Roman"/>
                                <w:bCs/>
                                <w:color w:val="001D77"/>
                                <w:sz w:val="18"/>
                                <w:szCs w:val="18"/>
                                <w:lang w:eastAsia="pl-PL"/>
                              </w:rPr>
                              <w:t xml:space="preserve"> i przetwarzan</w:t>
                            </w:r>
                            <w:r w:rsidR="00BC7C14">
                              <w:rPr>
                                <w:rFonts w:eastAsia="Times New Roman" w:cs="Times New Roman"/>
                                <w:bCs/>
                                <w:color w:val="001D77"/>
                                <w:sz w:val="18"/>
                                <w:szCs w:val="18"/>
                                <w:lang w:eastAsia="pl-PL"/>
                              </w:rPr>
                              <w:t>ie</w:t>
                            </w:r>
                            <w:r w:rsidRPr="00A51734">
                              <w:rPr>
                                <w:rFonts w:eastAsia="Times New Roman" w:cs="Times New Roman"/>
                                <w:bCs/>
                                <w:color w:val="001D77"/>
                                <w:sz w:val="18"/>
                                <w:szCs w:val="18"/>
                                <w:lang w:eastAsia="pl-PL"/>
                              </w:rPr>
                              <w:t xml:space="preserve"> </w:t>
                            </w:r>
                            <w:r w:rsidR="00FF2393">
                              <w:rPr>
                                <w:rFonts w:eastAsia="Times New Roman" w:cs="Times New Roman"/>
                                <w:bCs/>
                                <w:color w:val="001D77"/>
                                <w:sz w:val="18"/>
                                <w:szCs w:val="18"/>
                                <w:lang w:eastAsia="pl-PL"/>
                              </w:rPr>
                              <w:t>koksu i produktów rafinacji ropy naftowej</w:t>
                            </w:r>
                            <w:r w:rsidR="003A3F07">
                              <w:rPr>
                                <w:rFonts w:eastAsia="Times New Roman" w:cs="Times New Roman"/>
                                <w:bCs/>
                                <w:color w:val="001D77"/>
                                <w:sz w:val="18"/>
                                <w:szCs w:val="18"/>
                                <w:lang w:eastAsia="pl-PL"/>
                              </w:rPr>
                              <w:t xml:space="preserve"> – o </w:t>
                            </w:r>
                            <w:r w:rsidR="00C9013E">
                              <w:rPr>
                                <w:rFonts w:eastAsia="Times New Roman" w:cs="Times New Roman"/>
                                <w:bCs/>
                                <w:color w:val="001D77"/>
                                <w:sz w:val="18"/>
                                <w:szCs w:val="18"/>
                                <w:lang w:eastAsia="pl-PL"/>
                              </w:rPr>
                              <w:t>6,3</w:t>
                            </w:r>
                            <w:r w:rsidR="003A3F07">
                              <w:rPr>
                                <w:rFonts w:eastAsia="Times New Roman" w:cs="Times New Roman"/>
                                <w:bCs/>
                                <w:color w:val="001D77"/>
                                <w:sz w:val="18"/>
                                <w:szCs w:val="18"/>
                                <w:lang w:eastAsia="pl-PL"/>
                              </w:rPr>
                              <w:t>%</w:t>
                            </w:r>
                            <w:r w:rsidR="009D77CB">
                              <w:rPr>
                                <w:rFonts w:eastAsia="Times New Roman" w:cs="Times New Roman"/>
                                <w:bCs/>
                                <w:color w:val="001D77"/>
                                <w:sz w:val="18"/>
                                <w:szCs w:val="18"/>
                                <w:lang w:eastAsia="pl-PL"/>
                              </w:rPr>
                              <w:t>.</w:t>
                            </w:r>
                            <w:r w:rsidR="005A4DC0">
                              <w:rPr>
                                <w:rFonts w:eastAsia="Times New Roman" w:cs="Times New Roman"/>
                                <w:bCs/>
                                <w:color w:val="001D77"/>
                                <w:sz w:val="18"/>
                                <w:szCs w:val="18"/>
                                <w:lang w:eastAsia="pl-PL"/>
                              </w:rPr>
                              <w:t xml:space="preserve"> </w:t>
                            </w:r>
                            <w:r w:rsidR="009D77CB">
                              <w:rPr>
                                <w:rFonts w:eastAsia="Times New Roman" w:cs="Times New Roman"/>
                                <w:bCs/>
                                <w:color w:val="001D77"/>
                                <w:sz w:val="18"/>
                                <w:szCs w:val="18"/>
                                <w:lang w:eastAsia="pl-PL"/>
                              </w:rPr>
                              <w:t>N</w:t>
                            </w:r>
                            <w:r w:rsidR="0041002E">
                              <w:rPr>
                                <w:rFonts w:eastAsia="Times New Roman" w:cs="Times New Roman"/>
                                <w:bCs/>
                                <w:color w:val="001D77"/>
                                <w:sz w:val="18"/>
                                <w:szCs w:val="18"/>
                                <w:lang w:eastAsia="pl-PL"/>
                              </w:rPr>
                              <w:t>ajbardziej wzrosły</w:t>
                            </w:r>
                            <w:r w:rsidR="00A73AC2">
                              <w:rPr>
                                <w:rFonts w:eastAsia="Times New Roman" w:cs="Times New Roman"/>
                                <w:bCs/>
                                <w:color w:val="001D77"/>
                                <w:sz w:val="18"/>
                                <w:szCs w:val="18"/>
                                <w:lang w:eastAsia="pl-PL"/>
                              </w:rPr>
                              <w:t xml:space="preserve"> natomiast</w:t>
                            </w:r>
                            <w:r w:rsidR="0041002E">
                              <w:rPr>
                                <w:rFonts w:eastAsia="Times New Roman" w:cs="Times New Roman"/>
                                <w:bCs/>
                                <w:color w:val="001D77"/>
                                <w:sz w:val="18"/>
                                <w:szCs w:val="18"/>
                                <w:lang w:eastAsia="pl-PL"/>
                              </w:rPr>
                              <w:t xml:space="preserve"> ceny produkcji wyrobów tytoniowych - o </w:t>
                            </w:r>
                            <w:r w:rsidR="00C9013E">
                              <w:rPr>
                                <w:rFonts w:eastAsia="Times New Roman" w:cs="Times New Roman"/>
                                <w:bCs/>
                                <w:color w:val="001D77"/>
                                <w:sz w:val="18"/>
                                <w:szCs w:val="18"/>
                                <w:lang w:eastAsia="pl-PL"/>
                              </w:rPr>
                              <w:t>6,7</w:t>
                            </w:r>
                            <w:r w:rsidR="0041002E">
                              <w:rPr>
                                <w:rFonts w:eastAsia="Times New Roman" w:cs="Times New Roman"/>
                                <w:bCs/>
                                <w:color w:val="001D77"/>
                                <w:sz w:val="18"/>
                                <w:szCs w:val="18"/>
                                <w:lang w:eastAsia="pl-PL"/>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C10099B" id="Pole tekstowe 13" o:spid="_x0000_s1030" type="#_x0000_t202" alt="Największy spadek cen w listopadzie 2025 r. w porównaniu z analogicznym okresem ub. roku notowano w dziale wytwarzanie i przetwarzanie koksu i produktów rafinacji ropy naftowej – o 6,3%. Najbardziej wzrosły natomiast ceny produkcji wyrobów tytoniowych - o 6,7%" style="position:absolute;margin-left:6.45pt;margin-top:569.4pt;width:148.55pt;height:133.2pt;z-index:-251451392;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" filled="f" stroked="f">
                <v:textbox>
                  <w:txbxContent>
                    <w:p w14:paraId="466B0009" w14:textId="5FF152ED" w:rsidR="008E374E" w:rsidRPr="00E95B8E" w:rsidRDefault="008E374E" w:rsidP="008E374E">
                      <w:pPr>
                        <w:pStyle w:val="Tekstkomentarza"/>
                      </w:pPr>
                      <w:r w:rsidRPr="00A51734">
                        <w:rPr>
                          <w:rFonts w:eastAsia="Times New Roman" w:cs="Times New Roman"/>
                          <w:bCs/>
                          <w:color w:val="001D77"/>
                          <w:sz w:val="18"/>
                          <w:szCs w:val="18"/>
                          <w:lang w:eastAsia="pl-PL"/>
                        </w:rPr>
                        <w:t>Naj</w:t>
                      </w:r>
                      <w:r w:rsidR="00BB24D8">
                        <w:rPr>
                          <w:rFonts w:eastAsia="Times New Roman" w:cs="Times New Roman"/>
                          <w:bCs/>
                          <w:color w:val="001D77"/>
                          <w:sz w:val="18"/>
                          <w:szCs w:val="18"/>
                          <w:lang w:eastAsia="pl-PL"/>
                        </w:rPr>
                        <w:t>większy</w:t>
                      </w:r>
                      <w:r w:rsidRPr="00A51734">
                        <w:rPr>
                          <w:rFonts w:eastAsia="Times New Roman" w:cs="Times New Roman"/>
                          <w:bCs/>
                          <w:color w:val="001D77"/>
                          <w:sz w:val="18"/>
                          <w:szCs w:val="18"/>
                          <w:lang w:eastAsia="pl-PL"/>
                        </w:rPr>
                        <w:t xml:space="preserve"> spadek cen </w:t>
                      </w:r>
                      <w:r w:rsidR="00CB1B4D">
                        <w:rPr>
                          <w:rFonts w:eastAsia="Times New Roman" w:cs="Times New Roman"/>
                          <w:bCs/>
                          <w:color w:val="001D77"/>
                          <w:sz w:val="18"/>
                          <w:szCs w:val="18"/>
                          <w:lang w:eastAsia="pl-PL"/>
                        </w:rPr>
                        <w:t xml:space="preserve">w </w:t>
                      </w:r>
                      <w:r w:rsidR="00C9013E">
                        <w:rPr>
                          <w:rFonts w:eastAsia="Times New Roman" w:cs="Times New Roman"/>
                          <w:bCs/>
                          <w:color w:val="001D77"/>
                          <w:sz w:val="18"/>
                          <w:szCs w:val="18"/>
                          <w:lang w:eastAsia="pl-PL"/>
                        </w:rPr>
                        <w:t>listopadzie</w:t>
                      </w:r>
                      <w:r w:rsidRPr="00A51734">
                        <w:rPr>
                          <w:rFonts w:eastAsia="Times New Roman" w:cs="Times New Roman"/>
                          <w:bCs/>
                          <w:color w:val="001D77"/>
                          <w:sz w:val="18"/>
                          <w:szCs w:val="18"/>
                          <w:lang w:eastAsia="pl-PL"/>
                        </w:rPr>
                        <w:t xml:space="preserve"> 2025 r. w porównaniu z</w:t>
                      </w:r>
                      <w:r w:rsidR="002C7B43">
                        <w:rPr>
                          <w:rFonts w:eastAsia="Times New Roman" w:cs="Times New Roman"/>
                          <w:bCs/>
                          <w:color w:val="001D77"/>
                          <w:sz w:val="18"/>
                          <w:szCs w:val="18"/>
                          <w:lang w:eastAsia="pl-PL"/>
                        </w:rPr>
                        <w:t> </w:t>
                      </w:r>
                      <w:r w:rsidRPr="00A51734">
                        <w:rPr>
                          <w:rFonts w:eastAsia="Times New Roman" w:cs="Times New Roman"/>
                          <w:bCs/>
                          <w:color w:val="001D77"/>
                          <w:sz w:val="18"/>
                          <w:szCs w:val="18"/>
                          <w:lang w:eastAsia="pl-PL"/>
                        </w:rPr>
                        <w:t xml:space="preserve">analogicznym okresem </w:t>
                      </w:r>
                      <w:r w:rsidR="00361780" w:rsidRPr="00A51734">
                        <w:rPr>
                          <w:rFonts w:eastAsia="Times New Roman" w:cs="Times New Roman"/>
                          <w:bCs/>
                          <w:color w:val="001D77"/>
                          <w:sz w:val="18"/>
                          <w:szCs w:val="18"/>
                          <w:lang w:eastAsia="pl-PL"/>
                        </w:rPr>
                        <w:t>ub</w:t>
                      </w:r>
                      <w:r w:rsidR="00361780">
                        <w:rPr>
                          <w:rFonts w:eastAsia="Times New Roman" w:cs="Times New Roman"/>
                          <w:bCs/>
                          <w:color w:val="001D77"/>
                          <w:sz w:val="18"/>
                          <w:szCs w:val="18"/>
                          <w:lang w:eastAsia="pl-PL"/>
                        </w:rPr>
                        <w:t>.</w:t>
                      </w:r>
                      <w:r w:rsidR="0038690E">
                        <w:rPr>
                          <w:rFonts w:eastAsia="Times New Roman" w:cs="Times New Roman"/>
                          <w:bCs/>
                          <w:color w:val="001D77"/>
                          <w:sz w:val="18"/>
                          <w:szCs w:val="18"/>
                          <w:lang w:eastAsia="pl-PL"/>
                        </w:rPr>
                        <w:t> </w:t>
                      </w:r>
                      <w:r w:rsidRPr="00A51734">
                        <w:rPr>
                          <w:rFonts w:eastAsia="Times New Roman" w:cs="Times New Roman"/>
                          <w:bCs/>
                          <w:color w:val="001D77"/>
                          <w:sz w:val="18"/>
                          <w:szCs w:val="18"/>
                          <w:lang w:eastAsia="pl-PL"/>
                        </w:rPr>
                        <w:t xml:space="preserve">roku </w:t>
                      </w:r>
                      <w:r>
                        <w:rPr>
                          <w:rFonts w:eastAsia="Times New Roman" w:cs="Times New Roman"/>
                          <w:bCs/>
                          <w:color w:val="001D77"/>
                          <w:sz w:val="18"/>
                          <w:szCs w:val="18"/>
                          <w:lang w:eastAsia="pl-PL"/>
                        </w:rPr>
                        <w:t xml:space="preserve">notowano </w:t>
                      </w:r>
                      <w:r w:rsidRPr="00A51734">
                        <w:rPr>
                          <w:rFonts w:eastAsia="Times New Roman" w:cs="Times New Roman"/>
                          <w:bCs/>
                          <w:color w:val="001D77"/>
                          <w:sz w:val="18"/>
                          <w:szCs w:val="18"/>
                          <w:lang w:eastAsia="pl-PL"/>
                        </w:rPr>
                        <w:t>w</w:t>
                      </w:r>
                      <w:r w:rsidR="002C7B43">
                        <w:rPr>
                          <w:rFonts w:eastAsia="Times New Roman" w:cs="Times New Roman"/>
                          <w:bCs/>
                          <w:color w:val="001D77"/>
                          <w:sz w:val="18"/>
                          <w:szCs w:val="18"/>
                          <w:lang w:eastAsia="pl-PL"/>
                        </w:rPr>
                        <w:t> </w:t>
                      </w:r>
                      <w:r w:rsidRPr="00A51734">
                        <w:rPr>
                          <w:rFonts w:eastAsia="Times New Roman" w:cs="Times New Roman"/>
                          <w:bCs/>
                          <w:color w:val="001D77"/>
                          <w:sz w:val="18"/>
                          <w:szCs w:val="18"/>
                          <w:lang w:eastAsia="pl-PL"/>
                        </w:rPr>
                        <w:t xml:space="preserve">dziale </w:t>
                      </w:r>
                      <w:r w:rsidR="00BC7C14" w:rsidRPr="00BC7C14">
                        <w:rPr>
                          <w:rFonts w:eastAsia="Times New Roman" w:cs="Times New Roman"/>
                          <w:bCs/>
                          <w:color w:val="001D77"/>
                          <w:sz w:val="18"/>
                          <w:szCs w:val="18"/>
                          <w:lang w:eastAsia="pl-PL"/>
                        </w:rPr>
                        <w:t>wytwarzani</w:t>
                      </w:r>
                      <w:r w:rsidR="00BC7C14">
                        <w:rPr>
                          <w:rFonts w:eastAsia="Times New Roman" w:cs="Times New Roman"/>
                          <w:bCs/>
                          <w:color w:val="001D77"/>
                          <w:sz w:val="18"/>
                          <w:szCs w:val="18"/>
                          <w:lang w:eastAsia="pl-PL"/>
                        </w:rPr>
                        <w:t>e</w:t>
                      </w:r>
                      <w:r w:rsidR="00BC7C14" w:rsidRPr="00BC7C14">
                        <w:rPr>
                          <w:rFonts w:eastAsia="Times New Roman" w:cs="Times New Roman"/>
                          <w:bCs/>
                          <w:color w:val="001D77"/>
                          <w:sz w:val="18"/>
                          <w:szCs w:val="18"/>
                          <w:lang w:eastAsia="pl-PL"/>
                        </w:rPr>
                        <w:t xml:space="preserve"> i przetwarzan</w:t>
                      </w:r>
                      <w:r w:rsidR="00BC7C14">
                        <w:rPr>
                          <w:rFonts w:eastAsia="Times New Roman" w:cs="Times New Roman"/>
                          <w:bCs/>
                          <w:color w:val="001D77"/>
                          <w:sz w:val="18"/>
                          <w:szCs w:val="18"/>
                          <w:lang w:eastAsia="pl-PL"/>
                        </w:rPr>
                        <w:t>ie</w:t>
                      </w:r>
                      <w:r w:rsidRPr="00A51734">
                        <w:rPr>
                          <w:rFonts w:eastAsia="Times New Roman" w:cs="Times New Roman"/>
                          <w:bCs/>
                          <w:color w:val="001D77"/>
                          <w:sz w:val="18"/>
                          <w:szCs w:val="18"/>
                          <w:lang w:eastAsia="pl-PL"/>
                        </w:rPr>
                        <w:t xml:space="preserve"> </w:t>
                      </w:r>
                      <w:r w:rsidR="00FF2393">
                        <w:rPr>
                          <w:rFonts w:eastAsia="Times New Roman" w:cs="Times New Roman"/>
                          <w:bCs/>
                          <w:color w:val="001D77"/>
                          <w:sz w:val="18"/>
                          <w:szCs w:val="18"/>
                          <w:lang w:eastAsia="pl-PL"/>
                        </w:rPr>
                        <w:t>koksu i produktów rafinacji ropy naftowej</w:t>
                      </w:r>
                      <w:r w:rsidR="003A3F07">
                        <w:rPr>
                          <w:rFonts w:eastAsia="Times New Roman" w:cs="Times New Roman"/>
                          <w:bCs/>
                          <w:color w:val="001D77"/>
                          <w:sz w:val="18"/>
                          <w:szCs w:val="18"/>
                          <w:lang w:eastAsia="pl-PL"/>
                        </w:rPr>
                        <w:t xml:space="preserve"> – o </w:t>
                      </w:r>
                      <w:r w:rsidR="00C9013E">
                        <w:rPr>
                          <w:rFonts w:eastAsia="Times New Roman" w:cs="Times New Roman"/>
                          <w:bCs/>
                          <w:color w:val="001D77"/>
                          <w:sz w:val="18"/>
                          <w:szCs w:val="18"/>
                          <w:lang w:eastAsia="pl-PL"/>
                        </w:rPr>
                        <w:t>6,3</w:t>
                      </w:r>
                      <w:r w:rsidR="003A3F07">
                        <w:rPr>
                          <w:rFonts w:eastAsia="Times New Roman" w:cs="Times New Roman"/>
                          <w:bCs/>
                          <w:color w:val="001D77"/>
                          <w:sz w:val="18"/>
                          <w:szCs w:val="18"/>
                          <w:lang w:eastAsia="pl-PL"/>
                        </w:rPr>
                        <w:t>%</w:t>
                      </w:r>
                      <w:r w:rsidR="009D77CB">
                        <w:rPr>
                          <w:rFonts w:eastAsia="Times New Roman" w:cs="Times New Roman"/>
                          <w:bCs/>
                          <w:color w:val="001D77"/>
                          <w:sz w:val="18"/>
                          <w:szCs w:val="18"/>
                          <w:lang w:eastAsia="pl-PL"/>
                        </w:rPr>
                        <w:t>.</w:t>
                      </w:r>
                      <w:r w:rsidR="005A4DC0">
                        <w:rPr>
                          <w:rFonts w:eastAsia="Times New Roman" w:cs="Times New Roman"/>
                          <w:bCs/>
                          <w:color w:val="001D77"/>
                          <w:sz w:val="18"/>
                          <w:szCs w:val="18"/>
                          <w:lang w:eastAsia="pl-PL"/>
                        </w:rPr>
                        <w:t xml:space="preserve"> </w:t>
                      </w:r>
                      <w:r w:rsidR="009D77CB">
                        <w:rPr>
                          <w:rFonts w:eastAsia="Times New Roman" w:cs="Times New Roman"/>
                          <w:bCs/>
                          <w:color w:val="001D77"/>
                          <w:sz w:val="18"/>
                          <w:szCs w:val="18"/>
                          <w:lang w:eastAsia="pl-PL"/>
                        </w:rPr>
                        <w:t>N</w:t>
                      </w:r>
                      <w:r w:rsidR="0041002E">
                        <w:rPr>
                          <w:rFonts w:eastAsia="Times New Roman" w:cs="Times New Roman"/>
                          <w:bCs/>
                          <w:color w:val="001D77"/>
                          <w:sz w:val="18"/>
                          <w:szCs w:val="18"/>
                          <w:lang w:eastAsia="pl-PL"/>
                        </w:rPr>
                        <w:t>ajbardziej wzrosły</w:t>
                      </w:r>
                      <w:r w:rsidR="00A73AC2">
                        <w:rPr>
                          <w:rFonts w:eastAsia="Times New Roman" w:cs="Times New Roman"/>
                          <w:bCs/>
                          <w:color w:val="001D77"/>
                          <w:sz w:val="18"/>
                          <w:szCs w:val="18"/>
                          <w:lang w:eastAsia="pl-PL"/>
                        </w:rPr>
                        <w:t xml:space="preserve"> natomiast</w:t>
                      </w:r>
                      <w:r w:rsidR="0041002E">
                        <w:rPr>
                          <w:rFonts w:eastAsia="Times New Roman" w:cs="Times New Roman"/>
                          <w:bCs/>
                          <w:color w:val="001D77"/>
                          <w:sz w:val="18"/>
                          <w:szCs w:val="18"/>
                          <w:lang w:eastAsia="pl-PL"/>
                        </w:rPr>
                        <w:t xml:space="preserve"> ceny produkcji wyrobów tytoniowych - o </w:t>
                      </w:r>
                      <w:r w:rsidR="00C9013E">
                        <w:rPr>
                          <w:rFonts w:eastAsia="Times New Roman" w:cs="Times New Roman"/>
                          <w:bCs/>
                          <w:color w:val="001D77"/>
                          <w:sz w:val="18"/>
                          <w:szCs w:val="18"/>
                          <w:lang w:eastAsia="pl-PL"/>
                        </w:rPr>
                        <w:t>6,7</w:t>
                      </w:r>
                      <w:r w:rsidR="0041002E">
                        <w:rPr>
                          <w:rFonts w:eastAsia="Times New Roman" w:cs="Times New Roman"/>
                          <w:bCs/>
                          <w:color w:val="001D77"/>
                          <w:sz w:val="18"/>
                          <w:szCs w:val="18"/>
                          <w:lang w:eastAsia="pl-PL"/>
                        </w:rPr>
                        <w:t>%</w:t>
                      </w:r>
                    </w:p>
                  </w:txbxContent>
                </v:textbox>
                <w10:wrap type="tight" anchorx="margin" anchory="page"/>
              </v:shape>
            </w:pict>
          </mc:Fallback>
        </mc:AlternateContent>
      </w:r>
      <w:r w:rsidR="00B83095" w:rsidRPr="00464878">
        <w:rPr>
          <w:noProof/>
          <w:spacing w:val="-6"/>
          <w:sz w:val="12"/>
          <w:szCs w:val="12"/>
          <w:shd w:val="clear" w:color="auto" w:fill="FFFFFF"/>
        </w:rPr>
        <w:drawing>
          <wp:anchor distT="0" distB="0" distL="114300" distR="114300" simplePos="0" relativeHeight="251877376" behindDoc="0" locked="0" layoutInCell="1" allowOverlap="1" wp14:anchorId="607E8D12" wp14:editId="66D5AE29">
            <wp:simplePos x="0" y="0"/>
            <wp:positionH relativeFrom="margin">
              <wp:posOffset>0</wp:posOffset>
            </wp:positionH>
            <wp:positionV relativeFrom="paragraph">
              <wp:posOffset>260985</wp:posOffset>
            </wp:positionV>
            <wp:extent cx="5122545" cy="2988310"/>
            <wp:effectExtent l="0" t="0" r="1905" b="2540"/>
            <wp:wrapTopAndBottom/>
            <wp:docPr id="7" name="Wykres 7" descr="Wykres 4. Zmiany cen w sekcji przetwórstwo przemysłowe według działów w listopadzie 2025 r. w porównaniu z analogicznym okresem ubiegłego roku"/>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anchor>
        </w:drawing>
      </w:r>
    </w:p>
    <w:p w14:paraId="72A991B6" w14:textId="0BEE22EC" w:rsidR="00DC6D14" w:rsidRDefault="00DC6D14">
      <w:pPr>
        <w:spacing w:before="0" w:after="160" w:line="259" w:lineRule="auto"/>
        <w:rPr>
          <w:rFonts w:ascii="Fira Sans SemiBold" w:eastAsia="Times New Roman" w:hAnsi="Fira Sans SemiBold" w:cs="Times New Roman"/>
          <w:b/>
          <w:bCs/>
          <w:noProof/>
          <w:szCs w:val="24"/>
          <w:lang w:eastAsia="pl-PL"/>
        </w:rPr>
      </w:pPr>
      <w:r>
        <w:br w:type="page"/>
      </w:r>
    </w:p>
    <w:p w14:paraId="6E47F005" w14:textId="23D40C89" w:rsidR="00883E43" w:rsidRDefault="00883E43" w:rsidP="001B10C5">
      <w:pPr>
        <w:pStyle w:val="Tytuwykresu0"/>
        <w:ind w:left="851" w:hanging="851"/>
      </w:pPr>
      <w:r w:rsidRPr="00DA6F6D">
        <w:lastRenderedPageBreak/>
        <w:t xml:space="preserve">Wykres </w:t>
      </w:r>
      <w:bookmarkStart w:id="7" w:name="_Hlk101264545"/>
      <w:r w:rsidR="0066387C">
        <w:t>5</w:t>
      </w:r>
      <w:r w:rsidRPr="00DA6F6D">
        <w:t>. Zmiany cen produkcji sprzedanej przemysłu według sekcji PKD</w:t>
      </w:r>
      <w:r w:rsidR="001B10C5">
        <w:t xml:space="preserve"> w porównaniu z</w:t>
      </w:r>
      <w:r w:rsidR="002209CF">
        <w:t> </w:t>
      </w:r>
      <w:r w:rsidR="001B10C5">
        <w:t>grudniem 202</w:t>
      </w:r>
      <w:r w:rsidR="001C294A">
        <w:t>3</w:t>
      </w:r>
      <w:r w:rsidR="001B10C5">
        <w:t xml:space="preserve"> r.</w:t>
      </w:r>
    </w:p>
    <w:bookmarkEnd w:id="7"/>
    <w:p w14:paraId="58CFE83A" w14:textId="3CE29387" w:rsidR="00216634" w:rsidRPr="00883E43" w:rsidRDefault="00216634" w:rsidP="00216634">
      <w:pPr>
        <w:spacing w:line="288" w:lineRule="auto"/>
        <w:rPr>
          <w:rFonts w:eastAsia="Times New Roman" w:cs="Times New Roman"/>
          <w:szCs w:val="19"/>
          <w:lang w:eastAsia="pl-PL"/>
        </w:rPr>
      </w:pPr>
    </w:p>
    <w:p w14:paraId="3B0CCF04" w14:textId="4BB07636" w:rsidR="00FC3D69" w:rsidRDefault="00B83095" w:rsidP="00DC6D14">
      <w:pPr>
        <w:rPr>
          <w:sz w:val="18"/>
        </w:rPr>
      </w:pPr>
      <w:r>
        <w:rPr>
          <w:b/>
          <w:bCs/>
          <w:noProof/>
          <w:sz w:val="18"/>
          <w:szCs w:val="18"/>
        </w:rPr>
        <w:drawing>
          <wp:anchor distT="0" distB="0" distL="114300" distR="114300" simplePos="0" relativeHeight="251879424" behindDoc="0" locked="0" layoutInCell="1" allowOverlap="1" wp14:anchorId="4BB3C7AA" wp14:editId="302D759B">
            <wp:simplePos x="0" y="0"/>
            <wp:positionH relativeFrom="margin">
              <wp:posOffset>0</wp:posOffset>
            </wp:positionH>
            <wp:positionV relativeFrom="paragraph">
              <wp:posOffset>229870</wp:posOffset>
            </wp:positionV>
            <wp:extent cx="5222875" cy="3705860"/>
            <wp:effectExtent l="0" t="0" r="0" b="8890"/>
            <wp:wrapTopAndBottom/>
            <wp:docPr id="26" name="Wykres 26" descr="Wykres 5. Zmiany cen produkcji sprzedanej przemysłu według sekcji PKD &#10;w porównaniu z grudniem 2023 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14:sizeRelH relativeFrom="margin">
              <wp14:pctWidth>0</wp14:pctWidth>
            </wp14:sizeRelH>
            <wp14:sizeRelV relativeFrom="margin">
              <wp14:pctHeight>0</wp14:pctHeight>
            </wp14:sizeRelV>
          </wp:anchor>
        </w:drawing>
      </w:r>
    </w:p>
    <w:p w14:paraId="756E8D0A" w14:textId="75D1FBAD" w:rsidR="002B238C" w:rsidRDefault="002B238C" w:rsidP="00DC6D14">
      <w:pPr>
        <w:rPr>
          <w:sz w:val="18"/>
        </w:rPr>
      </w:pPr>
    </w:p>
    <w:p w14:paraId="2D25A881" w14:textId="1984ADB4" w:rsidR="002B238C" w:rsidRPr="00883E43" w:rsidRDefault="002B238C" w:rsidP="00DC6D14">
      <w:pPr>
        <w:rPr>
          <w:sz w:val="18"/>
        </w:rPr>
      </w:pPr>
    </w:p>
    <w:p w14:paraId="18BE17AF" w14:textId="5DE88F53" w:rsidR="0069498E" w:rsidRDefault="0069498E" w:rsidP="00FC3D69">
      <w:pPr>
        <w:spacing w:line="288" w:lineRule="auto"/>
        <w:rPr>
          <w:rFonts w:eastAsia="Times New Roman" w:cs="Times New Roman"/>
          <w:szCs w:val="19"/>
          <w:lang w:eastAsia="pl-PL"/>
        </w:rPr>
      </w:pPr>
      <w:bookmarkStart w:id="8" w:name="_Hlk148444407"/>
    </w:p>
    <w:p w14:paraId="4F9F5E9A" w14:textId="52583307" w:rsidR="0069498E" w:rsidRDefault="0069498E" w:rsidP="00FC3D69">
      <w:pPr>
        <w:spacing w:line="288" w:lineRule="auto"/>
        <w:rPr>
          <w:rFonts w:eastAsia="Times New Roman" w:cs="Times New Roman"/>
          <w:szCs w:val="19"/>
          <w:lang w:eastAsia="pl-PL"/>
        </w:rPr>
      </w:pPr>
    </w:p>
    <w:p w14:paraId="2FFD2578" w14:textId="28A5B553" w:rsidR="0069498E" w:rsidRDefault="0069498E" w:rsidP="00FC3D69">
      <w:pPr>
        <w:spacing w:line="288" w:lineRule="auto"/>
        <w:rPr>
          <w:rFonts w:eastAsia="Times New Roman" w:cs="Times New Roman"/>
          <w:szCs w:val="19"/>
          <w:lang w:eastAsia="pl-PL"/>
        </w:rPr>
      </w:pPr>
    </w:p>
    <w:p w14:paraId="1D93392C" w14:textId="77777777" w:rsidR="0069498E" w:rsidRDefault="0069498E" w:rsidP="00FC3D69">
      <w:pPr>
        <w:spacing w:line="288" w:lineRule="auto"/>
        <w:rPr>
          <w:rFonts w:eastAsia="Times New Roman" w:cs="Times New Roman"/>
          <w:szCs w:val="19"/>
          <w:lang w:eastAsia="pl-PL"/>
        </w:rPr>
      </w:pPr>
    </w:p>
    <w:p w14:paraId="340518E3" w14:textId="77777777" w:rsidR="0069498E" w:rsidRDefault="0069498E" w:rsidP="00FC3D69">
      <w:pPr>
        <w:spacing w:line="288" w:lineRule="auto"/>
        <w:rPr>
          <w:rFonts w:eastAsia="Times New Roman" w:cs="Times New Roman"/>
          <w:szCs w:val="19"/>
          <w:lang w:eastAsia="pl-PL"/>
        </w:rPr>
      </w:pPr>
    </w:p>
    <w:p w14:paraId="42989661" w14:textId="77777777" w:rsidR="0069498E" w:rsidRDefault="0069498E" w:rsidP="00FC3D69">
      <w:pPr>
        <w:spacing w:line="288" w:lineRule="auto"/>
        <w:rPr>
          <w:rFonts w:eastAsia="Times New Roman" w:cs="Times New Roman"/>
          <w:szCs w:val="19"/>
          <w:lang w:eastAsia="pl-PL"/>
        </w:rPr>
      </w:pPr>
    </w:p>
    <w:p w14:paraId="72CDDFE0" w14:textId="77777777" w:rsidR="0069498E" w:rsidRDefault="0069498E" w:rsidP="00FC3D69">
      <w:pPr>
        <w:spacing w:line="288" w:lineRule="auto"/>
        <w:rPr>
          <w:rFonts w:eastAsia="Times New Roman" w:cs="Times New Roman"/>
          <w:szCs w:val="19"/>
          <w:lang w:eastAsia="pl-PL"/>
        </w:rPr>
      </w:pPr>
    </w:p>
    <w:p w14:paraId="5F129001" w14:textId="77777777" w:rsidR="0069498E" w:rsidRDefault="0069498E" w:rsidP="00FC3D69">
      <w:pPr>
        <w:spacing w:line="288" w:lineRule="auto"/>
        <w:rPr>
          <w:rFonts w:eastAsia="Times New Roman" w:cs="Times New Roman"/>
          <w:szCs w:val="19"/>
          <w:lang w:eastAsia="pl-PL"/>
        </w:rPr>
      </w:pPr>
    </w:p>
    <w:p w14:paraId="662B6B79" w14:textId="77777777" w:rsidR="0069498E" w:rsidRDefault="0069498E" w:rsidP="00FC3D69">
      <w:pPr>
        <w:spacing w:line="288" w:lineRule="auto"/>
        <w:rPr>
          <w:rFonts w:eastAsia="Times New Roman" w:cs="Times New Roman"/>
          <w:szCs w:val="19"/>
          <w:lang w:eastAsia="pl-PL"/>
        </w:rPr>
      </w:pPr>
    </w:p>
    <w:p w14:paraId="2AC6FD7D" w14:textId="77777777" w:rsidR="0069498E" w:rsidRDefault="0069498E" w:rsidP="00FC3D69">
      <w:pPr>
        <w:spacing w:line="288" w:lineRule="auto"/>
        <w:rPr>
          <w:rFonts w:eastAsia="Times New Roman" w:cs="Times New Roman"/>
          <w:szCs w:val="19"/>
          <w:lang w:eastAsia="pl-PL"/>
        </w:rPr>
      </w:pPr>
    </w:p>
    <w:p w14:paraId="2EF779E8" w14:textId="77777777" w:rsidR="0069498E" w:rsidRDefault="0069498E" w:rsidP="00FC3D69">
      <w:pPr>
        <w:spacing w:line="288" w:lineRule="auto"/>
        <w:rPr>
          <w:rFonts w:eastAsia="Times New Roman" w:cs="Times New Roman"/>
          <w:szCs w:val="19"/>
          <w:lang w:eastAsia="pl-PL"/>
        </w:rPr>
      </w:pPr>
    </w:p>
    <w:p w14:paraId="670C766C" w14:textId="77777777" w:rsidR="0069498E" w:rsidRDefault="0069498E" w:rsidP="00FC3D69">
      <w:pPr>
        <w:spacing w:line="288" w:lineRule="auto"/>
        <w:rPr>
          <w:rFonts w:eastAsia="Times New Roman" w:cs="Times New Roman"/>
          <w:szCs w:val="19"/>
          <w:lang w:eastAsia="pl-PL"/>
        </w:rPr>
      </w:pPr>
    </w:p>
    <w:p w14:paraId="6427EF77" w14:textId="77777777" w:rsidR="0069498E" w:rsidRDefault="0069498E" w:rsidP="00FC3D69">
      <w:pPr>
        <w:spacing w:line="288" w:lineRule="auto"/>
        <w:rPr>
          <w:rFonts w:eastAsia="Times New Roman" w:cs="Times New Roman"/>
          <w:szCs w:val="19"/>
          <w:lang w:eastAsia="pl-PL"/>
        </w:rPr>
      </w:pPr>
    </w:p>
    <w:p w14:paraId="6B1A8716" w14:textId="77777777" w:rsidR="0069498E" w:rsidRDefault="0069498E" w:rsidP="00FC3D69">
      <w:pPr>
        <w:spacing w:line="288" w:lineRule="auto"/>
        <w:rPr>
          <w:rFonts w:eastAsia="Times New Roman" w:cs="Times New Roman"/>
          <w:szCs w:val="19"/>
          <w:lang w:eastAsia="pl-PL"/>
        </w:rPr>
      </w:pPr>
    </w:p>
    <w:p w14:paraId="73BD558B" w14:textId="77777777" w:rsidR="00FC3D69" w:rsidRPr="00CF2B56" w:rsidRDefault="00FC3D69" w:rsidP="00FC3D69">
      <w:pPr>
        <w:spacing w:line="288" w:lineRule="auto"/>
        <w:rPr>
          <w:rFonts w:eastAsia="Times New Roman" w:cs="Times New Roman"/>
          <w:szCs w:val="19"/>
          <w:lang w:eastAsia="pl-PL"/>
        </w:rPr>
        <w:sectPr w:rsidR="00FC3D69" w:rsidRPr="00CF2B56" w:rsidSect="003B18B6">
          <w:headerReference w:type="default" r:id="rId15"/>
          <w:footerReference w:type="default" r:id="rId16"/>
          <w:headerReference w:type="first" r:id="rId17"/>
          <w:footerReference w:type="first" r:id="rId18"/>
          <w:pgSz w:w="11906" w:h="16838"/>
          <w:pgMar w:top="720" w:right="3119" w:bottom="720" w:left="720" w:header="284" w:footer="283" w:gutter="0"/>
          <w:cols w:space="708"/>
          <w:titlePg/>
          <w:docGrid w:linePitch="360"/>
        </w:sectPr>
      </w:pPr>
      <w:r w:rsidRPr="00CF2B56">
        <w:rPr>
          <w:rFonts w:eastAsia="Times New Roman" w:cs="Times New Roman"/>
          <w:szCs w:val="19"/>
          <w:lang w:eastAsia="pl-PL"/>
        </w:rPr>
        <w:t>W przypadku cytowania danych Głównego Urzędu Statystycznego prosimy o zamieszczenie informacji: „Źródło danych GUS”, a w przypadku publikowania obliczeń dokonanych na danych opublikowanych przez GUS prosimy o zamieszczenie informacji: „Opracowanie własne na podstawie danych GUS”.</w:t>
      </w:r>
      <w:bookmarkEnd w:id="8"/>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DE2400" w14:paraId="708F907B" w14:textId="77777777" w:rsidTr="00B84C43">
        <w:trPr>
          <w:trHeight w:val="1626"/>
        </w:trPr>
        <w:tc>
          <w:tcPr>
            <w:tcW w:w="4926" w:type="dxa"/>
          </w:tcPr>
          <w:p w14:paraId="4187ADC2" w14:textId="77777777" w:rsidR="00DE2400" w:rsidRPr="004A1D19" w:rsidRDefault="00DE2400" w:rsidP="00DE2400">
            <w:pPr>
              <w:spacing w:before="0" w:after="0" w:line="276" w:lineRule="auto"/>
              <w:rPr>
                <w:rFonts w:cs="Arial"/>
                <w:sz w:val="20"/>
              </w:rPr>
            </w:pPr>
            <w:r w:rsidRPr="004A1D19">
              <w:rPr>
                <w:rFonts w:cs="Arial"/>
                <w:sz w:val="20"/>
              </w:rPr>
              <w:lastRenderedPageBreak/>
              <w:t>Opracowanie merytoryczne:</w:t>
            </w:r>
          </w:p>
          <w:p w14:paraId="0D21B37C" w14:textId="77777777" w:rsidR="00DE2400" w:rsidRPr="008925F0" w:rsidRDefault="00DE2400" w:rsidP="00DE2400">
            <w:pPr>
              <w:spacing w:before="0" w:line="276" w:lineRule="auto"/>
              <w:rPr>
                <w:rFonts w:cs="Arial"/>
                <w:b/>
                <w:color w:val="000000" w:themeColor="text1"/>
                <w:sz w:val="20"/>
              </w:rPr>
            </w:pPr>
            <w:r w:rsidRPr="008925F0">
              <w:rPr>
                <w:rFonts w:cs="Arial"/>
                <w:b/>
                <w:color w:val="000000" w:themeColor="text1"/>
                <w:sz w:val="20"/>
              </w:rPr>
              <w:t xml:space="preserve">Departament </w:t>
            </w:r>
            <w:r w:rsidR="00CF2B56">
              <w:rPr>
                <w:rFonts w:cs="Arial"/>
                <w:b/>
                <w:color w:val="000000" w:themeColor="text1"/>
                <w:sz w:val="20"/>
              </w:rPr>
              <w:t>Handlu i Usług</w:t>
            </w:r>
          </w:p>
          <w:p w14:paraId="60EF64E0" w14:textId="77777777" w:rsidR="00DE2400" w:rsidRPr="00AB1F20" w:rsidRDefault="00DE2400" w:rsidP="00747B8C">
            <w:pPr>
              <w:spacing w:before="0" w:after="0" w:line="276" w:lineRule="auto"/>
              <w:rPr>
                <w:b/>
                <w:sz w:val="20"/>
                <w:szCs w:val="20"/>
                <w:lang w:val="fi-FI"/>
              </w:rPr>
            </w:pPr>
            <w:r w:rsidRPr="00AB1F20">
              <w:rPr>
                <w:b/>
                <w:sz w:val="20"/>
                <w:szCs w:val="20"/>
                <w:lang w:val="fi-FI"/>
              </w:rPr>
              <w:t xml:space="preserve">Dyrektor </w:t>
            </w:r>
            <w:r w:rsidR="004C058E">
              <w:rPr>
                <w:b/>
                <w:sz w:val="20"/>
                <w:szCs w:val="20"/>
                <w:lang w:val="fi-FI"/>
              </w:rPr>
              <w:t xml:space="preserve">Ewa </w:t>
            </w:r>
            <w:r w:rsidR="00B064F7">
              <w:rPr>
                <w:b/>
                <w:sz w:val="20"/>
                <w:szCs w:val="20"/>
                <w:lang w:val="fi-FI"/>
              </w:rPr>
              <w:t>Adach-Stankiewicz</w:t>
            </w:r>
          </w:p>
          <w:p w14:paraId="5AFDD47E" w14:textId="77777777" w:rsidR="00DE2400" w:rsidRPr="00AB24E4" w:rsidRDefault="00DE2400" w:rsidP="00253AB6">
            <w:pPr>
              <w:pStyle w:val="Nagwek3"/>
              <w:spacing w:before="0" w:after="120" w:line="276" w:lineRule="auto"/>
              <w:outlineLvl w:val="2"/>
              <w:rPr>
                <w:rFonts w:ascii="Fira Sans" w:hAnsi="Fira Sans" w:cs="Arial"/>
                <w:color w:val="000000" w:themeColor="text1"/>
                <w:sz w:val="20"/>
                <w:lang w:val="fi-FI"/>
              </w:rPr>
            </w:pPr>
            <w:r w:rsidRPr="008F3638">
              <w:rPr>
                <w:rFonts w:ascii="Fira Sans" w:hAnsi="Fira Sans" w:cs="Arial"/>
                <w:color w:val="000000" w:themeColor="text1"/>
                <w:sz w:val="20"/>
                <w:lang w:val="fi-FI"/>
              </w:rPr>
              <w:t>Tel: 22</w:t>
            </w:r>
            <w:r w:rsidR="00CF2B56">
              <w:rPr>
                <w:rFonts w:ascii="Fira Sans" w:hAnsi="Fira Sans" w:cs="Arial"/>
                <w:color w:val="000000" w:themeColor="text1"/>
                <w:sz w:val="20"/>
                <w:lang w:val="fi-FI"/>
              </w:rPr>
              <w:t> 608 31 24</w:t>
            </w:r>
          </w:p>
        </w:tc>
        <w:tc>
          <w:tcPr>
            <w:tcW w:w="4927" w:type="dxa"/>
          </w:tcPr>
          <w:p w14:paraId="56CDCDEC" w14:textId="77777777" w:rsidR="00E90EB4" w:rsidRDefault="00E90EB4" w:rsidP="00E90EB4">
            <w:pPr>
              <w:spacing w:before="0" w:line="276" w:lineRule="auto"/>
              <w:rPr>
                <w:rFonts w:cs="Arial"/>
                <w:b/>
                <w:sz w:val="20"/>
              </w:rPr>
            </w:pPr>
            <w:r w:rsidRPr="004A1D19">
              <w:rPr>
                <w:rFonts w:cs="Arial"/>
                <w:sz w:val="20"/>
              </w:rPr>
              <w:t>Rozpowszechnianie:</w:t>
            </w:r>
            <w:r w:rsidRPr="004A1D19">
              <w:rPr>
                <w:rFonts w:cs="Arial"/>
                <w:sz w:val="20"/>
              </w:rPr>
              <w:br/>
            </w:r>
            <w:r>
              <w:rPr>
                <w:rFonts w:cs="Arial"/>
                <w:b/>
                <w:sz w:val="20"/>
              </w:rPr>
              <w:t>Wydział Współpracy z Mediami</w:t>
            </w:r>
          </w:p>
          <w:p w14:paraId="3061C302" w14:textId="77777777" w:rsidR="00E90EB4" w:rsidRDefault="00E90EB4" w:rsidP="00E90EB4">
            <w:r>
              <w:t>Tel. komórkowy: +48 695 255 032</w:t>
            </w:r>
          </w:p>
          <w:p w14:paraId="3182E943" w14:textId="77777777" w:rsidR="00E90EB4" w:rsidRDefault="00E90EB4" w:rsidP="00E90EB4">
            <w:pPr>
              <w:ind w:left="1494" w:hanging="1494"/>
            </w:pPr>
            <w:r>
              <w:t>Tel. stacjonarne: +48 22 608 38 04, +48 22 449 41 45,     +48 22 608 30 09</w:t>
            </w:r>
          </w:p>
          <w:p w14:paraId="063B7866" w14:textId="77777777" w:rsidR="00E90EB4" w:rsidRDefault="00E90EB4" w:rsidP="00E90EB4">
            <w:r w:rsidRPr="00610ED9">
              <w:rPr>
                <w:b/>
                <w:sz w:val="20"/>
              </w:rPr>
              <w:t>e-mail:</w:t>
            </w:r>
            <w:r w:rsidRPr="00610ED9">
              <w:rPr>
                <w:sz w:val="20"/>
              </w:rPr>
              <w:t xml:space="preserve"> </w:t>
            </w:r>
            <w:hyperlink r:id="rId19" w:history="1">
              <w:r w:rsidRPr="00610ED9">
                <w:rPr>
                  <w:rStyle w:val="Hipercze"/>
                  <w:rFonts w:eastAsiaTheme="majorEastAsia" w:cs="Arial"/>
                  <w:b/>
                  <w:color w:val="auto"/>
                  <w:sz w:val="20"/>
                  <w:szCs w:val="20"/>
                </w:rPr>
                <w:t>obslugaprasowa@stat.gov.pl</w:t>
              </w:r>
            </w:hyperlink>
          </w:p>
          <w:p w14:paraId="3286985A" w14:textId="77777777" w:rsidR="00DE2400" w:rsidRDefault="00DE2400" w:rsidP="00747B8C">
            <w:pPr>
              <w:rPr>
                <w:sz w:val="18"/>
              </w:rPr>
            </w:pPr>
          </w:p>
        </w:tc>
      </w:tr>
      <w:tr w:rsidR="00DE2400" w14:paraId="6D01318C" w14:textId="77777777" w:rsidTr="00B84C43">
        <w:trPr>
          <w:trHeight w:val="418"/>
        </w:trPr>
        <w:tc>
          <w:tcPr>
            <w:tcW w:w="4926" w:type="dxa"/>
            <w:vMerge w:val="restart"/>
          </w:tcPr>
          <w:p w14:paraId="4EA6AC14" w14:textId="77777777" w:rsidR="00DE2400" w:rsidRPr="00F05FC7" w:rsidRDefault="00DE2400" w:rsidP="00747B8C">
            <w:pPr>
              <w:rPr>
                <w:sz w:val="18"/>
                <w:lang w:val="en-US"/>
              </w:rPr>
            </w:pPr>
          </w:p>
        </w:tc>
        <w:tc>
          <w:tcPr>
            <w:tcW w:w="4927" w:type="dxa"/>
            <w:vAlign w:val="center"/>
          </w:tcPr>
          <w:p w14:paraId="6B245C98" w14:textId="77777777" w:rsidR="00DE2400" w:rsidRDefault="00DE2400" w:rsidP="00747B8C">
            <w:pPr>
              <w:ind w:firstLine="680"/>
              <w:rPr>
                <w:sz w:val="18"/>
              </w:rPr>
            </w:pPr>
            <w:r>
              <w:rPr>
                <w:noProof/>
                <w:sz w:val="20"/>
                <w:lang w:eastAsia="pl-PL"/>
              </w:rPr>
              <w:drawing>
                <wp:anchor distT="0" distB="0" distL="114300" distR="114300" simplePos="0" relativeHeight="251744256" behindDoc="0" locked="0" layoutInCell="1" allowOverlap="1" wp14:anchorId="3629833E" wp14:editId="719CAD7F">
                  <wp:simplePos x="0" y="0"/>
                  <wp:positionH relativeFrom="column">
                    <wp:posOffset>78740</wp:posOffset>
                  </wp:positionH>
                  <wp:positionV relativeFrom="paragraph">
                    <wp:posOffset>21590</wp:posOffset>
                  </wp:positionV>
                  <wp:extent cx="251460" cy="251460"/>
                  <wp:effectExtent l="0" t="0" r="0" b="0"/>
                  <wp:wrapNone/>
                  <wp:docPr id="21" name="Obraz 21" descr="Ikonka strony ww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stat.gov.pl</w:t>
            </w:r>
            <w:r>
              <w:rPr>
                <w:sz w:val="18"/>
              </w:rPr>
              <w:t xml:space="preserve">      </w:t>
            </w:r>
          </w:p>
        </w:tc>
      </w:tr>
      <w:tr w:rsidR="00DE2400" w14:paraId="637F7B4A" w14:textId="77777777" w:rsidTr="00B84C43">
        <w:trPr>
          <w:trHeight w:val="418"/>
        </w:trPr>
        <w:tc>
          <w:tcPr>
            <w:tcW w:w="4926" w:type="dxa"/>
            <w:vMerge/>
          </w:tcPr>
          <w:p w14:paraId="61D6AB4A" w14:textId="77777777" w:rsidR="00DE2400" w:rsidRPr="00C91687" w:rsidRDefault="00DE2400" w:rsidP="00747B8C">
            <w:pPr>
              <w:rPr>
                <w:b/>
                <w:sz w:val="20"/>
              </w:rPr>
            </w:pPr>
          </w:p>
        </w:tc>
        <w:tc>
          <w:tcPr>
            <w:tcW w:w="4927" w:type="dxa"/>
            <w:vAlign w:val="center"/>
          </w:tcPr>
          <w:p w14:paraId="03761139" w14:textId="77777777" w:rsidR="00DE2400" w:rsidRDefault="00531873" w:rsidP="00747B8C">
            <w:pPr>
              <w:ind w:firstLine="680"/>
              <w:rPr>
                <w:sz w:val="18"/>
              </w:rPr>
            </w:pPr>
            <w:r>
              <w:rPr>
                <w:noProof/>
                <w:sz w:val="20"/>
                <w:lang w:eastAsia="pl-PL"/>
              </w:rPr>
              <w:drawing>
                <wp:anchor distT="0" distB="0" distL="114300" distR="114300" simplePos="0" relativeHeight="251745280" behindDoc="0" locked="0" layoutInCell="1" allowOverlap="1" wp14:anchorId="22B8E862" wp14:editId="2AB7CC32">
                  <wp:simplePos x="0" y="0"/>
                  <wp:positionH relativeFrom="column">
                    <wp:posOffset>79375</wp:posOffset>
                  </wp:positionH>
                  <wp:positionV relativeFrom="paragraph">
                    <wp:posOffset>21590</wp:posOffset>
                  </wp:positionV>
                  <wp:extent cx="251460" cy="251460"/>
                  <wp:effectExtent l="0" t="0" r="0" b="0"/>
                  <wp:wrapNone/>
                  <wp:docPr id="22"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00DE2400" w:rsidRPr="003D5F42">
              <w:rPr>
                <w:sz w:val="20"/>
              </w:rPr>
              <w:t>@GUS_STAT</w:t>
            </w:r>
            <w:r w:rsidR="00DE2400">
              <w:rPr>
                <w:noProof/>
                <w:sz w:val="20"/>
                <w:lang w:eastAsia="pl-PL"/>
              </w:rPr>
              <w:t xml:space="preserve"> </w:t>
            </w:r>
          </w:p>
        </w:tc>
      </w:tr>
      <w:tr w:rsidR="00DE2400" w14:paraId="243B671D" w14:textId="77777777" w:rsidTr="00B84C43">
        <w:trPr>
          <w:trHeight w:val="476"/>
        </w:trPr>
        <w:tc>
          <w:tcPr>
            <w:tcW w:w="4926" w:type="dxa"/>
            <w:vMerge/>
          </w:tcPr>
          <w:p w14:paraId="2CA9BFF1" w14:textId="77777777" w:rsidR="00DE2400" w:rsidRPr="00C91687" w:rsidRDefault="00DE2400" w:rsidP="00747B8C">
            <w:pPr>
              <w:rPr>
                <w:b/>
                <w:sz w:val="20"/>
              </w:rPr>
            </w:pPr>
          </w:p>
        </w:tc>
        <w:tc>
          <w:tcPr>
            <w:tcW w:w="4927" w:type="dxa"/>
          </w:tcPr>
          <w:p w14:paraId="07355646" w14:textId="77777777" w:rsidR="00DE2400" w:rsidRDefault="00531873" w:rsidP="00747B8C">
            <w:pPr>
              <w:ind w:firstLine="680"/>
              <w:rPr>
                <w:sz w:val="18"/>
              </w:rPr>
            </w:pPr>
            <w:r>
              <w:rPr>
                <w:noProof/>
                <w:sz w:val="20"/>
                <w:lang w:eastAsia="pl-PL"/>
              </w:rPr>
              <w:drawing>
                <wp:anchor distT="0" distB="0" distL="114300" distR="114300" simplePos="0" relativeHeight="251746304" behindDoc="0" locked="0" layoutInCell="1" allowOverlap="1" wp14:anchorId="682176C6" wp14:editId="66D6773F">
                  <wp:simplePos x="0" y="0"/>
                  <wp:positionH relativeFrom="column">
                    <wp:posOffset>80645</wp:posOffset>
                  </wp:positionH>
                  <wp:positionV relativeFrom="paragraph">
                    <wp:posOffset>13970</wp:posOffset>
                  </wp:positionV>
                  <wp:extent cx="251460" cy="251460"/>
                  <wp:effectExtent l="0" t="0" r="0" b="0"/>
                  <wp:wrapNone/>
                  <wp:docPr id="23" name="Obraz 23" descr="Ikonka faceboo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00DE2400" w:rsidRPr="003D5F42">
              <w:rPr>
                <w:sz w:val="20"/>
              </w:rPr>
              <w:t>@</w:t>
            </w:r>
            <w:proofErr w:type="spellStart"/>
            <w:r w:rsidR="00DE2400" w:rsidRPr="003D5F42">
              <w:rPr>
                <w:sz w:val="20"/>
              </w:rPr>
              <w:t>GlownyUrzadStatystyczny</w:t>
            </w:r>
            <w:proofErr w:type="spellEnd"/>
            <w:r w:rsidR="00DE2400">
              <w:rPr>
                <w:noProof/>
                <w:sz w:val="20"/>
                <w:lang w:eastAsia="pl-PL"/>
              </w:rPr>
              <w:t xml:space="preserve"> </w:t>
            </w:r>
          </w:p>
        </w:tc>
      </w:tr>
      <w:tr w:rsidR="00531873" w14:paraId="6C33110B" w14:textId="77777777" w:rsidTr="00B84C43">
        <w:trPr>
          <w:trHeight w:val="426"/>
        </w:trPr>
        <w:tc>
          <w:tcPr>
            <w:tcW w:w="4926" w:type="dxa"/>
          </w:tcPr>
          <w:p w14:paraId="15EF9968" w14:textId="77777777" w:rsidR="00531873" w:rsidRPr="00C91687" w:rsidRDefault="00531873" w:rsidP="00531873">
            <w:pPr>
              <w:rPr>
                <w:b/>
                <w:sz w:val="20"/>
              </w:rPr>
            </w:pPr>
          </w:p>
        </w:tc>
        <w:tc>
          <w:tcPr>
            <w:tcW w:w="4927" w:type="dxa"/>
          </w:tcPr>
          <w:p w14:paraId="23DCE467" w14:textId="77777777" w:rsidR="00531873" w:rsidRDefault="00531873" w:rsidP="00531873">
            <w:pPr>
              <w:ind w:firstLine="680"/>
              <w:rPr>
                <w:noProof/>
                <w:sz w:val="20"/>
                <w:lang w:eastAsia="pl-PL"/>
              </w:rPr>
            </w:pPr>
            <w:r>
              <w:rPr>
                <w:noProof/>
                <w:sz w:val="20"/>
                <w:lang w:eastAsia="pl-PL"/>
              </w:rPr>
              <w:drawing>
                <wp:anchor distT="0" distB="0" distL="114300" distR="114300" simplePos="0" relativeHeight="251753472" behindDoc="0" locked="0" layoutInCell="1" allowOverlap="1" wp14:anchorId="4CA9AC9D" wp14:editId="244FDF20">
                  <wp:simplePos x="0" y="0"/>
                  <wp:positionH relativeFrom="column">
                    <wp:posOffset>82550</wp:posOffset>
                  </wp:positionH>
                  <wp:positionV relativeFrom="paragraph">
                    <wp:posOffset>12700</wp:posOffset>
                  </wp:positionV>
                  <wp:extent cx="251460" cy="251460"/>
                  <wp:effectExtent l="0" t="0" r="0" b="0"/>
                  <wp:wrapNone/>
                  <wp:docPr id="5" name="Obraz 5" descr="Ikonka instagra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531873">
              <w:rPr>
                <w:sz w:val="20"/>
              </w:rPr>
              <w:t>gus_stat</w:t>
            </w:r>
            <w:proofErr w:type="spellEnd"/>
          </w:p>
        </w:tc>
      </w:tr>
      <w:tr w:rsidR="00531873" w14:paraId="7DDA2CC8" w14:textId="77777777" w:rsidTr="00B84C43">
        <w:trPr>
          <w:trHeight w:val="504"/>
        </w:trPr>
        <w:tc>
          <w:tcPr>
            <w:tcW w:w="4926" w:type="dxa"/>
          </w:tcPr>
          <w:p w14:paraId="7E21B3BA" w14:textId="77777777" w:rsidR="00531873" w:rsidRPr="00C91687" w:rsidRDefault="00531873" w:rsidP="00531873">
            <w:pPr>
              <w:rPr>
                <w:b/>
                <w:sz w:val="20"/>
              </w:rPr>
            </w:pPr>
          </w:p>
        </w:tc>
        <w:tc>
          <w:tcPr>
            <w:tcW w:w="4927" w:type="dxa"/>
          </w:tcPr>
          <w:p w14:paraId="6DF8D397" w14:textId="77777777" w:rsidR="00531873" w:rsidRDefault="00531873" w:rsidP="00531873">
            <w:pPr>
              <w:ind w:firstLine="680"/>
              <w:rPr>
                <w:noProof/>
                <w:sz w:val="20"/>
                <w:lang w:eastAsia="pl-PL"/>
              </w:rPr>
            </w:pPr>
            <w:r>
              <w:rPr>
                <w:noProof/>
                <w:sz w:val="20"/>
                <w:lang w:eastAsia="pl-PL"/>
              </w:rPr>
              <w:drawing>
                <wp:anchor distT="0" distB="0" distL="114300" distR="114300" simplePos="0" relativeHeight="251755520" behindDoc="0" locked="0" layoutInCell="1" allowOverlap="1" wp14:anchorId="272F8B2B" wp14:editId="65FAC177">
                  <wp:simplePos x="0" y="0"/>
                  <wp:positionH relativeFrom="column">
                    <wp:posOffset>82550</wp:posOffset>
                  </wp:positionH>
                  <wp:positionV relativeFrom="paragraph">
                    <wp:posOffset>13970</wp:posOffset>
                  </wp:positionV>
                  <wp:extent cx="251460" cy="251460"/>
                  <wp:effectExtent l="0" t="0" r="0" b="0"/>
                  <wp:wrapNone/>
                  <wp:docPr id="11" name="Obraz 11" descr="Ikonka Youtu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531873">
              <w:rPr>
                <w:sz w:val="20"/>
              </w:rPr>
              <w:t>glownyurzadstatystycznygus</w:t>
            </w:r>
            <w:proofErr w:type="spellEnd"/>
          </w:p>
        </w:tc>
      </w:tr>
      <w:tr w:rsidR="00531873" w14:paraId="29E09BD9" w14:textId="77777777" w:rsidTr="00B84C43">
        <w:trPr>
          <w:trHeight w:val="1546"/>
        </w:trPr>
        <w:tc>
          <w:tcPr>
            <w:tcW w:w="4926" w:type="dxa"/>
          </w:tcPr>
          <w:p w14:paraId="35F4E846" w14:textId="77777777" w:rsidR="00531873" w:rsidRPr="00C91687" w:rsidRDefault="00531873" w:rsidP="00531873">
            <w:pPr>
              <w:rPr>
                <w:b/>
                <w:sz w:val="20"/>
              </w:rPr>
            </w:pPr>
          </w:p>
        </w:tc>
        <w:tc>
          <w:tcPr>
            <w:tcW w:w="4927" w:type="dxa"/>
          </w:tcPr>
          <w:p w14:paraId="0F7F8366" w14:textId="77777777" w:rsidR="00531873" w:rsidRDefault="00531873" w:rsidP="00531873">
            <w:pPr>
              <w:ind w:firstLine="680"/>
              <w:rPr>
                <w:noProof/>
                <w:sz w:val="20"/>
                <w:lang w:eastAsia="pl-PL"/>
              </w:rPr>
            </w:pPr>
            <w:r w:rsidRPr="00531873">
              <w:rPr>
                <w:noProof/>
                <w:sz w:val="20"/>
                <w:lang w:eastAsia="pl-PL"/>
              </w:rPr>
              <w:t>glownyurzadstatystyczny</w:t>
            </w:r>
            <w:r>
              <w:rPr>
                <w:noProof/>
                <w:sz w:val="20"/>
                <w:lang w:eastAsia="pl-PL"/>
              </w:rPr>
              <w:drawing>
                <wp:anchor distT="0" distB="0" distL="114300" distR="114300" simplePos="0" relativeHeight="251757568" behindDoc="0" locked="0" layoutInCell="1" allowOverlap="1" wp14:anchorId="5FDCF20E" wp14:editId="3A3EFEA5">
                  <wp:simplePos x="0" y="0"/>
                  <wp:positionH relativeFrom="column">
                    <wp:posOffset>82550</wp:posOffset>
                  </wp:positionH>
                  <wp:positionV relativeFrom="paragraph">
                    <wp:posOffset>15240</wp:posOffset>
                  </wp:positionV>
                  <wp:extent cx="251460" cy="251460"/>
                  <wp:effectExtent l="0" t="0" r="0" b="0"/>
                  <wp:wrapNone/>
                  <wp:docPr id="14" name="Obraz 14" descr="Ikonka linked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531873" w:rsidRPr="00B93797" w14:paraId="237B9583" w14:textId="77777777" w:rsidTr="00B84C43">
        <w:trPr>
          <w:trHeight w:val="4114"/>
        </w:trPr>
        <w:tc>
          <w:tcPr>
            <w:tcW w:w="9853" w:type="dxa"/>
            <w:gridSpan w:val="2"/>
            <w:shd w:val="clear" w:color="auto" w:fill="D9D9D9" w:themeFill="background1" w:themeFillShade="D9"/>
          </w:tcPr>
          <w:p w14:paraId="28C7ABBA" w14:textId="35FDFC61" w:rsidR="00B93797" w:rsidRPr="00B93797" w:rsidRDefault="00B93797" w:rsidP="00B93797">
            <w:pPr>
              <w:shd w:val="clear" w:color="auto" w:fill="D9D9D9" w:themeFill="background1" w:themeFillShade="D9"/>
              <w:rPr>
                <w:b/>
                <w:color w:val="0000FF"/>
                <w:u w:val="single"/>
              </w:rPr>
            </w:pPr>
            <w:r w:rsidRPr="00B93797">
              <w:rPr>
                <w:b/>
              </w:rPr>
              <w:t>Powiązane opracowan</w:t>
            </w:r>
            <w:r w:rsidRPr="00B93797">
              <w:rPr>
                <w:b/>
              </w:rPr>
              <w:fldChar w:fldCharType="begin"/>
            </w:r>
            <w:r w:rsidR="000207AB">
              <w:rPr>
                <w:b/>
              </w:rPr>
              <w:instrText>HYPERLINK "https://stat.gov.pl/obszary-tematyczne/inne-opracowania/informacje-o-sytuacji-spoleczno-gospodarczej/biuletyn-statystyczny-nr-102025,4,167.html" \o "Link do publikacji Biuletyn Statystyczny"</w:instrText>
            </w:r>
            <w:r w:rsidRPr="00B93797">
              <w:rPr>
                <w:b/>
              </w:rPr>
              <w:fldChar w:fldCharType="separate"/>
            </w:r>
            <w:r w:rsidRPr="00B93797">
              <w:rPr>
                <w:b/>
              </w:rPr>
              <w:t>ia</w:t>
            </w:r>
          </w:p>
          <w:p w14:paraId="0F13B486" w14:textId="77777777" w:rsidR="00B93797" w:rsidRPr="00B93797" w:rsidRDefault="00B93797" w:rsidP="00B93797">
            <w:pPr>
              <w:rPr>
                <w:rFonts w:cs="Times New Roman"/>
                <w:color w:val="001381"/>
                <w:u w:val="single"/>
              </w:rPr>
            </w:pPr>
            <w:r w:rsidRPr="00B93797">
              <w:rPr>
                <w:rFonts w:cs="Times New Roman"/>
                <w:color w:val="001381"/>
                <w:u w:val="single"/>
              </w:rPr>
              <w:t>Biuletyn Statystyczny</w:t>
            </w:r>
          </w:p>
          <w:p w14:paraId="020123C4" w14:textId="77777777" w:rsidR="00B93797" w:rsidRPr="00B93797" w:rsidRDefault="00B93797" w:rsidP="00B93797">
            <w:pPr>
              <w:rPr>
                <w:rFonts w:cs="Times New Roman"/>
                <w:color w:val="001381"/>
                <w:u w:val="single"/>
              </w:rPr>
            </w:pPr>
            <w:r w:rsidRPr="00B93797">
              <w:rPr>
                <w:b/>
              </w:rPr>
              <w:fldChar w:fldCharType="end"/>
            </w:r>
            <w:r w:rsidRPr="00B93797">
              <w:rPr>
                <w:rFonts w:cs="Times New Roman"/>
                <w:color w:val="001381"/>
              </w:rPr>
              <w:fldChar w:fldCharType="begin"/>
            </w:r>
            <w:r w:rsidR="006A5BB2">
              <w:rPr>
                <w:rFonts w:cs="Times New Roman"/>
                <w:color w:val="001381"/>
              </w:rPr>
              <w:instrText>HYPERLINK "https://stat.gov.pl/sygnalne/informacje-sygnalne/" \o "Link do publikacji Informacje sygnalne"</w:instrText>
            </w:r>
            <w:r w:rsidRPr="00B93797">
              <w:rPr>
                <w:rFonts w:cs="Times New Roman"/>
                <w:color w:val="001381"/>
              </w:rPr>
              <w:fldChar w:fldCharType="separate"/>
            </w:r>
            <w:r w:rsidRPr="00B93797">
              <w:rPr>
                <w:rFonts w:cs="Times New Roman"/>
                <w:color w:val="001381"/>
                <w:u w:val="single"/>
              </w:rPr>
              <w:t xml:space="preserve">Informacje sygnalne </w:t>
            </w:r>
          </w:p>
          <w:p w14:paraId="00C5DAB1" w14:textId="77777777" w:rsidR="001B10C5" w:rsidRPr="002209CF" w:rsidRDefault="00B93797" w:rsidP="001B10C5">
            <w:pPr>
              <w:rPr>
                <w:color w:val="001381"/>
              </w:rPr>
            </w:pPr>
            <w:r w:rsidRPr="00B93797">
              <w:rPr>
                <w:rFonts w:cs="Times New Roman"/>
                <w:color w:val="001381"/>
              </w:rPr>
              <w:fldChar w:fldCharType="end"/>
            </w:r>
            <w:r w:rsidR="002C0BA1">
              <w:rPr>
                <w:rFonts w:cs="Times New Roman"/>
                <w:color w:val="001381"/>
                <w:u w:val="single"/>
              </w:rPr>
              <w:fldChar w:fldCharType="begin"/>
            </w:r>
            <w:r w:rsidR="001C294A">
              <w:rPr>
                <w:rFonts w:cs="Times New Roman"/>
                <w:color w:val="001381"/>
                <w:u w:val="single"/>
              </w:rPr>
              <w:instrText>HYPERLINK "https://ssgk.stat.gov.pl/"</w:instrText>
            </w:r>
            <w:r w:rsidR="002C0BA1">
              <w:rPr>
                <w:rFonts w:cs="Times New Roman"/>
                <w:color w:val="001381"/>
                <w:u w:val="single"/>
              </w:rPr>
              <w:fldChar w:fldCharType="separate"/>
            </w:r>
            <w:r w:rsidR="006F2064" w:rsidRPr="002209CF">
              <w:rPr>
                <w:rFonts w:cs="Times New Roman"/>
                <w:color w:val="001381"/>
                <w:u w:val="single"/>
              </w:rPr>
              <w:t>Sytuacja społeczno-gospodarcza kraju</w:t>
            </w:r>
          </w:p>
          <w:p w14:paraId="41636C87" w14:textId="77777777" w:rsidR="00B93797" w:rsidRPr="00B93797" w:rsidRDefault="002C0BA1" w:rsidP="00B93797">
            <w:pPr>
              <w:shd w:val="clear" w:color="auto" w:fill="D9D9D9" w:themeFill="background1" w:themeFillShade="D9"/>
              <w:spacing w:before="360"/>
              <w:rPr>
                <w:b/>
                <w:color w:val="000000" w:themeColor="text1"/>
                <w:szCs w:val="24"/>
              </w:rPr>
            </w:pPr>
            <w:r>
              <w:rPr>
                <w:rFonts w:cs="Times New Roman"/>
                <w:color w:val="001381"/>
                <w:u w:val="single"/>
              </w:rPr>
              <w:fldChar w:fldCharType="end"/>
            </w:r>
            <w:r w:rsidR="00B93797" w:rsidRPr="00B93797">
              <w:rPr>
                <w:b/>
                <w:color w:val="000000" w:themeColor="text1"/>
                <w:szCs w:val="24"/>
              </w:rPr>
              <w:t>Temat dostępny w bazach danych</w:t>
            </w:r>
          </w:p>
          <w:p w14:paraId="1E4758AC" w14:textId="77777777" w:rsidR="00B93797" w:rsidRPr="00B93797" w:rsidRDefault="00B93797" w:rsidP="00B93797">
            <w:pPr>
              <w:rPr>
                <w:rFonts w:cs="Times New Roman"/>
                <w:color w:val="001381"/>
                <w:u w:val="single"/>
              </w:rPr>
            </w:pPr>
            <w:r w:rsidRPr="00B93797">
              <w:rPr>
                <w:rFonts w:cs="Times New Roman"/>
                <w:color w:val="001381"/>
                <w:u w:val="single"/>
              </w:rPr>
              <w:fldChar w:fldCharType="begin"/>
            </w:r>
            <w:r w:rsidR="00E24D28">
              <w:rPr>
                <w:rFonts w:cs="Times New Roman"/>
                <w:color w:val="001381"/>
                <w:u w:val="single"/>
              </w:rPr>
              <w:instrText>HYPERLINK "https://dbw.stat.gov.pl/" \o "Link do Dziedzinowej Bazy Wiedzy Ceny"</w:instrText>
            </w:r>
            <w:r w:rsidRPr="00B93797">
              <w:rPr>
                <w:rFonts w:cs="Times New Roman"/>
                <w:color w:val="001381"/>
                <w:u w:val="single"/>
              </w:rPr>
              <w:fldChar w:fldCharType="separate"/>
            </w:r>
            <w:r w:rsidRPr="00B93797">
              <w:rPr>
                <w:rFonts w:cs="Times New Roman"/>
                <w:color w:val="001381"/>
                <w:u w:val="single"/>
              </w:rPr>
              <w:t>Dziedzinowa Baza Wiedzy Ceny</w:t>
            </w:r>
          </w:p>
          <w:p w14:paraId="322178DB" w14:textId="77777777" w:rsidR="00B93797" w:rsidRPr="00B93797" w:rsidRDefault="00B93797" w:rsidP="00B93797">
            <w:pPr>
              <w:rPr>
                <w:rFonts w:cs="Times New Roman"/>
                <w:color w:val="001381"/>
                <w:u w:val="single"/>
              </w:rPr>
            </w:pPr>
            <w:r w:rsidRPr="00B93797">
              <w:rPr>
                <w:rFonts w:cs="Times New Roman"/>
                <w:color w:val="001381"/>
                <w:u w:val="single"/>
              </w:rPr>
              <w:fldChar w:fldCharType="end"/>
            </w:r>
            <w:r w:rsidRPr="00B93797">
              <w:rPr>
                <w:rFonts w:cs="Times New Roman"/>
                <w:color w:val="001381"/>
                <w:u w:val="single"/>
              </w:rPr>
              <w:fldChar w:fldCharType="begin"/>
            </w:r>
            <w:r w:rsidRPr="00B93797">
              <w:rPr>
                <w:rFonts w:cs="Times New Roman"/>
                <w:color w:val="001381"/>
                <w:u w:val="single"/>
              </w:rPr>
              <w:instrText>HYPERLINK "http://bdm.stat.gov.pl/" \o "Link do Banku Danych Makroekonomicznych"</w:instrText>
            </w:r>
            <w:r w:rsidRPr="00B93797">
              <w:rPr>
                <w:rFonts w:cs="Times New Roman"/>
                <w:color w:val="001381"/>
                <w:u w:val="single"/>
              </w:rPr>
              <w:fldChar w:fldCharType="separate"/>
            </w:r>
            <w:r w:rsidRPr="00B93797">
              <w:rPr>
                <w:rFonts w:cs="Times New Roman"/>
                <w:color w:val="001381"/>
                <w:u w:val="single"/>
              </w:rPr>
              <w:t>Bank Danych Makroekonomicznych</w:t>
            </w:r>
          </w:p>
          <w:p w14:paraId="49263024" w14:textId="77777777" w:rsidR="00B93797" w:rsidRPr="00B93797" w:rsidRDefault="00B93797" w:rsidP="00B93797">
            <w:pPr>
              <w:rPr>
                <w:rFonts w:cs="Arial"/>
                <w:color w:val="001381"/>
                <w:sz w:val="18"/>
                <w:szCs w:val="30"/>
                <w:u w:val="single"/>
                <w:shd w:val="clear" w:color="auto" w:fill="F0F0F0"/>
              </w:rPr>
            </w:pPr>
            <w:r w:rsidRPr="00B93797">
              <w:rPr>
                <w:rFonts w:cs="Times New Roman"/>
                <w:color w:val="001381"/>
                <w:u w:val="single"/>
              </w:rPr>
              <w:fldChar w:fldCharType="end"/>
            </w:r>
            <w:r w:rsidRPr="00B93797">
              <w:rPr>
                <w:rFonts w:cs="Times New Roman"/>
                <w:color w:val="0000FF"/>
                <w:u w:val="single"/>
              </w:rPr>
              <w:fldChar w:fldCharType="begin"/>
            </w:r>
            <w:r w:rsidRPr="00B93797">
              <w:rPr>
                <w:rFonts w:cs="Times New Roman"/>
                <w:color w:val="0000FF"/>
                <w:u w:val="single"/>
              </w:rPr>
              <w:instrText>HYPERLINK "http://stat.gov.pl/obszary-tematyczne/ceny-handel/wskazniki-cen/" \o "Link do bazy danych Wskaźniki cen"</w:instrText>
            </w:r>
            <w:r w:rsidRPr="00B93797">
              <w:rPr>
                <w:rFonts w:cs="Times New Roman"/>
                <w:color w:val="0000FF"/>
                <w:u w:val="single"/>
              </w:rPr>
              <w:fldChar w:fldCharType="separate"/>
            </w:r>
            <w:r w:rsidRPr="00B93797">
              <w:rPr>
                <w:rFonts w:cs="Times New Roman"/>
                <w:color w:val="001381"/>
                <w:u w:val="single"/>
              </w:rPr>
              <w:t>Wskaźniki cen (Obszary tematyczne: Ceny, Handel)</w:t>
            </w:r>
          </w:p>
          <w:p w14:paraId="5911B2F6" w14:textId="77777777" w:rsidR="00B93797" w:rsidRPr="00B93797" w:rsidRDefault="00B93797" w:rsidP="00B93797">
            <w:pPr>
              <w:shd w:val="clear" w:color="auto" w:fill="D9D9D9" w:themeFill="background1" w:themeFillShade="D9"/>
              <w:spacing w:before="360"/>
              <w:rPr>
                <w:b/>
                <w:color w:val="000000" w:themeColor="text1"/>
                <w:szCs w:val="24"/>
              </w:rPr>
            </w:pPr>
            <w:r w:rsidRPr="00B93797">
              <w:rPr>
                <w:rFonts w:cs="Times New Roman"/>
                <w:color w:val="0000FF"/>
                <w:u w:val="single"/>
              </w:rPr>
              <w:fldChar w:fldCharType="end"/>
            </w:r>
            <w:r w:rsidRPr="00B93797">
              <w:rPr>
                <w:b/>
                <w:color w:val="000000" w:themeColor="text1"/>
                <w:szCs w:val="24"/>
              </w:rPr>
              <w:t>Ważniejsze pojęcia dostępne w słowniku</w:t>
            </w:r>
          </w:p>
          <w:p w14:paraId="170B7810" w14:textId="77777777" w:rsidR="00B93797" w:rsidRPr="00B93797" w:rsidRDefault="00B93797" w:rsidP="00B93797">
            <w:pPr>
              <w:rPr>
                <w:rFonts w:cs="Times New Roman"/>
                <w:color w:val="001381"/>
                <w:u w:val="single"/>
              </w:rPr>
            </w:pPr>
            <w:r w:rsidRPr="00B93797">
              <w:rPr>
                <w:rFonts w:cs="Times New Roman"/>
                <w:color w:val="001381"/>
                <w:u w:val="single"/>
              </w:rPr>
              <w:fldChar w:fldCharType="begin"/>
            </w:r>
            <w:r w:rsidRPr="00B93797">
              <w:rPr>
                <w:rFonts w:cs="Times New Roman"/>
                <w:color w:val="001381"/>
                <w:u w:val="single"/>
              </w:rPr>
              <w:instrText>HYPERLINK "http://stat.gov.pl/metainformacje/slownik-pojec/pojecia-stosowane-w-statystyce-publicznej/708,pojecie.html" \o "Link do definicji pojęcia Wskaźnik cen produkcji sprzedanej przemysłu"</w:instrText>
            </w:r>
            <w:r w:rsidRPr="00B93797">
              <w:rPr>
                <w:rFonts w:cs="Times New Roman"/>
                <w:color w:val="001381"/>
                <w:u w:val="single"/>
              </w:rPr>
              <w:fldChar w:fldCharType="separate"/>
            </w:r>
            <w:r w:rsidRPr="00B93797">
              <w:rPr>
                <w:rFonts w:cs="Times New Roman"/>
                <w:color w:val="001381"/>
                <w:u w:val="single"/>
              </w:rPr>
              <w:t>Wskaźnik cen produkcji sprzedanej przemysłu</w:t>
            </w:r>
          </w:p>
          <w:p w14:paraId="2E09B87C" w14:textId="77777777" w:rsidR="00B93797" w:rsidRPr="00B93797" w:rsidRDefault="00B93797" w:rsidP="00B93797">
            <w:pPr>
              <w:rPr>
                <w:b/>
                <w:color w:val="000000" w:themeColor="text1"/>
                <w:szCs w:val="24"/>
              </w:rPr>
            </w:pPr>
            <w:r w:rsidRPr="00B93797">
              <w:rPr>
                <w:rFonts w:cs="Times New Roman"/>
                <w:color w:val="001381"/>
                <w:u w:val="single"/>
              </w:rPr>
              <w:fldChar w:fldCharType="end"/>
            </w:r>
          </w:p>
          <w:p w14:paraId="45F72924" w14:textId="77777777" w:rsidR="00B93797" w:rsidRPr="00B93797" w:rsidRDefault="00B93797" w:rsidP="00B93797">
            <w:pPr>
              <w:rPr>
                <w:b/>
                <w:color w:val="000000" w:themeColor="text1"/>
                <w:szCs w:val="24"/>
              </w:rPr>
            </w:pPr>
          </w:p>
          <w:p w14:paraId="35F2177B" w14:textId="77777777" w:rsidR="00531873" w:rsidRPr="00B93797" w:rsidRDefault="00531873" w:rsidP="00531873">
            <w:pPr>
              <w:rPr>
                <w:b/>
                <w:color w:val="000000" w:themeColor="text1"/>
                <w:szCs w:val="24"/>
              </w:rPr>
            </w:pPr>
          </w:p>
        </w:tc>
      </w:tr>
    </w:tbl>
    <w:p w14:paraId="57239589" w14:textId="77777777" w:rsidR="000470AA" w:rsidRPr="00B93797" w:rsidRDefault="000470AA" w:rsidP="000470AA">
      <w:pPr>
        <w:rPr>
          <w:sz w:val="18"/>
        </w:rPr>
      </w:pPr>
    </w:p>
    <w:p w14:paraId="0B2C8589" w14:textId="77777777" w:rsidR="000470AA" w:rsidRPr="00B93797" w:rsidRDefault="000470AA" w:rsidP="000470AA">
      <w:pPr>
        <w:rPr>
          <w:sz w:val="20"/>
        </w:rPr>
      </w:pPr>
    </w:p>
    <w:p w14:paraId="460B874D" w14:textId="77777777" w:rsidR="000470AA" w:rsidRPr="00B93797" w:rsidRDefault="000470AA" w:rsidP="000470AA">
      <w:pPr>
        <w:rPr>
          <w:sz w:val="18"/>
        </w:rPr>
      </w:pPr>
    </w:p>
    <w:p w14:paraId="43526718" w14:textId="77777777" w:rsidR="00D261A2" w:rsidRPr="00B93797" w:rsidRDefault="00D261A2" w:rsidP="00AD0E56">
      <w:pPr>
        <w:rPr>
          <w:sz w:val="18"/>
        </w:rPr>
      </w:pPr>
    </w:p>
    <w:sectPr w:rsidR="00D261A2" w:rsidRPr="00B93797" w:rsidSect="003B18B6">
      <w:headerReference w:type="default" r:id="rId26"/>
      <w:footerReference w:type="default" r:id="rId27"/>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0013ED6" w14:textId="77777777" w:rsidR="00D5687F" w:rsidRDefault="00D5687F" w:rsidP="000662E2">
      <w:pPr>
        <w:spacing w:after="0" w:line="240" w:lineRule="auto"/>
      </w:pPr>
      <w:r>
        <w:separator/>
      </w:r>
    </w:p>
  </w:endnote>
  <w:endnote w:type="continuationSeparator" w:id="0">
    <w:p w14:paraId="3588D69C" w14:textId="77777777" w:rsidR="00D5687F" w:rsidRDefault="00D5687F"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Light">
    <w:panose1 w:val="020B0403050000020004"/>
    <w:charset w:val="EE"/>
    <w:family w:val="swiss"/>
    <w:pitch w:val="variable"/>
    <w:sig w:usb0="600002FF" w:usb1="02000001" w:usb2="00000000" w:usb3="00000000" w:csb0="0000019F" w:csb1="00000000"/>
    <w:embedRegular r:id="rId1" w:fontKey="{6669FAC4-C035-4A82-972D-0070E91174FA}"/>
    <w:embedBold r:id="rId2" w:fontKey="{D42BF7C0-2401-44BC-8FDF-6A4B3D10B016}"/>
    <w:embedItalic r:id="rId3" w:fontKey="{C8C176FA-8F21-4110-BBB5-7B19DF87DE8F}"/>
  </w:font>
  <w:font w:name="Fira Sans">
    <w:panose1 w:val="020B0503050000020004"/>
    <w:charset w:val="EE"/>
    <w:family w:val="swiss"/>
    <w:pitch w:val="variable"/>
    <w:sig w:usb0="600002FF" w:usb1="02000001" w:usb2="00000000" w:usb3="00000000" w:csb0="0000019F" w:csb1="00000000"/>
    <w:embedRegular r:id="rId4" w:fontKey="{556838BD-17A1-4E75-AFDF-86C5B78F56EA}"/>
    <w:embedBold r:id="rId5" w:fontKey="{E89FC21D-66B1-49C1-BC7A-E40E41AAA42E}"/>
    <w:embedItalic r:id="rId6" w:fontKey="{E8D95E6A-8865-4F00-95C3-718EB916AD44}"/>
  </w:font>
  <w:font w:name="Fira Sans SemiBold">
    <w:panose1 w:val="020B0603050000020004"/>
    <w:charset w:val="EE"/>
    <w:family w:val="swiss"/>
    <w:pitch w:val="variable"/>
    <w:sig w:usb0="600002FF" w:usb1="02000001" w:usb2="00000000" w:usb3="00000000" w:csb0="0000019F" w:csb1="00000000"/>
    <w:embedRegular r:id="rId7" w:fontKey="{EB9D846F-7508-4DAE-9E77-10A1E45606F9}"/>
    <w:embedBold r:id="rId8" w:fontKey="{826A3AC5-74F4-4BDF-96CF-D4D4997F9284}"/>
  </w:font>
  <w:font w:name="Fira Sans Medium">
    <w:panose1 w:val="020B0603050000020004"/>
    <w:charset w:val="EE"/>
    <w:family w:val="swiss"/>
    <w:pitch w:val="variable"/>
    <w:sig w:usb0="600002FF" w:usb1="02000001" w:usb2="00000000" w:usb3="00000000" w:csb0="0000019F" w:csb1="00000000"/>
    <w:embedRegular r:id="rId9" w:fontKey="{75DE4F4B-AD1E-40A4-B8EE-B851FBA6F041}"/>
    <w:embedItalic r:id="rId10" w:fontKey="{DD41277A-8FC5-4880-BC6C-0A626451D83B}"/>
  </w:font>
  <w:font w:name="Segoe UI">
    <w:panose1 w:val="020B0502040204020203"/>
    <w:charset w:val="EE"/>
    <w:family w:val="swiss"/>
    <w:pitch w:val="variable"/>
    <w:sig w:usb0="E4002EFF" w:usb1="C000E47F" w:usb2="00000009" w:usb3="00000000" w:csb0="000001FF" w:csb1="00000000"/>
    <w:embedRegular r:id="rId11" w:fontKey="{D3E7DE92-C447-4DDC-9EF0-52DC3C85F653}"/>
  </w:font>
  <w:font w:name="Fira Sans Extra Condensed SemiB">
    <w:panose1 w:val="020B0603050000020004"/>
    <w:charset w:val="EE"/>
    <w:family w:val="swiss"/>
    <w:pitch w:val="variable"/>
    <w:sig w:usb0="600002FF" w:usb1="00000001" w:usb2="00000000" w:usb3="00000000" w:csb0="0000019F" w:csb1="00000000"/>
    <w:embedRegular r:id="rId12" w:fontKey="{839AE6AC-562F-4E97-9327-E38046E2404B}"/>
  </w:font>
  <w:font w:name="Calibri">
    <w:panose1 w:val="020F0502020204030204"/>
    <w:charset w:val="EE"/>
    <w:family w:val="swiss"/>
    <w:pitch w:val="variable"/>
    <w:sig w:usb0="E4002EFF" w:usb1="C200247B" w:usb2="00000009" w:usb3="00000000" w:csb0="000001FF" w:csb1="00000000"/>
    <w:embedRegular r:id="rId13" w:fontKey="{7A639E7D-EC34-402E-9DDE-399CB31473EA}"/>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10575277"/>
      <w:docPartObj>
        <w:docPartGallery w:val="Page Numbers (Bottom of Page)"/>
        <w:docPartUnique/>
      </w:docPartObj>
    </w:sdtPr>
    <w:sdtEndPr/>
    <w:sdtContent>
      <w:p w14:paraId="6B0BE85D" w14:textId="77777777" w:rsidR="00EB556D" w:rsidRDefault="00541E6E" w:rsidP="003B18B6">
        <w:pPr>
          <w:pStyle w:val="Stopka"/>
          <w:jc w:val="center"/>
        </w:pPr>
        <w:r>
          <w:fldChar w:fldCharType="begin"/>
        </w:r>
        <w:r>
          <w:instrText>PAGE   \* MERGEFORMAT</w:instrText>
        </w:r>
        <w:r>
          <w:fldChar w:fldCharType="separate"/>
        </w:r>
        <w:r w:rsidR="00857EFF">
          <w:rPr>
            <w:noProof/>
          </w:rPr>
          <w:t>5</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41836088"/>
      <w:docPartObj>
        <w:docPartGallery w:val="Page Numbers (Bottom of Page)"/>
        <w:docPartUnique/>
      </w:docPartObj>
    </w:sdtPr>
    <w:sdtEndPr/>
    <w:sdtContent>
      <w:p w14:paraId="63BBAC45" w14:textId="77777777" w:rsidR="00EB556D" w:rsidRDefault="00541E6E" w:rsidP="003B18B6">
        <w:pPr>
          <w:pStyle w:val="Stopka"/>
          <w:jc w:val="center"/>
        </w:pPr>
        <w:r>
          <w:fldChar w:fldCharType="begin"/>
        </w:r>
        <w:r>
          <w:instrText>PAGE   \* MERGEFORMAT</w:instrText>
        </w:r>
        <w:r>
          <w:fldChar w:fldCharType="separate"/>
        </w:r>
        <w:r w:rsidR="00857EFF">
          <w:rPr>
            <w:noProof/>
          </w:rPr>
          <w:t>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5636839"/>
      <w:docPartObj>
        <w:docPartGallery w:val="Page Numbers (Bottom of Page)"/>
        <w:docPartUnique/>
      </w:docPartObj>
    </w:sdtPr>
    <w:sdtEndPr/>
    <w:sdtContent>
      <w:p w14:paraId="417E705E" w14:textId="77777777" w:rsidR="003B18B6" w:rsidRDefault="003B18B6" w:rsidP="003B18B6">
        <w:pPr>
          <w:pStyle w:val="Stopka"/>
          <w:jc w:val="center"/>
        </w:pPr>
        <w:r>
          <w:fldChar w:fldCharType="begin"/>
        </w:r>
        <w:r>
          <w:instrText>PAGE   \* MERGEFORMAT</w:instrText>
        </w:r>
        <w:r>
          <w:fldChar w:fldCharType="separate"/>
        </w:r>
        <w:r w:rsidR="00857EFF">
          <w:rPr>
            <w:noProof/>
          </w:rPr>
          <w:t>6</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9CA261B" w14:textId="77777777" w:rsidR="00D5687F" w:rsidRDefault="00D5687F" w:rsidP="000662E2">
      <w:pPr>
        <w:spacing w:after="0" w:line="240" w:lineRule="auto"/>
      </w:pPr>
      <w:r>
        <w:separator/>
      </w:r>
    </w:p>
  </w:footnote>
  <w:footnote w:type="continuationSeparator" w:id="0">
    <w:p w14:paraId="5938028C" w14:textId="77777777" w:rsidR="00D5687F" w:rsidRDefault="00D5687F" w:rsidP="000662E2">
      <w:pPr>
        <w:spacing w:after="0" w:line="240" w:lineRule="auto"/>
      </w:pPr>
      <w:r>
        <w:continuationSeparator/>
      </w:r>
    </w:p>
  </w:footnote>
  <w:footnote w:id="1">
    <w:p w14:paraId="7A5A0BEF" w14:textId="61143208" w:rsidR="00810463" w:rsidRDefault="00810463">
      <w:pPr>
        <w:pStyle w:val="Tekstprzypisudolnego"/>
      </w:pPr>
      <w:r>
        <w:rPr>
          <w:rStyle w:val="Odwoanieprzypisudolnego"/>
        </w:rPr>
        <w:footnoteRef/>
      </w:r>
      <w:r>
        <w:t xml:space="preserve"> Dane wstępne</w:t>
      </w:r>
      <w:r w:rsidR="004B00C2">
        <w:t xml:space="preserve"> za </w:t>
      </w:r>
      <w:r w:rsidR="00F448D7">
        <w:t>listopad</w:t>
      </w:r>
      <w:r w:rsidR="004B00C2">
        <w:t xml:space="preserve"> 2025 r., dane ostateczne za </w:t>
      </w:r>
      <w:r w:rsidR="00F448D7">
        <w:t>październik</w:t>
      </w:r>
      <w:r w:rsidR="00760D2F">
        <w:t xml:space="preserve"> </w:t>
      </w:r>
      <w:r w:rsidR="004B00C2">
        <w:t>2025 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F75576" w14:textId="77777777" w:rsidR="000662E2" w:rsidRDefault="00D972F6">
    <w:pPr>
      <w:pStyle w:val="Nagwek"/>
    </w:pPr>
    <w:r>
      <w:rPr>
        <w:noProof/>
        <w:lang w:eastAsia="pl-PL"/>
      </w:rPr>
      <mc:AlternateContent>
        <mc:Choice Requires="wps">
          <w:drawing>
            <wp:anchor distT="0" distB="0" distL="114300" distR="114300" simplePos="0" relativeHeight="251673600" behindDoc="1" locked="0" layoutInCell="1" allowOverlap="1" wp14:anchorId="2772F5CF" wp14:editId="004CC465">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12" name="Prostokąt 12"/>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E809C5" id="Prostokąt 12" o:spid="_x0000_s1026" style="position:absolute;margin-left:411.2pt;margin-top:-322.85pt;width:147.4pt;height:1803.5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pUS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" fillcolor="#f2f2f2" stroked="f" strokeweight="1pt">
              <w10:wrap type="tight"/>
            </v:rect>
          </w:pict>
        </mc:Fallback>
      </mc:AlternateContent>
    </w:r>
  </w:p>
  <w:p w14:paraId="6B967684" w14:textId="77777777" w:rsidR="000662E2" w:rsidRDefault="000662E2">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7EB474" w14:textId="77777777" w:rsidR="00003437" w:rsidRDefault="00416EAF">
    <w:pPr>
      <w:pStyle w:val="Nagwek"/>
      <w:rPr>
        <w:noProof/>
        <w:lang w:eastAsia="pl-PL"/>
      </w:rPr>
    </w:pPr>
    <w:r>
      <w:rPr>
        <w:noProof/>
        <w:shd w:val="clear" w:color="auto" w:fill="FFFFFF"/>
        <w:lang w:eastAsia="pl-PL"/>
      </w:rPr>
      <w:drawing>
        <wp:anchor distT="0" distB="0" distL="114300" distR="114300" simplePos="0" relativeHeight="251671552" behindDoc="0" locked="0" layoutInCell="1" allowOverlap="1" wp14:anchorId="1C170107" wp14:editId="398F3513">
          <wp:simplePos x="0" y="0"/>
          <wp:positionH relativeFrom="column">
            <wp:posOffset>13335</wp:posOffset>
          </wp:positionH>
          <wp:positionV relativeFrom="paragraph">
            <wp:posOffset>153670</wp:posOffset>
          </wp:positionV>
          <wp:extent cx="1125855" cy="431800"/>
          <wp:effectExtent l="0" t="0" r="0" b="6350"/>
          <wp:wrapSquare wrapText="bothSides"/>
          <wp:docPr id="28" name="Obraz 28" descr="Logo Głównego Urzędu Statystyczneg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NSP_color.jpg"/>
                  <pic:cNvPicPr/>
                </pic:nvPicPr>
                <pic:blipFill rotWithShape="1">
                  <a:blip r:embed="rId1" cstate="print">
                    <a:extLst>
                      <a:ext uri="{28A0092B-C50C-407E-A947-70E740481C1C}">
                        <a14:useLocalDpi xmlns:a14="http://schemas.microsoft.com/office/drawing/2010/main" val="0"/>
                      </a:ext>
                    </a:extLst>
                  </a:blip>
                  <a:srcRect l="4276" t="19342" r="59741" b="19726"/>
                  <a:stretch/>
                </pic:blipFill>
                <pic:spPr bwMode="auto">
                  <a:xfrm>
                    <a:off x="0" y="0"/>
                    <a:ext cx="1125855" cy="4318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00AE2D4B" w:rsidRPr="00F37172">
      <w:rPr>
        <w:noProof/>
        <w:lang w:eastAsia="pl-PL"/>
      </w:rPr>
      <mc:AlternateContent>
        <mc:Choice Requires="wps">
          <w:drawing>
            <wp:anchor distT="0" distB="0" distL="114300" distR="114300" simplePos="0" relativeHeight="251668480" behindDoc="0" locked="0" layoutInCell="1" allowOverlap="1" wp14:anchorId="45F3DF5C" wp14:editId="37CCB4DF">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descr="Informacja sygnalna"/>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7F2D9D5" w14:textId="77777777" w:rsidR="00F37172" w:rsidRPr="003C6C8D" w:rsidRDefault="00F37172" w:rsidP="005D2F6B">
                          <w:pPr>
                            <w:spacing w:before="0" w:after="0" w:line="240" w:lineRule="auto"/>
                            <w:ind w:left="227"/>
                            <w:jc w:val="center"/>
                            <w:rPr>
                              <w:rFonts w:ascii="Fira Sans SemiBold" w:hAnsi="Fira Sans SemiBold"/>
                            </w:rPr>
                          </w:pPr>
                          <w:r>
                            <w:rPr>
                              <w:rFonts w:ascii="Fira Sans SemiBold" w:hAnsi="Fira Sans SemiBold"/>
                            </w:rPr>
                            <w:t>INFORMACJE SYGNALNE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F3DF5C" id="Schemat blokowy: opóźnienie 6" o:spid="_x0000_s1031" alt="Informacja sygnalna"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17F2D9D5" w14:textId="77777777" w:rsidR="00F37172" w:rsidRPr="003C6C8D" w:rsidRDefault="00F37172" w:rsidP="005D2F6B">
                    <w:pPr>
                      <w:spacing w:before="0" w:after="0" w:line="240" w:lineRule="auto"/>
                      <w:ind w:left="227"/>
                      <w:jc w:val="center"/>
                      <w:rPr>
                        <w:rFonts w:ascii="Fira Sans SemiBold" w:hAnsi="Fira Sans SemiBold"/>
                      </w:rPr>
                    </w:pPr>
                    <w:r>
                      <w:rPr>
                        <w:rFonts w:ascii="Fira Sans SemiBold" w:hAnsi="Fira Sans SemiBold"/>
                      </w:rPr>
                      <w:t>INFORMACJE SYGNALNE</w:t>
                    </w:r>
                  </w:p>
                </w:txbxContent>
              </v:textbox>
            </v:shape>
          </w:pict>
        </mc:Fallback>
      </mc:AlternateContent>
    </w:r>
    <w:r w:rsidR="00C22105">
      <w:rPr>
        <w:noProof/>
        <w:lang w:eastAsia="pl-PL"/>
      </w:rPr>
      <mc:AlternateContent>
        <mc:Choice Requires="wps">
          <w:drawing>
            <wp:anchor distT="0" distB="0" distL="114300" distR="114300" simplePos="0" relativeHeight="251666432" behindDoc="1" locked="0" layoutInCell="1" allowOverlap="1" wp14:anchorId="4343B0CB" wp14:editId="16E23729">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2EB1DD7" id="Prostokąt 10" o:spid="_x0000_s1026" style="position:absolute;margin-left:410.95pt;margin-top:40.3pt;width:147.4pt;height:1803.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s6E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" fillcolor="#f2f2f2" stroked="f" strokeweight="1pt">
              <w10:wrap type="tight"/>
            </v:rect>
          </w:pict>
        </mc:Fallback>
      </mc:AlternateContent>
    </w:r>
  </w:p>
  <w:p w14:paraId="1ADDBEC7" w14:textId="77777777" w:rsidR="00540C5C" w:rsidRDefault="00540C5C">
    <w:pPr>
      <w:pStyle w:val="Nagwek"/>
      <w:rPr>
        <w:noProof/>
        <w:lang w:eastAsia="pl-PL"/>
      </w:rPr>
    </w:pPr>
  </w:p>
  <w:p w14:paraId="47EC9CB4" w14:textId="77777777" w:rsidR="00540C5C" w:rsidRDefault="00540C5C">
    <w:pPr>
      <w:pStyle w:val="Nagwek"/>
      <w:rPr>
        <w:noProof/>
        <w:lang w:eastAsia="pl-PL"/>
      </w:rPr>
    </w:pPr>
  </w:p>
  <w:p w14:paraId="5B447902" w14:textId="77777777" w:rsidR="00F32749" w:rsidRDefault="00C7346B">
    <w:pPr>
      <w:pStyle w:val="Nagwek"/>
      <w:rPr>
        <w:noProof/>
        <w:lang w:eastAsia="pl-PL"/>
      </w:rPr>
    </w:pPr>
    <w:r w:rsidRPr="00F37172">
      <w:rPr>
        <w:noProof/>
        <w:lang w:eastAsia="pl-PL"/>
      </w:rPr>
      <mc:AlternateContent>
        <mc:Choice Requires="wps">
          <w:drawing>
            <wp:anchor distT="45720" distB="45720" distL="114300" distR="114300" simplePos="0" relativeHeight="251669504" behindDoc="0" locked="0" layoutInCell="1" allowOverlap="1" wp14:anchorId="7F6AEA72" wp14:editId="635ACB7C">
              <wp:simplePos x="0" y="0"/>
              <wp:positionH relativeFrom="column">
                <wp:posOffset>5287976</wp:posOffset>
              </wp:positionH>
              <wp:positionV relativeFrom="paragraph">
                <wp:posOffset>266065</wp:posOffset>
              </wp:positionV>
              <wp:extent cx="1432293" cy="336589"/>
              <wp:effectExtent l="0" t="0" r="0" b="6350"/>
              <wp:wrapNone/>
              <wp:docPr id="8" name="Pole tekstowe 2" descr="18.12.2025 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1D27D726" w14:textId="655F018D" w:rsidR="00F37172" w:rsidRPr="00A01B40" w:rsidRDefault="0042346F" w:rsidP="00F049AB">
                          <w:pPr>
                            <w:pStyle w:val="Datainformacjisygnalnej"/>
                          </w:pPr>
                          <w:r>
                            <w:t>18.12</w:t>
                          </w:r>
                          <w:r w:rsidR="003F75EC">
                            <w:t>.</w:t>
                          </w:r>
                          <w:r w:rsidR="0017695A">
                            <w:t>2025</w:t>
                          </w:r>
                          <w:r w:rsidR="00DE6B58">
                            <w:t xml:space="preserve"> 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F6AEA72" id="_x0000_t202" coordsize="21600,21600" o:spt="202" path="m,l,21600r21600,l21600,xe">
              <v:stroke joinstyle="miter"/>
              <v:path gradientshapeok="t" o:connecttype="rect"/>
            </v:shapetype>
            <v:shape id="_x0000_s1032" type="#_x0000_t202" alt="18.12.2025 r." style="position:absolute;margin-left:416.4pt;margin-top:20.95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" filled="f" stroked="f">
              <v:textbox>
                <w:txbxContent>
                  <w:p w14:paraId="1D27D726" w14:textId="655F018D" w:rsidR="00F37172" w:rsidRPr="00A01B40" w:rsidRDefault="0042346F" w:rsidP="00F049AB">
                    <w:pPr>
                      <w:pStyle w:val="Datainformacjisygnalnej"/>
                    </w:pPr>
                    <w:r>
                      <w:t>18.12</w:t>
                    </w:r>
                    <w:r w:rsidR="003F75EC">
                      <w:t>.</w:t>
                    </w:r>
                    <w:r w:rsidR="0017695A">
                      <w:t>2025</w:t>
                    </w:r>
                    <w:r w:rsidR="00DE6B58">
                      <w:t xml:space="preserve"> r.</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30D6FC" w14:textId="77777777" w:rsidR="00607CC5" w:rsidRDefault="00607CC5">
    <w:pPr>
      <w:pStyle w:val="Nagwek"/>
    </w:pPr>
  </w:p>
  <w:p w14:paraId="01B4352D" w14:textId="77777777" w:rsidR="00607CC5" w:rsidRDefault="00607CC5">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26pt;height:126pt;visibility:visible;mso-wrap-style:square" o:bullet="t">
        <v:imagedata r:id="rId1" o:title=""/>
      </v:shape>
    </w:pict>
  </w:numPicBullet>
  <w:numPicBullet w:numPicBulletId="1">
    <w:pict>
      <v:shape id="_x0000_i1027" type="#_x0000_t75" style="width:126pt;height:126pt;visibility:visible;mso-wrap-style:square" o:bullet="t">
        <v:imagedata r:id="rId2" o:title=""/>
      </v:shape>
    </w:pict>
  </w:numPicBullet>
  <w:numPicBullet w:numPicBulletId="2">
    <w:pict>
      <v:shape id="_x0000_i1028" type="#_x0000_t75" style="width:18pt;height:24pt;visibility:visible;mso-wrap-style:square" o:bullet="t">
        <v:imagedata r:id="rId3" o:title=""/>
      </v:shape>
    </w:pict>
  </w:numPicBullet>
  <w:numPicBullet w:numPicBulletId="3">
    <w:pict>
      <v:shape id="_x0000_i1029" type="#_x0000_t75" style="width:18pt;height:24pt;visibility:visible;mso-wrap-style:square" o:bullet="t">
        <v:imagedata r:id="rId4" o:title=""/>
      </v:shape>
    </w:pict>
  </w:numPicBullet>
  <w:abstractNum w:abstractNumId="0" w15:restartNumberingAfterBreak="0">
    <w:nsid w:val="05D86112"/>
    <w:multiLevelType w:val="hybridMultilevel"/>
    <w:tmpl w:val="95C2B07E"/>
    <w:lvl w:ilvl="0" w:tplc="04150001">
      <w:start w:val="1"/>
      <w:numFmt w:val="bullet"/>
      <w:lvlText w:val=""/>
      <w:lvlJc w:val="left"/>
      <w:pPr>
        <w:ind w:left="837" w:hanging="360"/>
      </w:pPr>
      <w:rPr>
        <w:rFonts w:ascii="Symbol" w:hAnsi="Symbol" w:hint="default"/>
      </w:rPr>
    </w:lvl>
    <w:lvl w:ilvl="1" w:tplc="04150003" w:tentative="1">
      <w:start w:val="1"/>
      <w:numFmt w:val="bullet"/>
      <w:lvlText w:val="o"/>
      <w:lvlJc w:val="left"/>
      <w:pPr>
        <w:ind w:left="1557" w:hanging="360"/>
      </w:pPr>
      <w:rPr>
        <w:rFonts w:ascii="Courier New" w:hAnsi="Courier New" w:cs="Courier New" w:hint="default"/>
      </w:rPr>
    </w:lvl>
    <w:lvl w:ilvl="2" w:tplc="04150005" w:tentative="1">
      <w:start w:val="1"/>
      <w:numFmt w:val="bullet"/>
      <w:lvlText w:val=""/>
      <w:lvlJc w:val="left"/>
      <w:pPr>
        <w:ind w:left="2277" w:hanging="360"/>
      </w:pPr>
      <w:rPr>
        <w:rFonts w:ascii="Wingdings" w:hAnsi="Wingdings" w:hint="default"/>
      </w:rPr>
    </w:lvl>
    <w:lvl w:ilvl="3" w:tplc="04150001" w:tentative="1">
      <w:start w:val="1"/>
      <w:numFmt w:val="bullet"/>
      <w:lvlText w:val=""/>
      <w:lvlJc w:val="left"/>
      <w:pPr>
        <w:ind w:left="2997" w:hanging="360"/>
      </w:pPr>
      <w:rPr>
        <w:rFonts w:ascii="Symbol" w:hAnsi="Symbol" w:hint="default"/>
      </w:rPr>
    </w:lvl>
    <w:lvl w:ilvl="4" w:tplc="04150003" w:tentative="1">
      <w:start w:val="1"/>
      <w:numFmt w:val="bullet"/>
      <w:lvlText w:val="o"/>
      <w:lvlJc w:val="left"/>
      <w:pPr>
        <w:ind w:left="3717" w:hanging="360"/>
      </w:pPr>
      <w:rPr>
        <w:rFonts w:ascii="Courier New" w:hAnsi="Courier New" w:cs="Courier New" w:hint="default"/>
      </w:rPr>
    </w:lvl>
    <w:lvl w:ilvl="5" w:tplc="04150005" w:tentative="1">
      <w:start w:val="1"/>
      <w:numFmt w:val="bullet"/>
      <w:lvlText w:val=""/>
      <w:lvlJc w:val="left"/>
      <w:pPr>
        <w:ind w:left="4437" w:hanging="360"/>
      </w:pPr>
      <w:rPr>
        <w:rFonts w:ascii="Wingdings" w:hAnsi="Wingdings" w:hint="default"/>
      </w:rPr>
    </w:lvl>
    <w:lvl w:ilvl="6" w:tplc="04150001" w:tentative="1">
      <w:start w:val="1"/>
      <w:numFmt w:val="bullet"/>
      <w:lvlText w:val=""/>
      <w:lvlJc w:val="left"/>
      <w:pPr>
        <w:ind w:left="5157" w:hanging="360"/>
      </w:pPr>
      <w:rPr>
        <w:rFonts w:ascii="Symbol" w:hAnsi="Symbol" w:hint="default"/>
      </w:rPr>
    </w:lvl>
    <w:lvl w:ilvl="7" w:tplc="04150003" w:tentative="1">
      <w:start w:val="1"/>
      <w:numFmt w:val="bullet"/>
      <w:lvlText w:val="o"/>
      <w:lvlJc w:val="left"/>
      <w:pPr>
        <w:ind w:left="5877" w:hanging="360"/>
      </w:pPr>
      <w:rPr>
        <w:rFonts w:ascii="Courier New" w:hAnsi="Courier New" w:cs="Courier New" w:hint="default"/>
      </w:rPr>
    </w:lvl>
    <w:lvl w:ilvl="8" w:tplc="04150005" w:tentative="1">
      <w:start w:val="1"/>
      <w:numFmt w:val="bullet"/>
      <w:lvlText w:val=""/>
      <w:lvlJc w:val="left"/>
      <w:pPr>
        <w:ind w:left="6597" w:hanging="360"/>
      </w:pPr>
      <w:rPr>
        <w:rFonts w:ascii="Wingdings" w:hAnsi="Wingdings" w:hint="default"/>
      </w:rPr>
    </w:lvl>
  </w:abstractNum>
  <w:abstractNum w:abstractNumId="1"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2" w15:restartNumberingAfterBreak="0">
    <w:nsid w:val="0E0336A0"/>
    <w:multiLevelType w:val="hybridMultilevel"/>
    <w:tmpl w:val="927E585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44D7612"/>
    <w:multiLevelType w:val="hybridMultilevel"/>
    <w:tmpl w:val="C2DC2402"/>
    <w:lvl w:ilvl="0" w:tplc="04150001">
      <w:start w:val="1"/>
      <w:numFmt w:val="bullet"/>
      <w:lvlText w:val=""/>
      <w:lvlJc w:val="left"/>
      <w:pPr>
        <w:ind w:left="837" w:hanging="360"/>
      </w:pPr>
      <w:rPr>
        <w:rFonts w:ascii="Symbol" w:hAnsi="Symbol" w:hint="default"/>
      </w:rPr>
    </w:lvl>
    <w:lvl w:ilvl="1" w:tplc="04150003" w:tentative="1">
      <w:start w:val="1"/>
      <w:numFmt w:val="bullet"/>
      <w:lvlText w:val="o"/>
      <w:lvlJc w:val="left"/>
      <w:pPr>
        <w:ind w:left="1557" w:hanging="360"/>
      </w:pPr>
      <w:rPr>
        <w:rFonts w:ascii="Courier New" w:hAnsi="Courier New" w:cs="Courier New" w:hint="default"/>
      </w:rPr>
    </w:lvl>
    <w:lvl w:ilvl="2" w:tplc="04150005" w:tentative="1">
      <w:start w:val="1"/>
      <w:numFmt w:val="bullet"/>
      <w:lvlText w:val=""/>
      <w:lvlJc w:val="left"/>
      <w:pPr>
        <w:ind w:left="2277" w:hanging="360"/>
      </w:pPr>
      <w:rPr>
        <w:rFonts w:ascii="Wingdings" w:hAnsi="Wingdings" w:hint="default"/>
      </w:rPr>
    </w:lvl>
    <w:lvl w:ilvl="3" w:tplc="04150001" w:tentative="1">
      <w:start w:val="1"/>
      <w:numFmt w:val="bullet"/>
      <w:lvlText w:val=""/>
      <w:lvlJc w:val="left"/>
      <w:pPr>
        <w:ind w:left="2997" w:hanging="360"/>
      </w:pPr>
      <w:rPr>
        <w:rFonts w:ascii="Symbol" w:hAnsi="Symbol" w:hint="default"/>
      </w:rPr>
    </w:lvl>
    <w:lvl w:ilvl="4" w:tplc="04150003" w:tentative="1">
      <w:start w:val="1"/>
      <w:numFmt w:val="bullet"/>
      <w:lvlText w:val="o"/>
      <w:lvlJc w:val="left"/>
      <w:pPr>
        <w:ind w:left="3717" w:hanging="360"/>
      </w:pPr>
      <w:rPr>
        <w:rFonts w:ascii="Courier New" w:hAnsi="Courier New" w:cs="Courier New" w:hint="default"/>
      </w:rPr>
    </w:lvl>
    <w:lvl w:ilvl="5" w:tplc="04150005" w:tentative="1">
      <w:start w:val="1"/>
      <w:numFmt w:val="bullet"/>
      <w:lvlText w:val=""/>
      <w:lvlJc w:val="left"/>
      <w:pPr>
        <w:ind w:left="4437" w:hanging="360"/>
      </w:pPr>
      <w:rPr>
        <w:rFonts w:ascii="Wingdings" w:hAnsi="Wingdings" w:hint="default"/>
      </w:rPr>
    </w:lvl>
    <w:lvl w:ilvl="6" w:tplc="04150001" w:tentative="1">
      <w:start w:val="1"/>
      <w:numFmt w:val="bullet"/>
      <w:lvlText w:val=""/>
      <w:lvlJc w:val="left"/>
      <w:pPr>
        <w:ind w:left="5157" w:hanging="360"/>
      </w:pPr>
      <w:rPr>
        <w:rFonts w:ascii="Symbol" w:hAnsi="Symbol" w:hint="default"/>
      </w:rPr>
    </w:lvl>
    <w:lvl w:ilvl="7" w:tplc="04150003" w:tentative="1">
      <w:start w:val="1"/>
      <w:numFmt w:val="bullet"/>
      <w:lvlText w:val="o"/>
      <w:lvlJc w:val="left"/>
      <w:pPr>
        <w:ind w:left="5877" w:hanging="360"/>
      </w:pPr>
      <w:rPr>
        <w:rFonts w:ascii="Courier New" w:hAnsi="Courier New" w:cs="Courier New" w:hint="default"/>
      </w:rPr>
    </w:lvl>
    <w:lvl w:ilvl="8" w:tplc="04150005" w:tentative="1">
      <w:start w:val="1"/>
      <w:numFmt w:val="bullet"/>
      <w:lvlText w:val=""/>
      <w:lvlJc w:val="left"/>
      <w:pPr>
        <w:ind w:left="6597" w:hanging="360"/>
      </w:pPr>
      <w:rPr>
        <w:rFonts w:ascii="Wingdings" w:hAnsi="Wingdings" w:hint="default"/>
      </w:rPr>
    </w:lvl>
  </w:abstractNum>
  <w:abstractNum w:abstractNumId="5"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18BC1EEB"/>
    <w:multiLevelType w:val="hybridMultilevel"/>
    <w:tmpl w:val="DD06B82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26722A87"/>
    <w:multiLevelType w:val="hybridMultilevel"/>
    <w:tmpl w:val="7C52D7C4"/>
    <w:lvl w:ilvl="0" w:tplc="0AB6269C">
      <w:numFmt w:val="bullet"/>
      <w:lvlText w:val=""/>
      <w:lvlJc w:val="left"/>
      <w:pPr>
        <w:ind w:left="428" w:hanging="360"/>
      </w:pPr>
      <w:rPr>
        <w:rFonts w:ascii="Symbol" w:eastAsiaTheme="minorHAnsi" w:hAnsi="Symbol" w:cstheme="minorBidi" w:hint="default"/>
      </w:rPr>
    </w:lvl>
    <w:lvl w:ilvl="1" w:tplc="04150003" w:tentative="1">
      <w:start w:val="1"/>
      <w:numFmt w:val="bullet"/>
      <w:lvlText w:val="o"/>
      <w:lvlJc w:val="left"/>
      <w:pPr>
        <w:ind w:left="1148" w:hanging="360"/>
      </w:pPr>
      <w:rPr>
        <w:rFonts w:ascii="Courier New" w:hAnsi="Courier New" w:cs="Courier New" w:hint="default"/>
      </w:rPr>
    </w:lvl>
    <w:lvl w:ilvl="2" w:tplc="04150005" w:tentative="1">
      <w:start w:val="1"/>
      <w:numFmt w:val="bullet"/>
      <w:lvlText w:val=""/>
      <w:lvlJc w:val="left"/>
      <w:pPr>
        <w:ind w:left="1868" w:hanging="360"/>
      </w:pPr>
      <w:rPr>
        <w:rFonts w:ascii="Wingdings" w:hAnsi="Wingdings" w:hint="default"/>
      </w:rPr>
    </w:lvl>
    <w:lvl w:ilvl="3" w:tplc="04150001" w:tentative="1">
      <w:start w:val="1"/>
      <w:numFmt w:val="bullet"/>
      <w:lvlText w:val=""/>
      <w:lvlJc w:val="left"/>
      <w:pPr>
        <w:ind w:left="2588" w:hanging="360"/>
      </w:pPr>
      <w:rPr>
        <w:rFonts w:ascii="Symbol" w:hAnsi="Symbol" w:hint="default"/>
      </w:rPr>
    </w:lvl>
    <w:lvl w:ilvl="4" w:tplc="04150003" w:tentative="1">
      <w:start w:val="1"/>
      <w:numFmt w:val="bullet"/>
      <w:lvlText w:val="o"/>
      <w:lvlJc w:val="left"/>
      <w:pPr>
        <w:ind w:left="3308" w:hanging="360"/>
      </w:pPr>
      <w:rPr>
        <w:rFonts w:ascii="Courier New" w:hAnsi="Courier New" w:cs="Courier New" w:hint="default"/>
      </w:rPr>
    </w:lvl>
    <w:lvl w:ilvl="5" w:tplc="04150005" w:tentative="1">
      <w:start w:val="1"/>
      <w:numFmt w:val="bullet"/>
      <w:lvlText w:val=""/>
      <w:lvlJc w:val="left"/>
      <w:pPr>
        <w:ind w:left="4028" w:hanging="360"/>
      </w:pPr>
      <w:rPr>
        <w:rFonts w:ascii="Wingdings" w:hAnsi="Wingdings" w:hint="default"/>
      </w:rPr>
    </w:lvl>
    <w:lvl w:ilvl="6" w:tplc="04150001" w:tentative="1">
      <w:start w:val="1"/>
      <w:numFmt w:val="bullet"/>
      <w:lvlText w:val=""/>
      <w:lvlJc w:val="left"/>
      <w:pPr>
        <w:ind w:left="4748" w:hanging="360"/>
      </w:pPr>
      <w:rPr>
        <w:rFonts w:ascii="Symbol" w:hAnsi="Symbol" w:hint="default"/>
      </w:rPr>
    </w:lvl>
    <w:lvl w:ilvl="7" w:tplc="04150003" w:tentative="1">
      <w:start w:val="1"/>
      <w:numFmt w:val="bullet"/>
      <w:lvlText w:val="o"/>
      <w:lvlJc w:val="left"/>
      <w:pPr>
        <w:ind w:left="5468" w:hanging="360"/>
      </w:pPr>
      <w:rPr>
        <w:rFonts w:ascii="Courier New" w:hAnsi="Courier New" w:cs="Courier New" w:hint="default"/>
      </w:rPr>
    </w:lvl>
    <w:lvl w:ilvl="8" w:tplc="04150005" w:tentative="1">
      <w:start w:val="1"/>
      <w:numFmt w:val="bullet"/>
      <w:lvlText w:val=""/>
      <w:lvlJc w:val="left"/>
      <w:pPr>
        <w:ind w:left="6188" w:hanging="360"/>
      </w:pPr>
      <w:rPr>
        <w:rFonts w:ascii="Wingdings" w:hAnsi="Wingdings" w:hint="default"/>
      </w:rPr>
    </w:lvl>
  </w:abstractNum>
  <w:abstractNum w:abstractNumId="8"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9"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10"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11" w15:restartNumberingAfterBreak="0">
    <w:nsid w:val="4486103F"/>
    <w:multiLevelType w:val="hybridMultilevel"/>
    <w:tmpl w:val="F1724B98"/>
    <w:lvl w:ilvl="0" w:tplc="04150001">
      <w:start w:val="1"/>
      <w:numFmt w:val="bullet"/>
      <w:lvlText w:val=""/>
      <w:lvlJc w:val="left"/>
      <w:pPr>
        <w:ind w:left="772" w:hanging="360"/>
      </w:pPr>
      <w:rPr>
        <w:rFonts w:ascii="Symbol" w:hAnsi="Symbol" w:hint="default"/>
      </w:rPr>
    </w:lvl>
    <w:lvl w:ilvl="1" w:tplc="04150003" w:tentative="1">
      <w:start w:val="1"/>
      <w:numFmt w:val="bullet"/>
      <w:lvlText w:val="o"/>
      <w:lvlJc w:val="left"/>
      <w:pPr>
        <w:ind w:left="1492" w:hanging="360"/>
      </w:pPr>
      <w:rPr>
        <w:rFonts w:ascii="Courier New" w:hAnsi="Courier New" w:cs="Courier New" w:hint="default"/>
      </w:rPr>
    </w:lvl>
    <w:lvl w:ilvl="2" w:tplc="04150005" w:tentative="1">
      <w:start w:val="1"/>
      <w:numFmt w:val="bullet"/>
      <w:lvlText w:val=""/>
      <w:lvlJc w:val="left"/>
      <w:pPr>
        <w:ind w:left="2212" w:hanging="360"/>
      </w:pPr>
      <w:rPr>
        <w:rFonts w:ascii="Wingdings" w:hAnsi="Wingdings" w:hint="default"/>
      </w:rPr>
    </w:lvl>
    <w:lvl w:ilvl="3" w:tplc="04150001" w:tentative="1">
      <w:start w:val="1"/>
      <w:numFmt w:val="bullet"/>
      <w:lvlText w:val=""/>
      <w:lvlJc w:val="left"/>
      <w:pPr>
        <w:ind w:left="2932" w:hanging="360"/>
      </w:pPr>
      <w:rPr>
        <w:rFonts w:ascii="Symbol" w:hAnsi="Symbol" w:hint="default"/>
      </w:rPr>
    </w:lvl>
    <w:lvl w:ilvl="4" w:tplc="04150003" w:tentative="1">
      <w:start w:val="1"/>
      <w:numFmt w:val="bullet"/>
      <w:lvlText w:val="o"/>
      <w:lvlJc w:val="left"/>
      <w:pPr>
        <w:ind w:left="3652" w:hanging="360"/>
      </w:pPr>
      <w:rPr>
        <w:rFonts w:ascii="Courier New" w:hAnsi="Courier New" w:cs="Courier New" w:hint="default"/>
      </w:rPr>
    </w:lvl>
    <w:lvl w:ilvl="5" w:tplc="04150005" w:tentative="1">
      <w:start w:val="1"/>
      <w:numFmt w:val="bullet"/>
      <w:lvlText w:val=""/>
      <w:lvlJc w:val="left"/>
      <w:pPr>
        <w:ind w:left="4372" w:hanging="360"/>
      </w:pPr>
      <w:rPr>
        <w:rFonts w:ascii="Wingdings" w:hAnsi="Wingdings" w:hint="default"/>
      </w:rPr>
    </w:lvl>
    <w:lvl w:ilvl="6" w:tplc="04150001" w:tentative="1">
      <w:start w:val="1"/>
      <w:numFmt w:val="bullet"/>
      <w:lvlText w:val=""/>
      <w:lvlJc w:val="left"/>
      <w:pPr>
        <w:ind w:left="5092" w:hanging="360"/>
      </w:pPr>
      <w:rPr>
        <w:rFonts w:ascii="Symbol" w:hAnsi="Symbol" w:hint="default"/>
      </w:rPr>
    </w:lvl>
    <w:lvl w:ilvl="7" w:tplc="04150003" w:tentative="1">
      <w:start w:val="1"/>
      <w:numFmt w:val="bullet"/>
      <w:lvlText w:val="o"/>
      <w:lvlJc w:val="left"/>
      <w:pPr>
        <w:ind w:left="5812" w:hanging="360"/>
      </w:pPr>
      <w:rPr>
        <w:rFonts w:ascii="Courier New" w:hAnsi="Courier New" w:cs="Courier New" w:hint="default"/>
      </w:rPr>
    </w:lvl>
    <w:lvl w:ilvl="8" w:tplc="04150005" w:tentative="1">
      <w:start w:val="1"/>
      <w:numFmt w:val="bullet"/>
      <w:lvlText w:val=""/>
      <w:lvlJc w:val="left"/>
      <w:pPr>
        <w:ind w:left="6532" w:hanging="360"/>
      </w:pPr>
      <w:rPr>
        <w:rFonts w:ascii="Wingdings" w:hAnsi="Wingdings" w:hint="default"/>
      </w:rPr>
    </w:lvl>
  </w:abstractNum>
  <w:num w:numId="1">
    <w:abstractNumId w:val="9"/>
  </w:num>
  <w:num w:numId="2">
    <w:abstractNumId w:val="3"/>
  </w:num>
  <w:num w:numId="3">
    <w:abstractNumId w:val="5"/>
  </w:num>
  <w:num w:numId="4">
    <w:abstractNumId w:val="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2"/>
  </w:num>
  <w:num w:numId="8">
    <w:abstractNumId w:val="0"/>
  </w:num>
  <w:num w:numId="9">
    <w:abstractNumId w:val="11"/>
  </w:num>
  <w:num w:numId="10">
    <w:abstractNumId w:val="4"/>
  </w:num>
  <w:num w:numId="11">
    <w:abstractNumId w:val="7"/>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proofState w:spelling="clean"/>
  <w:defaultTabStop w:val="708"/>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D87"/>
    <w:rsid w:val="00001C5B"/>
    <w:rsid w:val="00003437"/>
    <w:rsid w:val="000047E7"/>
    <w:rsid w:val="0000709F"/>
    <w:rsid w:val="000108B8"/>
    <w:rsid w:val="000109BC"/>
    <w:rsid w:val="0001386C"/>
    <w:rsid w:val="0001434B"/>
    <w:rsid w:val="000152F5"/>
    <w:rsid w:val="00015DC4"/>
    <w:rsid w:val="00016EAE"/>
    <w:rsid w:val="00020356"/>
    <w:rsid w:val="000207AB"/>
    <w:rsid w:val="000256F6"/>
    <w:rsid w:val="00025949"/>
    <w:rsid w:val="00025B99"/>
    <w:rsid w:val="00027704"/>
    <w:rsid w:val="00031DFF"/>
    <w:rsid w:val="000323EC"/>
    <w:rsid w:val="000330D9"/>
    <w:rsid w:val="000362EA"/>
    <w:rsid w:val="000376FB"/>
    <w:rsid w:val="000407C4"/>
    <w:rsid w:val="000427C1"/>
    <w:rsid w:val="000429DE"/>
    <w:rsid w:val="00044B97"/>
    <w:rsid w:val="0004582E"/>
    <w:rsid w:val="000470AA"/>
    <w:rsid w:val="00047299"/>
    <w:rsid w:val="00050334"/>
    <w:rsid w:val="00052ADA"/>
    <w:rsid w:val="00056CA1"/>
    <w:rsid w:val="00057CA1"/>
    <w:rsid w:val="0006035A"/>
    <w:rsid w:val="0006154F"/>
    <w:rsid w:val="0006388A"/>
    <w:rsid w:val="000647A9"/>
    <w:rsid w:val="00065147"/>
    <w:rsid w:val="000662E2"/>
    <w:rsid w:val="00066883"/>
    <w:rsid w:val="00067435"/>
    <w:rsid w:val="00071B39"/>
    <w:rsid w:val="00074DD8"/>
    <w:rsid w:val="00075759"/>
    <w:rsid w:val="00075BD4"/>
    <w:rsid w:val="000764D4"/>
    <w:rsid w:val="00076C85"/>
    <w:rsid w:val="000806F7"/>
    <w:rsid w:val="00082237"/>
    <w:rsid w:val="000911E3"/>
    <w:rsid w:val="000936C8"/>
    <w:rsid w:val="00095C4A"/>
    <w:rsid w:val="000976C7"/>
    <w:rsid w:val="00097840"/>
    <w:rsid w:val="000A0957"/>
    <w:rsid w:val="000A1088"/>
    <w:rsid w:val="000A3A94"/>
    <w:rsid w:val="000A4AF0"/>
    <w:rsid w:val="000A4C36"/>
    <w:rsid w:val="000B0727"/>
    <w:rsid w:val="000B586A"/>
    <w:rsid w:val="000C097A"/>
    <w:rsid w:val="000C1304"/>
    <w:rsid w:val="000C135D"/>
    <w:rsid w:val="000D1D43"/>
    <w:rsid w:val="000D1E12"/>
    <w:rsid w:val="000D225C"/>
    <w:rsid w:val="000D2A5C"/>
    <w:rsid w:val="000D39F0"/>
    <w:rsid w:val="000D7E09"/>
    <w:rsid w:val="000E0918"/>
    <w:rsid w:val="000E33F3"/>
    <w:rsid w:val="000E53A8"/>
    <w:rsid w:val="000E6798"/>
    <w:rsid w:val="000E79A9"/>
    <w:rsid w:val="000E7E5E"/>
    <w:rsid w:val="000F3C7B"/>
    <w:rsid w:val="000F41EB"/>
    <w:rsid w:val="000F6AF8"/>
    <w:rsid w:val="001011C3"/>
    <w:rsid w:val="00103265"/>
    <w:rsid w:val="00103D0B"/>
    <w:rsid w:val="00106DA3"/>
    <w:rsid w:val="0010759D"/>
    <w:rsid w:val="00107747"/>
    <w:rsid w:val="00110214"/>
    <w:rsid w:val="001104B6"/>
    <w:rsid w:val="00110D87"/>
    <w:rsid w:val="00111CF4"/>
    <w:rsid w:val="00112399"/>
    <w:rsid w:val="00114658"/>
    <w:rsid w:val="00114D89"/>
    <w:rsid w:val="00114DB9"/>
    <w:rsid w:val="00115C9E"/>
    <w:rsid w:val="00116087"/>
    <w:rsid w:val="00117625"/>
    <w:rsid w:val="00117711"/>
    <w:rsid w:val="00120016"/>
    <w:rsid w:val="0012326A"/>
    <w:rsid w:val="00130296"/>
    <w:rsid w:val="00133E7B"/>
    <w:rsid w:val="00134145"/>
    <w:rsid w:val="00136593"/>
    <w:rsid w:val="00136736"/>
    <w:rsid w:val="00136740"/>
    <w:rsid w:val="00136D67"/>
    <w:rsid w:val="001423B6"/>
    <w:rsid w:val="001427DF"/>
    <w:rsid w:val="00142925"/>
    <w:rsid w:val="00142947"/>
    <w:rsid w:val="001448A7"/>
    <w:rsid w:val="0014653E"/>
    <w:rsid w:val="00146621"/>
    <w:rsid w:val="00151CA3"/>
    <w:rsid w:val="00151FA1"/>
    <w:rsid w:val="00152CEF"/>
    <w:rsid w:val="0015304C"/>
    <w:rsid w:val="00156B20"/>
    <w:rsid w:val="0015774B"/>
    <w:rsid w:val="00160627"/>
    <w:rsid w:val="001617E3"/>
    <w:rsid w:val="00162325"/>
    <w:rsid w:val="001702B9"/>
    <w:rsid w:val="00171A03"/>
    <w:rsid w:val="00175562"/>
    <w:rsid w:val="0017695A"/>
    <w:rsid w:val="00176F25"/>
    <w:rsid w:val="0018146F"/>
    <w:rsid w:val="00190FC4"/>
    <w:rsid w:val="00191F12"/>
    <w:rsid w:val="001951DA"/>
    <w:rsid w:val="00195F76"/>
    <w:rsid w:val="001978EB"/>
    <w:rsid w:val="001A0BF9"/>
    <w:rsid w:val="001A1E02"/>
    <w:rsid w:val="001A3E87"/>
    <w:rsid w:val="001A5018"/>
    <w:rsid w:val="001A532C"/>
    <w:rsid w:val="001A660E"/>
    <w:rsid w:val="001B053D"/>
    <w:rsid w:val="001B1018"/>
    <w:rsid w:val="001B10C5"/>
    <w:rsid w:val="001B2DC8"/>
    <w:rsid w:val="001B48CE"/>
    <w:rsid w:val="001B5515"/>
    <w:rsid w:val="001B76AA"/>
    <w:rsid w:val="001C0D08"/>
    <w:rsid w:val="001C294A"/>
    <w:rsid w:val="001C3269"/>
    <w:rsid w:val="001C3DA5"/>
    <w:rsid w:val="001C4D10"/>
    <w:rsid w:val="001D19B6"/>
    <w:rsid w:val="001D1DB4"/>
    <w:rsid w:val="001D23F1"/>
    <w:rsid w:val="001D25F9"/>
    <w:rsid w:val="001D331E"/>
    <w:rsid w:val="001D54A4"/>
    <w:rsid w:val="001D58F3"/>
    <w:rsid w:val="001D6001"/>
    <w:rsid w:val="001D61ED"/>
    <w:rsid w:val="001D68C6"/>
    <w:rsid w:val="001E5B2D"/>
    <w:rsid w:val="001F0DA1"/>
    <w:rsid w:val="001F14FA"/>
    <w:rsid w:val="001F16CA"/>
    <w:rsid w:val="001F17DA"/>
    <w:rsid w:val="001F2115"/>
    <w:rsid w:val="001F768E"/>
    <w:rsid w:val="0020156C"/>
    <w:rsid w:val="00206ED7"/>
    <w:rsid w:val="00211446"/>
    <w:rsid w:val="00211BF5"/>
    <w:rsid w:val="002137CF"/>
    <w:rsid w:val="00214C6D"/>
    <w:rsid w:val="0021659C"/>
    <w:rsid w:val="00216634"/>
    <w:rsid w:val="002209CF"/>
    <w:rsid w:val="00221365"/>
    <w:rsid w:val="00223DE6"/>
    <w:rsid w:val="00227625"/>
    <w:rsid w:val="00227BA9"/>
    <w:rsid w:val="002371A1"/>
    <w:rsid w:val="00237913"/>
    <w:rsid w:val="002408D3"/>
    <w:rsid w:val="002412CF"/>
    <w:rsid w:val="00242D31"/>
    <w:rsid w:val="00243D1A"/>
    <w:rsid w:val="0024689C"/>
    <w:rsid w:val="002501A8"/>
    <w:rsid w:val="00252328"/>
    <w:rsid w:val="00252BB9"/>
    <w:rsid w:val="00252F2F"/>
    <w:rsid w:val="00253AB6"/>
    <w:rsid w:val="0025481E"/>
    <w:rsid w:val="00254F11"/>
    <w:rsid w:val="00255B16"/>
    <w:rsid w:val="002574F9"/>
    <w:rsid w:val="00262B61"/>
    <w:rsid w:val="00262CC6"/>
    <w:rsid w:val="00263E08"/>
    <w:rsid w:val="00272F82"/>
    <w:rsid w:val="0027573E"/>
    <w:rsid w:val="00275B2D"/>
    <w:rsid w:val="00276209"/>
    <w:rsid w:val="002762FD"/>
    <w:rsid w:val="002765E3"/>
    <w:rsid w:val="00276811"/>
    <w:rsid w:val="00277508"/>
    <w:rsid w:val="00277D2D"/>
    <w:rsid w:val="002817DB"/>
    <w:rsid w:val="00282699"/>
    <w:rsid w:val="002870EE"/>
    <w:rsid w:val="00287BD5"/>
    <w:rsid w:val="0029013E"/>
    <w:rsid w:val="002926DF"/>
    <w:rsid w:val="002933A2"/>
    <w:rsid w:val="0029413D"/>
    <w:rsid w:val="00294D62"/>
    <w:rsid w:val="00295C46"/>
    <w:rsid w:val="00296697"/>
    <w:rsid w:val="00297264"/>
    <w:rsid w:val="0029799E"/>
    <w:rsid w:val="002A04C6"/>
    <w:rsid w:val="002A116F"/>
    <w:rsid w:val="002A1972"/>
    <w:rsid w:val="002A34CB"/>
    <w:rsid w:val="002B0472"/>
    <w:rsid w:val="002B083D"/>
    <w:rsid w:val="002B238C"/>
    <w:rsid w:val="002B6B12"/>
    <w:rsid w:val="002C0BA1"/>
    <w:rsid w:val="002C19F7"/>
    <w:rsid w:val="002C21F0"/>
    <w:rsid w:val="002C3593"/>
    <w:rsid w:val="002C3B3B"/>
    <w:rsid w:val="002C3BFD"/>
    <w:rsid w:val="002C5774"/>
    <w:rsid w:val="002C7B43"/>
    <w:rsid w:val="002D01DF"/>
    <w:rsid w:val="002D6A72"/>
    <w:rsid w:val="002E22FA"/>
    <w:rsid w:val="002E30B2"/>
    <w:rsid w:val="002E3EB3"/>
    <w:rsid w:val="002E4BDC"/>
    <w:rsid w:val="002E6140"/>
    <w:rsid w:val="002E6985"/>
    <w:rsid w:val="002E71B6"/>
    <w:rsid w:val="002F35F6"/>
    <w:rsid w:val="002F6E5D"/>
    <w:rsid w:val="002F77C8"/>
    <w:rsid w:val="002F7CBF"/>
    <w:rsid w:val="00300202"/>
    <w:rsid w:val="00303F88"/>
    <w:rsid w:val="00304048"/>
    <w:rsid w:val="00304715"/>
    <w:rsid w:val="00304F22"/>
    <w:rsid w:val="00305257"/>
    <w:rsid w:val="003054D1"/>
    <w:rsid w:val="00305A0C"/>
    <w:rsid w:val="00305C6C"/>
    <w:rsid w:val="003061E6"/>
    <w:rsid w:val="00306C7C"/>
    <w:rsid w:val="00313831"/>
    <w:rsid w:val="00313F5C"/>
    <w:rsid w:val="00314F86"/>
    <w:rsid w:val="0031546E"/>
    <w:rsid w:val="00315499"/>
    <w:rsid w:val="00317F4D"/>
    <w:rsid w:val="00321466"/>
    <w:rsid w:val="00322EDD"/>
    <w:rsid w:val="003238A4"/>
    <w:rsid w:val="00327223"/>
    <w:rsid w:val="003309FA"/>
    <w:rsid w:val="00331135"/>
    <w:rsid w:val="00332320"/>
    <w:rsid w:val="00332784"/>
    <w:rsid w:val="00334271"/>
    <w:rsid w:val="0033491E"/>
    <w:rsid w:val="00336DC4"/>
    <w:rsid w:val="00340898"/>
    <w:rsid w:val="00340F5D"/>
    <w:rsid w:val="00343539"/>
    <w:rsid w:val="003440D1"/>
    <w:rsid w:val="003448C1"/>
    <w:rsid w:val="00347D72"/>
    <w:rsid w:val="00352178"/>
    <w:rsid w:val="00353C85"/>
    <w:rsid w:val="00353F45"/>
    <w:rsid w:val="00354589"/>
    <w:rsid w:val="00354F34"/>
    <w:rsid w:val="00355B6D"/>
    <w:rsid w:val="00357611"/>
    <w:rsid w:val="00360C13"/>
    <w:rsid w:val="00361780"/>
    <w:rsid w:val="00362301"/>
    <w:rsid w:val="00363858"/>
    <w:rsid w:val="0036432A"/>
    <w:rsid w:val="00364AF9"/>
    <w:rsid w:val="00367237"/>
    <w:rsid w:val="0037077F"/>
    <w:rsid w:val="00372411"/>
    <w:rsid w:val="00373573"/>
    <w:rsid w:val="00373882"/>
    <w:rsid w:val="00375446"/>
    <w:rsid w:val="00377F72"/>
    <w:rsid w:val="003843DB"/>
    <w:rsid w:val="0038690E"/>
    <w:rsid w:val="00386D2A"/>
    <w:rsid w:val="00393761"/>
    <w:rsid w:val="003937A5"/>
    <w:rsid w:val="00394E26"/>
    <w:rsid w:val="00396691"/>
    <w:rsid w:val="00397D18"/>
    <w:rsid w:val="003A1B36"/>
    <w:rsid w:val="003A3F07"/>
    <w:rsid w:val="003B1454"/>
    <w:rsid w:val="003B18B6"/>
    <w:rsid w:val="003B6F62"/>
    <w:rsid w:val="003B7760"/>
    <w:rsid w:val="003B79B1"/>
    <w:rsid w:val="003C161B"/>
    <w:rsid w:val="003C57B6"/>
    <w:rsid w:val="003C59E0"/>
    <w:rsid w:val="003C6C8D"/>
    <w:rsid w:val="003D0894"/>
    <w:rsid w:val="003D2656"/>
    <w:rsid w:val="003D4358"/>
    <w:rsid w:val="003D4F95"/>
    <w:rsid w:val="003D5F42"/>
    <w:rsid w:val="003D60A9"/>
    <w:rsid w:val="003D63D6"/>
    <w:rsid w:val="003D6E10"/>
    <w:rsid w:val="003E1E94"/>
    <w:rsid w:val="003E4211"/>
    <w:rsid w:val="003E4367"/>
    <w:rsid w:val="003F0BD9"/>
    <w:rsid w:val="003F4055"/>
    <w:rsid w:val="003F4C97"/>
    <w:rsid w:val="003F5262"/>
    <w:rsid w:val="003F52A6"/>
    <w:rsid w:val="003F5902"/>
    <w:rsid w:val="003F5D0C"/>
    <w:rsid w:val="003F666D"/>
    <w:rsid w:val="003F75EC"/>
    <w:rsid w:val="003F7F0F"/>
    <w:rsid w:val="003F7FE6"/>
    <w:rsid w:val="00400193"/>
    <w:rsid w:val="00402DC5"/>
    <w:rsid w:val="00404673"/>
    <w:rsid w:val="0041002E"/>
    <w:rsid w:val="00416EAF"/>
    <w:rsid w:val="004212E7"/>
    <w:rsid w:val="00421A49"/>
    <w:rsid w:val="00422BF4"/>
    <w:rsid w:val="0042346F"/>
    <w:rsid w:val="00423C88"/>
    <w:rsid w:val="00423E51"/>
    <w:rsid w:val="0042446D"/>
    <w:rsid w:val="00426319"/>
    <w:rsid w:val="00427BF8"/>
    <w:rsid w:val="004301EB"/>
    <w:rsid w:val="004305DD"/>
    <w:rsid w:val="00431C02"/>
    <w:rsid w:val="00432DDC"/>
    <w:rsid w:val="00437395"/>
    <w:rsid w:val="00437615"/>
    <w:rsid w:val="004411FB"/>
    <w:rsid w:val="00445047"/>
    <w:rsid w:val="00445B7B"/>
    <w:rsid w:val="00446749"/>
    <w:rsid w:val="00450355"/>
    <w:rsid w:val="004539DE"/>
    <w:rsid w:val="00453B07"/>
    <w:rsid w:val="00453E0F"/>
    <w:rsid w:val="00453EB7"/>
    <w:rsid w:val="0045581E"/>
    <w:rsid w:val="00457A2E"/>
    <w:rsid w:val="004638DA"/>
    <w:rsid w:val="00463E39"/>
    <w:rsid w:val="00464878"/>
    <w:rsid w:val="004657FC"/>
    <w:rsid w:val="00466D1E"/>
    <w:rsid w:val="004679AD"/>
    <w:rsid w:val="004713D9"/>
    <w:rsid w:val="004733F6"/>
    <w:rsid w:val="00473ED8"/>
    <w:rsid w:val="00474E69"/>
    <w:rsid w:val="00475AF0"/>
    <w:rsid w:val="00475FCB"/>
    <w:rsid w:val="004764A7"/>
    <w:rsid w:val="00483E9F"/>
    <w:rsid w:val="00485A2C"/>
    <w:rsid w:val="00486F57"/>
    <w:rsid w:val="00487221"/>
    <w:rsid w:val="00487A97"/>
    <w:rsid w:val="00487B49"/>
    <w:rsid w:val="00487B73"/>
    <w:rsid w:val="004938EB"/>
    <w:rsid w:val="0049621B"/>
    <w:rsid w:val="004A1D19"/>
    <w:rsid w:val="004A25EB"/>
    <w:rsid w:val="004A36E3"/>
    <w:rsid w:val="004A51CB"/>
    <w:rsid w:val="004A68B7"/>
    <w:rsid w:val="004A7077"/>
    <w:rsid w:val="004B00C2"/>
    <w:rsid w:val="004B26F4"/>
    <w:rsid w:val="004B31CE"/>
    <w:rsid w:val="004B37A8"/>
    <w:rsid w:val="004B4292"/>
    <w:rsid w:val="004C058E"/>
    <w:rsid w:val="004C1895"/>
    <w:rsid w:val="004C6D40"/>
    <w:rsid w:val="004C70DA"/>
    <w:rsid w:val="004C7D42"/>
    <w:rsid w:val="004D6A2F"/>
    <w:rsid w:val="004D7848"/>
    <w:rsid w:val="004E0DA6"/>
    <w:rsid w:val="004E18AD"/>
    <w:rsid w:val="004E1B40"/>
    <w:rsid w:val="004E2595"/>
    <w:rsid w:val="004E327C"/>
    <w:rsid w:val="004E6AA8"/>
    <w:rsid w:val="004E74D9"/>
    <w:rsid w:val="004F0C3C"/>
    <w:rsid w:val="004F2143"/>
    <w:rsid w:val="004F2280"/>
    <w:rsid w:val="004F23BB"/>
    <w:rsid w:val="004F63FC"/>
    <w:rsid w:val="004F6484"/>
    <w:rsid w:val="005014C4"/>
    <w:rsid w:val="00503D91"/>
    <w:rsid w:val="00504267"/>
    <w:rsid w:val="00505A92"/>
    <w:rsid w:val="005104C9"/>
    <w:rsid w:val="00512F7A"/>
    <w:rsid w:val="005203F1"/>
    <w:rsid w:val="00521266"/>
    <w:rsid w:val="00521BC3"/>
    <w:rsid w:val="005228C2"/>
    <w:rsid w:val="00523738"/>
    <w:rsid w:val="00525EF1"/>
    <w:rsid w:val="005261D5"/>
    <w:rsid w:val="00526509"/>
    <w:rsid w:val="00530D9A"/>
    <w:rsid w:val="00531873"/>
    <w:rsid w:val="00531B08"/>
    <w:rsid w:val="00531F6D"/>
    <w:rsid w:val="00532028"/>
    <w:rsid w:val="00533632"/>
    <w:rsid w:val="00534013"/>
    <w:rsid w:val="005360D0"/>
    <w:rsid w:val="00540C5C"/>
    <w:rsid w:val="00541E6E"/>
    <w:rsid w:val="0054212B"/>
    <w:rsid w:val="0054220A"/>
    <w:rsid w:val="0054251F"/>
    <w:rsid w:val="00542FA8"/>
    <w:rsid w:val="00546621"/>
    <w:rsid w:val="00546CFA"/>
    <w:rsid w:val="0054790C"/>
    <w:rsid w:val="00547BFC"/>
    <w:rsid w:val="0055078F"/>
    <w:rsid w:val="005520D8"/>
    <w:rsid w:val="00553507"/>
    <w:rsid w:val="00554658"/>
    <w:rsid w:val="00555033"/>
    <w:rsid w:val="00555CFB"/>
    <w:rsid w:val="00555E37"/>
    <w:rsid w:val="00556ADB"/>
    <w:rsid w:val="00556CF1"/>
    <w:rsid w:val="00560940"/>
    <w:rsid w:val="005637E5"/>
    <w:rsid w:val="00566208"/>
    <w:rsid w:val="00567743"/>
    <w:rsid w:val="00570680"/>
    <w:rsid w:val="005762A7"/>
    <w:rsid w:val="00577849"/>
    <w:rsid w:val="00580A62"/>
    <w:rsid w:val="00582B59"/>
    <w:rsid w:val="00586677"/>
    <w:rsid w:val="00587CEE"/>
    <w:rsid w:val="005916D7"/>
    <w:rsid w:val="00592FF0"/>
    <w:rsid w:val="00593E17"/>
    <w:rsid w:val="0059427F"/>
    <w:rsid w:val="005943BA"/>
    <w:rsid w:val="005977F5"/>
    <w:rsid w:val="005A16C6"/>
    <w:rsid w:val="005A30BC"/>
    <w:rsid w:val="005A4DC0"/>
    <w:rsid w:val="005A698C"/>
    <w:rsid w:val="005B25DF"/>
    <w:rsid w:val="005B3FDB"/>
    <w:rsid w:val="005B437B"/>
    <w:rsid w:val="005B5C9D"/>
    <w:rsid w:val="005B63D1"/>
    <w:rsid w:val="005B699B"/>
    <w:rsid w:val="005C0CAC"/>
    <w:rsid w:val="005C0EBA"/>
    <w:rsid w:val="005C2E58"/>
    <w:rsid w:val="005C4C9E"/>
    <w:rsid w:val="005C6687"/>
    <w:rsid w:val="005C679D"/>
    <w:rsid w:val="005C73E3"/>
    <w:rsid w:val="005D062E"/>
    <w:rsid w:val="005D0A2E"/>
    <w:rsid w:val="005D1A1E"/>
    <w:rsid w:val="005D2F6B"/>
    <w:rsid w:val="005D334E"/>
    <w:rsid w:val="005D6697"/>
    <w:rsid w:val="005E0799"/>
    <w:rsid w:val="005E084F"/>
    <w:rsid w:val="005E10F9"/>
    <w:rsid w:val="005E1200"/>
    <w:rsid w:val="005E2754"/>
    <w:rsid w:val="005E37A3"/>
    <w:rsid w:val="005E7B5D"/>
    <w:rsid w:val="005F45EE"/>
    <w:rsid w:val="005F5A80"/>
    <w:rsid w:val="005F7611"/>
    <w:rsid w:val="00603469"/>
    <w:rsid w:val="00604281"/>
    <w:rsid w:val="006044FF"/>
    <w:rsid w:val="00607CC5"/>
    <w:rsid w:val="00611065"/>
    <w:rsid w:val="0061179B"/>
    <w:rsid w:val="00611E2F"/>
    <w:rsid w:val="006125F9"/>
    <w:rsid w:val="006137A8"/>
    <w:rsid w:val="00614294"/>
    <w:rsid w:val="00614D74"/>
    <w:rsid w:val="0061732B"/>
    <w:rsid w:val="0062216D"/>
    <w:rsid w:val="0062603A"/>
    <w:rsid w:val="00631752"/>
    <w:rsid w:val="00633014"/>
    <w:rsid w:val="0063437B"/>
    <w:rsid w:val="006365BD"/>
    <w:rsid w:val="0063660D"/>
    <w:rsid w:val="00636847"/>
    <w:rsid w:val="00636DF7"/>
    <w:rsid w:val="0064017E"/>
    <w:rsid w:val="00642461"/>
    <w:rsid w:val="00643883"/>
    <w:rsid w:val="00653CB5"/>
    <w:rsid w:val="00654BB6"/>
    <w:rsid w:val="00655769"/>
    <w:rsid w:val="00656D25"/>
    <w:rsid w:val="00660971"/>
    <w:rsid w:val="0066387C"/>
    <w:rsid w:val="00665010"/>
    <w:rsid w:val="00667144"/>
    <w:rsid w:val="006673CA"/>
    <w:rsid w:val="00671737"/>
    <w:rsid w:val="00671B17"/>
    <w:rsid w:val="00673C26"/>
    <w:rsid w:val="00674DE5"/>
    <w:rsid w:val="00677ACA"/>
    <w:rsid w:val="00677BF1"/>
    <w:rsid w:val="006812AF"/>
    <w:rsid w:val="0068327D"/>
    <w:rsid w:val="00683689"/>
    <w:rsid w:val="00686294"/>
    <w:rsid w:val="00691534"/>
    <w:rsid w:val="00692B41"/>
    <w:rsid w:val="00693880"/>
    <w:rsid w:val="00693893"/>
    <w:rsid w:val="006942B3"/>
    <w:rsid w:val="0069498E"/>
    <w:rsid w:val="00694AF0"/>
    <w:rsid w:val="00696D43"/>
    <w:rsid w:val="006971FF"/>
    <w:rsid w:val="006A2A13"/>
    <w:rsid w:val="006A3BF8"/>
    <w:rsid w:val="006A4686"/>
    <w:rsid w:val="006A5BB2"/>
    <w:rsid w:val="006A6002"/>
    <w:rsid w:val="006B0485"/>
    <w:rsid w:val="006B0E9E"/>
    <w:rsid w:val="006B1347"/>
    <w:rsid w:val="006B1DFB"/>
    <w:rsid w:val="006B486D"/>
    <w:rsid w:val="006B5AE4"/>
    <w:rsid w:val="006B615D"/>
    <w:rsid w:val="006B798F"/>
    <w:rsid w:val="006C4231"/>
    <w:rsid w:val="006D0AE5"/>
    <w:rsid w:val="006D1507"/>
    <w:rsid w:val="006D1608"/>
    <w:rsid w:val="006D4054"/>
    <w:rsid w:val="006D47E7"/>
    <w:rsid w:val="006D7409"/>
    <w:rsid w:val="006D75E2"/>
    <w:rsid w:val="006E02EC"/>
    <w:rsid w:val="006E0566"/>
    <w:rsid w:val="006E1465"/>
    <w:rsid w:val="006E1DF7"/>
    <w:rsid w:val="006E3C4F"/>
    <w:rsid w:val="006E489F"/>
    <w:rsid w:val="006E6734"/>
    <w:rsid w:val="006E6F41"/>
    <w:rsid w:val="006E73E6"/>
    <w:rsid w:val="006E7B9A"/>
    <w:rsid w:val="006F0BE9"/>
    <w:rsid w:val="006F2064"/>
    <w:rsid w:val="006F3216"/>
    <w:rsid w:val="006F382A"/>
    <w:rsid w:val="006F6037"/>
    <w:rsid w:val="006F67D7"/>
    <w:rsid w:val="006F7F6A"/>
    <w:rsid w:val="00702990"/>
    <w:rsid w:val="0070402D"/>
    <w:rsid w:val="00704B26"/>
    <w:rsid w:val="007061C0"/>
    <w:rsid w:val="007108AF"/>
    <w:rsid w:val="007108F0"/>
    <w:rsid w:val="00710E54"/>
    <w:rsid w:val="00711057"/>
    <w:rsid w:val="00713D74"/>
    <w:rsid w:val="007211B1"/>
    <w:rsid w:val="007277DA"/>
    <w:rsid w:val="00731D27"/>
    <w:rsid w:val="00734FBA"/>
    <w:rsid w:val="00735653"/>
    <w:rsid w:val="007357EB"/>
    <w:rsid w:val="00736BF0"/>
    <w:rsid w:val="00737BEF"/>
    <w:rsid w:val="007414C9"/>
    <w:rsid w:val="00745758"/>
    <w:rsid w:val="00746187"/>
    <w:rsid w:val="007560D7"/>
    <w:rsid w:val="00757414"/>
    <w:rsid w:val="00760D2F"/>
    <w:rsid w:val="0076254F"/>
    <w:rsid w:val="00765449"/>
    <w:rsid w:val="007662D8"/>
    <w:rsid w:val="007709AA"/>
    <w:rsid w:val="00772D50"/>
    <w:rsid w:val="00776368"/>
    <w:rsid w:val="00777930"/>
    <w:rsid w:val="007801F5"/>
    <w:rsid w:val="00782C31"/>
    <w:rsid w:val="007838A0"/>
    <w:rsid w:val="00783CA4"/>
    <w:rsid w:val="007842FB"/>
    <w:rsid w:val="00786124"/>
    <w:rsid w:val="00791CDA"/>
    <w:rsid w:val="00792D90"/>
    <w:rsid w:val="00794E39"/>
    <w:rsid w:val="0079514B"/>
    <w:rsid w:val="00795252"/>
    <w:rsid w:val="00796F81"/>
    <w:rsid w:val="007975FB"/>
    <w:rsid w:val="007A04E0"/>
    <w:rsid w:val="007A1F3A"/>
    <w:rsid w:val="007A2DC1"/>
    <w:rsid w:val="007A5771"/>
    <w:rsid w:val="007B0A2C"/>
    <w:rsid w:val="007B16B8"/>
    <w:rsid w:val="007B2FF8"/>
    <w:rsid w:val="007B4301"/>
    <w:rsid w:val="007B6A88"/>
    <w:rsid w:val="007B6F96"/>
    <w:rsid w:val="007B78C6"/>
    <w:rsid w:val="007C0C9B"/>
    <w:rsid w:val="007C61C9"/>
    <w:rsid w:val="007D0869"/>
    <w:rsid w:val="007D14C4"/>
    <w:rsid w:val="007D1F8B"/>
    <w:rsid w:val="007D3319"/>
    <w:rsid w:val="007D335D"/>
    <w:rsid w:val="007D605C"/>
    <w:rsid w:val="007D7146"/>
    <w:rsid w:val="007E26DF"/>
    <w:rsid w:val="007E2CAE"/>
    <w:rsid w:val="007E3314"/>
    <w:rsid w:val="007E3514"/>
    <w:rsid w:val="007E4B03"/>
    <w:rsid w:val="007E565B"/>
    <w:rsid w:val="007E59E0"/>
    <w:rsid w:val="007E7376"/>
    <w:rsid w:val="007E7FD7"/>
    <w:rsid w:val="007F324B"/>
    <w:rsid w:val="007F702E"/>
    <w:rsid w:val="0080553C"/>
    <w:rsid w:val="00805B46"/>
    <w:rsid w:val="00805DB4"/>
    <w:rsid w:val="0080796E"/>
    <w:rsid w:val="0081034F"/>
    <w:rsid w:val="00810463"/>
    <w:rsid w:val="00810724"/>
    <w:rsid w:val="008139A3"/>
    <w:rsid w:val="00813BB9"/>
    <w:rsid w:val="008175AE"/>
    <w:rsid w:val="00820C92"/>
    <w:rsid w:val="00823593"/>
    <w:rsid w:val="00825DC2"/>
    <w:rsid w:val="00834AD3"/>
    <w:rsid w:val="008374FF"/>
    <w:rsid w:val="00840382"/>
    <w:rsid w:val="00843795"/>
    <w:rsid w:val="00844237"/>
    <w:rsid w:val="00846A9F"/>
    <w:rsid w:val="00847F0F"/>
    <w:rsid w:val="008515A3"/>
    <w:rsid w:val="00852448"/>
    <w:rsid w:val="00852B36"/>
    <w:rsid w:val="00856833"/>
    <w:rsid w:val="00857EFF"/>
    <w:rsid w:val="00862763"/>
    <w:rsid w:val="0086336E"/>
    <w:rsid w:val="00867273"/>
    <w:rsid w:val="00867703"/>
    <w:rsid w:val="00877F6C"/>
    <w:rsid w:val="00881290"/>
    <w:rsid w:val="0088258A"/>
    <w:rsid w:val="00883E43"/>
    <w:rsid w:val="00885959"/>
    <w:rsid w:val="00886332"/>
    <w:rsid w:val="00887C79"/>
    <w:rsid w:val="00890C49"/>
    <w:rsid w:val="00891D95"/>
    <w:rsid w:val="008925F0"/>
    <w:rsid w:val="00893252"/>
    <w:rsid w:val="008938CA"/>
    <w:rsid w:val="0089448A"/>
    <w:rsid w:val="00894DE8"/>
    <w:rsid w:val="00895062"/>
    <w:rsid w:val="00895956"/>
    <w:rsid w:val="00897877"/>
    <w:rsid w:val="008A1B2D"/>
    <w:rsid w:val="008A26D9"/>
    <w:rsid w:val="008A58EA"/>
    <w:rsid w:val="008A7B5B"/>
    <w:rsid w:val="008B11F9"/>
    <w:rsid w:val="008B12D2"/>
    <w:rsid w:val="008B2B60"/>
    <w:rsid w:val="008B3ED3"/>
    <w:rsid w:val="008B5916"/>
    <w:rsid w:val="008B7D3C"/>
    <w:rsid w:val="008C00F1"/>
    <w:rsid w:val="008C0C29"/>
    <w:rsid w:val="008C4E9B"/>
    <w:rsid w:val="008C64D4"/>
    <w:rsid w:val="008C7DE6"/>
    <w:rsid w:val="008D02DA"/>
    <w:rsid w:val="008D06B5"/>
    <w:rsid w:val="008D33CD"/>
    <w:rsid w:val="008D5198"/>
    <w:rsid w:val="008D6319"/>
    <w:rsid w:val="008D76BC"/>
    <w:rsid w:val="008E374E"/>
    <w:rsid w:val="008E3EA9"/>
    <w:rsid w:val="008E6C7C"/>
    <w:rsid w:val="008E6EDA"/>
    <w:rsid w:val="008E7DBA"/>
    <w:rsid w:val="008F0829"/>
    <w:rsid w:val="008F3638"/>
    <w:rsid w:val="008F3DCD"/>
    <w:rsid w:val="008F4441"/>
    <w:rsid w:val="008F511B"/>
    <w:rsid w:val="008F6B20"/>
    <w:rsid w:val="008F6F31"/>
    <w:rsid w:val="008F74DF"/>
    <w:rsid w:val="008F7A83"/>
    <w:rsid w:val="008F7DAC"/>
    <w:rsid w:val="00900171"/>
    <w:rsid w:val="00901AE3"/>
    <w:rsid w:val="00902274"/>
    <w:rsid w:val="00903B92"/>
    <w:rsid w:val="009127BA"/>
    <w:rsid w:val="00920662"/>
    <w:rsid w:val="00920AAE"/>
    <w:rsid w:val="009227A6"/>
    <w:rsid w:val="00926CCB"/>
    <w:rsid w:val="00926FF3"/>
    <w:rsid w:val="00931E1E"/>
    <w:rsid w:val="00932235"/>
    <w:rsid w:val="00932D5D"/>
    <w:rsid w:val="00933EC1"/>
    <w:rsid w:val="0093600A"/>
    <w:rsid w:val="00937DF4"/>
    <w:rsid w:val="00937DFE"/>
    <w:rsid w:val="0094460F"/>
    <w:rsid w:val="009446AD"/>
    <w:rsid w:val="009471E6"/>
    <w:rsid w:val="00950E4C"/>
    <w:rsid w:val="009511FD"/>
    <w:rsid w:val="00952C51"/>
    <w:rsid w:val="009530DB"/>
    <w:rsid w:val="00953676"/>
    <w:rsid w:val="00956856"/>
    <w:rsid w:val="00956F30"/>
    <w:rsid w:val="009570E2"/>
    <w:rsid w:val="0096048D"/>
    <w:rsid w:val="00964FA3"/>
    <w:rsid w:val="009664F7"/>
    <w:rsid w:val="00966C9A"/>
    <w:rsid w:val="00966CF2"/>
    <w:rsid w:val="00967527"/>
    <w:rsid w:val="009705EE"/>
    <w:rsid w:val="009711CB"/>
    <w:rsid w:val="00972C5A"/>
    <w:rsid w:val="009739E2"/>
    <w:rsid w:val="00974A9F"/>
    <w:rsid w:val="00977927"/>
    <w:rsid w:val="0098135C"/>
    <w:rsid w:val="0098156A"/>
    <w:rsid w:val="00981587"/>
    <w:rsid w:val="0098537E"/>
    <w:rsid w:val="00987031"/>
    <w:rsid w:val="00991B7A"/>
    <w:rsid w:val="00991BAC"/>
    <w:rsid w:val="00991C98"/>
    <w:rsid w:val="00992BCB"/>
    <w:rsid w:val="00994D64"/>
    <w:rsid w:val="009A6731"/>
    <w:rsid w:val="009A6EA0"/>
    <w:rsid w:val="009B2A4A"/>
    <w:rsid w:val="009B3364"/>
    <w:rsid w:val="009B6B0F"/>
    <w:rsid w:val="009C1335"/>
    <w:rsid w:val="009C1A6C"/>
    <w:rsid w:val="009C1AB2"/>
    <w:rsid w:val="009C2C10"/>
    <w:rsid w:val="009C2C26"/>
    <w:rsid w:val="009C7251"/>
    <w:rsid w:val="009D0892"/>
    <w:rsid w:val="009D1955"/>
    <w:rsid w:val="009D380E"/>
    <w:rsid w:val="009D77CB"/>
    <w:rsid w:val="009E012F"/>
    <w:rsid w:val="009E2E91"/>
    <w:rsid w:val="009E3C05"/>
    <w:rsid w:val="009E7424"/>
    <w:rsid w:val="009E74E1"/>
    <w:rsid w:val="009F11AD"/>
    <w:rsid w:val="009F506D"/>
    <w:rsid w:val="00A0124A"/>
    <w:rsid w:val="00A01B40"/>
    <w:rsid w:val="00A04531"/>
    <w:rsid w:val="00A139F5"/>
    <w:rsid w:val="00A153F3"/>
    <w:rsid w:val="00A15F2D"/>
    <w:rsid w:val="00A161CA"/>
    <w:rsid w:val="00A24DD7"/>
    <w:rsid w:val="00A252AB"/>
    <w:rsid w:val="00A2681A"/>
    <w:rsid w:val="00A26CE5"/>
    <w:rsid w:val="00A27152"/>
    <w:rsid w:val="00A27168"/>
    <w:rsid w:val="00A32C7C"/>
    <w:rsid w:val="00A32E16"/>
    <w:rsid w:val="00A34E71"/>
    <w:rsid w:val="00A365F4"/>
    <w:rsid w:val="00A36C0C"/>
    <w:rsid w:val="00A36EEA"/>
    <w:rsid w:val="00A42ED6"/>
    <w:rsid w:val="00A460CD"/>
    <w:rsid w:val="00A465FA"/>
    <w:rsid w:val="00A47D80"/>
    <w:rsid w:val="00A5033E"/>
    <w:rsid w:val="00A51734"/>
    <w:rsid w:val="00A52878"/>
    <w:rsid w:val="00A52D3D"/>
    <w:rsid w:val="00A5301B"/>
    <w:rsid w:val="00A53132"/>
    <w:rsid w:val="00A55249"/>
    <w:rsid w:val="00A563F2"/>
    <w:rsid w:val="00A566E8"/>
    <w:rsid w:val="00A61BBA"/>
    <w:rsid w:val="00A63364"/>
    <w:rsid w:val="00A65B36"/>
    <w:rsid w:val="00A66347"/>
    <w:rsid w:val="00A66E9B"/>
    <w:rsid w:val="00A71E0F"/>
    <w:rsid w:val="00A73AC2"/>
    <w:rsid w:val="00A74CB4"/>
    <w:rsid w:val="00A810F9"/>
    <w:rsid w:val="00A81A60"/>
    <w:rsid w:val="00A822B0"/>
    <w:rsid w:val="00A82D31"/>
    <w:rsid w:val="00A8523A"/>
    <w:rsid w:val="00A85E7E"/>
    <w:rsid w:val="00A86ECC"/>
    <w:rsid w:val="00A86FCC"/>
    <w:rsid w:val="00A871C7"/>
    <w:rsid w:val="00A87CEC"/>
    <w:rsid w:val="00A90A6D"/>
    <w:rsid w:val="00A92A63"/>
    <w:rsid w:val="00A92B87"/>
    <w:rsid w:val="00A93958"/>
    <w:rsid w:val="00A963B8"/>
    <w:rsid w:val="00A971E5"/>
    <w:rsid w:val="00A97886"/>
    <w:rsid w:val="00AA25FB"/>
    <w:rsid w:val="00AA5EDE"/>
    <w:rsid w:val="00AA710D"/>
    <w:rsid w:val="00AA7E25"/>
    <w:rsid w:val="00AB1D5F"/>
    <w:rsid w:val="00AB1F20"/>
    <w:rsid w:val="00AB4228"/>
    <w:rsid w:val="00AB507D"/>
    <w:rsid w:val="00AB64F3"/>
    <w:rsid w:val="00AB6D25"/>
    <w:rsid w:val="00AC0F55"/>
    <w:rsid w:val="00AC0FA0"/>
    <w:rsid w:val="00AC4EA4"/>
    <w:rsid w:val="00AD0E56"/>
    <w:rsid w:val="00AD2909"/>
    <w:rsid w:val="00AD2B9C"/>
    <w:rsid w:val="00AD50D1"/>
    <w:rsid w:val="00AD6966"/>
    <w:rsid w:val="00AD7663"/>
    <w:rsid w:val="00AD79BE"/>
    <w:rsid w:val="00AE229B"/>
    <w:rsid w:val="00AE2D4B"/>
    <w:rsid w:val="00AE4A38"/>
    <w:rsid w:val="00AE4F99"/>
    <w:rsid w:val="00AE62C1"/>
    <w:rsid w:val="00AE7E38"/>
    <w:rsid w:val="00AF1349"/>
    <w:rsid w:val="00AF24BF"/>
    <w:rsid w:val="00AF2FCA"/>
    <w:rsid w:val="00AF372C"/>
    <w:rsid w:val="00AF5AB8"/>
    <w:rsid w:val="00AF5ABB"/>
    <w:rsid w:val="00B0274A"/>
    <w:rsid w:val="00B064F7"/>
    <w:rsid w:val="00B066C7"/>
    <w:rsid w:val="00B11B69"/>
    <w:rsid w:val="00B13FAE"/>
    <w:rsid w:val="00B14952"/>
    <w:rsid w:val="00B1620E"/>
    <w:rsid w:val="00B16871"/>
    <w:rsid w:val="00B17C55"/>
    <w:rsid w:val="00B25B45"/>
    <w:rsid w:val="00B27189"/>
    <w:rsid w:val="00B31E5A"/>
    <w:rsid w:val="00B36389"/>
    <w:rsid w:val="00B36DD3"/>
    <w:rsid w:val="00B40DFF"/>
    <w:rsid w:val="00B42609"/>
    <w:rsid w:val="00B434C5"/>
    <w:rsid w:val="00B43E22"/>
    <w:rsid w:val="00B47359"/>
    <w:rsid w:val="00B47B33"/>
    <w:rsid w:val="00B50651"/>
    <w:rsid w:val="00B55BEC"/>
    <w:rsid w:val="00B57DAE"/>
    <w:rsid w:val="00B632F9"/>
    <w:rsid w:val="00B63FBB"/>
    <w:rsid w:val="00B65317"/>
    <w:rsid w:val="00B653AB"/>
    <w:rsid w:val="00B65F9E"/>
    <w:rsid w:val="00B66B19"/>
    <w:rsid w:val="00B7386E"/>
    <w:rsid w:val="00B74BF4"/>
    <w:rsid w:val="00B75D1C"/>
    <w:rsid w:val="00B803A7"/>
    <w:rsid w:val="00B83095"/>
    <w:rsid w:val="00B83D1E"/>
    <w:rsid w:val="00B84C43"/>
    <w:rsid w:val="00B854F6"/>
    <w:rsid w:val="00B85562"/>
    <w:rsid w:val="00B8625F"/>
    <w:rsid w:val="00B87BA7"/>
    <w:rsid w:val="00B914E9"/>
    <w:rsid w:val="00B91E3C"/>
    <w:rsid w:val="00B93797"/>
    <w:rsid w:val="00B956EE"/>
    <w:rsid w:val="00BA019D"/>
    <w:rsid w:val="00BA07C7"/>
    <w:rsid w:val="00BA176A"/>
    <w:rsid w:val="00BA2BA1"/>
    <w:rsid w:val="00BA2DEA"/>
    <w:rsid w:val="00BA3447"/>
    <w:rsid w:val="00BA3562"/>
    <w:rsid w:val="00BA3F48"/>
    <w:rsid w:val="00BB0708"/>
    <w:rsid w:val="00BB24D8"/>
    <w:rsid w:val="00BB4C45"/>
    <w:rsid w:val="00BB4F09"/>
    <w:rsid w:val="00BB54B5"/>
    <w:rsid w:val="00BB7A57"/>
    <w:rsid w:val="00BC248A"/>
    <w:rsid w:val="00BC2FF1"/>
    <w:rsid w:val="00BC38A5"/>
    <w:rsid w:val="00BC7C14"/>
    <w:rsid w:val="00BD3185"/>
    <w:rsid w:val="00BD40F8"/>
    <w:rsid w:val="00BD472C"/>
    <w:rsid w:val="00BD4E33"/>
    <w:rsid w:val="00BD544E"/>
    <w:rsid w:val="00BD6FD5"/>
    <w:rsid w:val="00BE1D5B"/>
    <w:rsid w:val="00BE365B"/>
    <w:rsid w:val="00BE5E5E"/>
    <w:rsid w:val="00BF5917"/>
    <w:rsid w:val="00BF6C1D"/>
    <w:rsid w:val="00C007F1"/>
    <w:rsid w:val="00C030DE"/>
    <w:rsid w:val="00C04C07"/>
    <w:rsid w:val="00C051A8"/>
    <w:rsid w:val="00C076E6"/>
    <w:rsid w:val="00C07CCB"/>
    <w:rsid w:val="00C07DCA"/>
    <w:rsid w:val="00C12F50"/>
    <w:rsid w:val="00C148BD"/>
    <w:rsid w:val="00C14EB5"/>
    <w:rsid w:val="00C158BF"/>
    <w:rsid w:val="00C16683"/>
    <w:rsid w:val="00C16889"/>
    <w:rsid w:val="00C22105"/>
    <w:rsid w:val="00C244B6"/>
    <w:rsid w:val="00C25CC3"/>
    <w:rsid w:val="00C27BF1"/>
    <w:rsid w:val="00C30BBC"/>
    <w:rsid w:val="00C310E6"/>
    <w:rsid w:val="00C3291B"/>
    <w:rsid w:val="00C34014"/>
    <w:rsid w:val="00C3702F"/>
    <w:rsid w:val="00C4500A"/>
    <w:rsid w:val="00C45628"/>
    <w:rsid w:val="00C45845"/>
    <w:rsid w:val="00C4651A"/>
    <w:rsid w:val="00C47EBB"/>
    <w:rsid w:val="00C525A0"/>
    <w:rsid w:val="00C555F9"/>
    <w:rsid w:val="00C57AAC"/>
    <w:rsid w:val="00C608E0"/>
    <w:rsid w:val="00C61C5D"/>
    <w:rsid w:val="00C62238"/>
    <w:rsid w:val="00C64249"/>
    <w:rsid w:val="00C64426"/>
    <w:rsid w:val="00C64A37"/>
    <w:rsid w:val="00C67D83"/>
    <w:rsid w:val="00C7158E"/>
    <w:rsid w:val="00C71B85"/>
    <w:rsid w:val="00C7250B"/>
    <w:rsid w:val="00C72C53"/>
    <w:rsid w:val="00C73042"/>
    <w:rsid w:val="00C7346B"/>
    <w:rsid w:val="00C7373F"/>
    <w:rsid w:val="00C739CC"/>
    <w:rsid w:val="00C745A9"/>
    <w:rsid w:val="00C74C2C"/>
    <w:rsid w:val="00C76376"/>
    <w:rsid w:val="00C778B0"/>
    <w:rsid w:val="00C77C0E"/>
    <w:rsid w:val="00C80F39"/>
    <w:rsid w:val="00C81D3F"/>
    <w:rsid w:val="00C82E68"/>
    <w:rsid w:val="00C84E5B"/>
    <w:rsid w:val="00C9013E"/>
    <w:rsid w:val="00C90C9A"/>
    <w:rsid w:val="00C9101E"/>
    <w:rsid w:val="00C91687"/>
    <w:rsid w:val="00C924A8"/>
    <w:rsid w:val="00C933A5"/>
    <w:rsid w:val="00C94596"/>
    <w:rsid w:val="00C945FE"/>
    <w:rsid w:val="00C9667C"/>
    <w:rsid w:val="00C96FAA"/>
    <w:rsid w:val="00C97A04"/>
    <w:rsid w:val="00C97F8F"/>
    <w:rsid w:val="00CA0000"/>
    <w:rsid w:val="00CA107B"/>
    <w:rsid w:val="00CA2619"/>
    <w:rsid w:val="00CA3230"/>
    <w:rsid w:val="00CA38E5"/>
    <w:rsid w:val="00CA484D"/>
    <w:rsid w:val="00CA4FB6"/>
    <w:rsid w:val="00CA7A4D"/>
    <w:rsid w:val="00CB0BC5"/>
    <w:rsid w:val="00CB1B4D"/>
    <w:rsid w:val="00CB23CC"/>
    <w:rsid w:val="00CB2F90"/>
    <w:rsid w:val="00CB37E1"/>
    <w:rsid w:val="00CB500E"/>
    <w:rsid w:val="00CB6AD4"/>
    <w:rsid w:val="00CB7D7C"/>
    <w:rsid w:val="00CC0878"/>
    <w:rsid w:val="00CC4D95"/>
    <w:rsid w:val="00CC4EDB"/>
    <w:rsid w:val="00CC579C"/>
    <w:rsid w:val="00CC739E"/>
    <w:rsid w:val="00CD0F50"/>
    <w:rsid w:val="00CD1EBB"/>
    <w:rsid w:val="00CD28CF"/>
    <w:rsid w:val="00CD4C69"/>
    <w:rsid w:val="00CD58B7"/>
    <w:rsid w:val="00CD7967"/>
    <w:rsid w:val="00CE00E7"/>
    <w:rsid w:val="00CE073A"/>
    <w:rsid w:val="00CE4307"/>
    <w:rsid w:val="00CE4FDE"/>
    <w:rsid w:val="00CE5656"/>
    <w:rsid w:val="00CE6A09"/>
    <w:rsid w:val="00CE7B3C"/>
    <w:rsid w:val="00CF0410"/>
    <w:rsid w:val="00CF0A53"/>
    <w:rsid w:val="00CF18EE"/>
    <w:rsid w:val="00CF1BC6"/>
    <w:rsid w:val="00CF2B56"/>
    <w:rsid w:val="00CF30BD"/>
    <w:rsid w:val="00CF4099"/>
    <w:rsid w:val="00CF4FDA"/>
    <w:rsid w:val="00CF653A"/>
    <w:rsid w:val="00D0069C"/>
    <w:rsid w:val="00D00796"/>
    <w:rsid w:val="00D00DC1"/>
    <w:rsid w:val="00D02A2D"/>
    <w:rsid w:val="00D047FA"/>
    <w:rsid w:val="00D04CE9"/>
    <w:rsid w:val="00D061F9"/>
    <w:rsid w:val="00D06ABA"/>
    <w:rsid w:val="00D0798D"/>
    <w:rsid w:val="00D11EB0"/>
    <w:rsid w:val="00D14850"/>
    <w:rsid w:val="00D20E55"/>
    <w:rsid w:val="00D261A2"/>
    <w:rsid w:val="00D261D9"/>
    <w:rsid w:val="00D279BB"/>
    <w:rsid w:val="00D31908"/>
    <w:rsid w:val="00D32B2C"/>
    <w:rsid w:val="00D32F90"/>
    <w:rsid w:val="00D34311"/>
    <w:rsid w:val="00D34A5C"/>
    <w:rsid w:val="00D50ABD"/>
    <w:rsid w:val="00D51274"/>
    <w:rsid w:val="00D516D9"/>
    <w:rsid w:val="00D5687F"/>
    <w:rsid w:val="00D56EC0"/>
    <w:rsid w:val="00D616D2"/>
    <w:rsid w:val="00D63B5F"/>
    <w:rsid w:val="00D663C0"/>
    <w:rsid w:val="00D70238"/>
    <w:rsid w:val="00D70EF7"/>
    <w:rsid w:val="00D7186F"/>
    <w:rsid w:val="00D75DDC"/>
    <w:rsid w:val="00D76881"/>
    <w:rsid w:val="00D8306C"/>
    <w:rsid w:val="00D83129"/>
    <w:rsid w:val="00D8397C"/>
    <w:rsid w:val="00D84F73"/>
    <w:rsid w:val="00D86077"/>
    <w:rsid w:val="00D87D4E"/>
    <w:rsid w:val="00D90F4D"/>
    <w:rsid w:val="00D90F8A"/>
    <w:rsid w:val="00D91EDB"/>
    <w:rsid w:val="00D92B6C"/>
    <w:rsid w:val="00D94EED"/>
    <w:rsid w:val="00D96026"/>
    <w:rsid w:val="00D96A23"/>
    <w:rsid w:val="00D972F6"/>
    <w:rsid w:val="00DA331D"/>
    <w:rsid w:val="00DA4649"/>
    <w:rsid w:val="00DA55CC"/>
    <w:rsid w:val="00DA575A"/>
    <w:rsid w:val="00DA6FA1"/>
    <w:rsid w:val="00DA7C1C"/>
    <w:rsid w:val="00DB06FD"/>
    <w:rsid w:val="00DB147A"/>
    <w:rsid w:val="00DB1B7A"/>
    <w:rsid w:val="00DB443F"/>
    <w:rsid w:val="00DB4D47"/>
    <w:rsid w:val="00DB5953"/>
    <w:rsid w:val="00DB5CDC"/>
    <w:rsid w:val="00DB706E"/>
    <w:rsid w:val="00DC02E7"/>
    <w:rsid w:val="00DC2453"/>
    <w:rsid w:val="00DC6708"/>
    <w:rsid w:val="00DC688F"/>
    <w:rsid w:val="00DC69C0"/>
    <w:rsid w:val="00DC6D14"/>
    <w:rsid w:val="00DC7404"/>
    <w:rsid w:val="00DD011A"/>
    <w:rsid w:val="00DD50F0"/>
    <w:rsid w:val="00DE2400"/>
    <w:rsid w:val="00DE58F1"/>
    <w:rsid w:val="00DE5E01"/>
    <w:rsid w:val="00DE6B58"/>
    <w:rsid w:val="00DF1493"/>
    <w:rsid w:val="00DF5E32"/>
    <w:rsid w:val="00DF72AA"/>
    <w:rsid w:val="00DF78CC"/>
    <w:rsid w:val="00DF7F61"/>
    <w:rsid w:val="00E01436"/>
    <w:rsid w:val="00E01DD9"/>
    <w:rsid w:val="00E0332C"/>
    <w:rsid w:val="00E03461"/>
    <w:rsid w:val="00E03E79"/>
    <w:rsid w:val="00E045BD"/>
    <w:rsid w:val="00E04D6C"/>
    <w:rsid w:val="00E05C98"/>
    <w:rsid w:val="00E12280"/>
    <w:rsid w:val="00E1241A"/>
    <w:rsid w:val="00E16947"/>
    <w:rsid w:val="00E16D5E"/>
    <w:rsid w:val="00E17B77"/>
    <w:rsid w:val="00E2257B"/>
    <w:rsid w:val="00E231AB"/>
    <w:rsid w:val="00E23337"/>
    <w:rsid w:val="00E239C1"/>
    <w:rsid w:val="00E24D28"/>
    <w:rsid w:val="00E256AE"/>
    <w:rsid w:val="00E259EA"/>
    <w:rsid w:val="00E25D33"/>
    <w:rsid w:val="00E2752C"/>
    <w:rsid w:val="00E30098"/>
    <w:rsid w:val="00E310D2"/>
    <w:rsid w:val="00E315B8"/>
    <w:rsid w:val="00E32061"/>
    <w:rsid w:val="00E327D1"/>
    <w:rsid w:val="00E33F48"/>
    <w:rsid w:val="00E40BEE"/>
    <w:rsid w:val="00E42FF9"/>
    <w:rsid w:val="00E434D0"/>
    <w:rsid w:val="00E44790"/>
    <w:rsid w:val="00E45145"/>
    <w:rsid w:val="00E46953"/>
    <w:rsid w:val="00E4714C"/>
    <w:rsid w:val="00E5178D"/>
    <w:rsid w:val="00E51AEB"/>
    <w:rsid w:val="00E522A7"/>
    <w:rsid w:val="00E5253C"/>
    <w:rsid w:val="00E5349E"/>
    <w:rsid w:val="00E54452"/>
    <w:rsid w:val="00E564B6"/>
    <w:rsid w:val="00E56D6D"/>
    <w:rsid w:val="00E63B0C"/>
    <w:rsid w:val="00E664C5"/>
    <w:rsid w:val="00E671A2"/>
    <w:rsid w:val="00E7339C"/>
    <w:rsid w:val="00E73D69"/>
    <w:rsid w:val="00E76D26"/>
    <w:rsid w:val="00E76EE5"/>
    <w:rsid w:val="00E77D2D"/>
    <w:rsid w:val="00E8150F"/>
    <w:rsid w:val="00E8181A"/>
    <w:rsid w:val="00E85FF1"/>
    <w:rsid w:val="00E907F1"/>
    <w:rsid w:val="00E90EB4"/>
    <w:rsid w:val="00E91E5D"/>
    <w:rsid w:val="00E95036"/>
    <w:rsid w:val="00E9584E"/>
    <w:rsid w:val="00E95B8E"/>
    <w:rsid w:val="00EA30BC"/>
    <w:rsid w:val="00EA5870"/>
    <w:rsid w:val="00EB1390"/>
    <w:rsid w:val="00EB2C71"/>
    <w:rsid w:val="00EB3333"/>
    <w:rsid w:val="00EB4340"/>
    <w:rsid w:val="00EB556D"/>
    <w:rsid w:val="00EB5A7D"/>
    <w:rsid w:val="00EC0534"/>
    <w:rsid w:val="00EC1CD0"/>
    <w:rsid w:val="00EC231F"/>
    <w:rsid w:val="00EC68EA"/>
    <w:rsid w:val="00ED55C0"/>
    <w:rsid w:val="00ED682B"/>
    <w:rsid w:val="00EE1130"/>
    <w:rsid w:val="00EE41D5"/>
    <w:rsid w:val="00EE4781"/>
    <w:rsid w:val="00EE4C9D"/>
    <w:rsid w:val="00EE52AC"/>
    <w:rsid w:val="00EE710B"/>
    <w:rsid w:val="00EF168C"/>
    <w:rsid w:val="00EF2D7E"/>
    <w:rsid w:val="00EF5D0A"/>
    <w:rsid w:val="00EF6BCB"/>
    <w:rsid w:val="00EF6FC5"/>
    <w:rsid w:val="00F0166F"/>
    <w:rsid w:val="00F037A4"/>
    <w:rsid w:val="00F03D62"/>
    <w:rsid w:val="00F049AB"/>
    <w:rsid w:val="00F04AA5"/>
    <w:rsid w:val="00F067C0"/>
    <w:rsid w:val="00F12486"/>
    <w:rsid w:val="00F142DB"/>
    <w:rsid w:val="00F1501C"/>
    <w:rsid w:val="00F16D15"/>
    <w:rsid w:val="00F22553"/>
    <w:rsid w:val="00F23A83"/>
    <w:rsid w:val="00F23DAE"/>
    <w:rsid w:val="00F27BD2"/>
    <w:rsid w:val="00F27C8F"/>
    <w:rsid w:val="00F32749"/>
    <w:rsid w:val="00F329AD"/>
    <w:rsid w:val="00F37172"/>
    <w:rsid w:val="00F37727"/>
    <w:rsid w:val="00F43D78"/>
    <w:rsid w:val="00F4474E"/>
    <w:rsid w:val="00F4477E"/>
    <w:rsid w:val="00F448D7"/>
    <w:rsid w:val="00F46269"/>
    <w:rsid w:val="00F47D12"/>
    <w:rsid w:val="00F52A42"/>
    <w:rsid w:val="00F53601"/>
    <w:rsid w:val="00F54511"/>
    <w:rsid w:val="00F56701"/>
    <w:rsid w:val="00F56D7A"/>
    <w:rsid w:val="00F60BA8"/>
    <w:rsid w:val="00F61C79"/>
    <w:rsid w:val="00F62FFE"/>
    <w:rsid w:val="00F65A5A"/>
    <w:rsid w:val="00F66003"/>
    <w:rsid w:val="00F663F2"/>
    <w:rsid w:val="00F67D8F"/>
    <w:rsid w:val="00F75510"/>
    <w:rsid w:val="00F75CCB"/>
    <w:rsid w:val="00F802BE"/>
    <w:rsid w:val="00F80715"/>
    <w:rsid w:val="00F80E93"/>
    <w:rsid w:val="00F837A0"/>
    <w:rsid w:val="00F86024"/>
    <w:rsid w:val="00F8611A"/>
    <w:rsid w:val="00F870C5"/>
    <w:rsid w:val="00F8765B"/>
    <w:rsid w:val="00F920C6"/>
    <w:rsid w:val="00F93C9B"/>
    <w:rsid w:val="00FA00AE"/>
    <w:rsid w:val="00FA2DE7"/>
    <w:rsid w:val="00FA3E6A"/>
    <w:rsid w:val="00FA42A5"/>
    <w:rsid w:val="00FA5128"/>
    <w:rsid w:val="00FA5A81"/>
    <w:rsid w:val="00FA677E"/>
    <w:rsid w:val="00FB0C8B"/>
    <w:rsid w:val="00FB1CDE"/>
    <w:rsid w:val="00FB24A6"/>
    <w:rsid w:val="00FB42D4"/>
    <w:rsid w:val="00FB5906"/>
    <w:rsid w:val="00FB5D3F"/>
    <w:rsid w:val="00FB6741"/>
    <w:rsid w:val="00FB7150"/>
    <w:rsid w:val="00FB762F"/>
    <w:rsid w:val="00FC2AED"/>
    <w:rsid w:val="00FC2EE0"/>
    <w:rsid w:val="00FC3D69"/>
    <w:rsid w:val="00FC4C4B"/>
    <w:rsid w:val="00FC52FD"/>
    <w:rsid w:val="00FC59D3"/>
    <w:rsid w:val="00FD08AE"/>
    <w:rsid w:val="00FD107E"/>
    <w:rsid w:val="00FD5EA7"/>
    <w:rsid w:val="00FE2680"/>
    <w:rsid w:val="00FE2E94"/>
    <w:rsid w:val="00FE36CF"/>
    <w:rsid w:val="00FE3B61"/>
    <w:rsid w:val="00FE53F6"/>
    <w:rsid w:val="00FE76E4"/>
    <w:rsid w:val="00FF0246"/>
    <w:rsid w:val="00FF0394"/>
    <w:rsid w:val="00FF08EA"/>
    <w:rsid w:val="00FF2247"/>
    <w:rsid w:val="00FF2393"/>
    <w:rsid w:val="00FF4138"/>
    <w:rsid w:val="00FF686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44345FB"/>
  <w15:chartTrackingRefBased/>
  <w15:docId w15:val="{363C9AAA-BD9E-4889-8D2C-517DF6FA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customStyle="1" w:styleId="Nierozpoznanawzmianka1">
    <w:name w:val="Nierozpoznana wzmianka1"/>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340F5D"/>
    <w:pPr>
      <w:autoSpaceDE w:val="0"/>
      <w:autoSpaceDN w:val="0"/>
      <w:adjustRightInd w:val="0"/>
      <w:spacing w:before="16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340F5D"/>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 w:type="table" w:customStyle="1" w:styleId="Tabela-Siatka1">
    <w:name w:val="Tabela - Siatka1"/>
    <w:basedOn w:val="Standardowy"/>
    <w:next w:val="Tabela-Siatka"/>
    <w:uiPriority w:val="39"/>
    <w:rsid w:val="003545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prawka">
    <w:name w:val="Revision"/>
    <w:hidden/>
    <w:uiPriority w:val="99"/>
    <w:semiHidden/>
    <w:rsid w:val="003B6F62"/>
    <w:pPr>
      <w:spacing w:after="0" w:line="240" w:lineRule="auto"/>
    </w:pPr>
    <w:rPr>
      <w:rFonts w:ascii="Fira Sans" w:hAnsi="Fira Sans"/>
      <w:sz w:val="19"/>
    </w:rPr>
  </w:style>
  <w:style w:type="character" w:styleId="Nierozpoznanawzmianka">
    <w:name w:val="Unresolved Mention"/>
    <w:basedOn w:val="Domylnaczcionkaakapitu"/>
    <w:uiPriority w:val="99"/>
    <w:semiHidden/>
    <w:unhideWhenUsed/>
    <w:rsid w:val="00A24DD7"/>
    <w:rPr>
      <w:color w:val="605E5C"/>
      <w:shd w:val="clear" w:color="auto" w:fill="E1DFDD"/>
    </w:rPr>
  </w:style>
  <w:style w:type="character" w:styleId="UyteHipercze">
    <w:name w:val="FollowedHyperlink"/>
    <w:basedOn w:val="Domylnaczcionkaakapitu"/>
    <w:uiPriority w:val="99"/>
    <w:semiHidden/>
    <w:unhideWhenUsed/>
    <w:rsid w:val="00A24DD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45995854">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313559336">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chart" Target="charts/chart4.xml"/><Relationship Id="rId18" Type="http://schemas.openxmlformats.org/officeDocument/2006/relationships/footer" Target="footer2.xml"/><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image" Target="media/image7.png"/><Relationship Id="rId7" Type="http://schemas.openxmlformats.org/officeDocument/2006/relationships/webSettings" Target="webSettings.xml"/><Relationship Id="rId12" Type="http://schemas.openxmlformats.org/officeDocument/2006/relationships/chart" Target="charts/chart3.xml"/><Relationship Id="rId17" Type="http://schemas.openxmlformats.org/officeDocument/2006/relationships/header" Target="header2.xml"/><Relationship Id="rId25" Type="http://schemas.openxmlformats.org/officeDocument/2006/relationships/image" Target="media/image11.png"/><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image" Target="media/image6.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chart" Target="charts/chart2.xml"/><Relationship Id="rId24" Type="http://schemas.openxmlformats.org/officeDocument/2006/relationships/image" Target="media/image10.png"/><Relationship Id="rId5" Type="http://schemas.openxmlformats.org/officeDocument/2006/relationships/styles" Target="styles.xml"/><Relationship Id="rId15" Type="http://schemas.openxmlformats.org/officeDocument/2006/relationships/header" Target="header1.xml"/><Relationship Id="rId23" Type="http://schemas.openxmlformats.org/officeDocument/2006/relationships/image" Target="media/image9.png"/><Relationship Id="rId28" Type="http://schemas.openxmlformats.org/officeDocument/2006/relationships/fontTable" Target="fontTable.xml"/><Relationship Id="rId10" Type="http://schemas.openxmlformats.org/officeDocument/2006/relationships/chart" Target="charts/chart1.xml"/><Relationship Id="rId19" Type="http://schemas.openxmlformats.org/officeDocument/2006/relationships/hyperlink" Target="mailto:obslugaprasowa@stat.gov.p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chart" Target="charts/chart5.xml"/><Relationship Id="rId22" Type="http://schemas.openxmlformats.org/officeDocument/2006/relationships/image" Target="media/image8.png"/><Relationship Id="rId27" Type="http://schemas.openxmlformats.org/officeDocument/2006/relationships/footer" Target="foot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5.jpeg"/></Relationships>
</file>

<file path=word/_rels/numbering.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emf"/><Relationship Id="rId1" Type="http://schemas.openxmlformats.org/officeDocument/2006/relationships/image" Target="media/image1.emf"/><Relationship Id="rId4" Type="http://schemas.openxmlformats.org/officeDocument/2006/relationships/image" Target="media/image4.emf"/></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5.xml"/><Relationship Id="rId1" Type="http://schemas.microsoft.com/office/2011/relationships/chartStyle" Target="style5.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pl-PL" sz="900">
                <a:solidFill>
                  <a:sysClr val="windowText" lastClr="000000"/>
                </a:solidFill>
                <a:latin typeface="Fira Sans" panose="020B0503050000020004" pitchFamily="34" charset="0"/>
                <a:ea typeface="Fira Sans" panose="020B0503050000020004" pitchFamily="34" charset="0"/>
              </a:rPr>
              <a:t>%</a:t>
            </a:r>
          </a:p>
        </c:rich>
      </c:tx>
      <c:layout>
        <c:manualLayout>
          <c:xMode val="edge"/>
          <c:yMode val="edge"/>
          <c:x val="1.4770002020480054E-2"/>
          <c:y val="2.2396416573348264E-2"/>
        </c:manualLayout>
      </c:layout>
      <c:overlay val="1"/>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pl-PL"/>
        </a:p>
      </c:txPr>
    </c:title>
    <c:autoTitleDeleted val="0"/>
    <c:plotArea>
      <c:layout>
        <c:manualLayout>
          <c:layoutTarget val="inner"/>
          <c:xMode val="edge"/>
          <c:yMode val="edge"/>
          <c:x val="5.7894464567905209E-2"/>
          <c:y val="0.11049723756906077"/>
          <c:w val="0.91235469868981145"/>
          <c:h val="0.7830573133309463"/>
        </c:manualLayout>
      </c:layout>
      <c:lineChart>
        <c:grouping val="standard"/>
        <c:varyColors val="0"/>
        <c:ser>
          <c:idx val="0"/>
          <c:order val="0"/>
          <c:spPr>
            <a:ln w="28575" cap="rnd">
              <a:solidFill>
                <a:srgbClr val="001D77"/>
              </a:solidFill>
              <a:round/>
            </a:ln>
            <a:effectLst/>
          </c:spPr>
          <c:marker>
            <c:symbol val="square"/>
            <c:size val="4"/>
            <c:spPr>
              <a:solidFill>
                <a:srgbClr val="001D77"/>
              </a:solidFill>
              <a:ln w="9525">
                <a:solidFill>
                  <a:srgbClr val="001D77"/>
                </a:solidFill>
              </a:ln>
              <a:effectLst/>
            </c:spPr>
          </c:marker>
          <c:dLbls>
            <c:dLbl>
              <c:idx val="1"/>
              <c:layout>
                <c:manualLayout>
                  <c:x val="-3.1752771327533479E-2"/>
                  <c:y val="-4.164895877603060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B3A9-4995-BDE9-E6C1AADDE07E}"/>
                </c:ext>
              </c:extLst>
            </c:dLbl>
            <c:dLbl>
              <c:idx val="3"/>
              <c:layout>
                <c:manualLayout>
                  <c:x val="-3.2329242593281453E-2"/>
                  <c:y val="-4.589885252868686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B3A9-4995-BDE9-E6C1AADDE07E}"/>
                </c:ext>
              </c:extLst>
            </c:dLbl>
            <c:dLbl>
              <c:idx val="5"/>
              <c:layout>
                <c:manualLayout>
                  <c:x val="-3.0135215991269875E-2"/>
                  <c:y val="-4.164895877603060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B3A9-4995-BDE9-E6C1AADDE07E}"/>
                </c:ext>
              </c:extLst>
            </c:dLbl>
            <c:dLbl>
              <c:idx val="9"/>
              <c:layout>
                <c:manualLayout>
                  <c:x val="-2.5309684932001572E-2"/>
                  <c:y val="-4.5898685210035178E-2"/>
                </c:manualLayout>
              </c:layout>
              <c:spPr>
                <a:noFill/>
                <a:ln>
                  <a:noFill/>
                </a:ln>
                <a:effectLst/>
              </c:spPr>
              <c:txPr>
                <a:bodyPr rot="0" spcFirstLastPara="1" vertOverflow="ellipsis" vert="horz" wrap="square" lIns="38100" tIns="19050" rIns="38100" bIns="19050" anchor="ctr" anchorCtr="1">
                  <a:noAutofit/>
                </a:bodyPr>
                <a:lstStyle/>
                <a:p>
                  <a:pPr>
                    <a:defRPr sz="7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dLblPos val="r"/>
              <c:showLegendKey val="0"/>
              <c:showVal val="1"/>
              <c:showCatName val="0"/>
              <c:showSerName val="0"/>
              <c:showPercent val="0"/>
              <c:showBubbleSize val="0"/>
              <c:extLst>
                <c:ext xmlns:c15="http://schemas.microsoft.com/office/drawing/2012/chart" uri="{CE6537A1-D6FC-4f65-9D91-7224C49458BB}">
                  <c15:layout>
                    <c:manualLayout>
                      <c:w val="4.5394818395934053E-2"/>
                      <c:h val="5.2698682532936664E-2"/>
                    </c:manualLayout>
                  </c15:layout>
                </c:ext>
                <c:ext xmlns:c16="http://schemas.microsoft.com/office/drawing/2014/chart" uri="{C3380CC4-5D6E-409C-BE32-E72D297353CC}">
                  <c16:uniqueId val="{00000003-B3A9-4995-BDE9-E6C1AADDE07E}"/>
                </c:ext>
              </c:extLst>
            </c:dLbl>
            <c:dLbl>
              <c:idx val="10"/>
              <c:layout>
                <c:manualLayout>
                  <c:x val="-3.6196851369778107E-3"/>
                  <c:y val="-1.402464938376540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B3A9-4995-BDE9-E6C1AADDE07E}"/>
                </c:ext>
              </c:extLst>
            </c:dLbl>
            <c:dLbl>
              <c:idx val="17"/>
              <c:layout>
                <c:manualLayout>
                  <c:x val="-1.6177115086348681E-2"/>
                  <c:y val="-3.10242243943901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B3A9-4995-BDE9-E6C1AADDE07E}"/>
                </c:ext>
              </c:extLst>
            </c:dLbl>
            <c:dLbl>
              <c:idx val="19"/>
              <c:layout>
                <c:manualLayout>
                  <c:x val="-5.1952496268944444E-2"/>
                  <c:y val="4.7928331466965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B3A9-4995-BDE9-E6C1AADDE07E}"/>
                </c:ext>
              </c:extLst>
            </c:dLbl>
            <c:dLbl>
              <c:idx val="22"/>
              <c:layout>
                <c:manualLayout>
                  <c:x val="-8.2000255732259907E-3"/>
                  <c:y val="-4.165733482642781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7F19-4302-9D4F-9B3F8B494FD0}"/>
                </c:ext>
              </c:extLst>
            </c:dLbl>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Arkusz1!$A$14:$A$36</c:f>
              <c:strCache>
                <c:ptCount val="23"/>
                <c:pt idx="0">
                  <c:v>01
2024</c:v>
                </c:pt>
                <c:pt idx="1">
                  <c:v>02</c:v>
                </c:pt>
                <c:pt idx="2">
                  <c:v>03</c:v>
                </c:pt>
                <c:pt idx="3">
                  <c:v>04</c:v>
                </c:pt>
                <c:pt idx="4">
                  <c:v>05</c:v>
                </c:pt>
                <c:pt idx="5">
                  <c:v>06</c:v>
                </c:pt>
                <c:pt idx="6">
                  <c:v>07</c:v>
                </c:pt>
                <c:pt idx="7">
                  <c:v>08</c:v>
                </c:pt>
                <c:pt idx="8">
                  <c:v>09</c:v>
                </c:pt>
                <c:pt idx="9">
                  <c:v>10</c:v>
                </c:pt>
                <c:pt idx="10">
                  <c:v>11</c:v>
                </c:pt>
                <c:pt idx="11">
                  <c:v>12</c:v>
                </c:pt>
                <c:pt idx="12">
                  <c:v>01
2025</c:v>
                </c:pt>
                <c:pt idx="13">
                  <c:v>02</c:v>
                </c:pt>
                <c:pt idx="14">
                  <c:v>03</c:v>
                </c:pt>
                <c:pt idx="15">
                  <c:v>04</c:v>
                </c:pt>
                <c:pt idx="16">
                  <c:v>05</c:v>
                </c:pt>
                <c:pt idx="17">
                  <c:v>06</c:v>
                </c:pt>
                <c:pt idx="18">
                  <c:v>07</c:v>
                </c:pt>
                <c:pt idx="19">
                  <c:v>08</c:v>
                </c:pt>
                <c:pt idx="20">
                  <c:v>09</c:v>
                </c:pt>
                <c:pt idx="21">
                  <c:v>10</c:v>
                </c:pt>
                <c:pt idx="22">
                  <c:v>11</c:v>
                </c:pt>
              </c:strCache>
            </c:strRef>
          </c:cat>
          <c:val>
            <c:numRef>
              <c:f>Arkusz1!$B$14:$B$36</c:f>
              <c:numCache>
                <c:formatCode>General</c:formatCode>
                <c:ptCount val="23"/>
                <c:pt idx="0">
                  <c:v>-1.9</c:v>
                </c:pt>
                <c:pt idx="1">
                  <c:v>0.1</c:v>
                </c:pt>
                <c:pt idx="2">
                  <c:v>-0.5</c:v>
                </c:pt>
                <c:pt idx="3">
                  <c:v>0.3</c:v>
                </c:pt>
                <c:pt idx="4">
                  <c:v>-0.3</c:v>
                </c:pt>
                <c:pt idx="5">
                  <c:v>0.4</c:v>
                </c:pt>
                <c:pt idx="6" formatCode="0.0">
                  <c:v>-0.4</c:v>
                </c:pt>
                <c:pt idx="7">
                  <c:v>-0.5</c:v>
                </c:pt>
                <c:pt idx="8">
                  <c:v>-0.3</c:v>
                </c:pt>
                <c:pt idx="9">
                  <c:v>0.5</c:v>
                </c:pt>
                <c:pt idx="10">
                  <c:v>0.2</c:v>
                </c:pt>
                <c:pt idx="11">
                  <c:v>-0.3</c:v>
                </c:pt>
                <c:pt idx="12">
                  <c:v>-0.2</c:v>
                </c:pt>
                <c:pt idx="13">
                  <c:v>-0.2</c:v>
                </c:pt>
                <c:pt idx="14">
                  <c:v>-0.2</c:v>
                </c:pt>
                <c:pt idx="15">
                  <c:v>-0.3</c:v>
                </c:pt>
                <c:pt idx="16">
                  <c:v>-0.3</c:v>
                </c:pt>
                <c:pt idx="17">
                  <c:v>0.5</c:v>
                </c:pt>
                <c:pt idx="18">
                  <c:v>-0.2</c:v>
                </c:pt>
                <c:pt idx="19">
                  <c:v>-0.5</c:v>
                </c:pt>
                <c:pt idx="20">
                  <c:v>-0.5</c:v>
                </c:pt>
                <c:pt idx="21">
                  <c:v>-0.3</c:v>
                </c:pt>
                <c:pt idx="22">
                  <c:v>0.1</c:v>
                </c:pt>
              </c:numCache>
            </c:numRef>
          </c:val>
          <c:smooth val="0"/>
          <c:extLst>
            <c:ext xmlns:c16="http://schemas.microsoft.com/office/drawing/2014/chart" uri="{C3380CC4-5D6E-409C-BE32-E72D297353CC}">
              <c16:uniqueId val="{00000006-B3A9-4995-BDE9-E6C1AADDE07E}"/>
            </c:ext>
          </c:extLst>
        </c:ser>
        <c:dLbls>
          <c:showLegendKey val="0"/>
          <c:showVal val="0"/>
          <c:showCatName val="0"/>
          <c:showSerName val="0"/>
          <c:showPercent val="0"/>
          <c:showBubbleSize val="0"/>
        </c:dLbls>
        <c:marker val="1"/>
        <c:smooth val="0"/>
        <c:axId val="934474032"/>
        <c:axId val="934471312"/>
      </c:lineChart>
      <c:catAx>
        <c:axId val="934474032"/>
        <c:scaling>
          <c:orientation val="minMax"/>
        </c:scaling>
        <c:delete val="0"/>
        <c:axPos val="b"/>
        <c:numFmt formatCode="General" sourceLinked="1"/>
        <c:majorTickMark val="none"/>
        <c:minorTickMark val="in"/>
        <c:tickLblPos val="low"/>
        <c:spPr>
          <a:noFill/>
          <a:ln w="9525" cap="flat" cmpd="sng" algn="ctr">
            <a:solidFill>
              <a:schemeClr val="tx1"/>
            </a:solidFill>
            <a:round/>
          </a:ln>
          <a:effectLst/>
        </c:spPr>
        <c:txPr>
          <a:bodyPr rot="0" spcFirstLastPara="1" vertOverflow="ellipsis" wrap="square" anchor="t" anchorCtr="0"/>
          <a:lstStyle/>
          <a:p>
            <a:pPr>
              <a:defRPr sz="800" b="0" i="0" u="none" strike="noStrike" kern="1200" baseline="0">
                <a:ln>
                  <a:noFill/>
                </a:ln>
                <a:solidFill>
                  <a:schemeClr val="tx1"/>
                </a:solidFill>
                <a:latin typeface="Fira Sans" panose="020B0503050000020004" pitchFamily="34" charset="0"/>
                <a:ea typeface="Fira Sans" panose="020B0503050000020004" pitchFamily="34" charset="0"/>
                <a:cs typeface="+mn-cs"/>
              </a:defRPr>
            </a:pPr>
            <a:endParaRPr lang="pl-PL"/>
          </a:p>
        </c:txPr>
        <c:crossAx val="934471312"/>
        <c:crosses val="autoZero"/>
        <c:auto val="0"/>
        <c:lblAlgn val="ctr"/>
        <c:lblOffset val="12"/>
        <c:tickLblSkip val="1"/>
        <c:noMultiLvlLbl val="0"/>
      </c:catAx>
      <c:valAx>
        <c:axId val="934471312"/>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0"/>
        <c:majorTickMark val="in"/>
        <c:minorTickMark val="none"/>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chemeClr val="tx1">
                    <a:lumMod val="95000"/>
                    <a:lumOff val="5000"/>
                  </a:schemeClr>
                </a:solidFill>
                <a:latin typeface="Fira Sans" panose="020B0503050000020004" pitchFamily="34" charset="0"/>
                <a:ea typeface="Fira Sans" panose="020B0503050000020004" pitchFamily="34" charset="0"/>
                <a:cs typeface="+mn-cs"/>
              </a:defRPr>
            </a:pPr>
            <a:endParaRPr lang="pl-PL"/>
          </a:p>
        </c:txPr>
        <c:crossAx val="934474032"/>
        <c:crossesAt val="1"/>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pl-PL" sz="900">
                <a:solidFill>
                  <a:sysClr val="windowText" lastClr="000000"/>
                </a:solidFill>
                <a:latin typeface="Fira Sans" panose="020B0503050000020004" pitchFamily="34" charset="0"/>
                <a:ea typeface="Fira Sans" panose="020B0503050000020004" pitchFamily="34" charset="0"/>
              </a:rPr>
              <a:t>%</a:t>
            </a:r>
          </a:p>
        </c:rich>
      </c:tx>
      <c:layout>
        <c:manualLayout>
          <c:xMode val="edge"/>
          <c:yMode val="edge"/>
          <c:x val="0.60180019982396449"/>
          <c:y val="4.0421253313485074E-3"/>
        </c:manualLayout>
      </c:layout>
      <c:overlay val="1"/>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pl-PL"/>
        </a:p>
      </c:txPr>
    </c:title>
    <c:autoTitleDeleted val="0"/>
    <c:plotArea>
      <c:layout>
        <c:manualLayout>
          <c:layoutTarget val="inner"/>
          <c:xMode val="edge"/>
          <c:yMode val="edge"/>
          <c:x val="0.45708313009546375"/>
          <c:y val="7.679870654810024E-2"/>
          <c:w val="0.5084035955682531"/>
          <c:h val="0.85636636770444119"/>
        </c:manualLayout>
      </c:layout>
      <c:barChart>
        <c:barDir val="bar"/>
        <c:grouping val="clustered"/>
        <c:varyColors val="0"/>
        <c:ser>
          <c:idx val="0"/>
          <c:order val="0"/>
          <c:tx>
            <c:strRef>
              <c:f>Arkusz1!$C$1</c:f>
              <c:strCache>
                <c:ptCount val="1"/>
                <c:pt idx="0">
                  <c:v>Seria 1</c:v>
                </c:pt>
              </c:strCache>
            </c:strRef>
          </c:tx>
          <c:spPr>
            <a:solidFill>
              <a:srgbClr val="001D77"/>
            </a:solidFill>
            <a:ln>
              <a:noFill/>
            </a:ln>
            <a:effectLst/>
          </c:spPr>
          <c:invertIfNegative val="0"/>
          <c:dPt>
            <c:idx val="9"/>
            <c:invertIfNegative val="0"/>
            <c:bubble3D val="0"/>
            <c:spPr>
              <a:solidFill>
                <a:srgbClr val="001D77"/>
              </a:solidFill>
              <a:ln>
                <a:noFill/>
              </a:ln>
              <a:effectLst/>
            </c:spPr>
            <c:extLst>
              <c:ext xmlns:c16="http://schemas.microsoft.com/office/drawing/2014/chart" uri="{C3380CC4-5D6E-409C-BE32-E72D297353CC}">
                <c16:uniqueId val="{00000001-2CA7-4941-849E-54ACECA65D25}"/>
              </c:ext>
            </c:extLst>
          </c:dPt>
          <c:dLbls>
            <c:dLbl>
              <c:idx val="0"/>
              <c:layout>
                <c:manualLayout>
                  <c:x val="-1.7270186359448433E-2"/>
                  <c:y val="4.2500610713078627E-3"/>
                </c:manualLayout>
              </c:layout>
              <c:spPr>
                <a:noFill/>
                <a:ln>
                  <a:noFill/>
                </a:ln>
                <a:effectLst/>
              </c:spPr>
              <c:txPr>
                <a:bodyPr rot="0" spcFirstLastPara="1" vertOverflow="ellipsis" vert="horz" wrap="square" lIns="38100" tIns="19050" rIns="38100" bIns="19050" anchor="ctr" anchorCtr="1">
                  <a:noAutofit/>
                </a:bodyPr>
                <a:lstStyle/>
                <a:p>
                  <a:pPr>
                    <a:defRPr sz="550" b="0" i="0" u="none" strike="noStrike" kern="1200" baseline="0">
                      <a:solidFill>
                        <a:schemeClr val="tx1">
                          <a:lumMod val="95000"/>
                          <a:lumOff val="5000"/>
                        </a:schemeClr>
                      </a:solidFill>
                      <a:latin typeface="Fira Sans" panose="020B0503050000020004" pitchFamily="34" charset="0"/>
                      <a:ea typeface="Fira Sans" panose="020B0503050000020004" pitchFamily="34" charset="0"/>
                      <a:cs typeface="+mn-cs"/>
                    </a:defRPr>
                  </a:pPr>
                  <a:endParaRPr lang="pl-PL"/>
                </a:p>
              </c:txPr>
              <c:showLegendKey val="0"/>
              <c:showVal val="1"/>
              <c:showCatName val="0"/>
              <c:showSerName val="0"/>
              <c:showPercent val="0"/>
              <c:showBubbleSize val="0"/>
              <c:extLst>
                <c:ext xmlns:c15="http://schemas.microsoft.com/office/drawing/2012/chart" uri="{CE6537A1-D6FC-4f65-9D91-7224C49458BB}">
                  <c15:layout>
                    <c:manualLayout>
                      <c:w val="5.6551033996856591E-2"/>
                      <c:h val="4.9320184318226677E-2"/>
                    </c:manualLayout>
                  </c15:layout>
                </c:ext>
                <c:ext xmlns:c16="http://schemas.microsoft.com/office/drawing/2014/chart" uri="{C3380CC4-5D6E-409C-BE32-E72D297353CC}">
                  <c16:uniqueId val="{00000002-2CA7-4941-849E-54ACECA65D25}"/>
                </c:ext>
              </c:extLst>
            </c:dLbl>
            <c:dLbl>
              <c:idx val="1"/>
              <c:layout>
                <c:manualLayout>
                  <c:x val="-1.2291052114061144E-2"/>
                  <c:y val="-1.5582763746322813E-1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2CA7-4941-849E-54ACECA65D25}"/>
                </c:ext>
              </c:extLst>
            </c:dLbl>
            <c:dLbl>
              <c:idx val="21"/>
              <c:layout>
                <c:manualLayout>
                  <c:x val="-8.6865801066901126E-3"/>
                  <c:y val="2.1251141949797663E-3"/>
                </c:manualLayout>
              </c:layout>
              <c:spPr>
                <a:noFill/>
                <a:ln>
                  <a:noFill/>
                </a:ln>
                <a:effectLst/>
              </c:spPr>
              <c:txPr>
                <a:bodyPr rot="0" spcFirstLastPara="1" vertOverflow="ellipsis" vert="horz" wrap="square" lIns="38100" tIns="19050" rIns="38100" bIns="19050" anchor="ctr" anchorCtr="1">
                  <a:noAutofit/>
                </a:bodyPr>
                <a:lstStyle/>
                <a:p>
                  <a:pPr>
                    <a:defRPr sz="550" b="0" i="0" u="none" strike="noStrike" kern="1200" baseline="0">
                      <a:solidFill>
                        <a:schemeClr val="tx1">
                          <a:lumMod val="95000"/>
                          <a:lumOff val="5000"/>
                        </a:schemeClr>
                      </a:solidFill>
                      <a:latin typeface="Fira Sans" panose="020B0503050000020004" pitchFamily="34" charset="0"/>
                      <a:ea typeface="Fira Sans" panose="020B0503050000020004" pitchFamily="34" charset="0"/>
                      <a:cs typeface="+mn-cs"/>
                    </a:defRPr>
                  </a:pPr>
                  <a:endParaRPr lang="pl-PL"/>
                </a:p>
              </c:txPr>
              <c:showLegendKey val="0"/>
              <c:showVal val="1"/>
              <c:showCatName val="0"/>
              <c:showSerName val="0"/>
              <c:showPercent val="0"/>
              <c:showBubbleSize val="0"/>
              <c:extLst>
                <c:ext xmlns:c15="http://schemas.microsoft.com/office/drawing/2012/chart" uri="{CE6537A1-D6FC-4f65-9D91-7224C49458BB}">
                  <c15:layout>
                    <c:manualLayout>
                      <c:w val="4.9225566936876256E-2"/>
                      <c:h val="6.2069865576195232E-2"/>
                    </c:manualLayout>
                  </c15:layout>
                </c:ext>
                <c:ext xmlns:c16="http://schemas.microsoft.com/office/drawing/2014/chart" uri="{C3380CC4-5D6E-409C-BE32-E72D297353CC}">
                  <c16:uniqueId val="{00000004-2CA7-4941-849E-54ACECA65D25}"/>
                </c:ext>
              </c:extLst>
            </c:dLbl>
            <c:spPr>
              <a:noFill/>
              <a:ln>
                <a:noFill/>
              </a:ln>
              <a:effectLst/>
            </c:spPr>
            <c:txPr>
              <a:bodyPr rot="0" spcFirstLastPara="1" vertOverflow="ellipsis" vert="horz" wrap="square" lIns="38100" tIns="19050" rIns="38100" bIns="19050" anchor="ctr" anchorCtr="1">
                <a:spAutoFit/>
              </a:bodyPr>
              <a:lstStyle/>
              <a:p>
                <a:pPr>
                  <a:defRPr sz="550" b="0" i="0" u="none" strike="noStrike" kern="1200" baseline="0">
                    <a:solidFill>
                      <a:schemeClr val="tx1">
                        <a:lumMod val="95000"/>
                        <a:lumOff val="5000"/>
                      </a:schemeClr>
                    </a:solidFill>
                    <a:latin typeface="Fira Sans" panose="020B0503050000020004" pitchFamily="34" charset="0"/>
                    <a:ea typeface="Fira Sans" panose="020B0503050000020004" pitchFamily="34" charset="0"/>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Arkusz1!$B$2:$B$23</c:f>
              <c:strCache>
                <c:ptCount val="22"/>
                <c:pt idx="0">
                  <c:v>produkcja odzieży</c:v>
                </c:pt>
                <c:pt idx="1">
                  <c:v>produkcja artykułów spożywczych</c:v>
                </c:pt>
                <c:pt idx="2">
                  <c:v>produkcja napojów</c:v>
                </c:pt>
                <c:pt idx="3">
                  <c:v>produkcja wyrobów tekstylnych</c:v>
                </c:pt>
                <c:pt idx="4">
                  <c:v>produkcja mebli</c:v>
                </c:pt>
                <c:pt idx="5">
                  <c:v>produkcja wyrobów z drewna, korka, słomy i wikliny</c:v>
                </c:pt>
                <c:pt idx="6">
                  <c:v>produkcja wyrobów z gumy i tworzyw sztucznych</c:v>
                </c:pt>
                <c:pt idx="7">
                  <c:v>produkcja skór i wyrobów skórzanych</c:v>
                </c:pt>
                <c:pt idx="8">
                  <c:v>produkcja wyrobów z pozostałych mineralnych surowców niemetalicznych</c:v>
                </c:pt>
                <c:pt idx="9">
                  <c:v>produkcja maszyn i urządzeń</c:v>
                </c:pt>
                <c:pt idx="10">
                  <c:v>produkcja wyrobów farmaceutycznych</c:v>
                </c:pt>
                <c:pt idx="11">
                  <c:v>produkcja chemikaliów i wyrobów chemicznych</c:v>
                </c:pt>
                <c:pt idx="12">
                  <c:v>produkcja wyrobów z metali</c:v>
                </c:pt>
                <c:pt idx="13">
                  <c:v>produkcja urządzeń elektrycznych</c:v>
                </c:pt>
                <c:pt idx="14">
                  <c:v>produkcja pozostałego sprzętu transportowego</c:v>
                </c:pt>
                <c:pt idx="15">
                  <c:v>produkcja komputerów, wyrobów elektronicznych i optycznych</c:v>
                </c:pt>
                <c:pt idx="16">
                  <c:v>produkcja papieru i wyrobów z papieru</c:v>
                </c:pt>
                <c:pt idx="17">
                  <c:v>produkcja metali</c:v>
                </c:pt>
                <c:pt idx="18">
                  <c:v>produkcja pojazdów samochodowych, przyczep i naczep</c:v>
                </c:pt>
                <c:pt idx="19">
                  <c:v>poligrafia i reprodukcja zapisanych nośników informacji</c:v>
                </c:pt>
                <c:pt idx="20">
                  <c:v>produkcja wyrobów tytoniowych</c:v>
                </c:pt>
                <c:pt idx="21">
                  <c:v>wytwarzanie i przetwarzanie koksu i produktów rafinacji ropy naftowej</c:v>
                </c:pt>
              </c:strCache>
            </c:strRef>
          </c:cat>
          <c:val>
            <c:numRef>
              <c:f>Arkusz1!$C$2:$C$23</c:f>
              <c:numCache>
                <c:formatCode>0.0</c:formatCode>
                <c:ptCount val="22"/>
                <c:pt idx="0">
                  <c:v>-1</c:v>
                </c:pt>
                <c:pt idx="1">
                  <c:v>-0.6</c:v>
                </c:pt>
                <c:pt idx="2">
                  <c:v>-0.6</c:v>
                </c:pt>
                <c:pt idx="3">
                  <c:v>-0.6</c:v>
                </c:pt>
                <c:pt idx="4">
                  <c:v>-0.6</c:v>
                </c:pt>
                <c:pt idx="5">
                  <c:v>-0.4</c:v>
                </c:pt>
                <c:pt idx="6">
                  <c:v>-0.4</c:v>
                </c:pt>
                <c:pt idx="7">
                  <c:v>-0.3</c:v>
                </c:pt>
                <c:pt idx="8">
                  <c:v>-0.3</c:v>
                </c:pt>
                <c:pt idx="9">
                  <c:v>-0.2</c:v>
                </c:pt>
                <c:pt idx="10">
                  <c:v>-0.1</c:v>
                </c:pt>
                <c:pt idx="11">
                  <c:v>0</c:v>
                </c:pt>
                <c:pt idx="12">
                  <c:v>0</c:v>
                </c:pt>
                <c:pt idx="13">
                  <c:v>0</c:v>
                </c:pt>
                <c:pt idx="14">
                  <c:v>0</c:v>
                </c:pt>
                <c:pt idx="15">
                  <c:v>0.1</c:v>
                </c:pt>
                <c:pt idx="16">
                  <c:v>0.4</c:v>
                </c:pt>
                <c:pt idx="17">
                  <c:v>0.4</c:v>
                </c:pt>
                <c:pt idx="18">
                  <c:v>0.4</c:v>
                </c:pt>
                <c:pt idx="19">
                  <c:v>0.5</c:v>
                </c:pt>
                <c:pt idx="20">
                  <c:v>2</c:v>
                </c:pt>
                <c:pt idx="21">
                  <c:v>2.5</c:v>
                </c:pt>
              </c:numCache>
            </c:numRef>
          </c:val>
          <c:extLst>
            <c:ext xmlns:c16="http://schemas.microsoft.com/office/drawing/2014/chart" uri="{C3380CC4-5D6E-409C-BE32-E72D297353CC}">
              <c16:uniqueId val="{00000005-2CA7-4941-849E-54ACECA65D25}"/>
            </c:ext>
          </c:extLst>
        </c:ser>
        <c:dLbls>
          <c:showLegendKey val="0"/>
          <c:showVal val="0"/>
          <c:showCatName val="0"/>
          <c:showSerName val="0"/>
          <c:showPercent val="0"/>
          <c:showBubbleSize val="0"/>
        </c:dLbls>
        <c:gapWidth val="63"/>
        <c:axId val="934463152"/>
        <c:axId val="934475120"/>
      </c:barChart>
      <c:catAx>
        <c:axId val="934463152"/>
        <c:scaling>
          <c:orientation val="minMax"/>
        </c:scaling>
        <c:delete val="0"/>
        <c:axPos val="l"/>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52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crossAx val="934475120"/>
        <c:crosses val="autoZero"/>
        <c:auto val="1"/>
        <c:lblAlgn val="ctr"/>
        <c:lblOffset val="100"/>
        <c:noMultiLvlLbl val="0"/>
      </c:catAx>
      <c:valAx>
        <c:axId val="934475120"/>
        <c:scaling>
          <c:orientation val="minMax"/>
          <c:max val="2.6"/>
          <c:min val="-1.2"/>
        </c:scaling>
        <c:delete val="0"/>
        <c:axPos val="b"/>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55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crossAx val="934463152"/>
        <c:crosses val="autoZero"/>
        <c:crossBetween val="between"/>
        <c:majorUnit val="0.2"/>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pl-PL" sz="900">
                <a:solidFill>
                  <a:sysClr val="windowText" lastClr="000000"/>
                </a:solidFill>
                <a:latin typeface="Fira Sans" panose="020B0503050000020004" pitchFamily="34" charset="0"/>
                <a:ea typeface="Fira Sans" panose="020B0503050000020004" pitchFamily="34" charset="0"/>
              </a:rPr>
              <a:t>%</a:t>
            </a:r>
          </a:p>
        </c:rich>
      </c:tx>
      <c:layout>
        <c:manualLayout>
          <c:xMode val="edge"/>
          <c:yMode val="edge"/>
          <c:x val="3.1895905212228952E-2"/>
          <c:y val="0"/>
        </c:manualLayout>
      </c:layout>
      <c:overlay val="1"/>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pl-PL"/>
        </a:p>
      </c:txPr>
    </c:title>
    <c:autoTitleDeleted val="0"/>
    <c:plotArea>
      <c:layout>
        <c:manualLayout>
          <c:layoutTarget val="inner"/>
          <c:xMode val="edge"/>
          <c:yMode val="edge"/>
          <c:x val="8.2012592433555201E-2"/>
          <c:y val="9.3503937007874016E-2"/>
          <c:w val="0.89262279120626731"/>
          <c:h val="0.76847138694277395"/>
        </c:manualLayout>
      </c:layout>
      <c:lineChart>
        <c:grouping val="standard"/>
        <c:varyColors val="0"/>
        <c:ser>
          <c:idx val="0"/>
          <c:order val="0"/>
          <c:spPr>
            <a:ln w="28575" cap="rnd">
              <a:solidFill>
                <a:srgbClr val="001D77"/>
              </a:solidFill>
              <a:round/>
            </a:ln>
            <a:effectLst/>
          </c:spPr>
          <c:marker>
            <c:symbol val="square"/>
            <c:size val="4"/>
            <c:spPr>
              <a:solidFill>
                <a:srgbClr val="001D77"/>
              </a:solidFill>
              <a:ln w="9525">
                <a:solidFill>
                  <a:srgbClr val="001D77"/>
                </a:solidFill>
              </a:ln>
              <a:effectLst/>
            </c:spPr>
          </c:marker>
          <c:dLbls>
            <c:dLbl>
              <c:idx val="1"/>
              <c:layout>
                <c:manualLayout>
                  <c:x val="-3.9476530240314764E-2"/>
                  <c:y val="4.402047554095098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CD13-487E-86E1-1529A64906C7}"/>
                </c:ext>
              </c:extLst>
            </c:dLbl>
            <c:dLbl>
              <c:idx val="2"/>
              <c:layout>
                <c:manualLayout>
                  <c:x val="-2.2638019962152822E-2"/>
                  <c:y val="4.773622047244094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CD13-487E-86E1-1529A64906C7}"/>
                </c:ext>
              </c:extLst>
            </c:dLbl>
            <c:dLbl>
              <c:idx val="3"/>
              <c:layout>
                <c:manualLayout>
                  <c:x val="-3.4808478988471551E-2"/>
                  <c:y val="4.334891627709307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CD13-487E-86E1-1529A64906C7}"/>
                </c:ext>
              </c:extLst>
            </c:dLbl>
            <c:dLbl>
              <c:idx val="4"/>
              <c:numFmt formatCode="#,##0.0" sourceLinked="0"/>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dLblPos val="b"/>
              <c:showLegendKey val="0"/>
              <c:showVal val="1"/>
              <c:showCatName val="0"/>
              <c:showSerName val="0"/>
              <c:showPercent val="0"/>
              <c:showBubbleSize val="0"/>
              <c:extLst>
                <c:ext xmlns:c16="http://schemas.microsoft.com/office/drawing/2014/chart" uri="{C3380CC4-5D6E-409C-BE32-E72D297353CC}">
                  <c16:uniqueId val="{00000003-CD13-487E-86E1-1529A64906C7}"/>
                </c:ext>
              </c:extLst>
            </c:dLbl>
            <c:dLbl>
              <c:idx val="5"/>
              <c:layout>
                <c:manualLayout>
                  <c:x val="-3.0135215991269875E-2"/>
                  <c:y val="3.909902252443688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CD13-487E-86E1-1529A64906C7}"/>
                </c:ext>
              </c:extLst>
            </c:dLbl>
            <c:dLbl>
              <c:idx val="6"/>
              <c:layout>
                <c:manualLayout>
                  <c:x val="-2.855455637773811E-2"/>
                  <c:y val="4.547386315342116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CD13-487E-86E1-1529A64906C7}"/>
                </c:ext>
              </c:extLst>
            </c:dLbl>
            <c:dLbl>
              <c:idx val="7"/>
              <c:layout>
                <c:manualLayout>
                  <c:x val="-3.3513029168118581E-2"/>
                  <c:y val="4.547386315342116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CD13-487E-86E1-1529A64906C7}"/>
                </c:ext>
              </c:extLst>
            </c:dLbl>
            <c:dLbl>
              <c:idx val="8"/>
              <c:layout>
                <c:manualLayout>
                  <c:x val="-2.9539418394567543E-2"/>
                  <c:y val="4.122396940076498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CD13-487E-86E1-1529A64906C7}"/>
                </c:ext>
              </c:extLst>
            </c:dLbl>
            <c:dLbl>
              <c:idx val="22"/>
              <c:layout>
                <c:manualLayout>
                  <c:x val="-8.1558226274347292E-3"/>
                  <c:y val="5.144230769230766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81C8-450E-9E99-BB83D07B713C}"/>
                </c:ext>
              </c:extLst>
            </c:dLbl>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Arkusz1!$A$14:$A$36</c:f>
              <c:strCache>
                <c:ptCount val="23"/>
                <c:pt idx="0">
                  <c:v>01
2024</c:v>
                </c:pt>
                <c:pt idx="1">
                  <c:v>02</c:v>
                </c:pt>
                <c:pt idx="2">
                  <c:v>03</c:v>
                </c:pt>
                <c:pt idx="3">
                  <c:v>04</c:v>
                </c:pt>
                <c:pt idx="4">
                  <c:v>05</c:v>
                </c:pt>
                <c:pt idx="5">
                  <c:v>06</c:v>
                </c:pt>
                <c:pt idx="6">
                  <c:v>07</c:v>
                </c:pt>
                <c:pt idx="7">
                  <c:v>08</c:v>
                </c:pt>
                <c:pt idx="8">
                  <c:v>09</c:v>
                </c:pt>
                <c:pt idx="9">
                  <c:v>10</c:v>
                </c:pt>
                <c:pt idx="10">
                  <c:v>11</c:v>
                </c:pt>
                <c:pt idx="11">
                  <c:v>12</c:v>
                </c:pt>
                <c:pt idx="12">
                  <c:v>01
2025</c:v>
                </c:pt>
                <c:pt idx="13">
                  <c:v>02</c:v>
                </c:pt>
                <c:pt idx="14">
                  <c:v>03</c:v>
                </c:pt>
                <c:pt idx="15">
                  <c:v>04</c:v>
                </c:pt>
                <c:pt idx="16">
                  <c:v>05</c:v>
                </c:pt>
                <c:pt idx="17">
                  <c:v>06</c:v>
                </c:pt>
                <c:pt idx="18">
                  <c:v>07</c:v>
                </c:pt>
                <c:pt idx="19">
                  <c:v>08</c:v>
                </c:pt>
                <c:pt idx="20">
                  <c:v>09</c:v>
                </c:pt>
                <c:pt idx="21">
                  <c:v>10</c:v>
                </c:pt>
                <c:pt idx="22">
                  <c:v>11</c:v>
                </c:pt>
              </c:strCache>
            </c:strRef>
          </c:cat>
          <c:val>
            <c:numRef>
              <c:f>Arkusz1!$B$14:$B$36</c:f>
              <c:numCache>
                <c:formatCode>0.0</c:formatCode>
                <c:ptCount val="23"/>
                <c:pt idx="0" formatCode="General">
                  <c:v>-10.6</c:v>
                </c:pt>
                <c:pt idx="1">
                  <c:v>-10</c:v>
                </c:pt>
                <c:pt idx="2" formatCode="General">
                  <c:v>-9.9</c:v>
                </c:pt>
                <c:pt idx="3" formatCode="General">
                  <c:v>-8.5</c:v>
                </c:pt>
                <c:pt idx="4">
                  <c:v>-7</c:v>
                </c:pt>
                <c:pt idx="5" formatCode="General">
                  <c:v>-5.8</c:v>
                </c:pt>
                <c:pt idx="6">
                  <c:v>-5.0999999999999996</c:v>
                </c:pt>
                <c:pt idx="7" formatCode="General">
                  <c:v>-5.5</c:v>
                </c:pt>
                <c:pt idx="8" formatCode="General">
                  <c:v>-6.2</c:v>
                </c:pt>
                <c:pt idx="9" formatCode="General">
                  <c:v>-5.0999999999999996</c:v>
                </c:pt>
                <c:pt idx="10" formatCode="General">
                  <c:v>-3.8</c:v>
                </c:pt>
                <c:pt idx="11" formatCode="General">
                  <c:v>-2.7</c:v>
                </c:pt>
                <c:pt idx="12">
                  <c:v>-1</c:v>
                </c:pt>
                <c:pt idx="13" formatCode="General">
                  <c:v>-1.3</c:v>
                </c:pt>
                <c:pt idx="14">
                  <c:v>-1</c:v>
                </c:pt>
                <c:pt idx="15" formatCode="General">
                  <c:v>-1.6</c:v>
                </c:pt>
                <c:pt idx="16" formatCode="General">
                  <c:v>-1.5</c:v>
                </c:pt>
                <c:pt idx="17" formatCode="General">
                  <c:v>-1.5</c:v>
                </c:pt>
                <c:pt idx="18" formatCode="General">
                  <c:v>-1.3</c:v>
                </c:pt>
                <c:pt idx="19" formatCode="General">
                  <c:v>-1.3</c:v>
                </c:pt>
                <c:pt idx="20" formatCode="General">
                  <c:v>-1.4</c:v>
                </c:pt>
                <c:pt idx="21" formatCode="General">
                  <c:v>-2.2000000000000002</c:v>
                </c:pt>
                <c:pt idx="22" formatCode="General">
                  <c:v>-2.4</c:v>
                </c:pt>
              </c:numCache>
            </c:numRef>
          </c:val>
          <c:smooth val="0"/>
          <c:extLst>
            <c:ext xmlns:c16="http://schemas.microsoft.com/office/drawing/2014/chart" uri="{C3380CC4-5D6E-409C-BE32-E72D297353CC}">
              <c16:uniqueId val="{00000008-CD13-487E-86E1-1529A64906C7}"/>
            </c:ext>
          </c:extLst>
        </c:ser>
        <c:dLbls>
          <c:showLegendKey val="0"/>
          <c:showVal val="0"/>
          <c:showCatName val="0"/>
          <c:showSerName val="0"/>
          <c:showPercent val="0"/>
          <c:showBubbleSize val="0"/>
        </c:dLbls>
        <c:marker val="1"/>
        <c:smooth val="0"/>
        <c:axId val="934462608"/>
        <c:axId val="934463696"/>
      </c:lineChart>
      <c:catAx>
        <c:axId val="934462608"/>
        <c:scaling>
          <c:orientation val="minMax"/>
        </c:scaling>
        <c:delete val="0"/>
        <c:axPos val="b"/>
        <c:numFmt formatCode="General" sourceLinked="1"/>
        <c:majorTickMark val="none"/>
        <c:minorTickMark val="in"/>
        <c:tickLblPos val="low"/>
        <c:spPr>
          <a:noFill/>
          <a:ln w="9525" cap="flat" cmpd="sng" algn="ctr">
            <a:solidFill>
              <a:schemeClr val="tx1"/>
            </a:solidFill>
            <a:round/>
          </a:ln>
          <a:effectLst/>
        </c:spPr>
        <c:txPr>
          <a:bodyPr rot="0" spcFirstLastPara="1" vertOverflow="ellipsis" wrap="square" anchor="t" anchorCtr="0"/>
          <a:lstStyle/>
          <a:p>
            <a:pPr>
              <a:defRPr sz="800" b="0" i="0" u="none" strike="noStrike" kern="1200" baseline="0">
                <a:ln>
                  <a:noFill/>
                </a:ln>
                <a:solidFill>
                  <a:schemeClr val="tx1"/>
                </a:solidFill>
                <a:latin typeface="Fira Sans" panose="020B0503050000020004" pitchFamily="34" charset="0"/>
                <a:ea typeface="Fira Sans" panose="020B0503050000020004" pitchFamily="34" charset="0"/>
                <a:cs typeface="+mn-cs"/>
              </a:defRPr>
            </a:pPr>
            <a:endParaRPr lang="pl-PL"/>
          </a:p>
        </c:txPr>
        <c:crossAx val="934463696"/>
        <c:crosses val="autoZero"/>
        <c:auto val="0"/>
        <c:lblAlgn val="ctr"/>
        <c:lblOffset val="12"/>
        <c:tickLblSkip val="1"/>
        <c:noMultiLvlLbl val="0"/>
      </c:catAx>
      <c:valAx>
        <c:axId val="934463696"/>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0"/>
        <c:majorTickMark val="in"/>
        <c:minorTickMark val="none"/>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chemeClr val="tx1">
                    <a:lumMod val="95000"/>
                    <a:lumOff val="5000"/>
                  </a:schemeClr>
                </a:solidFill>
                <a:latin typeface="Fira Sans" panose="020B0503050000020004" pitchFamily="34" charset="0"/>
                <a:ea typeface="Fira Sans" panose="020B0503050000020004" pitchFamily="34" charset="0"/>
                <a:cs typeface="+mn-cs"/>
              </a:defRPr>
            </a:pPr>
            <a:endParaRPr lang="pl-PL"/>
          </a:p>
        </c:txPr>
        <c:crossAx val="934462608"/>
        <c:crossesAt val="1"/>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pl-PL" sz="800">
                <a:solidFill>
                  <a:sysClr val="windowText" lastClr="000000"/>
                </a:solidFill>
                <a:latin typeface="Fira Sans" panose="020B0503050000020004" pitchFamily="34" charset="0"/>
                <a:ea typeface="Fira Sans" panose="020B0503050000020004" pitchFamily="34" charset="0"/>
              </a:rPr>
              <a:t>%</a:t>
            </a:r>
          </a:p>
        </c:rich>
      </c:tx>
      <c:layout>
        <c:manualLayout>
          <c:xMode val="edge"/>
          <c:yMode val="edge"/>
          <c:x val="0.70937141596608722"/>
          <c:y val="1.6999575010624733E-2"/>
        </c:manualLayout>
      </c:layout>
      <c:overlay val="1"/>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pl-PL"/>
        </a:p>
      </c:txPr>
    </c:title>
    <c:autoTitleDeleted val="0"/>
    <c:plotArea>
      <c:layout>
        <c:manualLayout>
          <c:layoutTarget val="inner"/>
          <c:xMode val="edge"/>
          <c:yMode val="edge"/>
          <c:x val="0.48696868451131226"/>
          <c:y val="8.9247768805779851E-2"/>
          <c:w val="0.47669195683005228"/>
          <c:h val="0.84048040531270185"/>
        </c:manualLayout>
      </c:layout>
      <c:barChart>
        <c:barDir val="bar"/>
        <c:grouping val="clustered"/>
        <c:varyColors val="0"/>
        <c:ser>
          <c:idx val="0"/>
          <c:order val="0"/>
          <c:tx>
            <c:strRef>
              <c:f>Arkusz1!$C$1</c:f>
              <c:strCache>
                <c:ptCount val="1"/>
                <c:pt idx="0">
                  <c:v>zmiana: analog. m-c=100</c:v>
                </c:pt>
              </c:strCache>
            </c:strRef>
          </c:tx>
          <c:spPr>
            <a:solidFill>
              <a:srgbClr val="001D77"/>
            </a:solidFill>
            <a:ln>
              <a:noFill/>
            </a:ln>
            <a:effectLst/>
          </c:spPr>
          <c:invertIfNegative val="0"/>
          <c:dPt>
            <c:idx val="9"/>
            <c:invertIfNegative val="0"/>
            <c:bubble3D val="0"/>
            <c:spPr>
              <a:solidFill>
                <a:srgbClr val="001D77"/>
              </a:solidFill>
              <a:ln>
                <a:noFill/>
              </a:ln>
              <a:effectLst/>
            </c:spPr>
            <c:extLst>
              <c:ext xmlns:c16="http://schemas.microsoft.com/office/drawing/2014/chart" uri="{C3380CC4-5D6E-409C-BE32-E72D297353CC}">
                <c16:uniqueId val="{00000001-39DA-45C4-B09A-1BF1AEDE83B2}"/>
              </c:ext>
            </c:extLst>
          </c:dPt>
          <c:dLbls>
            <c:dLbl>
              <c:idx val="0"/>
              <c:layout>
                <c:manualLayout>
                  <c:x val="-4.9584727903805624E-3"/>
                  <c:y val="-1.5582763746322813E-1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39DA-45C4-B09A-1BF1AEDE83B2}"/>
                </c:ext>
              </c:extLst>
            </c:dLbl>
            <c:dLbl>
              <c:idx val="4"/>
              <c:layout>
                <c:manualLayout>
                  <c:x val="-4.9584727903806535E-3"/>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39DA-45C4-B09A-1BF1AEDE83B2}"/>
                </c:ext>
              </c:extLst>
            </c:dLbl>
            <c:dLbl>
              <c:idx val="11"/>
              <c:spPr>
                <a:noFill/>
                <a:ln>
                  <a:noFill/>
                </a:ln>
                <a:effectLst/>
              </c:spPr>
              <c:txPr>
                <a:bodyPr rot="0" spcFirstLastPara="1" vertOverflow="ellipsis" vert="horz" wrap="square" lIns="38100" tIns="19050" rIns="38100" bIns="19050" anchor="ctr" anchorCtr="1">
                  <a:spAutoFit/>
                </a:bodyPr>
                <a:lstStyle/>
                <a:p>
                  <a:pPr>
                    <a:defRPr sz="55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showLegendKey val="0"/>
              <c:showVal val="1"/>
              <c:showCatName val="0"/>
              <c:showSerName val="0"/>
              <c:showPercent val="0"/>
              <c:showBubbleSize val="0"/>
              <c:extLst>
                <c:ext xmlns:c16="http://schemas.microsoft.com/office/drawing/2014/chart" uri="{C3380CC4-5D6E-409C-BE32-E72D297353CC}">
                  <c16:uniqueId val="{00000004-39DA-45C4-B09A-1BF1AEDE83B2}"/>
                </c:ext>
              </c:extLst>
            </c:dLbl>
            <c:dLbl>
              <c:idx val="20"/>
              <c:layout>
                <c:manualLayout>
                  <c:x val="-7.4371235391782796E-3"/>
                  <c:y val="-4.2498937526561937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39DA-45C4-B09A-1BF1AEDE83B2}"/>
                </c:ext>
              </c:extLst>
            </c:dLbl>
            <c:dLbl>
              <c:idx val="21"/>
              <c:layout>
                <c:manualLayout>
                  <c:x val="-7.4321455448413893E-3"/>
                  <c:y val="-1.6731865168911654E-7"/>
                </c:manualLayout>
              </c:layout>
              <c:spPr>
                <a:noFill/>
                <a:ln>
                  <a:noFill/>
                </a:ln>
                <a:effectLst/>
              </c:spPr>
              <c:txPr>
                <a:bodyPr rot="0" spcFirstLastPara="1" vertOverflow="ellipsis" vert="horz" wrap="square" lIns="38100" tIns="19050" rIns="38100" bIns="19050" anchor="ctr" anchorCtr="1">
                  <a:noAutofit/>
                </a:bodyPr>
                <a:lstStyle/>
                <a:p>
                  <a:pPr>
                    <a:defRPr sz="55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showLegendKey val="0"/>
              <c:showVal val="1"/>
              <c:showCatName val="0"/>
              <c:showSerName val="0"/>
              <c:showPercent val="0"/>
              <c:showBubbleSize val="0"/>
              <c:extLst>
                <c:ext xmlns:c15="http://schemas.microsoft.com/office/drawing/2012/chart" uri="{CE6537A1-D6FC-4f65-9D91-7224C49458BB}">
                  <c15:layout>
                    <c:manualLayout>
                      <c:w val="4.2865997272839962E-2"/>
                      <c:h val="4.9320184318226677E-2"/>
                    </c:manualLayout>
                  </c15:layout>
                </c:ext>
                <c:ext xmlns:c16="http://schemas.microsoft.com/office/drawing/2014/chart" uri="{C3380CC4-5D6E-409C-BE32-E72D297353CC}">
                  <c16:uniqueId val="{00000006-39DA-45C4-B09A-1BF1AEDE83B2}"/>
                </c:ext>
              </c:extLst>
            </c:dLbl>
            <c:spPr>
              <a:noFill/>
              <a:ln>
                <a:noFill/>
              </a:ln>
              <a:effectLst/>
            </c:spPr>
            <c:txPr>
              <a:bodyPr rot="0" spcFirstLastPara="1" vertOverflow="ellipsis" vert="horz" wrap="square" lIns="38100" tIns="19050" rIns="38100" bIns="19050" anchor="ctr" anchorCtr="1">
                <a:spAutoFit/>
              </a:bodyPr>
              <a:lstStyle/>
              <a:p>
                <a:pPr>
                  <a:defRPr sz="55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Arkusz1!$B$2:$B$23</c:f>
              <c:strCache>
                <c:ptCount val="22"/>
                <c:pt idx="0">
                  <c:v>produkcja wyrobów tytoniowych</c:v>
                </c:pt>
                <c:pt idx="1">
                  <c:v>produkcja wyrobów farmaceutycznych</c:v>
                </c:pt>
                <c:pt idx="2">
                  <c:v>produkcja wyrobów z pozostałych mineralnych surowców niemetalicznych</c:v>
                </c:pt>
                <c:pt idx="3">
                  <c:v>produkcja wyrobów z drewna, korka, słomy i wikliny</c:v>
                </c:pt>
                <c:pt idx="4">
                  <c:v>produkcja pozostałego sprzętu transportowego</c:v>
                </c:pt>
                <c:pt idx="5">
                  <c:v>produkcja skór i wyrobów skórzanych</c:v>
                </c:pt>
                <c:pt idx="6">
                  <c:v>produkcja pojazdów samochodowych, przyczep i naczep</c:v>
                </c:pt>
                <c:pt idx="7">
                  <c:v>produkcja urządzeń elektrycznych</c:v>
                </c:pt>
                <c:pt idx="8">
                  <c:v>produkcja maszyn i urządzeń</c:v>
                </c:pt>
                <c:pt idx="9">
                  <c:v>poligrafia i reprodukcja zapisanych nośników informacji</c:v>
                </c:pt>
                <c:pt idx="10">
                  <c:v>produkcja chemikaliów i wyrobów chemicznych</c:v>
                </c:pt>
                <c:pt idx="11">
                  <c:v>produkcja mebli</c:v>
                </c:pt>
                <c:pt idx="12">
                  <c:v>produkcja artykułów spożywczych</c:v>
                </c:pt>
                <c:pt idx="13">
                  <c:v>produkcja wyrobów z metali</c:v>
                </c:pt>
                <c:pt idx="14">
                  <c:v>produkcja wyrobów z gumy i tworzyw sztucznych</c:v>
                </c:pt>
                <c:pt idx="15">
                  <c:v>produkcja komputerów, wyrobów elektronicznych i optycznych</c:v>
                </c:pt>
                <c:pt idx="16">
                  <c:v>produkcja napojów</c:v>
                </c:pt>
                <c:pt idx="17">
                  <c:v>produkcja metali</c:v>
                </c:pt>
                <c:pt idx="18">
                  <c:v>produkcja wyrobów tekstylnych</c:v>
                </c:pt>
                <c:pt idx="19">
                  <c:v>produkcja papieru i wyrobów z papieru</c:v>
                </c:pt>
                <c:pt idx="20">
                  <c:v>produkcja odzieży</c:v>
                </c:pt>
                <c:pt idx="21">
                  <c:v>wytwarzanie i przetwarzanie koksu i produktów rafinacji ropy naftowej</c:v>
                </c:pt>
              </c:strCache>
            </c:strRef>
          </c:cat>
          <c:val>
            <c:numRef>
              <c:f>Arkusz1!$C$2:$C$23</c:f>
              <c:numCache>
                <c:formatCode>0.0</c:formatCode>
                <c:ptCount val="22"/>
                <c:pt idx="0">
                  <c:v>6.7</c:v>
                </c:pt>
                <c:pt idx="1">
                  <c:v>1.7</c:v>
                </c:pt>
                <c:pt idx="2">
                  <c:v>-0.1</c:v>
                </c:pt>
                <c:pt idx="3">
                  <c:v>-0.5</c:v>
                </c:pt>
                <c:pt idx="4">
                  <c:v>-0.7</c:v>
                </c:pt>
                <c:pt idx="5">
                  <c:v>-1</c:v>
                </c:pt>
                <c:pt idx="6">
                  <c:v>-1.1000000000000001</c:v>
                </c:pt>
                <c:pt idx="7">
                  <c:v>-1.3</c:v>
                </c:pt>
                <c:pt idx="8">
                  <c:v>-1.3</c:v>
                </c:pt>
                <c:pt idx="9">
                  <c:v>-1.9</c:v>
                </c:pt>
                <c:pt idx="10">
                  <c:v>-2</c:v>
                </c:pt>
                <c:pt idx="11">
                  <c:v>-2.2000000000000002</c:v>
                </c:pt>
                <c:pt idx="12">
                  <c:v>-2.5</c:v>
                </c:pt>
                <c:pt idx="13">
                  <c:v>-2.5</c:v>
                </c:pt>
                <c:pt idx="14">
                  <c:v>-2.8</c:v>
                </c:pt>
                <c:pt idx="15">
                  <c:v>-3.1</c:v>
                </c:pt>
                <c:pt idx="16">
                  <c:v>-3.9</c:v>
                </c:pt>
                <c:pt idx="17">
                  <c:v>-4</c:v>
                </c:pt>
                <c:pt idx="18">
                  <c:v>-4.2</c:v>
                </c:pt>
                <c:pt idx="19">
                  <c:v>-4.3</c:v>
                </c:pt>
                <c:pt idx="20">
                  <c:v>-4.8</c:v>
                </c:pt>
                <c:pt idx="21">
                  <c:v>-6.3</c:v>
                </c:pt>
              </c:numCache>
            </c:numRef>
          </c:val>
          <c:extLst>
            <c:ext xmlns:c16="http://schemas.microsoft.com/office/drawing/2014/chart" uri="{C3380CC4-5D6E-409C-BE32-E72D297353CC}">
              <c16:uniqueId val="{00000007-39DA-45C4-B09A-1BF1AEDE83B2}"/>
            </c:ext>
          </c:extLst>
        </c:ser>
        <c:dLbls>
          <c:showLegendKey val="0"/>
          <c:showVal val="0"/>
          <c:showCatName val="0"/>
          <c:showSerName val="0"/>
          <c:showPercent val="0"/>
          <c:showBubbleSize val="0"/>
        </c:dLbls>
        <c:gapWidth val="63"/>
        <c:axId val="934464784"/>
        <c:axId val="934472944"/>
      </c:barChart>
      <c:catAx>
        <c:axId val="934464784"/>
        <c:scaling>
          <c:orientation val="minMax"/>
        </c:scaling>
        <c:delete val="0"/>
        <c:axPos val="l"/>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550" b="0" i="0" u="none" strike="noStrike" kern="1200" baseline="0">
                <a:solidFill>
                  <a:schemeClr val="tx1">
                    <a:lumMod val="95000"/>
                    <a:lumOff val="5000"/>
                  </a:schemeClr>
                </a:solidFill>
                <a:latin typeface="Fira Sans" panose="020B0503050000020004" pitchFamily="34" charset="0"/>
                <a:ea typeface="Fira Sans" panose="020B0503050000020004" pitchFamily="34" charset="0"/>
                <a:cs typeface="+mn-cs"/>
              </a:defRPr>
            </a:pPr>
            <a:endParaRPr lang="pl-PL"/>
          </a:p>
        </c:txPr>
        <c:crossAx val="934472944"/>
        <c:crosses val="autoZero"/>
        <c:auto val="1"/>
        <c:lblAlgn val="ctr"/>
        <c:lblOffset val="100"/>
        <c:noMultiLvlLbl val="0"/>
      </c:catAx>
      <c:valAx>
        <c:axId val="934472944"/>
        <c:scaling>
          <c:orientation val="minMax"/>
          <c:max val="7"/>
          <c:min val="-7"/>
        </c:scaling>
        <c:delete val="0"/>
        <c:axPos val="b"/>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55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crossAx val="934464784"/>
        <c:crosses val="autoZero"/>
        <c:crossBetween val="between"/>
        <c:majorUnit val="1"/>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800" b="0" i="0" u="none" strike="noStrike" kern="1200" spc="0" baseline="0">
                <a:solidFill>
                  <a:schemeClr val="tx1">
                    <a:lumMod val="65000"/>
                    <a:lumOff val="35000"/>
                  </a:schemeClr>
                </a:solidFill>
                <a:latin typeface="+mn-lt"/>
                <a:ea typeface="+mn-ea"/>
                <a:cs typeface="+mn-cs"/>
              </a:defRPr>
            </a:pPr>
            <a:r>
              <a:rPr lang="pl-PL" sz="800">
                <a:solidFill>
                  <a:sysClr val="windowText" lastClr="000000"/>
                </a:solidFill>
                <a:latin typeface="Fira Sans" panose="020B0503050000020004" pitchFamily="34" charset="0"/>
                <a:ea typeface="Fira Sans" panose="020B0503050000020004" pitchFamily="34" charset="0"/>
              </a:rPr>
              <a:t>%</a:t>
            </a:r>
          </a:p>
        </c:rich>
      </c:tx>
      <c:layout>
        <c:manualLayout>
          <c:xMode val="edge"/>
          <c:yMode val="edge"/>
          <c:x val="2.439135533590216E-2"/>
          <c:y val="1.3521018063283553E-2"/>
        </c:manualLayout>
      </c:layout>
      <c:overlay val="0"/>
      <c:spPr>
        <a:noFill/>
        <a:ln>
          <a:noFill/>
        </a:ln>
        <a:effectLst/>
      </c:spPr>
      <c:txPr>
        <a:bodyPr rot="0" spcFirstLastPara="1" vertOverflow="ellipsis" vert="horz" wrap="square" anchor="ctr" anchorCtr="1"/>
        <a:lstStyle/>
        <a:p>
          <a:pPr>
            <a:defRPr sz="800" b="0" i="0" u="none" strike="noStrike" kern="1200" spc="0" baseline="0">
              <a:solidFill>
                <a:schemeClr val="tx1">
                  <a:lumMod val="65000"/>
                  <a:lumOff val="35000"/>
                </a:schemeClr>
              </a:solidFill>
              <a:latin typeface="+mn-lt"/>
              <a:ea typeface="+mn-ea"/>
              <a:cs typeface="+mn-cs"/>
            </a:defRPr>
          </a:pPr>
          <a:endParaRPr lang="pl-PL"/>
        </a:p>
      </c:txPr>
    </c:title>
    <c:autoTitleDeleted val="0"/>
    <c:plotArea>
      <c:layout>
        <c:manualLayout>
          <c:layoutTarget val="inner"/>
          <c:xMode val="edge"/>
          <c:yMode val="edge"/>
          <c:x val="6.8096019912404562E-2"/>
          <c:y val="7.6897130490628351E-2"/>
          <c:w val="0.84565454453728028"/>
          <c:h val="0.55418417789800811"/>
        </c:manualLayout>
      </c:layout>
      <c:barChart>
        <c:barDir val="col"/>
        <c:grouping val="clustered"/>
        <c:varyColors val="0"/>
        <c:ser>
          <c:idx val="0"/>
          <c:order val="0"/>
          <c:tx>
            <c:strRef>
              <c:f>Arkusz1!$B$1</c:f>
              <c:strCache>
                <c:ptCount val="1"/>
                <c:pt idx="0">
                  <c:v>  produkcja sprzedana przemysłu ogółem</c:v>
                </c:pt>
              </c:strCache>
            </c:strRef>
          </c:tx>
          <c:spPr>
            <a:solidFill>
              <a:srgbClr val="001D77"/>
            </a:solidFill>
            <a:ln w="12700">
              <a:solidFill>
                <a:srgbClr val="001D77"/>
              </a:solidFill>
            </a:ln>
            <a:effectLst/>
          </c:spPr>
          <c:invertIfNegative val="0"/>
          <c:dLbls>
            <c:dLbl>
              <c:idx val="22"/>
              <c:layout>
                <c:manualLayout>
                  <c:x val="7.7811550151975689E-2"/>
                  <c:y val="1.713502398903358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5C69-4D82-9700-DF04951B6795}"/>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95000"/>
                        <a:lumOff val="5000"/>
                      </a:schemeClr>
                    </a:solidFill>
                    <a:latin typeface="Fira Sans" panose="020B0503050000020004" pitchFamily="34" charset="0"/>
                    <a:ea typeface="Fira Sans" panose="020B0503050000020004" pitchFamily="34" charset="0"/>
                    <a:cs typeface="+mn-cs"/>
                  </a:defRPr>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w="6350" cap="flat" cmpd="sng" algn="ctr">
                      <a:solidFill>
                        <a:schemeClr val="tx1">
                          <a:lumMod val="95000"/>
                          <a:lumOff val="5000"/>
                        </a:schemeClr>
                      </a:solidFill>
                      <a:round/>
                      <a:tailEnd type="triangle"/>
                    </a:ln>
                    <a:effectLst/>
                  </c:spPr>
                </c15:leaderLines>
              </c:ext>
            </c:extLst>
          </c:dLbls>
          <c:cat>
            <c:strRef>
              <c:f>Arkusz1!$A$2:$A$24</c:f>
              <c:strCache>
                <c:ptCount val="23"/>
                <c:pt idx="0">
                  <c:v>01
2024</c:v>
                </c:pt>
                <c:pt idx="1">
                  <c:v>02</c:v>
                </c:pt>
                <c:pt idx="2">
                  <c:v>03</c:v>
                </c:pt>
                <c:pt idx="3">
                  <c:v>04</c:v>
                </c:pt>
                <c:pt idx="4">
                  <c:v>05</c:v>
                </c:pt>
                <c:pt idx="5">
                  <c:v>06</c:v>
                </c:pt>
                <c:pt idx="6">
                  <c:v>07</c:v>
                </c:pt>
                <c:pt idx="7">
                  <c:v>08</c:v>
                </c:pt>
                <c:pt idx="8">
                  <c:v>09</c:v>
                </c:pt>
                <c:pt idx="9">
                  <c:v>10</c:v>
                </c:pt>
                <c:pt idx="10">
                  <c:v>11</c:v>
                </c:pt>
                <c:pt idx="11">
                  <c:v>12</c:v>
                </c:pt>
                <c:pt idx="12">
                  <c:v>01
2025</c:v>
                </c:pt>
                <c:pt idx="13">
                  <c:v>02</c:v>
                </c:pt>
                <c:pt idx="14">
                  <c:v>03</c:v>
                </c:pt>
                <c:pt idx="15">
                  <c:v>04</c:v>
                </c:pt>
                <c:pt idx="16">
                  <c:v>05</c:v>
                </c:pt>
                <c:pt idx="17">
                  <c:v>06</c:v>
                </c:pt>
                <c:pt idx="18">
                  <c:v>07</c:v>
                </c:pt>
                <c:pt idx="19">
                  <c:v>08</c:v>
                </c:pt>
                <c:pt idx="20">
                  <c:v>09</c:v>
                </c:pt>
                <c:pt idx="21">
                  <c:v>10</c:v>
                </c:pt>
                <c:pt idx="22">
                  <c:v>11</c:v>
                </c:pt>
              </c:strCache>
            </c:strRef>
          </c:cat>
          <c:val>
            <c:numRef>
              <c:f>Arkusz1!$B$2:$B$24</c:f>
              <c:numCache>
                <c:formatCode>0.0</c:formatCode>
                <c:ptCount val="23"/>
                <c:pt idx="0">
                  <c:v>-1.9000000000000057</c:v>
                </c:pt>
                <c:pt idx="1">
                  <c:v>-1.7999999999999972</c:v>
                </c:pt>
                <c:pt idx="2">
                  <c:v>-2.2999999999999972</c:v>
                </c:pt>
                <c:pt idx="3">
                  <c:v>-2</c:v>
                </c:pt>
                <c:pt idx="4">
                  <c:v>-2.2999999999999972</c:v>
                </c:pt>
                <c:pt idx="5">
                  <c:v>-1.9000000000000057</c:v>
                </c:pt>
                <c:pt idx="6">
                  <c:v>-2.2999999999999972</c:v>
                </c:pt>
                <c:pt idx="7">
                  <c:v>-2.7999999999999972</c:v>
                </c:pt>
                <c:pt idx="8" formatCode="General">
                  <c:v>-3.1</c:v>
                </c:pt>
                <c:pt idx="9">
                  <c:v>-2.6</c:v>
                </c:pt>
                <c:pt idx="10">
                  <c:v>-2.4000000000000057</c:v>
                </c:pt>
                <c:pt idx="11">
                  <c:v>-2.7000000000000028</c:v>
                </c:pt>
                <c:pt idx="12">
                  <c:v>-2.9000000000000057</c:v>
                </c:pt>
                <c:pt idx="13" formatCode="General">
                  <c:v>-3.0999999999999943</c:v>
                </c:pt>
                <c:pt idx="14" formatCode="General">
                  <c:v>-3.2999999999999972</c:v>
                </c:pt>
                <c:pt idx="15" formatCode="General">
                  <c:v>-3.5999999999999943</c:v>
                </c:pt>
                <c:pt idx="16" formatCode="General">
                  <c:v>-3.9000000000000057</c:v>
                </c:pt>
                <c:pt idx="17" formatCode="General">
                  <c:v>-3.4000000000000057</c:v>
                </c:pt>
                <c:pt idx="18" formatCode="General">
                  <c:v>-3.5999999999999943</c:v>
                </c:pt>
                <c:pt idx="19">
                  <c:v>-4.0999999999999943</c:v>
                </c:pt>
                <c:pt idx="20" formatCode="General">
                  <c:v>-4.5999999999999943</c:v>
                </c:pt>
                <c:pt idx="21" formatCode="General">
                  <c:v>-4.9000000000000057</c:v>
                </c:pt>
                <c:pt idx="22" formatCode="General">
                  <c:v>-4.7999999999999972</c:v>
                </c:pt>
              </c:numCache>
            </c:numRef>
          </c:val>
          <c:extLst>
            <c:ext xmlns:c16="http://schemas.microsoft.com/office/drawing/2014/chart" uri="{C3380CC4-5D6E-409C-BE32-E72D297353CC}">
              <c16:uniqueId val="{00000001-C770-4F4F-A69B-3F487F5AA9B4}"/>
            </c:ext>
          </c:extLst>
        </c:ser>
        <c:dLbls>
          <c:showLegendKey val="0"/>
          <c:showVal val="0"/>
          <c:showCatName val="0"/>
          <c:showSerName val="0"/>
          <c:showPercent val="0"/>
          <c:showBubbleSize val="0"/>
        </c:dLbls>
        <c:gapWidth val="150"/>
        <c:axId val="934475664"/>
        <c:axId val="934467504"/>
      </c:barChart>
      <c:lineChart>
        <c:grouping val="standard"/>
        <c:varyColors val="0"/>
        <c:ser>
          <c:idx val="1"/>
          <c:order val="1"/>
          <c:tx>
            <c:strRef>
              <c:f>Arkusz1!$C$1</c:f>
              <c:strCache>
                <c:ptCount val="1"/>
                <c:pt idx="0">
                  <c:v> górnictwo i wydobywanie</c:v>
                </c:pt>
              </c:strCache>
            </c:strRef>
          </c:tx>
          <c:spPr>
            <a:ln w="25400" cap="rnd">
              <a:solidFill>
                <a:srgbClr val="99CEB3"/>
              </a:solidFill>
              <a:round/>
            </a:ln>
            <a:effectLst/>
          </c:spPr>
          <c:marker>
            <c:symbol val="none"/>
          </c:marker>
          <c:dLbls>
            <c:dLbl>
              <c:idx val="22"/>
              <c:layout>
                <c:manualLayout>
                  <c:x val="3.8905775075987664E-2"/>
                  <c:y val="1.370801919122686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5C69-4D82-9700-DF04951B6795}"/>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95000"/>
                        <a:lumOff val="5000"/>
                      </a:schemeClr>
                    </a:solidFill>
                    <a:latin typeface="Fira Sans" panose="020B0503050000020004" pitchFamily="34" charset="0"/>
                    <a:ea typeface="Fira Sans" panose="020B0503050000020004" pitchFamily="34" charset="0"/>
                    <a:cs typeface="+mn-cs"/>
                  </a:defRPr>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w="6350" cap="flat" cmpd="sng" algn="ctr">
                      <a:solidFill>
                        <a:schemeClr val="tx1">
                          <a:lumMod val="95000"/>
                          <a:lumOff val="5000"/>
                        </a:schemeClr>
                      </a:solidFill>
                      <a:round/>
                      <a:tailEnd type="triangle"/>
                    </a:ln>
                    <a:effectLst/>
                  </c:spPr>
                </c15:leaderLines>
              </c:ext>
            </c:extLst>
          </c:dLbls>
          <c:cat>
            <c:strRef>
              <c:f>Arkusz1!$A$2:$A$24</c:f>
              <c:strCache>
                <c:ptCount val="23"/>
                <c:pt idx="0">
                  <c:v>01
2024</c:v>
                </c:pt>
                <c:pt idx="1">
                  <c:v>02</c:v>
                </c:pt>
                <c:pt idx="2">
                  <c:v>03</c:v>
                </c:pt>
                <c:pt idx="3">
                  <c:v>04</c:v>
                </c:pt>
                <c:pt idx="4">
                  <c:v>05</c:v>
                </c:pt>
                <c:pt idx="5">
                  <c:v>06</c:v>
                </c:pt>
                <c:pt idx="6">
                  <c:v>07</c:v>
                </c:pt>
                <c:pt idx="7">
                  <c:v>08</c:v>
                </c:pt>
                <c:pt idx="8">
                  <c:v>09</c:v>
                </c:pt>
                <c:pt idx="9">
                  <c:v>10</c:v>
                </c:pt>
                <c:pt idx="10">
                  <c:v>11</c:v>
                </c:pt>
                <c:pt idx="11">
                  <c:v>12</c:v>
                </c:pt>
                <c:pt idx="12">
                  <c:v>01
2025</c:v>
                </c:pt>
                <c:pt idx="13">
                  <c:v>02</c:v>
                </c:pt>
                <c:pt idx="14">
                  <c:v>03</c:v>
                </c:pt>
                <c:pt idx="15">
                  <c:v>04</c:v>
                </c:pt>
                <c:pt idx="16">
                  <c:v>05</c:v>
                </c:pt>
                <c:pt idx="17">
                  <c:v>06</c:v>
                </c:pt>
                <c:pt idx="18">
                  <c:v>07</c:v>
                </c:pt>
                <c:pt idx="19">
                  <c:v>08</c:v>
                </c:pt>
                <c:pt idx="20">
                  <c:v>09</c:v>
                </c:pt>
                <c:pt idx="21">
                  <c:v>10</c:v>
                </c:pt>
                <c:pt idx="22">
                  <c:v>11</c:v>
                </c:pt>
              </c:strCache>
            </c:strRef>
          </c:cat>
          <c:val>
            <c:numRef>
              <c:f>Arkusz1!$C$2:$C$24</c:f>
              <c:numCache>
                <c:formatCode>0.0</c:formatCode>
                <c:ptCount val="23"/>
                <c:pt idx="0">
                  <c:v>-5.5999999999999943</c:v>
                </c:pt>
                <c:pt idx="1">
                  <c:v>-5.9000000000000057</c:v>
                </c:pt>
                <c:pt idx="2">
                  <c:v>-5.0999999999999943</c:v>
                </c:pt>
                <c:pt idx="3">
                  <c:v>-1</c:v>
                </c:pt>
                <c:pt idx="4">
                  <c:v>1</c:v>
                </c:pt>
                <c:pt idx="5">
                  <c:v>-0.90000000000000568</c:v>
                </c:pt>
                <c:pt idx="6">
                  <c:v>-2.0999999999999943</c:v>
                </c:pt>
                <c:pt idx="7">
                  <c:v>-4.2999999999999972</c:v>
                </c:pt>
                <c:pt idx="8" formatCode="General">
                  <c:v>-5.8</c:v>
                </c:pt>
                <c:pt idx="9">
                  <c:v>-4.3</c:v>
                </c:pt>
                <c:pt idx="10">
                  <c:v>-4.4000000000000057</c:v>
                </c:pt>
                <c:pt idx="11">
                  <c:v>-6.2000000000000028</c:v>
                </c:pt>
                <c:pt idx="12">
                  <c:v>-7.2000000000000028</c:v>
                </c:pt>
                <c:pt idx="13" formatCode="General">
                  <c:v>-7.2000000000000028</c:v>
                </c:pt>
                <c:pt idx="14">
                  <c:v>-7</c:v>
                </c:pt>
                <c:pt idx="15" formatCode="General">
                  <c:v>-10.099999999999994</c:v>
                </c:pt>
                <c:pt idx="16" formatCode="General">
                  <c:v>-9.7999999999999972</c:v>
                </c:pt>
                <c:pt idx="17" formatCode="General">
                  <c:v>-8.5</c:v>
                </c:pt>
                <c:pt idx="18" formatCode="General">
                  <c:v>-10.099999999999994</c:v>
                </c:pt>
                <c:pt idx="19">
                  <c:v>-10.799999999999997</c:v>
                </c:pt>
                <c:pt idx="20" formatCode="General">
                  <c:v>-9.7000000000000028</c:v>
                </c:pt>
                <c:pt idx="21" formatCode="General">
                  <c:v>-9.7999999999999972</c:v>
                </c:pt>
                <c:pt idx="22" formatCode="General">
                  <c:v>-8.5</c:v>
                </c:pt>
              </c:numCache>
            </c:numRef>
          </c:val>
          <c:smooth val="0"/>
          <c:extLst>
            <c:ext xmlns:c16="http://schemas.microsoft.com/office/drawing/2014/chart" uri="{C3380CC4-5D6E-409C-BE32-E72D297353CC}">
              <c16:uniqueId val="{00000003-C770-4F4F-A69B-3F487F5AA9B4}"/>
            </c:ext>
          </c:extLst>
        </c:ser>
        <c:ser>
          <c:idx val="2"/>
          <c:order val="2"/>
          <c:tx>
            <c:strRef>
              <c:f>Arkusz1!$D$1</c:f>
              <c:strCache>
                <c:ptCount val="1"/>
                <c:pt idx="0">
                  <c:v>przetwórstwo przemysłowe</c:v>
                </c:pt>
              </c:strCache>
            </c:strRef>
          </c:tx>
          <c:spPr>
            <a:ln w="25400" cap="rnd">
              <a:solidFill>
                <a:srgbClr val="99A5C9"/>
              </a:solidFill>
              <a:round/>
            </a:ln>
            <a:effectLst/>
          </c:spPr>
          <c:marker>
            <c:symbol val="none"/>
          </c:marker>
          <c:dLbls>
            <c:dLbl>
              <c:idx val="22"/>
              <c:layout>
                <c:manualLayout>
                  <c:x val="3.8905775075987664E-2"/>
                  <c:y val="-1.3708019191226868E-2"/>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95000"/>
                          <a:lumOff val="5000"/>
                        </a:schemeClr>
                      </a:solidFill>
                      <a:latin typeface="Fira Sans" panose="020B0503050000020004" pitchFamily="34" charset="0"/>
                      <a:ea typeface="Fira Sans" panose="020B0503050000020004" pitchFamily="34" charset="0"/>
                      <a:cs typeface="+mn-cs"/>
                    </a:defRPr>
                  </a:pPr>
                  <a:endParaRPr lang="pl-PL"/>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5C69-4D82-9700-DF04951B6795}"/>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w="6350" cap="flat" cmpd="sng" algn="ctr">
                      <a:solidFill>
                        <a:schemeClr val="tx1">
                          <a:lumMod val="95000"/>
                          <a:lumOff val="5000"/>
                        </a:schemeClr>
                      </a:solidFill>
                      <a:round/>
                      <a:tailEnd type="triangle"/>
                    </a:ln>
                    <a:effectLst/>
                  </c:spPr>
                </c15:leaderLines>
              </c:ext>
            </c:extLst>
          </c:dLbls>
          <c:cat>
            <c:strRef>
              <c:f>Arkusz1!$A$2:$A$24</c:f>
              <c:strCache>
                <c:ptCount val="23"/>
                <c:pt idx="0">
                  <c:v>01
2024</c:v>
                </c:pt>
                <c:pt idx="1">
                  <c:v>02</c:v>
                </c:pt>
                <c:pt idx="2">
                  <c:v>03</c:v>
                </c:pt>
                <c:pt idx="3">
                  <c:v>04</c:v>
                </c:pt>
                <c:pt idx="4">
                  <c:v>05</c:v>
                </c:pt>
                <c:pt idx="5">
                  <c:v>06</c:v>
                </c:pt>
                <c:pt idx="6">
                  <c:v>07</c:v>
                </c:pt>
                <c:pt idx="7">
                  <c:v>08</c:v>
                </c:pt>
                <c:pt idx="8">
                  <c:v>09</c:v>
                </c:pt>
                <c:pt idx="9">
                  <c:v>10</c:v>
                </c:pt>
                <c:pt idx="10">
                  <c:v>11</c:v>
                </c:pt>
                <c:pt idx="11">
                  <c:v>12</c:v>
                </c:pt>
                <c:pt idx="12">
                  <c:v>01
2025</c:v>
                </c:pt>
                <c:pt idx="13">
                  <c:v>02</c:v>
                </c:pt>
                <c:pt idx="14">
                  <c:v>03</c:v>
                </c:pt>
                <c:pt idx="15">
                  <c:v>04</c:v>
                </c:pt>
                <c:pt idx="16">
                  <c:v>05</c:v>
                </c:pt>
                <c:pt idx="17">
                  <c:v>06</c:v>
                </c:pt>
                <c:pt idx="18">
                  <c:v>07</c:v>
                </c:pt>
                <c:pt idx="19">
                  <c:v>08</c:v>
                </c:pt>
                <c:pt idx="20">
                  <c:v>09</c:v>
                </c:pt>
                <c:pt idx="21">
                  <c:v>10</c:v>
                </c:pt>
                <c:pt idx="22">
                  <c:v>11</c:v>
                </c:pt>
              </c:strCache>
            </c:strRef>
          </c:cat>
          <c:val>
            <c:numRef>
              <c:f>Arkusz1!$D$2:$D$24</c:f>
              <c:numCache>
                <c:formatCode>0.0</c:formatCode>
                <c:ptCount val="23"/>
                <c:pt idx="0">
                  <c:v>-0.79999999999999716</c:v>
                </c:pt>
                <c:pt idx="1">
                  <c:v>-0.5</c:v>
                </c:pt>
                <c:pt idx="2">
                  <c:v>-1</c:v>
                </c:pt>
                <c:pt idx="3">
                  <c:v>-0.90000000000000568</c:v>
                </c:pt>
                <c:pt idx="4">
                  <c:v>-1.5</c:v>
                </c:pt>
                <c:pt idx="5">
                  <c:v>-1</c:v>
                </c:pt>
                <c:pt idx="6">
                  <c:v>-1.5</c:v>
                </c:pt>
                <c:pt idx="7">
                  <c:v>-2</c:v>
                </c:pt>
                <c:pt idx="8" formatCode="General">
                  <c:v>-2.2000000000000002</c:v>
                </c:pt>
                <c:pt idx="9">
                  <c:v>-1.6</c:v>
                </c:pt>
                <c:pt idx="10">
                  <c:v>-1.4000000000000057</c:v>
                </c:pt>
                <c:pt idx="11">
                  <c:v>-1.5</c:v>
                </c:pt>
                <c:pt idx="12">
                  <c:v>-1.7000000000000028</c:v>
                </c:pt>
                <c:pt idx="13" formatCode="General">
                  <c:v>-2.0999999999999943</c:v>
                </c:pt>
                <c:pt idx="14" formatCode="General">
                  <c:v>-2.2999999999999972</c:v>
                </c:pt>
                <c:pt idx="15" formatCode="General">
                  <c:v>-2.4000000000000057</c:v>
                </c:pt>
                <c:pt idx="16" formatCode="General">
                  <c:v>-2.7999999999999972</c:v>
                </c:pt>
                <c:pt idx="17" formatCode="General">
                  <c:v>-2.2999999999999972</c:v>
                </c:pt>
                <c:pt idx="18" formatCode="General">
                  <c:v>-2.5999999999999943</c:v>
                </c:pt>
                <c:pt idx="19">
                  <c:v>-3.0999999999999943</c:v>
                </c:pt>
                <c:pt idx="20" formatCode="General">
                  <c:v>-3.5999999999999943</c:v>
                </c:pt>
                <c:pt idx="21" formatCode="General">
                  <c:v>-3.9000000000000057</c:v>
                </c:pt>
                <c:pt idx="22" formatCode="General">
                  <c:v>-3.7999999999999972</c:v>
                </c:pt>
              </c:numCache>
            </c:numRef>
          </c:val>
          <c:smooth val="0"/>
          <c:extLst>
            <c:ext xmlns:c16="http://schemas.microsoft.com/office/drawing/2014/chart" uri="{C3380CC4-5D6E-409C-BE32-E72D297353CC}">
              <c16:uniqueId val="{00000005-C770-4F4F-A69B-3F487F5AA9B4}"/>
            </c:ext>
          </c:extLst>
        </c:ser>
        <c:ser>
          <c:idx val="3"/>
          <c:order val="3"/>
          <c:tx>
            <c:strRef>
              <c:f>Arkusz1!$E$1</c:f>
              <c:strCache>
                <c:ptCount val="1"/>
                <c:pt idx="0">
                  <c:v> wytwarzanie i zaopatrywanie w energię 
 elektryczną, gaz, parę wodną i gorącą wodę</c:v>
                </c:pt>
              </c:strCache>
            </c:strRef>
          </c:tx>
          <c:spPr>
            <a:ln w="25400" cap="rnd">
              <a:solidFill>
                <a:srgbClr val="008542"/>
              </a:solidFill>
              <a:round/>
            </a:ln>
            <a:effectLst/>
          </c:spPr>
          <c:marker>
            <c:symbol val="none"/>
          </c:marker>
          <c:dLbls>
            <c:dLbl>
              <c:idx val="22"/>
              <c:layout>
                <c:manualLayout>
                  <c:x val="3.1610942249239944E-2"/>
                  <c:y val="2.056202878684023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5C69-4D82-9700-DF04951B6795}"/>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95000"/>
                        <a:lumOff val="5000"/>
                      </a:schemeClr>
                    </a:solidFill>
                    <a:latin typeface="Fira Sans" panose="020B0503050000020004" pitchFamily="34" charset="0"/>
                    <a:ea typeface="Fira Sans" panose="020B0503050000020004" pitchFamily="34" charset="0"/>
                    <a:cs typeface="+mn-cs"/>
                  </a:defRPr>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w="6350" cap="flat" cmpd="sng" algn="ctr">
                      <a:solidFill>
                        <a:schemeClr val="tx1">
                          <a:lumMod val="95000"/>
                          <a:lumOff val="5000"/>
                        </a:schemeClr>
                      </a:solidFill>
                      <a:round/>
                      <a:tailEnd type="triangle"/>
                    </a:ln>
                    <a:effectLst/>
                  </c:spPr>
                </c15:leaderLines>
              </c:ext>
            </c:extLst>
          </c:dLbls>
          <c:cat>
            <c:strRef>
              <c:f>Arkusz1!$A$2:$A$24</c:f>
              <c:strCache>
                <c:ptCount val="23"/>
                <c:pt idx="0">
                  <c:v>01
2024</c:v>
                </c:pt>
                <c:pt idx="1">
                  <c:v>02</c:v>
                </c:pt>
                <c:pt idx="2">
                  <c:v>03</c:v>
                </c:pt>
                <c:pt idx="3">
                  <c:v>04</c:v>
                </c:pt>
                <c:pt idx="4">
                  <c:v>05</c:v>
                </c:pt>
                <c:pt idx="5">
                  <c:v>06</c:v>
                </c:pt>
                <c:pt idx="6">
                  <c:v>07</c:v>
                </c:pt>
                <c:pt idx="7">
                  <c:v>08</c:v>
                </c:pt>
                <c:pt idx="8">
                  <c:v>09</c:v>
                </c:pt>
                <c:pt idx="9">
                  <c:v>10</c:v>
                </c:pt>
                <c:pt idx="10">
                  <c:v>11</c:v>
                </c:pt>
                <c:pt idx="11">
                  <c:v>12</c:v>
                </c:pt>
                <c:pt idx="12">
                  <c:v>01
2025</c:v>
                </c:pt>
                <c:pt idx="13">
                  <c:v>02</c:v>
                </c:pt>
                <c:pt idx="14">
                  <c:v>03</c:v>
                </c:pt>
                <c:pt idx="15">
                  <c:v>04</c:v>
                </c:pt>
                <c:pt idx="16">
                  <c:v>05</c:v>
                </c:pt>
                <c:pt idx="17">
                  <c:v>06</c:v>
                </c:pt>
                <c:pt idx="18">
                  <c:v>07</c:v>
                </c:pt>
                <c:pt idx="19">
                  <c:v>08</c:v>
                </c:pt>
                <c:pt idx="20">
                  <c:v>09</c:v>
                </c:pt>
                <c:pt idx="21">
                  <c:v>10</c:v>
                </c:pt>
                <c:pt idx="22">
                  <c:v>11</c:v>
                </c:pt>
              </c:strCache>
            </c:strRef>
          </c:cat>
          <c:val>
            <c:numRef>
              <c:f>Arkusz1!$E$2:$E$24</c:f>
              <c:numCache>
                <c:formatCode>0.0</c:formatCode>
                <c:ptCount val="23"/>
                <c:pt idx="0">
                  <c:v>-9.5</c:v>
                </c:pt>
                <c:pt idx="1">
                  <c:v>-10.400000000000006</c:v>
                </c:pt>
                <c:pt idx="2">
                  <c:v>-11.200000000000003</c:v>
                </c:pt>
                <c:pt idx="3">
                  <c:v>-11.5</c:v>
                </c:pt>
                <c:pt idx="4">
                  <c:v>-10.299999999999997</c:v>
                </c:pt>
                <c:pt idx="5">
                  <c:v>-8.7999999999999972</c:v>
                </c:pt>
                <c:pt idx="6">
                  <c:v>-7.2999999999999972</c:v>
                </c:pt>
                <c:pt idx="7">
                  <c:v>-7.9000000000000057</c:v>
                </c:pt>
                <c:pt idx="8" formatCode="General">
                  <c:v>-8.6</c:v>
                </c:pt>
                <c:pt idx="9">
                  <c:v>-10</c:v>
                </c:pt>
                <c:pt idx="10">
                  <c:v>-9.9000000000000057</c:v>
                </c:pt>
                <c:pt idx="11">
                  <c:v>-10.700000000000003</c:v>
                </c:pt>
                <c:pt idx="12">
                  <c:v>-10.900000000000006</c:v>
                </c:pt>
                <c:pt idx="13" formatCode="General">
                  <c:v>-9.7000000000000028</c:v>
                </c:pt>
                <c:pt idx="14" formatCode="General">
                  <c:v>-10.299999999999997</c:v>
                </c:pt>
                <c:pt idx="15" formatCode="General">
                  <c:v>-11.299999999999997</c:v>
                </c:pt>
                <c:pt idx="16" formatCode="General">
                  <c:v>-10.299999999999997</c:v>
                </c:pt>
                <c:pt idx="17" formatCode="General">
                  <c:v>-9.9000000000000057</c:v>
                </c:pt>
                <c:pt idx="18" formatCode="General">
                  <c:v>-8.2000000000000028</c:v>
                </c:pt>
                <c:pt idx="19" formatCode="General">
                  <c:v>-8.5999999999999943</c:v>
                </c:pt>
                <c:pt idx="20" formatCode="General">
                  <c:v>-9.9000000000000057</c:v>
                </c:pt>
                <c:pt idx="21" formatCode="General">
                  <c:v>-10.700000000000003</c:v>
                </c:pt>
                <c:pt idx="22" formatCode="General">
                  <c:v>-11.599999999999994</c:v>
                </c:pt>
              </c:numCache>
            </c:numRef>
          </c:val>
          <c:smooth val="0"/>
          <c:extLst>
            <c:ext xmlns:c16="http://schemas.microsoft.com/office/drawing/2014/chart" uri="{C3380CC4-5D6E-409C-BE32-E72D297353CC}">
              <c16:uniqueId val="{00000007-C770-4F4F-A69B-3F487F5AA9B4}"/>
            </c:ext>
          </c:extLst>
        </c:ser>
        <c:ser>
          <c:idx val="4"/>
          <c:order val="4"/>
          <c:tx>
            <c:strRef>
              <c:f>Arkusz1!$F$1</c:f>
              <c:strCache>
                <c:ptCount val="1"/>
                <c:pt idx="0">
                  <c:v>dostawa wody; gospodarowanie
ściekami i odpadami; rekultywacja</c:v>
                </c:pt>
              </c:strCache>
            </c:strRef>
          </c:tx>
          <c:spPr>
            <a:ln w="25400" cap="rnd">
              <a:solidFill>
                <a:schemeClr val="tx1"/>
              </a:solidFill>
              <a:prstDash val="solid"/>
              <a:round/>
            </a:ln>
            <a:effectLst/>
          </c:spPr>
          <c:marker>
            <c:symbol val="none"/>
          </c:marker>
          <c:dLbls>
            <c:dLbl>
              <c:idx val="22"/>
              <c:layout>
                <c:manualLayout>
                  <c:x val="4.8632218844984622E-2"/>
                  <c:y val="-6.8540095956134339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5C69-4D82-9700-DF04951B6795}"/>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95000"/>
                        <a:lumOff val="5000"/>
                      </a:schemeClr>
                    </a:solidFill>
                    <a:latin typeface="Fira Sans" panose="020B0503050000020004" pitchFamily="34" charset="0"/>
                    <a:ea typeface="Fira Sans" panose="020B0503050000020004" pitchFamily="34" charset="0"/>
                    <a:cs typeface="+mn-cs"/>
                  </a:defRPr>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w="6350" cap="flat" cmpd="sng" algn="ctr">
                      <a:solidFill>
                        <a:schemeClr val="tx1">
                          <a:lumMod val="95000"/>
                          <a:lumOff val="5000"/>
                        </a:schemeClr>
                      </a:solidFill>
                      <a:round/>
                      <a:tailEnd type="triangle"/>
                    </a:ln>
                    <a:effectLst/>
                  </c:spPr>
                </c15:leaderLines>
              </c:ext>
            </c:extLst>
          </c:dLbls>
          <c:cat>
            <c:strRef>
              <c:f>Arkusz1!$A$2:$A$24</c:f>
              <c:strCache>
                <c:ptCount val="23"/>
                <c:pt idx="0">
                  <c:v>01
2024</c:v>
                </c:pt>
                <c:pt idx="1">
                  <c:v>02</c:v>
                </c:pt>
                <c:pt idx="2">
                  <c:v>03</c:v>
                </c:pt>
                <c:pt idx="3">
                  <c:v>04</c:v>
                </c:pt>
                <c:pt idx="4">
                  <c:v>05</c:v>
                </c:pt>
                <c:pt idx="5">
                  <c:v>06</c:v>
                </c:pt>
                <c:pt idx="6">
                  <c:v>07</c:v>
                </c:pt>
                <c:pt idx="7">
                  <c:v>08</c:v>
                </c:pt>
                <c:pt idx="8">
                  <c:v>09</c:v>
                </c:pt>
                <c:pt idx="9">
                  <c:v>10</c:v>
                </c:pt>
                <c:pt idx="10">
                  <c:v>11</c:v>
                </c:pt>
                <c:pt idx="11">
                  <c:v>12</c:v>
                </c:pt>
                <c:pt idx="12">
                  <c:v>01
2025</c:v>
                </c:pt>
                <c:pt idx="13">
                  <c:v>02</c:v>
                </c:pt>
                <c:pt idx="14">
                  <c:v>03</c:v>
                </c:pt>
                <c:pt idx="15">
                  <c:v>04</c:v>
                </c:pt>
                <c:pt idx="16">
                  <c:v>05</c:v>
                </c:pt>
                <c:pt idx="17">
                  <c:v>06</c:v>
                </c:pt>
                <c:pt idx="18">
                  <c:v>07</c:v>
                </c:pt>
                <c:pt idx="19">
                  <c:v>08</c:v>
                </c:pt>
                <c:pt idx="20">
                  <c:v>09</c:v>
                </c:pt>
                <c:pt idx="21">
                  <c:v>10</c:v>
                </c:pt>
                <c:pt idx="22">
                  <c:v>11</c:v>
                </c:pt>
              </c:strCache>
            </c:strRef>
          </c:cat>
          <c:val>
            <c:numRef>
              <c:f>Arkusz1!$F$2:$F$24</c:f>
              <c:numCache>
                <c:formatCode>General</c:formatCode>
                <c:ptCount val="23"/>
                <c:pt idx="0">
                  <c:v>1.2000000000000028</c:v>
                </c:pt>
                <c:pt idx="1">
                  <c:v>1.9000000000000057</c:v>
                </c:pt>
                <c:pt idx="2">
                  <c:v>1.7000000000000028</c:v>
                </c:pt>
                <c:pt idx="3">
                  <c:v>1.5999999999999943</c:v>
                </c:pt>
                <c:pt idx="4">
                  <c:v>2.4000000000000057</c:v>
                </c:pt>
                <c:pt idx="5">
                  <c:v>2.9000000000000057</c:v>
                </c:pt>
                <c:pt idx="6">
                  <c:v>2.9000000000000057</c:v>
                </c:pt>
                <c:pt idx="7">
                  <c:v>3</c:v>
                </c:pt>
                <c:pt idx="8">
                  <c:v>3.1</c:v>
                </c:pt>
                <c:pt idx="9">
                  <c:v>3</c:v>
                </c:pt>
                <c:pt idx="10">
                  <c:v>3.4000000000000057</c:v>
                </c:pt>
                <c:pt idx="11" formatCode="0.0">
                  <c:v>3.4000000000000057</c:v>
                </c:pt>
                <c:pt idx="12" formatCode="0.0">
                  <c:v>3.7999999999999972</c:v>
                </c:pt>
                <c:pt idx="13">
                  <c:v>4.2000000000000028</c:v>
                </c:pt>
                <c:pt idx="14">
                  <c:v>4.4000000000000057</c:v>
                </c:pt>
                <c:pt idx="15" formatCode="0.0">
                  <c:v>5</c:v>
                </c:pt>
                <c:pt idx="16">
                  <c:v>5.2000000000000028</c:v>
                </c:pt>
                <c:pt idx="17">
                  <c:v>5.4000000000000057</c:v>
                </c:pt>
                <c:pt idx="18">
                  <c:v>5.4000000000000057</c:v>
                </c:pt>
                <c:pt idx="19">
                  <c:v>5.5999999999999943</c:v>
                </c:pt>
                <c:pt idx="20">
                  <c:v>5.4000000000000057</c:v>
                </c:pt>
                <c:pt idx="21">
                  <c:v>4.9000000000000057</c:v>
                </c:pt>
                <c:pt idx="22">
                  <c:v>4.9000000000000057</c:v>
                </c:pt>
              </c:numCache>
            </c:numRef>
          </c:val>
          <c:smooth val="0"/>
          <c:extLst>
            <c:ext xmlns:c16="http://schemas.microsoft.com/office/drawing/2014/chart" uri="{C3380CC4-5D6E-409C-BE32-E72D297353CC}">
              <c16:uniqueId val="{00000009-C770-4F4F-A69B-3F487F5AA9B4}"/>
            </c:ext>
          </c:extLst>
        </c:ser>
        <c:dLbls>
          <c:showLegendKey val="0"/>
          <c:showVal val="0"/>
          <c:showCatName val="0"/>
          <c:showSerName val="0"/>
          <c:showPercent val="0"/>
          <c:showBubbleSize val="0"/>
        </c:dLbls>
        <c:marker val="1"/>
        <c:smooth val="0"/>
        <c:axId val="934464240"/>
        <c:axId val="934471856"/>
      </c:lineChart>
      <c:catAx>
        <c:axId val="934464240"/>
        <c:scaling>
          <c:orientation val="minMax"/>
        </c:scaling>
        <c:delete val="0"/>
        <c:axPos val="b"/>
        <c:numFmt formatCode="General" sourceLinked="1"/>
        <c:majorTickMark val="in"/>
        <c:minorTickMark val="in"/>
        <c:tickLblPos val="low"/>
        <c:spPr>
          <a:noFill/>
          <a:ln w="9525" cap="flat" cmpd="sng" algn="ctr">
            <a:solidFill>
              <a:schemeClr val="tx1"/>
            </a:solidFill>
            <a:round/>
          </a:ln>
          <a:effectLst/>
        </c:spPr>
        <c:txPr>
          <a:bodyPr rot="0" spcFirstLastPara="1" vertOverflow="ellipsis" wrap="square" anchor="ctr" anchorCtr="1"/>
          <a:lstStyle/>
          <a:p>
            <a:pPr>
              <a:defRPr sz="8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crossAx val="934471856"/>
        <c:crosses val="autoZero"/>
        <c:auto val="1"/>
        <c:lblAlgn val="ctr"/>
        <c:lblOffset val="100"/>
        <c:tickLblSkip val="1"/>
        <c:noMultiLvlLbl val="0"/>
      </c:catAx>
      <c:valAx>
        <c:axId val="934471856"/>
        <c:scaling>
          <c:orientation val="minMax"/>
          <c:max val="15"/>
          <c:min val="-20"/>
        </c:scaling>
        <c:delete val="0"/>
        <c:axPos val="l"/>
        <c:majorGridlines>
          <c:spPr>
            <a:ln w="9525" cap="flat" cmpd="sng" algn="ctr">
              <a:solidFill>
                <a:srgbClr val="D9D9D9"/>
              </a:solidFill>
              <a:round/>
            </a:ln>
            <a:effectLst/>
          </c:spPr>
        </c:majorGridlines>
        <c:numFmt formatCode="0.0" sourceLinked="1"/>
        <c:majorTickMark val="out"/>
        <c:minorTickMark val="none"/>
        <c:tickLblPos val="nextTo"/>
        <c:spPr>
          <a:noFill/>
          <a:ln>
            <a:solidFill>
              <a:schemeClr val="tx1">
                <a:alpha val="96000"/>
              </a:schemeClr>
            </a:solidFill>
          </a:ln>
          <a:effectLst/>
        </c:spPr>
        <c:txPr>
          <a:bodyPr rot="-60000000" spcFirstLastPara="1" vertOverflow="ellipsis" vert="horz" wrap="square" anchor="ctr" anchorCtr="1"/>
          <a:lstStyle/>
          <a:p>
            <a:pPr>
              <a:defRPr sz="8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crossAx val="934464240"/>
        <c:crossesAt val="1"/>
        <c:crossBetween val="between"/>
        <c:majorUnit val="5"/>
      </c:valAx>
      <c:valAx>
        <c:axId val="934467504"/>
        <c:scaling>
          <c:orientation val="minMax"/>
        </c:scaling>
        <c:delete val="1"/>
        <c:axPos val="r"/>
        <c:numFmt formatCode="0.0" sourceLinked="1"/>
        <c:majorTickMark val="out"/>
        <c:minorTickMark val="none"/>
        <c:tickLblPos val="nextTo"/>
        <c:crossAx val="934475664"/>
        <c:crosses val="max"/>
        <c:crossBetween val="between"/>
      </c:valAx>
      <c:catAx>
        <c:axId val="934475664"/>
        <c:scaling>
          <c:orientation val="minMax"/>
        </c:scaling>
        <c:delete val="1"/>
        <c:axPos val="b"/>
        <c:numFmt formatCode="General" sourceLinked="1"/>
        <c:majorTickMark val="out"/>
        <c:minorTickMark val="none"/>
        <c:tickLblPos val="nextTo"/>
        <c:crossAx val="934467504"/>
        <c:crosses val="autoZero"/>
        <c:auto val="1"/>
        <c:lblAlgn val="ctr"/>
        <c:lblOffset val="100"/>
        <c:noMultiLvlLbl val="0"/>
      </c:catAx>
      <c:spPr>
        <a:noFill/>
        <a:ln>
          <a:noFill/>
        </a:ln>
        <a:effectLst/>
      </c:spPr>
    </c:plotArea>
    <c:legend>
      <c:legendPos val="b"/>
      <c:layout>
        <c:manualLayout>
          <c:xMode val="edge"/>
          <c:yMode val="edge"/>
          <c:x val="4.2735083646459085E-4"/>
          <c:y val="0.72357860253760264"/>
          <c:w val="0.99360716080702682"/>
          <c:h val="0.25709282055987004"/>
        </c:manualLayout>
      </c:layout>
      <c:overlay val="0"/>
      <c:spPr>
        <a:noFill/>
        <a:ln w="0">
          <a:noFill/>
        </a:ln>
        <a:effectLst/>
      </c:spPr>
      <c:txPr>
        <a:bodyPr rot="0" spcFirstLastPara="1" vertOverflow="ellipsis" vert="horz" wrap="square" anchor="ctr" anchorCtr="1"/>
        <a:lstStyle/>
        <a:p>
          <a:pPr>
            <a:defRPr sz="8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2700" cap="flat" cmpd="sng" algn="ctr">
      <a:noFill/>
      <a:round/>
    </a:ln>
    <a:effectLst/>
  </c:spPr>
  <c:txPr>
    <a:bodyPr/>
    <a:lstStyle/>
    <a:p>
      <a:pPr>
        <a:defRPr/>
      </a:pPr>
      <a:endParaRPr lang="pl-PL"/>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NazwaPliku xmlns="AD3641B4-23D9-4536-AF9E-7D0EADDEB824">Wskazniki_cen_produkcji_sprzedanej_przemyslu_Styczeń_2024.docx.docx</NazwaPliku>
    <Osoba xmlns="AD3641B4-23D9-4536-AF9E-7D0EADDEB824">STAT\MALMYSZKOI</Osoba>
    <_SourceUrl xmlns="http://schemas.microsoft.com/sharepoint/v3" xsi:nil="true"/>
    <Odbiorcy2 xmlns="AD3641B4-23D9-4536-AF9E-7D0EADDEB824" xsi:nil="true"/>
    <xd_ProgID xmlns="http://schemas.microsoft.com/sharepoint/v3" xsi:nil="true"/>
    <Order xmlns="http://schemas.microsoft.com/sharepoint/v3" xsi:nil="true"/>
    <_SharedFileIndex xmlns="http://schemas.microsoft.com/sharepoint/v3" xsi:nil="true"/>
    <MetaInfo xmlns="http://schemas.microsoft.com/sharepoint/v3" xsi:nil="true"/>
    <ContentTypeId xmlns="http://schemas.microsoft.com/sharepoint/v3">0x00B44136ADD9233645AF9E7D0EADDEB824</ContentTypeId>
  </documentManagement>
</p:properties>
</file>

<file path=customXml/item2.xml><?xml version="1.0" encoding="utf-8"?>
<ct:contentTypeSchema xmlns:ct="http://schemas.microsoft.com/office/2006/metadata/contentType" xmlns:ma="http://schemas.microsoft.com/office/2006/metadata/properties/metaAttributes" ct:_="" ma:_="" ma:contentTypeName="Pisma" ma:contentTypeID="0x00B44136ADD9233645AF9E7D0EADDEB824" ma:contentTypeVersion="" ma:contentTypeDescription="" ma:contentTypeScope="" ma:versionID="65958521edc9483c46942e9ac2ba341f">
  <xsd:schema xmlns:xsd="http://www.w3.org/2001/XMLSchema" xmlns:xs="http://www.w3.org/2001/XMLSchema" xmlns:p="http://schemas.microsoft.com/office/2006/metadata/properties" xmlns:ns1="http://schemas.microsoft.com/sharepoint/v3" xmlns:ns2="AD3641B4-23D9-4536-AF9E-7D0EADDEB824" targetNamespace="http://schemas.microsoft.com/office/2006/metadata/properties" ma:root="true" ma:fieldsID="34e359ed2fd7077939949e563617625d" ns1:_="" ns2:_="">
    <xsd:import namespace="http://schemas.microsoft.com/sharepoint/v3"/>
    <xsd:import namespace="AD3641B4-23D9-4536-AF9E-7D0EADDEB824"/>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D3641B4-23D9-4536-AF9E-7D0EADDEB824"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7E9C3E-3CC5-40C0-A774-47B8E48CCF08}">
  <ds:schemaRefs>
    <ds:schemaRef ds:uri="http://purl.org/dc/elements/1.1/"/>
    <ds:schemaRef ds:uri="http://schemas.microsoft.com/office/2006/documentManagement/types"/>
    <ds:schemaRef ds:uri="http://schemas.openxmlformats.org/package/2006/metadata/core-properties"/>
    <ds:schemaRef ds:uri="http://purl.org/dc/terms/"/>
    <ds:schemaRef ds:uri="http://purl.org/dc/dcmitype/"/>
    <ds:schemaRef ds:uri="http://www.w3.org/XML/1998/namespace"/>
    <ds:schemaRef ds:uri="http://schemas.microsoft.com/office/2006/metadata/properties"/>
    <ds:schemaRef ds:uri="AD3641B4-23D9-4536-AF9E-7D0EADDEB824"/>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4BBBBEFE-4551-452B-9B86-AB0ED892B0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D3641B4-23D9-4536-AF9E-7D0EADDEB8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E24B487-CB31-4554-8B4A-B96A6503F7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197</TotalTime>
  <Pages>5</Pages>
  <Words>737</Words>
  <Characters>4423</Characters>
  <DocSecurity>0</DocSecurity>
  <Lines>36</Lines>
  <Paragraphs>10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2025-12-15T09:20:00Z</cp:lastPrinted>
  <dcterms:created xsi:type="dcterms:W3CDTF">2025-11-19T09:11:00Z</dcterms:created>
  <dcterms:modified xsi:type="dcterms:W3CDTF">2025-12-15T11:49:00Z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ies>
</file>