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BA95A" w14:textId="45551FF4" w:rsidR="00393761" w:rsidRPr="007D605C" w:rsidRDefault="00316A71" w:rsidP="00F049AB">
      <w:pPr>
        <w:pStyle w:val="Tytuinfomacjisygnalnej"/>
      </w:pPr>
      <w:r>
        <w:t xml:space="preserve">Wskaźniki cen produkcji budowlano-montażowej </w:t>
      </w:r>
      <w:r w:rsidR="00C862B0">
        <w:br/>
        <w:t xml:space="preserve">w </w:t>
      </w:r>
      <w:r w:rsidR="00E45442">
        <w:t>listopadzie</w:t>
      </w:r>
      <w:r w:rsidR="00AF7413">
        <w:t xml:space="preserve"> </w:t>
      </w:r>
      <w:r w:rsidR="005E2FD9">
        <w:t>2025</w:t>
      </w:r>
      <w:r w:rsidRPr="003F006F">
        <w:t xml:space="preserve"> r.</w:t>
      </w:r>
      <w:r w:rsidR="0082043D">
        <w:rPr>
          <w:rStyle w:val="Odwoanieprzypisudolnego"/>
        </w:rPr>
        <w:footnoteReference w:id="1"/>
      </w:r>
    </w:p>
    <w:p w14:paraId="61DCB0BE" w14:textId="7005F523" w:rsidR="00E95B8E" w:rsidRDefault="00731D27" w:rsidP="009D54C9">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0F43954C" wp14:editId="6FCBFE52">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1% - wzrost cen producentów &#10;w budownictwie w porównaniu z listopad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A34BD09" w14:textId="2B116836"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E45442">
                              <w:rPr>
                                <w:rStyle w:val="WartowskanikaZnak"/>
                                <w:sz w:val="72"/>
                                <w:szCs w:val="72"/>
                              </w:rPr>
                              <w:t>3,</w:t>
                            </w:r>
                            <w:r w:rsidR="000E3B7D">
                              <w:rPr>
                                <w:rStyle w:val="WartowskanikaZnak"/>
                                <w:sz w:val="72"/>
                                <w:szCs w:val="72"/>
                              </w:rPr>
                              <w:t>1</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6BB475AE"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E45442">
                              <w:t>listopadem</w:t>
                            </w:r>
                            <w:r w:rsidR="00F80128">
                              <w:t xml:space="preserve"> </w:t>
                            </w:r>
                            <w:r w:rsidR="005E2FD9">
                              <w:t>2024</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F43954C" id="Pole tekstowe 2" o:spid="_x0000_s1026" alt="3,1% - wzrost cen producentów &#10;w budownictwie w porównaniu z listopadem 2024 r.&#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igTdgIAAIkEAAAOAAAAZHJzL2Uyb0RvYy54bWysVF1uFDEMfkfiDlYQPNHOT3fb7dDZqrQU&#10;IRWoKBwgO8nsRM3EQ5LdTHstjsDFcLLbdoE3xDxEdmx/tr/Yc3I69hrW0jqFpmbFfs5AmgaFMsua&#10;fft6uTdj4Dw3gms0smZ30rHT+fNnJ2GoZIkdaiEtEIhxVRhq1nk/VFnmmk723O3jIA0ZW7Q996Ta&#10;ZSYsD4Te66zM88MsoBWDxUY6R7cXGyObJ/y2lY3/3LZOetA1o9p8Om06F/HM5ie8Wlo+dKrZlsH/&#10;oYqeK0NJH6EuuOewsuovqF41Fh22fr/BPsO2VY1MPVA3Rf5HNzcdH2TqhchxwyNN7v/BNp/W1xaU&#10;qNkhA8N7eqJr1BK8vHUeg4SSgZCuIcoOXhcvYQ/CPTXgoZEGiHexIsH//BHg1Yvx7E2AxUpgMKrx&#10;QUkIMKAlo+FGreAetCLQgQvZQ5mXE7D7KSq+QhhcRcXcDFSOH9/iSNOUGHXDFTa3Dgyed9ws5Zm1&#10;GDrJBbFQxMhsJ3SD4yLIInxEQe3wlccENLa2j09EpAOh0zTcPU6AHKkjuiyLvJhNydSQrSgPZiUp&#10;MQevHsIH6/x7iT1172icLK6M+EJzlnLw9ZXzG/8Hv5jSoVbiUmmdFLtcnGsLax5nMi8ujo62KX5z&#10;0wZCzY6n5TQhG4zxBM2rXnnaGa36ms3y+MVwXkVO3hmRZM+V3shUuTZbkiIvG4b8uBjJMTK3QHFH&#10;dFnc7AbtMgkd2nsGgfaiZu77ilvJQH8wRPlxMZnERUrKZHpUkmJ3LYtdCzcNQdXMM9iI5z4tX6zX&#10;4Bk9TasSX0+VbGuleU+0b3czLtSunrye/iDzXwAAAP//AwBQSwMEFAAGAAgAAAAhANugXD3bAAAA&#10;BgEAAA8AAABkcnMvZG93bnJldi54bWxMjzFPwzAUhHck/oP1kFgiaqeRqirkpaJIYaATadnd2I0j&#10;Yjuy3Sb8ex4TjKc73X1X7RY7spsOcfAOIV8JYNp1Xg2uRzgdm6ctsJikU3L0TiN86wi7+v6ukqXy&#10;s/vQtzb1jEpcLCWCSWkqOY+d0VbGlZ+0I+/ig5WJZOi5CnKmcjvytRAbbuXgaMHISb8a3X21V4uw&#10;D5dDK4olmv3x/ZA1Tfb5NmeIjw/LyzOwpJf0F4ZffEKHmpjO/upUZCMCHUkIG8Insyhy0meEtci3&#10;wOuK/8evfwAAAP//AwBQSwECLQAUAAYACAAAACEAtoM4kv4AAADhAQAAEwAAAAAAAAAAAAAAAAAA&#10;AAAAW0NvbnRlbnRfVHlwZXNdLnhtbFBLAQItABQABgAIAAAAIQA4/SH/1gAAAJQBAAALAAAAAAAA&#10;AAAAAAAAAC8BAABfcmVscy8ucmVsc1BLAQItABQABgAIAAAAIQAp9igTdgIAAIkEAAAOAAAAAAAA&#10;AAAAAAAAAC4CAABkcnMvZTJvRG9jLnhtbFBLAQItABQABgAIAAAAIQDboFw92wAAAAYBAAAPAAAA&#10;AAAAAAAAAAAAANAEAABkcnMvZG93bnJldi54bWxQSwUGAAAAAAQABADzAAAA2AUAAAAA&#10;" fillcolor="#001d77" stroked="f">
                <v:stroke joinstyle="miter"/>
                <v:textbox>
                  <w:txbxContent>
                    <w:p w14:paraId="7A34BD09" w14:textId="2B116836"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E45442">
                        <w:rPr>
                          <w:rStyle w:val="WartowskanikaZnak"/>
                          <w:sz w:val="72"/>
                          <w:szCs w:val="72"/>
                        </w:rPr>
                        <w:t>3,</w:t>
                      </w:r>
                      <w:r w:rsidR="000E3B7D">
                        <w:rPr>
                          <w:rStyle w:val="WartowskanikaZnak"/>
                          <w:sz w:val="72"/>
                          <w:szCs w:val="72"/>
                        </w:rPr>
                        <w:t>1</w:t>
                      </w:r>
                      <w:r w:rsidR="003A7D2B" w:rsidRPr="00FE7EA6">
                        <w:rPr>
                          <w:rStyle w:val="WartowskanikaZnak"/>
                          <w:sz w:val="72"/>
                          <w:szCs w:val="72"/>
                        </w:rPr>
                        <w:t>%</w:t>
                      </w:r>
                    </w:p>
                    <w:p w14:paraId="5444EED7" w14:textId="77777777" w:rsidR="00B14BA6" w:rsidRDefault="00067C4B" w:rsidP="00316A71">
                      <w:pPr>
                        <w:pStyle w:val="tekstnaniebieskimtle"/>
                      </w:pPr>
                      <w:r>
                        <w:t>wzrost</w:t>
                      </w:r>
                      <w:r w:rsidR="00316A71">
                        <w:t xml:space="preserve"> </w:t>
                      </w:r>
                      <w:r w:rsidR="005744F9">
                        <w:t xml:space="preserve">cen producentów </w:t>
                      </w:r>
                    </w:p>
                    <w:p w14:paraId="738B8F96" w14:textId="6BB475AE"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AF7413">
                        <w:t xml:space="preserve">z </w:t>
                      </w:r>
                      <w:r w:rsidR="00E45442">
                        <w:t>listopadem</w:t>
                      </w:r>
                      <w:r w:rsidR="00F80128">
                        <w:t xml:space="preserve"> </w:t>
                      </w:r>
                      <w:r w:rsidR="005E2FD9">
                        <w:t>2024</w:t>
                      </w:r>
                      <w:r w:rsidR="00CC5BE5">
                        <w:t xml:space="preserve"> r.</w:t>
                      </w:r>
                    </w:p>
                    <w:p w14:paraId="4C105365" w14:textId="77777777" w:rsidR="00316A71" w:rsidRPr="00EB6683" w:rsidRDefault="00B651AD" w:rsidP="00316A71">
                      <w:pPr>
                        <w:pStyle w:val="tekstnaniebieskimtle"/>
                        <w:rPr>
                          <w:color w:val="FFFFFF" w:themeColor="background1"/>
                          <w:sz w:val="18"/>
                          <w:szCs w:val="20"/>
                        </w:rPr>
                      </w:pPr>
                      <w:r>
                        <w:t xml:space="preserve"> poprzedniego roku</w:t>
                      </w:r>
                    </w:p>
                    <w:p w14:paraId="295C24B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E37E74" w:rsidRPr="00E37E74">
        <w:rPr>
          <w:shd w:val="clear" w:color="auto" w:fill="FFFFFF"/>
        </w:rPr>
        <w:t xml:space="preserve">Według wstępnych danych </w:t>
      </w:r>
      <w:r w:rsidR="003B4515">
        <w:rPr>
          <w:shd w:val="clear" w:color="auto" w:fill="FFFFFF"/>
        </w:rPr>
        <w:t xml:space="preserve">w </w:t>
      </w:r>
      <w:r w:rsidR="00E45442">
        <w:rPr>
          <w:shd w:val="clear" w:color="auto" w:fill="FFFFFF"/>
        </w:rPr>
        <w:t>listopadzie</w:t>
      </w:r>
      <w:r w:rsidR="000C6803">
        <w:rPr>
          <w:shd w:val="clear" w:color="auto" w:fill="FFFFFF"/>
        </w:rPr>
        <w:t xml:space="preserve"> </w:t>
      </w:r>
      <w:r w:rsidR="00E37E74" w:rsidRPr="00E37E74">
        <w:rPr>
          <w:shd w:val="clear" w:color="auto" w:fill="FFFFFF"/>
        </w:rPr>
        <w:t>2025 r. ceny produkcji budowlano-montażowej</w:t>
      </w:r>
      <w:r w:rsidR="00E37E74">
        <w:rPr>
          <w:shd w:val="clear" w:color="auto" w:fill="FFFFFF"/>
        </w:rPr>
        <w:t xml:space="preserve"> </w:t>
      </w:r>
      <w:r w:rsidR="00E4224F">
        <w:rPr>
          <w:shd w:val="clear" w:color="auto" w:fill="FFFFFF"/>
        </w:rPr>
        <w:t xml:space="preserve">wzrosły </w:t>
      </w:r>
      <w:r w:rsidR="00E624FB">
        <w:rPr>
          <w:shd w:val="clear" w:color="auto" w:fill="FFFFFF"/>
        </w:rPr>
        <w:t xml:space="preserve">zarówno </w:t>
      </w:r>
      <w:r w:rsidR="00E4224F">
        <w:rPr>
          <w:shd w:val="clear" w:color="auto" w:fill="FFFFFF"/>
        </w:rPr>
        <w:t>w</w:t>
      </w:r>
      <w:r w:rsidR="009D54C9">
        <w:rPr>
          <w:shd w:val="clear" w:color="auto" w:fill="FFFFFF"/>
        </w:rPr>
        <w:t> </w:t>
      </w:r>
      <w:r w:rsidR="00E4224F">
        <w:rPr>
          <w:shd w:val="clear" w:color="auto" w:fill="FFFFFF"/>
        </w:rPr>
        <w:t xml:space="preserve">porównaniu </w:t>
      </w:r>
      <w:r w:rsidR="009D54C9">
        <w:rPr>
          <w:shd w:val="clear" w:color="auto" w:fill="FFFFFF"/>
        </w:rPr>
        <w:t xml:space="preserve">z </w:t>
      </w:r>
      <w:r w:rsidR="00E45442">
        <w:rPr>
          <w:shd w:val="clear" w:color="auto" w:fill="FFFFFF"/>
        </w:rPr>
        <w:t>listopadem</w:t>
      </w:r>
      <w:r w:rsidR="00E37E74">
        <w:rPr>
          <w:shd w:val="clear" w:color="auto" w:fill="FFFFFF"/>
        </w:rPr>
        <w:t xml:space="preserve"> 2024</w:t>
      </w:r>
      <w:r w:rsidR="00B76B2B">
        <w:rPr>
          <w:shd w:val="clear" w:color="auto" w:fill="FFFFFF"/>
        </w:rPr>
        <w:t> </w:t>
      </w:r>
      <w:r w:rsidR="00E37E74">
        <w:rPr>
          <w:shd w:val="clear" w:color="auto" w:fill="FFFFFF"/>
        </w:rPr>
        <w:t xml:space="preserve">r. </w:t>
      </w:r>
      <w:r w:rsidR="00493048">
        <w:rPr>
          <w:shd w:val="clear" w:color="auto" w:fill="FFFFFF"/>
        </w:rPr>
        <w:t>(</w:t>
      </w:r>
      <w:r w:rsidR="00E37E74">
        <w:rPr>
          <w:shd w:val="clear" w:color="auto" w:fill="FFFFFF"/>
        </w:rPr>
        <w:t>o</w:t>
      </w:r>
      <w:r w:rsidR="00E624FB">
        <w:rPr>
          <w:shd w:val="clear" w:color="auto" w:fill="FFFFFF"/>
        </w:rPr>
        <w:t> </w:t>
      </w:r>
      <w:r w:rsidR="00E45442">
        <w:rPr>
          <w:shd w:val="clear" w:color="auto" w:fill="FFFFFF"/>
        </w:rPr>
        <w:t>3,</w:t>
      </w:r>
      <w:r w:rsidR="000E3B7D">
        <w:rPr>
          <w:shd w:val="clear" w:color="auto" w:fill="FFFFFF"/>
        </w:rPr>
        <w:t>1</w:t>
      </w:r>
      <w:r w:rsidR="00E37E74">
        <w:rPr>
          <w:shd w:val="clear" w:color="auto" w:fill="FFFFFF"/>
        </w:rPr>
        <w:t>%</w:t>
      </w:r>
      <w:r w:rsidR="00493048">
        <w:rPr>
          <w:shd w:val="clear" w:color="auto" w:fill="FFFFFF"/>
        </w:rPr>
        <w:t>)</w:t>
      </w:r>
      <w:r w:rsidR="00542FEA">
        <w:rPr>
          <w:shd w:val="clear" w:color="auto" w:fill="FFFFFF"/>
        </w:rPr>
        <w:t>, jak</w:t>
      </w:r>
      <w:r w:rsidR="00E624FB">
        <w:rPr>
          <w:shd w:val="clear" w:color="auto" w:fill="FFFFFF"/>
        </w:rPr>
        <w:t xml:space="preserve"> i </w:t>
      </w:r>
      <w:r w:rsidR="007E367C">
        <w:rPr>
          <w:shd w:val="clear" w:color="auto" w:fill="FFFFFF"/>
        </w:rPr>
        <w:t xml:space="preserve">z </w:t>
      </w:r>
      <w:bookmarkStart w:id="0" w:name="_GoBack"/>
      <w:bookmarkEnd w:id="0"/>
      <w:r w:rsidR="00E45442">
        <w:rPr>
          <w:shd w:val="clear" w:color="auto" w:fill="FFFFFF"/>
        </w:rPr>
        <w:t>październikiem</w:t>
      </w:r>
      <w:r w:rsidR="00E624FB">
        <w:rPr>
          <w:shd w:val="clear" w:color="auto" w:fill="FFFFFF"/>
        </w:rPr>
        <w:t xml:space="preserve"> </w:t>
      </w:r>
      <w:r w:rsidR="00697B30">
        <w:rPr>
          <w:shd w:val="clear" w:color="auto" w:fill="FFFFFF"/>
        </w:rPr>
        <w:t xml:space="preserve">2025 r. </w:t>
      </w:r>
      <w:r w:rsidR="00E624FB">
        <w:rPr>
          <w:shd w:val="clear" w:color="auto" w:fill="FFFFFF"/>
        </w:rPr>
        <w:t>(o 0,</w:t>
      </w:r>
      <w:r w:rsidR="00E45442">
        <w:rPr>
          <w:shd w:val="clear" w:color="auto" w:fill="FFFFFF"/>
        </w:rPr>
        <w:t>3</w:t>
      </w:r>
      <w:r w:rsidR="00E624FB">
        <w:rPr>
          <w:shd w:val="clear" w:color="auto" w:fill="FFFFFF"/>
        </w:rPr>
        <w:t>%).</w:t>
      </w:r>
      <w:r w:rsidR="00CB6AD4" w:rsidRPr="00E231AB">
        <w:rPr>
          <w:shd w:val="clear" w:color="auto" w:fill="FFFFFF"/>
        </w:rPr>
        <w:br/>
      </w:r>
    </w:p>
    <w:p w14:paraId="6A755B10" w14:textId="77777777" w:rsidR="009D54C9" w:rsidRDefault="009D54C9" w:rsidP="009D54C9">
      <w:pPr>
        <w:pStyle w:val="Lead"/>
        <w:rPr>
          <w:b w:val="0"/>
        </w:rPr>
      </w:pPr>
    </w:p>
    <w:p w14:paraId="33336030" w14:textId="77777777" w:rsidR="007A226F" w:rsidRDefault="007A226F" w:rsidP="001578AB">
      <w:pPr>
        <w:jc w:val="both"/>
        <w:rPr>
          <w:shd w:val="clear" w:color="auto" w:fill="FFFFFF"/>
        </w:rPr>
      </w:pPr>
    </w:p>
    <w:p w14:paraId="54FDD014" w14:textId="175B550D" w:rsidR="001578AB" w:rsidRPr="009B7A1C" w:rsidRDefault="003B4515" w:rsidP="001578AB">
      <w:pPr>
        <w:jc w:val="both"/>
        <w:rPr>
          <w:shd w:val="clear" w:color="auto" w:fill="FFFFFF"/>
        </w:rPr>
      </w:pPr>
      <w:r>
        <w:rPr>
          <w:shd w:val="clear" w:color="auto" w:fill="FFFFFF"/>
        </w:rPr>
        <w:t xml:space="preserve">W </w:t>
      </w:r>
      <w:r w:rsidR="00E45442">
        <w:rPr>
          <w:shd w:val="clear" w:color="auto" w:fill="FFFFFF"/>
        </w:rPr>
        <w:t>listopadzie</w:t>
      </w:r>
      <w:r w:rsidR="00470779">
        <w:rPr>
          <w:shd w:val="clear" w:color="auto" w:fill="FFFFFF"/>
        </w:rPr>
        <w:t xml:space="preserve"> </w:t>
      </w:r>
      <w:r w:rsidR="001578AB" w:rsidRPr="001857EF">
        <w:rPr>
          <w:shd w:val="clear" w:color="auto" w:fill="FFFFFF"/>
        </w:rPr>
        <w:t>202</w:t>
      </w:r>
      <w:r w:rsidR="005E2FD9">
        <w:rPr>
          <w:shd w:val="clear" w:color="auto" w:fill="FFFFFF"/>
        </w:rPr>
        <w:t>5</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B0698C">
        <w:rPr>
          <w:shd w:val="clear" w:color="auto" w:fill="FFFFFF"/>
        </w:rPr>
        <w:t>poprzedniego miesiąca</w:t>
      </w:r>
      <w:r w:rsidR="009D54C9">
        <w:rPr>
          <w:shd w:val="clear" w:color="auto" w:fill="FFFFFF"/>
        </w:rPr>
        <w:t xml:space="preserve"> </w:t>
      </w:r>
      <w:r w:rsidR="009A62CB">
        <w:rPr>
          <w:shd w:val="clear" w:color="auto" w:fill="FFFFFF"/>
        </w:rPr>
        <w:t>ceny budowy budynków</w:t>
      </w:r>
      <w:r w:rsidR="00E45442">
        <w:rPr>
          <w:shd w:val="clear" w:color="auto" w:fill="FFFFFF"/>
        </w:rPr>
        <w:t xml:space="preserve"> oraz robót </w:t>
      </w:r>
      <w:r w:rsidR="00E45442" w:rsidRPr="009B7A1C">
        <w:rPr>
          <w:shd w:val="clear" w:color="auto" w:fill="FFFFFF"/>
        </w:rPr>
        <w:t xml:space="preserve">budowlanych </w:t>
      </w:r>
      <w:r w:rsidR="00E45442" w:rsidRPr="00BE7526">
        <w:rPr>
          <w:shd w:val="clear" w:color="auto" w:fill="FFFFFF"/>
        </w:rPr>
        <w:t>specjalistycznych</w:t>
      </w:r>
      <w:r w:rsidR="00E45442">
        <w:rPr>
          <w:shd w:val="clear" w:color="auto" w:fill="FFFFFF"/>
        </w:rPr>
        <w:t xml:space="preserve"> wzrosły po 0,4%, a </w:t>
      </w:r>
      <w:r w:rsidR="00F450B8">
        <w:rPr>
          <w:shd w:val="clear" w:color="auto" w:fill="FFFFFF"/>
        </w:rPr>
        <w:t>budowy</w:t>
      </w:r>
      <w:r w:rsidR="00384D71">
        <w:rPr>
          <w:shd w:val="clear" w:color="auto" w:fill="FFFFFF"/>
        </w:rPr>
        <w:t xml:space="preserve"> </w:t>
      </w:r>
      <w:r w:rsidR="00384D71" w:rsidRPr="009B7A1C">
        <w:rPr>
          <w:shd w:val="clear" w:color="auto" w:fill="FFFFFF"/>
        </w:rPr>
        <w:t>obiektów inżynierii lądowej</w:t>
      </w:r>
      <w:r w:rsidR="00384D71">
        <w:rPr>
          <w:shd w:val="clear" w:color="auto" w:fill="FFFFFF"/>
        </w:rPr>
        <w:t xml:space="preserve"> </w:t>
      </w:r>
      <w:r w:rsidR="00384D71" w:rsidRPr="00C264A5">
        <w:rPr>
          <w:shd w:val="clear" w:color="auto" w:fill="FFFFFF"/>
        </w:rPr>
        <w:t>i </w:t>
      </w:r>
      <w:r w:rsidR="00384D71" w:rsidRPr="00B74669">
        <w:rPr>
          <w:shd w:val="clear" w:color="auto" w:fill="FFFFFF"/>
        </w:rPr>
        <w:t>wodne</w:t>
      </w:r>
      <w:r w:rsidR="00384D71">
        <w:rPr>
          <w:shd w:val="clear" w:color="auto" w:fill="FFFFFF"/>
        </w:rPr>
        <w:t xml:space="preserve">j </w:t>
      </w:r>
      <w:r w:rsidR="00E624FB">
        <w:rPr>
          <w:shd w:val="clear" w:color="auto" w:fill="FFFFFF"/>
        </w:rPr>
        <w:t>o 0,</w:t>
      </w:r>
      <w:r w:rsidR="00E45442">
        <w:rPr>
          <w:shd w:val="clear" w:color="auto" w:fill="FFFFFF"/>
        </w:rPr>
        <w:t>2</w:t>
      </w:r>
      <w:r w:rsidR="00E624FB">
        <w:rPr>
          <w:shd w:val="clear" w:color="auto" w:fill="FFFFFF"/>
        </w:rPr>
        <w:t xml:space="preserve">%, </w:t>
      </w:r>
    </w:p>
    <w:p w14:paraId="28246369" w14:textId="26A0F00D" w:rsidR="001578AB" w:rsidRDefault="001578AB" w:rsidP="001578AB">
      <w:pPr>
        <w:jc w:val="both"/>
        <w:rPr>
          <w:shd w:val="clear" w:color="auto" w:fill="FFFFFF"/>
        </w:rPr>
      </w:pPr>
      <w:r w:rsidRPr="001E7DD5">
        <w:rPr>
          <w:shd w:val="clear" w:color="auto" w:fill="FFFFFF"/>
        </w:rPr>
        <w:t xml:space="preserve">W porównaniu </w:t>
      </w:r>
      <w:r w:rsidR="00B0698C">
        <w:rPr>
          <w:shd w:val="clear" w:color="auto" w:fill="FFFFFF"/>
        </w:rPr>
        <w:t xml:space="preserve">z </w:t>
      </w:r>
      <w:r w:rsidR="00E45442">
        <w:rPr>
          <w:shd w:val="clear" w:color="auto" w:fill="FFFFFF"/>
        </w:rPr>
        <w:t>listopadem</w:t>
      </w:r>
      <w:r w:rsidR="00B0698C">
        <w:rPr>
          <w:shd w:val="clear" w:color="auto" w:fill="FFFFFF"/>
        </w:rPr>
        <w:t xml:space="preserve"> 202</w:t>
      </w:r>
      <w:r w:rsidR="00204830">
        <w:rPr>
          <w:shd w:val="clear" w:color="auto" w:fill="FFFFFF"/>
        </w:rPr>
        <w:t>4</w:t>
      </w:r>
      <w:r w:rsidR="005D4AA9">
        <w:rPr>
          <w:shd w:val="clear" w:color="auto" w:fill="FFFFFF"/>
        </w:rPr>
        <w:t xml:space="preserve"> </w:t>
      </w:r>
      <w:r w:rsidRPr="00484223">
        <w:rPr>
          <w:shd w:val="clear" w:color="auto" w:fill="FFFFFF"/>
        </w:rPr>
        <w:t>r.</w:t>
      </w:r>
      <w:r w:rsidRPr="001D2F4B">
        <w:rPr>
          <w:shd w:val="clear" w:color="auto" w:fill="FFFFFF"/>
        </w:rPr>
        <w:t xml:space="preserve"> </w:t>
      </w:r>
      <w:r w:rsidR="007614E8">
        <w:rPr>
          <w:shd w:val="clear" w:color="auto" w:fill="FFFFFF"/>
        </w:rPr>
        <w:t xml:space="preserve">odnotowano wzrost </w:t>
      </w:r>
      <w:r>
        <w:rPr>
          <w:shd w:val="clear" w:color="auto" w:fill="FFFFFF"/>
        </w:rPr>
        <w:t>cen</w:t>
      </w:r>
      <w:r w:rsidRPr="00AC14C9">
        <w:rPr>
          <w:shd w:val="clear" w:color="auto" w:fill="FFFFFF"/>
        </w:rPr>
        <w:t xml:space="preserve"> </w:t>
      </w:r>
      <w:r w:rsidR="009A62CB" w:rsidRPr="00AC14C9">
        <w:rPr>
          <w:shd w:val="clear" w:color="auto" w:fill="FFFFFF"/>
        </w:rPr>
        <w:t xml:space="preserve">budowy </w:t>
      </w:r>
      <w:r w:rsidR="009A62CB" w:rsidRPr="004F3870">
        <w:rPr>
          <w:shd w:val="clear" w:color="auto" w:fill="FFFFFF"/>
        </w:rPr>
        <w:t>budynków</w:t>
      </w:r>
      <w:r w:rsidR="00E45442">
        <w:rPr>
          <w:shd w:val="clear" w:color="auto" w:fill="FFFFFF"/>
        </w:rPr>
        <w:t xml:space="preserve">, </w:t>
      </w:r>
      <w:r w:rsidR="000E25BD">
        <w:rPr>
          <w:shd w:val="clear" w:color="auto" w:fill="FFFFFF"/>
        </w:rPr>
        <w:t>a także</w:t>
      </w:r>
      <w:r w:rsidR="009A62CB" w:rsidRPr="009A62CB">
        <w:rPr>
          <w:shd w:val="clear" w:color="auto" w:fill="FFFFFF"/>
        </w:rPr>
        <w:t xml:space="preserve"> </w:t>
      </w:r>
      <w:r w:rsidR="009A62CB" w:rsidRPr="00B50F19">
        <w:rPr>
          <w:shd w:val="clear" w:color="auto" w:fill="FFFFFF"/>
        </w:rPr>
        <w:t xml:space="preserve">robót budowlanych </w:t>
      </w:r>
      <w:r w:rsidR="009A62CB" w:rsidRPr="005F760E">
        <w:rPr>
          <w:shd w:val="clear" w:color="auto" w:fill="FFFFFF"/>
        </w:rPr>
        <w:t>specjalistycznych</w:t>
      </w:r>
      <w:r w:rsidR="009A62CB">
        <w:rPr>
          <w:shd w:val="clear" w:color="auto" w:fill="FFFFFF"/>
        </w:rPr>
        <w:t xml:space="preserve"> (</w:t>
      </w:r>
      <w:r w:rsidR="00E45442">
        <w:rPr>
          <w:shd w:val="clear" w:color="auto" w:fill="FFFFFF"/>
        </w:rPr>
        <w:t>p</w:t>
      </w:r>
      <w:r w:rsidR="009A62CB">
        <w:rPr>
          <w:shd w:val="clear" w:color="auto" w:fill="FFFFFF"/>
        </w:rPr>
        <w:t>o </w:t>
      </w:r>
      <w:r w:rsidR="00E45442">
        <w:rPr>
          <w:shd w:val="clear" w:color="auto" w:fill="FFFFFF"/>
        </w:rPr>
        <w:t>3,2</w:t>
      </w:r>
      <w:r w:rsidR="009A62CB">
        <w:rPr>
          <w:shd w:val="clear" w:color="auto" w:fill="FFFFFF"/>
        </w:rPr>
        <w:t>%)</w:t>
      </w:r>
      <w:r w:rsidR="00E45442">
        <w:rPr>
          <w:shd w:val="clear" w:color="auto" w:fill="FFFFFF"/>
        </w:rPr>
        <w:t xml:space="preserve"> oraz</w:t>
      </w:r>
      <w:r w:rsidR="00E45442" w:rsidRPr="00E45442">
        <w:rPr>
          <w:shd w:val="clear" w:color="auto" w:fill="FFFFFF"/>
        </w:rPr>
        <w:t xml:space="preserve"> </w:t>
      </w:r>
      <w:r w:rsidR="00E45442">
        <w:rPr>
          <w:shd w:val="clear" w:color="auto" w:fill="FFFFFF"/>
        </w:rPr>
        <w:t xml:space="preserve">budowy obiektów </w:t>
      </w:r>
      <w:r w:rsidR="00E45442" w:rsidRPr="00AC14C9">
        <w:rPr>
          <w:shd w:val="clear" w:color="auto" w:fill="FFFFFF"/>
        </w:rPr>
        <w:t>in</w:t>
      </w:r>
      <w:r w:rsidR="00E45442">
        <w:rPr>
          <w:shd w:val="clear" w:color="auto" w:fill="FFFFFF"/>
        </w:rPr>
        <w:t>żynierii lądowej i </w:t>
      </w:r>
      <w:r w:rsidR="00E45442" w:rsidRPr="00256333">
        <w:rPr>
          <w:shd w:val="clear" w:color="auto" w:fill="FFFFFF"/>
        </w:rPr>
        <w:t xml:space="preserve">wodnej </w:t>
      </w:r>
      <w:r w:rsidR="00E45442">
        <w:rPr>
          <w:shd w:val="clear" w:color="auto" w:fill="FFFFFF"/>
        </w:rPr>
        <w:t>(o 3,0%)</w:t>
      </w:r>
      <w:r w:rsidR="006364A8">
        <w:rPr>
          <w:shd w:val="clear" w:color="auto" w:fill="FFFFFF"/>
        </w:rPr>
        <w:t>.</w:t>
      </w:r>
    </w:p>
    <w:p w14:paraId="17068C50" w14:textId="77777777" w:rsidR="005F0A89" w:rsidRDefault="005F0A89" w:rsidP="001578AB">
      <w:pPr>
        <w:jc w:val="both"/>
        <w:rPr>
          <w:shd w:val="clear" w:color="auto" w:fill="FFFFFF"/>
        </w:rPr>
      </w:pPr>
    </w:p>
    <w:p w14:paraId="71419261" w14:textId="77777777" w:rsidR="00D308D5" w:rsidRDefault="00D308D5" w:rsidP="00667416">
      <w:pPr>
        <w:pStyle w:val="Tytutablicy"/>
        <w:spacing w:before="120" w:after="0"/>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p>
    <w:tbl>
      <w:tblPr>
        <w:tblStyle w:val="Tabela-Siatka"/>
        <w:tblpPr w:leftFromText="141" w:rightFromText="141" w:vertAnchor="text" w:horzAnchor="margin" w:tblpY="182"/>
        <w:tblW w:w="763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tblDescription w:val="Wskaźniki cen produkcji budowlano-montażowej w różnych okresach odniesienia: październik 2025 r. do września 2025 r., październik 2025 r. do analogicznego okresu  ubiegłego roku tj. października 2024 r., listopad 2025 r. do analogicznego okresu ubiegłego roku, tj. do listopada 2024 r., listopad 2025 r. do października 2025 r., listopad 2025 r. do grudnia 2024 r., narastająco styczeń - listopad 2025 r. do stycznia - listopada 2024 r."/>
      </w:tblPr>
      <w:tblGrid>
        <w:gridCol w:w="2193"/>
        <w:gridCol w:w="907"/>
        <w:gridCol w:w="907"/>
        <w:gridCol w:w="907"/>
        <w:gridCol w:w="907"/>
        <w:gridCol w:w="907"/>
        <w:gridCol w:w="908"/>
      </w:tblGrid>
      <w:tr w:rsidR="00DD65FD" w:rsidRPr="007A5D6D" w14:paraId="677B355A" w14:textId="77777777" w:rsidTr="00900E1E">
        <w:tc>
          <w:tcPr>
            <w:tcW w:w="2193" w:type="dxa"/>
            <w:vMerge w:val="restart"/>
            <w:tcBorders>
              <w:top w:val="single" w:sz="4" w:space="0" w:color="auto"/>
            </w:tcBorders>
            <w:vAlign w:val="center"/>
          </w:tcPr>
          <w:p w14:paraId="7B9991B7" w14:textId="77777777" w:rsidR="00DD65FD" w:rsidRPr="007A5D6D" w:rsidRDefault="006E189F" w:rsidP="00853262">
            <w:pPr>
              <w:jc w:val="center"/>
              <w:rPr>
                <w:sz w:val="16"/>
                <w:szCs w:val="16"/>
                <w:shd w:val="clear" w:color="auto" w:fill="FFFFFF"/>
              </w:rPr>
            </w:pPr>
            <w:r w:rsidRPr="007A5D6D">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tcPr>
          <w:p w14:paraId="4D780AB2" w14:textId="4357F2C2" w:rsidR="00DD65FD" w:rsidRPr="007A5D6D" w:rsidRDefault="006364A8" w:rsidP="00853262">
            <w:pPr>
              <w:jc w:val="center"/>
              <w:rPr>
                <w:sz w:val="16"/>
                <w:szCs w:val="16"/>
                <w:shd w:val="clear" w:color="auto" w:fill="FFFFFF"/>
              </w:rPr>
            </w:pPr>
            <w:r>
              <w:rPr>
                <w:color w:val="000000" w:themeColor="text1"/>
                <w:sz w:val="16"/>
                <w:szCs w:val="16"/>
              </w:rPr>
              <w:t>10</w:t>
            </w:r>
            <w:r w:rsidR="00DD65FD" w:rsidRPr="007A5D6D">
              <w:rPr>
                <w:color w:val="000000" w:themeColor="text1"/>
                <w:sz w:val="16"/>
                <w:szCs w:val="16"/>
              </w:rPr>
              <w:t xml:space="preserve"> 202</w:t>
            </w:r>
            <w:r w:rsidR="00DD65FD">
              <w:rPr>
                <w:color w:val="000000" w:themeColor="text1"/>
                <w:sz w:val="16"/>
                <w:szCs w:val="16"/>
              </w:rPr>
              <w:t>5</w:t>
            </w:r>
          </w:p>
        </w:tc>
        <w:tc>
          <w:tcPr>
            <w:tcW w:w="2721" w:type="dxa"/>
            <w:gridSpan w:val="3"/>
            <w:tcBorders>
              <w:top w:val="single" w:sz="4" w:space="0" w:color="auto"/>
              <w:bottom w:val="single" w:sz="4" w:space="0" w:color="001D77"/>
            </w:tcBorders>
          </w:tcPr>
          <w:p w14:paraId="113F3A30" w14:textId="0D327D30" w:rsidR="00DD65FD" w:rsidRPr="007A5D6D" w:rsidRDefault="003B4515" w:rsidP="00853262">
            <w:pPr>
              <w:jc w:val="center"/>
              <w:rPr>
                <w:color w:val="000000" w:themeColor="text1"/>
                <w:sz w:val="16"/>
                <w:szCs w:val="16"/>
              </w:rPr>
            </w:pPr>
            <w:r>
              <w:rPr>
                <w:color w:val="000000" w:themeColor="text1"/>
                <w:sz w:val="16"/>
                <w:szCs w:val="16"/>
              </w:rPr>
              <w:t>1</w:t>
            </w:r>
            <w:r w:rsidR="006364A8">
              <w:rPr>
                <w:color w:val="000000" w:themeColor="text1"/>
                <w:sz w:val="16"/>
                <w:szCs w:val="16"/>
              </w:rPr>
              <w:t>1</w:t>
            </w:r>
            <w:r w:rsidR="00DD65FD" w:rsidRPr="007A5D6D">
              <w:rPr>
                <w:color w:val="000000" w:themeColor="text1"/>
                <w:sz w:val="16"/>
                <w:szCs w:val="16"/>
              </w:rPr>
              <w:t xml:space="preserve"> 202</w:t>
            </w:r>
            <w:r w:rsidR="00DD65FD">
              <w:rPr>
                <w:color w:val="000000" w:themeColor="text1"/>
                <w:sz w:val="16"/>
                <w:szCs w:val="16"/>
              </w:rPr>
              <w:t>5</w:t>
            </w:r>
          </w:p>
        </w:tc>
        <w:tc>
          <w:tcPr>
            <w:tcW w:w="908" w:type="dxa"/>
            <w:tcBorders>
              <w:top w:val="single" w:sz="4" w:space="0" w:color="auto"/>
              <w:bottom w:val="single" w:sz="4" w:space="0" w:color="001D77"/>
            </w:tcBorders>
          </w:tcPr>
          <w:p w14:paraId="41A81004" w14:textId="4D4B435E" w:rsidR="00DD65FD" w:rsidRPr="007A5D6D" w:rsidRDefault="00DD65FD" w:rsidP="00853262">
            <w:pPr>
              <w:jc w:val="center"/>
              <w:rPr>
                <w:color w:val="000000" w:themeColor="text1"/>
                <w:sz w:val="16"/>
                <w:szCs w:val="16"/>
              </w:rPr>
            </w:pPr>
            <w:r w:rsidRPr="007A5D6D">
              <w:rPr>
                <w:color w:val="000000" w:themeColor="text1"/>
                <w:sz w:val="16"/>
                <w:szCs w:val="16"/>
              </w:rPr>
              <w:t>01</w:t>
            </w:r>
            <w:r w:rsidR="002953E6">
              <w:rPr>
                <w:color w:val="000000" w:themeColor="text1"/>
                <w:sz w:val="16"/>
                <w:szCs w:val="16"/>
              </w:rPr>
              <w:t>‒</w:t>
            </w:r>
            <w:r w:rsidR="003B4515">
              <w:rPr>
                <w:color w:val="000000" w:themeColor="text1"/>
                <w:sz w:val="16"/>
                <w:szCs w:val="16"/>
              </w:rPr>
              <w:t>1</w:t>
            </w:r>
            <w:r w:rsidR="006364A8">
              <w:rPr>
                <w:color w:val="000000" w:themeColor="text1"/>
                <w:sz w:val="16"/>
                <w:szCs w:val="16"/>
              </w:rPr>
              <w:t>1</w:t>
            </w:r>
            <w:r w:rsidRPr="007A5D6D">
              <w:rPr>
                <w:color w:val="000000" w:themeColor="text1"/>
                <w:sz w:val="16"/>
                <w:szCs w:val="16"/>
              </w:rPr>
              <w:t xml:space="preserve"> 202</w:t>
            </w:r>
            <w:r>
              <w:rPr>
                <w:color w:val="000000" w:themeColor="text1"/>
                <w:sz w:val="16"/>
                <w:szCs w:val="16"/>
              </w:rPr>
              <w:t>5</w:t>
            </w:r>
          </w:p>
        </w:tc>
      </w:tr>
      <w:tr w:rsidR="00954022" w:rsidRPr="007A5D6D" w14:paraId="0690EB1B" w14:textId="77777777" w:rsidTr="00481D94">
        <w:tc>
          <w:tcPr>
            <w:tcW w:w="2193" w:type="dxa"/>
            <w:vMerge/>
            <w:tcBorders>
              <w:bottom w:val="single" w:sz="12" w:space="0" w:color="001D77"/>
            </w:tcBorders>
          </w:tcPr>
          <w:p w14:paraId="7CBABDF8" w14:textId="77777777" w:rsidR="00954022" w:rsidRPr="007A5D6D" w:rsidRDefault="00954022" w:rsidP="00954022">
            <w:pPr>
              <w:jc w:val="center"/>
              <w:rPr>
                <w:sz w:val="16"/>
                <w:szCs w:val="16"/>
                <w:shd w:val="clear" w:color="auto" w:fill="FFFFFF"/>
              </w:rPr>
            </w:pPr>
          </w:p>
        </w:tc>
        <w:tc>
          <w:tcPr>
            <w:tcW w:w="907" w:type="dxa"/>
            <w:tcBorders>
              <w:top w:val="single" w:sz="4" w:space="0" w:color="001D77"/>
              <w:bottom w:val="single" w:sz="12" w:space="0" w:color="001D77"/>
            </w:tcBorders>
            <w:vAlign w:val="center"/>
          </w:tcPr>
          <w:p w14:paraId="2316D219" w14:textId="2FD3774B" w:rsidR="00954022" w:rsidRPr="007A5D6D" w:rsidRDefault="00954022" w:rsidP="00954022">
            <w:pPr>
              <w:jc w:val="center"/>
              <w:rPr>
                <w:color w:val="000000" w:themeColor="text1"/>
                <w:spacing w:val="-12"/>
                <w:sz w:val="16"/>
                <w:szCs w:val="16"/>
              </w:rPr>
            </w:pPr>
            <w:r>
              <w:rPr>
                <w:color w:val="000000" w:themeColor="text1"/>
                <w:spacing w:val="-12"/>
                <w:sz w:val="16"/>
                <w:szCs w:val="16"/>
              </w:rPr>
              <w:t>0</w:t>
            </w:r>
            <w:r w:rsidR="006364A8">
              <w:rPr>
                <w:color w:val="000000" w:themeColor="text1"/>
                <w:spacing w:val="-12"/>
                <w:sz w:val="16"/>
                <w:szCs w:val="16"/>
              </w:rPr>
              <w:t>9</w:t>
            </w:r>
            <w:r>
              <w:rPr>
                <w:color w:val="000000" w:themeColor="text1"/>
                <w:spacing w:val="-12"/>
                <w:sz w:val="16"/>
                <w:szCs w:val="16"/>
              </w:rPr>
              <w:t xml:space="preserve"> 2025=100</w:t>
            </w:r>
          </w:p>
        </w:tc>
        <w:tc>
          <w:tcPr>
            <w:tcW w:w="1814" w:type="dxa"/>
            <w:gridSpan w:val="2"/>
            <w:tcBorders>
              <w:top w:val="single" w:sz="4" w:space="0" w:color="001D77"/>
              <w:bottom w:val="single" w:sz="12" w:space="0" w:color="001D77"/>
            </w:tcBorders>
          </w:tcPr>
          <w:p w14:paraId="3D86DE6D" w14:textId="77777777" w:rsidR="00954022" w:rsidRPr="007A5D6D" w:rsidRDefault="00954022" w:rsidP="00954022">
            <w:pPr>
              <w:jc w:val="center"/>
              <w:rPr>
                <w:color w:val="000000" w:themeColor="text1"/>
                <w:spacing w:val="-12"/>
                <w:sz w:val="16"/>
                <w:szCs w:val="16"/>
              </w:rPr>
            </w:pPr>
            <w:r w:rsidRPr="007A5D6D">
              <w:rPr>
                <w:color w:val="000000" w:themeColor="text1"/>
                <w:sz w:val="16"/>
                <w:szCs w:val="16"/>
              </w:rPr>
              <w:t>analogiczny okres</w:t>
            </w:r>
            <w:r>
              <w:rPr>
                <w:color w:val="000000" w:themeColor="text1"/>
                <w:sz w:val="16"/>
                <w:szCs w:val="16"/>
              </w:rPr>
              <w:t xml:space="preserve"> </w:t>
            </w:r>
            <w:r w:rsidRPr="007A5D6D">
              <w:rPr>
                <w:color w:val="000000" w:themeColor="text1"/>
                <w:sz w:val="16"/>
                <w:szCs w:val="16"/>
              </w:rPr>
              <w:t>202</w:t>
            </w:r>
            <w:r>
              <w:rPr>
                <w:color w:val="000000" w:themeColor="text1"/>
                <w:sz w:val="16"/>
                <w:szCs w:val="16"/>
              </w:rPr>
              <w:t>4</w:t>
            </w:r>
            <w:r w:rsidRPr="007A5D6D">
              <w:rPr>
                <w:color w:val="000000" w:themeColor="text1"/>
                <w:sz w:val="16"/>
                <w:szCs w:val="16"/>
              </w:rPr>
              <w:t>=100</w:t>
            </w:r>
          </w:p>
        </w:tc>
        <w:tc>
          <w:tcPr>
            <w:tcW w:w="907" w:type="dxa"/>
            <w:tcBorders>
              <w:top w:val="single" w:sz="4" w:space="0" w:color="001D77"/>
              <w:bottom w:val="single" w:sz="12" w:space="0" w:color="001D77"/>
            </w:tcBorders>
            <w:vAlign w:val="center"/>
          </w:tcPr>
          <w:p w14:paraId="7A0FD12A" w14:textId="6D48E122" w:rsidR="00954022" w:rsidRPr="007A5D6D" w:rsidRDefault="006364A8" w:rsidP="00954022">
            <w:pPr>
              <w:jc w:val="center"/>
              <w:rPr>
                <w:color w:val="000000" w:themeColor="text1"/>
                <w:spacing w:val="-12"/>
                <w:sz w:val="16"/>
                <w:szCs w:val="16"/>
              </w:rPr>
            </w:pPr>
            <w:r>
              <w:rPr>
                <w:color w:val="000000" w:themeColor="text1"/>
                <w:spacing w:val="-12"/>
                <w:sz w:val="16"/>
                <w:szCs w:val="16"/>
              </w:rPr>
              <w:t>10</w:t>
            </w:r>
            <w:r w:rsidR="00CD04A3">
              <w:rPr>
                <w:color w:val="000000" w:themeColor="text1"/>
                <w:spacing w:val="-12"/>
                <w:sz w:val="16"/>
                <w:szCs w:val="16"/>
              </w:rPr>
              <w:t xml:space="preserve"> </w:t>
            </w:r>
            <w:r w:rsidR="00954022">
              <w:rPr>
                <w:color w:val="000000" w:themeColor="text1"/>
                <w:spacing w:val="-12"/>
                <w:sz w:val="16"/>
                <w:szCs w:val="16"/>
              </w:rPr>
              <w:t>2025=100</w:t>
            </w:r>
          </w:p>
        </w:tc>
        <w:tc>
          <w:tcPr>
            <w:tcW w:w="907" w:type="dxa"/>
            <w:tcBorders>
              <w:top w:val="single" w:sz="4" w:space="0" w:color="001D77"/>
              <w:bottom w:val="single" w:sz="12" w:space="0" w:color="001D77"/>
            </w:tcBorders>
            <w:vAlign w:val="center"/>
          </w:tcPr>
          <w:p w14:paraId="4BD822BB" w14:textId="77777777" w:rsidR="00954022" w:rsidRPr="00094D3C" w:rsidRDefault="00954022" w:rsidP="00954022">
            <w:pPr>
              <w:jc w:val="center"/>
              <w:rPr>
                <w:color w:val="000000" w:themeColor="text1"/>
                <w:sz w:val="16"/>
                <w:szCs w:val="16"/>
              </w:rPr>
            </w:pPr>
            <w:r w:rsidRPr="00094D3C">
              <w:rPr>
                <w:color w:val="000000" w:themeColor="text1"/>
                <w:spacing w:val="-12"/>
                <w:sz w:val="16"/>
                <w:szCs w:val="16"/>
              </w:rPr>
              <w:t>12 2024=100</w:t>
            </w:r>
          </w:p>
        </w:tc>
        <w:tc>
          <w:tcPr>
            <w:tcW w:w="908" w:type="dxa"/>
            <w:tcBorders>
              <w:top w:val="single" w:sz="4" w:space="0" w:color="001D77"/>
              <w:bottom w:val="single" w:sz="12" w:space="0" w:color="001D77"/>
            </w:tcBorders>
          </w:tcPr>
          <w:p w14:paraId="3DB93E1E" w14:textId="1927D687" w:rsidR="00954022" w:rsidRPr="007A5D6D" w:rsidRDefault="00954022" w:rsidP="00954022">
            <w:pPr>
              <w:jc w:val="center"/>
              <w:rPr>
                <w:color w:val="000000" w:themeColor="text1"/>
                <w:sz w:val="16"/>
                <w:szCs w:val="16"/>
              </w:rPr>
            </w:pPr>
            <w:r>
              <w:rPr>
                <w:color w:val="000000" w:themeColor="text1"/>
                <w:sz w:val="16"/>
                <w:szCs w:val="16"/>
              </w:rPr>
              <w:t>01‒</w:t>
            </w:r>
            <w:r w:rsidR="003B4515">
              <w:rPr>
                <w:color w:val="000000" w:themeColor="text1"/>
                <w:sz w:val="16"/>
                <w:szCs w:val="16"/>
              </w:rPr>
              <w:t>1</w:t>
            </w:r>
            <w:r w:rsidR="006364A8">
              <w:rPr>
                <w:color w:val="000000" w:themeColor="text1"/>
                <w:sz w:val="16"/>
                <w:szCs w:val="16"/>
              </w:rPr>
              <w:t>1</w:t>
            </w:r>
            <w:r w:rsidRPr="007A5D6D">
              <w:rPr>
                <w:color w:val="000000" w:themeColor="text1"/>
                <w:sz w:val="16"/>
                <w:szCs w:val="16"/>
              </w:rPr>
              <w:t xml:space="preserve"> 202</w:t>
            </w:r>
            <w:r>
              <w:rPr>
                <w:color w:val="000000" w:themeColor="text1"/>
                <w:sz w:val="16"/>
                <w:szCs w:val="16"/>
              </w:rPr>
              <w:t>4</w:t>
            </w:r>
            <w:r w:rsidRPr="007A5D6D">
              <w:rPr>
                <w:color w:val="000000" w:themeColor="text1"/>
                <w:sz w:val="16"/>
                <w:szCs w:val="16"/>
              </w:rPr>
              <w:t>=100</w:t>
            </w:r>
          </w:p>
        </w:tc>
      </w:tr>
      <w:tr w:rsidR="006364A8" w:rsidRPr="00A6799C" w14:paraId="47CC2563" w14:textId="77777777" w:rsidTr="007B4A23">
        <w:tc>
          <w:tcPr>
            <w:tcW w:w="2193" w:type="dxa"/>
          </w:tcPr>
          <w:p w14:paraId="009814FF" w14:textId="77777777" w:rsidR="006364A8" w:rsidRPr="00532A18" w:rsidRDefault="006364A8" w:rsidP="006364A8">
            <w:pPr>
              <w:rPr>
                <w:b/>
                <w:sz w:val="16"/>
                <w:szCs w:val="16"/>
                <w:shd w:val="clear" w:color="auto" w:fill="FFFFFF"/>
              </w:rPr>
            </w:pPr>
            <w:r w:rsidRPr="00532A18">
              <w:rPr>
                <w:b/>
                <w:color w:val="000000" w:themeColor="text1"/>
                <w:sz w:val="16"/>
                <w:szCs w:val="16"/>
              </w:rPr>
              <w:t>Ogółem</w:t>
            </w:r>
          </w:p>
        </w:tc>
        <w:tc>
          <w:tcPr>
            <w:tcW w:w="907" w:type="dxa"/>
            <w:vAlign w:val="center"/>
          </w:tcPr>
          <w:p w14:paraId="656A383A" w14:textId="096E03D8" w:rsidR="006364A8" w:rsidRPr="00020112" w:rsidRDefault="006364A8" w:rsidP="006364A8">
            <w:pPr>
              <w:jc w:val="right"/>
              <w:rPr>
                <w:rFonts w:cs="Arial"/>
                <w:b/>
                <w:color w:val="000000" w:themeColor="text1"/>
                <w:sz w:val="16"/>
                <w:szCs w:val="16"/>
              </w:rPr>
            </w:pPr>
            <w:r>
              <w:rPr>
                <w:rFonts w:cs="Arial"/>
                <w:b/>
                <w:color w:val="000000" w:themeColor="text1"/>
                <w:sz w:val="16"/>
                <w:szCs w:val="16"/>
              </w:rPr>
              <w:t>100,8</w:t>
            </w:r>
          </w:p>
        </w:tc>
        <w:tc>
          <w:tcPr>
            <w:tcW w:w="907" w:type="dxa"/>
            <w:vAlign w:val="center"/>
          </w:tcPr>
          <w:p w14:paraId="36FBEEC0" w14:textId="720B7C3A" w:rsidR="006364A8" w:rsidRPr="00020112" w:rsidRDefault="006364A8" w:rsidP="006364A8">
            <w:pPr>
              <w:jc w:val="right"/>
              <w:rPr>
                <w:rFonts w:cs="Arial"/>
                <w:b/>
                <w:color w:val="000000" w:themeColor="text1"/>
                <w:sz w:val="16"/>
                <w:szCs w:val="16"/>
              </w:rPr>
            </w:pPr>
            <w:r>
              <w:rPr>
                <w:rFonts w:cs="Arial"/>
                <w:b/>
                <w:color w:val="000000" w:themeColor="text1"/>
                <w:sz w:val="16"/>
                <w:szCs w:val="16"/>
              </w:rPr>
              <w:t>102,8*</w:t>
            </w:r>
          </w:p>
        </w:tc>
        <w:tc>
          <w:tcPr>
            <w:tcW w:w="907" w:type="dxa"/>
            <w:vAlign w:val="center"/>
          </w:tcPr>
          <w:p w14:paraId="7A030D58" w14:textId="23579B44" w:rsidR="006364A8" w:rsidRPr="00020112" w:rsidRDefault="006364A8" w:rsidP="006364A8">
            <w:pPr>
              <w:jc w:val="right"/>
              <w:rPr>
                <w:rFonts w:cs="Arial"/>
                <w:b/>
                <w:color w:val="000000" w:themeColor="text1"/>
                <w:sz w:val="16"/>
                <w:szCs w:val="16"/>
              </w:rPr>
            </w:pPr>
            <w:r>
              <w:rPr>
                <w:rFonts w:cs="Arial"/>
                <w:b/>
                <w:color w:val="000000" w:themeColor="text1"/>
                <w:sz w:val="16"/>
                <w:szCs w:val="16"/>
              </w:rPr>
              <w:t>103,1</w:t>
            </w:r>
          </w:p>
        </w:tc>
        <w:tc>
          <w:tcPr>
            <w:tcW w:w="907" w:type="dxa"/>
            <w:vAlign w:val="center"/>
          </w:tcPr>
          <w:p w14:paraId="6223E1C0" w14:textId="757CFC22" w:rsidR="006364A8" w:rsidRPr="00020112" w:rsidRDefault="006364A8" w:rsidP="006364A8">
            <w:pPr>
              <w:jc w:val="right"/>
              <w:rPr>
                <w:rFonts w:cs="Arial"/>
                <w:b/>
                <w:color w:val="000000" w:themeColor="text1"/>
                <w:sz w:val="16"/>
                <w:szCs w:val="16"/>
              </w:rPr>
            </w:pPr>
            <w:r>
              <w:rPr>
                <w:rFonts w:cs="Arial"/>
                <w:b/>
                <w:color w:val="000000" w:themeColor="text1"/>
                <w:sz w:val="16"/>
                <w:szCs w:val="16"/>
              </w:rPr>
              <w:t>100,3</w:t>
            </w:r>
          </w:p>
        </w:tc>
        <w:tc>
          <w:tcPr>
            <w:tcW w:w="907" w:type="dxa"/>
            <w:vAlign w:val="center"/>
          </w:tcPr>
          <w:p w14:paraId="15987B76" w14:textId="5FB74931" w:rsidR="006364A8" w:rsidRPr="008525F0" w:rsidRDefault="006364A8" w:rsidP="006364A8">
            <w:pPr>
              <w:jc w:val="right"/>
              <w:rPr>
                <w:rFonts w:cs="Arial"/>
                <w:b/>
                <w:color w:val="000000" w:themeColor="text1"/>
                <w:sz w:val="16"/>
                <w:szCs w:val="16"/>
              </w:rPr>
            </w:pPr>
            <w:r>
              <w:rPr>
                <w:rFonts w:cs="Arial"/>
                <w:b/>
                <w:color w:val="000000" w:themeColor="text1"/>
                <w:sz w:val="16"/>
                <w:szCs w:val="16"/>
              </w:rPr>
              <w:t>103,1</w:t>
            </w:r>
          </w:p>
        </w:tc>
        <w:tc>
          <w:tcPr>
            <w:tcW w:w="908" w:type="dxa"/>
            <w:vAlign w:val="center"/>
          </w:tcPr>
          <w:p w14:paraId="15C5293F" w14:textId="7D636B50" w:rsidR="006364A8" w:rsidRPr="008525F0" w:rsidRDefault="006364A8" w:rsidP="006364A8">
            <w:pPr>
              <w:jc w:val="right"/>
              <w:rPr>
                <w:rFonts w:cs="Arial"/>
                <w:b/>
                <w:color w:val="000000" w:themeColor="text1"/>
                <w:sz w:val="16"/>
                <w:szCs w:val="16"/>
              </w:rPr>
            </w:pPr>
            <w:r>
              <w:rPr>
                <w:rFonts w:cs="Arial"/>
                <w:b/>
                <w:color w:val="000000" w:themeColor="text1"/>
                <w:sz w:val="16"/>
                <w:szCs w:val="16"/>
              </w:rPr>
              <w:t>103,2</w:t>
            </w:r>
          </w:p>
        </w:tc>
      </w:tr>
      <w:tr w:rsidR="006364A8" w:rsidRPr="00A6799C" w14:paraId="21B61B36" w14:textId="77777777" w:rsidTr="007B4A23">
        <w:tc>
          <w:tcPr>
            <w:tcW w:w="2193" w:type="dxa"/>
          </w:tcPr>
          <w:p w14:paraId="7DC31616" w14:textId="77777777" w:rsidR="006364A8" w:rsidRPr="007A5D6D" w:rsidRDefault="006364A8" w:rsidP="006364A8">
            <w:pPr>
              <w:rPr>
                <w:sz w:val="16"/>
                <w:szCs w:val="16"/>
                <w:shd w:val="clear" w:color="auto" w:fill="FFFFFF"/>
              </w:rPr>
            </w:pPr>
            <w:r w:rsidRPr="007A5D6D">
              <w:rPr>
                <w:sz w:val="16"/>
                <w:szCs w:val="16"/>
              </w:rPr>
              <w:t xml:space="preserve">Budowa </w:t>
            </w:r>
            <w:proofErr w:type="spellStart"/>
            <w:r w:rsidRPr="007A5D6D">
              <w:rPr>
                <w:sz w:val="16"/>
                <w:szCs w:val="16"/>
              </w:rPr>
              <w:t>budynków</w:t>
            </w:r>
            <w:r w:rsidRPr="008525F0">
              <w:rPr>
                <w:rFonts w:cstheme="majorBidi"/>
                <w:color w:val="000000" w:themeColor="text1"/>
                <w:sz w:val="16"/>
                <w:szCs w:val="16"/>
                <w:vertAlign w:val="superscript"/>
              </w:rPr>
              <w:t>a</w:t>
            </w:r>
            <w:proofErr w:type="spellEnd"/>
          </w:p>
        </w:tc>
        <w:tc>
          <w:tcPr>
            <w:tcW w:w="907" w:type="dxa"/>
            <w:vAlign w:val="center"/>
          </w:tcPr>
          <w:p w14:paraId="40334300" w14:textId="0803D9B6" w:rsidR="006364A8" w:rsidRPr="00770DB6" w:rsidRDefault="006364A8" w:rsidP="006364A8">
            <w:pPr>
              <w:jc w:val="right"/>
              <w:rPr>
                <w:rFonts w:cs="Arial"/>
                <w:color w:val="000000" w:themeColor="text1"/>
                <w:sz w:val="16"/>
                <w:szCs w:val="16"/>
              </w:rPr>
            </w:pPr>
            <w:r>
              <w:rPr>
                <w:rFonts w:cs="Arial"/>
                <w:color w:val="000000" w:themeColor="text1"/>
                <w:sz w:val="16"/>
                <w:szCs w:val="16"/>
              </w:rPr>
              <w:t>100,8</w:t>
            </w:r>
          </w:p>
        </w:tc>
        <w:tc>
          <w:tcPr>
            <w:tcW w:w="907" w:type="dxa"/>
            <w:vAlign w:val="center"/>
          </w:tcPr>
          <w:p w14:paraId="099E3E54" w14:textId="43A6BE73" w:rsidR="006364A8" w:rsidRPr="00770DB6" w:rsidRDefault="006364A8" w:rsidP="006364A8">
            <w:pPr>
              <w:jc w:val="right"/>
              <w:rPr>
                <w:rFonts w:cs="Arial"/>
                <w:color w:val="000000" w:themeColor="text1"/>
                <w:sz w:val="16"/>
                <w:szCs w:val="16"/>
              </w:rPr>
            </w:pPr>
            <w:r>
              <w:rPr>
                <w:rFonts w:cs="Arial"/>
                <w:color w:val="000000" w:themeColor="text1"/>
                <w:sz w:val="16"/>
                <w:szCs w:val="16"/>
              </w:rPr>
              <w:t>102,8</w:t>
            </w:r>
          </w:p>
        </w:tc>
        <w:tc>
          <w:tcPr>
            <w:tcW w:w="907" w:type="dxa"/>
            <w:vAlign w:val="center"/>
          </w:tcPr>
          <w:p w14:paraId="16C9E280" w14:textId="50C9B6A4" w:rsidR="006364A8" w:rsidRPr="00770DB6" w:rsidRDefault="006364A8" w:rsidP="006364A8">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5A031500" w14:textId="2DA10DF9" w:rsidR="006364A8" w:rsidRPr="00770DB6" w:rsidRDefault="006364A8" w:rsidP="006364A8">
            <w:pPr>
              <w:jc w:val="right"/>
              <w:rPr>
                <w:rFonts w:cs="Arial"/>
                <w:color w:val="000000" w:themeColor="text1"/>
                <w:sz w:val="16"/>
                <w:szCs w:val="16"/>
              </w:rPr>
            </w:pPr>
            <w:r>
              <w:rPr>
                <w:rFonts w:cs="Arial"/>
                <w:color w:val="000000" w:themeColor="text1"/>
                <w:sz w:val="16"/>
                <w:szCs w:val="16"/>
              </w:rPr>
              <w:t>100,4</w:t>
            </w:r>
          </w:p>
        </w:tc>
        <w:tc>
          <w:tcPr>
            <w:tcW w:w="907" w:type="dxa"/>
            <w:vAlign w:val="center"/>
          </w:tcPr>
          <w:p w14:paraId="43498C4C" w14:textId="6980D8F3" w:rsidR="006364A8" w:rsidRDefault="006364A8" w:rsidP="006364A8">
            <w:pPr>
              <w:jc w:val="right"/>
              <w:rPr>
                <w:rFonts w:cs="Arial"/>
                <w:color w:val="000000" w:themeColor="text1"/>
                <w:sz w:val="16"/>
                <w:szCs w:val="16"/>
              </w:rPr>
            </w:pPr>
            <w:r>
              <w:rPr>
                <w:rFonts w:cs="Arial"/>
                <w:color w:val="000000" w:themeColor="text1"/>
                <w:sz w:val="16"/>
                <w:szCs w:val="16"/>
              </w:rPr>
              <w:t>103,1</w:t>
            </w:r>
          </w:p>
        </w:tc>
        <w:tc>
          <w:tcPr>
            <w:tcW w:w="908" w:type="dxa"/>
            <w:vAlign w:val="center"/>
          </w:tcPr>
          <w:p w14:paraId="77981DA4" w14:textId="6D1DD68A" w:rsidR="006364A8" w:rsidRPr="00770DB6" w:rsidRDefault="006364A8" w:rsidP="006364A8">
            <w:pPr>
              <w:jc w:val="right"/>
              <w:rPr>
                <w:rFonts w:cs="Arial"/>
                <w:color w:val="000000" w:themeColor="text1"/>
                <w:sz w:val="16"/>
                <w:szCs w:val="16"/>
              </w:rPr>
            </w:pPr>
            <w:r>
              <w:rPr>
                <w:rFonts w:cs="Arial"/>
                <w:color w:val="000000" w:themeColor="text1"/>
                <w:sz w:val="16"/>
                <w:szCs w:val="16"/>
              </w:rPr>
              <w:t>103,1</w:t>
            </w:r>
          </w:p>
        </w:tc>
      </w:tr>
      <w:tr w:rsidR="006364A8" w:rsidRPr="00A6799C" w14:paraId="19E41E4D" w14:textId="77777777" w:rsidTr="004D28F4">
        <w:tc>
          <w:tcPr>
            <w:tcW w:w="2193" w:type="dxa"/>
          </w:tcPr>
          <w:p w14:paraId="623E9931" w14:textId="77777777" w:rsidR="006364A8" w:rsidRPr="007A5D6D" w:rsidRDefault="006364A8" w:rsidP="006364A8">
            <w:pPr>
              <w:rPr>
                <w:sz w:val="16"/>
                <w:szCs w:val="16"/>
                <w:shd w:val="clear" w:color="auto" w:fill="FFFFFF"/>
              </w:rPr>
            </w:pPr>
            <w:r w:rsidRPr="007A5D6D">
              <w:rPr>
                <w:color w:val="000000" w:themeColor="text1"/>
                <w:sz w:val="16"/>
                <w:szCs w:val="16"/>
              </w:rPr>
              <w:t>Budowa obiektów inżynierii lądowej i</w:t>
            </w:r>
            <w:r>
              <w:rPr>
                <w:color w:val="000000" w:themeColor="text1"/>
                <w:sz w:val="16"/>
                <w:szCs w:val="16"/>
              </w:rPr>
              <w:t> </w:t>
            </w:r>
            <w:proofErr w:type="spellStart"/>
            <w:r w:rsidRPr="007A5D6D">
              <w:rPr>
                <w:color w:val="000000" w:themeColor="text1"/>
                <w:sz w:val="16"/>
                <w:szCs w:val="16"/>
              </w:rPr>
              <w:t>wodnej</w:t>
            </w:r>
            <w:r w:rsidRPr="008525F0">
              <w:rPr>
                <w:rFonts w:cstheme="majorBidi"/>
                <w:color w:val="000000" w:themeColor="text1"/>
                <w:sz w:val="16"/>
                <w:szCs w:val="16"/>
                <w:vertAlign w:val="superscript"/>
              </w:rPr>
              <w:t>a</w:t>
            </w:r>
            <w:proofErr w:type="spellEnd"/>
          </w:p>
        </w:tc>
        <w:tc>
          <w:tcPr>
            <w:tcW w:w="907" w:type="dxa"/>
            <w:shd w:val="clear" w:color="auto" w:fill="auto"/>
            <w:vAlign w:val="center"/>
          </w:tcPr>
          <w:p w14:paraId="1687DDF2" w14:textId="2A10EA0B" w:rsidR="006364A8" w:rsidRPr="00770DB6" w:rsidRDefault="006364A8" w:rsidP="006364A8">
            <w:pPr>
              <w:jc w:val="right"/>
              <w:rPr>
                <w:rFonts w:cs="Arial"/>
                <w:color w:val="000000" w:themeColor="text1"/>
                <w:sz w:val="16"/>
                <w:szCs w:val="16"/>
              </w:rPr>
            </w:pPr>
            <w:r>
              <w:rPr>
                <w:rFonts w:cs="Arial"/>
                <w:color w:val="000000" w:themeColor="text1"/>
                <w:sz w:val="16"/>
                <w:szCs w:val="16"/>
              </w:rPr>
              <w:t>100,7*</w:t>
            </w:r>
          </w:p>
        </w:tc>
        <w:tc>
          <w:tcPr>
            <w:tcW w:w="907" w:type="dxa"/>
            <w:vAlign w:val="center"/>
          </w:tcPr>
          <w:p w14:paraId="755A4B07" w14:textId="78EC4FB5" w:rsidR="006364A8" w:rsidRPr="00770DB6" w:rsidRDefault="006364A8" w:rsidP="006364A8">
            <w:pPr>
              <w:jc w:val="right"/>
              <w:rPr>
                <w:rFonts w:cs="Arial"/>
                <w:color w:val="000000" w:themeColor="text1"/>
                <w:sz w:val="16"/>
                <w:szCs w:val="16"/>
              </w:rPr>
            </w:pPr>
            <w:r>
              <w:rPr>
                <w:rFonts w:cs="Arial"/>
                <w:color w:val="000000" w:themeColor="text1"/>
                <w:sz w:val="16"/>
                <w:szCs w:val="16"/>
              </w:rPr>
              <w:t>102,9*</w:t>
            </w:r>
          </w:p>
        </w:tc>
        <w:tc>
          <w:tcPr>
            <w:tcW w:w="907" w:type="dxa"/>
            <w:vAlign w:val="center"/>
          </w:tcPr>
          <w:p w14:paraId="23FD3BA3" w14:textId="29BF409C" w:rsidR="006364A8" w:rsidRPr="00770DB6" w:rsidRDefault="006364A8" w:rsidP="006364A8">
            <w:pPr>
              <w:jc w:val="right"/>
              <w:rPr>
                <w:rFonts w:cs="Arial"/>
                <w:color w:val="000000" w:themeColor="text1"/>
                <w:sz w:val="16"/>
                <w:szCs w:val="16"/>
              </w:rPr>
            </w:pPr>
            <w:r>
              <w:rPr>
                <w:rFonts w:cs="Arial"/>
                <w:color w:val="000000" w:themeColor="text1"/>
                <w:sz w:val="16"/>
                <w:szCs w:val="16"/>
              </w:rPr>
              <w:t>103,0</w:t>
            </w:r>
          </w:p>
        </w:tc>
        <w:tc>
          <w:tcPr>
            <w:tcW w:w="907" w:type="dxa"/>
            <w:shd w:val="clear" w:color="auto" w:fill="auto"/>
            <w:vAlign w:val="center"/>
          </w:tcPr>
          <w:p w14:paraId="44E5ABDD" w14:textId="506B80D0" w:rsidR="006364A8" w:rsidRPr="00770DB6" w:rsidRDefault="006364A8" w:rsidP="006364A8">
            <w:pPr>
              <w:jc w:val="right"/>
              <w:rPr>
                <w:rFonts w:cs="Arial"/>
                <w:color w:val="000000" w:themeColor="text1"/>
                <w:sz w:val="16"/>
                <w:szCs w:val="16"/>
              </w:rPr>
            </w:pPr>
            <w:r>
              <w:rPr>
                <w:rFonts w:cs="Arial"/>
                <w:color w:val="000000" w:themeColor="text1"/>
                <w:sz w:val="16"/>
                <w:szCs w:val="16"/>
              </w:rPr>
              <w:t>100,2</w:t>
            </w:r>
          </w:p>
        </w:tc>
        <w:tc>
          <w:tcPr>
            <w:tcW w:w="907" w:type="dxa"/>
            <w:vAlign w:val="center"/>
          </w:tcPr>
          <w:p w14:paraId="39FF1A59" w14:textId="7A684B8E" w:rsidR="006364A8" w:rsidRDefault="006364A8" w:rsidP="006364A8">
            <w:pPr>
              <w:jc w:val="right"/>
              <w:rPr>
                <w:rFonts w:cs="Arial"/>
                <w:color w:val="000000" w:themeColor="text1"/>
                <w:sz w:val="16"/>
                <w:szCs w:val="16"/>
              </w:rPr>
            </w:pPr>
            <w:r>
              <w:rPr>
                <w:rFonts w:cs="Arial"/>
                <w:color w:val="000000" w:themeColor="text1"/>
                <w:sz w:val="16"/>
                <w:szCs w:val="16"/>
              </w:rPr>
              <w:t>103,0</w:t>
            </w:r>
          </w:p>
        </w:tc>
        <w:tc>
          <w:tcPr>
            <w:tcW w:w="908" w:type="dxa"/>
            <w:shd w:val="clear" w:color="auto" w:fill="auto"/>
            <w:vAlign w:val="center"/>
          </w:tcPr>
          <w:p w14:paraId="0AA292BD" w14:textId="1B0B104C" w:rsidR="006364A8" w:rsidRPr="00770DB6" w:rsidRDefault="006364A8" w:rsidP="006364A8">
            <w:pPr>
              <w:jc w:val="right"/>
              <w:rPr>
                <w:rFonts w:cs="Arial"/>
                <w:color w:val="000000" w:themeColor="text1"/>
                <w:sz w:val="16"/>
                <w:szCs w:val="16"/>
              </w:rPr>
            </w:pPr>
            <w:r>
              <w:rPr>
                <w:rFonts w:cs="Arial"/>
                <w:color w:val="000000" w:themeColor="text1"/>
                <w:sz w:val="16"/>
                <w:szCs w:val="16"/>
              </w:rPr>
              <w:t>103,3</w:t>
            </w:r>
          </w:p>
        </w:tc>
      </w:tr>
      <w:tr w:rsidR="006364A8" w:rsidRPr="00A6799C" w14:paraId="79D71A39" w14:textId="77777777" w:rsidTr="007B4A23">
        <w:tc>
          <w:tcPr>
            <w:tcW w:w="2193" w:type="dxa"/>
          </w:tcPr>
          <w:p w14:paraId="5F6B27F1" w14:textId="77777777" w:rsidR="006364A8" w:rsidRPr="007A5D6D" w:rsidRDefault="006364A8" w:rsidP="006364A8">
            <w:pPr>
              <w:rPr>
                <w:sz w:val="16"/>
                <w:szCs w:val="16"/>
                <w:shd w:val="clear" w:color="auto" w:fill="FFFFFF"/>
              </w:rPr>
            </w:pPr>
            <w:r w:rsidRPr="007A5D6D">
              <w:rPr>
                <w:color w:val="000000" w:themeColor="text1"/>
                <w:sz w:val="16"/>
                <w:szCs w:val="16"/>
              </w:rPr>
              <w:t>Roboty budowlane specjalistyczne</w:t>
            </w:r>
          </w:p>
        </w:tc>
        <w:tc>
          <w:tcPr>
            <w:tcW w:w="907" w:type="dxa"/>
            <w:vAlign w:val="center"/>
          </w:tcPr>
          <w:p w14:paraId="2CE83CB1" w14:textId="01F2663A" w:rsidR="006364A8" w:rsidRPr="00770DB6" w:rsidRDefault="006364A8" w:rsidP="006364A8">
            <w:pPr>
              <w:jc w:val="right"/>
              <w:rPr>
                <w:rFonts w:cs="Arial"/>
                <w:color w:val="000000" w:themeColor="text1"/>
                <w:sz w:val="16"/>
                <w:szCs w:val="16"/>
              </w:rPr>
            </w:pPr>
            <w:r>
              <w:rPr>
                <w:rFonts w:cs="Arial"/>
                <w:color w:val="000000" w:themeColor="text1"/>
                <w:sz w:val="16"/>
                <w:szCs w:val="16"/>
              </w:rPr>
              <w:t>100,</w:t>
            </w:r>
            <w:r w:rsidR="00AF1127">
              <w:rPr>
                <w:rFonts w:cs="Arial"/>
                <w:color w:val="000000" w:themeColor="text1"/>
                <w:sz w:val="16"/>
                <w:szCs w:val="16"/>
              </w:rPr>
              <w:t>8*</w:t>
            </w:r>
          </w:p>
        </w:tc>
        <w:tc>
          <w:tcPr>
            <w:tcW w:w="907" w:type="dxa"/>
            <w:vAlign w:val="center"/>
          </w:tcPr>
          <w:p w14:paraId="646D1A9B" w14:textId="14B705E2" w:rsidR="006364A8" w:rsidRPr="00770DB6" w:rsidRDefault="006364A8" w:rsidP="006364A8">
            <w:pPr>
              <w:jc w:val="right"/>
              <w:rPr>
                <w:rFonts w:cs="Arial"/>
                <w:color w:val="000000" w:themeColor="text1"/>
                <w:sz w:val="16"/>
                <w:szCs w:val="16"/>
              </w:rPr>
            </w:pPr>
            <w:r>
              <w:rPr>
                <w:rFonts w:cs="Arial"/>
                <w:color w:val="000000" w:themeColor="text1"/>
                <w:sz w:val="16"/>
                <w:szCs w:val="16"/>
              </w:rPr>
              <w:t>102,</w:t>
            </w:r>
            <w:r w:rsidR="00AF1127">
              <w:rPr>
                <w:rFonts w:cs="Arial"/>
                <w:color w:val="000000" w:themeColor="text1"/>
                <w:sz w:val="16"/>
                <w:szCs w:val="16"/>
              </w:rPr>
              <w:t>8*</w:t>
            </w:r>
          </w:p>
        </w:tc>
        <w:tc>
          <w:tcPr>
            <w:tcW w:w="907" w:type="dxa"/>
            <w:vAlign w:val="center"/>
          </w:tcPr>
          <w:p w14:paraId="48A29103" w14:textId="5C89A3DC" w:rsidR="006364A8" w:rsidRPr="00770DB6" w:rsidRDefault="00AF1127" w:rsidP="006364A8">
            <w:pPr>
              <w:jc w:val="right"/>
              <w:rPr>
                <w:rFonts w:cs="Arial"/>
                <w:color w:val="000000" w:themeColor="text1"/>
                <w:sz w:val="16"/>
                <w:szCs w:val="16"/>
              </w:rPr>
            </w:pPr>
            <w:r>
              <w:rPr>
                <w:rFonts w:cs="Arial"/>
                <w:color w:val="000000" w:themeColor="text1"/>
                <w:sz w:val="16"/>
                <w:szCs w:val="16"/>
              </w:rPr>
              <w:t>103,2</w:t>
            </w:r>
          </w:p>
        </w:tc>
        <w:tc>
          <w:tcPr>
            <w:tcW w:w="907" w:type="dxa"/>
            <w:vAlign w:val="center"/>
          </w:tcPr>
          <w:p w14:paraId="1FA1FEBA" w14:textId="25D375BC" w:rsidR="006364A8" w:rsidRPr="00770DB6" w:rsidRDefault="00AF1127" w:rsidP="006364A8">
            <w:pPr>
              <w:jc w:val="right"/>
              <w:rPr>
                <w:rFonts w:cs="Arial"/>
                <w:color w:val="000000" w:themeColor="text1"/>
                <w:sz w:val="16"/>
                <w:szCs w:val="16"/>
              </w:rPr>
            </w:pPr>
            <w:r>
              <w:rPr>
                <w:rFonts w:cs="Arial"/>
                <w:color w:val="000000" w:themeColor="text1"/>
                <w:sz w:val="16"/>
                <w:szCs w:val="16"/>
              </w:rPr>
              <w:t>100,4</w:t>
            </w:r>
          </w:p>
        </w:tc>
        <w:tc>
          <w:tcPr>
            <w:tcW w:w="907" w:type="dxa"/>
            <w:vAlign w:val="center"/>
          </w:tcPr>
          <w:p w14:paraId="24B5E8DC" w14:textId="06609224" w:rsidR="006364A8" w:rsidRDefault="00AF1127" w:rsidP="006364A8">
            <w:pPr>
              <w:jc w:val="right"/>
              <w:rPr>
                <w:rFonts w:cs="Arial"/>
                <w:color w:val="000000" w:themeColor="text1"/>
                <w:sz w:val="16"/>
                <w:szCs w:val="16"/>
              </w:rPr>
            </w:pPr>
            <w:r>
              <w:rPr>
                <w:rFonts w:cs="Arial"/>
                <w:color w:val="000000" w:themeColor="text1"/>
                <w:sz w:val="16"/>
                <w:szCs w:val="16"/>
              </w:rPr>
              <w:t>102,8</w:t>
            </w:r>
          </w:p>
        </w:tc>
        <w:tc>
          <w:tcPr>
            <w:tcW w:w="908" w:type="dxa"/>
            <w:shd w:val="clear" w:color="auto" w:fill="auto"/>
            <w:vAlign w:val="center"/>
          </w:tcPr>
          <w:p w14:paraId="71B2F7BE" w14:textId="7DB3144E" w:rsidR="006364A8" w:rsidRPr="00770DB6" w:rsidRDefault="00AF1127" w:rsidP="006364A8">
            <w:pPr>
              <w:jc w:val="right"/>
              <w:rPr>
                <w:rFonts w:cs="Arial"/>
                <w:color w:val="000000" w:themeColor="text1"/>
                <w:sz w:val="16"/>
                <w:szCs w:val="16"/>
              </w:rPr>
            </w:pPr>
            <w:r>
              <w:rPr>
                <w:rFonts w:cs="Arial"/>
                <w:color w:val="000000" w:themeColor="text1"/>
                <w:sz w:val="16"/>
                <w:szCs w:val="16"/>
              </w:rPr>
              <w:t>103,1</w:t>
            </w:r>
          </w:p>
        </w:tc>
      </w:tr>
    </w:tbl>
    <w:p w14:paraId="4C15F39E" w14:textId="77777777" w:rsidR="00003BD1" w:rsidRDefault="00003BD1" w:rsidP="00967374">
      <w:pPr>
        <w:rPr>
          <w:b/>
          <w:shd w:val="clear" w:color="auto" w:fill="FFFFFF"/>
        </w:rPr>
      </w:pPr>
    </w:p>
    <w:p w14:paraId="012FD86F" w14:textId="77777777" w:rsidR="001578AB" w:rsidRPr="006E7CDD" w:rsidRDefault="00B0698C" w:rsidP="00DF4DB7">
      <w:pPr>
        <w:pStyle w:val="Przypis"/>
        <w:rPr>
          <w:lang w:val="pl-PL"/>
        </w:rPr>
      </w:pPr>
      <w:r w:rsidRPr="00532A18">
        <w:rPr>
          <w:lang w:val="pl-PL"/>
        </w:rPr>
        <w:t>a</w:t>
      </w:r>
      <w:r w:rsidR="001578AB" w:rsidRPr="006E7CDD">
        <w:rPr>
          <w:lang w:val="pl-PL"/>
        </w:rPr>
        <w:t xml:space="preserve"> Nazwa skrócona według PKD 2007</w:t>
      </w:r>
      <w:r w:rsidR="00822DE1">
        <w:rPr>
          <w:lang w:val="pl-PL"/>
        </w:rPr>
        <w:t>.</w:t>
      </w:r>
    </w:p>
    <w:p w14:paraId="238EBA3F" w14:textId="77777777" w:rsidR="001578AB" w:rsidRPr="006E7CDD" w:rsidRDefault="001578AB" w:rsidP="00DF4DB7">
      <w:pPr>
        <w:pStyle w:val="Przypis"/>
        <w:rPr>
          <w:lang w:val="pl-PL"/>
        </w:rPr>
      </w:pPr>
      <w:r w:rsidRPr="006E7CDD">
        <w:rPr>
          <w:lang w:val="pl-PL"/>
        </w:rPr>
        <w:t>* Dane zmienione w stosunku do wcześniej opublikowanych.</w:t>
      </w:r>
    </w:p>
    <w:p w14:paraId="358BC4E7" w14:textId="77777777" w:rsidR="001578AB" w:rsidRDefault="001578AB" w:rsidP="00966C9A">
      <w:pPr>
        <w:pStyle w:val="Tablicanotka"/>
      </w:pPr>
    </w:p>
    <w:p w14:paraId="4E0D91DE" w14:textId="77777777" w:rsidR="001578AB" w:rsidRDefault="001578AB" w:rsidP="00966C9A">
      <w:pPr>
        <w:pStyle w:val="Tablicanotka"/>
      </w:pPr>
    </w:p>
    <w:p w14:paraId="79A1DFCA" w14:textId="77777777" w:rsidR="003977D0" w:rsidRDefault="003977D0" w:rsidP="00966C9A">
      <w:pPr>
        <w:pStyle w:val="Tablicanotka"/>
      </w:pPr>
    </w:p>
    <w:p w14:paraId="52134909" w14:textId="77777777" w:rsidR="00BE0759" w:rsidRDefault="00BE0759" w:rsidP="00966C9A">
      <w:pPr>
        <w:pStyle w:val="Tablicanotka"/>
      </w:pPr>
    </w:p>
    <w:p w14:paraId="48E5B376" w14:textId="77777777" w:rsidR="001578AB" w:rsidRPr="00094D3C" w:rsidRDefault="00C2119C" w:rsidP="00094D3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 xml:space="preserve">Wykres 1. Zmiany cen produkcji budowlano-montażowej </w:t>
      </w:r>
      <w:r w:rsidR="004A7566">
        <w:rPr>
          <w:rFonts w:ascii="Fira Sans SemiBold" w:eastAsia="Times New Roman" w:hAnsi="Fira Sans SemiBold" w:cs="Times New Roman"/>
          <w:b/>
          <w:bCs/>
          <w:noProof/>
          <w:sz w:val="18"/>
          <w:szCs w:val="18"/>
          <w:lang w:eastAsia="pl-PL"/>
        </w:rPr>
        <w:t>w stosunku do poprzedniego miesiąc</w:t>
      </w:r>
      <w:r w:rsidR="00094D3C">
        <w:rPr>
          <w:rFonts w:ascii="Fira Sans SemiBold" w:eastAsia="Times New Roman" w:hAnsi="Fira Sans SemiBold" w:cs="Times New Roman"/>
          <w:b/>
          <w:bCs/>
          <w:noProof/>
          <w:sz w:val="18"/>
          <w:szCs w:val="18"/>
          <w:lang w:eastAsia="pl-PL"/>
        </w:rPr>
        <w:t>a</w:t>
      </w:r>
    </w:p>
    <w:p w14:paraId="2F22A3DD" w14:textId="77777777" w:rsidR="001578AB" w:rsidRDefault="007B4A23"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131D4C3A" wp14:editId="4D8DB23E">
                <wp:simplePos x="0" y="0"/>
                <wp:positionH relativeFrom="page">
                  <wp:posOffset>5707380</wp:posOffset>
                </wp:positionH>
                <wp:positionV relativeFrom="paragraph">
                  <wp:posOffset>302895</wp:posOffset>
                </wp:positionV>
                <wp:extent cx="1841500" cy="1135380"/>
                <wp:effectExtent l="0" t="0" r="0" b="7620"/>
                <wp:wrapNone/>
                <wp:docPr id="25" name="Pole tekstowe 25" descr="Ceny produkcji budowlano-montażowej w listopadzie 2025 r. wzrosły o 0,3% w stosunku do notowanych w poprzednim miesiącu">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txBox="1"/>
                      <wps:spPr>
                        <a:xfrm>
                          <a:off x="0" y="0"/>
                          <a:ext cx="1841500" cy="1135380"/>
                        </a:xfrm>
                        <a:prstGeom prst="rect">
                          <a:avLst/>
                        </a:prstGeom>
                        <a:noFill/>
                        <a:ln w="6350">
                          <a:noFill/>
                        </a:ln>
                        <a:effectLst/>
                      </wps:spPr>
                      <wps:txbx>
                        <w:txbxContent>
                          <w:p w14:paraId="644678E7" w14:textId="31B11390" w:rsidR="001578AB" w:rsidRPr="00E15CF4" w:rsidRDefault="00207EFC" w:rsidP="00E40475">
                            <w:pPr>
                              <w:pStyle w:val="tekstzboku"/>
                              <w:rPr>
                                <w:strike/>
                              </w:rPr>
                            </w:pPr>
                            <w:r>
                              <w:t xml:space="preserve">Ceny produkcji budowlano-montażowej </w:t>
                            </w:r>
                            <w:r w:rsidR="004421EA">
                              <w:t xml:space="preserve">w </w:t>
                            </w:r>
                            <w:r w:rsidR="00AF1127">
                              <w:t>listopadzie</w:t>
                            </w:r>
                            <w:r>
                              <w:t xml:space="preserve"> 2025</w:t>
                            </w:r>
                            <w:r w:rsidR="00954022">
                              <w:t> </w:t>
                            </w:r>
                            <w:r w:rsidRPr="00BB423E">
                              <w:t>r</w:t>
                            </w:r>
                            <w:r w:rsidR="00CE2FAC">
                              <w:t>.</w:t>
                            </w:r>
                            <w:r w:rsidRPr="00413BA4">
                              <w:t xml:space="preserve"> </w:t>
                            </w:r>
                            <w:r w:rsidR="00255C26">
                              <w:t>wzrosły o 0,</w:t>
                            </w:r>
                            <w:r w:rsidR="00AF1127">
                              <w:t>3</w:t>
                            </w:r>
                            <w:r w:rsidR="00255C26">
                              <w:t xml:space="preserve">% </w:t>
                            </w:r>
                            <w:r w:rsidR="00E624FB">
                              <w:t xml:space="preserve">w stosunku </w:t>
                            </w:r>
                            <w:r w:rsidR="00330A94">
                              <w:t>do notowanych w poprzednim miesiącu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D4C3A" id="_x0000_t202" coordsize="21600,21600" o:spt="202" path="m,l,21600r21600,l21600,xe">
                <v:stroke joinstyle="miter"/>
                <v:path gradientshapeok="t" o:connecttype="rect"/>
              </v:shapetype>
              <v:shape id="Pole tekstowe 25" o:spid="_x0000_s1027" type="#_x0000_t202" alt="Ceny produkcji budowlano-montażowej w listopadzie 2025 r. wzrosły o 0,3% w stosunku do notowanych w poprzednim miesiącu" style="position:absolute;margin-left:449.4pt;margin-top:23.85pt;width:145pt;height:89.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Qv/QIAALAFAAAOAAAAZHJzL2Uyb0RvYy54bWysVM1u2zAMvg/YOwgCdltiO/8N6hRJugwD&#10;irZAO/SsyHKj1RY1SY6dDLsM2FvtuL7XKOWnRbfDMOxgmRIpivz4kadnTVmQtTBWgkpp0o4pEYpD&#10;JtV9Sj/eLlojSqxjKmMFKJHSjbD0bPL61Wmtx6IDKygyYQg6UXZc65SunNPjKLJ8JUpm26CFQmUO&#10;pmQOt+Y+ygyr0XtZRJ04HkQ1mEwb4MJaPD3fKekk+M9zwd1VnlvhSJFSjM2F1YR16ddocsrG94bp&#10;leT7MNg/RFEyqfDRo6tz5hipjPzNVSm5AQu5a3MoI8hzyUXIAbNJ4hfZ3KyYFiEXBMfqI0z2/7nl&#10;l+trQ2SW0k6fEsVKrNE1FII48WAd1IL480xYjqDNhdoQBDurHvgnSZZVBnXBFLRKUI49/kDzT6Qm&#10;hcSbmmVbibfjTp+YNqm3mPbjtw0BEr/tvkErtLGVeqhIBkQBPsXUhq9QoUGbrciULEkphZU/v/Mq&#10;YCsad2GdRxmlHbpf5smoez5cDFqz3smo1evOuq2T3mjWSoad0azfmU4H73pf/e1M8DF+YJiTa3Eo&#10;NZ78HZZ71vkqDaMnP5SsWWAW8igKcR3+IdKo1nYcIPaEDOKNRrxdM4MG28XTz59bPPR5Nbkp/R95&#10;QVCPhN0cSepz5v7SqJf0Y1Rx1CVJt98dBRrj84fr2lj3XkCJtbLIeINdEABka4xqF+nBxL+mYCGL&#10;InRCoUid0kG3H4cLRw06L5S3FaGn9m6eQveSa5ZNYNIxrSVkG8zWwK7trOYLiRFdMOuumcE+wyxw&#10;drgrXPIC8GXYS5SswGz/dO7tsWSopaTGvk2p/VwxIygpPihsjJOk1/ONHja9/rCDG/Ncs3yuUVU5&#10;ByxgglNK8yB6e1ccxNxAeYcjZupfRRVTHN9OqTuIc7ebJjiiuJhOgxG2tmbuQt1oZFcSkPR43zZ3&#10;zOh9URzW8xIOHc7GL2qzs91VZ1o5yGUonMd5hyryzG9wLATG7UeYnzvP98HqadBOfgEAAP//AwBQ&#10;SwMEFAAGAAgAAAAhANOxx7ziAAAACwEAAA8AAABkcnMvZG93bnJldi54bWxMj81OwzAQhO9IvIO1&#10;SNyo04i2JsSpqkgVEoJDSy/cNvE2ifBPiN028PQ4p3Lc2dHMN/l6NJqdafCdsxLmswQY2dqpzjYS&#10;Dh/bBwHMB7QKtbMk4Yc8rIvbmxwz5S52R+d9aFgMsT5DCW0Ifca5r1sy6GeuJxt/RzcYDPEcGq4G&#10;vMRwo3maJEtusLOxocWeypbqr/3JSHgtt++4q1IjfnX58nbc9N+Hz4WU93fj5hlYoDFczTDhR3Qo&#10;IlPlTlZ5piWIJxHRg4TH1QrYZJiLSakkpOlyAbzI+f8NxR8AAAD//wMAUEsBAi0AFAAGAAgAAAAh&#10;ALaDOJL+AAAA4QEAABMAAAAAAAAAAAAAAAAAAAAAAFtDb250ZW50X1R5cGVzXS54bWxQSwECLQAU&#10;AAYACAAAACEAOP0h/9YAAACUAQAACwAAAAAAAAAAAAAAAAAvAQAAX3JlbHMvLnJlbHNQSwECLQAU&#10;AAYACAAAACEAPP+kL/0CAACwBQAADgAAAAAAAAAAAAAAAAAuAgAAZHJzL2Uyb0RvYy54bWxQSwEC&#10;LQAUAAYACAAAACEA07HHvOIAAAALAQAADwAAAAAAAAAAAAAAAABXBQAAZHJzL2Rvd25yZXYueG1s&#10;UEsFBgAAAAAEAAQA8wAAAGYGAAAAAA==&#10;" filled="f" stroked="f" strokeweight=".5pt">
                <v:textbox>
                  <w:txbxContent>
                    <w:p w14:paraId="644678E7" w14:textId="31B11390" w:rsidR="001578AB" w:rsidRPr="00E15CF4" w:rsidRDefault="00207EFC" w:rsidP="00E40475">
                      <w:pPr>
                        <w:pStyle w:val="tekstzboku"/>
                        <w:rPr>
                          <w:strike/>
                        </w:rPr>
                      </w:pPr>
                      <w:r>
                        <w:t xml:space="preserve">Ceny produkcji budowlano-montażowej </w:t>
                      </w:r>
                      <w:r w:rsidR="004421EA">
                        <w:t xml:space="preserve">w </w:t>
                      </w:r>
                      <w:r w:rsidR="00AF1127">
                        <w:t>listopadzie</w:t>
                      </w:r>
                      <w:r>
                        <w:t xml:space="preserve"> 2025</w:t>
                      </w:r>
                      <w:r w:rsidR="00954022">
                        <w:t> </w:t>
                      </w:r>
                      <w:r w:rsidRPr="00BB423E">
                        <w:t>r</w:t>
                      </w:r>
                      <w:r w:rsidR="00CE2FAC">
                        <w:t>.</w:t>
                      </w:r>
                      <w:r w:rsidRPr="00413BA4">
                        <w:t xml:space="preserve"> </w:t>
                      </w:r>
                      <w:r w:rsidR="00255C26">
                        <w:t>wzrosły o 0,</w:t>
                      </w:r>
                      <w:r w:rsidR="00AF1127">
                        <w:t>3</w:t>
                      </w:r>
                      <w:r w:rsidR="00255C26">
                        <w:t xml:space="preserve">% </w:t>
                      </w:r>
                      <w:r w:rsidR="00E624FB">
                        <w:t xml:space="preserve">w stosunku </w:t>
                      </w:r>
                      <w:r w:rsidR="00330A94">
                        <w:t>do notowanych w poprzednim miesiącu</w:t>
                      </w:r>
                    </w:p>
                  </w:txbxContent>
                </v:textbox>
                <w10:wrap anchorx="page"/>
              </v:shape>
            </w:pict>
          </mc:Fallback>
        </mc:AlternateContent>
      </w:r>
    </w:p>
    <w:p w14:paraId="5EF521A3" w14:textId="77777777" w:rsidR="00664AFD" w:rsidRPr="005B4590" w:rsidRDefault="00FD49C0" w:rsidP="005B4590">
      <w:pPr>
        <w:pStyle w:val="Tablicanotka"/>
      </w:pPr>
      <w:r>
        <w:rPr>
          <w:rFonts w:ascii="Fira Sans SemiBold" w:eastAsia="Times New Roman" w:hAnsi="Fira Sans SemiBold" w:cs="Times New Roman"/>
          <w:b/>
          <w:bCs/>
          <w:sz w:val="18"/>
          <w:szCs w:val="18"/>
          <w:lang w:eastAsia="pl-PL"/>
        </w:rPr>
        <w:drawing>
          <wp:anchor distT="0" distB="0" distL="114300" distR="114300" simplePos="0" relativeHeight="251942912" behindDoc="0" locked="0" layoutInCell="1" allowOverlap="1" wp14:anchorId="76B362D4" wp14:editId="5E221E3A">
            <wp:simplePos x="0" y="0"/>
            <wp:positionH relativeFrom="margin">
              <wp:posOffset>0</wp:posOffset>
            </wp:positionH>
            <wp:positionV relativeFrom="paragraph">
              <wp:posOffset>228600</wp:posOffset>
            </wp:positionV>
            <wp:extent cx="5122545" cy="2912745"/>
            <wp:effectExtent l="0" t="0" r="0" b="0"/>
            <wp:wrapTopAndBottom/>
            <wp:docPr id="3" name="Wykres 3" descr="Wykres 1. Zmiany cen produkcji budowlano-montażowej &#10;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14:paraId="7D184792" w14:textId="77777777" w:rsidR="005B4590" w:rsidRPr="005B4590" w:rsidRDefault="005B4590" w:rsidP="005B4590">
      <w:pPr>
        <w:pStyle w:val="Tablicanotka"/>
      </w:pPr>
    </w:p>
    <w:p w14:paraId="277EB8AE" w14:textId="77777777" w:rsidR="006E7CDD" w:rsidRPr="005B4590" w:rsidRDefault="006E7CDD" w:rsidP="005B4590">
      <w:pPr>
        <w:pStyle w:val="Tablicanotka"/>
      </w:pPr>
    </w:p>
    <w:p w14:paraId="437FC2CD" w14:textId="77777777" w:rsidR="00DE4A46" w:rsidRDefault="001E038C" w:rsidP="00094D3C">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5F641D8A" wp14:editId="7E2410E2">
                <wp:simplePos x="0" y="0"/>
                <wp:positionH relativeFrom="page">
                  <wp:posOffset>5825613</wp:posOffset>
                </wp:positionH>
                <wp:positionV relativeFrom="paragraph">
                  <wp:posOffset>1197630</wp:posOffset>
                </wp:positionV>
                <wp:extent cx="1684020" cy="943897"/>
                <wp:effectExtent l="0" t="0" r="0" b="0"/>
                <wp:wrapNone/>
                <wp:docPr id="15" name="Pole tekstowe 15" descr="W listopadzie 2025 r. wzrost cen produkcji budowlano-montażowej &#10;w skali roku wyniósł 3,1%&#10;"/>
                <wp:cNvGraphicFramePr/>
                <a:graphic xmlns:a="http://schemas.openxmlformats.org/drawingml/2006/main">
                  <a:graphicData uri="http://schemas.microsoft.com/office/word/2010/wordprocessingShape">
                    <wps:wsp>
                      <wps:cNvSpPr txBox="1"/>
                      <wps:spPr>
                        <a:xfrm>
                          <a:off x="0" y="0"/>
                          <a:ext cx="1684020" cy="943897"/>
                        </a:xfrm>
                        <a:prstGeom prst="rect">
                          <a:avLst/>
                        </a:prstGeom>
                        <a:noFill/>
                        <a:ln w="6350">
                          <a:noFill/>
                        </a:ln>
                        <a:effectLst/>
                      </wps:spPr>
                      <wps:txbx>
                        <w:txbxContent>
                          <w:p w14:paraId="55E67EA2" w14:textId="66056524" w:rsidR="00BB1006" w:rsidRDefault="00255C26" w:rsidP="00BB1006">
                            <w:pPr>
                              <w:pStyle w:val="tekstzboku"/>
                            </w:pPr>
                            <w:r w:rsidRPr="00255C26">
                              <w:rPr>
                                <w:bCs w:val="0"/>
                              </w:rPr>
                              <w:t xml:space="preserve">W </w:t>
                            </w:r>
                            <w:r w:rsidR="008B11CC">
                              <w:rPr>
                                <w:bCs w:val="0"/>
                              </w:rPr>
                              <w:t>listopadzie</w:t>
                            </w:r>
                            <w:r w:rsidRPr="00255C26">
                              <w:rPr>
                                <w:bCs w:val="0"/>
                              </w:rPr>
                              <w:t xml:space="preserve"> 2025 r. wzrost cen produkcji budowlano-montażowej </w:t>
                            </w:r>
                            <w:r>
                              <w:rPr>
                                <w:bCs w:val="0"/>
                              </w:rPr>
                              <w:br/>
                            </w:r>
                            <w:r w:rsidRPr="00255C26">
                              <w:rPr>
                                <w:bCs w:val="0"/>
                              </w:rPr>
                              <w:t xml:space="preserve">w skali roku wyniósł </w:t>
                            </w:r>
                            <w:r w:rsidR="00AF1127">
                              <w:rPr>
                                <w:bCs w:val="0"/>
                              </w:rPr>
                              <w:t>3,1</w:t>
                            </w:r>
                            <w:r w:rsidRPr="00255C26">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1D8A" id="Pole tekstowe 15" o:spid="_x0000_s1028" type="#_x0000_t202" alt="W listopadzie 2025 r. wzrost cen produkcji budowlano-montażowej &#10;w skali roku wyniósł 3,1%&#10;" style="position:absolute;left:0;text-align:left;margin-left:458.7pt;margin-top:94.3pt;width:132.6pt;height:74.3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4MJlwIAANwEAAAOAAAAZHJzL2Uyb0RvYy54bWysVE1PGzEQvVfqfxi5ak8luwkJHykblFJR&#10;VUKABBVnx+slJl6PazvshmP/Uq+9Vfyvjr1JQLSnqhevPTN+npk3b4+O21rDvXReoSlYv5czkEZg&#10;qcxtwb5en+4cMPCBm5JrNLJgK+nZ8eT1q6PGjuUA56hL6YBAjB83tmDzEOw4y7yYy5r7HlppyFmh&#10;q3mgo7vNSscbQq91NsjzvaxBV1qHQnpP1k+dk00SflVJES6qyssAumCUW0irS+ssrtnkiI9vHbdz&#10;JdZp8H/IoubK0KNbqE88cFg69QdUrYRDj1XoCawzrColZKqBqunnL6q5mnMrUy3UHG+3bfL/D1ac&#10;3186UCVxN2JgeE0cXaKWEOTCB2wkRHspvaCm3YBWZLS8fFASBvlgBK4HzQNVFEBIA0REuVyIOwWz&#10;ZYmN5gZ3ajSBP/4kqDt496adfmjAL7hW4HCxhGZl1K8f/vE77L7vv03+yElj/ZhSu7KUXGg/Ykv5&#10;beyejLHVbeXq+KUmAvmJ3dWWUdlSQvHS3sEwH5BLkO9wuHtwuB9hsqfb1vnwWWJNuXuaDkcTk4jk&#10;92c+dKGbkPiYwVOldZoabaAp2N7uKE8Xth4C1ybGyjR/a5hYUZd53IV21qauDzZVzbBcUbEOuxH1&#10;VpwqyuiM+3DJHc0kFUE6Cxe0VBrpZVzvGMzRPfzNHuNpVMjLoKEZL5j/tuROMtBfDA3RYX84JNiQ&#10;DsPRfmyUe+6ZPfeYZX2CJKM+KdqKtI3xQW+2lcP6huQ4ja+SixtBbxcsbLYnoVMeyVnI6TQFkQws&#10;D2fmyooIHfsW+33d3nBn16QEovMcN2rg4xfcdLEdO9NlwEol4mKfu64S4fFAEkrUr+UeNfr8nKKe&#10;fkqT3wAAAP//AwBQSwMEFAAGAAgAAAAhAKvl61fjAAAADAEAAA8AAABkcnMvZG93bnJldi54bWxM&#10;j8FOwzAMhu9IvENkJG4sbQdbKE2nqdKEhOCwsQu3tMnaisQpTbYVnh7vBDdb/6ffn4vV5Cw7mTH0&#10;HiWkswSYwcbrHlsJ+/fNnQAWokKtrEcj4dsEWJXXV4XKtT/j1px2sWVUgiFXEroYh5zz0HTGqTDz&#10;g0HKDn50KtI6tlyP6kzlzvIsSRbcqR7pQqcGU3Wm+dwdnYSXavOmtnXmxI+tnl8P6+Fr//Eg5e3N&#10;tH4CFs0U/2C46JM6lORU+yPqwKyEx3R5TygFQiyAXYhUZDTVEubzZQa8LPj/J8pfAAAA//8DAFBL&#10;AQItABQABgAIAAAAIQC2gziS/gAAAOEBAAATAAAAAAAAAAAAAAAAAAAAAABbQ29udGVudF9UeXBl&#10;c10ueG1sUEsBAi0AFAAGAAgAAAAhADj9If/WAAAAlAEAAAsAAAAAAAAAAAAAAAAALwEAAF9yZWxz&#10;Ly5yZWxzUEsBAi0AFAAGAAgAAAAhAB0fgwmXAgAA3AQAAA4AAAAAAAAAAAAAAAAALgIAAGRycy9l&#10;Mm9Eb2MueG1sUEsBAi0AFAAGAAgAAAAhAKvl61fjAAAADAEAAA8AAAAAAAAAAAAAAAAA8QQAAGRy&#10;cy9kb3ducmV2LnhtbFBLBQYAAAAABAAEAPMAAAABBgAAAAA=&#10;" filled="f" stroked="f" strokeweight=".5pt">
                <v:textbox>
                  <w:txbxContent>
                    <w:p w14:paraId="55E67EA2" w14:textId="66056524" w:rsidR="00BB1006" w:rsidRDefault="00255C26" w:rsidP="00BB1006">
                      <w:pPr>
                        <w:pStyle w:val="tekstzboku"/>
                      </w:pPr>
                      <w:r w:rsidRPr="00255C26">
                        <w:rPr>
                          <w:bCs w:val="0"/>
                        </w:rPr>
                        <w:t xml:space="preserve">W </w:t>
                      </w:r>
                      <w:r w:rsidR="008B11CC">
                        <w:rPr>
                          <w:bCs w:val="0"/>
                        </w:rPr>
                        <w:t>listopadzie</w:t>
                      </w:r>
                      <w:r w:rsidRPr="00255C26">
                        <w:rPr>
                          <w:bCs w:val="0"/>
                        </w:rPr>
                        <w:t xml:space="preserve"> 2025 r. wzrost cen produkcji budowlano-montażowej </w:t>
                      </w:r>
                      <w:r>
                        <w:rPr>
                          <w:bCs w:val="0"/>
                        </w:rPr>
                        <w:br/>
                      </w:r>
                      <w:r w:rsidRPr="00255C26">
                        <w:rPr>
                          <w:bCs w:val="0"/>
                        </w:rPr>
                        <w:t xml:space="preserve">w skali roku wyniósł </w:t>
                      </w:r>
                      <w:r w:rsidR="00AF1127">
                        <w:rPr>
                          <w:bCs w:val="0"/>
                        </w:rPr>
                        <w:t>3,1</w:t>
                      </w:r>
                      <w:r w:rsidRPr="00255C26">
                        <w:rPr>
                          <w:bCs w:val="0"/>
                        </w:rPr>
                        <w:t>%</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 xml:space="preserve">Wykres 2. Zmiany cen produkcji budowlano-montażowej </w:t>
      </w:r>
      <w:r w:rsidR="00094D3C">
        <w:rPr>
          <w:rFonts w:ascii="Fira Sans SemiBold" w:eastAsia="Times New Roman" w:hAnsi="Fira Sans SemiBold" w:cs="Times New Roman"/>
          <w:b/>
          <w:bCs/>
          <w:noProof/>
          <w:sz w:val="18"/>
          <w:szCs w:val="18"/>
          <w:lang w:eastAsia="pl-PL"/>
        </w:rPr>
        <w:t xml:space="preserve">w stosunku do </w:t>
      </w:r>
      <w:r w:rsidR="00DE4A46" w:rsidRPr="008D0278">
        <w:rPr>
          <w:rFonts w:ascii="Fira Sans SemiBold" w:eastAsia="Times New Roman" w:hAnsi="Fira Sans SemiBold" w:cs="Times New Roman"/>
          <w:b/>
          <w:bCs/>
          <w:noProof/>
          <w:sz w:val="18"/>
          <w:szCs w:val="18"/>
          <w:lang w:eastAsia="pl-PL"/>
        </w:rPr>
        <w:t>analogiczn</w:t>
      </w:r>
      <w:r w:rsidR="00094D3C">
        <w:rPr>
          <w:rFonts w:ascii="Fira Sans SemiBold" w:eastAsia="Times New Roman" w:hAnsi="Fira Sans SemiBold" w:cs="Times New Roman"/>
          <w:b/>
          <w:bCs/>
          <w:noProof/>
          <w:sz w:val="18"/>
          <w:szCs w:val="18"/>
          <w:lang w:eastAsia="pl-PL"/>
        </w:rPr>
        <w:t>ego</w:t>
      </w:r>
      <w:r w:rsidR="00DE4A46" w:rsidRPr="008D0278">
        <w:rPr>
          <w:rFonts w:ascii="Fira Sans SemiBold" w:eastAsia="Times New Roman" w:hAnsi="Fira Sans SemiBold" w:cs="Times New Roman"/>
          <w:b/>
          <w:bCs/>
          <w:noProof/>
          <w:sz w:val="18"/>
          <w:szCs w:val="18"/>
          <w:lang w:eastAsia="pl-PL"/>
        </w:rPr>
        <w:t xml:space="preserve"> okres</w:t>
      </w:r>
      <w:r w:rsidR="00094D3C">
        <w:rPr>
          <w:rFonts w:ascii="Fira Sans SemiBold" w:eastAsia="Times New Roman" w:hAnsi="Fira Sans SemiBold" w:cs="Times New Roman"/>
          <w:b/>
          <w:bCs/>
          <w:noProof/>
          <w:sz w:val="18"/>
          <w:szCs w:val="18"/>
          <w:lang w:eastAsia="pl-PL"/>
        </w:rPr>
        <w:t>u</w:t>
      </w:r>
      <w:r w:rsidR="00DE4A46" w:rsidRPr="008D0278">
        <w:rPr>
          <w:rFonts w:ascii="Fira Sans SemiBold" w:eastAsia="Times New Roman" w:hAnsi="Fira Sans SemiBold" w:cs="Times New Roman"/>
          <w:b/>
          <w:bCs/>
          <w:noProof/>
          <w:sz w:val="18"/>
          <w:szCs w:val="18"/>
          <w:lang w:eastAsia="pl-PL"/>
        </w:rPr>
        <w:t xml:space="preserve"> roku poprzedniego</w:t>
      </w:r>
    </w:p>
    <w:p w14:paraId="17611947" w14:textId="77777777" w:rsidR="00BC7181" w:rsidRPr="00BC7181" w:rsidRDefault="0019357B">
      <w:pPr>
        <w:spacing w:before="0" w:after="160" w:line="259" w:lineRule="auto"/>
        <w:rPr>
          <w:rFonts w:ascii="Fira Sans SemiBold" w:eastAsia="Times New Roman" w:hAnsi="Fira Sans SemiBold" w:cs="Times New Roman"/>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8816" behindDoc="0" locked="0" layoutInCell="1" allowOverlap="1" wp14:anchorId="66BAE098" wp14:editId="5D4ABAFF">
            <wp:simplePos x="0" y="0"/>
            <wp:positionH relativeFrom="margin">
              <wp:align>left</wp:align>
            </wp:positionH>
            <wp:positionV relativeFrom="paragraph">
              <wp:posOffset>307272</wp:posOffset>
            </wp:positionV>
            <wp:extent cx="5122545" cy="2620645"/>
            <wp:effectExtent l="0" t="0" r="1905" b="8255"/>
            <wp:wrapTopAndBottom/>
            <wp:docPr id="16" name="Wykres 16" descr="Wykres 2. Zmiany cen produkcji budowlano-montażowej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0313745D" w14:textId="77777777" w:rsidR="00BC7181" w:rsidRPr="00BC7181" w:rsidRDefault="00BC7181">
      <w:pPr>
        <w:spacing w:before="0" w:after="160" w:line="259" w:lineRule="auto"/>
        <w:rPr>
          <w:rFonts w:ascii="Fira Sans SemiBold" w:eastAsia="Times New Roman" w:hAnsi="Fira Sans SemiBold" w:cs="Times New Roman"/>
          <w:bCs/>
          <w:noProof/>
          <w:sz w:val="18"/>
          <w:szCs w:val="18"/>
          <w:lang w:eastAsia="pl-PL"/>
        </w:rPr>
      </w:pPr>
    </w:p>
    <w:p w14:paraId="1C63D6C6"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3D332C3E" w14:textId="77777777" w:rsidR="00BB1006" w:rsidRDefault="00BB1006" w:rsidP="00D72003">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 xml:space="preserve">Wykres 3. Zmiany cen produkcji budowlano-montażowej według działów PKD </w:t>
      </w:r>
      <w:r w:rsidR="00594F52">
        <w:rPr>
          <w:rFonts w:ascii="Fira Sans SemiBold" w:eastAsia="Times New Roman" w:hAnsi="Fira Sans SemiBold" w:cs="Times New Roman"/>
          <w:b/>
          <w:bCs/>
          <w:noProof/>
          <w:sz w:val="18"/>
          <w:szCs w:val="18"/>
          <w:lang w:eastAsia="pl-PL"/>
        </w:rPr>
        <w:t>w stosunku do</w:t>
      </w:r>
      <w:r w:rsidR="00D72003">
        <w:rPr>
          <w:rFonts w:ascii="Fira Sans SemiBold" w:eastAsia="Times New Roman" w:hAnsi="Fira Sans SemiBold" w:cs="Times New Roman"/>
          <w:b/>
          <w:bCs/>
          <w:noProof/>
          <w:sz w:val="18"/>
          <w:szCs w:val="18"/>
          <w:lang w:eastAsia="pl-PL"/>
        </w:rPr>
        <w:t xml:space="preserve"> </w:t>
      </w:r>
      <w:r w:rsidR="002F4F22">
        <w:rPr>
          <w:rFonts w:ascii="Fira Sans SemiBold" w:eastAsia="Times New Roman" w:hAnsi="Fira Sans SemiBold" w:cs="Times New Roman"/>
          <w:b/>
          <w:bCs/>
          <w:noProof/>
          <w:sz w:val="18"/>
          <w:szCs w:val="18"/>
          <w:lang w:eastAsia="pl-PL"/>
        </w:rPr>
        <w:t>grud</w:t>
      </w:r>
      <w:r w:rsidR="00594F52">
        <w:rPr>
          <w:rFonts w:ascii="Fira Sans SemiBold" w:eastAsia="Times New Roman" w:hAnsi="Fira Sans SemiBold" w:cs="Times New Roman"/>
          <w:b/>
          <w:bCs/>
          <w:noProof/>
          <w:sz w:val="18"/>
          <w:szCs w:val="18"/>
          <w:lang w:eastAsia="pl-PL"/>
        </w:rPr>
        <w:t>nia</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A26D7">
        <w:rPr>
          <w:rFonts w:ascii="Fira Sans SemiBold" w:eastAsia="Times New Roman" w:hAnsi="Fira Sans SemiBold" w:cs="Times New Roman"/>
          <w:b/>
          <w:bCs/>
          <w:noProof/>
          <w:sz w:val="18"/>
          <w:szCs w:val="18"/>
          <w:lang w:eastAsia="pl-PL"/>
        </w:rPr>
        <w:t>3</w:t>
      </w:r>
      <w:r w:rsidR="00594F52">
        <w:rPr>
          <w:rFonts w:ascii="Fira Sans SemiBold" w:eastAsia="Times New Roman" w:hAnsi="Fira Sans SemiBold" w:cs="Times New Roman"/>
          <w:b/>
          <w:bCs/>
          <w:noProof/>
          <w:sz w:val="18"/>
          <w:szCs w:val="18"/>
          <w:lang w:eastAsia="pl-PL"/>
        </w:rPr>
        <w:t xml:space="preserve"> r.</w:t>
      </w:r>
    </w:p>
    <w:p w14:paraId="6F352DD9" w14:textId="77777777" w:rsidR="00664AFD" w:rsidRDefault="00CD5288" w:rsidP="005B4590">
      <w:pPr>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40864" behindDoc="0" locked="0" layoutInCell="1" allowOverlap="1" wp14:anchorId="05DD1620" wp14:editId="5E7171AA">
            <wp:simplePos x="0" y="0"/>
            <wp:positionH relativeFrom="margin">
              <wp:align>left</wp:align>
            </wp:positionH>
            <wp:positionV relativeFrom="paragraph">
              <wp:posOffset>307699</wp:posOffset>
            </wp:positionV>
            <wp:extent cx="5222875" cy="3772535"/>
            <wp:effectExtent l="0" t="0" r="0" b="0"/>
            <wp:wrapTopAndBottom/>
            <wp:docPr id="17" name="Wykres 17" descr="Wykres 3. Zmiany cen produkcji budowlano-montażowej według działów PKD w stosunku do grudnia 2023 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848D1" w:rsidRPr="00127824">
        <w:rPr>
          <w:noProof/>
          <w:lang w:eastAsia="pl-PL"/>
        </w:rPr>
        <mc:AlternateContent>
          <mc:Choice Requires="wps">
            <w:drawing>
              <wp:anchor distT="0" distB="0" distL="114300" distR="114300" simplePos="0" relativeHeight="251767808" behindDoc="0" locked="0" layoutInCell="1" allowOverlap="1" wp14:anchorId="49D4A0B1" wp14:editId="11463527">
                <wp:simplePos x="0" y="0"/>
                <wp:positionH relativeFrom="page">
                  <wp:posOffset>5715000</wp:posOffset>
                </wp:positionH>
                <wp:positionV relativeFrom="paragraph">
                  <wp:posOffset>458470</wp:posOffset>
                </wp:positionV>
                <wp:extent cx="1682750" cy="1470660"/>
                <wp:effectExtent l="0" t="0" r="0" b="0"/>
                <wp:wrapNone/>
                <wp:docPr id="13" name="Pole tekstowe 13" descr="Spośród działów budownictwa w listopadzie 2025 r. w porównaniu z grudniem 2023 r. najbardziej wzrosły ceny w dziale budowa obiektów inżynierii lądowej i wodnej (o 7,2%)"/>
                <wp:cNvGraphicFramePr/>
                <a:graphic xmlns:a="http://schemas.openxmlformats.org/drawingml/2006/main">
                  <a:graphicData uri="http://schemas.microsoft.com/office/word/2010/wordprocessingShape">
                    <wps:wsp>
                      <wps:cNvSpPr txBox="1"/>
                      <wps:spPr>
                        <a:xfrm>
                          <a:off x="0" y="0"/>
                          <a:ext cx="1682750" cy="1470660"/>
                        </a:xfrm>
                        <a:prstGeom prst="rect">
                          <a:avLst/>
                        </a:prstGeom>
                        <a:noFill/>
                        <a:ln w="6350">
                          <a:noFill/>
                        </a:ln>
                        <a:effectLst/>
                      </wps:spPr>
                      <wps:txbx>
                        <w:txbxContent>
                          <w:p w14:paraId="19A7E2DF" w14:textId="674B68B4"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AF1127">
                              <w:rPr>
                                <w:bCs w:val="0"/>
                              </w:rPr>
                              <w:t>listopadzie</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697138">
                              <w:rPr>
                                <w:bCs w:val="0"/>
                              </w:rPr>
                              <w:t>7</w:t>
                            </w:r>
                            <w:r w:rsidR="00C342EF">
                              <w:rPr>
                                <w:bCs w:val="0"/>
                              </w:rPr>
                              <w:t>,</w:t>
                            </w:r>
                            <w:r w:rsidR="00697138">
                              <w:rPr>
                                <w:bCs w:val="0"/>
                              </w:rPr>
                              <w:t>2</w:t>
                            </w:r>
                            <w:r>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A0B1" id="Pole tekstowe 13" o:spid="_x0000_s1029" type="#_x0000_t202" alt="Spośród działów budownictwa w listopadzie 2025 r. w porównaniu z grudniem 2023 r. najbardziej wzrosły ceny w dziale budowa obiektów inżynierii lądowej i wodnej (o 7,2%)" style="position:absolute;margin-left:450pt;margin-top:36.1pt;width:132.5pt;height:115.8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0zxgIAACgFAAAOAAAAZHJzL2Uyb0RvYy54bWysVM1uEzEQviPxDiNLSCBBNn9NStRNFYqK&#10;kKq2Uop69nq9idtdj7Gd7ibHSjwFj9Ert5L3YuwkbSmcEBd7PP8z34wPDpuqhBtpnUKdsk6rzUBq&#10;gbnSs5R9uTh+t8/Aea5zXqKWKVtKxw7HL18c1GYkuzjHMpcWyIl2o9qkbO69GSWJE3NZcddCIzUJ&#10;C7QV9/S0syS3vCbvVZl02+1BUqPNjUUhnSPux42QjaP/opDCnxWFkx7KlFFuPp42nlk4k/EBH80s&#10;N3Mltmnwf8ii4kpT0AdXH7nnsLDqD1eVEhYdFr4lsEqwKJSQsQaqptN+Vs10zo2MtVBznHlok/t/&#10;bsXpzbkFlRN2PQaaV4TROZYSvLx2HmsJgZ9LJ6hpU4Pr7/b+Lod8pfj69v6uhmyRY62V8DWHGkpF&#10;RoaTWEK33d0D2yKuQTKqNddqASuY2UWulayCQi8oaH6VcRtsrqBeUXvWt0sQUi/JNASibGIUDpgp&#10;ee1DWKXXP5bkxSoF5c9vlAMZK6gx10S8Rhi+7b56E+CtjRtRlVNDdfrmAzZU6o7viBlQawpbhZvw&#10;AJLToCwfhkM2HkQwGux3h3skEiTr9IftwSCOT/JobqzznyRWEIiUWZq+OBT85sR5SoVUdyohmsZj&#10;VZZxAksNdcoGPfL/m4QsSh04Ms7y1k0oaZN6oHyTNRHB3q6sDPMlVWtxM+7OiGNFGZ1w58+5pfmm&#10;Kmhn/RkdRYkUGbcUgzna1d/4QZ/GjqQMatqXlLmvC24lg/KzpoF83+n3w4LFR39v2KWHfSrJnkr0&#10;ojpCWskO/Q5GRDLo+3JHFharS1rtSYhKIq4FxU6Z35FHfrPF9DUIOZlEJVopw/2JnhoRXIe+hX5f&#10;NJfcmi0onvA8xd1m8dEzbDa6GwwmC4+FisCFPm+6SiiGB61jxHP7dYR9f/qOWo8f3PgXAAAA//8D&#10;AFBLAwQUAAYACAAAACEAc+FvF+IAAAALAQAADwAAAGRycy9kb3ducmV2LnhtbEyPzW7CMBCE75X6&#10;DtZW6q3YBEFDiINQJFSpag9QLr1t4iWJ6p80NpD26WtO9Dg7o9lv8vVoNDvT4DtnJUwnAhjZ2qnO&#10;NhIOH9unFJgPaBVqZ0nCD3lYF/d3OWbKXeyOzvvQsFhifYYS2hD6jHNft2TQT1xPNnpHNxgMUQ4N&#10;VwNeYrnRPBFiwQ12Nn5osaeypfprfzISXsvtO+6qxKS/unx5O27678PnXMrHh3GzAhZoDLcwXPEj&#10;OhSRqXInqzzTEpZCxC1BwnOSALsGpot5vFQSZmKWAi9y/n9D8QcAAP//AwBQSwECLQAUAAYACAAA&#10;ACEAtoM4kv4AAADhAQAAEwAAAAAAAAAAAAAAAAAAAAAAW0NvbnRlbnRfVHlwZXNdLnhtbFBLAQIt&#10;ABQABgAIAAAAIQA4/SH/1gAAAJQBAAALAAAAAAAAAAAAAAAAAC8BAABfcmVscy8ucmVsc1BLAQIt&#10;ABQABgAIAAAAIQDr9H0zxgIAACgFAAAOAAAAAAAAAAAAAAAAAC4CAABkcnMvZTJvRG9jLnhtbFBL&#10;AQItABQABgAIAAAAIQBz4W8X4gAAAAsBAAAPAAAAAAAAAAAAAAAAACAFAABkcnMvZG93bnJldi54&#10;bWxQSwUGAAAAAAQABADzAAAALwYAAAAA&#10;" filled="f" stroked="f" strokeweight=".5pt">
                <v:textbox>
                  <w:txbxContent>
                    <w:p w14:paraId="19A7E2DF" w14:textId="674B68B4" w:rsidR="009C644C" w:rsidRDefault="009C644C" w:rsidP="00BB1006">
                      <w:pPr>
                        <w:pStyle w:val="tekstzboku"/>
                      </w:pPr>
                      <w:r>
                        <w:rPr>
                          <w:bCs w:val="0"/>
                        </w:rPr>
                        <w:t>Spośród działów budownictwa</w:t>
                      </w:r>
                      <w:r w:rsidR="00622749">
                        <w:rPr>
                          <w:bCs w:val="0"/>
                        </w:rPr>
                        <w:t xml:space="preserve"> </w:t>
                      </w:r>
                      <w:r w:rsidR="00697138">
                        <w:rPr>
                          <w:bCs w:val="0"/>
                        </w:rPr>
                        <w:br/>
                      </w:r>
                      <w:r w:rsidR="00255C26">
                        <w:rPr>
                          <w:bCs w:val="0"/>
                        </w:rPr>
                        <w:t>w</w:t>
                      </w:r>
                      <w:r w:rsidR="00697138">
                        <w:rPr>
                          <w:bCs w:val="0"/>
                        </w:rPr>
                        <w:t xml:space="preserve"> </w:t>
                      </w:r>
                      <w:r w:rsidR="00AF1127">
                        <w:rPr>
                          <w:bCs w:val="0"/>
                        </w:rPr>
                        <w:t>listopadzie</w:t>
                      </w:r>
                      <w:r>
                        <w:rPr>
                          <w:bCs w:val="0"/>
                        </w:rPr>
                        <w:t xml:space="preserve"> 2025 r. w</w:t>
                      </w:r>
                      <w:r w:rsidR="001E038C">
                        <w:rPr>
                          <w:bCs w:val="0"/>
                        </w:rPr>
                        <w:t> </w:t>
                      </w:r>
                      <w:r>
                        <w:rPr>
                          <w:bCs w:val="0"/>
                        </w:rPr>
                        <w:t>porównaniu</w:t>
                      </w:r>
                      <w:r w:rsidR="00622749">
                        <w:rPr>
                          <w:bCs w:val="0"/>
                        </w:rPr>
                        <w:t xml:space="preserve"> </w:t>
                      </w:r>
                      <w:r w:rsidR="00832944">
                        <w:rPr>
                          <w:bCs w:val="0"/>
                        </w:rPr>
                        <w:t>z </w:t>
                      </w:r>
                      <w:r w:rsidR="00207EFC">
                        <w:rPr>
                          <w:bCs w:val="0"/>
                        </w:rPr>
                        <w:t>grudniem 202</w:t>
                      </w:r>
                      <w:r w:rsidR="000A26D7">
                        <w:rPr>
                          <w:bCs w:val="0"/>
                        </w:rPr>
                        <w:t>3</w:t>
                      </w:r>
                      <w:r w:rsidR="001E038C">
                        <w:rPr>
                          <w:bCs w:val="0"/>
                        </w:rPr>
                        <w:t> </w:t>
                      </w:r>
                      <w:r w:rsidR="00207EFC">
                        <w:rPr>
                          <w:bCs w:val="0"/>
                        </w:rPr>
                        <w:t>r</w:t>
                      </w:r>
                      <w:r w:rsidR="002F4F22">
                        <w:rPr>
                          <w:bCs w:val="0"/>
                        </w:rPr>
                        <w:t>.</w:t>
                      </w:r>
                      <w:r w:rsidRPr="00946821">
                        <w:rPr>
                          <w:bCs w:val="0"/>
                        </w:rPr>
                        <w:t xml:space="preserve"> najbardziej </w:t>
                      </w:r>
                      <w:r w:rsidRPr="004130B5">
                        <w:rPr>
                          <w:bCs w:val="0"/>
                        </w:rPr>
                        <w:t>wzrosły ceny</w:t>
                      </w:r>
                      <w:r>
                        <w:rPr>
                          <w:bCs w:val="0"/>
                        </w:rPr>
                        <w:t xml:space="preserve"> w</w:t>
                      </w:r>
                      <w:r w:rsidR="001E038C">
                        <w:rPr>
                          <w:bCs w:val="0"/>
                        </w:rPr>
                        <w:t> </w:t>
                      </w:r>
                      <w:r>
                        <w:rPr>
                          <w:bCs w:val="0"/>
                        </w:rPr>
                        <w:t xml:space="preserve">dziale </w:t>
                      </w:r>
                      <w:r w:rsidRPr="004130B5">
                        <w:rPr>
                          <w:bCs w:val="0"/>
                        </w:rPr>
                        <w:t>budow</w:t>
                      </w:r>
                      <w:r>
                        <w:rPr>
                          <w:bCs w:val="0"/>
                        </w:rPr>
                        <w:t>a</w:t>
                      </w:r>
                      <w:r w:rsidRPr="00B1379F">
                        <w:rPr>
                          <w:bCs w:val="0"/>
                        </w:rPr>
                        <w:t xml:space="preserve"> </w:t>
                      </w:r>
                      <w:r w:rsidRPr="004130B5">
                        <w:rPr>
                          <w:bCs w:val="0"/>
                        </w:rPr>
                        <w:t>obiektów inżynierii lądowej i</w:t>
                      </w:r>
                      <w:r w:rsidR="00900E1E">
                        <w:rPr>
                          <w:bCs w:val="0"/>
                        </w:rPr>
                        <w:t> </w:t>
                      </w:r>
                      <w:r w:rsidRPr="004130B5">
                        <w:rPr>
                          <w:bCs w:val="0"/>
                        </w:rPr>
                        <w:t>wodnej</w:t>
                      </w:r>
                      <w:r>
                        <w:rPr>
                          <w:bCs w:val="0"/>
                        </w:rPr>
                        <w:t xml:space="preserve"> (o</w:t>
                      </w:r>
                      <w:r w:rsidR="001E038C">
                        <w:rPr>
                          <w:bCs w:val="0"/>
                        </w:rPr>
                        <w:t> </w:t>
                      </w:r>
                      <w:r w:rsidR="00697138">
                        <w:rPr>
                          <w:bCs w:val="0"/>
                        </w:rPr>
                        <w:t>7</w:t>
                      </w:r>
                      <w:r w:rsidR="00C342EF">
                        <w:rPr>
                          <w:bCs w:val="0"/>
                        </w:rPr>
                        <w:t>,</w:t>
                      </w:r>
                      <w:r w:rsidR="00697138">
                        <w:rPr>
                          <w:bCs w:val="0"/>
                        </w:rPr>
                        <w:t>2</w:t>
                      </w:r>
                      <w:r>
                        <w:rPr>
                          <w:bCs w:val="0"/>
                        </w:rPr>
                        <w:t>%)</w:t>
                      </w:r>
                    </w:p>
                  </w:txbxContent>
                </v:textbox>
                <w10:wrap anchorx="page"/>
              </v:shape>
            </w:pict>
          </mc:Fallback>
        </mc:AlternateContent>
      </w:r>
    </w:p>
    <w:p w14:paraId="662CCA2D" w14:textId="77777777" w:rsidR="004130B5" w:rsidRDefault="004130B5" w:rsidP="005B4590">
      <w:pPr>
        <w:rPr>
          <w:noProof/>
          <w:lang w:eastAsia="pl-PL"/>
        </w:rPr>
      </w:pPr>
    </w:p>
    <w:p w14:paraId="5F55135C" w14:textId="77777777" w:rsidR="004818A7" w:rsidRDefault="004818A7" w:rsidP="005B4590">
      <w:pPr>
        <w:rPr>
          <w:noProof/>
          <w:lang w:eastAsia="pl-PL"/>
        </w:rPr>
      </w:pPr>
    </w:p>
    <w:p w14:paraId="5DD4A9A8" w14:textId="77777777" w:rsidR="00765293" w:rsidRDefault="00765293" w:rsidP="005B4590">
      <w:pPr>
        <w:rPr>
          <w:noProof/>
          <w:lang w:eastAsia="pl-PL"/>
        </w:rPr>
      </w:pPr>
    </w:p>
    <w:p w14:paraId="427D67D3" w14:textId="77777777" w:rsidR="004130B5" w:rsidRDefault="004130B5" w:rsidP="005B4590">
      <w:pPr>
        <w:rPr>
          <w:noProof/>
          <w:lang w:eastAsia="pl-PL"/>
        </w:rPr>
      </w:pPr>
    </w:p>
    <w:p w14:paraId="6004E2AA"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36788BDE" w14:textId="77777777" w:rsidR="00BB1006" w:rsidRDefault="00BB1006" w:rsidP="00DA331D">
      <w:pPr>
        <w:spacing w:before="360"/>
        <w:rPr>
          <w:sz w:val="18"/>
        </w:rPr>
      </w:pPr>
    </w:p>
    <w:p w14:paraId="499AA402" w14:textId="77777777" w:rsidR="007B63D4" w:rsidRDefault="007B63D4" w:rsidP="00DA331D">
      <w:pPr>
        <w:spacing w:before="360"/>
        <w:rPr>
          <w:sz w:val="18"/>
        </w:rPr>
      </w:pPr>
    </w:p>
    <w:p w14:paraId="4C92AAD5" w14:textId="77777777" w:rsidR="007B63D4" w:rsidRDefault="007B63D4" w:rsidP="00DA331D">
      <w:pPr>
        <w:spacing w:before="360"/>
        <w:rPr>
          <w:sz w:val="18"/>
        </w:rPr>
      </w:pPr>
    </w:p>
    <w:p w14:paraId="31B0798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9F048AF" w14:textId="77777777" w:rsidTr="00B84C43">
        <w:trPr>
          <w:trHeight w:val="1626"/>
        </w:trPr>
        <w:tc>
          <w:tcPr>
            <w:tcW w:w="4926" w:type="dxa"/>
          </w:tcPr>
          <w:p w14:paraId="5A3238AE"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53B55DDA"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6FDE4A96"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3DE046E4"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600C6FF8"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58306073" w14:textId="77777777" w:rsidR="00A64DDF" w:rsidRDefault="00A64DDF" w:rsidP="00A64DDF">
            <w:r>
              <w:t>Tel. komórkowy: +48 695 255 032</w:t>
            </w:r>
          </w:p>
          <w:p w14:paraId="52F0F012" w14:textId="77777777" w:rsidR="00A64DDF" w:rsidRDefault="00A64DDF" w:rsidP="00A64DDF">
            <w:pPr>
              <w:ind w:left="1494" w:hanging="1494"/>
            </w:pPr>
            <w:r>
              <w:t>Tel. stacjonarne: +48 22 608 38 04, +48 22 449 41 45,     +48 22 608 30 09</w:t>
            </w:r>
          </w:p>
          <w:p w14:paraId="0036C9A5" w14:textId="77777777" w:rsidR="00317455" w:rsidRDefault="00A64DDF" w:rsidP="00A64DDF">
            <w:pPr>
              <w:pStyle w:val="Nagwek3"/>
              <w:spacing w:before="0" w:after="120" w:line="276" w:lineRule="auto"/>
              <w:outlineLvl w:val="2"/>
              <w:rPr>
                <w:rStyle w:val="Hipercze"/>
                <w:rFonts w:cs="Arial"/>
                <w:b/>
                <w:color w:val="auto"/>
                <w:sz w:val="20"/>
                <w:szCs w:val="20"/>
              </w:rPr>
            </w:pPr>
            <w:r w:rsidRPr="00532A18">
              <w:rPr>
                <w:b/>
                <w:color w:val="auto"/>
                <w:sz w:val="20"/>
              </w:rPr>
              <w:t>e-mail:</w:t>
            </w:r>
            <w:r w:rsidRPr="00532A18">
              <w:rPr>
                <w:color w:val="auto"/>
                <w:sz w:val="20"/>
              </w:rPr>
              <w:t xml:space="preserve"> </w:t>
            </w:r>
            <w:hyperlink r:id="rId17" w:history="1">
              <w:r w:rsidRPr="00610ED9">
                <w:rPr>
                  <w:rStyle w:val="Hipercze"/>
                  <w:rFonts w:cs="Arial"/>
                  <w:b/>
                  <w:color w:val="auto"/>
                  <w:sz w:val="20"/>
                  <w:szCs w:val="20"/>
                </w:rPr>
                <w:t>obslugaprasowa@stat.gov.pl</w:t>
              </w:r>
            </w:hyperlink>
          </w:p>
          <w:p w14:paraId="50E27005" w14:textId="77777777" w:rsidR="00206C20" w:rsidRPr="00206C20" w:rsidRDefault="00206C20" w:rsidP="00206C20"/>
        </w:tc>
      </w:tr>
      <w:tr w:rsidR="00317455" w14:paraId="30D14441" w14:textId="77777777" w:rsidTr="00B84C43">
        <w:trPr>
          <w:trHeight w:val="418"/>
        </w:trPr>
        <w:tc>
          <w:tcPr>
            <w:tcW w:w="4926" w:type="dxa"/>
            <w:vMerge w:val="restart"/>
          </w:tcPr>
          <w:p w14:paraId="322133C6" w14:textId="77777777" w:rsidR="00317455" w:rsidRPr="00F05FC7" w:rsidRDefault="00317455" w:rsidP="00317455">
            <w:pPr>
              <w:rPr>
                <w:sz w:val="18"/>
                <w:lang w:val="en-US"/>
              </w:rPr>
            </w:pPr>
          </w:p>
        </w:tc>
        <w:tc>
          <w:tcPr>
            <w:tcW w:w="4927" w:type="dxa"/>
            <w:vAlign w:val="center"/>
          </w:tcPr>
          <w:p w14:paraId="3ECBF05F"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22081E62" wp14:editId="2C8255A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210F25AF" w14:textId="77777777" w:rsidTr="00B84C43">
        <w:trPr>
          <w:trHeight w:val="418"/>
        </w:trPr>
        <w:tc>
          <w:tcPr>
            <w:tcW w:w="4926" w:type="dxa"/>
            <w:vMerge/>
          </w:tcPr>
          <w:p w14:paraId="67343FFC" w14:textId="77777777" w:rsidR="00317455" w:rsidRPr="00C91687" w:rsidRDefault="00317455" w:rsidP="00317455">
            <w:pPr>
              <w:rPr>
                <w:b/>
                <w:sz w:val="20"/>
              </w:rPr>
            </w:pPr>
          </w:p>
        </w:tc>
        <w:tc>
          <w:tcPr>
            <w:tcW w:w="4927" w:type="dxa"/>
            <w:vAlign w:val="center"/>
          </w:tcPr>
          <w:p w14:paraId="5A87A699"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1F1D4037" wp14:editId="40352F35">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47E902B6" w14:textId="77777777" w:rsidTr="00B84C43">
        <w:trPr>
          <w:trHeight w:val="476"/>
        </w:trPr>
        <w:tc>
          <w:tcPr>
            <w:tcW w:w="4926" w:type="dxa"/>
            <w:vMerge/>
          </w:tcPr>
          <w:p w14:paraId="5D2565D7" w14:textId="77777777" w:rsidR="00317455" w:rsidRPr="00C91687" w:rsidRDefault="00317455" w:rsidP="00317455">
            <w:pPr>
              <w:rPr>
                <w:b/>
                <w:sz w:val="20"/>
              </w:rPr>
            </w:pPr>
          </w:p>
        </w:tc>
        <w:tc>
          <w:tcPr>
            <w:tcW w:w="4927" w:type="dxa"/>
          </w:tcPr>
          <w:p w14:paraId="7EC0DCF1"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5360EB0E" wp14:editId="48265A0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1BAD2B34" w14:textId="77777777" w:rsidTr="00B84C43">
        <w:trPr>
          <w:trHeight w:val="426"/>
        </w:trPr>
        <w:tc>
          <w:tcPr>
            <w:tcW w:w="4926" w:type="dxa"/>
          </w:tcPr>
          <w:p w14:paraId="5119CF04" w14:textId="77777777" w:rsidR="00317455" w:rsidRPr="00C91687" w:rsidRDefault="00317455" w:rsidP="00317455">
            <w:pPr>
              <w:rPr>
                <w:b/>
                <w:sz w:val="20"/>
              </w:rPr>
            </w:pPr>
          </w:p>
        </w:tc>
        <w:tc>
          <w:tcPr>
            <w:tcW w:w="4927" w:type="dxa"/>
          </w:tcPr>
          <w:p w14:paraId="6627B08E"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025834CE" wp14:editId="0CEE852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7D8E807A" w14:textId="77777777" w:rsidTr="00B84C43">
        <w:trPr>
          <w:trHeight w:val="504"/>
        </w:trPr>
        <w:tc>
          <w:tcPr>
            <w:tcW w:w="4926" w:type="dxa"/>
          </w:tcPr>
          <w:p w14:paraId="5D5F27C8" w14:textId="77777777" w:rsidR="00317455" w:rsidRPr="00C91687" w:rsidRDefault="00317455" w:rsidP="00317455">
            <w:pPr>
              <w:rPr>
                <w:b/>
                <w:sz w:val="20"/>
              </w:rPr>
            </w:pPr>
          </w:p>
        </w:tc>
        <w:tc>
          <w:tcPr>
            <w:tcW w:w="4927" w:type="dxa"/>
          </w:tcPr>
          <w:p w14:paraId="2685FED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3576D322" wp14:editId="2A8E7F0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4B6860E5" w14:textId="77777777" w:rsidTr="00B84C43">
        <w:trPr>
          <w:trHeight w:val="1546"/>
        </w:trPr>
        <w:tc>
          <w:tcPr>
            <w:tcW w:w="4926" w:type="dxa"/>
          </w:tcPr>
          <w:p w14:paraId="5EE3CA9E" w14:textId="77777777" w:rsidR="00317455" w:rsidRPr="00C91687" w:rsidRDefault="00317455" w:rsidP="00317455">
            <w:pPr>
              <w:rPr>
                <w:b/>
                <w:sz w:val="20"/>
              </w:rPr>
            </w:pPr>
          </w:p>
        </w:tc>
        <w:tc>
          <w:tcPr>
            <w:tcW w:w="4927" w:type="dxa"/>
          </w:tcPr>
          <w:p w14:paraId="63E10ACE"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7AC2F99" wp14:editId="63AAC451">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1949DD90" w14:textId="77777777" w:rsidTr="00B84C43">
        <w:trPr>
          <w:trHeight w:val="4114"/>
        </w:trPr>
        <w:tc>
          <w:tcPr>
            <w:tcW w:w="9853" w:type="dxa"/>
            <w:gridSpan w:val="2"/>
            <w:shd w:val="clear" w:color="auto" w:fill="D9D9D9" w:themeFill="background1" w:themeFillShade="D9"/>
          </w:tcPr>
          <w:p w14:paraId="7E5A05C8" w14:textId="77777777" w:rsidR="00531873" w:rsidRPr="00876479" w:rsidRDefault="00531873" w:rsidP="00531873">
            <w:pPr>
              <w:shd w:val="clear" w:color="auto" w:fill="D9D9D9" w:themeFill="background1" w:themeFillShade="D9"/>
              <w:rPr>
                <w:b/>
              </w:rPr>
            </w:pPr>
            <w:r w:rsidRPr="00210B1C">
              <w:rPr>
                <w:b/>
              </w:rPr>
              <w:t>Powiązane opracowania</w:t>
            </w:r>
          </w:p>
          <w:p w14:paraId="5E9CCCA1" w14:textId="4AC17679"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0D729B">
              <w:rPr>
                <w:color w:val="001381"/>
                <w:sz w:val="18"/>
                <w:szCs w:val="18"/>
              </w:rPr>
              <w:instrText>HYPERLINK "https://stat.gov.pl/obszary-tematyczne/inne-opracowania/informacje-o-sytuacji-spoleczno-gospodarczej/biuletyn-statystyczny-nr-102025,4,167.html"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406329CF"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3747C490" w14:textId="77777777" w:rsidR="007A4583" w:rsidRPr="003B13E6" w:rsidRDefault="0015476B" w:rsidP="0015476B">
            <w:pPr>
              <w:jc w:val="both"/>
              <w:rPr>
                <w:rStyle w:val="Hipercze"/>
                <w:rFonts w:cstheme="minorBidi"/>
                <w:color w:val="001381"/>
                <w:sz w:val="18"/>
                <w:szCs w:val="18"/>
              </w:rPr>
            </w:pPr>
            <w:r>
              <w:rPr>
                <w:sz w:val="18"/>
                <w:szCs w:val="18"/>
              </w:rPr>
              <w:fldChar w:fldCharType="end"/>
            </w:r>
            <w:hyperlink r:id="rId24" w:history="1">
              <w:r w:rsidR="003B13E6" w:rsidRPr="003B13E6">
                <w:rPr>
                  <w:rStyle w:val="Hipercze"/>
                  <w:rFonts w:cstheme="minorBidi"/>
                  <w:color w:val="001381"/>
                  <w:sz w:val="18"/>
                  <w:szCs w:val="18"/>
                </w:rPr>
                <w:t>Sytuacja społeczno-gospodarcza kraju</w:t>
              </w:r>
            </w:hyperlink>
          </w:p>
          <w:p w14:paraId="574CA466" w14:textId="77777777" w:rsidR="003B13E6" w:rsidRDefault="003B13E6" w:rsidP="0015476B">
            <w:pPr>
              <w:jc w:val="both"/>
              <w:rPr>
                <w:b/>
                <w:color w:val="000000" w:themeColor="text1"/>
                <w:szCs w:val="24"/>
              </w:rPr>
            </w:pPr>
          </w:p>
          <w:p w14:paraId="324BBFF6"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1F101138"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w:t>
            </w:r>
            <w:r w:rsidR="008D4EE4">
              <w:rPr>
                <w:rStyle w:val="Hipercze"/>
                <w:rFonts w:cstheme="minorBidi"/>
                <w:color w:val="001381"/>
                <w:sz w:val="18"/>
                <w:szCs w:val="18"/>
              </w:rPr>
              <w:t>e</w:t>
            </w:r>
            <w:r w:rsidR="00E767DC" w:rsidRPr="008F2660">
              <w:rPr>
                <w:rStyle w:val="Hipercze"/>
                <w:rFonts w:cstheme="minorBidi"/>
                <w:color w:val="001381"/>
                <w:sz w:val="18"/>
                <w:szCs w:val="18"/>
              </w:rPr>
              <w:t xml:space="preserve"> Baz</w:t>
            </w:r>
            <w:r w:rsidR="008D4EE4">
              <w:rPr>
                <w:rStyle w:val="Hipercze"/>
                <w:rFonts w:cstheme="minorBidi"/>
                <w:color w:val="001381"/>
                <w:sz w:val="18"/>
                <w:szCs w:val="18"/>
              </w:rPr>
              <w:t>y</w:t>
            </w:r>
            <w:r w:rsidR="00E767DC" w:rsidRPr="008F2660">
              <w:rPr>
                <w:rStyle w:val="Hipercze"/>
                <w:rFonts w:cstheme="minorBidi"/>
                <w:color w:val="001381"/>
                <w:sz w:val="18"/>
                <w:szCs w:val="18"/>
              </w:rPr>
              <w:t xml:space="preserve"> Wiedzy </w:t>
            </w:r>
            <w:r w:rsidR="008D4EE4">
              <w:rPr>
                <w:rStyle w:val="Hipercze"/>
                <w:rFonts w:cstheme="minorBidi"/>
                <w:color w:val="001381"/>
                <w:sz w:val="18"/>
                <w:szCs w:val="18"/>
              </w:rPr>
              <w:t>-</w:t>
            </w:r>
            <w:r w:rsidR="008D4EE4">
              <w:rPr>
                <w:rStyle w:val="Hipercze"/>
                <w:color w:val="001381"/>
                <w:sz w:val="18"/>
                <w:szCs w:val="18"/>
              </w:rPr>
              <w:t xml:space="preserve"> </w:t>
            </w:r>
            <w:r w:rsidR="00E767DC" w:rsidRPr="008F2660">
              <w:rPr>
                <w:rStyle w:val="Hipercze"/>
                <w:rFonts w:cstheme="minorBidi"/>
                <w:color w:val="001381"/>
                <w:sz w:val="18"/>
                <w:szCs w:val="18"/>
              </w:rPr>
              <w:t>Ceny</w:t>
            </w:r>
          </w:p>
          <w:p w14:paraId="46714472"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025B9E9D"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B02E43">
              <w:rPr>
                <w:rStyle w:val="Hipercze"/>
                <w:rFonts w:cstheme="minorBidi"/>
                <w:color w:val="001381"/>
                <w:sz w:val="18"/>
                <w:szCs w:val="18"/>
              </w:rPr>
              <w:t>Wskaźniki cen (</w:t>
            </w:r>
            <w:hyperlink r:id="rId25" w:history="1">
              <w:r w:rsidR="00E767DC" w:rsidRPr="00B02E43">
                <w:rPr>
                  <w:rStyle w:val="Hipercze"/>
                  <w:rFonts w:cstheme="minorBidi"/>
                  <w:color w:val="001381"/>
                  <w:sz w:val="18"/>
                  <w:szCs w:val="18"/>
                </w:rPr>
                <w:t>Obszary</w:t>
              </w:r>
            </w:hyperlink>
            <w:r w:rsidR="00E767DC" w:rsidRPr="00B02E43">
              <w:rPr>
                <w:rStyle w:val="Hipercze"/>
                <w:rFonts w:cstheme="minorBidi"/>
                <w:color w:val="001381"/>
                <w:sz w:val="18"/>
                <w:szCs w:val="18"/>
              </w:rPr>
              <w:t xml:space="preserve"> tematyczne: Ceny, Handel)</w:t>
            </w:r>
          </w:p>
          <w:p w14:paraId="0FE08E4E"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34C012B1"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4799DE4D"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74F20D2E"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04F09C6B" w14:textId="77777777" w:rsidR="00531873" w:rsidRPr="007A4583" w:rsidRDefault="00531873" w:rsidP="00531873">
            <w:pPr>
              <w:rPr>
                <w:rStyle w:val="Hipercze"/>
                <w:rFonts w:cstheme="minorBidi"/>
                <w:color w:val="auto"/>
                <w:u w:val="none"/>
              </w:rPr>
            </w:pPr>
          </w:p>
          <w:p w14:paraId="1DAD6E58" w14:textId="77777777" w:rsidR="00531873" w:rsidRPr="007A4583" w:rsidRDefault="00531873" w:rsidP="00531873">
            <w:pPr>
              <w:rPr>
                <w:rStyle w:val="Hipercze"/>
                <w:rFonts w:cstheme="minorBidi"/>
                <w:color w:val="auto"/>
                <w:u w:val="none"/>
              </w:rPr>
            </w:pPr>
          </w:p>
          <w:p w14:paraId="216EE5A9" w14:textId="77777777" w:rsidR="00531873" w:rsidRPr="007A4583" w:rsidRDefault="00531873" w:rsidP="00531873">
            <w:pPr>
              <w:rPr>
                <w:rStyle w:val="Hipercze"/>
                <w:rFonts w:cstheme="minorBidi"/>
                <w:color w:val="auto"/>
                <w:u w:val="none"/>
              </w:rPr>
            </w:pPr>
          </w:p>
          <w:p w14:paraId="366D4702" w14:textId="77777777" w:rsidR="00531873" w:rsidRPr="007B63D4" w:rsidRDefault="00531873" w:rsidP="00531873">
            <w:pPr>
              <w:rPr>
                <w:b/>
                <w:color w:val="000000" w:themeColor="text1"/>
                <w:szCs w:val="24"/>
              </w:rPr>
            </w:pPr>
          </w:p>
        </w:tc>
      </w:tr>
    </w:tbl>
    <w:p w14:paraId="41C59BE1" w14:textId="77777777" w:rsidR="000470AA" w:rsidRDefault="000470AA" w:rsidP="000470AA">
      <w:pPr>
        <w:rPr>
          <w:sz w:val="18"/>
        </w:rPr>
      </w:pPr>
    </w:p>
    <w:p w14:paraId="54F9D3EA" w14:textId="77777777" w:rsidR="00D261A2" w:rsidRPr="00001C5B" w:rsidRDefault="00D261A2" w:rsidP="00AD0E56">
      <w:pPr>
        <w:rPr>
          <w:sz w:val="18"/>
        </w:rPr>
      </w:pPr>
    </w:p>
    <w:sectPr w:rsidR="00D261A2" w:rsidRPr="00001C5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2472F" w14:textId="77777777" w:rsidR="00C40377" w:rsidRDefault="00C40377" w:rsidP="000662E2">
      <w:pPr>
        <w:spacing w:after="0" w:line="240" w:lineRule="auto"/>
      </w:pPr>
      <w:r>
        <w:separator/>
      </w:r>
    </w:p>
  </w:endnote>
  <w:endnote w:type="continuationSeparator" w:id="0">
    <w:p w14:paraId="60DBAEA3" w14:textId="77777777" w:rsidR="00C40377" w:rsidRDefault="00C4037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86DA51EF-8027-4F00-A509-8C8FA76A32A8}"/>
    <w:embedBold r:id="rId2" w:fontKey="{781A83C6-0A0D-4016-B1C4-BAD0BD375879}"/>
  </w:font>
  <w:font w:name="Fira Sans Light">
    <w:panose1 w:val="020B0403050000020004"/>
    <w:charset w:val="EE"/>
    <w:family w:val="swiss"/>
    <w:pitch w:val="variable"/>
    <w:sig w:usb0="600002FF" w:usb1="02000001" w:usb2="00000000" w:usb3="00000000" w:csb0="0000019F" w:csb1="00000000"/>
    <w:embedRegular r:id="rId3" w:fontKey="{1311F01A-5D99-4AA6-84E8-EA92903EE166}"/>
    <w:embedBold r:id="rId4" w:fontKey="{56FA8882-C800-48A0-A271-9A62317EA6F9}"/>
  </w:font>
  <w:font w:name="Fira Sans SemiBold">
    <w:panose1 w:val="020B0603050000020004"/>
    <w:charset w:val="EE"/>
    <w:family w:val="swiss"/>
    <w:pitch w:val="variable"/>
    <w:sig w:usb0="600002FF" w:usb1="02000001" w:usb2="00000000" w:usb3="00000000" w:csb0="0000019F" w:csb1="00000000"/>
    <w:embedRegular r:id="rId5" w:fontKey="{B87A1500-2EA7-42EC-BFF0-43E180A65483}"/>
    <w:embedBold r:id="rId6" w:fontKey="{8F0A9BA5-6D56-4620-AAE8-07AD5B63713B}"/>
  </w:font>
  <w:font w:name="Fira Sans Medium">
    <w:panose1 w:val="020B0603050000020004"/>
    <w:charset w:val="EE"/>
    <w:family w:val="swiss"/>
    <w:pitch w:val="variable"/>
    <w:sig w:usb0="600002FF" w:usb1="02000001" w:usb2="00000000" w:usb3="00000000" w:csb0="0000019F" w:csb1="00000000"/>
    <w:embedRegular r:id="rId7" w:fontKey="{F775E444-A915-4D75-BB16-BDB90FADEF14}"/>
    <w:embedBold r:id="rId8" w:fontKey="{428F4071-9795-41FE-AFBD-A8EA13F7DAE0}"/>
    <w:embedItalic r:id="rId9" w:fontKey="{F8253588-A131-454C-A7F3-F33CF84B2CCB}"/>
  </w:font>
  <w:font w:name="Segoe UI">
    <w:panose1 w:val="020B0502040204020203"/>
    <w:charset w:val="EE"/>
    <w:family w:val="swiss"/>
    <w:pitch w:val="variable"/>
    <w:sig w:usb0="E4002EFF" w:usb1="C000E47F" w:usb2="00000009" w:usb3="00000000" w:csb0="000001FF" w:csb1="00000000"/>
    <w:embedRegular r:id="rId10" w:fontKey="{AE79D10A-81D3-4D86-AAB4-3F334F9E031F}"/>
  </w:font>
  <w:font w:name="Fira Sans Extra Condensed SemiB">
    <w:panose1 w:val="020B0603050000020004"/>
    <w:charset w:val="EE"/>
    <w:family w:val="swiss"/>
    <w:pitch w:val="variable"/>
    <w:sig w:usb0="600002FF" w:usb1="00000001" w:usb2="00000000" w:usb3="00000000" w:csb0="0000019F" w:csb1="00000000"/>
    <w:embedRegular r:id="rId11" w:fontKey="{63B3515C-700B-49F4-9A87-0A0FF63BFDA7}"/>
  </w:font>
  <w:font w:name="Calibri">
    <w:panose1 w:val="020F0502020204030204"/>
    <w:charset w:val="EE"/>
    <w:family w:val="swiss"/>
    <w:pitch w:val="variable"/>
    <w:sig w:usb0="E4002EFF" w:usb1="C200247B" w:usb2="00000009" w:usb3="00000000" w:csb0="000001FF" w:csb1="00000000"/>
    <w:embedRegular r:id="rId12" w:fontKey="{7023FA4F-4EED-40D8-B318-16ECA806CF6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C7845DF"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85BE255"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EEDE5F4"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BBE77" w14:textId="77777777" w:rsidR="00C40377" w:rsidRDefault="00C40377" w:rsidP="000662E2">
      <w:pPr>
        <w:spacing w:after="0" w:line="240" w:lineRule="auto"/>
      </w:pPr>
      <w:r>
        <w:separator/>
      </w:r>
    </w:p>
  </w:footnote>
  <w:footnote w:type="continuationSeparator" w:id="0">
    <w:p w14:paraId="0D2CE3CB" w14:textId="77777777" w:rsidR="00C40377" w:rsidRDefault="00C40377" w:rsidP="000662E2">
      <w:pPr>
        <w:spacing w:after="0" w:line="240" w:lineRule="auto"/>
      </w:pPr>
      <w:r>
        <w:continuationSeparator/>
      </w:r>
    </w:p>
  </w:footnote>
  <w:footnote w:id="1">
    <w:p w14:paraId="36855B6F" w14:textId="43E72B4F" w:rsidR="0082043D" w:rsidRDefault="0082043D">
      <w:pPr>
        <w:pStyle w:val="Tekstprzypisudolnego"/>
      </w:pPr>
      <w:r>
        <w:rPr>
          <w:rStyle w:val="Odwoanieprzypisudolnego"/>
        </w:rPr>
        <w:footnoteRef/>
      </w:r>
      <w:r>
        <w:t xml:space="preserve"> </w:t>
      </w:r>
      <w:r w:rsidRPr="00826CCF">
        <w:rPr>
          <w:rStyle w:val="PrzypisZnak"/>
          <w:lang w:val="pl-PL"/>
        </w:rPr>
        <w:t xml:space="preserve">Dane wstępne za </w:t>
      </w:r>
      <w:r w:rsidR="00AF1127">
        <w:rPr>
          <w:rStyle w:val="PrzypisZnak"/>
          <w:lang w:val="pl-PL"/>
        </w:rPr>
        <w:t>listopad</w:t>
      </w:r>
      <w:r w:rsidR="00330A94">
        <w:rPr>
          <w:rStyle w:val="PrzypisZnak"/>
          <w:lang w:val="pl-PL"/>
        </w:rPr>
        <w:t xml:space="preserve"> </w:t>
      </w:r>
      <w:r w:rsidRPr="00826CCF">
        <w:rPr>
          <w:rStyle w:val="PrzypisZnak"/>
          <w:lang w:val="pl-PL"/>
        </w:rPr>
        <w:t xml:space="preserve">2025 r., dane ostateczne za </w:t>
      </w:r>
      <w:r w:rsidR="008B11CC">
        <w:rPr>
          <w:rStyle w:val="PrzypisZnak"/>
          <w:lang w:val="pl-PL"/>
        </w:rPr>
        <w:t>październik</w:t>
      </w:r>
      <w:r w:rsidRPr="00826CCF">
        <w:rPr>
          <w:rStyle w:val="PrzypisZnak"/>
          <w:lang w:val="pl-PL"/>
        </w:rPr>
        <w:t xml:space="preserve"> 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88A8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C5E3793" wp14:editId="2586EB9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E4D9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36892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E1A82"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44094DAF" wp14:editId="33F60B24">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1163262" wp14:editId="4B9785F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63262" id="Schemat blokowy: opóźnienie 6" o:spid="_x0000_s1030"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6A0D0F"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7D0BA831"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EFAF63A" wp14:editId="4CC4D56D">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50841F"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43405E21" w14:textId="77777777" w:rsidR="00540C5C" w:rsidRDefault="00540C5C">
    <w:pPr>
      <w:pStyle w:val="Nagwek"/>
      <w:rPr>
        <w:noProof/>
        <w:lang w:eastAsia="pl-PL"/>
      </w:rPr>
    </w:pPr>
  </w:p>
  <w:p w14:paraId="1767FB6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63CA5F1" wp14:editId="2F34CA3E">
              <wp:simplePos x="0" y="0"/>
              <wp:positionH relativeFrom="column">
                <wp:posOffset>5287976</wp:posOffset>
              </wp:positionH>
              <wp:positionV relativeFrom="paragraph">
                <wp:posOffset>266065</wp:posOffset>
              </wp:positionV>
              <wp:extent cx="1432293" cy="336589"/>
              <wp:effectExtent l="0" t="0" r="0" b="6350"/>
              <wp:wrapNone/>
              <wp:docPr id="8" name="Pole tekstowe 2" descr="18.12.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BB4633D" w14:textId="2BB275BB" w:rsidR="00F37172" w:rsidRPr="00A01B40" w:rsidRDefault="00E45442" w:rsidP="00F049AB">
                          <w:pPr>
                            <w:pStyle w:val="Datainformacjisygnalnej"/>
                          </w:pPr>
                          <w:r>
                            <w:t>18.12</w:t>
                          </w:r>
                          <w:r w:rsidR="000E6EA7">
                            <w:t>.</w:t>
                          </w:r>
                          <w:r w:rsidR="00316A71">
                            <w:t>202</w:t>
                          </w:r>
                          <w:r w:rsidR="007D0CEC">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3CA5F1" id="_x0000_t202" coordsize="21600,21600" o:spt="202" path="m,l,21600r21600,l21600,xe">
              <v:stroke joinstyle="miter"/>
              <v:path gradientshapeok="t" o:connecttype="rect"/>
            </v:shapetype>
            <v:shape id="_x0000_s1031" type="#_x0000_t202" alt="18.12.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9UIAIAABQEAAAOAAAAZHJzL2Uyb0RvYy54bWysU9tuEzEQfUfiHyy/s7ckJVllU5WWIqQC&#10;lQof4Hi9Wau2x9hOdsPXM/amaQRviH2w7B3PmTnHZ9bXo1bkIJyXYBpaZgUlwnBopdk19Mf3+3dL&#10;SnxgpmUKjGjoUXh6vXn7Zj3YWlTQg2qFIwhifD3YhvYh2DrPPe+FZj4DKwwGO3CaBTy6Xd46NiC6&#10;VnlVFFf5AK61DrjwHv/eTUG6SfhdJ3j41nVeBKIair2FtLq0buOab9as3jlme8lPbbB/6EIzabDo&#10;GeqOBUb2Tv4FpSV34KELGQedQ9dJLhIHZFMWf7B56pkViQuK4+1ZJv//YPnXw6Mjsm0oPpRhGp/o&#10;EZQgQTz7AIMgFSWt8BwlK5dZWWVVUS2Iy6Jwg/U15j9ZRAjjBxjxThLB2wfgz54YuO2Z2Ykb52Do&#10;BWux8TJm5hepE46PINvhC7TYAdsHSEBj53RUFXUiiI4PeDw/mhgD4bHkfFZVqxklHGOz2dViuUol&#10;WP2SbZ0PnwRoEjcNdWiKhM4ODz7Eblj9ciUWM3AvlUrGUIYMDV0tqkVKuIhoGdC3SmoUrojf5KRI&#10;8qNpU3JgUk17LKDMiXUkOlEO43ZMyidJoiJbaI8og4PJpjhWuOnB/aJkQIs21P/cMycoUZ8NSrkq&#10;5/Po6XSYL95XeHCXke1lhBmOUA0NlEzb25DmYKJ8g5J3Mqnx2smpZbReEuk0JtHbl+d0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yM3fVCACAAAUBAAADgAAAAAAAAAAAAAAAAAuAgAAZHJzL2Uyb0RvYy54bWxQ&#10;SwECLQAUAAYACAAAACEAtMlX394AAAAKAQAADwAAAAAAAAAAAAAAAAB6BAAAZHJzL2Rvd25yZXYu&#10;eG1sUEsFBgAAAAAEAAQA8wAAAIUFAAAAAA==&#10;" filled="f" stroked="f">
              <v:textbox>
                <w:txbxContent>
                  <w:p w14:paraId="3BB4633D" w14:textId="2BB275BB" w:rsidR="00F37172" w:rsidRPr="00A01B40" w:rsidRDefault="00E45442" w:rsidP="00F049AB">
                    <w:pPr>
                      <w:pStyle w:val="Datainformacjisygnalnej"/>
                    </w:pPr>
                    <w:r>
                      <w:t>18.12</w:t>
                    </w:r>
                    <w:r w:rsidR="000E6EA7">
                      <w:t>.</w:t>
                    </w:r>
                    <w:r w:rsidR="00316A71">
                      <w:t>202</w:t>
                    </w:r>
                    <w:r w:rsidR="007D0CEC">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8B801" w14:textId="77777777" w:rsidR="00607CC5" w:rsidRDefault="00607CC5">
    <w:pPr>
      <w:pStyle w:val="Nagwek"/>
    </w:pPr>
  </w:p>
  <w:p w14:paraId="4367FA4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6pt;height:126pt;visibility:visible" o:bullet="t">
        <v:imagedata r:id="rId1" o:title=""/>
      </v:shape>
    </w:pict>
  </w:numPicBullet>
  <w:numPicBullet w:numPicBulletId="1">
    <w:pict>
      <v:shape id="_x0000_i1033" type="#_x0000_t75" style="width:126pt;height:126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6DAB"/>
    <w:rsid w:val="0000709F"/>
    <w:rsid w:val="00007311"/>
    <w:rsid w:val="0001027E"/>
    <w:rsid w:val="000108B8"/>
    <w:rsid w:val="00010DF6"/>
    <w:rsid w:val="000121F6"/>
    <w:rsid w:val="00014098"/>
    <w:rsid w:val="00014331"/>
    <w:rsid w:val="00014470"/>
    <w:rsid w:val="000152F5"/>
    <w:rsid w:val="00015458"/>
    <w:rsid w:val="0001585A"/>
    <w:rsid w:val="0001623A"/>
    <w:rsid w:val="00020112"/>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86F"/>
    <w:rsid w:val="00043B26"/>
    <w:rsid w:val="00044115"/>
    <w:rsid w:val="000441DE"/>
    <w:rsid w:val="0004513F"/>
    <w:rsid w:val="0004582E"/>
    <w:rsid w:val="00046A89"/>
    <w:rsid w:val="00046AB3"/>
    <w:rsid w:val="00046B51"/>
    <w:rsid w:val="00046F3E"/>
    <w:rsid w:val="000470AA"/>
    <w:rsid w:val="0005781E"/>
    <w:rsid w:val="00057CA1"/>
    <w:rsid w:val="000606C9"/>
    <w:rsid w:val="00061FC5"/>
    <w:rsid w:val="00063066"/>
    <w:rsid w:val="000647A9"/>
    <w:rsid w:val="0006489B"/>
    <w:rsid w:val="000654CD"/>
    <w:rsid w:val="00065ED4"/>
    <w:rsid w:val="000662E2"/>
    <w:rsid w:val="00066883"/>
    <w:rsid w:val="00066C6B"/>
    <w:rsid w:val="000672A9"/>
    <w:rsid w:val="0006797B"/>
    <w:rsid w:val="00067C4B"/>
    <w:rsid w:val="000706CC"/>
    <w:rsid w:val="00070D26"/>
    <w:rsid w:val="0007189A"/>
    <w:rsid w:val="00071B36"/>
    <w:rsid w:val="00071B39"/>
    <w:rsid w:val="00073683"/>
    <w:rsid w:val="00074411"/>
    <w:rsid w:val="00074DD8"/>
    <w:rsid w:val="00075759"/>
    <w:rsid w:val="00076686"/>
    <w:rsid w:val="00077136"/>
    <w:rsid w:val="0008048A"/>
    <w:rsid w:val="000806F7"/>
    <w:rsid w:val="00080CA8"/>
    <w:rsid w:val="00081FA7"/>
    <w:rsid w:val="00082198"/>
    <w:rsid w:val="00082CB5"/>
    <w:rsid w:val="00083A72"/>
    <w:rsid w:val="00084B03"/>
    <w:rsid w:val="000855E0"/>
    <w:rsid w:val="00085B85"/>
    <w:rsid w:val="000866BB"/>
    <w:rsid w:val="00086F46"/>
    <w:rsid w:val="00086F52"/>
    <w:rsid w:val="00087A60"/>
    <w:rsid w:val="0009054F"/>
    <w:rsid w:val="00091BEF"/>
    <w:rsid w:val="0009371D"/>
    <w:rsid w:val="0009449E"/>
    <w:rsid w:val="00094D3C"/>
    <w:rsid w:val="00094F94"/>
    <w:rsid w:val="00097840"/>
    <w:rsid w:val="00097C73"/>
    <w:rsid w:val="000A0246"/>
    <w:rsid w:val="000A025E"/>
    <w:rsid w:val="000A11C7"/>
    <w:rsid w:val="000A26D7"/>
    <w:rsid w:val="000A4AA2"/>
    <w:rsid w:val="000A4D74"/>
    <w:rsid w:val="000A4FBB"/>
    <w:rsid w:val="000A5834"/>
    <w:rsid w:val="000A5E05"/>
    <w:rsid w:val="000B0727"/>
    <w:rsid w:val="000B0860"/>
    <w:rsid w:val="000B2C5B"/>
    <w:rsid w:val="000B2DC1"/>
    <w:rsid w:val="000B3531"/>
    <w:rsid w:val="000B37B5"/>
    <w:rsid w:val="000B4162"/>
    <w:rsid w:val="000B4245"/>
    <w:rsid w:val="000B4C20"/>
    <w:rsid w:val="000B503D"/>
    <w:rsid w:val="000B5273"/>
    <w:rsid w:val="000B5AC2"/>
    <w:rsid w:val="000B65CF"/>
    <w:rsid w:val="000B68A7"/>
    <w:rsid w:val="000B718D"/>
    <w:rsid w:val="000C135D"/>
    <w:rsid w:val="000C3FA9"/>
    <w:rsid w:val="000C5CD1"/>
    <w:rsid w:val="000C6803"/>
    <w:rsid w:val="000D12D2"/>
    <w:rsid w:val="000D1BED"/>
    <w:rsid w:val="000D1D43"/>
    <w:rsid w:val="000D225C"/>
    <w:rsid w:val="000D2A5C"/>
    <w:rsid w:val="000D39F0"/>
    <w:rsid w:val="000D5152"/>
    <w:rsid w:val="000D729B"/>
    <w:rsid w:val="000D79AE"/>
    <w:rsid w:val="000E0918"/>
    <w:rsid w:val="000E11AF"/>
    <w:rsid w:val="000E2275"/>
    <w:rsid w:val="000E25BD"/>
    <w:rsid w:val="000E3B7D"/>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150C"/>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3D0E"/>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8E9"/>
    <w:rsid w:val="00150A84"/>
    <w:rsid w:val="00150E30"/>
    <w:rsid w:val="00152B4F"/>
    <w:rsid w:val="00152D6A"/>
    <w:rsid w:val="001535BD"/>
    <w:rsid w:val="00153880"/>
    <w:rsid w:val="0015476B"/>
    <w:rsid w:val="001547BE"/>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226"/>
    <w:rsid w:val="00190708"/>
    <w:rsid w:val="00191CE8"/>
    <w:rsid w:val="0019357B"/>
    <w:rsid w:val="00193678"/>
    <w:rsid w:val="00194B9A"/>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71B"/>
    <w:rsid w:val="001D19B6"/>
    <w:rsid w:val="001D1DB4"/>
    <w:rsid w:val="001D1E21"/>
    <w:rsid w:val="001D23F1"/>
    <w:rsid w:val="001D25F9"/>
    <w:rsid w:val="001D40F0"/>
    <w:rsid w:val="001D57B9"/>
    <w:rsid w:val="001D5A5D"/>
    <w:rsid w:val="001D5CE4"/>
    <w:rsid w:val="001D61ED"/>
    <w:rsid w:val="001D622F"/>
    <w:rsid w:val="001E038C"/>
    <w:rsid w:val="001E10B0"/>
    <w:rsid w:val="001E44FC"/>
    <w:rsid w:val="001E5B2D"/>
    <w:rsid w:val="001E5ECD"/>
    <w:rsid w:val="001E6750"/>
    <w:rsid w:val="001E727A"/>
    <w:rsid w:val="001E7F5F"/>
    <w:rsid w:val="001F1EAC"/>
    <w:rsid w:val="001F3E4C"/>
    <w:rsid w:val="001F3EC4"/>
    <w:rsid w:val="001F4582"/>
    <w:rsid w:val="001F6A86"/>
    <w:rsid w:val="00200701"/>
    <w:rsid w:val="0020156C"/>
    <w:rsid w:val="002044BC"/>
    <w:rsid w:val="00204830"/>
    <w:rsid w:val="00204F07"/>
    <w:rsid w:val="002069CA"/>
    <w:rsid w:val="00206A07"/>
    <w:rsid w:val="00206C20"/>
    <w:rsid w:val="00206D5A"/>
    <w:rsid w:val="00207C9E"/>
    <w:rsid w:val="00207EFC"/>
    <w:rsid w:val="00207F7D"/>
    <w:rsid w:val="00207FD2"/>
    <w:rsid w:val="002100D6"/>
    <w:rsid w:val="002108A4"/>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013"/>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5C26"/>
    <w:rsid w:val="00256061"/>
    <w:rsid w:val="00256333"/>
    <w:rsid w:val="00256667"/>
    <w:rsid w:val="00256AA8"/>
    <w:rsid w:val="002574F9"/>
    <w:rsid w:val="002577AB"/>
    <w:rsid w:val="002619B7"/>
    <w:rsid w:val="00262B61"/>
    <w:rsid w:val="00262CC6"/>
    <w:rsid w:val="00263A11"/>
    <w:rsid w:val="00263E08"/>
    <w:rsid w:val="00264AA1"/>
    <w:rsid w:val="002651B3"/>
    <w:rsid w:val="00265F5F"/>
    <w:rsid w:val="00266582"/>
    <w:rsid w:val="002703CA"/>
    <w:rsid w:val="002716CD"/>
    <w:rsid w:val="00271F45"/>
    <w:rsid w:val="0027264D"/>
    <w:rsid w:val="00272D92"/>
    <w:rsid w:val="00272DFC"/>
    <w:rsid w:val="00273C79"/>
    <w:rsid w:val="00273DB3"/>
    <w:rsid w:val="00274B2A"/>
    <w:rsid w:val="002758A3"/>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1B1D"/>
    <w:rsid w:val="00292262"/>
    <w:rsid w:val="00292553"/>
    <w:rsid w:val="002926DF"/>
    <w:rsid w:val="00293215"/>
    <w:rsid w:val="0029344C"/>
    <w:rsid w:val="002952A4"/>
    <w:rsid w:val="002952DF"/>
    <w:rsid w:val="002953E6"/>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47AF"/>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4F22"/>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5DC0"/>
    <w:rsid w:val="00316A71"/>
    <w:rsid w:val="0031717F"/>
    <w:rsid w:val="00317455"/>
    <w:rsid w:val="00317F4D"/>
    <w:rsid w:val="00320B0F"/>
    <w:rsid w:val="00320C2A"/>
    <w:rsid w:val="00320DA3"/>
    <w:rsid w:val="00321872"/>
    <w:rsid w:val="00321B29"/>
    <w:rsid w:val="00321FA4"/>
    <w:rsid w:val="00322EDD"/>
    <w:rsid w:val="00324ECD"/>
    <w:rsid w:val="00325621"/>
    <w:rsid w:val="00325D16"/>
    <w:rsid w:val="003268BA"/>
    <w:rsid w:val="00326DE0"/>
    <w:rsid w:val="00326EA5"/>
    <w:rsid w:val="003309FA"/>
    <w:rsid w:val="00330A94"/>
    <w:rsid w:val="00331B40"/>
    <w:rsid w:val="00332320"/>
    <w:rsid w:val="0033434E"/>
    <w:rsid w:val="00335EB2"/>
    <w:rsid w:val="00337D45"/>
    <w:rsid w:val="00340947"/>
    <w:rsid w:val="00340999"/>
    <w:rsid w:val="003416CF"/>
    <w:rsid w:val="0034178B"/>
    <w:rsid w:val="0034225B"/>
    <w:rsid w:val="0034274F"/>
    <w:rsid w:val="00342BFD"/>
    <w:rsid w:val="00343D10"/>
    <w:rsid w:val="003448EC"/>
    <w:rsid w:val="00345943"/>
    <w:rsid w:val="00345B4D"/>
    <w:rsid w:val="00347786"/>
    <w:rsid w:val="003479AF"/>
    <w:rsid w:val="00347D72"/>
    <w:rsid w:val="00350C93"/>
    <w:rsid w:val="00350DC8"/>
    <w:rsid w:val="00351E14"/>
    <w:rsid w:val="00352073"/>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777"/>
    <w:rsid w:val="00362F2B"/>
    <w:rsid w:val="0036432A"/>
    <w:rsid w:val="00364798"/>
    <w:rsid w:val="00364AF9"/>
    <w:rsid w:val="0036566B"/>
    <w:rsid w:val="00367237"/>
    <w:rsid w:val="0037077F"/>
    <w:rsid w:val="00370802"/>
    <w:rsid w:val="003714CD"/>
    <w:rsid w:val="00372411"/>
    <w:rsid w:val="0037250A"/>
    <w:rsid w:val="00373829"/>
    <w:rsid w:val="00373882"/>
    <w:rsid w:val="00373D8D"/>
    <w:rsid w:val="00374698"/>
    <w:rsid w:val="00374CED"/>
    <w:rsid w:val="003769D3"/>
    <w:rsid w:val="00377105"/>
    <w:rsid w:val="003821A7"/>
    <w:rsid w:val="0038379C"/>
    <w:rsid w:val="003843DB"/>
    <w:rsid w:val="00384A50"/>
    <w:rsid w:val="00384CCB"/>
    <w:rsid w:val="00384D71"/>
    <w:rsid w:val="00385352"/>
    <w:rsid w:val="00385579"/>
    <w:rsid w:val="003860FA"/>
    <w:rsid w:val="00390517"/>
    <w:rsid w:val="00390628"/>
    <w:rsid w:val="003909F9"/>
    <w:rsid w:val="0039110B"/>
    <w:rsid w:val="0039322C"/>
    <w:rsid w:val="00393761"/>
    <w:rsid w:val="00394E26"/>
    <w:rsid w:val="00395D67"/>
    <w:rsid w:val="00396691"/>
    <w:rsid w:val="00396CF9"/>
    <w:rsid w:val="003974E7"/>
    <w:rsid w:val="003977D0"/>
    <w:rsid w:val="00397D18"/>
    <w:rsid w:val="003A0EE2"/>
    <w:rsid w:val="003A1B36"/>
    <w:rsid w:val="003A217C"/>
    <w:rsid w:val="003A26DC"/>
    <w:rsid w:val="003A2DE7"/>
    <w:rsid w:val="003A5394"/>
    <w:rsid w:val="003A6500"/>
    <w:rsid w:val="003A7D2B"/>
    <w:rsid w:val="003B13E6"/>
    <w:rsid w:val="003B1454"/>
    <w:rsid w:val="003B18B6"/>
    <w:rsid w:val="003B2EAC"/>
    <w:rsid w:val="003B4515"/>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4CFE"/>
    <w:rsid w:val="003C4E19"/>
    <w:rsid w:val="003C59E0"/>
    <w:rsid w:val="003C69C9"/>
    <w:rsid w:val="003C6C8D"/>
    <w:rsid w:val="003D1DAE"/>
    <w:rsid w:val="003D2656"/>
    <w:rsid w:val="003D340A"/>
    <w:rsid w:val="003D3585"/>
    <w:rsid w:val="003D4F95"/>
    <w:rsid w:val="003D5F42"/>
    <w:rsid w:val="003D60A9"/>
    <w:rsid w:val="003D6573"/>
    <w:rsid w:val="003D72AA"/>
    <w:rsid w:val="003E1779"/>
    <w:rsid w:val="003E4367"/>
    <w:rsid w:val="003E4466"/>
    <w:rsid w:val="003E527C"/>
    <w:rsid w:val="003E5E46"/>
    <w:rsid w:val="003E5E8B"/>
    <w:rsid w:val="003E66D6"/>
    <w:rsid w:val="003E71A2"/>
    <w:rsid w:val="003E720F"/>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B71"/>
    <w:rsid w:val="00413BA4"/>
    <w:rsid w:val="00413E74"/>
    <w:rsid w:val="004141BE"/>
    <w:rsid w:val="00414887"/>
    <w:rsid w:val="00416EAF"/>
    <w:rsid w:val="00417923"/>
    <w:rsid w:val="004212E7"/>
    <w:rsid w:val="0042253E"/>
    <w:rsid w:val="00422D9D"/>
    <w:rsid w:val="00422F22"/>
    <w:rsid w:val="00423C88"/>
    <w:rsid w:val="0042446D"/>
    <w:rsid w:val="00425436"/>
    <w:rsid w:val="00427BF8"/>
    <w:rsid w:val="00431C02"/>
    <w:rsid w:val="004324D5"/>
    <w:rsid w:val="00432E68"/>
    <w:rsid w:val="00433A14"/>
    <w:rsid w:val="00435867"/>
    <w:rsid w:val="00435979"/>
    <w:rsid w:val="00437395"/>
    <w:rsid w:val="004405D9"/>
    <w:rsid w:val="00441144"/>
    <w:rsid w:val="004419D1"/>
    <w:rsid w:val="004421EA"/>
    <w:rsid w:val="00445047"/>
    <w:rsid w:val="00446749"/>
    <w:rsid w:val="00447F94"/>
    <w:rsid w:val="004510EC"/>
    <w:rsid w:val="00453EB7"/>
    <w:rsid w:val="0045423F"/>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2AD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D3"/>
    <w:rsid w:val="00491BEA"/>
    <w:rsid w:val="00493048"/>
    <w:rsid w:val="00495001"/>
    <w:rsid w:val="00495887"/>
    <w:rsid w:val="004958E7"/>
    <w:rsid w:val="00495C0A"/>
    <w:rsid w:val="0049621B"/>
    <w:rsid w:val="004971B4"/>
    <w:rsid w:val="004A0543"/>
    <w:rsid w:val="004A0846"/>
    <w:rsid w:val="004A1469"/>
    <w:rsid w:val="004A1717"/>
    <w:rsid w:val="004A1C47"/>
    <w:rsid w:val="004A1D19"/>
    <w:rsid w:val="004A2086"/>
    <w:rsid w:val="004A24B0"/>
    <w:rsid w:val="004A4326"/>
    <w:rsid w:val="004A4599"/>
    <w:rsid w:val="004A5007"/>
    <w:rsid w:val="004A64E1"/>
    <w:rsid w:val="004A68F7"/>
    <w:rsid w:val="004A6B20"/>
    <w:rsid w:val="004A6FC0"/>
    <w:rsid w:val="004A721E"/>
    <w:rsid w:val="004A72B9"/>
    <w:rsid w:val="004A746F"/>
    <w:rsid w:val="004A7566"/>
    <w:rsid w:val="004A7A1C"/>
    <w:rsid w:val="004B2D17"/>
    <w:rsid w:val="004B3273"/>
    <w:rsid w:val="004B36A5"/>
    <w:rsid w:val="004B4D60"/>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42E4"/>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3AB7"/>
    <w:rsid w:val="00516534"/>
    <w:rsid w:val="0052004D"/>
    <w:rsid w:val="005203F1"/>
    <w:rsid w:val="0052088E"/>
    <w:rsid w:val="00521BC3"/>
    <w:rsid w:val="005221EB"/>
    <w:rsid w:val="0052251B"/>
    <w:rsid w:val="00523AC4"/>
    <w:rsid w:val="00523E7A"/>
    <w:rsid w:val="00524B76"/>
    <w:rsid w:val="00524F7A"/>
    <w:rsid w:val="0052623B"/>
    <w:rsid w:val="00526654"/>
    <w:rsid w:val="0052721B"/>
    <w:rsid w:val="0053015B"/>
    <w:rsid w:val="00530785"/>
    <w:rsid w:val="00531873"/>
    <w:rsid w:val="00532A18"/>
    <w:rsid w:val="00532E05"/>
    <w:rsid w:val="0053307D"/>
    <w:rsid w:val="00533632"/>
    <w:rsid w:val="0053396F"/>
    <w:rsid w:val="00533D4A"/>
    <w:rsid w:val="00534013"/>
    <w:rsid w:val="00534ED3"/>
    <w:rsid w:val="00537033"/>
    <w:rsid w:val="00537181"/>
    <w:rsid w:val="0053734E"/>
    <w:rsid w:val="00537CD7"/>
    <w:rsid w:val="00540441"/>
    <w:rsid w:val="0054058E"/>
    <w:rsid w:val="005405F5"/>
    <w:rsid w:val="0054095E"/>
    <w:rsid w:val="00540C5C"/>
    <w:rsid w:val="00541E6E"/>
    <w:rsid w:val="0054251F"/>
    <w:rsid w:val="00542FEA"/>
    <w:rsid w:val="00546BCF"/>
    <w:rsid w:val="00547819"/>
    <w:rsid w:val="00550EB3"/>
    <w:rsid w:val="005511B7"/>
    <w:rsid w:val="005511F1"/>
    <w:rsid w:val="005515DB"/>
    <w:rsid w:val="00551D3D"/>
    <w:rsid w:val="005520D8"/>
    <w:rsid w:val="0055275E"/>
    <w:rsid w:val="00552CEE"/>
    <w:rsid w:val="00553344"/>
    <w:rsid w:val="00553F5E"/>
    <w:rsid w:val="00555548"/>
    <w:rsid w:val="00555CFB"/>
    <w:rsid w:val="00556A03"/>
    <w:rsid w:val="00556ADB"/>
    <w:rsid w:val="00556CF1"/>
    <w:rsid w:val="00556E2D"/>
    <w:rsid w:val="0055796D"/>
    <w:rsid w:val="00557B02"/>
    <w:rsid w:val="0056057E"/>
    <w:rsid w:val="0056061B"/>
    <w:rsid w:val="0056098D"/>
    <w:rsid w:val="00560DBE"/>
    <w:rsid w:val="00561466"/>
    <w:rsid w:val="005625F6"/>
    <w:rsid w:val="005626F0"/>
    <w:rsid w:val="00565C9D"/>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8D1"/>
    <w:rsid w:val="00583940"/>
    <w:rsid w:val="005844FC"/>
    <w:rsid w:val="00584794"/>
    <w:rsid w:val="005850AC"/>
    <w:rsid w:val="00585E96"/>
    <w:rsid w:val="005870EC"/>
    <w:rsid w:val="0058782F"/>
    <w:rsid w:val="00587C86"/>
    <w:rsid w:val="00587CEE"/>
    <w:rsid w:val="00590B84"/>
    <w:rsid w:val="005916D7"/>
    <w:rsid w:val="00591F70"/>
    <w:rsid w:val="00591FA4"/>
    <w:rsid w:val="00592661"/>
    <w:rsid w:val="005932DC"/>
    <w:rsid w:val="0059427F"/>
    <w:rsid w:val="00594DDF"/>
    <w:rsid w:val="00594F52"/>
    <w:rsid w:val="005975B8"/>
    <w:rsid w:val="00597DE2"/>
    <w:rsid w:val="005A1238"/>
    <w:rsid w:val="005A3221"/>
    <w:rsid w:val="005A3338"/>
    <w:rsid w:val="005A5FB9"/>
    <w:rsid w:val="005A60DF"/>
    <w:rsid w:val="005A6572"/>
    <w:rsid w:val="005A6896"/>
    <w:rsid w:val="005A698C"/>
    <w:rsid w:val="005B099C"/>
    <w:rsid w:val="005B1799"/>
    <w:rsid w:val="005B2965"/>
    <w:rsid w:val="005B3273"/>
    <w:rsid w:val="005B3F84"/>
    <w:rsid w:val="005B4347"/>
    <w:rsid w:val="005B4590"/>
    <w:rsid w:val="005B4CAD"/>
    <w:rsid w:val="005B5C42"/>
    <w:rsid w:val="005B71A4"/>
    <w:rsid w:val="005C0CAC"/>
    <w:rsid w:val="005C3190"/>
    <w:rsid w:val="005C43BC"/>
    <w:rsid w:val="005C567C"/>
    <w:rsid w:val="005D04B2"/>
    <w:rsid w:val="005D062E"/>
    <w:rsid w:val="005D2F6B"/>
    <w:rsid w:val="005D41EF"/>
    <w:rsid w:val="005D4AA9"/>
    <w:rsid w:val="005D4DE5"/>
    <w:rsid w:val="005D4FDC"/>
    <w:rsid w:val="005D68D7"/>
    <w:rsid w:val="005D72D8"/>
    <w:rsid w:val="005E0034"/>
    <w:rsid w:val="005E0060"/>
    <w:rsid w:val="005E0799"/>
    <w:rsid w:val="005E07DC"/>
    <w:rsid w:val="005E0E58"/>
    <w:rsid w:val="005E10F9"/>
    <w:rsid w:val="005E1200"/>
    <w:rsid w:val="005E12BF"/>
    <w:rsid w:val="005E2FD9"/>
    <w:rsid w:val="005E3A4A"/>
    <w:rsid w:val="005E75A0"/>
    <w:rsid w:val="005F0A89"/>
    <w:rsid w:val="005F0AE0"/>
    <w:rsid w:val="005F16C4"/>
    <w:rsid w:val="005F1968"/>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1709C"/>
    <w:rsid w:val="00621C0C"/>
    <w:rsid w:val="00622749"/>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4A8"/>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416"/>
    <w:rsid w:val="00667BC3"/>
    <w:rsid w:val="006702B1"/>
    <w:rsid w:val="00670607"/>
    <w:rsid w:val="0067251E"/>
    <w:rsid w:val="00673128"/>
    <w:rsid w:val="00673C26"/>
    <w:rsid w:val="00674DE5"/>
    <w:rsid w:val="00675192"/>
    <w:rsid w:val="00675FA4"/>
    <w:rsid w:val="00676F6C"/>
    <w:rsid w:val="00677751"/>
    <w:rsid w:val="006778AF"/>
    <w:rsid w:val="00677ACA"/>
    <w:rsid w:val="006800CF"/>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138"/>
    <w:rsid w:val="0069739A"/>
    <w:rsid w:val="00697B30"/>
    <w:rsid w:val="006A291B"/>
    <w:rsid w:val="006A2A9B"/>
    <w:rsid w:val="006A3C61"/>
    <w:rsid w:val="006A3EAA"/>
    <w:rsid w:val="006A4686"/>
    <w:rsid w:val="006A4C0F"/>
    <w:rsid w:val="006A6579"/>
    <w:rsid w:val="006B0E9E"/>
    <w:rsid w:val="006B1CF5"/>
    <w:rsid w:val="006B2288"/>
    <w:rsid w:val="006B265C"/>
    <w:rsid w:val="006B3618"/>
    <w:rsid w:val="006B43C8"/>
    <w:rsid w:val="006B486D"/>
    <w:rsid w:val="006B5492"/>
    <w:rsid w:val="006B54A7"/>
    <w:rsid w:val="006B5AE4"/>
    <w:rsid w:val="006B7591"/>
    <w:rsid w:val="006C0AF8"/>
    <w:rsid w:val="006C15E8"/>
    <w:rsid w:val="006C30D3"/>
    <w:rsid w:val="006C3888"/>
    <w:rsid w:val="006C3FD5"/>
    <w:rsid w:val="006C4831"/>
    <w:rsid w:val="006C50A8"/>
    <w:rsid w:val="006C58C2"/>
    <w:rsid w:val="006C75D9"/>
    <w:rsid w:val="006D003F"/>
    <w:rsid w:val="006D1507"/>
    <w:rsid w:val="006D19E9"/>
    <w:rsid w:val="006D3FF8"/>
    <w:rsid w:val="006D4054"/>
    <w:rsid w:val="006D416E"/>
    <w:rsid w:val="006D4A5E"/>
    <w:rsid w:val="006D775F"/>
    <w:rsid w:val="006E02EC"/>
    <w:rsid w:val="006E189F"/>
    <w:rsid w:val="006E3C4F"/>
    <w:rsid w:val="006E3E8D"/>
    <w:rsid w:val="006E6F41"/>
    <w:rsid w:val="006E72A7"/>
    <w:rsid w:val="006E73E6"/>
    <w:rsid w:val="006E7CDD"/>
    <w:rsid w:val="006E7E60"/>
    <w:rsid w:val="006F0782"/>
    <w:rsid w:val="006F2230"/>
    <w:rsid w:val="006F277C"/>
    <w:rsid w:val="006F31C8"/>
    <w:rsid w:val="006F3566"/>
    <w:rsid w:val="006F44F4"/>
    <w:rsid w:val="006F4A7F"/>
    <w:rsid w:val="006F505D"/>
    <w:rsid w:val="00701685"/>
    <w:rsid w:val="007025A2"/>
    <w:rsid w:val="00702A2A"/>
    <w:rsid w:val="00703357"/>
    <w:rsid w:val="00704045"/>
    <w:rsid w:val="007041B8"/>
    <w:rsid w:val="00707F3F"/>
    <w:rsid w:val="0071003E"/>
    <w:rsid w:val="00710687"/>
    <w:rsid w:val="00710D00"/>
    <w:rsid w:val="0071176B"/>
    <w:rsid w:val="007124F1"/>
    <w:rsid w:val="00713729"/>
    <w:rsid w:val="00713E22"/>
    <w:rsid w:val="0071427B"/>
    <w:rsid w:val="007158AB"/>
    <w:rsid w:val="00715DE0"/>
    <w:rsid w:val="00715EDB"/>
    <w:rsid w:val="007173D1"/>
    <w:rsid w:val="0071752C"/>
    <w:rsid w:val="007211B1"/>
    <w:rsid w:val="00721DF1"/>
    <w:rsid w:val="00722A0B"/>
    <w:rsid w:val="00725EE9"/>
    <w:rsid w:val="007277DA"/>
    <w:rsid w:val="00731169"/>
    <w:rsid w:val="00731D27"/>
    <w:rsid w:val="00733F2B"/>
    <w:rsid w:val="007342B4"/>
    <w:rsid w:val="00734E1E"/>
    <w:rsid w:val="00736A1A"/>
    <w:rsid w:val="00737B96"/>
    <w:rsid w:val="0074063E"/>
    <w:rsid w:val="0074187B"/>
    <w:rsid w:val="00742A47"/>
    <w:rsid w:val="00743D4B"/>
    <w:rsid w:val="00743DC7"/>
    <w:rsid w:val="007454E5"/>
    <w:rsid w:val="00746187"/>
    <w:rsid w:val="00746DB0"/>
    <w:rsid w:val="00750FF0"/>
    <w:rsid w:val="007514E9"/>
    <w:rsid w:val="00751D9B"/>
    <w:rsid w:val="007557CC"/>
    <w:rsid w:val="007575B5"/>
    <w:rsid w:val="00757EC4"/>
    <w:rsid w:val="007600A8"/>
    <w:rsid w:val="00760F9D"/>
    <w:rsid w:val="007614E8"/>
    <w:rsid w:val="0076236E"/>
    <w:rsid w:val="0076254F"/>
    <w:rsid w:val="007643E3"/>
    <w:rsid w:val="00765085"/>
    <w:rsid w:val="00765293"/>
    <w:rsid w:val="00765BED"/>
    <w:rsid w:val="00767E50"/>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9E7"/>
    <w:rsid w:val="00787B0B"/>
    <w:rsid w:val="007908E3"/>
    <w:rsid w:val="007926B6"/>
    <w:rsid w:val="0079490B"/>
    <w:rsid w:val="0079514B"/>
    <w:rsid w:val="00795252"/>
    <w:rsid w:val="007963C9"/>
    <w:rsid w:val="00797892"/>
    <w:rsid w:val="007A0795"/>
    <w:rsid w:val="007A226F"/>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4A23"/>
    <w:rsid w:val="007B5040"/>
    <w:rsid w:val="007B601B"/>
    <w:rsid w:val="007B63D4"/>
    <w:rsid w:val="007C0815"/>
    <w:rsid w:val="007C2331"/>
    <w:rsid w:val="007C6DF1"/>
    <w:rsid w:val="007C7D79"/>
    <w:rsid w:val="007C7F9F"/>
    <w:rsid w:val="007D07E5"/>
    <w:rsid w:val="007D0869"/>
    <w:rsid w:val="007D0CEC"/>
    <w:rsid w:val="007D14C4"/>
    <w:rsid w:val="007D3319"/>
    <w:rsid w:val="007D335D"/>
    <w:rsid w:val="007D5709"/>
    <w:rsid w:val="007D5AE5"/>
    <w:rsid w:val="007D605C"/>
    <w:rsid w:val="007D72EE"/>
    <w:rsid w:val="007E02D9"/>
    <w:rsid w:val="007E1079"/>
    <w:rsid w:val="007E1499"/>
    <w:rsid w:val="007E3314"/>
    <w:rsid w:val="007E3514"/>
    <w:rsid w:val="007E367C"/>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404"/>
    <w:rsid w:val="007F78EC"/>
    <w:rsid w:val="008007BF"/>
    <w:rsid w:val="00800E76"/>
    <w:rsid w:val="00800F14"/>
    <w:rsid w:val="008019CB"/>
    <w:rsid w:val="0080321C"/>
    <w:rsid w:val="0080553C"/>
    <w:rsid w:val="00805B46"/>
    <w:rsid w:val="00805C5C"/>
    <w:rsid w:val="00805DB4"/>
    <w:rsid w:val="00805EB2"/>
    <w:rsid w:val="0081038A"/>
    <w:rsid w:val="008106B1"/>
    <w:rsid w:val="00810784"/>
    <w:rsid w:val="008112CE"/>
    <w:rsid w:val="0081200F"/>
    <w:rsid w:val="00814D88"/>
    <w:rsid w:val="00816BE2"/>
    <w:rsid w:val="00817867"/>
    <w:rsid w:val="0082043D"/>
    <w:rsid w:val="00822DE1"/>
    <w:rsid w:val="00823593"/>
    <w:rsid w:val="00825DC2"/>
    <w:rsid w:val="00826CCF"/>
    <w:rsid w:val="00827B6A"/>
    <w:rsid w:val="0083103F"/>
    <w:rsid w:val="008310A2"/>
    <w:rsid w:val="00832944"/>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25F0"/>
    <w:rsid w:val="00853262"/>
    <w:rsid w:val="00854836"/>
    <w:rsid w:val="008549BB"/>
    <w:rsid w:val="00854D60"/>
    <w:rsid w:val="00855A56"/>
    <w:rsid w:val="00855BDE"/>
    <w:rsid w:val="0086082C"/>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1CE"/>
    <w:rsid w:val="008A52EC"/>
    <w:rsid w:val="008A5637"/>
    <w:rsid w:val="008A5DAB"/>
    <w:rsid w:val="008A6473"/>
    <w:rsid w:val="008A648D"/>
    <w:rsid w:val="008A76FE"/>
    <w:rsid w:val="008A7B5B"/>
    <w:rsid w:val="008B11CC"/>
    <w:rsid w:val="008B12D2"/>
    <w:rsid w:val="008B1614"/>
    <w:rsid w:val="008B2015"/>
    <w:rsid w:val="008B572B"/>
    <w:rsid w:val="008B7756"/>
    <w:rsid w:val="008C00EC"/>
    <w:rsid w:val="008C0428"/>
    <w:rsid w:val="008C0C29"/>
    <w:rsid w:val="008C4A2C"/>
    <w:rsid w:val="008C4D54"/>
    <w:rsid w:val="008C575E"/>
    <w:rsid w:val="008C599F"/>
    <w:rsid w:val="008D0278"/>
    <w:rsid w:val="008D02DA"/>
    <w:rsid w:val="008D2F55"/>
    <w:rsid w:val="008D3B88"/>
    <w:rsid w:val="008D4A9C"/>
    <w:rsid w:val="008D4B19"/>
    <w:rsid w:val="008D4BCF"/>
    <w:rsid w:val="008D4EE4"/>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39B2"/>
    <w:rsid w:val="008F3B91"/>
    <w:rsid w:val="008F4441"/>
    <w:rsid w:val="008F4B71"/>
    <w:rsid w:val="008F6B20"/>
    <w:rsid w:val="008F6DEF"/>
    <w:rsid w:val="008F6F31"/>
    <w:rsid w:val="008F74DF"/>
    <w:rsid w:val="008F7E65"/>
    <w:rsid w:val="00900E1E"/>
    <w:rsid w:val="00901064"/>
    <w:rsid w:val="00902120"/>
    <w:rsid w:val="00902274"/>
    <w:rsid w:val="009027BC"/>
    <w:rsid w:val="009028C1"/>
    <w:rsid w:val="00905F1D"/>
    <w:rsid w:val="0090612D"/>
    <w:rsid w:val="00907CB0"/>
    <w:rsid w:val="009119C8"/>
    <w:rsid w:val="00911AC2"/>
    <w:rsid w:val="00911FF1"/>
    <w:rsid w:val="009127BA"/>
    <w:rsid w:val="00912888"/>
    <w:rsid w:val="00912D0F"/>
    <w:rsid w:val="00913450"/>
    <w:rsid w:val="00913DF0"/>
    <w:rsid w:val="00914E8E"/>
    <w:rsid w:val="0092073A"/>
    <w:rsid w:val="00920AAE"/>
    <w:rsid w:val="00920D6B"/>
    <w:rsid w:val="009223CC"/>
    <w:rsid w:val="009227A6"/>
    <w:rsid w:val="00922D8C"/>
    <w:rsid w:val="009238F3"/>
    <w:rsid w:val="00923D0C"/>
    <w:rsid w:val="009252D2"/>
    <w:rsid w:val="00926560"/>
    <w:rsid w:val="00927AD0"/>
    <w:rsid w:val="00931088"/>
    <w:rsid w:val="00931B72"/>
    <w:rsid w:val="00931EB4"/>
    <w:rsid w:val="00932F70"/>
    <w:rsid w:val="00933EC1"/>
    <w:rsid w:val="009347D5"/>
    <w:rsid w:val="00935C28"/>
    <w:rsid w:val="009372EE"/>
    <w:rsid w:val="0094139F"/>
    <w:rsid w:val="009417C5"/>
    <w:rsid w:val="00942C9D"/>
    <w:rsid w:val="009434E6"/>
    <w:rsid w:val="0094447B"/>
    <w:rsid w:val="009446AD"/>
    <w:rsid w:val="009449AA"/>
    <w:rsid w:val="00946821"/>
    <w:rsid w:val="009471D4"/>
    <w:rsid w:val="00947BEA"/>
    <w:rsid w:val="00947DB9"/>
    <w:rsid w:val="009513B7"/>
    <w:rsid w:val="00951627"/>
    <w:rsid w:val="009530DB"/>
    <w:rsid w:val="00953676"/>
    <w:rsid w:val="00953AB8"/>
    <w:rsid w:val="00954022"/>
    <w:rsid w:val="009544AD"/>
    <w:rsid w:val="00955BAD"/>
    <w:rsid w:val="0095673A"/>
    <w:rsid w:val="00956F30"/>
    <w:rsid w:val="0095798B"/>
    <w:rsid w:val="0096011C"/>
    <w:rsid w:val="0096158D"/>
    <w:rsid w:val="00961CC6"/>
    <w:rsid w:val="00962CD9"/>
    <w:rsid w:val="0096358E"/>
    <w:rsid w:val="00963E28"/>
    <w:rsid w:val="00965B01"/>
    <w:rsid w:val="00966C9A"/>
    <w:rsid w:val="00967374"/>
    <w:rsid w:val="00967837"/>
    <w:rsid w:val="009705EE"/>
    <w:rsid w:val="00971445"/>
    <w:rsid w:val="0097273D"/>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48D1"/>
    <w:rsid w:val="00985B42"/>
    <w:rsid w:val="00991BAC"/>
    <w:rsid w:val="0099257F"/>
    <w:rsid w:val="009929A9"/>
    <w:rsid w:val="00993426"/>
    <w:rsid w:val="00993C70"/>
    <w:rsid w:val="0099461D"/>
    <w:rsid w:val="0099757D"/>
    <w:rsid w:val="009A25EE"/>
    <w:rsid w:val="009A3E21"/>
    <w:rsid w:val="009A614F"/>
    <w:rsid w:val="009A62CB"/>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44C"/>
    <w:rsid w:val="009C687D"/>
    <w:rsid w:val="009C6A04"/>
    <w:rsid w:val="009C7251"/>
    <w:rsid w:val="009D3454"/>
    <w:rsid w:val="009D50C7"/>
    <w:rsid w:val="009D54C9"/>
    <w:rsid w:val="009D57C9"/>
    <w:rsid w:val="009D5CB2"/>
    <w:rsid w:val="009E1E16"/>
    <w:rsid w:val="009E2E91"/>
    <w:rsid w:val="009E3538"/>
    <w:rsid w:val="009E35EE"/>
    <w:rsid w:val="009E4ADF"/>
    <w:rsid w:val="009E4AFE"/>
    <w:rsid w:val="009E4D0C"/>
    <w:rsid w:val="009E604D"/>
    <w:rsid w:val="009E61F4"/>
    <w:rsid w:val="009E629C"/>
    <w:rsid w:val="009E6880"/>
    <w:rsid w:val="009E6FCA"/>
    <w:rsid w:val="009E73BD"/>
    <w:rsid w:val="009F0245"/>
    <w:rsid w:val="009F0BBA"/>
    <w:rsid w:val="009F3F4B"/>
    <w:rsid w:val="009F49DA"/>
    <w:rsid w:val="009F5CD5"/>
    <w:rsid w:val="009F7620"/>
    <w:rsid w:val="00A004EE"/>
    <w:rsid w:val="00A00993"/>
    <w:rsid w:val="00A00BBD"/>
    <w:rsid w:val="00A01B40"/>
    <w:rsid w:val="00A04D1D"/>
    <w:rsid w:val="00A0693D"/>
    <w:rsid w:val="00A10414"/>
    <w:rsid w:val="00A10475"/>
    <w:rsid w:val="00A11765"/>
    <w:rsid w:val="00A11D12"/>
    <w:rsid w:val="00A13746"/>
    <w:rsid w:val="00A139F5"/>
    <w:rsid w:val="00A14D34"/>
    <w:rsid w:val="00A175B3"/>
    <w:rsid w:val="00A2004E"/>
    <w:rsid w:val="00A22F32"/>
    <w:rsid w:val="00A2524B"/>
    <w:rsid w:val="00A254F9"/>
    <w:rsid w:val="00A26309"/>
    <w:rsid w:val="00A275E7"/>
    <w:rsid w:val="00A27819"/>
    <w:rsid w:val="00A3064F"/>
    <w:rsid w:val="00A307A2"/>
    <w:rsid w:val="00A328CB"/>
    <w:rsid w:val="00A32E16"/>
    <w:rsid w:val="00A330C5"/>
    <w:rsid w:val="00A3394B"/>
    <w:rsid w:val="00A34300"/>
    <w:rsid w:val="00A365F4"/>
    <w:rsid w:val="00A36723"/>
    <w:rsid w:val="00A367A6"/>
    <w:rsid w:val="00A36D7F"/>
    <w:rsid w:val="00A36FA3"/>
    <w:rsid w:val="00A3713B"/>
    <w:rsid w:val="00A37AE2"/>
    <w:rsid w:val="00A40292"/>
    <w:rsid w:val="00A41AE4"/>
    <w:rsid w:val="00A41E61"/>
    <w:rsid w:val="00A436D6"/>
    <w:rsid w:val="00A45D3B"/>
    <w:rsid w:val="00A45F04"/>
    <w:rsid w:val="00A46AFE"/>
    <w:rsid w:val="00A473D7"/>
    <w:rsid w:val="00A47B5B"/>
    <w:rsid w:val="00A47D80"/>
    <w:rsid w:val="00A47F4A"/>
    <w:rsid w:val="00A518F4"/>
    <w:rsid w:val="00A53132"/>
    <w:rsid w:val="00A5339C"/>
    <w:rsid w:val="00A53C29"/>
    <w:rsid w:val="00A53F76"/>
    <w:rsid w:val="00A54447"/>
    <w:rsid w:val="00A54C8C"/>
    <w:rsid w:val="00A55B45"/>
    <w:rsid w:val="00A563F2"/>
    <w:rsid w:val="00A566E8"/>
    <w:rsid w:val="00A573C6"/>
    <w:rsid w:val="00A60366"/>
    <w:rsid w:val="00A607F8"/>
    <w:rsid w:val="00A608B2"/>
    <w:rsid w:val="00A62595"/>
    <w:rsid w:val="00A62D55"/>
    <w:rsid w:val="00A64238"/>
    <w:rsid w:val="00A64527"/>
    <w:rsid w:val="00A64DDF"/>
    <w:rsid w:val="00A66347"/>
    <w:rsid w:val="00A66678"/>
    <w:rsid w:val="00A669A0"/>
    <w:rsid w:val="00A6799C"/>
    <w:rsid w:val="00A70836"/>
    <w:rsid w:val="00A711DB"/>
    <w:rsid w:val="00A7274A"/>
    <w:rsid w:val="00A731F5"/>
    <w:rsid w:val="00A74865"/>
    <w:rsid w:val="00A750F2"/>
    <w:rsid w:val="00A75D45"/>
    <w:rsid w:val="00A75F25"/>
    <w:rsid w:val="00A76378"/>
    <w:rsid w:val="00A77156"/>
    <w:rsid w:val="00A77DAA"/>
    <w:rsid w:val="00A810F9"/>
    <w:rsid w:val="00A81685"/>
    <w:rsid w:val="00A827CB"/>
    <w:rsid w:val="00A82B21"/>
    <w:rsid w:val="00A82D31"/>
    <w:rsid w:val="00A84D3F"/>
    <w:rsid w:val="00A853CB"/>
    <w:rsid w:val="00A85E7E"/>
    <w:rsid w:val="00A86ECC"/>
    <w:rsid w:val="00A86FCC"/>
    <w:rsid w:val="00A87BA2"/>
    <w:rsid w:val="00A901EB"/>
    <w:rsid w:val="00A90A6D"/>
    <w:rsid w:val="00A910E6"/>
    <w:rsid w:val="00A9178E"/>
    <w:rsid w:val="00A91FDD"/>
    <w:rsid w:val="00A920BB"/>
    <w:rsid w:val="00A9408F"/>
    <w:rsid w:val="00A944F9"/>
    <w:rsid w:val="00A954E8"/>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28CB"/>
    <w:rsid w:val="00AC36A6"/>
    <w:rsid w:val="00AC4469"/>
    <w:rsid w:val="00AC474A"/>
    <w:rsid w:val="00AC699F"/>
    <w:rsid w:val="00AC6E41"/>
    <w:rsid w:val="00AC75E6"/>
    <w:rsid w:val="00AD0E56"/>
    <w:rsid w:val="00AD1AA6"/>
    <w:rsid w:val="00AD1E99"/>
    <w:rsid w:val="00AD248A"/>
    <w:rsid w:val="00AD49E9"/>
    <w:rsid w:val="00AD51C5"/>
    <w:rsid w:val="00AD58F4"/>
    <w:rsid w:val="00AD6356"/>
    <w:rsid w:val="00AD6942"/>
    <w:rsid w:val="00AD7A64"/>
    <w:rsid w:val="00AE229B"/>
    <w:rsid w:val="00AE257A"/>
    <w:rsid w:val="00AE2D4B"/>
    <w:rsid w:val="00AE3971"/>
    <w:rsid w:val="00AE3ACA"/>
    <w:rsid w:val="00AE4F99"/>
    <w:rsid w:val="00AE5097"/>
    <w:rsid w:val="00AF09A5"/>
    <w:rsid w:val="00AF1127"/>
    <w:rsid w:val="00AF1EBD"/>
    <w:rsid w:val="00AF204B"/>
    <w:rsid w:val="00AF2452"/>
    <w:rsid w:val="00AF29F6"/>
    <w:rsid w:val="00AF38C9"/>
    <w:rsid w:val="00AF3D74"/>
    <w:rsid w:val="00AF4CA2"/>
    <w:rsid w:val="00AF5E12"/>
    <w:rsid w:val="00AF6C42"/>
    <w:rsid w:val="00AF6CA5"/>
    <w:rsid w:val="00AF7413"/>
    <w:rsid w:val="00B000A8"/>
    <w:rsid w:val="00B002A9"/>
    <w:rsid w:val="00B00A72"/>
    <w:rsid w:val="00B02AAC"/>
    <w:rsid w:val="00B02E43"/>
    <w:rsid w:val="00B03641"/>
    <w:rsid w:val="00B047DB"/>
    <w:rsid w:val="00B060A8"/>
    <w:rsid w:val="00B0642E"/>
    <w:rsid w:val="00B0689A"/>
    <w:rsid w:val="00B0698C"/>
    <w:rsid w:val="00B07B97"/>
    <w:rsid w:val="00B10249"/>
    <w:rsid w:val="00B1061C"/>
    <w:rsid w:val="00B10E30"/>
    <w:rsid w:val="00B1164B"/>
    <w:rsid w:val="00B11855"/>
    <w:rsid w:val="00B11B69"/>
    <w:rsid w:val="00B11C8B"/>
    <w:rsid w:val="00B12640"/>
    <w:rsid w:val="00B1379F"/>
    <w:rsid w:val="00B138D5"/>
    <w:rsid w:val="00B14952"/>
    <w:rsid w:val="00B14BA6"/>
    <w:rsid w:val="00B14F2C"/>
    <w:rsid w:val="00B15ABD"/>
    <w:rsid w:val="00B16713"/>
    <w:rsid w:val="00B16871"/>
    <w:rsid w:val="00B2205D"/>
    <w:rsid w:val="00B22EC0"/>
    <w:rsid w:val="00B22EEB"/>
    <w:rsid w:val="00B24C2C"/>
    <w:rsid w:val="00B24D00"/>
    <w:rsid w:val="00B25B45"/>
    <w:rsid w:val="00B26BBB"/>
    <w:rsid w:val="00B27242"/>
    <w:rsid w:val="00B272A1"/>
    <w:rsid w:val="00B30CA2"/>
    <w:rsid w:val="00B31D92"/>
    <w:rsid w:val="00B31E5A"/>
    <w:rsid w:val="00B32B63"/>
    <w:rsid w:val="00B3303C"/>
    <w:rsid w:val="00B33759"/>
    <w:rsid w:val="00B33B62"/>
    <w:rsid w:val="00B33D56"/>
    <w:rsid w:val="00B343AD"/>
    <w:rsid w:val="00B3471E"/>
    <w:rsid w:val="00B3524F"/>
    <w:rsid w:val="00B358FB"/>
    <w:rsid w:val="00B405DF"/>
    <w:rsid w:val="00B4183D"/>
    <w:rsid w:val="00B41DA7"/>
    <w:rsid w:val="00B42088"/>
    <w:rsid w:val="00B427CC"/>
    <w:rsid w:val="00B4364E"/>
    <w:rsid w:val="00B43938"/>
    <w:rsid w:val="00B445A5"/>
    <w:rsid w:val="00B469C3"/>
    <w:rsid w:val="00B47359"/>
    <w:rsid w:val="00B47D4A"/>
    <w:rsid w:val="00B51835"/>
    <w:rsid w:val="00B52A32"/>
    <w:rsid w:val="00B5505E"/>
    <w:rsid w:val="00B55390"/>
    <w:rsid w:val="00B5607A"/>
    <w:rsid w:val="00B56777"/>
    <w:rsid w:val="00B56ACF"/>
    <w:rsid w:val="00B575E6"/>
    <w:rsid w:val="00B57F0A"/>
    <w:rsid w:val="00B61366"/>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6791B"/>
    <w:rsid w:val="00B71DC7"/>
    <w:rsid w:val="00B7349D"/>
    <w:rsid w:val="00B7386E"/>
    <w:rsid w:val="00B73D86"/>
    <w:rsid w:val="00B74121"/>
    <w:rsid w:val="00B74162"/>
    <w:rsid w:val="00B74669"/>
    <w:rsid w:val="00B74B1C"/>
    <w:rsid w:val="00B761F3"/>
    <w:rsid w:val="00B76B2B"/>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37AA"/>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0728"/>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181"/>
    <w:rsid w:val="00BC777D"/>
    <w:rsid w:val="00BD1855"/>
    <w:rsid w:val="00BD18DC"/>
    <w:rsid w:val="00BD1A9A"/>
    <w:rsid w:val="00BD2BBD"/>
    <w:rsid w:val="00BD3061"/>
    <w:rsid w:val="00BD483E"/>
    <w:rsid w:val="00BD4BB0"/>
    <w:rsid w:val="00BD4E33"/>
    <w:rsid w:val="00BD5571"/>
    <w:rsid w:val="00BD6B15"/>
    <w:rsid w:val="00BD774A"/>
    <w:rsid w:val="00BE0759"/>
    <w:rsid w:val="00BE1655"/>
    <w:rsid w:val="00BE2046"/>
    <w:rsid w:val="00BE321C"/>
    <w:rsid w:val="00BE6521"/>
    <w:rsid w:val="00BE703E"/>
    <w:rsid w:val="00BE7526"/>
    <w:rsid w:val="00BE77B1"/>
    <w:rsid w:val="00BE78F4"/>
    <w:rsid w:val="00BF012D"/>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00B6"/>
    <w:rsid w:val="00C2119C"/>
    <w:rsid w:val="00C22105"/>
    <w:rsid w:val="00C233BB"/>
    <w:rsid w:val="00C244B6"/>
    <w:rsid w:val="00C27BF1"/>
    <w:rsid w:val="00C318B6"/>
    <w:rsid w:val="00C31DFC"/>
    <w:rsid w:val="00C33D18"/>
    <w:rsid w:val="00C342EF"/>
    <w:rsid w:val="00C354B7"/>
    <w:rsid w:val="00C3603C"/>
    <w:rsid w:val="00C3702F"/>
    <w:rsid w:val="00C378D6"/>
    <w:rsid w:val="00C40377"/>
    <w:rsid w:val="00C4180F"/>
    <w:rsid w:val="00C420D4"/>
    <w:rsid w:val="00C43C90"/>
    <w:rsid w:val="00C44031"/>
    <w:rsid w:val="00C4500A"/>
    <w:rsid w:val="00C45459"/>
    <w:rsid w:val="00C46188"/>
    <w:rsid w:val="00C5036E"/>
    <w:rsid w:val="00C50D9F"/>
    <w:rsid w:val="00C5167B"/>
    <w:rsid w:val="00C51F59"/>
    <w:rsid w:val="00C522AC"/>
    <w:rsid w:val="00C5308C"/>
    <w:rsid w:val="00C537FC"/>
    <w:rsid w:val="00C560D6"/>
    <w:rsid w:val="00C56B17"/>
    <w:rsid w:val="00C56D06"/>
    <w:rsid w:val="00C56EEE"/>
    <w:rsid w:val="00C56F2D"/>
    <w:rsid w:val="00C57F0E"/>
    <w:rsid w:val="00C605E1"/>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862B0"/>
    <w:rsid w:val="00C90E40"/>
    <w:rsid w:val="00C91687"/>
    <w:rsid w:val="00C91CEB"/>
    <w:rsid w:val="00C924A8"/>
    <w:rsid w:val="00C945FE"/>
    <w:rsid w:val="00C95A19"/>
    <w:rsid w:val="00C967E2"/>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3C1"/>
    <w:rsid w:val="00CB2F90"/>
    <w:rsid w:val="00CB3239"/>
    <w:rsid w:val="00CB4E26"/>
    <w:rsid w:val="00CB6AD4"/>
    <w:rsid w:val="00CB756E"/>
    <w:rsid w:val="00CC0C19"/>
    <w:rsid w:val="00CC0F6D"/>
    <w:rsid w:val="00CC5155"/>
    <w:rsid w:val="00CC5928"/>
    <w:rsid w:val="00CC5BE5"/>
    <w:rsid w:val="00CC739E"/>
    <w:rsid w:val="00CC7CA3"/>
    <w:rsid w:val="00CD04A3"/>
    <w:rsid w:val="00CD04FC"/>
    <w:rsid w:val="00CD1002"/>
    <w:rsid w:val="00CD12CD"/>
    <w:rsid w:val="00CD1509"/>
    <w:rsid w:val="00CD187A"/>
    <w:rsid w:val="00CD1EBB"/>
    <w:rsid w:val="00CD28CF"/>
    <w:rsid w:val="00CD3981"/>
    <w:rsid w:val="00CD45C3"/>
    <w:rsid w:val="00CD5288"/>
    <w:rsid w:val="00CD58B7"/>
    <w:rsid w:val="00CD5CF9"/>
    <w:rsid w:val="00CD7967"/>
    <w:rsid w:val="00CE2FAC"/>
    <w:rsid w:val="00CE3408"/>
    <w:rsid w:val="00CE51A3"/>
    <w:rsid w:val="00CE6127"/>
    <w:rsid w:val="00CE635B"/>
    <w:rsid w:val="00CE6A62"/>
    <w:rsid w:val="00CF18EE"/>
    <w:rsid w:val="00CF30BD"/>
    <w:rsid w:val="00CF4099"/>
    <w:rsid w:val="00CF4688"/>
    <w:rsid w:val="00CF48A6"/>
    <w:rsid w:val="00CF4E3D"/>
    <w:rsid w:val="00CF53B6"/>
    <w:rsid w:val="00CF5B70"/>
    <w:rsid w:val="00CF6F42"/>
    <w:rsid w:val="00D00507"/>
    <w:rsid w:val="00D00796"/>
    <w:rsid w:val="00D01737"/>
    <w:rsid w:val="00D0435A"/>
    <w:rsid w:val="00D04A17"/>
    <w:rsid w:val="00D061FD"/>
    <w:rsid w:val="00D068E0"/>
    <w:rsid w:val="00D1014D"/>
    <w:rsid w:val="00D10C4D"/>
    <w:rsid w:val="00D12CEC"/>
    <w:rsid w:val="00D12E1E"/>
    <w:rsid w:val="00D14CF8"/>
    <w:rsid w:val="00D15149"/>
    <w:rsid w:val="00D2040C"/>
    <w:rsid w:val="00D223A6"/>
    <w:rsid w:val="00D22D74"/>
    <w:rsid w:val="00D22F13"/>
    <w:rsid w:val="00D25B0D"/>
    <w:rsid w:val="00D261A2"/>
    <w:rsid w:val="00D265B0"/>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56E01"/>
    <w:rsid w:val="00D602ED"/>
    <w:rsid w:val="00D60F69"/>
    <w:rsid w:val="00D6135A"/>
    <w:rsid w:val="00D616D2"/>
    <w:rsid w:val="00D61DCD"/>
    <w:rsid w:val="00D63B5F"/>
    <w:rsid w:val="00D658A7"/>
    <w:rsid w:val="00D66151"/>
    <w:rsid w:val="00D66905"/>
    <w:rsid w:val="00D66D1F"/>
    <w:rsid w:val="00D67A64"/>
    <w:rsid w:val="00D70EF7"/>
    <w:rsid w:val="00D71433"/>
    <w:rsid w:val="00D71D22"/>
    <w:rsid w:val="00D72003"/>
    <w:rsid w:val="00D7513E"/>
    <w:rsid w:val="00D8061D"/>
    <w:rsid w:val="00D80B70"/>
    <w:rsid w:val="00D82ED3"/>
    <w:rsid w:val="00D8397C"/>
    <w:rsid w:val="00D83F26"/>
    <w:rsid w:val="00D8654F"/>
    <w:rsid w:val="00D90160"/>
    <w:rsid w:val="00D9095E"/>
    <w:rsid w:val="00D91096"/>
    <w:rsid w:val="00D9172A"/>
    <w:rsid w:val="00D91A84"/>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2A24"/>
    <w:rsid w:val="00DC3F6F"/>
    <w:rsid w:val="00DC44AD"/>
    <w:rsid w:val="00DC48B4"/>
    <w:rsid w:val="00DC5C54"/>
    <w:rsid w:val="00DC5D45"/>
    <w:rsid w:val="00DC6708"/>
    <w:rsid w:val="00DC6A9E"/>
    <w:rsid w:val="00DD011A"/>
    <w:rsid w:val="00DD0AB4"/>
    <w:rsid w:val="00DD1D3A"/>
    <w:rsid w:val="00DD4669"/>
    <w:rsid w:val="00DD52AE"/>
    <w:rsid w:val="00DD56F4"/>
    <w:rsid w:val="00DD5899"/>
    <w:rsid w:val="00DD6079"/>
    <w:rsid w:val="00DD65FD"/>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4DB7"/>
    <w:rsid w:val="00DF5C59"/>
    <w:rsid w:val="00DF5E32"/>
    <w:rsid w:val="00DF7CEA"/>
    <w:rsid w:val="00E01436"/>
    <w:rsid w:val="00E01B00"/>
    <w:rsid w:val="00E02C88"/>
    <w:rsid w:val="00E038BB"/>
    <w:rsid w:val="00E03D3E"/>
    <w:rsid w:val="00E03E79"/>
    <w:rsid w:val="00E045BD"/>
    <w:rsid w:val="00E04D6C"/>
    <w:rsid w:val="00E07116"/>
    <w:rsid w:val="00E077A5"/>
    <w:rsid w:val="00E110AD"/>
    <w:rsid w:val="00E1295D"/>
    <w:rsid w:val="00E12B8E"/>
    <w:rsid w:val="00E131F0"/>
    <w:rsid w:val="00E14A1F"/>
    <w:rsid w:val="00E15CF4"/>
    <w:rsid w:val="00E164E5"/>
    <w:rsid w:val="00E17B77"/>
    <w:rsid w:val="00E17D1C"/>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37E74"/>
    <w:rsid w:val="00E40475"/>
    <w:rsid w:val="00E41BB6"/>
    <w:rsid w:val="00E4224F"/>
    <w:rsid w:val="00E42FF9"/>
    <w:rsid w:val="00E44790"/>
    <w:rsid w:val="00E44B5E"/>
    <w:rsid w:val="00E45442"/>
    <w:rsid w:val="00E45707"/>
    <w:rsid w:val="00E461C1"/>
    <w:rsid w:val="00E4714C"/>
    <w:rsid w:val="00E5178D"/>
    <w:rsid w:val="00E51AEB"/>
    <w:rsid w:val="00E522A7"/>
    <w:rsid w:val="00E5349E"/>
    <w:rsid w:val="00E54452"/>
    <w:rsid w:val="00E567AF"/>
    <w:rsid w:val="00E603C7"/>
    <w:rsid w:val="00E60B2E"/>
    <w:rsid w:val="00E617F4"/>
    <w:rsid w:val="00E61EF5"/>
    <w:rsid w:val="00E624FB"/>
    <w:rsid w:val="00E627FE"/>
    <w:rsid w:val="00E62A2A"/>
    <w:rsid w:val="00E63B0C"/>
    <w:rsid w:val="00E65708"/>
    <w:rsid w:val="00E664C5"/>
    <w:rsid w:val="00E671A2"/>
    <w:rsid w:val="00E6730E"/>
    <w:rsid w:val="00E679EC"/>
    <w:rsid w:val="00E70C34"/>
    <w:rsid w:val="00E72B9F"/>
    <w:rsid w:val="00E73235"/>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384"/>
    <w:rsid w:val="00EE4FD2"/>
    <w:rsid w:val="00EE5F8A"/>
    <w:rsid w:val="00EE67F3"/>
    <w:rsid w:val="00EE6878"/>
    <w:rsid w:val="00EE7690"/>
    <w:rsid w:val="00EF1584"/>
    <w:rsid w:val="00EF1698"/>
    <w:rsid w:val="00EF27F6"/>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060CB"/>
    <w:rsid w:val="00F104C5"/>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69C3"/>
    <w:rsid w:val="00F27C8F"/>
    <w:rsid w:val="00F27CD3"/>
    <w:rsid w:val="00F30535"/>
    <w:rsid w:val="00F309B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0B8"/>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3D74"/>
    <w:rsid w:val="00F64F16"/>
    <w:rsid w:val="00F66E45"/>
    <w:rsid w:val="00F6780B"/>
    <w:rsid w:val="00F67A86"/>
    <w:rsid w:val="00F67B1E"/>
    <w:rsid w:val="00F67D8F"/>
    <w:rsid w:val="00F7333F"/>
    <w:rsid w:val="00F73418"/>
    <w:rsid w:val="00F742E2"/>
    <w:rsid w:val="00F75647"/>
    <w:rsid w:val="00F772D9"/>
    <w:rsid w:val="00F77815"/>
    <w:rsid w:val="00F80128"/>
    <w:rsid w:val="00F802BE"/>
    <w:rsid w:val="00F80E93"/>
    <w:rsid w:val="00F81404"/>
    <w:rsid w:val="00F83399"/>
    <w:rsid w:val="00F84D9C"/>
    <w:rsid w:val="00F86024"/>
    <w:rsid w:val="00F8611A"/>
    <w:rsid w:val="00F86A00"/>
    <w:rsid w:val="00F86A1B"/>
    <w:rsid w:val="00F9153E"/>
    <w:rsid w:val="00F92AB2"/>
    <w:rsid w:val="00F93FCF"/>
    <w:rsid w:val="00F95E32"/>
    <w:rsid w:val="00F97656"/>
    <w:rsid w:val="00FA01D0"/>
    <w:rsid w:val="00FA0F12"/>
    <w:rsid w:val="00FA26E2"/>
    <w:rsid w:val="00FA4395"/>
    <w:rsid w:val="00FA5128"/>
    <w:rsid w:val="00FA79FA"/>
    <w:rsid w:val="00FB0829"/>
    <w:rsid w:val="00FB0ADA"/>
    <w:rsid w:val="00FB32ED"/>
    <w:rsid w:val="00FB4014"/>
    <w:rsid w:val="00FB42D4"/>
    <w:rsid w:val="00FB42E5"/>
    <w:rsid w:val="00FB5906"/>
    <w:rsid w:val="00FB6607"/>
    <w:rsid w:val="00FB7212"/>
    <w:rsid w:val="00FB762F"/>
    <w:rsid w:val="00FB77EC"/>
    <w:rsid w:val="00FB7C30"/>
    <w:rsid w:val="00FC21D0"/>
    <w:rsid w:val="00FC2AED"/>
    <w:rsid w:val="00FC2D07"/>
    <w:rsid w:val="00FC4025"/>
    <w:rsid w:val="00FC61C8"/>
    <w:rsid w:val="00FC6211"/>
    <w:rsid w:val="00FC748C"/>
    <w:rsid w:val="00FC77AE"/>
    <w:rsid w:val="00FC7DE9"/>
    <w:rsid w:val="00FD08AE"/>
    <w:rsid w:val="00FD211F"/>
    <w:rsid w:val="00FD461A"/>
    <w:rsid w:val="00FD49C0"/>
    <w:rsid w:val="00FD5170"/>
    <w:rsid w:val="00FD5609"/>
    <w:rsid w:val="00FD5EA7"/>
    <w:rsid w:val="00FD6F27"/>
    <w:rsid w:val="00FE0AA0"/>
    <w:rsid w:val="00FE1C2D"/>
    <w:rsid w:val="00FE3640"/>
    <w:rsid w:val="00FE36CF"/>
    <w:rsid w:val="00FE3A19"/>
    <w:rsid w:val="00FE4330"/>
    <w:rsid w:val="00FE4548"/>
    <w:rsid w:val="00FE5874"/>
    <w:rsid w:val="00FE59CF"/>
    <w:rsid w:val="00FE79AA"/>
    <w:rsid w:val="00FE7EA6"/>
    <w:rsid w:val="00FF003A"/>
    <w:rsid w:val="00FF0246"/>
    <w:rsid w:val="00FF0CE0"/>
    <w:rsid w:val="00FF1A3B"/>
    <w:rsid w:val="00FF215E"/>
    <w:rsid w:val="00FF22C9"/>
    <w:rsid w:val="00FF2AB6"/>
    <w:rsid w:val="00FF3F94"/>
    <w:rsid w:val="00FF6C83"/>
    <w:rsid w:val="00FF6C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85E86"/>
  <w15:chartTrackingRefBased/>
  <w15:docId w15:val="{7ADB7039-B008-4DB4-803D-B4E56451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B0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stat.gov.pl/obszary-tematyczne/ceny-handel/wskazniki-c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sgk.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r>
              <a:rPr lang="pl-PL" sz="900">
                <a:solidFill>
                  <a:sysClr val="windowText" lastClr="000000"/>
                </a:solidFill>
                <a:latin typeface="Fira Sans" panose="020B0503050000020004" pitchFamily="34" charset="0"/>
                <a:ea typeface="Fira Sans" panose="020B0503050000020004" pitchFamily="34" charset="0"/>
              </a:rPr>
              <a:t>%</a:t>
            </a:r>
            <a:endParaRPr lang="en-US" sz="900">
              <a:solidFill>
                <a:sysClr val="windowText" lastClr="000000"/>
              </a:solidFill>
              <a:latin typeface="Fira Sans" panose="020B0503050000020004" pitchFamily="34" charset="0"/>
              <a:ea typeface="Fira Sans" panose="020B0503050000020004" pitchFamily="34" charset="0"/>
            </a:endParaRPr>
          </a:p>
        </c:rich>
      </c:tx>
      <c:layout>
        <c:manualLayout>
          <c:xMode val="edge"/>
          <c:yMode val="edge"/>
          <c:x val="1.9939307512183885E-2"/>
          <c:y val="1.30804447351209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1"/>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F1-413B-B969-361E8DAE9AC4}"/>
                </c:ext>
              </c:extLst>
            </c:dLbl>
            <c:dLbl>
              <c:idx val="10"/>
              <c:layout>
                <c:manualLayout>
                  <c:x val="-2.1243737243889602E-2"/>
                  <c:y val="-5.7989971659036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F1-413B-B969-361E8DAE9AC4}"/>
                </c:ext>
              </c:extLst>
            </c:dLbl>
            <c:dLbl>
              <c:idx val="13"/>
              <c:layout>
                <c:manualLayout>
                  <c:x val="-4.096947903825149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F1-413B-B969-361E8DAE9AC4}"/>
                </c:ext>
              </c:extLst>
            </c:dLbl>
            <c:dLbl>
              <c:idx val="15"/>
              <c:layout>
                <c:manualLayout>
                  <c:x val="-2.3614824271919525E-2"/>
                  <c:y val="-4.66535862219314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F1-413B-B969-361E8DAE9AC4}"/>
                </c:ext>
              </c:extLst>
            </c:dLbl>
            <c:dLbl>
              <c:idx val="17"/>
              <c:layout>
                <c:manualLayout>
                  <c:x val="-3.4077201859622513E-2"/>
                  <c:y val="-0.1033355134074559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DF1-413B-B969-361E8DAE9AC4}"/>
                </c:ext>
              </c:extLst>
            </c:dLbl>
            <c:dLbl>
              <c:idx val="19"/>
              <c:layout>
                <c:manualLayout>
                  <c:x val="-8.5477043149451946E-3"/>
                  <c:y val="-4.22934379768913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F1-413B-B969-361E8DAE9AC4}"/>
                </c:ext>
              </c:extLst>
            </c:dLbl>
            <c:dLbl>
              <c:idx val="20"/>
              <c:layout>
                <c:manualLayout>
                  <c:x val="-4.3994147440383637E-2"/>
                  <c:y val="-5.973403095705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55-4335-89F7-D05AB1A68702}"/>
                </c:ext>
              </c:extLst>
            </c:dLbl>
            <c:dLbl>
              <c:idx val="22"/>
              <c:layout>
                <c:manualLayout>
                  <c:x val="-6.0831090795690291E-3"/>
                  <c:y val="-3.3573141486810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55-4335-89F7-D05AB1A6870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Arkusz1!$A$38:$A$60</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Arkusz1!$B$38:$B$60</c:f>
              <c:numCache>
                <c:formatCode>General</c:formatCode>
                <c:ptCount val="23"/>
                <c:pt idx="0">
                  <c:v>0.5</c:v>
                </c:pt>
                <c:pt idx="1">
                  <c:v>0.3</c:v>
                </c:pt>
                <c:pt idx="2">
                  <c:v>0.4</c:v>
                </c:pt>
                <c:pt idx="3">
                  <c:v>0.5</c:v>
                </c:pt>
                <c:pt idx="4">
                  <c:v>0.4</c:v>
                </c:pt>
                <c:pt idx="5">
                  <c:v>0.3</c:v>
                </c:pt>
                <c:pt idx="6">
                  <c:v>0.4</c:v>
                </c:pt>
                <c:pt idx="7">
                  <c:v>0.3</c:v>
                </c:pt>
                <c:pt idx="8">
                  <c:v>0.3</c:v>
                </c:pt>
                <c:pt idx="9">
                  <c:v>0.4</c:v>
                </c:pt>
                <c:pt idx="10" formatCode="0.0">
                  <c:v>0</c:v>
                </c:pt>
                <c:pt idx="11">
                  <c:v>0.1</c:v>
                </c:pt>
                <c:pt idx="12" formatCode="0.0">
                  <c:v>0.1</c:v>
                </c:pt>
                <c:pt idx="13">
                  <c:v>0.2</c:v>
                </c:pt>
                <c:pt idx="14">
                  <c:v>0.5</c:v>
                </c:pt>
                <c:pt idx="15">
                  <c:v>0.2</c:v>
                </c:pt>
                <c:pt idx="16">
                  <c:v>0.3</c:v>
                </c:pt>
                <c:pt idx="17">
                  <c:v>0.1</c:v>
                </c:pt>
                <c:pt idx="18">
                  <c:v>0.5</c:v>
                </c:pt>
                <c:pt idx="19" formatCode="0.0">
                  <c:v>0.1</c:v>
                </c:pt>
                <c:pt idx="20" formatCode="0.0">
                  <c:v>0</c:v>
                </c:pt>
                <c:pt idx="21">
                  <c:v>0.8</c:v>
                </c:pt>
                <c:pt idx="22">
                  <c:v>0.3</c:v>
                </c:pt>
              </c:numCache>
            </c:numRef>
          </c:val>
          <c:smooth val="0"/>
          <c:extLst>
            <c:ext xmlns:c16="http://schemas.microsoft.com/office/drawing/2014/chart" uri="{C3380CC4-5D6E-409C-BE32-E72D297353CC}">
              <c16:uniqueId val="{00000006-DDF1-413B-B969-361E8DAE9AC4}"/>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2.159414900210737E-2"/>
          <c:y val="1.938454082868912E-2"/>
        </c:manualLayout>
      </c:layout>
      <c:overlay val="1"/>
      <c:spPr>
        <a:noFill/>
        <a:ln>
          <a:noFill/>
        </a:ln>
        <a:effectLst/>
      </c:spPr>
      <c:txPr>
        <a:bodyPr rot="0" spcFirstLastPara="1" vertOverflow="ellipsis" vert="horz" wrap="square" anchor="ctr" anchorCtr="1"/>
        <a:lstStyle/>
        <a:p>
          <a:pPr>
            <a:defRPr sz="960" b="0" i="0" u="none" strike="noStrike" kern="1200" spc="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autoTitleDeleted val="0"/>
    <c:plotArea>
      <c:layout>
        <c:manualLayout>
          <c:layoutTarget val="inner"/>
          <c:xMode val="edge"/>
          <c:yMode val="edge"/>
          <c:x val="6.9191583480476992E-2"/>
          <c:y val="0.14470101826077167"/>
          <c:w val="0.90353681617242987"/>
          <c:h val="0.70167382457372129"/>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Arkusz1!$A$38:$A$60</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Arkusz1!$B$38:$B$60</c:f>
              <c:numCache>
                <c:formatCode>0.0</c:formatCode>
                <c:ptCount val="23"/>
                <c:pt idx="0">
                  <c:v>7.8</c:v>
                </c:pt>
                <c:pt idx="1">
                  <c:v>7.5</c:v>
                </c:pt>
                <c:pt idx="2">
                  <c:v>7.3</c:v>
                </c:pt>
                <c:pt idx="3">
                  <c:v>7.1</c:v>
                </c:pt>
                <c:pt idx="4">
                  <c:v>6.6</c:v>
                </c:pt>
                <c:pt idx="5">
                  <c:v>6</c:v>
                </c:pt>
                <c:pt idx="6">
                  <c:v>5.7</c:v>
                </c:pt>
                <c:pt idx="7">
                  <c:v>5.3</c:v>
                </c:pt>
                <c:pt idx="8">
                  <c:v>5</c:v>
                </c:pt>
                <c:pt idx="9">
                  <c:v>4.9000000000000004</c:v>
                </c:pt>
                <c:pt idx="10">
                  <c:v>4.4000000000000004</c:v>
                </c:pt>
                <c:pt idx="11">
                  <c:v>3.9</c:v>
                </c:pt>
                <c:pt idx="12">
                  <c:v>3.7</c:v>
                </c:pt>
                <c:pt idx="13">
                  <c:v>3.7</c:v>
                </c:pt>
                <c:pt idx="14">
                  <c:v>3.7</c:v>
                </c:pt>
                <c:pt idx="15">
                  <c:v>3.4</c:v>
                </c:pt>
                <c:pt idx="16">
                  <c:v>3.3</c:v>
                </c:pt>
                <c:pt idx="17">
                  <c:v>3</c:v>
                </c:pt>
                <c:pt idx="18">
                  <c:v>3.1</c:v>
                </c:pt>
                <c:pt idx="19">
                  <c:v>2.8</c:v>
                </c:pt>
                <c:pt idx="20">
                  <c:v>2.5</c:v>
                </c:pt>
                <c:pt idx="21">
                  <c:v>2.8</c:v>
                </c:pt>
                <c:pt idx="22">
                  <c:v>3.1</c:v>
                </c:pt>
              </c:numCache>
            </c:numRef>
          </c:val>
          <c:smooth val="0"/>
          <c:extLst>
            <c:ext xmlns:c16="http://schemas.microsoft.com/office/drawing/2014/chart" uri="{C3380CC4-5D6E-409C-BE32-E72D297353CC}">
              <c16:uniqueId val="{00000000-AAC9-4511-854D-B92C178CA5DC}"/>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produkcja budowlano-montażowa ogółem</c:v>
                </c:pt>
              </c:strCache>
            </c:strRef>
          </c:tx>
          <c:spPr>
            <a:solidFill>
              <a:srgbClr val="001D77"/>
            </a:solidFill>
            <a:ln w="12700">
              <a:solidFill>
                <a:srgbClr val="001D77"/>
              </a:solidFill>
            </a:ln>
            <a:effectLst/>
          </c:spPr>
          <c:invertIfNegative val="0"/>
          <c:dLbls>
            <c:dLbl>
              <c:idx val="22"/>
              <c:layout>
                <c:manualLayout>
                  <c:x val="7.7811550151975689E-2"/>
                  <c:y val="1.6832183134152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7A-486B-B9B2-90E6501C40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Arkusz1!$B$2:$B$24</c:f>
              <c:numCache>
                <c:formatCode>0.0</c:formatCode>
                <c:ptCount val="23"/>
                <c:pt idx="0">
                  <c:v>0.5</c:v>
                </c:pt>
                <c:pt idx="1">
                  <c:v>0.8</c:v>
                </c:pt>
                <c:pt idx="2">
                  <c:v>1.2</c:v>
                </c:pt>
                <c:pt idx="3">
                  <c:v>1.7</c:v>
                </c:pt>
                <c:pt idx="4">
                  <c:v>2.1</c:v>
                </c:pt>
                <c:pt idx="5">
                  <c:v>2.4</c:v>
                </c:pt>
                <c:pt idx="6">
                  <c:v>2.8</c:v>
                </c:pt>
                <c:pt idx="7">
                  <c:v>3.1</c:v>
                </c:pt>
                <c:pt idx="8">
                  <c:v>3.4</c:v>
                </c:pt>
                <c:pt idx="9">
                  <c:v>3.8</c:v>
                </c:pt>
                <c:pt idx="10" formatCode="General">
                  <c:v>3.8</c:v>
                </c:pt>
                <c:pt idx="11">
                  <c:v>3.9</c:v>
                </c:pt>
                <c:pt idx="12">
                  <c:v>4</c:v>
                </c:pt>
                <c:pt idx="13">
                  <c:v>4.2</c:v>
                </c:pt>
                <c:pt idx="14">
                  <c:v>4.7</c:v>
                </c:pt>
                <c:pt idx="15" formatCode="General">
                  <c:v>4.9000000000000004</c:v>
                </c:pt>
                <c:pt idx="16" formatCode="General">
                  <c:v>5.2</c:v>
                </c:pt>
                <c:pt idx="17" formatCode="General">
                  <c:v>5.3</c:v>
                </c:pt>
                <c:pt idx="18" formatCode="General">
                  <c:v>5.8</c:v>
                </c:pt>
                <c:pt idx="19" formatCode="General">
                  <c:v>5.9</c:v>
                </c:pt>
                <c:pt idx="20" formatCode="General">
                  <c:v>5.9</c:v>
                </c:pt>
                <c:pt idx="21" formatCode="General">
                  <c:v>6.7</c:v>
                </c:pt>
                <c:pt idx="22">
                  <c:v>7</c:v>
                </c:pt>
              </c:numCache>
            </c:numRef>
          </c:val>
          <c:extLst>
            <c:ext xmlns:c16="http://schemas.microsoft.com/office/drawing/2014/chart" uri="{C3380CC4-5D6E-409C-BE32-E72D297353CC}">
              <c16:uniqueId val="{00000001-2D69-426A-8153-FE69D7FCC7E5}"/>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4-217A-486B-B9B2-90E6501C401C}"/>
                </c:ext>
              </c:extLst>
            </c:dLbl>
            <c:dLbl>
              <c:idx val="1"/>
              <c:delete val="1"/>
              <c:extLst>
                <c:ext xmlns:c15="http://schemas.microsoft.com/office/drawing/2012/chart" uri="{CE6537A1-D6FC-4f65-9D91-7224C49458BB}"/>
                <c:ext xmlns:c16="http://schemas.microsoft.com/office/drawing/2014/chart" uri="{C3380CC4-5D6E-409C-BE32-E72D297353CC}">
                  <c16:uniqueId val="{00000005-217A-486B-B9B2-90E6501C401C}"/>
                </c:ext>
              </c:extLst>
            </c:dLbl>
            <c:dLbl>
              <c:idx val="2"/>
              <c:delete val="1"/>
              <c:extLst>
                <c:ext xmlns:c15="http://schemas.microsoft.com/office/drawing/2012/chart" uri="{CE6537A1-D6FC-4f65-9D91-7224C49458BB}"/>
                <c:ext xmlns:c16="http://schemas.microsoft.com/office/drawing/2014/chart" uri="{C3380CC4-5D6E-409C-BE32-E72D297353CC}">
                  <c16:uniqueId val="{00000006-217A-486B-B9B2-90E6501C401C}"/>
                </c:ext>
              </c:extLst>
            </c:dLbl>
            <c:dLbl>
              <c:idx val="3"/>
              <c:delete val="1"/>
              <c:extLst>
                <c:ext xmlns:c15="http://schemas.microsoft.com/office/drawing/2012/chart" uri="{CE6537A1-D6FC-4f65-9D91-7224C49458BB}"/>
                <c:ext xmlns:c16="http://schemas.microsoft.com/office/drawing/2014/chart" uri="{C3380CC4-5D6E-409C-BE32-E72D297353CC}">
                  <c16:uniqueId val="{00000007-217A-486B-B9B2-90E6501C401C}"/>
                </c:ext>
              </c:extLst>
            </c:dLbl>
            <c:dLbl>
              <c:idx val="4"/>
              <c:delete val="1"/>
              <c:extLst>
                <c:ext xmlns:c15="http://schemas.microsoft.com/office/drawing/2012/chart" uri="{CE6537A1-D6FC-4f65-9D91-7224C49458BB}"/>
                <c:ext xmlns:c16="http://schemas.microsoft.com/office/drawing/2014/chart" uri="{C3380CC4-5D6E-409C-BE32-E72D297353CC}">
                  <c16:uniqueId val="{00000008-217A-486B-B9B2-90E6501C401C}"/>
                </c:ext>
              </c:extLst>
            </c:dLbl>
            <c:dLbl>
              <c:idx val="5"/>
              <c:delete val="1"/>
              <c:extLst>
                <c:ext xmlns:c15="http://schemas.microsoft.com/office/drawing/2012/chart" uri="{CE6537A1-D6FC-4f65-9D91-7224C49458BB}"/>
                <c:ext xmlns:c16="http://schemas.microsoft.com/office/drawing/2014/chart" uri="{C3380CC4-5D6E-409C-BE32-E72D297353CC}">
                  <c16:uniqueId val="{00000009-217A-486B-B9B2-90E6501C401C}"/>
                </c:ext>
              </c:extLst>
            </c:dLbl>
            <c:dLbl>
              <c:idx val="6"/>
              <c:delete val="1"/>
              <c:extLst>
                <c:ext xmlns:c15="http://schemas.microsoft.com/office/drawing/2012/chart" uri="{CE6537A1-D6FC-4f65-9D91-7224C49458BB}"/>
                <c:ext xmlns:c16="http://schemas.microsoft.com/office/drawing/2014/chart" uri="{C3380CC4-5D6E-409C-BE32-E72D297353CC}">
                  <c16:uniqueId val="{0000000A-217A-486B-B9B2-90E6501C401C}"/>
                </c:ext>
              </c:extLst>
            </c:dLbl>
            <c:dLbl>
              <c:idx val="7"/>
              <c:delete val="1"/>
              <c:extLst>
                <c:ext xmlns:c15="http://schemas.microsoft.com/office/drawing/2012/chart" uri="{CE6537A1-D6FC-4f65-9D91-7224C49458BB}"/>
                <c:ext xmlns:c16="http://schemas.microsoft.com/office/drawing/2014/chart" uri="{C3380CC4-5D6E-409C-BE32-E72D297353CC}">
                  <c16:uniqueId val="{0000000B-217A-486B-B9B2-90E6501C401C}"/>
                </c:ext>
              </c:extLst>
            </c:dLbl>
            <c:dLbl>
              <c:idx val="8"/>
              <c:delete val="1"/>
              <c:extLst>
                <c:ext xmlns:c15="http://schemas.microsoft.com/office/drawing/2012/chart" uri="{CE6537A1-D6FC-4f65-9D91-7224C49458BB}"/>
                <c:ext xmlns:c16="http://schemas.microsoft.com/office/drawing/2014/chart" uri="{C3380CC4-5D6E-409C-BE32-E72D297353CC}">
                  <c16:uniqueId val="{0000000C-217A-486B-B9B2-90E6501C401C}"/>
                </c:ext>
              </c:extLst>
            </c:dLbl>
            <c:dLbl>
              <c:idx val="9"/>
              <c:delete val="1"/>
              <c:extLst>
                <c:ext xmlns:c15="http://schemas.microsoft.com/office/drawing/2012/chart" uri="{CE6537A1-D6FC-4f65-9D91-7224C49458BB}"/>
                <c:ext xmlns:c16="http://schemas.microsoft.com/office/drawing/2014/chart" uri="{C3380CC4-5D6E-409C-BE32-E72D297353CC}">
                  <c16:uniqueId val="{0000000D-217A-486B-B9B2-90E6501C401C}"/>
                </c:ext>
              </c:extLst>
            </c:dLbl>
            <c:dLbl>
              <c:idx val="10"/>
              <c:delete val="1"/>
              <c:extLst>
                <c:ext xmlns:c15="http://schemas.microsoft.com/office/drawing/2012/chart" uri="{CE6537A1-D6FC-4f65-9D91-7224C49458BB}"/>
                <c:ext xmlns:c16="http://schemas.microsoft.com/office/drawing/2014/chart" uri="{C3380CC4-5D6E-409C-BE32-E72D297353CC}">
                  <c16:uniqueId val="{0000000E-217A-486B-B9B2-90E6501C401C}"/>
                </c:ext>
              </c:extLst>
            </c:dLbl>
            <c:dLbl>
              <c:idx val="11"/>
              <c:delete val="1"/>
              <c:extLst>
                <c:ext xmlns:c15="http://schemas.microsoft.com/office/drawing/2012/chart" uri="{CE6537A1-D6FC-4f65-9D91-7224C49458BB}"/>
                <c:ext xmlns:c16="http://schemas.microsoft.com/office/drawing/2014/chart" uri="{C3380CC4-5D6E-409C-BE32-E72D297353CC}">
                  <c16:uniqueId val="{0000000F-217A-486B-B9B2-90E6501C401C}"/>
                </c:ext>
              </c:extLst>
            </c:dLbl>
            <c:dLbl>
              <c:idx val="12"/>
              <c:delete val="1"/>
              <c:extLst>
                <c:ext xmlns:c15="http://schemas.microsoft.com/office/drawing/2012/chart" uri="{CE6537A1-D6FC-4f65-9D91-7224C49458BB}"/>
                <c:ext xmlns:c16="http://schemas.microsoft.com/office/drawing/2014/chart" uri="{C3380CC4-5D6E-409C-BE32-E72D297353CC}">
                  <c16:uniqueId val="{00000010-217A-486B-B9B2-90E6501C401C}"/>
                </c:ext>
              </c:extLst>
            </c:dLbl>
            <c:dLbl>
              <c:idx val="13"/>
              <c:delete val="1"/>
              <c:extLst>
                <c:ext xmlns:c15="http://schemas.microsoft.com/office/drawing/2012/chart" uri="{CE6537A1-D6FC-4f65-9D91-7224C49458BB}"/>
                <c:ext xmlns:c16="http://schemas.microsoft.com/office/drawing/2014/chart" uri="{C3380CC4-5D6E-409C-BE32-E72D297353CC}">
                  <c16:uniqueId val="{00000011-217A-486B-B9B2-90E6501C401C}"/>
                </c:ext>
              </c:extLst>
            </c:dLbl>
            <c:dLbl>
              <c:idx val="14"/>
              <c:delete val="1"/>
              <c:extLst>
                <c:ext xmlns:c15="http://schemas.microsoft.com/office/drawing/2012/chart" uri="{CE6537A1-D6FC-4f65-9D91-7224C49458BB}"/>
                <c:ext xmlns:c16="http://schemas.microsoft.com/office/drawing/2014/chart" uri="{C3380CC4-5D6E-409C-BE32-E72D297353CC}">
                  <c16:uniqueId val="{00000012-217A-486B-B9B2-90E6501C401C}"/>
                </c:ext>
              </c:extLst>
            </c:dLbl>
            <c:dLbl>
              <c:idx val="15"/>
              <c:delete val="1"/>
              <c:extLst>
                <c:ext xmlns:c15="http://schemas.microsoft.com/office/drawing/2012/chart" uri="{CE6537A1-D6FC-4f65-9D91-7224C49458BB}"/>
                <c:ext xmlns:c16="http://schemas.microsoft.com/office/drawing/2014/chart" uri="{C3380CC4-5D6E-409C-BE32-E72D297353CC}">
                  <c16:uniqueId val="{00000013-217A-486B-B9B2-90E6501C401C}"/>
                </c:ext>
              </c:extLst>
            </c:dLbl>
            <c:dLbl>
              <c:idx val="16"/>
              <c:delete val="1"/>
              <c:extLst>
                <c:ext xmlns:c15="http://schemas.microsoft.com/office/drawing/2012/chart" uri="{CE6537A1-D6FC-4f65-9D91-7224C49458BB}"/>
                <c:ext xmlns:c16="http://schemas.microsoft.com/office/drawing/2014/chart" uri="{C3380CC4-5D6E-409C-BE32-E72D297353CC}">
                  <c16:uniqueId val="{00000014-217A-486B-B9B2-90E6501C401C}"/>
                </c:ext>
              </c:extLst>
            </c:dLbl>
            <c:dLbl>
              <c:idx val="17"/>
              <c:delete val="1"/>
              <c:extLst>
                <c:ext xmlns:c15="http://schemas.microsoft.com/office/drawing/2012/chart" uri="{CE6537A1-D6FC-4f65-9D91-7224C49458BB}"/>
                <c:ext xmlns:c16="http://schemas.microsoft.com/office/drawing/2014/chart" uri="{C3380CC4-5D6E-409C-BE32-E72D297353CC}">
                  <c16:uniqueId val="{00000015-217A-486B-B9B2-90E6501C401C}"/>
                </c:ext>
              </c:extLst>
            </c:dLbl>
            <c:dLbl>
              <c:idx val="18"/>
              <c:delete val="1"/>
              <c:extLst>
                <c:ext xmlns:c15="http://schemas.microsoft.com/office/drawing/2012/chart" uri="{CE6537A1-D6FC-4f65-9D91-7224C49458BB}"/>
                <c:ext xmlns:c16="http://schemas.microsoft.com/office/drawing/2014/chart" uri="{C3380CC4-5D6E-409C-BE32-E72D297353CC}">
                  <c16:uniqueId val="{00000016-217A-486B-B9B2-90E6501C401C}"/>
                </c:ext>
              </c:extLst>
            </c:dLbl>
            <c:dLbl>
              <c:idx val="19"/>
              <c:delete val="1"/>
              <c:extLst>
                <c:ext xmlns:c15="http://schemas.microsoft.com/office/drawing/2012/chart" uri="{CE6537A1-D6FC-4f65-9D91-7224C49458BB}"/>
                <c:ext xmlns:c16="http://schemas.microsoft.com/office/drawing/2014/chart" uri="{C3380CC4-5D6E-409C-BE32-E72D297353CC}">
                  <c16:uniqueId val="{00000017-217A-486B-B9B2-90E6501C401C}"/>
                </c:ext>
              </c:extLst>
            </c:dLbl>
            <c:dLbl>
              <c:idx val="20"/>
              <c:delete val="1"/>
              <c:extLst>
                <c:ext xmlns:c15="http://schemas.microsoft.com/office/drawing/2012/chart" uri="{CE6537A1-D6FC-4f65-9D91-7224C49458BB}"/>
                <c:ext xmlns:c16="http://schemas.microsoft.com/office/drawing/2014/chart" uri="{C3380CC4-5D6E-409C-BE32-E72D297353CC}">
                  <c16:uniqueId val="{00000018-217A-486B-B9B2-90E6501C401C}"/>
                </c:ext>
              </c:extLst>
            </c:dLbl>
            <c:dLbl>
              <c:idx val="21"/>
              <c:delete val="1"/>
              <c:extLst>
                <c:ext xmlns:c15="http://schemas.microsoft.com/office/drawing/2012/chart" uri="{CE6537A1-D6FC-4f65-9D91-7224C49458BB}"/>
                <c:ext xmlns:c16="http://schemas.microsoft.com/office/drawing/2014/chart" uri="{C3380CC4-5D6E-409C-BE32-E72D297353CC}">
                  <c16:uniqueId val="{00000002-4226-4EFA-A787-D39241F7C524}"/>
                </c:ext>
              </c:extLst>
            </c:dLbl>
            <c:dLbl>
              <c:idx val="22"/>
              <c:layout>
                <c:manualLayout>
                  <c:x val="4.376899696048632E-2"/>
                  <c:y val="2.01986197609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7A-486B-B9B2-90E6501C40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Arkusz1!$C$2:$C$24</c:f>
              <c:numCache>
                <c:formatCode>0.0</c:formatCode>
                <c:ptCount val="23"/>
                <c:pt idx="0">
                  <c:v>0.5</c:v>
                </c:pt>
                <c:pt idx="1">
                  <c:v>0.7</c:v>
                </c:pt>
                <c:pt idx="2">
                  <c:v>1.1000000000000001</c:v>
                </c:pt>
                <c:pt idx="3">
                  <c:v>1.5</c:v>
                </c:pt>
                <c:pt idx="4">
                  <c:v>1.9</c:v>
                </c:pt>
                <c:pt idx="5">
                  <c:v>2.2000000000000002</c:v>
                </c:pt>
                <c:pt idx="6">
                  <c:v>2.6</c:v>
                </c:pt>
                <c:pt idx="7">
                  <c:v>2.9</c:v>
                </c:pt>
                <c:pt idx="8">
                  <c:v>3.3</c:v>
                </c:pt>
                <c:pt idx="9">
                  <c:v>3.7</c:v>
                </c:pt>
                <c:pt idx="10" formatCode="General">
                  <c:v>3.7</c:v>
                </c:pt>
                <c:pt idx="11">
                  <c:v>3.8</c:v>
                </c:pt>
                <c:pt idx="12">
                  <c:v>3.9</c:v>
                </c:pt>
                <c:pt idx="13">
                  <c:v>4.0999999999999996</c:v>
                </c:pt>
                <c:pt idx="14">
                  <c:v>4.5999999999999996</c:v>
                </c:pt>
                <c:pt idx="15" formatCode="General">
                  <c:v>4.8</c:v>
                </c:pt>
                <c:pt idx="16" formatCode="General">
                  <c:v>5.0999999999999996</c:v>
                </c:pt>
                <c:pt idx="17" formatCode="General">
                  <c:v>5.2</c:v>
                </c:pt>
                <c:pt idx="18" formatCode="General">
                  <c:v>5.6</c:v>
                </c:pt>
                <c:pt idx="19" formatCode="General">
                  <c:v>5.6</c:v>
                </c:pt>
                <c:pt idx="20" formatCode="General">
                  <c:v>5.7</c:v>
                </c:pt>
                <c:pt idx="21" formatCode="General">
                  <c:v>6.5</c:v>
                </c:pt>
                <c:pt idx="22" formatCode="General">
                  <c:v>6.9</c:v>
                </c:pt>
              </c:numCache>
            </c:numRef>
          </c:val>
          <c:smooth val="0"/>
          <c:extLst>
            <c:ext xmlns:c16="http://schemas.microsoft.com/office/drawing/2014/chart" uri="{C3380CC4-5D6E-409C-BE32-E72D297353CC}">
              <c16:uniqueId val="{00000003-2D69-426A-8153-FE69D7FCC7E5}"/>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2"/>
              <c:layout>
                <c:manualLayout>
                  <c:x val="4.6200607902735565E-2"/>
                  <c:y val="-4.7130112775627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7A-486B-B9B2-90E6501C40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Arkusz1!$D$2:$D$24</c:f>
              <c:numCache>
                <c:formatCode>0.0</c:formatCode>
                <c:ptCount val="23"/>
                <c:pt idx="0">
                  <c:v>0.6</c:v>
                </c:pt>
                <c:pt idx="1">
                  <c:v>1</c:v>
                </c:pt>
                <c:pt idx="2">
                  <c:v>1.4</c:v>
                </c:pt>
                <c:pt idx="3">
                  <c:v>1.9</c:v>
                </c:pt>
                <c:pt idx="4">
                  <c:v>2.2999999999999998</c:v>
                </c:pt>
                <c:pt idx="5">
                  <c:v>2.6</c:v>
                </c:pt>
                <c:pt idx="6">
                  <c:v>3</c:v>
                </c:pt>
                <c:pt idx="7">
                  <c:v>3.3</c:v>
                </c:pt>
                <c:pt idx="8">
                  <c:v>3.7</c:v>
                </c:pt>
                <c:pt idx="9">
                  <c:v>4.0999999999999996</c:v>
                </c:pt>
                <c:pt idx="10" formatCode="General">
                  <c:v>4.0999999999999996</c:v>
                </c:pt>
                <c:pt idx="11">
                  <c:v>4.2</c:v>
                </c:pt>
                <c:pt idx="12">
                  <c:v>4.4000000000000004</c:v>
                </c:pt>
                <c:pt idx="13">
                  <c:v>4.5999999999999996</c:v>
                </c:pt>
                <c:pt idx="14">
                  <c:v>5</c:v>
                </c:pt>
                <c:pt idx="15" formatCode="General">
                  <c:v>5.3</c:v>
                </c:pt>
                <c:pt idx="16" formatCode="General">
                  <c:v>5.6</c:v>
                </c:pt>
                <c:pt idx="17" formatCode="General">
                  <c:v>5.7</c:v>
                </c:pt>
                <c:pt idx="18" formatCode="General">
                  <c:v>6.2</c:v>
                </c:pt>
                <c:pt idx="19" formatCode="General">
                  <c:v>6.3</c:v>
                </c:pt>
                <c:pt idx="20" formatCode="General">
                  <c:v>6.3</c:v>
                </c:pt>
                <c:pt idx="21">
                  <c:v>7</c:v>
                </c:pt>
                <c:pt idx="22" formatCode="General">
                  <c:v>7.2</c:v>
                </c:pt>
              </c:numCache>
            </c:numRef>
          </c:val>
          <c:smooth val="0"/>
          <c:extLst>
            <c:ext xmlns:c16="http://schemas.microsoft.com/office/drawing/2014/chart" uri="{C3380CC4-5D6E-409C-BE32-E72D297353CC}">
              <c16:uniqueId val="{00000005-2D69-426A-8153-FE69D7FCC7E5}"/>
            </c:ext>
          </c:extLst>
        </c:ser>
        <c:ser>
          <c:idx val="3"/>
          <c:order val="3"/>
          <c:tx>
            <c:strRef>
              <c:f>Arkusz1!$E$1</c:f>
              <c:strCache>
                <c:ptCount val="1"/>
                <c:pt idx="0">
                  <c:v>roboty budowlane specjalistyczne</c:v>
                </c:pt>
              </c:strCache>
            </c:strRef>
          </c:tx>
          <c:spPr>
            <a:ln w="25400" cap="rnd">
              <a:solidFill>
                <a:srgbClr val="008542"/>
              </a:solidFill>
              <a:round/>
            </a:ln>
            <a:effectLst/>
          </c:spPr>
          <c:marker>
            <c:symbol val="none"/>
          </c:marker>
          <c:dLbls>
            <c:dLbl>
              <c:idx val="22"/>
              <c:layout>
                <c:manualLayout>
                  <c:x val="4.376899696048632E-2"/>
                  <c:y val="7.0695169163440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7A-486B-B9B2-90E6501C40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Arkusz1!$A$2:$A$24</c:f>
              <c:strCache>
                <c:ptCount val="23"/>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pt idx="19">
                  <c:v>08</c:v>
                </c:pt>
                <c:pt idx="20">
                  <c:v>09</c:v>
                </c:pt>
                <c:pt idx="21">
                  <c:v>10</c:v>
                </c:pt>
                <c:pt idx="22">
                  <c:v>11</c:v>
                </c:pt>
              </c:strCache>
            </c:strRef>
          </c:cat>
          <c:val>
            <c:numRef>
              <c:f>Arkusz1!$E$2:$E$24</c:f>
              <c:numCache>
                <c:formatCode>0.0</c:formatCode>
                <c:ptCount val="23"/>
                <c:pt idx="0">
                  <c:v>0.5</c:v>
                </c:pt>
                <c:pt idx="1">
                  <c:v>0.8</c:v>
                </c:pt>
                <c:pt idx="2">
                  <c:v>1.2</c:v>
                </c:pt>
                <c:pt idx="3">
                  <c:v>1.7</c:v>
                </c:pt>
                <c:pt idx="4">
                  <c:v>2.1</c:v>
                </c:pt>
                <c:pt idx="5">
                  <c:v>2.5</c:v>
                </c:pt>
                <c:pt idx="6">
                  <c:v>2.9</c:v>
                </c:pt>
                <c:pt idx="7">
                  <c:v>3.3</c:v>
                </c:pt>
                <c:pt idx="8">
                  <c:v>3.6</c:v>
                </c:pt>
                <c:pt idx="9">
                  <c:v>4</c:v>
                </c:pt>
                <c:pt idx="10" formatCode="General">
                  <c:v>4</c:v>
                </c:pt>
                <c:pt idx="11">
                  <c:v>4.0999999999999996</c:v>
                </c:pt>
                <c:pt idx="12">
                  <c:v>4.2</c:v>
                </c:pt>
                <c:pt idx="13">
                  <c:v>4.4000000000000004</c:v>
                </c:pt>
                <c:pt idx="14">
                  <c:v>4.8</c:v>
                </c:pt>
                <c:pt idx="15">
                  <c:v>5</c:v>
                </c:pt>
                <c:pt idx="16" formatCode="General">
                  <c:v>5.2</c:v>
                </c:pt>
                <c:pt idx="17" formatCode="General">
                  <c:v>5.3</c:v>
                </c:pt>
                <c:pt idx="18" formatCode="General">
                  <c:v>5.7</c:v>
                </c:pt>
                <c:pt idx="19" formatCode="General">
                  <c:v>5.7</c:v>
                </c:pt>
                <c:pt idx="20" formatCode="General">
                  <c:v>5.7</c:v>
                </c:pt>
                <c:pt idx="21" formatCode="General">
                  <c:v>6.5</c:v>
                </c:pt>
                <c:pt idx="22" formatCode="General">
                  <c:v>6.9</c:v>
                </c:pt>
              </c:numCache>
            </c:numRef>
          </c:val>
          <c:smooth val="0"/>
          <c:extLst>
            <c:ext xmlns:c16="http://schemas.microsoft.com/office/drawing/2014/chart" uri="{C3380CC4-5D6E-409C-BE32-E72D297353CC}">
              <c16:uniqueId val="{00000007-2D69-426A-8153-FE69D7FCC7E5}"/>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8"/>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35083646459085E-4"/>
          <c:y val="0.81231718194794744"/>
          <c:w val="0.99709832619237204"/>
          <c:h val="0.1658595612764361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DA8B3578-584D-4552-ABE0-AF88A994B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492</Words>
  <Characters>2954</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2025-11-20T06:50:00Z</cp:lastPrinted>
  <dcterms:created xsi:type="dcterms:W3CDTF">2025-12-17T08:09:00Z</dcterms:created>
  <dcterms:modified xsi:type="dcterms:W3CDTF">2025-12-17T08:13:00Z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