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091A231" w:rsidR="00393761" w:rsidRPr="008D7507" w:rsidRDefault="0088767F" w:rsidP="003C0C8B">
      <w:pPr>
        <w:pStyle w:val="Nagwek1"/>
        <w:rPr>
          <w:lang w:val="pl-PL"/>
        </w:rPr>
      </w:pPr>
      <w:r w:rsidRPr="008D7507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6B783DB">
                <wp:simplePos x="0" y="0"/>
                <wp:positionH relativeFrom="margin">
                  <wp:posOffset>-15240</wp:posOffset>
                </wp:positionH>
                <wp:positionV relativeFrom="paragraph">
                  <wp:posOffset>775335</wp:posOffset>
                </wp:positionV>
                <wp:extent cx="2204085" cy="1295400"/>
                <wp:effectExtent l="0" t="0" r="5715" b="0"/>
                <wp:wrapSquare wrapText="bothSides"/>
                <wp:docPr id="6" name="Pole tekstowe 2" descr="2,8% udział obszaru kultury w tworzeniu wartości dodanej brutto w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836FBD8" w:rsidR="00313F5C" w:rsidRPr="00FC4191" w:rsidRDefault="00FC4191" w:rsidP="00066D9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C41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2,8</w:t>
                            </w:r>
                            <w:r w:rsidR="004B4292" w:rsidRPr="00FC41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3E07E307" w:rsidR="00313F5C" w:rsidRPr="00FC4191" w:rsidRDefault="00FC4191" w:rsidP="005846C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C4191">
                              <w:t>Udział obszaru kultury w</w:t>
                            </w:r>
                            <w:r>
                              <w:t> </w:t>
                            </w:r>
                            <w:r w:rsidRPr="00FC4191">
                              <w:t>tworzeniu wartości dodanej brutto w 2021 r.</w:t>
                            </w:r>
                          </w:p>
                          <w:p w14:paraId="63B3F253" w14:textId="7D12D70D" w:rsidR="005C0CAC" w:rsidRPr="00FC4191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,8% udział obszaru kultury w tworzeniu wartości dodanej brutto w 2021 r. " style="position:absolute;margin-left:-1.2pt;margin-top:61.05pt;width:173.5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" fillcolor="#001d77" stroked="f">
                <v:stroke joinstyle="miter"/>
                <v:textbox>
                  <w:txbxContent>
                    <w:p w14:paraId="56D1096E" w14:textId="1836FBD8" w:rsidR="00313F5C" w:rsidRPr="00FC4191" w:rsidRDefault="00FC4191" w:rsidP="00066D9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C4191">
                        <w:rPr>
                          <w:rStyle w:val="WartowskanikaZnak"/>
                          <w:sz w:val="72"/>
                          <w:szCs w:val="72"/>
                        </w:rPr>
                        <w:t>2,8</w:t>
                      </w:r>
                      <w:r w:rsidR="004B4292" w:rsidRPr="00FC419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3E07E307" w:rsidR="00313F5C" w:rsidRPr="00FC4191" w:rsidRDefault="00FC4191" w:rsidP="005846C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C4191">
                        <w:t>Udział obszaru kultury w</w:t>
                      </w:r>
                      <w:r>
                        <w:t> </w:t>
                      </w:r>
                      <w:r w:rsidRPr="00FC4191">
                        <w:t>tworzeniu wartości dodanej brutto w 2021 r.</w:t>
                      </w:r>
                    </w:p>
                    <w:p w14:paraId="63B3F253" w14:textId="7D12D70D" w:rsidR="005C0CAC" w:rsidRPr="00FC4191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4191" w:rsidRPr="008D7507">
        <w:rPr>
          <w:lang w:val="pl-PL"/>
        </w:rPr>
        <w:t>Satelitarny rachunek kultury w 2021 r.</w:t>
      </w:r>
    </w:p>
    <w:p w14:paraId="666C5FAC" w14:textId="6432EBEC" w:rsidR="006D7409" w:rsidRPr="00492F0F" w:rsidRDefault="00FC4191" w:rsidP="00FC4191">
      <w:pPr>
        <w:pStyle w:val="Lead"/>
        <w:spacing w:after="720"/>
      </w:pPr>
      <w:r w:rsidRPr="008D7507">
        <w:t>Wartość dodana brutto wytworzona przez obszar kultury w 2021 r. osiagnęła 63,2 mld zł i była wyższa o 4,1 mld zł w porównaniu z 2020 r. W</w:t>
      </w:r>
      <w:r w:rsidR="00D66599">
        <w:t> </w:t>
      </w:r>
      <w:r w:rsidRPr="008D7507">
        <w:t xml:space="preserve">większości transakcji w ramach satelitarnego rachunku kultury dominowały dwie dziedziny – </w:t>
      </w:r>
      <w:r w:rsidRPr="00492F0F">
        <w:t>Reklama oraz Sztuki audiowizualne i multimedia.</w:t>
      </w:r>
    </w:p>
    <w:p w14:paraId="6189446F" w14:textId="6680C567" w:rsidR="00DE6B58" w:rsidRPr="008D7507" w:rsidRDefault="008D7507" w:rsidP="00216634">
      <w:pPr>
        <w:rPr>
          <w:rFonts w:eastAsia="Times New Roman" w:cs="Times New Roman"/>
          <w:szCs w:val="19"/>
          <w:lang w:eastAsia="pl-PL"/>
        </w:rPr>
      </w:pPr>
      <w:r w:rsidRPr="008D7507">
        <w:rPr>
          <w:rFonts w:eastAsia="Times New Roman" w:cs="Times New Roman"/>
          <w:szCs w:val="19"/>
          <w:lang w:eastAsia="pl-PL"/>
        </w:rPr>
        <w:t>W 2021 r. obszar kultury cechował się ni</w:t>
      </w:r>
      <w:bookmarkStart w:id="0" w:name="_GoBack"/>
      <w:bookmarkEnd w:id="0"/>
      <w:r w:rsidRPr="008D7507">
        <w:rPr>
          <w:rFonts w:eastAsia="Times New Roman" w:cs="Times New Roman"/>
          <w:szCs w:val="19"/>
          <w:lang w:eastAsia="pl-PL"/>
        </w:rPr>
        <w:t xml:space="preserve">ższą dynamiką wzrostu wartości głównych transakcji w porównaniu z gospodarką narodową. Wartość produkcji globalnej w obszarze kultury osiągnęła 138,2 mld zł i w porównaniu z 2020 r. wzrosła o 7,4%. Wartość zużycia pośredniego wyniosła 75,0 mld zł, natomiast wartość dodana brutto, stanowiąca różnicę pomiędzy produkcją globalną i zużyciem pośrednim – 63,2 mld zł (co stanowiło wzrost </w:t>
      </w:r>
      <w:r w:rsidR="003A388F" w:rsidRPr="008D7507">
        <w:rPr>
          <w:rFonts w:eastAsia="Times New Roman" w:cs="Times New Roman"/>
          <w:szCs w:val="19"/>
          <w:lang w:eastAsia="pl-PL"/>
        </w:rPr>
        <w:t xml:space="preserve">odpowiednio </w:t>
      </w:r>
      <w:r w:rsidRPr="008D7507">
        <w:rPr>
          <w:rFonts w:eastAsia="Times New Roman" w:cs="Times New Roman"/>
          <w:szCs w:val="19"/>
          <w:lang w:eastAsia="pl-PL"/>
        </w:rPr>
        <w:t>o</w:t>
      </w:r>
      <w:r w:rsidR="00D66599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>7,7% i 7,0% w porównaniu z rokiem poprzednim). Koszty związane z zatrudnieniem zwiększyły się w ujęciu rocznym o 2,5%</w:t>
      </w:r>
      <w:r w:rsidR="00FD5FC6">
        <w:rPr>
          <w:rFonts w:eastAsia="Times New Roman" w:cs="Times New Roman"/>
          <w:szCs w:val="19"/>
          <w:lang w:eastAsia="pl-PL"/>
        </w:rPr>
        <w:t>,</w:t>
      </w:r>
      <w:r w:rsidRPr="008D7507">
        <w:rPr>
          <w:rFonts w:eastAsia="Times New Roman" w:cs="Times New Roman"/>
          <w:szCs w:val="19"/>
          <w:lang w:eastAsia="pl-PL"/>
        </w:rPr>
        <w:t xml:space="preserve"> do 26,7 mld zł. Nadwyżka operacyjna brutto, stanowiąca różnicę pomiędzy wartością dodaną brutto a kosztami związanymi z</w:t>
      </w:r>
      <w:r w:rsidR="00D66599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>zatrudnieniem i pozostałymi podatkami związanymi z produkcją pomniejszonymi o</w:t>
      </w:r>
      <w:r w:rsidR="00D66599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>pozostałe dotacje związane z produkcją, osiągnęła wartość 37,0 mld zł (o 2,9% mniej niż w</w:t>
      </w:r>
      <w:r w:rsidR="00D66599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>2020 r.). Istotnie zmniejszyły się pozostałe dotacje związane z produkcją (o</w:t>
      </w:r>
      <w:r w:rsidR="0097609A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>4,5</w:t>
      </w:r>
      <w:r w:rsidR="00D66599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 xml:space="preserve">mld </w:t>
      </w:r>
      <w:r w:rsidR="0016794F">
        <w:rPr>
          <w:rFonts w:eastAsia="Times New Roman" w:cs="Times New Roman"/>
          <w:szCs w:val="19"/>
          <w:lang w:eastAsia="pl-PL"/>
        </w:rPr>
        <w:t xml:space="preserve">zł </w:t>
      </w:r>
      <w:r w:rsidRPr="008D7507">
        <w:rPr>
          <w:rFonts w:eastAsia="Times New Roman" w:cs="Times New Roman"/>
          <w:szCs w:val="19"/>
          <w:lang w:eastAsia="pl-PL"/>
        </w:rPr>
        <w:t>w</w:t>
      </w:r>
      <w:r w:rsidR="0016794F">
        <w:rPr>
          <w:rFonts w:eastAsia="Times New Roman" w:cs="Times New Roman"/>
          <w:szCs w:val="19"/>
          <w:lang w:eastAsia="pl-PL"/>
        </w:rPr>
        <w:t> </w:t>
      </w:r>
      <w:r w:rsidRPr="008D7507">
        <w:rPr>
          <w:rFonts w:eastAsia="Times New Roman" w:cs="Times New Roman"/>
          <w:szCs w:val="19"/>
          <w:lang w:eastAsia="pl-PL"/>
        </w:rPr>
        <w:t>porównaniu z 2020 r.</w:t>
      </w:r>
      <w:r w:rsidR="00D76984">
        <w:rPr>
          <w:rFonts w:eastAsia="Times New Roman" w:cs="Times New Roman"/>
          <w:szCs w:val="19"/>
          <w:lang w:eastAsia="pl-PL"/>
        </w:rPr>
        <w:t>),</w:t>
      </w:r>
      <w:r w:rsidRPr="008D7507">
        <w:rPr>
          <w:rFonts w:eastAsia="Times New Roman" w:cs="Times New Roman"/>
          <w:szCs w:val="19"/>
          <w:lang w:eastAsia="pl-PL"/>
        </w:rPr>
        <w:t xml:space="preserve"> co może się wiązać ze zmniejszeniem wsparcia finansowego, jakie </w:t>
      </w:r>
      <w:r w:rsidR="00E9514D">
        <w:rPr>
          <w:rFonts w:eastAsia="Times New Roman" w:cs="Times New Roman"/>
          <w:szCs w:val="19"/>
          <w:lang w:eastAsia="pl-PL"/>
        </w:rPr>
        <w:t>w </w:t>
      </w:r>
      <w:r w:rsidRPr="008D7507">
        <w:rPr>
          <w:rFonts w:eastAsia="Times New Roman" w:cs="Times New Roman"/>
          <w:szCs w:val="19"/>
          <w:lang w:eastAsia="pl-PL"/>
        </w:rPr>
        <w:t xml:space="preserve">2020 r. </w:t>
      </w:r>
      <w:r w:rsidR="00A8063D">
        <w:rPr>
          <w:rFonts w:eastAsia="Times New Roman" w:cs="Times New Roman"/>
          <w:szCs w:val="19"/>
          <w:lang w:eastAsia="pl-PL"/>
        </w:rPr>
        <w:t xml:space="preserve">było </w:t>
      </w:r>
      <w:r w:rsidRPr="008D7507">
        <w:rPr>
          <w:rFonts w:eastAsia="Times New Roman" w:cs="Times New Roman"/>
          <w:szCs w:val="19"/>
          <w:lang w:eastAsia="pl-PL"/>
        </w:rPr>
        <w:t>udzielane wielu podmiotom w związku z ogłoszeniem w</w:t>
      </w:r>
      <w:r w:rsidR="00E9514D">
        <w:rPr>
          <w:rFonts w:eastAsia="Times New Roman" w:cs="Times New Roman"/>
          <w:szCs w:val="19"/>
          <w:lang w:eastAsia="pl-PL"/>
        </w:rPr>
        <w:t xml:space="preserve"> </w:t>
      </w:r>
      <w:r w:rsidRPr="008D7507">
        <w:rPr>
          <w:rFonts w:eastAsia="Times New Roman" w:cs="Times New Roman"/>
          <w:szCs w:val="19"/>
          <w:lang w:eastAsia="pl-PL"/>
        </w:rPr>
        <w:t>Polsce stanu zagrożenia epidemicznego (pandemia COVID-19).</w:t>
      </w:r>
      <w:r w:rsidR="00D972F6" w:rsidRPr="008D7507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25AC4029" w:rsidR="00E95B8E" w:rsidRPr="008D7507" w:rsidRDefault="00E95B8E" w:rsidP="00F049AB">
      <w:pPr>
        <w:pStyle w:val="Tytutablicy"/>
      </w:pPr>
      <w:r w:rsidRPr="008D7507">
        <w:t xml:space="preserve">Tablica </w:t>
      </w:r>
      <w:r w:rsidR="00D972F6" w:rsidRPr="008D7507">
        <w:t>1</w:t>
      </w:r>
      <w:r w:rsidRPr="008D7507">
        <w:t>.</w:t>
      </w:r>
      <w:r w:rsidR="00D972F6" w:rsidRPr="008D7507">
        <w:t xml:space="preserve"> </w:t>
      </w:r>
      <w:r w:rsidR="00434202" w:rsidRPr="00434202">
        <w:t>Główne transakcje w satelitarnym rachunku kultury</w:t>
      </w:r>
    </w:p>
    <w:tbl>
      <w:tblPr>
        <w:tblW w:w="793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Główne transakcje w satelitarnym rachunku kultury"/>
        <w:tblDescription w:val="dane dostępne cyfrowo w pliku excel"/>
      </w:tblPr>
      <w:tblGrid>
        <w:gridCol w:w="3686"/>
        <w:gridCol w:w="1417"/>
        <w:gridCol w:w="1417"/>
        <w:gridCol w:w="1418"/>
      </w:tblGrid>
      <w:tr w:rsidR="00317287" w:rsidRPr="008D7507" w14:paraId="4BC8CCD4" w14:textId="77777777" w:rsidTr="00066D94">
        <w:trPr>
          <w:trHeight w:val="456"/>
          <w:tblHeader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6FF997D1" w:rsidR="00317287" w:rsidRPr="008D7507" w:rsidRDefault="00317287" w:rsidP="00066D94">
            <w:pPr>
              <w:pStyle w:val="Tablicagwka"/>
            </w:pPr>
            <w:r w:rsidRPr="00E131D6">
              <w:t>Transakcje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7483695E" w14:textId="171FC626" w:rsidR="00317287" w:rsidRPr="008D7507" w:rsidRDefault="00317287" w:rsidP="00066D94">
            <w:pPr>
              <w:pStyle w:val="Tablicagwka"/>
            </w:pPr>
            <w:r w:rsidRPr="00E131D6">
              <w:t>2020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706E1FD9" w14:textId="05ECDFEA" w:rsidR="00317287" w:rsidRPr="008D7507" w:rsidRDefault="00317287" w:rsidP="00317287">
            <w:pPr>
              <w:pStyle w:val="Tablicagwka"/>
            </w:pPr>
            <w:r w:rsidRPr="00E131D6">
              <w:t>2021</w:t>
            </w:r>
          </w:p>
        </w:tc>
      </w:tr>
      <w:tr w:rsidR="00317287" w:rsidRPr="008D7507" w14:paraId="50E3249B" w14:textId="77777777" w:rsidTr="00656FC1">
        <w:trPr>
          <w:trHeight w:val="456"/>
          <w:tblHeader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hideMark/>
          </w:tcPr>
          <w:p w14:paraId="7166CABD" w14:textId="77777777" w:rsidR="00317287" w:rsidRPr="008D7507" w:rsidRDefault="00317287" w:rsidP="00317287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0F7C99D1" w14:textId="5B8F3F37" w:rsidR="00317287" w:rsidRPr="008D7507" w:rsidRDefault="00317287" w:rsidP="00317287">
            <w:pPr>
              <w:pStyle w:val="Tablicagwka"/>
            </w:pPr>
            <w:r w:rsidRPr="00E131D6">
              <w:t>w mln zł, ceny bieżące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3A25A2CB" w14:textId="3B2985B8" w:rsidR="00317287" w:rsidRPr="008D7507" w:rsidRDefault="00317287" w:rsidP="00317287">
            <w:pPr>
              <w:pStyle w:val="Tablicagwka"/>
            </w:pPr>
            <w:r w:rsidRPr="00E131D6">
              <w:t>2020=100</w:t>
            </w:r>
          </w:p>
        </w:tc>
      </w:tr>
      <w:tr w:rsidR="00233921" w:rsidRPr="008D7507" w14:paraId="0B89DD9B" w14:textId="77777777" w:rsidTr="00672E9B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35002680" w14:textId="4E746902" w:rsidR="00233921" w:rsidRPr="00317287" w:rsidRDefault="00233921" w:rsidP="00233921">
            <w:pPr>
              <w:pStyle w:val="Tablicaboczek"/>
              <w:ind w:left="170" w:hanging="170"/>
              <w:rPr>
                <w:lang w:val="en-GB"/>
              </w:rPr>
            </w:pPr>
            <w:r w:rsidRPr="003179DA">
              <w:t xml:space="preserve">Produkcja globalna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1D1CE52" w14:textId="468113F1" w:rsidR="00233921" w:rsidRPr="008D7507" w:rsidRDefault="00233921" w:rsidP="00233921">
            <w:pPr>
              <w:pStyle w:val="Tablicadanerodek"/>
            </w:pPr>
            <w:r w:rsidRPr="003179DA">
              <w:t>128 694,5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8E5071D" w14:textId="1150B223" w:rsidR="00233921" w:rsidRPr="008D7507" w:rsidRDefault="00233921" w:rsidP="00233921">
            <w:pPr>
              <w:pStyle w:val="Tablicadanerodek"/>
              <w:rPr>
                <w:highlight w:val="yellow"/>
              </w:rPr>
            </w:pPr>
            <w:r w:rsidRPr="003179DA">
              <w:t>138 205,5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hideMark/>
          </w:tcPr>
          <w:p w14:paraId="154ECFE2" w14:textId="1464B450" w:rsidR="00233921" w:rsidRPr="008D7507" w:rsidRDefault="00233921" w:rsidP="00233921">
            <w:pPr>
              <w:pStyle w:val="Tablicadanerodek"/>
            </w:pPr>
            <w:r w:rsidRPr="003179DA">
              <w:t>107,4</w:t>
            </w:r>
          </w:p>
        </w:tc>
      </w:tr>
      <w:tr w:rsidR="00233921" w:rsidRPr="008D7507" w14:paraId="22DFD96B" w14:textId="77777777" w:rsidTr="00672E9B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F15285E" w14:textId="7666155C" w:rsidR="00233921" w:rsidRPr="008D7507" w:rsidRDefault="00233921" w:rsidP="00233921">
            <w:pPr>
              <w:pStyle w:val="Tablicaboczek"/>
              <w:ind w:left="170" w:hanging="170"/>
            </w:pPr>
            <w:r w:rsidRPr="003179DA">
              <w:t>Zużycie pośrednie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BAA2D8" w14:textId="454E6262" w:rsidR="00233921" w:rsidRPr="008D7507" w:rsidRDefault="00233921" w:rsidP="00233921">
            <w:pPr>
              <w:pStyle w:val="Tablicadanerodek"/>
            </w:pPr>
            <w:r w:rsidRPr="003179DA">
              <w:t>69 600,9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062CAF" w14:textId="6B211C18" w:rsidR="00233921" w:rsidRPr="008D7507" w:rsidRDefault="00233921" w:rsidP="00233921">
            <w:pPr>
              <w:pStyle w:val="Tablicadanerodek"/>
            </w:pPr>
            <w:r w:rsidRPr="003179DA">
              <w:t>74 989,7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FED04D9" w14:textId="703FC465" w:rsidR="00233921" w:rsidRPr="008D7507" w:rsidRDefault="00233921" w:rsidP="00233921">
            <w:pPr>
              <w:pStyle w:val="Tablicadanerodek"/>
            </w:pPr>
            <w:r w:rsidRPr="003179DA">
              <w:t>107,7</w:t>
            </w:r>
          </w:p>
        </w:tc>
      </w:tr>
      <w:tr w:rsidR="00233921" w:rsidRPr="008D7507" w14:paraId="76371C72" w14:textId="77777777" w:rsidTr="00672E9B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7CD3EF" w14:textId="595E444F" w:rsidR="00233921" w:rsidRPr="008D7507" w:rsidRDefault="00233921" w:rsidP="00233921">
            <w:pPr>
              <w:pStyle w:val="Tablicaboczek"/>
              <w:ind w:left="170" w:hanging="170"/>
            </w:pPr>
            <w:r w:rsidRPr="003179DA">
              <w:t>Wartość dodana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DB62E6" w14:textId="106F8104" w:rsidR="00233921" w:rsidRPr="008D7507" w:rsidRDefault="00233921" w:rsidP="00233921">
            <w:pPr>
              <w:pStyle w:val="Tablicadanerodek"/>
            </w:pPr>
            <w:r w:rsidRPr="003179DA">
              <w:t>59 093,6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6DDAC2" w14:textId="20B522AA" w:rsidR="00233921" w:rsidRPr="008D7507" w:rsidRDefault="00233921" w:rsidP="00233921">
            <w:pPr>
              <w:pStyle w:val="Tablicadanerodek"/>
            </w:pPr>
            <w:r w:rsidRPr="003179DA">
              <w:t>63 215,8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86E3013" w14:textId="5FFF8DAD" w:rsidR="00233921" w:rsidRPr="008D7507" w:rsidRDefault="00233921" w:rsidP="00233921">
            <w:pPr>
              <w:pStyle w:val="Tablicadanerodek"/>
            </w:pPr>
            <w:r w:rsidRPr="003179DA">
              <w:t>107,0</w:t>
            </w:r>
          </w:p>
        </w:tc>
      </w:tr>
      <w:tr w:rsidR="00233921" w:rsidRPr="008D7507" w14:paraId="55463222" w14:textId="77777777" w:rsidTr="00672E9B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7DBA008" w14:textId="69EB0F58" w:rsidR="00233921" w:rsidRPr="008D7507" w:rsidRDefault="00233921" w:rsidP="00233921">
            <w:pPr>
              <w:pStyle w:val="Tablicaboczek"/>
              <w:ind w:left="170" w:hanging="170"/>
            </w:pPr>
            <w:r w:rsidRPr="003179DA">
              <w:t>Koszty związane z zatrudnieniem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973238" w14:textId="79B89994" w:rsidR="00233921" w:rsidRPr="008D7507" w:rsidRDefault="00233921" w:rsidP="00233921">
            <w:pPr>
              <w:pStyle w:val="Tablicadanerodek"/>
            </w:pPr>
            <w:r w:rsidRPr="003179DA">
              <w:t>26 080,1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6E439F" w14:textId="39E8B136" w:rsidR="00233921" w:rsidRPr="008D7507" w:rsidRDefault="00233921" w:rsidP="00233921">
            <w:pPr>
              <w:pStyle w:val="Tablicadanerodek"/>
            </w:pPr>
            <w:r w:rsidRPr="003179DA">
              <w:t>26 727,4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F24E3DB" w14:textId="2EE33491" w:rsidR="00233921" w:rsidRPr="008D7507" w:rsidRDefault="00233921" w:rsidP="00233921">
            <w:pPr>
              <w:pStyle w:val="Tablicadanerodek"/>
            </w:pPr>
            <w:r w:rsidRPr="003179DA">
              <w:t>102,5</w:t>
            </w:r>
          </w:p>
        </w:tc>
      </w:tr>
      <w:tr w:rsidR="00233921" w:rsidRPr="008D7507" w14:paraId="4F01CA92" w14:textId="77777777" w:rsidTr="00672E9B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hideMark/>
          </w:tcPr>
          <w:p w14:paraId="61F90E28" w14:textId="71595E2B" w:rsidR="00233921" w:rsidRPr="008D7507" w:rsidRDefault="00233921" w:rsidP="00233921">
            <w:pPr>
              <w:pStyle w:val="Tablicaboczek"/>
            </w:pPr>
            <w:r w:rsidRPr="003179DA">
              <w:t>Nadwyżka operacyjna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hideMark/>
          </w:tcPr>
          <w:p w14:paraId="2AA0FFC1" w14:textId="6C2C5282" w:rsidR="00233921" w:rsidRPr="008D7507" w:rsidRDefault="00233921" w:rsidP="00233921">
            <w:pPr>
              <w:pStyle w:val="Tablicadanerodek"/>
            </w:pPr>
            <w:r w:rsidRPr="003179DA">
              <w:t>38 115,5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hideMark/>
          </w:tcPr>
          <w:p w14:paraId="7D80662D" w14:textId="1AD91D6F" w:rsidR="00233921" w:rsidRPr="008D7507" w:rsidRDefault="00233921" w:rsidP="00233921">
            <w:pPr>
              <w:pStyle w:val="Tablicadanerodek"/>
              <w:rPr>
                <w:highlight w:val="yellow"/>
              </w:rPr>
            </w:pPr>
            <w:r w:rsidRPr="003179DA">
              <w:t>37 003,2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hideMark/>
          </w:tcPr>
          <w:p w14:paraId="41DCCF19" w14:textId="55FDFA58" w:rsidR="00233921" w:rsidRPr="008D7507" w:rsidRDefault="00233921" w:rsidP="00233921">
            <w:pPr>
              <w:pStyle w:val="Tablicadanerodek"/>
            </w:pPr>
            <w:r w:rsidRPr="003179DA">
              <w:t>97,1</w:t>
            </w:r>
          </w:p>
        </w:tc>
      </w:tr>
    </w:tbl>
    <w:p w14:paraId="512A5A5F" w14:textId="581F7F11" w:rsidR="00D972F6" w:rsidRPr="008D7507" w:rsidRDefault="00233921" w:rsidP="00233921">
      <w:pPr>
        <w:spacing w:before="360"/>
        <w:rPr>
          <w:shd w:val="clear" w:color="auto" w:fill="FFFFFF"/>
        </w:rPr>
      </w:pPr>
      <w:r w:rsidRPr="008D750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18E72E6B">
                <wp:simplePos x="0" y="0"/>
                <wp:positionH relativeFrom="column">
                  <wp:posOffset>5288280</wp:posOffset>
                </wp:positionH>
                <wp:positionV relativeFrom="paragraph">
                  <wp:posOffset>158115</wp:posOffset>
                </wp:positionV>
                <wp:extent cx="1725295" cy="899160"/>
                <wp:effectExtent l="0" t="0" r="0" b="0"/>
                <wp:wrapTight wrapText="bothSides">
                  <wp:wrapPolygon edited="0">
                    <wp:start x="715" y="0"/>
                    <wp:lineTo x="715" y="21051"/>
                    <wp:lineTo x="20749" y="21051"/>
                    <wp:lineTo x="20749" y="0"/>
                    <wp:lineTo x="715" y="0"/>
                  </wp:wrapPolygon>
                </wp:wrapTight>
                <wp:docPr id="4" name="Pole tekstowe 4" descr="Udział wartości dodanej brutto obszaru kultury w gospodarce narodowej zmniejszył się o 0,1 p. proc. względem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2BB86CC4" w:rsidR="000D4F03" w:rsidRPr="008D7507" w:rsidRDefault="008D7507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D7507">
                              <w:rPr>
                                <w:lang w:val="pl-PL"/>
                              </w:rPr>
                              <w:t>Udział wartości dodanej brutto obszaru kultury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8D7507">
                              <w:rPr>
                                <w:lang w:val="pl-PL"/>
                              </w:rPr>
                              <w:t>gospodarce narodowej zmniejszył się o 0,1 p. proc. względem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8D0B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Udział wartości dodanej brutto obszaru kultury w gospodarce narodowej zmniejszył się o 0,1 p. proc. względem 2020 r." style="position:absolute;margin-left:416.4pt;margin-top:12.45pt;width:135.85pt;height:70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" filled="f" stroked="f">
                <v:textbox>
                  <w:txbxContent>
                    <w:p w14:paraId="2A54A98B" w14:textId="2BB86CC4" w:rsidR="000D4F03" w:rsidRPr="008D7507" w:rsidRDefault="008D7507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D7507">
                        <w:rPr>
                          <w:lang w:val="pl-PL"/>
                        </w:rPr>
                        <w:t>Udział wartości dodanej brutto obszaru kultury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8D7507">
                        <w:rPr>
                          <w:lang w:val="pl-PL"/>
                        </w:rPr>
                        <w:t>gospodarce narodowej zmniejszył się o 0,1 p. proc. względem 2020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33921">
        <w:rPr>
          <w:shd w:val="clear" w:color="auto" w:fill="FFFFFF"/>
        </w:rPr>
        <w:t>W 2021 r. wartoś</w:t>
      </w:r>
      <w:r w:rsidR="002E7DC9">
        <w:rPr>
          <w:shd w:val="clear" w:color="auto" w:fill="FFFFFF"/>
        </w:rPr>
        <w:t>ć</w:t>
      </w:r>
      <w:r w:rsidRPr="00233921">
        <w:rPr>
          <w:shd w:val="clear" w:color="auto" w:fill="FFFFFF"/>
        </w:rPr>
        <w:t xml:space="preserve"> produkcji globalnej wytworzonej w obszarze kultury </w:t>
      </w:r>
      <w:r w:rsidR="002E7DC9">
        <w:rPr>
          <w:shd w:val="clear" w:color="auto" w:fill="FFFFFF"/>
        </w:rPr>
        <w:t>stanowiła 2,6%</w:t>
      </w:r>
      <w:r w:rsidR="002E7DC9" w:rsidRPr="00233921">
        <w:rPr>
          <w:shd w:val="clear" w:color="auto" w:fill="FFFFFF"/>
        </w:rPr>
        <w:t xml:space="preserve"> </w:t>
      </w:r>
      <w:r w:rsidRPr="00233921">
        <w:rPr>
          <w:shd w:val="clear" w:color="auto" w:fill="FFFFFF"/>
        </w:rPr>
        <w:t>wartości produkcji globalnej całej gospodarki narodowej (o 0,2 p. proc. mniej w</w:t>
      </w:r>
      <w:r w:rsidR="0097609A">
        <w:rPr>
          <w:shd w:val="clear" w:color="auto" w:fill="FFFFFF"/>
        </w:rPr>
        <w:t> </w:t>
      </w:r>
      <w:r w:rsidRPr="00233921">
        <w:rPr>
          <w:shd w:val="clear" w:color="auto" w:fill="FFFFFF"/>
        </w:rPr>
        <w:t xml:space="preserve">porównaniu z 2020 r.), natomiast </w:t>
      </w:r>
      <w:r w:rsidR="002E7DC9">
        <w:rPr>
          <w:shd w:val="clear" w:color="auto" w:fill="FFFFFF"/>
        </w:rPr>
        <w:t>udział</w:t>
      </w:r>
      <w:r w:rsidR="002E7DC9" w:rsidRPr="00233921">
        <w:rPr>
          <w:shd w:val="clear" w:color="auto" w:fill="FFFFFF"/>
        </w:rPr>
        <w:t xml:space="preserve"> </w:t>
      </w:r>
      <w:r w:rsidRPr="00233921">
        <w:rPr>
          <w:shd w:val="clear" w:color="auto" w:fill="FFFFFF"/>
        </w:rPr>
        <w:t xml:space="preserve">wartości dodanej brutto </w:t>
      </w:r>
      <w:r w:rsidR="002E7DC9">
        <w:rPr>
          <w:shd w:val="clear" w:color="auto" w:fill="FFFFFF"/>
        </w:rPr>
        <w:t>wyniósł</w:t>
      </w:r>
      <w:r w:rsidR="002E7DC9" w:rsidRPr="00233921">
        <w:rPr>
          <w:shd w:val="clear" w:color="auto" w:fill="FFFFFF"/>
        </w:rPr>
        <w:t xml:space="preserve"> </w:t>
      </w:r>
      <w:r w:rsidRPr="00233921">
        <w:rPr>
          <w:shd w:val="clear" w:color="auto" w:fill="FFFFFF"/>
        </w:rPr>
        <w:t>2,8% (o 0,1 p. proc. mniej niż w</w:t>
      </w:r>
      <w:r w:rsidR="00D94983">
        <w:rPr>
          <w:shd w:val="clear" w:color="auto" w:fill="FFFFFF"/>
        </w:rPr>
        <w:t> </w:t>
      </w:r>
      <w:r w:rsidRPr="00233921">
        <w:rPr>
          <w:shd w:val="clear" w:color="auto" w:fill="FFFFFF"/>
        </w:rPr>
        <w:t>2020 r.). Wkład obszaru kultury w tworzenie nadwyżki operacyjnej brutto w</w:t>
      </w:r>
      <w:r w:rsidR="002E7DC9">
        <w:rPr>
          <w:shd w:val="clear" w:color="auto" w:fill="FFFFFF"/>
        </w:rPr>
        <w:t> </w:t>
      </w:r>
      <w:r w:rsidRPr="00233921">
        <w:rPr>
          <w:shd w:val="clear" w:color="auto" w:fill="FFFFFF"/>
        </w:rPr>
        <w:t>gospodarce wyniósł 3,0% (o 0,3 p. proc. mniej w porównaniu z 2020 r.).</w:t>
      </w:r>
    </w:p>
    <w:p w14:paraId="7D52B145" w14:textId="1774AB1A" w:rsidR="00B16871" w:rsidRDefault="00CB3AA7" w:rsidP="00283CF5">
      <w:pPr>
        <w:pStyle w:val="Tytuwykresu"/>
        <w:spacing w:before="840"/>
        <w:ind w:left="851" w:hanging="851"/>
        <w:rPr>
          <w:lang w:val="pl-PL"/>
        </w:rPr>
      </w:pPr>
      <w:r>
        <w:rPr>
          <w:rFonts w:eastAsiaTheme="minorHAnsi" w:cstheme="minorBidi"/>
          <w:b w:val="0"/>
          <w:bCs w:val="0"/>
          <w:szCs w:val="22"/>
          <w:shd w:val="clear" w:color="auto" w:fill="FFFFFF"/>
          <w:lang w:eastAsia="en-US"/>
        </w:rPr>
        <w:lastRenderedPageBreak/>
        <w:drawing>
          <wp:anchor distT="0" distB="0" distL="114300" distR="114300" simplePos="0" relativeHeight="251777024" behindDoc="0" locked="0" layoutInCell="1" allowOverlap="1" wp14:anchorId="7598E98F" wp14:editId="0858CDA5">
            <wp:simplePos x="0" y="0"/>
            <wp:positionH relativeFrom="column">
              <wp:posOffset>0</wp:posOffset>
            </wp:positionH>
            <wp:positionV relativeFrom="paragraph">
              <wp:posOffset>385445</wp:posOffset>
            </wp:positionV>
            <wp:extent cx="5041900" cy="2084705"/>
            <wp:effectExtent l="0" t="0" r="0" b="0"/>
            <wp:wrapTopAndBottom/>
            <wp:docPr id="20" name="Obraz 20" descr="Wykres 1. słupkowy przedstawiający udział obszaru kultury w gospodarce narodowej według głównych transakcj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8D7507">
        <w:rPr>
          <w:lang w:val="pl-PL"/>
        </w:rPr>
        <w:t xml:space="preserve">Wykres 1. </w:t>
      </w:r>
      <w:r w:rsidR="00233921" w:rsidRPr="00233921">
        <w:rPr>
          <w:lang w:val="pl-PL"/>
        </w:rPr>
        <w:t>Udział obszaru kultury w gospodarce narodowej według głównych transakcji w</w:t>
      </w:r>
      <w:r w:rsidR="00283CF5">
        <w:rPr>
          <w:lang w:val="pl-PL"/>
        </w:rPr>
        <w:t> </w:t>
      </w:r>
      <w:r w:rsidR="00233921" w:rsidRPr="00233921">
        <w:rPr>
          <w:lang w:val="pl-PL"/>
        </w:rPr>
        <w:t>2021 r.</w:t>
      </w:r>
    </w:p>
    <w:p w14:paraId="522B5A2D" w14:textId="3F2AA147" w:rsidR="002E247A" w:rsidRPr="00492F0F" w:rsidRDefault="002E247A" w:rsidP="00233903">
      <w:pPr>
        <w:pStyle w:val="Tytutablicy"/>
        <w:spacing w:line="288" w:lineRule="auto"/>
        <w:rPr>
          <w:b w:val="0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W 2021 r. najwyższy udział w wartości produkcji globalnej w obszarze kultury odnotowano w dziedzinie Reklama </w:t>
      </w:r>
      <w:r w:rsidR="00D02A84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–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25,7%. Znaczący wkład, wynoszący 20,2% wartości produkcji globalnej, odnotowano w przypadku dziedziny Sztuki audiowizualne i multimedia. Te same dwie dziedziny dominowały także w innych transakcjach, takich jak zużycie pośrednie (odpowiednio 31,4% oraz 22,3%), a także w wartości dodanej brutto (odpowiednio 19,0% i 17,6%) i nadwyżce operacyjnej brutto (odpowiednio 22,2% oraz 19,7%).</w:t>
      </w:r>
    </w:p>
    <w:p w14:paraId="642F5473" w14:textId="6008CBD7" w:rsidR="002E247A" w:rsidRDefault="00625BAB" w:rsidP="002E247A">
      <w:pPr>
        <w:pStyle w:val="Tytuwykresu"/>
        <w:rPr>
          <w:lang w:val="pl-PL"/>
        </w:rPr>
      </w:pPr>
      <w:r>
        <w:rPr>
          <w:rFonts w:eastAsiaTheme="minorHAnsi" w:cstheme="minorBidi"/>
          <w:b w:val="0"/>
          <w:bCs w:val="0"/>
          <w:szCs w:val="22"/>
          <w:shd w:val="clear" w:color="auto" w:fill="FFFFFF"/>
          <w:lang w:eastAsia="en-US"/>
        </w:rPr>
        <w:drawing>
          <wp:anchor distT="0" distB="0" distL="114300" distR="114300" simplePos="0" relativeHeight="251778048" behindDoc="0" locked="0" layoutInCell="1" allowOverlap="1" wp14:anchorId="3B4224F4" wp14:editId="3BB0AA15">
            <wp:simplePos x="0" y="0"/>
            <wp:positionH relativeFrom="column">
              <wp:posOffset>-23495</wp:posOffset>
            </wp:positionH>
            <wp:positionV relativeFrom="paragraph">
              <wp:posOffset>366395</wp:posOffset>
            </wp:positionV>
            <wp:extent cx="5243195" cy="3755390"/>
            <wp:effectExtent l="0" t="0" r="0" b="0"/>
            <wp:wrapTopAndBottom/>
            <wp:docPr id="25" name="Obraz 25" descr="Wykres 2. słupkowy przedstawiający produkcję globalną według dziedzin kultury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247A" w:rsidRPr="00967E11">
        <w:rPr>
          <w:lang w:val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61F27B3E" wp14:editId="2E6EEA71">
                <wp:simplePos x="0" y="0"/>
                <wp:positionH relativeFrom="page">
                  <wp:posOffset>5842000</wp:posOffset>
                </wp:positionH>
                <wp:positionV relativeFrom="paragraph">
                  <wp:posOffset>495935</wp:posOffset>
                </wp:positionV>
                <wp:extent cx="1543050" cy="1219200"/>
                <wp:effectExtent l="0" t="0" r="0" b="0"/>
                <wp:wrapSquare wrapText="bothSides"/>
                <wp:docPr id="13" name="Pole tekstowe 13" descr="Trzy dziedziny: Reklama, Sztuki audiowizualne i multimedia oraz Powiązane z kulturą wypracowały łącznie 58,0% produkcji globalnej obszaru kult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96042" w14:textId="77777777" w:rsidR="002E247A" w:rsidRPr="009F3AA8" w:rsidRDefault="002E247A" w:rsidP="002E247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9F3AA8">
                              <w:rPr>
                                <w:lang w:val="pl-PL"/>
                              </w:rPr>
                              <w:t>Trzy dziedziny: Reklama, Sztuki audiowizualne i multimedia oraz Powiązane z kulturą wypracowały łącznie 58,0% produkcji globalnej obszaru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27B3E" id="Pole tekstowe 13" o:spid="_x0000_s1028" type="#_x0000_t202" alt="Trzy dziedziny: Reklama, Sztuki audiowizualne i multimedia oraz Powiązane z kulturą wypracowały łącznie 58,0% produkcji globalnej obszaru kultury" style="position:absolute;margin-left:460pt;margin-top:39.05pt;width:121.5pt;height:9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" filled="f" stroked="f">
                <v:textbox>
                  <w:txbxContent>
                    <w:p w14:paraId="50A96042" w14:textId="77777777" w:rsidR="002E247A" w:rsidRPr="009F3AA8" w:rsidRDefault="002E247A" w:rsidP="002E247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9F3AA8">
                        <w:rPr>
                          <w:lang w:val="pl-PL"/>
                        </w:rPr>
                        <w:t>Trzy dziedziny: Reklama, Sztuki audiowizualne i multimedia oraz Powiązane z kulturą wypracowały łącznie 58,0% produkcji globalnej obszaru kultury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E247A" w:rsidRPr="00FA2E7E">
        <w:rPr>
          <w:lang w:val="pl-PL"/>
        </w:rPr>
        <w:t xml:space="preserve">Wykres 2. </w:t>
      </w:r>
      <w:r w:rsidR="002E247A" w:rsidRPr="008622B0">
        <w:rPr>
          <w:lang w:val="pl-PL"/>
        </w:rPr>
        <w:t>Produkcja globalna według dziedzin kultury w 2021 r.</w:t>
      </w:r>
    </w:p>
    <w:p w14:paraId="06C7B365" w14:textId="65CDFABE" w:rsidR="002E247A" w:rsidRPr="00492F0F" w:rsidRDefault="002E247A" w:rsidP="00233903">
      <w:pPr>
        <w:pStyle w:val="Tytutablicy"/>
        <w:spacing w:line="288" w:lineRule="auto"/>
        <w:rPr>
          <w:b w:val="0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Istotny był także udział dziedzin Powiązane z kulturą oraz Książki i prasa (w produkcji globalnej odpowiednio 12,1% oraz 10,4%; w wartości dodanej odpowiednio 10,3% oraz 12,5%). W przypadku nadwyżki operacyjnej brutto, obok dziedzin: Reklama, Sztuki audiowizualne i multimedia oraz Książki i prasa</w:t>
      </w:r>
      <w:r w:rsidR="008E6F2B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(odpowiednio: 22,2%, 19,7% oraz 12,9%)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, istotn</w:t>
      </w:r>
      <w:r w:rsidR="00656E8C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y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656E8C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był też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wkład dziedzin Architektura i Sztuki wizualne (odpowiednio 11,8% oraz 11,5%).</w:t>
      </w:r>
    </w:p>
    <w:p w14:paraId="3639E795" w14:textId="498D0D6C" w:rsidR="002E247A" w:rsidRDefault="0082232B" w:rsidP="0082232B">
      <w:pPr>
        <w:pStyle w:val="Tytutablicy"/>
        <w:spacing w:before="840"/>
      </w:pPr>
      <w:r>
        <w:rPr>
          <w:rFonts w:eastAsiaTheme="minorHAnsi" w:cstheme="minorBidi"/>
          <w:b w:val="0"/>
          <w:bCs w:val="0"/>
          <w:noProof/>
          <w:color w:val="auto"/>
          <w:szCs w:val="22"/>
          <w:shd w:val="clear" w:color="auto" w:fill="FFFFFF"/>
          <w:lang w:eastAsia="en-US"/>
        </w:rPr>
        <w:lastRenderedPageBreak/>
        <w:drawing>
          <wp:anchor distT="0" distB="0" distL="114300" distR="114300" simplePos="0" relativeHeight="251779072" behindDoc="0" locked="0" layoutInCell="1" allowOverlap="1" wp14:anchorId="72CFA7F1" wp14:editId="23C3391D">
            <wp:simplePos x="0" y="0"/>
            <wp:positionH relativeFrom="column">
              <wp:posOffset>-60960</wp:posOffset>
            </wp:positionH>
            <wp:positionV relativeFrom="paragraph">
              <wp:posOffset>236220</wp:posOffset>
            </wp:positionV>
            <wp:extent cx="5047615" cy="2390140"/>
            <wp:effectExtent l="0" t="0" r="0" b="0"/>
            <wp:wrapTopAndBottom/>
            <wp:docPr id="27" name="Obraz 27" descr="Wykres 3. słupkowy przedstawiający wartość dodaną brutto według dziedzin kultury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247A" w:rsidRPr="00104899">
        <w:t>Wykres 3. Wartość dodana brutto według dziedzin kultury</w:t>
      </w:r>
      <w:r w:rsidR="002E247A">
        <w:t xml:space="preserve"> </w:t>
      </w:r>
      <w:r w:rsidR="002E247A" w:rsidRPr="00104899">
        <w:t>w</w:t>
      </w:r>
      <w:r w:rsidR="002E247A">
        <w:t xml:space="preserve"> </w:t>
      </w:r>
      <w:r w:rsidR="002E247A" w:rsidRPr="00104899">
        <w:t>2021 r.</w:t>
      </w:r>
    </w:p>
    <w:p w14:paraId="43EB28CA" w14:textId="4B35D1D8" w:rsidR="008930CC" w:rsidRDefault="00FE7606" w:rsidP="0082232B">
      <w:pPr>
        <w:pStyle w:val="Tytutablicy"/>
        <w:spacing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CB2D72E" wp14:editId="22B4D47C">
                <wp:simplePos x="0" y="0"/>
                <wp:positionH relativeFrom="column">
                  <wp:posOffset>5313943</wp:posOffset>
                </wp:positionH>
                <wp:positionV relativeFrom="paragraph">
                  <wp:posOffset>2681474</wp:posOffset>
                </wp:positionV>
                <wp:extent cx="1623060" cy="1106170"/>
                <wp:effectExtent l="0" t="0" r="0" b="0"/>
                <wp:wrapSquare wrapText="bothSides"/>
                <wp:docPr id="3" name="Pole tekstowe 3" descr="Najwyższe koszty związane z zatrudnieniem obserwowano w dziedzinach: Reklama oraz Edukacja artystyczna (po 4,0 mld zł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E95F4" w14:textId="77777777" w:rsidR="002E247A" w:rsidRPr="006F226F" w:rsidRDefault="002E247A" w:rsidP="002E247A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9F3AA8">
                              <w:rPr>
                                <w:lang w:val="pl-PL"/>
                              </w:rPr>
                              <w:t>Najwyższe koszty związane z zatrudnieniem obserwowano w dziedzinach: Reklama oraz Edukacja artystyczna (po 4,0 mld zł</w:t>
                            </w:r>
                            <w:r w:rsidRPr="00967E11">
                              <w:rPr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2D72E" id="Pole tekstowe 3" o:spid="_x0000_s1029" type="#_x0000_t202" alt="Najwyższe koszty związane z zatrudnieniem obserwowano w dziedzinach: Reklama oraz Edukacja artystyczna (po 4,0 mld zł)" style="position:absolute;margin-left:418.4pt;margin-top:211.15pt;width:127.8pt;height:87.1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" filled="f" stroked="f">
                <v:textbox>
                  <w:txbxContent>
                    <w:p w14:paraId="0CDE95F4" w14:textId="77777777" w:rsidR="002E247A" w:rsidRPr="006F226F" w:rsidRDefault="002E247A" w:rsidP="002E247A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9F3AA8">
                        <w:rPr>
                          <w:lang w:val="pl-PL"/>
                        </w:rPr>
                        <w:t>Najwyższe koszty związane z zatrudnieniem obserwowano w dziedzinach: Reklama oraz Edukacja artystyczna (po 4,0 mld zł</w:t>
                      </w:r>
                      <w:r w:rsidRPr="00967E11">
                        <w:rPr>
                          <w:lang w:val="pl-PL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47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W kosztach związanych z zatrudnieniem </w:t>
      </w:r>
      <w:r w:rsidR="008930CC" w:rsidRPr="008930CC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największy udział miały</w:t>
      </w:r>
      <w:r w:rsidR="002E247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dwie dziedziny – Reklama oraz Edukacja artystyczna (po 14,9%). </w:t>
      </w:r>
    </w:p>
    <w:p w14:paraId="5E67D8DC" w14:textId="66603C8E" w:rsidR="008930CC" w:rsidRDefault="008930CC" w:rsidP="008930CC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zakresie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pozostałych podatk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ów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związanych z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produkcją 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dominowała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dziedzin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a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Sztuki audiowizualne i multimedia (54,6%), 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podczas gdy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</w:t>
      </w:r>
      <w:r w:rsidR="00340873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kategorii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pozostał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e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dotacj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e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związan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e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z</w:t>
      </w:r>
      <w:r w:rsidR="00340873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produkcją </w:t>
      </w:r>
      <w:r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największy udział miała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Edukacja artystyczna (34,9%).</w:t>
      </w:r>
    </w:p>
    <w:p w14:paraId="66761A51" w14:textId="48FAF3CD" w:rsidR="002E247A" w:rsidRPr="00492F0F" w:rsidRDefault="002E247A" w:rsidP="008930CC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</w:t>
      </w:r>
      <w:r w:rsidR="0097609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analizowanym roku akumulacja brutto</w:t>
      </w:r>
      <w:r w:rsidR="00486357" w:rsidRPr="00492F0F">
        <w:rPr>
          <w:rStyle w:val="Odwoanieprzypisudolnego"/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footnoteReference w:id="2"/>
      </w:r>
      <w:r w:rsidR="00486357" w:rsidRPr="00492F0F">
        <w:rPr>
          <w:rFonts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 obszarze kultury osiągnęła wartość 6 687,1 mln zł. Najwyższą wartość akumulacji brutto, tak jak w 2020 r., zanotowano w dziedzinie Architektura (3 309,5 mln zł).</w:t>
      </w:r>
    </w:p>
    <w:p w14:paraId="192118F3" w14:textId="77777777" w:rsidR="008930CC" w:rsidRDefault="002E247A" w:rsidP="00967E11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Spożycie ogółem dla obszaru kultury wyniosło 55 770,4 mln zł (o 5 423,2 mln zł więcej niż w 2020 r.). Za niemal połowę spożycia odpowiadała dziedzina Sztuki audiowizualne i multimedia (26 231,2 mln zł).</w:t>
      </w:r>
    </w:p>
    <w:p w14:paraId="089BC023" w14:textId="77777777" w:rsidR="008930CC" w:rsidRDefault="002E247A" w:rsidP="00967E11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Spożycie gospodarstw domowych stanowiło 66,3% łącznego spożycia ogółem w obszarze kultury i wzrosło o 11,8% w porównaniu z 2020 r. Najwyższa wartość tego spożycia wystąpiła w dziedzinie Sztuki audiowizualne i multimedia (23 639,7 mln zł, tj. o 2 702,7 mln zł więcej niż w 2020 r.).</w:t>
      </w:r>
    </w:p>
    <w:p w14:paraId="3B2425E3" w14:textId="77777777" w:rsidR="008930CC" w:rsidRDefault="002E247A" w:rsidP="00967E11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 sektorze instytucji rządowych i samorządowych (31,1% spożycia ogółem) największa wartość spożycia dotyczyła dziedziny Sztuki performatywne (5 397,9 mln zł, tj. o 427,5 mln zł więcej niż w 2020 r.).</w:t>
      </w:r>
    </w:p>
    <w:p w14:paraId="5BDC7170" w14:textId="7C0CFCA2" w:rsidR="002E247A" w:rsidRPr="00492F0F" w:rsidRDefault="002E247A" w:rsidP="00967E11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 sektorze instytucji niekomercyjnych działających na rzecz gospodarstw domowych, związanych z obszarem kultury, spożycie wyniosło 1 425,5 mln zł (o 95,2 mln zł więcej niż w</w:t>
      </w:r>
      <w:r w:rsidR="00270782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2020 r.). Najwyższą wartość spożycia, tak jak w przypadku sektora instytucji rządowych i</w:t>
      </w:r>
      <w:r w:rsidR="0097609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samorządowych, odnotowano</w:t>
      </w:r>
      <w:r w:rsidR="00D76984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 dziedzinie Sztuki performatywne (401,7 mln zł, tj.</w:t>
      </w:r>
      <w:r w:rsidR="00FE7606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o</w:t>
      </w:r>
      <w:r w:rsidR="0097609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73,8</w:t>
      </w:r>
      <w:r w:rsidR="0097609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mln</w:t>
      </w:r>
      <w:r w:rsidR="0097609A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 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zł więcej niż w 2020 r.).</w:t>
      </w:r>
    </w:p>
    <w:p w14:paraId="2985D3C9" w14:textId="0E1AA1BC" w:rsidR="00CB2B5E" w:rsidRDefault="002E247A" w:rsidP="00967E11">
      <w:pPr>
        <w:pStyle w:val="Tytutablicy"/>
        <w:spacing w:before="120" w:line="288" w:lineRule="auto"/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W 2021 r. zanotowano dodatnie saldo w handlu zagranicznym dobrami i usługami kulturalnymi i kreatywnymi w wysokości 3 399,5 mln zł (o 2 036,2 mln zł mniej niż w 2020 r.). Na dodatni bilans handlu zagranicznego dla obszaru kultury wpływ miały przede wszystkim dwie dziedziny Książki i prasa (saldo 4 070,9 mln zł) oraz Reklama (saldo 2 002,1 mln zł). </w:t>
      </w:r>
      <w:r w:rsidR="00E9514D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W </w:t>
      </w:r>
      <w:r w:rsidR="00E9514D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porównaniu z 2020</w:t>
      </w:r>
      <w:r w:rsidR="00B17D0C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r.</w:t>
      </w:r>
      <w:r w:rsidR="00E9514D"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E9514D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e</w:t>
      </w: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ksport wzrósł o 8,7%. Największy udział w eksporcie towarów i usług kulturalnych i kreatywnych miała dziedzina Reklama (39,3%). Duży udział w eksporcie miały także dziedziny Sztuki audiowizualne i multimedia (29,6%) oraz Książki i prasa (26,7%).</w:t>
      </w:r>
    </w:p>
    <w:p w14:paraId="32F8B1A0" w14:textId="66C83428" w:rsidR="002E247A" w:rsidRPr="00104899" w:rsidRDefault="002E247A" w:rsidP="00967E11">
      <w:pPr>
        <w:pStyle w:val="Tytutablicy"/>
        <w:spacing w:before="120" w:line="288" w:lineRule="auto"/>
        <w:rPr>
          <w:b w:val="0"/>
          <w:bCs w:val="0"/>
        </w:rPr>
      </w:pPr>
      <w:r w:rsidRPr="00492F0F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lastRenderedPageBreak/>
        <w:t>Import dóbr i usług kulturalnych i kreatywnych wzrósł o 20,7% w porównaniu z 2020 r. Dominowały w nim te same dziedziny, co w eksporcie: Sztuki audiowizualne i multimedia (42,9% całego importu dla obszaru kultury), Reklama (36,7%) oraz Książki i prasa (14,3%)</w:t>
      </w:r>
      <w:r w:rsidRPr="00967E11">
        <w:rPr>
          <w:rFonts w:eastAsiaTheme="minorHAnsi" w:cstheme="minorBidi"/>
          <w:b w:val="0"/>
          <w:bCs w:val="0"/>
          <w:color w:val="auto"/>
          <w:szCs w:val="22"/>
          <w:shd w:val="clear" w:color="auto" w:fill="FFFFFF"/>
          <w:lang w:eastAsia="en-US"/>
        </w:rPr>
        <w:t>.</w:t>
      </w:r>
    </w:p>
    <w:p w14:paraId="09C31C19" w14:textId="77777777" w:rsidR="002E247A" w:rsidRPr="00104899" w:rsidRDefault="002E247A" w:rsidP="002E247A">
      <w:pPr>
        <w:pStyle w:val="Nagwek2"/>
        <w:rPr>
          <w:lang w:val="pl-PL"/>
        </w:rPr>
      </w:pPr>
      <w:r w:rsidRPr="00104899">
        <w:rPr>
          <w:lang w:val="pl-PL"/>
        </w:rPr>
        <w:t>Uwagi metodologiczne</w:t>
      </w:r>
    </w:p>
    <w:p w14:paraId="1D199DD0" w14:textId="1B25FCC8" w:rsidR="002E247A" w:rsidRPr="00446AA1" w:rsidRDefault="002E247A" w:rsidP="002E247A">
      <w:pPr>
        <w:rPr>
          <w:shd w:val="clear" w:color="auto" w:fill="FFFFFF"/>
        </w:rPr>
      </w:pPr>
      <w:r w:rsidRPr="00446AA1">
        <w:rPr>
          <w:shd w:val="clear" w:color="auto" w:fill="FFFFFF"/>
        </w:rPr>
        <w:t xml:space="preserve">Satelitarny rachunek kultury umożliwia pomiar udziału podmiotów kultury w tworzeniu produktu krajowego brutto. Zakres obszaru kultury obejmuje działalność samorządowych i państwowych instytucji kultury, organizacji pozarządowych działających w obszarze kultury oraz podmiotów zaliczanych do przemysłów kultury i kreatywnych. Informacje na temat zastosowanych rozwiązań metodologicznych znajdują się w </w:t>
      </w:r>
      <w:r w:rsidR="009F3AA8">
        <w:rPr>
          <w:shd w:val="clear" w:color="auto" w:fill="FFFFFF"/>
        </w:rPr>
        <w:t>„</w:t>
      </w:r>
      <w:r w:rsidRPr="009F3AA8">
        <w:rPr>
          <w:shd w:val="clear" w:color="auto" w:fill="FFFFFF"/>
        </w:rPr>
        <w:t>Raporcie z pracy metodologicznej. Satelitarny Rachunek Kultury</w:t>
      </w:r>
      <w:r w:rsidR="009F3AA8">
        <w:rPr>
          <w:shd w:val="clear" w:color="auto" w:fill="FFFFFF"/>
        </w:rPr>
        <w:t>”</w:t>
      </w:r>
      <w:r w:rsidRPr="009F3AA8">
        <w:rPr>
          <w:shd w:val="clear" w:color="auto" w:fill="FFFFFF"/>
        </w:rPr>
        <w:t xml:space="preserve"> (hiperłącze</w:t>
      </w:r>
      <w:r w:rsidRPr="00446AA1">
        <w:rPr>
          <w:shd w:val="clear" w:color="auto" w:fill="FFFFFF"/>
        </w:rPr>
        <w:t xml:space="preserve"> dostępne jest na ostatniej stronie).</w:t>
      </w:r>
    </w:p>
    <w:p w14:paraId="24308E25" w14:textId="7AC7E6E9" w:rsidR="00233921" w:rsidRPr="00446AA1" w:rsidRDefault="002E247A" w:rsidP="00446AA1">
      <w:pPr>
        <w:rPr>
          <w:shd w:val="clear" w:color="auto" w:fill="FFFFFF"/>
        </w:rPr>
      </w:pPr>
      <w:r w:rsidRPr="00446AA1">
        <w:rPr>
          <w:shd w:val="clear" w:color="auto" w:fill="FFFFFF"/>
        </w:rPr>
        <w:t>Satelitarny rachunek kultury w 2021 r. został opracowany na podstawie danych sprzed wprowadzenia rewizji benchmarkingowej w rachunkach narodowych przeprowadzonej w 2024 r. i obejmującej lata 1995–2022.</w:t>
      </w:r>
    </w:p>
    <w:p w14:paraId="4809D44B" w14:textId="2606A8BC" w:rsidR="00694AF0" w:rsidRPr="008D7507" w:rsidRDefault="00AD4BFC" w:rsidP="00CB2B5E">
      <w:pPr>
        <w:spacing w:before="9240"/>
        <w:rPr>
          <w:sz w:val="18"/>
        </w:rPr>
      </w:pPr>
      <w:r w:rsidRPr="008D750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D7507" w:rsidRDefault="00DA331D" w:rsidP="0030079A">
      <w:pPr>
        <w:rPr>
          <w:sz w:val="18"/>
        </w:rPr>
        <w:sectPr w:rsidR="00DA331D" w:rsidRPr="008D7507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D7507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8D7507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D7507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D7507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D7507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D750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D750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D750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D7507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8D7507">
              <w:rPr>
                <w:sz w:val="20"/>
              </w:rPr>
              <w:t>Tel:</w:t>
            </w:r>
            <w:r w:rsidRPr="008D7507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D7507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D7507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D7507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8D7507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D7507">
              <w:rPr>
                <w:b/>
                <w:sz w:val="20"/>
                <w:szCs w:val="20"/>
              </w:rPr>
              <w:t xml:space="preserve">Wydział </w:t>
            </w:r>
            <w:r w:rsidR="00AF597F" w:rsidRPr="008D7507">
              <w:rPr>
                <w:b/>
                <w:sz w:val="20"/>
                <w:szCs w:val="20"/>
              </w:rPr>
              <w:t>Prasowy</w:t>
            </w:r>
            <w:r w:rsidRPr="008D7507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8D7507" w:rsidRDefault="0087504F" w:rsidP="0087504F">
            <w:pPr>
              <w:rPr>
                <w:sz w:val="20"/>
                <w:szCs w:val="20"/>
              </w:rPr>
            </w:pPr>
            <w:r w:rsidRPr="008D7507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8D7507" w:rsidRDefault="0087504F" w:rsidP="00925120">
            <w:pPr>
              <w:spacing w:after="0"/>
              <w:rPr>
                <w:sz w:val="20"/>
                <w:szCs w:val="20"/>
              </w:rPr>
            </w:pPr>
            <w:r w:rsidRPr="008D7507">
              <w:rPr>
                <w:sz w:val="20"/>
                <w:szCs w:val="20"/>
              </w:rPr>
              <w:t>Tel. stacjonarne: 22 608 38 04, 22 449 41 45,</w:t>
            </w:r>
            <w:r w:rsidR="00925120" w:rsidRPr="008D7507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8D7507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8D7507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8D7507" w:rsidRDefault="0087504F" w:rsidP="00FB1E83">
            <w:pPr>
              <w:spacing w:before="0"/>
              <w:rPr>
                <w:b/>
              </w:rPr>
            </w:pPr>
            <w:r w:rsidRPr="008D7507">
              <w:rPr>
                <w:b/>
                <w:sz w:val="20"/>
                <w:szCs w:val="20"/>
              </w:rPr>
              <w:t>e-mail:</w:t>
            </w:r>
            <w:r w:rsidRPr="008D7507">
              <w:rPr>
                <w:sz w:val="20"/>
                <w:szCs w:val="20"/>
              </w:rPr>
              <w:t xml:space="preserve"> </w:t>
            </w:r>
            <w:hyperlink r:id="rId20" w:tooltip="adres mailowy Wydziału Prasowego" w:history="1">
              <w:r w:rsidRPr="008D750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8D7507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8D7507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8D7507" w:rsidRDefault="00253FC8" w:rsidP="00747B8C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5B6AE9" w:rsidRPr="008D7507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8D7507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8D7507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8D7507" w:rsidRDefault="003402BB" w:rsidP="00747B8C">
            <w:pPr>
              <w:ind w:firstLine="680"/>
              <w:rPr>
                <w:sz w:val="18"/>
              </w:rPr>
            </w:pPr>
            <w:r w:rsidRPr="008D750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GUS" w:history="1">
              <w:r w:rsidR="005B6AE9"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8D75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8D7507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8D7507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8D7507" w:rsidRDefault="005B6AE9" w:rsidP="00747B8C">
            <w:pPr>
              <w:ind w:firstLine="680"/>
              <w:rPr>
                <w:sz w:val="18"/>
              </w:rPr>
            </w:pPr>
            <w:r w:rsidRPr="008D750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8D75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8D7507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8D7507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933B10F" w:rsidR="005B6AE9" w:rsidRPr="008D7507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8D750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8D7507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8D7507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8D7507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8D750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8D750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8D7507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8D7507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8D7507" w:rsidRDefault="00253FC8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5B6AE9" w:rsidRPr="008D7507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8D7507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D7507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D7507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8D7507">
              <w:rPr>
                <w:b/>
              </w:rPr>
              <w:t>Powiązane opracowania</w:t>
            </w:r>
          </w:p>
          <w:bookmarkStart w:id="1" w:name="_Hlk219376852"/>
          <w:p w14:paraId="6550980F" w14:textId="77777777" w:rsidR="00446AA1" w:rsidRPr="00104899" w:rsidRDefault="00446AA1" w:rsidP="00446AA1">
            <w:pPr>
              <w:rPr>
                <w:rStyle w:val="Hipercze"/>
              </w:rPr>
            </w:pPr>
            <w:r w:rsidRPr="00104899">
              <w:fldChar w:fldCharType="begin"/>
            </w:r>
            <w:r w:rsidRPr="00104899">
              <w:instrText xml:space="preserve"> HYPERLINK "https://stat.gov.pl/statystyki-eksperymentalne/rachunki-narodowe-i-regionalne/raport-z-pracy-metodologicznej-satelitarny-rachunek-kultury,9,1.html" \o "Link do publikacji pt.\"Raport z pracy metogologicznej. Satelitarny Rachunek kultury\"" </w:instrText>
            </w:r>
            <w:r w:rsidRPr="00104899">
              <w:fldChar w:fldCharType="separate"/>
            </w:r>
            <w:r w:rsidRPr="00104899">
              <w:rPr>
                <w:rStyle w:val="Hipercze"/>
              </w:rPr>
              <w:t>Raport z pracy metodologicznej. Satelitarny Rachunek Kultury</w:t>
            </w:r>
            <w:r w:rsidRPr="00104899">
              <w:rPr>
                <w:rStyle w:val="Hipercze"/>
              </w:rPr>
              <w:fldChar w:fldCharType="end"/>
            </w:r>
          </w:p>
          <w:bookmarkEnd w:id="1"/>
          <w:p w14:paraId="5FE67314" w14:textId="77777777" w:rsidR="00446AA1" w:rsidRPr="00104899" w:rsidRDefault="00446AA1" w:rsidP="00446AA1">
            <w:pPr>
              <w:rPr>
                <w:rStyle w:val="Hipercze"/>
              </w:rPr>
            </w:pPr>
            <w:r w:rsidRPr="00104899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"https://stat.gov.pl/obszary-tematyczne/kultura-turystyka-sport/kultura/satelitarny-rachunek-kultury-w-2020-r-,24,4.html" \o "link do publikacji \"Satelitarny rachunek kultury w 2020 r.\" "</w:instrText>
            </w:r>
            <w:r w:rsidRPr="00104899">
              <w:rPr>
                <w:rFonts w:cs="Times New Roman"/>
              </w:rPr>
              <w:fldChar w:fldCharType="separate"/>
            </w:r>
            <w:r w:rsidRPr="00104899">
              <w:rPr>
                <w:rStyle w:val="Hipercze"/>
              </w:rPr>
              <w:t>Satelitarny rachunek kultury w 2020 r.</w:t>
            </w:r>
          </w:p>
          <w:p w14:paraId="26D9BB3B" w14:textId="0B73FA99" w:rsidR="00446AA1" w:rsidRPr="00104899" w:rsidRDefault="00446AA1" w:rsidP="00446AA1">
            <w:pPr>
              <w:rPr>
                <w:rStyle w:val="Hipercze"/>
              </w:rPr>
            </w:pPr>
            <w:r w:rsidRPr="00104899">
              <w:rPr>
                <w:rFonts w:cs="Times New Roman"/>
              </w:rPr>
              <w:fldChar w:fldCharType="end"/>
            </w:r>
            <w:hyperlink r:id="rId33" w:tooltip="link do publikacji &quot;Przemysły kultury i kreatywne w latach 2017–2021&quot;" w:history="1">
              <w:r w:rsidRPr="00104899">
                <w:rPr>
                  <w:rStyle w:val="Hipercze"/>
                </w:rPr>
                <w:t>Przemysły kultury i kreatywne w latach 2017–2021</w:t>
              </w:r>
            </w:hyperlink>
            <w:r w:rsidRPr="00104899">
              <w:rPr>
                <w:rStyle w:val="Hipercze"/>
              </w:rPr>
              <w:t xml:space="preserve"> </w:t>
            </w:r>
          </w:p>
          <w:p w14:paraId="09F08EAB" w14:textId="77777777" w:rsidR="00446AA1" w:rsidRPr="00104899" w:rsidRDefault="00253FC8" w:rsidP="00446AA1">
            <w:pPr>
              <w:rPr>
                <w:rStyle w:val="Hipercze"/>
              </w:rPr>
            </w:pPr>
            <w:hyperlink r:id="rId34" w:tooltip="link do publikacji &quot;Przemysły kultury i kreatywne w 2023 r.&quot; " w:history="1">
              <w:r w:rsidR="00446AA1" w:rsidRPr="00104899">
                <w:rPr>
                  <w:rStyle w:val="Hipercze"/>
                </w:rPr>
                <w:t>Przemysły kultury i kreatywne w 2023 r.</w:t>
              </w:r>
            </w:hyperlink>
          </w:p>
          <w:p w14:paraId="1878D550" w14:textId="40E8437D" w:rsidR="00446AA1" w:rsidRPr="008D7507" w:rsidRDefault="00253FC8" w:rsidP="00446AA1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5" w:tooltip="link do publikacji &quot;Kultura i dziedzictwo narodowe w 2024 r.&quot;" w:history="1">
              <w:r w:rsidR="00446AA1" w:rsidRPr="00104899">
                <w:rPr>
                  <w:rStyle w:val="Hipercze"/>
                </w:rPr>
                <w:t>Kultura i dziedzictwo narodowe w 2024 r.</w:t>
              </w:r>
            </w:hyperlink>
          </w:p>
          <w:p w14:paraId="6EC7A51E" w14:textId="6AC9577E" w:rsidR="00531873" w:rsidRPr="008D7507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D750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005A318" w14:textId="77777777" w:rsidR="00446AA1" w:rsidRPr="00104899" w:rsidRDefault="00253FC8" w:rsidP="00446AA1">
            <w:pPr>
              <w:rPr>
                <w:rStyle w:val="Hipercze"/>
              </w:rPr>
            </w:pPr>
            <w:hyperlink r:id="rId36" w:tooltip="Link do pojęcia &quot;Akumulacja brutto&quot;" w:history="1">
              <w:r w:rsidR="00446AA1" w:rsidRPr="00104899">
                <w:rPr>
                  <w:rStyle w:val="Hipercze"/>
                </w:rPr>
                <w:t>Akumulacja brutto</w:t>
              </w:r>
            </w:hyperlink>
            <w:r w:rsidR="00446AA1" w:rsidRPr="00104899">
              <w:rPr>
                <w:rStyle w:val="Hipercze"/>
              </w:rPr>
              <w:t xml:space="preserve"> </w:t>
            </w:r>
          </w:p>
          <w:p w14:paraId="234EC668" w14:textId="77777777" w:rsidR="00446AA1" w:rsidRPr="00104899" w:rsidRDefault="00253FC8" w:rsidP="00446AA1">
            <w:pPr>
              <w:rPr>
                <w:rStyle w:val="Hipercze"/>
              </w:rPr>
            </w:pPr>
            <w:hyperlink r:id="rId37" w:tooltip="Link do pojęcia &quot;Eksport towarów i usług&quot;" w:history="1">
              <w:r w:rsidR="00446AA1" w:rsidRPr="00104899">
                <w:rPr>
                  <w:rStyle w:val="Hipercze"/>
                </w:rPr>
                <w:t>Eksport towarów i usług</w:t>
              </w:r>
            </w:hyperlink>
          </w:p>
          <w:p w14:paraId="201E52D5" w14:textId="77777777" w:rsidR="00446AA1" w:rsidRPr="00104899" w:rsidRDefault="00253FC8" w:rsidP="00446AA1">
            <w:pPr>
              <w:rPr>
                <w:rStyle w:val="Hipercze"/>
              </w:rPr>
            </w:pPr>
            <w:hyperlink r:id="rId38" w:tooltip="Link do pojęcia &quot;Import towarów i usług&quot;" w:history="1">
              <w:r w:rsidR="00446AA1" w:rsidRPr="00104899">
                <w:rPr>
                  <w:rStyle w:val="Hipercze"/>
                </w:rPr>
                <w:t>Import towarów i usług</w:t>
              </w:r>
            </w:hyperlink>
            <w:r w:rsidR="00446AA1" w:rsidRPr="00104899">
              <w:rPr>
                <w:rStyle w:val="Hipercze"/>
              </w:rPr>
              <w:t xml:space="preserve"> </w:t>
            </w:r>
          </w:p>
          <w:p w14:paraId="465C810E" w14:textId="77777777" w:rsidR="00446AA1" w:rsidRPr="00104899" w:rsidRDefault="00253FC8" w:rsidP="00446AA1">
            <w:pPr>
              <w:rPr>
                <w:rStyle w:val="Hipercze"/>
              </w:rPr>
            </w:pPr>
            <w:hyperlink r:id="rId39" w:tooltip="Link do pojęcia &quot;Koszty związane z zatrudnieniem&quot;" w:history="1">
              <w:r w:rsidR="00446AA1" w:rsidRPr="00104899">
                <w:rPr>
                  <w:rStyle w:val="Hipercze"/>
                </w:rPr>
                <w:t>Koszty związane z zatrudnieniem</w:t>
              </w:r>
            </w:hyperlink>
          </w:p>
          <w:p w14:paraId="65CFE175" w14:textId="77777777" w:rsidR="00446AA1" w:rsidRPr="00104899" w:rsidRDefault="00253FC8" w:rsidP="00446AA1">
            <w:pPr>
              <w:rPr>
                <w:rStyle w:val="Hipercze"/>
              </w:rPr>
            </w:pPr>
            <w:hyperlink r:id="rId40" w:tooltip="Link do pojęcia &quot;Nadwyżka operacyjna brutto&quot;" w:history="1">
              <w:r w:rsidR="00446AA1" w:rsidRPr="00104899">
                <w:rPr>
                  <w:rStyle w:val="Hipercze"/>
                </w:rPr>
                <w:t>Nadwyżka operacyjna brutto</w:t>
              </w:r>
            </w:hyperlink>
          </w:p>
          <w:p w14:paraId="73092A81" w14:textId="77777777" w:rsidR="00446AA1" w:rsidRPr="00104899" w:rsidRDefault="00253FC8" w:rsidP="00446AA1">
            <w:pPr>
              <w:rPr>
                <w:rStyle w:val="Hipercze"/>
              </w:rPr>
            </w:pPr>
            <w:hyperlink r:id="rId41" w:tooltip="Link do pojęcia &quot;Produkcja globalna&quot;" w:history="1">
              <w:r w:rsidR="00446AA1" w:rsidRPr="00104899">
                <w:rPr>
                  <w:rStyle w:val="Hipercze"/>
                </w:rPr>
                <w:t>Produkcja globalna</w:t>
              </w:r>
            </w:hyperlink>
          </w:p>
          <w:p w14:paraId="41B0915F" w14:textId="77777777" w:rsidR="00446AA1" w:rsidRPr="00104899" w:rsidRDefault="00253FC8" w:rsidP="00446AA1">
            <w:pPr>
              <w:rPr>
                <w:rStyle w:val="Hipercze"/>
              </w:rPr>
            </w:pPr>
            <w:hyperlink r:id="rId42" w:tooltip="Link do pojęcia &quot;Produkt krajowy brutto&quot;" w:history="1">
              <w:r w:rsidR="00446AA1" w:rsidRPr="00104899">
                <w:rPr>
                  <w:rStyle w:val="Hipercze"/>
                </w:rPr>
                <w:t>Produkt krajowy brutto (PKB)</w:t>
              </w:r>
            </w:hyperlink>
          </w:p>
          <w:p w14:paraId="2DC5C2C1" w14:textId="77777777" w:rsidR="00446AA1" w:rsidRPr="00104899" w:rsidRDefault="00253FC8" w:rsidP="00446AA1">
            <w:pPr>
              <w:rPr>
                <w:rStyle w:val="Hipercze"/>
              </w:rPr>
            </w:pPr>
            <w:hyperlink r:id="rId43" w:tooltip="Link do pojęcia &quot;Spożycie&quot;" w:history="1">
              <w:r w:rsidR="00446AA1" w:rsidRPr="00104899">
                <w:rPr>
                  <w:rStyle w:val="Hipercze"/>
                </w:rPr>
                <w:t>Spożycie</w:t>
              </w:r>
            </w:hyperlink>
          </w:p>
          <w:p w14:paraId="16CD2668" w14:textId="77777777" w:rsidR="00446AA1" w:rsidRPr="00104899" w:rsidRDefault="00253FC8" w:rsidP="00446AA1">
            <w:pPr>
              <w:rPr>
                <w:rStyle w:val="Hipercze"/>
              </w:rPr>
            </w:pPr>
            <w:hyperlink r:id="rId44" w:tooltip="Link do pojęcia &quot;Wartość dodana brutto&quot;" w:history="1">
              <w:r w:rsidR="00446AA1" w:rsidRPr="00104899">
                <w:rPr>
                  <w:rStyle w:val="Hipercze"/>
                </w:rPr>
                <w:t>Wartość dodana brutto</w:t>
              </w:r>
            </w:hyperlink>
          </w:p>
          <w:p w14:paraId="59EB7117" w14:textId="57471169" w:rsidR="00531873" w:rsidRPr="008D7507" w:rsidRDefault="00253FC8" w:rsidP="00446AA1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5" w:tooltip="Link do pojęcia &quot;Zużycie pośrednie&quot;" w:history="1">
              <w:r w:rsidR="00446AA1" w:rsidRPr="00104899">
                <w:rPr>
                  <w:rStyle w:val="Hipercze"/>
                </w:rPr>
                <w:t>Zużycie pośrednie</w:t>
              </w:r>
            </w:hyperlink>
          </w:p>
        </w:tc>
      </w:tr>
    </w:tbl>
    <w:p w14:paraId="7C19EFAE" w14:textId="5AAD912C" w:rsidR="00D261A2" w:rsidRPr="008D7507" w:rsidRDefault="00D261A2" w:rsidP="002D37FA">
      <w:pPr>
        <w:rPr>
          <w:sz w:val="18"/>
        </w:rPr>
      </w:pPr>
    </w:p>
    <w:sectPr w:rsidR="00D261A2" w:rsidRPr="008D7507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C7236" w14:textId="77777777" w:rsidR="00BD6420" w:rsidRDefault="00BD6420" w:rsidP="000662E2">
      <w:pPr>
        <w:spacing w:after="0" w:line="240" w:lineRule="auto"/>
      </w:pPr>
      <w:r>
        <w:separator/>
      </w:r>
    </w:p>
    <w:p w14:paraId="37664940" w14:textId="77777777" w:rsidR="00BD6420" w:rsidRDefault="00BD6420"/>
    <w:p w14:paraId="6A14E89A" w14:textId="77777777" w:rsidR="00BD6420" w:rsidRDefault="00BD6420"/>
    <w:p w14:paraId="3F2C394E" w14:textId="77777777" w:rsidR="00BD6420" w:rsidRDefault="00BD6420"/>
    <w:p w14:paraId="1E9F4B9E" w14:textId="77777777" w:rsidR="00BD6420" w:rsidRDefault="00BD6420"/>
    <w:p w14:paraId="60249D8D" w14:textId="77777777" w:rsidR="00BD6420" w:rsidRDefault="00BD6420"/>
  </w:endnote>
  <w:endnote w:type="continuationSeparator" w:id="0">
    <w:p w14:paraId="2A37A124" w14:textId="77777777" w:rsidR="00BD6420" w:rsidRDefault="00BD6420" w:rsidP="000662E2">
      <w:pPr>
        <w:spacing w:after="0" w:line="240" w:lineRule="auto"/>
      </w:pPr>
      <w:r>
        <w:continuationSeparator/>
      </w:r>
    </w:p>
    <w:p w14:paraId="332DA4D7" w14:textId="77777777" w:rsidR="00BD6420" w:rsidRDefault="00BD6420"/>
    <w:p w14:paraId="79199FDF" w14:textId="77777777" w:rsidR="00BD6420" w:rsidRDefault="00BD6420"/>
    <w:p w14:paraId="6717310F" w14:textId="77777777" w:rsidR="00BD6420" w:rsidRDefault="00BD6420"/>
    <w:p w14:paraId="7FC200CF" w14:textId="77777777" w:rsidR="00BD6420" w:rsidRDefault="00BD6420"/>
    <w:p w14:paraId="50A608C6" w14:textId="77777777" w:rsidR="00BD6420" w:rsidRDefault="00BD64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25C054D-A832-4CF3-848C-0872E9742294}"/>
    <w:embedBold r:id="rId2" w:fontKey="{D0F75C99-2E9E-4929-8565-B2EFA1C17A93}"/>
    <w:embedItalic r:id="rId3" w:fontKey="{550F6645-69B8-4EC1-82A2-F6A7ECC2F21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A202EEA-08A7-4366-BAF0-DFE0F7D01F4B}"/>
    <w:embedBold r:id="rId5" w:fontKey="{D77541C3-0121-4B57-B16C-EB79119CC84F}"/>
    <w:embedItalic r:id="rId6" w:fontKey="{A8B023E5-1427-45F1-9ED1-6CC60B90A3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AC4F1006-74AD-459C-A29B-1D0CBABE5C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82EC6DB-FAAA-4AEE-AFE7-630959457106}"/>
    <w:embedBold r:id="rId9" w:fontKey="{45D9F88D-432E-4468-81B9-8AEDBA230D76}"/>
    <w:embedItalic r:id="rId10" w:fontKey="{ADFD244F-FF10-45EA-9AE2-F5DCC1177A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29DD49E-DF93-49C8-96A4-FE79A7D28EF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116B8CF3-7E97-45AA-81A2-8CEF2EBE0FA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583785F8-26E7-4FC2-8503-12BF75688766}"/>
  </w:font>
  <w:font w:name="Consolas">
    <w:panose1 w:val="020B0609020204030204"/>
    <w:charset w:val="00"/>
    <w:family w:val="roman"/>
    <w:pitch w:val="default"/>
    <w:embedRegular r:id="rId14" w:fontKey="{0A9EAAD0-EE32-4030-8D3C-AD2CD90932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FE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F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602FE8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0A268" w14:textId="77777777" w:rsidR="00BD6420" w:rsidRDefault="00BD6420" w:rsidP="000662E2">
      <w:pPr>
        <w:spacing w:after="0" w:line="240" w:lineRule="auto"/>
      </w:pPr>
      <w:r>
        <w:separator/>
      </w:r>
    </w:p>
  </w:footnote>
  <w:footnote w:type="continuationSeparator" w:id="0">
    <w:p w14:paraId="466B1AF9" w14:textId="77777777" w:rsidR="00BD6420" w:rsidRDefault="00BD6420" w:rsidP="000662E2">
      <w:pPr>
        <w:spacing w:after="0" w:line="240" w:lineRule="auto"/>
      </w:pPr>
      <w:r>
        <w:continuationSeparator/>
      </w:r>
    </w:p>
    <w:p w14:paraId="15F68BAA" w14:textId="77777777" w:rsidR="00BD6420" w:rsidRDefault="00BD6420"/>
  </w:footnote>
  <w:footnote w:type="continuationNotice" w:id="1">
    <w:p w14:paraId="1D7D8CD2" w14:textId="77777777" w:rsidR="00BD6420" w:rsidRDefault="00BD6420">
      <w:pPr>
        <w:spacing w:before="0" w:after="0" w:line="240" w:lineRule="auto"/>
      </w:pPr>
    </w:p>
    <w:p w14:paraId="74901C11" w14:textId="77777777" w:rsidR="00BD6420" w:rsidRDefault="00BD6420"/>
  </w:footnote>
  <w:footnote w:id="2">
    <w:p w14:paraId="23B48DF4" w14:textId="08A66B98" w:rsidR="00486357" w:rsidRPr="00D76984" w:rsidRDefault="00486357">
      <w:pPr>
        <w:pStyle w:val="Tekstprzypisudolnego"/>
        <w:rPr>
          <w:rStyle w:val="PrzypisZnak"/>
          <w:shd w:val="clear" w:color="auto" w:fill="FFFFFF"/>
          <w:lang w:val="pl-PL"/>
        </w:rPr>
      </w:pPr>
      <w:r w:rsidRPr="00C54808">
        <w:rPr>
          <w:rStyle w:val="Odwoanieprzypisudolnego"/>
          <w:sz w:val="19"/>
          <w:szCs w:val="19"/>
        </w:rPr>
        <w:footnoteRef/>
      </w:r>
      <w:r w:rsidRPr="00C54808">
        <w:rPr>
          <w:sz w:val="19"/>
          <w:szCs w:val="19"/>
        </w:rPr>
        <w:t xml:space="preserve"> </w:t>
      </w:r>
      <w:r w:rsidRPr="00D76984">
        <w:rPr>
          <w:rStyle w:val="PrzypisZnak"/>
          <w:shd w:val="clear" w:color="auto" w:fill="FFFFFF"/>
          <w:lang w:val="pl-PL"/>
        </w:rPr>
        <w:t>Akumulacja brutto mierzy przyrost majątku obejmujący, w ujęciu wartościowym, nakłady brutto na środki trwałe, przyrost rzeczowych środków obrotowych, nabycie aktywów o</w:t>
      </w:r>
      <w:r w:rsidR="00FE7606">
        <w:rPr>
          <w:rStyle w:val="PrzypisZnak"/>
          <w:shd w:val="clear" w:color="auto" w:fill="FFFFFF"/>
          <w:lang w:val="pl-PL"/>
        </w:rPr>
        <w:t> </w:t>
      </w:r>
      <w:r w:rsidRPr="00D76984">
        <w:rPr>
          <w:rStyle w:val="PrzypisZnak"/>
          <w:shd w:val="clear" w:color="auto" w:fill="FFFFFF"/>
          <w:lang w:val="pl-PL"/>
        </w:rPr>
        <w:t>wyjątkowej wartości pomniejszone o ich rozdysponowanie.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555345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5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C073DFF" w:rsidR="00F37172" w:rsidRPr="00A01B40" w:rsidRDefault="00FC4191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DE6B58">
                            <w:t>.</w:t>
                          </w:r>
                          <w:r>
                            <w:t>02.2026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25.02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/OKAIAABs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JSAj84oAgAAGw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3C073DFF" w:rsidR="00F37172" w:rsidRPr="00A01B40" w:rsidRDefault="00FC4191" w:rsidP="00F049AB">
                    <w:pPr>
                      <w:pStyle w:val="Datainformacjisygnalnej"/>
                    </w:pPr>
                    <w:r>
                      <w:t>25</w:t>
                    </w:r>
                    <w:r w:rsidR="00DE6B58">
                      <w:t>.</w:t>
                    </w:r>
                    <w:r>
                      <w:t>02.2026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3.3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F654BC4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6AFA3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28ACB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FE05C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4A489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DA0DE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D4F2E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18F3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8A886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047E9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66D94"/>
    <w:rsid w:val="00071B39"/>
    <w:rsid w:val="00074DD8"/>
    <w:rsid w:val="00075759"/>
    <w:rsid w:val="00075BD4"/>
    <w:rsid w:val="000806F7"/>
    <w:rsid w:val="00097840"/>
    <w:rsid w:val="000A7C20"/>
    <w:rsid w:val="000B0727"/>
    <w:rsid w:val="000B0CC1"/>
    <w:rsid w:val="000B16BC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6794F"/>
    <w:rsid w:val="00171E3A"/>
    <w:rsid w:val="0017791B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33903"/>
    <w:rsid w:val="00233921"/>
    <w:rsid w:val="00242D31"/>
    <w:rsid w:val="00253AB6"/>
    <w:rsid w:val="0025481E"/>
    <w:rsid w:val="002574F9"/>
    <w:rsid w:val="00262B61"/>
    <w:rsid w:val="00262CC6"/>
    <w:rsid w:val="00263BA9"/>
    <w:rsid w:val="00263E08"/>
    <w:rsid w:val="00270782"/>
    <w:rsid w:val="002762FD"/>
    <w:rsid w:val="00276811"/>
    <w:rsid w:val="00282699"/>
    <w:rsid w:val="00283CF5"/>
    <w:rsid w:val="002926DF"/>
    <w:rsid w:val="00296697"/>
    <w:rsid w:val="002A21E1"/>
    <w:rsid w:val="002B0472"/>
    <w:rsid w:val="002B6B12"/>
    <w:rsid w:val="002C176D"/>
    <w:rsid w:val="002C21F0"/>
    <w:rsid w:val="002D01DF"/>
    <w:rsid w:val="002D37FA"/>
    <w:rsid w:val="002D726E"/>
    <w:rsid w:val="002E247A"/>
    <w:rsid w:val="002E3EB3"/>
    <w:rsid w:val="002E6140"/>
    <w:rsid w:val="002E6985"/>
    <w:rsid w:val="002E71B6"/>
    <w:rsid w:val="002E7DC9"/>
    <w:rsid w:val="002F35F6"/>
    <w:rsid w:val="002F77C8"/>
    <w:rsid w:val="002F7CBF"/>
    <w:rsid w:val="0030079A"/>
    <w:rsid w:val="00304F22"/>
    <w:rsid w:val="00306C7C"/>
    <w:rsid w:val="00313F5C"/>
    <w:rsid w:val="00314F86"/>
    <w:rsid w:val="00317287"/>
    <w:rsid w:val="00317F4D"/>
    <w:rsid w:val="00322EDD"/>
    <w:rsid w:val="003309FA"/>
    <w:rsid w:val="00331135"/>
    <w:rsid w:val="00332320"/>
    <w:rsid w:val="003402BB"/>
    <w:rsid w:val="00340873"/>
    <w:rsid w:val="00340F5D"/>
    <w:rsid w:val="00347D72"/>
    <w:rsid w:val="00353F45"/>
    <w:rsid w:val="00357611"/>
    <w:rsid w:val="00361BF2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388F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58E6"/>
    <w:rsid w:val="00416EAF"/>
    <w:rsid w:val="004212E7"/>
    <w:rsid w:val="00423C88"/>
    <w:rsid w:val="0042446D"/>
    <w:rsid w:val="00427BF8"/>
    <w:rsid w:val="00431C02"/>
    <w:rsid w:val="00434202"/>
    <w:rsid w:val="004350AB"/>
    <w:rsid w:val="00437395"/>
    <w:rsid w:val="00445047"/>
    <w:rsid w:val="00446749"/>
    <w:rsid w:val="00446AA1"/>
    <w:rsid w:val="00453EB7"/>
    <w:rsid w:val="00463E39"/>
    <w:rsid w:val="004657FC"/>
    <w:rsid w:val="004733F6"/>
    <w:rsid w:val="00474E69"/>
    <w:rsid w:val="00483E9F"/>
    <w:rsid w:val="00484DDF"/>
    <w:rsid w:val="00485A2C"/>
    <w:rsid w:val="00486357"/>
    <w:rsid w:val="00492F0F"/>
    <w:rsid w:val="0049621B"/>
    <w:rsid w:val="004A1D19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46C4"/>
    <w:rsid w:val="00587CE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2FE8"/>
    <w:rsid w:val="006044FF"/>
    <w:rsid w:val="00607CC5"/>
    <w:rsid w:val="0061179B"/>
    <w:rsid w:val="006125F9"/>
    <w:rsid w:val="00617893"/>
    <w:rsid w:val="006259F0"/>
    <w:rsid w:val="00625BAB"/>
    <w:rsid w:val="006323CA"/>
    <w:rsid w:val="00633014"/>
    <w:rsid w:val="0063437B"/>
    <w:rsid w:val="0063660D"/>
    <w:rsid w:val="0064017E"/>
    <w:rsid w:val="00654BB6"/>
    <w:rsid w:val="00656E8C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67CC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3069"/>
    <w:rsid w:val="00716853"/>
    <w:rsid w:val="007211B1"/>
    <w:rsid w:val="007277DA"/>
    <w:rsid w:val="00731D27"/>
    <w:rsid w:val="00732220"/>
    <w:rsid w:val="007357EB"/>
    <w:rsid w:val="00746187"/>
    <w:rsid w:val="0076254F"/>
    <w:rsid w:val="007801F5"/>
    <w:rsid w:val="00783CA4"/>
    <w:rsid w:val="007842FB"/>
    <w:rsid w:val="00786124"/>
    <w:rsid w:val="00786578"/>
    <w:rsid w:val="00787ADA"/>
    <w:rsid w:val="0079514B"/>
    <w:rsid w:val="00795252"/>
    <w:rsid w:val="007A2DC1"/>
    <w:rsid w:val="007B078A"/>
    <w:rsid w:val="007C71DF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232B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65043"/>
    <w:rsid w:val="0087504F"/>
    <w:rsid w:val="00877F6C"/>
    <w:rsid w:val="0088258A"/>
    <w:rsid w:val="00886332"/>
    <w:rsid w:val="0088767F"/>
    <w:rsid w:val="008925F0"/>
    <w:rsid w:val="008930CC"/>
    <w:rsid w:val="008938CA"/>
    <w:rsid w:val="0089448A"/>
    <w:rsid w:val="00897877"/>
    <w:rsid w:val="008A15CA"/>
    <w:rsid w:val="008A26D9"/>
    <w:rsid w:val="008A7B5B"/>
    <w:rsid w:val="008B12D2"/>
    <w:rsid w:val="008C0C29"/>
    <w:rsid w:val="008D02DA"/>
    <w:rsid w:val="008D06B5"/>
    <w:rsid w:val="008D7507"/>
    <w:rsid w:val="008D76BC"/>
    <w:rsid w:val="008E63E1"/>
    <w:rsid w:val="008E6F2B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27570"/>
    <w:rsid w:val="00933EC1"/>
    <w:rsid w:val="009446AD"/>
    <w:rsid w:val="009530DB"/>
    <w:rsid w:val="00953676"/>
    <w:rsid w:val="00956F30"/>
    <w:rsid w:val="00965C7D"/>
    <w:rsid w:val="009664F7"/>
    <w:rsid w:val="00966C9A"/>
    <w:rsid w:val="00967527"/>
    <w:rsid w:val="00967E11"/>
    <w:rsid w:val="009705EE"/>
    <w:rsid w:val="0097609A"/>
    <w:rsid w:val="00977927"/>
    <w:rsid w:val="0098135C"/>
    <w:rsid w:val="0098156A"/>
    <w:rsid w:val="00991BAC"/>
    <w:rsid w:val="009A6EA0"/>
    <w:rsid w:val="009A6F0B"/>
    <w:rsid w:val="009B2A4A"/>
    <w:rsid w:val="009C1335"/>
    <w:rsid w:val="009C1AB2"/>
    <w:rsid w:val="009C7251"/>
    <w:rsid w:val="009D0892"/>
    <w:rsid w:val="009E2E91"/>
    <w:rsid w:val="009F0A4F"/>
    <w:rsid w:val="009F3AA8"/>
    <w:rsid w:val="00A01B40"/>
    <w:rsid w:val="00A024B8"/>
    <w:rsid w:val="00A03BEC"/>
    <w:rsid w:val="00A139F5"/>
    <w:rsid w:val="00A32E16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063D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D0E56"/>
    <w:rsid w:val="00AD4BFC"/>
    <w:rsid w:val="00AE229B"/>
    <w:rsid w:val="00AE2D4B"/>
    <w:rsid w:val="00AE4F99"/>
    <w:rsid w:val="00AF597F"/>
    <w:rsid w:val="00B11B69"/>
    <w:rsid w:val="00B14952"/>
    <w:rsid w:val="00B16871"/>
    <w:rsid w:val="00B17D0C"/>
    <w:rsid w:val="00B25B45"/>
    <w:rsid w:val="00B26A16"/>
    <w:rsid w:val="00B31E5A"/>
    <w:rsid w:val="00B47359"/>
    <w:rsid w:val="00B60A52"/>
    <w:rsid w:val="00B653AB"/>
    <w:rsid w:val="00B65F9E"/>
    <w:rsid w:val="00B66B19"/>
    <w:rsid w:val="00B7386E"/>
    <w:rsid w:val="00B74B06"/>
    <w:rsid w:val="00B84C43"/>
    <w:rsid w:val="00B914E9"/>
    <w:rsid w:val="00B956EE"/>
    <w:rsid w:val="00BA2BA1"/>
    <w:rsid w:val="00BA2D1A"/>
    <w:rsid w:val="00BA3447"/>
    <w:rsid w:val="00BA3562"/>
    <w:rsid w:val="00BB1313"/>
    <w:rsid w:val="00BB4F09"/>
    <w:rsid w:val="00BB54B5"/>
    <w:rsid w:val="00BB5522"/>
    <w:rsid w:val="00BD0EE6"/>
    <w:rsid w:val="00BD4E33"/>
    <w:rsid w:val="00BD6420"/>
    <w:rsid w:val="00C030DE"/>
    <w:rsid w:val="00C051A8"/>
    <w:rsid w:val="00C22105"/>
    <w:rsid w:val="00C244B6"/>
    <w:rsid w:val="00C27BF1"/>
    <w:rsid w:val="00C310E6"/>
    <w:rsid w:val="00C3702F"/>
    <w:rsid w:val="00C4500A"/>
    <w:rsid w:val="00C54808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36A"/>
    <w:rsid w:val="00C96FAA"/>
    <w:rsid w:val="00C97A04"/>
    <w:rsid w:val="00CA107B"/>
    <w:rsid w:val="00CA2619"/>
    <w:rsid w:val="00CA465E"/>
    <w:rsid w:val="00CA484D"/>
    <w:rsid w:val="00CA4FB6"/>
    <w:rsid w:val="00CB0110"/>
    <w:rsid w:val="00CB0BC5"/>
    <w:rsid w:val="00CB2B5E"/>
    <w:rsid w:val="00CB2F90"/>
    <w:rsid w:val="00CB3AA7"/>
    <w:rsid w:val="00CB5C7F"/>
    <w:rsid w:val="00CB6AD4"/>
    <w:rsid w:val="00CC40A9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2A84"/>
    <w:rsid w:val="00D15819"/>
    <w:rsid w:val="00D261A2"/>
    <w:rsid w:val="00D616D2"/>
    <w:rsid w:val="00D63B5F"/>
    <w:rsid w:val="00D66599"/>
    <w:rsid w:val="00D70EF7"/>
    <w:rsid w:val="00D76984"/>
    <w:rsid w:val="00D8397C"/>
    <w:rsid w:val="00D91CC5"/>
    <w:rsid w:val="00D942B1"/>
    <w:rsid w:val="00D94983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05EC2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14D"/>
    <w:rsid w:val="00E95B8E"/>
    <w:rsid w:val="00EB1390"/>
    <w:rsid w:val="00EB2C71"/>
    <w:rsid w:val="00EB3333"/>
    <w:rsid w:val="00EB4340"/>
    <w:rsid w:val="00EB556D"/>
    <w:rsid w:val="00EB5A7D"/>
    <w:rsid w:val="00ED3CB6"/>
    <w:rsid w:val="00ED55C0"/>
    <w:rsid w:val="00ED682B"/>
    <w:rsid w:val="00EE41D5"/>
    <w:rsid w:val="00F0166F"/>
    <w:rsid w:val="00F037A4"/>
    <w:rsid w:val="00F03D62"/>
    <w:rsid w:val="00F049AB"/>
    <w:rsid w:val="00F107DF"/>
    <w:rsid w:val="00F142DB"/>
    <w:rsid w:val="00F147F5"/>
    <w:rsid w:val="00F27C8F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1E83"/>
    <w:rsid w:val="00FB42D4"/>
    <w:rsid w:val="00FB5906"/>
    <w:rsid w:val="00FB7150"/>
    <w:rsid w:val="00FB762F"/>
    <w:rsid w:val="00FC2AED"/>
    <w:rsid w:val="00FC4191"/>
    <w:rsid w:val="00FC5F4F"/>
    <w:rsid w:val="00FD08AE"/>
    <w:rsid w:val="00FD5EA7"/>
    <w:rsid w:val="00FD5FC6"/>
    <w:rsid w:val="00FE36CF"/>
    <w:rsid w:val="00FE6BDA"/>
    <w:rsid w:val="00FE7606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3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3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C41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191"/>
    <w:rPr>
      <w:rFonts w:ascii="Fira Sans" w:hAnsi="Fira Sans"/>
      <w:sz w:val="19"/>
    </w:rPr>
  </w:style>
  <w:style w:type="paragraph" w:styleId="Adresnakopercie">
    <w:name w:val="envelope address"/>
    <w:basedOn w:val="Normalny"/>
    <w:uiPriority w:val="99"/>
    <w:semiHidden/>
    <w:unhideWhenUsed/>
    <w:rsid w:val="00C9636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9636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C9636A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9636A"/>
  </w:style>
  <w:style w:type="paragraph" w:styleId="Cytat">
    <w:name w:val="Quote"/>
    <w:basedOn w:val="Normalny"/>
    <w:next w:val="Normalny"/>
    <w:link w:val="CytatZnak"/>
    <w:uiPriority w:val="29"/>
    <w:qFormat/>
    <w:rsid w:val="00C963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36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3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36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9636A"/>
  </w:style>
  <w:style w:type="character" w:customStyle="1" w:styleId="DataZnak">
    <w:name w:val="Data Znak"/>
    <w:basedOn w:val="Domylnaczcionkaakapitu"/>
    <w:link w:val="Data"/>
    <w:uiPriority w:val="99"/>
    <w:semiHidden/>
    <w:rsid w:val="00C9636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9636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9636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9636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9636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9636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C9636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9636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9636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9636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9636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9636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9636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9636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9636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9636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9636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9636A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9636A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9636A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9636A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9636A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9636A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9636A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9636A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9636A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9636A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9636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9636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36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36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9636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9636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9636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9636A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  <w:lang w:val="pl-PL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963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963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9636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9636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C9636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9636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9636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9636A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C9636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36A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9636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9636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9636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9636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9636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9636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9636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9636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9636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9636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C9636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C963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9636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636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36A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636A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36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9636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9636A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9636A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9636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9636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9636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9636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9636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9636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9636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9636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9636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36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36A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C9636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9636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9636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9636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9636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9636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9636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636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metainformacje/slownik-pojec/pojecia-stosowane-w-statystyce-publicznej/159,pojecie.html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obszary-tematyczne/kultura-turystyka-sport/kultura/przemysly-kultury-i-kreatywne-w-2023-r-,21,7.html" TargetMode="External"/><Relationship Id="rId42" Type="http://schemas.openxmlformats.org/officeDocument/2006/relationships/hyperlink" Target="https://stat.gov.pl/metainformacje/slownik-pojec/pojecia-stosowane-w-statystyce-publicznej/364,pojecie.html" TargetMode="External"/><Relationship Id="rId47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3.png"/><Relationship Id="rId11" Type="http://schemas.openxmlformats.org/officeDocument/2006/relationships/endnotes" Target="endnotes.xml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metainformacje/slownik-pojec/pojecia-stosowane-w-statystyce-publicznej/3774,pojecie.html" TargetMode="External"/><Relationship Id="rId40" Type="http://schemas.openxmlformats.org/officeDocument/2006/relationships/hyperlink" Target="https://stat.gov.pl/metainformacje/slownik-pojec/pojecia-stosowane-w-statystyce-publicznej/220,pojecie.html" TargetMode="External"/><Relationship Id="rId45" Type="http://schemas.openxmlformats.org/officeDocument/2006/relationships/hyperlink" Target="https://stat.gov.pl/metainformacje/slownik-pojec/pojecia-stosowane-w-statystyce-publicznej/376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6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4" Type="http://schemas.openxmlformats.org/officeDocument/2006/relationships/hyperlink" Target="https://stat.gov.pl/metainformacje/slownik-pojec/pojecia-stosowane-w-statystyce-publicznej/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kultura/kultura-i-dziedzictwo-narodowe-w-2024-r-,2,22.html" TargetMode="External"/><Relationship Id="rId43" Type="http://schemas.openxmlformats.org/officeDocument/2006/relationships/hyperlink" Target="https://stat.gov.pl/metainformacje/slownik-pojec/pojecia-stosowane-w-statystyce-publicznej/467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obszary-tematyczne/kultura-turystyka-sport/kultura/przemysly-kultury-i-kreatywne-w-latach-2017-2021,19,2.html" TargetMode="External"/><Relationship Id="rId38" Type="http://schemas.openxmlformats.org/officeDocument/2006/relationships/hyperlink" Target="https://stat.gov.pl/metainformacje/slownik-pojec/pojecia-stosowane-w-statystyce-publicznej/3775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361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453D9600-3A41-4EB9-9346-F4C98CC6131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894790AC-3D41-4D00-B47A-3DD53F22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1624</Words>
  <Characters>9598</Characters>
  <DocSecurity>0</DocSecurity>
  <Lines>223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Satelitarny rachunek kultury w 2021 r.</vt:lpstr>
    </vt:vector>
  </TitlesOfParts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Satelitarny rachunek kultury w 2021 r.</dc:title>
  <dc:subject/>
  <dc:creator>Główny Urząd Statystyczny</dc:creator>
  <cp:keywords/>
  <dc:description/>
  <cp:lastPrinted>2026-02-24T08:28:00Z</cp:lastPrinted>
  <dcterms:created xsi:type="dcterms:W3CDTF">2026-02-05T06:53:00Z</dcterms:created>
  <dcterms:modified xsi:type="dcterms:W3CDTF">2026-02-24T08:28:00Z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