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4ACA4" w14:textId="21744CE4" w:rsidR="009638EE" w:rsidRPr="00BC0EEB" w:rsidRDefault="007A4440" w:rsidP="009638EE">
      <w:pPr>
        <w:pStyle w:val="Tytuinfomacjisygnalnej"/>
        <w:rPr>
          <w:sz w:val="32"/>
        </w:rPr>
      </w:pPr>
      <w:bookmarkStart w:id="0" w:name="_GoBack"/>
      <w:bookmarkEnd w:id="0"/>
      <w:r w:rsidRPr="00BC0EEB">
        <w:t>Pracujący, bezrobotni i bierni zawodowo</w:t>
      </w:r>
      <w:r w:rsidR="000858EC" w:rsidRPr="00BC0EEB">
        <w:t xml:space="preserve"> </w:t>
      </w:r>
      <w:r w:rsidR="00766836" w:rsidRPr="00BC0EEB">
        <w:br/>
      </w:r>
      <w:r w:rsidR="000858EC" w:rsidRPr="00BC0EEB">
        <w:t>(</w:t>
      </w:r>
      <w:r w:rsidRPr="00BC0EEB">
        <w:t>wyniki wstępne B</w:t>
      </w:r>
      <w:r w:rsidR="008D5D28" w:rsidRPr="00BC0EEB">
        <w:t>adania Aktywności Ekonomicznej Ludności)</w:t>
      </w:r>
      <w:r w:rsidR="00364AF9" w:rsidRPr="00BC0EEB">
        <w:rPr>
          <w:sz w:val="32"/>
        </w:rPr>
        <w:tab/>
      </w:r>
    </w:p>
    <w:p w14:paraId="2C302B41" w14:textId="2D1FD048" w:rsidR="009638EE" w:rsidRDefault="00731D27" w:rsidP="00BC0EEB">
      <w:pPr>
        <w:pStyle w:val="Lead"/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578A17EF" wp14:editId="408F2CD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71700" cy="1209675"/>
                <wp:effectExtent l="0" t="0" r="0" b="9525"/>
                <wp:wrapSquare wrapText="bothSides"/>
                <wp:docPr id="6" name="Pole tekstowe 2" descr="Współczynnik aktywności zawodowej osób w wieku 15-89 lat - 57,9%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096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058EF" w14:textId="473087F7" w:rsidR="0011409E" w:rsidRPr="0011409E" w:rsidRDefault="0011409E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1140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791E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7,9</w:t>
                            </w:r>
                            <w:r w:rsidRPr="001140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0C2D1E5F" w14:textId="09880617" w:rsidR="005A6925" w:rsidRPr="00872983" w:rsidRDefault="005A6925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872983">
                              <w:t>Współczynnik aktywności zawodowej 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578A17EF" id="Pole tekstowe 2" o:spid="_x0000_s1026" alt="Współczynnik aktywności zawodowej osób w wieku 15-89 lat - 57,9%&#10;&#10;" style="position:absolute;margin-left:0;margin-top:.45pt;width:171pt;height:95.2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" fillcolor="#001d77" stroked="f">
                <v:stroke joinstyle="miter"/>
                <v:textbox>
                  <w:txbxContent>
                    <w:p w14:paraId="668058EF" w14:textId="473087F7" w:rsidR="0011409E" w:rsidRPr="0011409E" w:rsidRDefault="0011409E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 w:rsidRPr="001140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791E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7,9</w:t>
                      </w:r>
                      <w:r w:rsidRPr="001140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0C2D1E5F" w14:textId="09880617" w:rsidR="005A6925" w:rsidRPr="00872983" w:rsidRDefault="005A6925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 w:rsidRPr="00872983">
                        <w:t>Współczynnik aktywności zawodowej 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6139F" w:rsidRPr="00763634">
        <w:t>W</w:t>
      </w:r>
      <w:r w:rsidR="00705190" w:rsidRPr="00763634">
        <w:t xml:space="preserve"> </w:t>
      </w:r>
      <w:r w:rsidR="00791EEA">
        <w:t>2</w:t>
      </w:r>
      <w:r w:rsidR="00705190" w:rsidRPr="00763634">
        <w:t xml:space="preserve"> kw</w:t>
      </w:r>
      <w:r w:rsidR="00032359">
        <w:t>artale</w:t>
      </w:r>
      <w:r w:rsidR="0020288C">
        <w:t xml:space="preserve"> </w:t>
      </w:r>
      <w:r w:rsidR="00705190" w:rsidRPr="00763634">
        <w:t>202</w:t>
      </w:r>
      <w:r w:rsidR="00BF4921">
        <w:t>2</w:t>
      </w:r>
      <w:r w:rsidR="00705190" w:rsidRPr="00763634">
        <w:t xml:space="preserve"> r. osoby aktywne zawodowo </w:t>
      </w:r>
      <w:r w:rsidR="00705190" w:rsidRPr="00D66BE3">
        <w:t>stanowiły 5</w:t>
      </w:r>
      <w:r w:rsidR="00791EEA">
        <w:t>7,9</w:t>
      </w:r>
      <w:r w:rsidR="00705190" w:rsidRPr="00F849EE">
        <w:t>% ludności</w:t>
      </w:r>
      <w:r w:rsidR="00F449B9" w:rsidRPr="00F849EE">
        <w:rPr>
          <w:rStyle w:val="Odwoanieprzypisudolnego"/>
        </w:rPr>
        <w:footnoteReference w:id="1"/>
      </w:r>
      <w:r w:rsidR="00705190" w:rsidRPr="00F849EE">
        <w:t xml:space="preserve"> </w:t>
      </w:r>
      <w:r w:rsidR="00705190" w:rsidRPr="00D66BE3">
        <w:t xml:space="preserve">w wieku 15–89 lat. </w:t>
      </w:r>
      <w:r w:rsidR="00BF3217" w:rsidRPr="00BF3217">
        <w:t>W</w:t>
      </w:r>
      <w:r w:rsidR="00AD50F9">
        <w:t> </w:t>
      </w:r>
      <w:r w:rsidR="00BF3217" w:rsidRPr="00BF3217">
        <w:t>porównaniu z</w:t>
      </w:r>
      <w:r w:rsidR="005C1927">
        <w:t> </w:t>
      </w:r>
      <w:r w:rsidR="00791EEA">
        <w:t>1</w:t>
      </w:r>
      <w:r w:rsidR="006C2D4C" w:rsidRPr="00BF3217">
        <w:t xml:space="preserve"> </w:t>
      </w:r>
      <w:r w:rsidR="0020288C" w:rsidRPr="00BF3217">
        <w:t>kw</w:t>
      </w:r>
      <w:r w:rsidR="00032359">
        <w:t>artałem</w:t>
      </w:r>
      <w:r w:rsidR="0020288C" w:rsidRPr="00BF3217">
        <w:t xml:space="preserve"> </w:t>
      </w:r>
      <w:r w:rsidR="00BF3217" w:rsidRPr="00BF3217">
        <w:t>20</w:t>
      </w:r>
      <w:r w:rsidR="00BF3217">
        <w:t>2</w:t>
      </w:r>
      <w:r w:rsidR="00791EEA">
        <w:t>2</w:t>
      </w:r>
      <w:r w:rsidR="00BF3217" w:rsidRPr="00BF3217">
        <w:t xml:space="preserve"> r.</w:t>
      </w:r>
      <w:r w:rsidR="00791EEA">
        <w:t xml:space="preserve">, </w:t>
      </w:r>
      <w:r w:rsidR="00BF3217" w:rsidRPr="00BF3217">
        <w:t xml:space="preserve">wskaźnik ten </w:t>
      </w:r>
      <w:r w:rsidR="00791EEA">
        <w:t>zmniejszył się</w:t>
      </w:r>
      <w:r w:rsidR="007828F2">
        <w:t xml:space="preserve"> </w:t>
      </w:r>
      <w:r w:rsidR="00791EEA">
        <w:t xml:space="preserve">o 0,1 p. proc., </w:t>
      </w:r>
      <w:r w:rsidR="00BF3217" w:rsidRPr="00BF3217">
        <w:t>natomiast w</w:t>
      </w:r>
      <w:r w:rsidR="000D2DE5">
        <w:t> </w:t>
      </w:r>
      <w:r w:rsidR="00BF3217" w:rsidRPr="00BF3217">
        <w:t xml:space="preserve">odniesieniu do </w:t>
      </w:r>
      <w:r w:rsidR="00791EEA">
        <w:t>2</w:t>
      </w:r>
      <w:r w:rsidR="00AD50F9">
        <w:t> </w:t>
      </w:r>
      <w:r w:rsidR="0020288C" w:rsidRPr="00BF3217">
        <w:t>kw</w:t>
      </w:r>
      <w:r w:rsidR="00032359">
        <w:t>artału</w:t>
      </w:r>
      <w:r w:rsidR="0020288C" w:rsidRPr="00BF3217">
        <w:t xml:space="preserve"> </w:t>
      </w:r>
      <w:r w:rsidR="00BF3217" w:rsidRPr="00BF3217">
        <w:t>20</w:t>
      </w:r>
      <w:r w:rsidR="00BF3217">
        <w:t>21</w:t>
      </w:r>
      <w:r w:rsidR="00BF3217" w:rsidRPr="00BF3217">
        <w:t xml:space="preserve"> r. </w:t>
      </w:r>
      <w:r w:rsidR="000D2DE5">
        <w:t>zwiększył się</w:t>
      </w:r>
      <w:r w:rsidR="00BF3217" w:rsidRPr="00BF3217">
        <w:t xml:space="preserve"> o</w:t>
      </w:r>
      <w:r w:rsidR="00573B10">
        <w:t> </w:t>
      </w:r>
      <w:r w:rsidR="00BF3217" w:rsidRPr="00BF3217">
        <w:t>0,</w:t>
      </w:r>
      <w:r w:rsidR="00791EEA">
        <w:t>3</w:t>
      </w:r>
      <w:r w:rsidR="00BF3217" w:rsidRPr="00BF3217">
        <w:t xml:space="preserve"> p.</w:t>
      </w:r>
      <w:r w:rsidR="00D41B9C">
        <w:t xml:space="preserve"> </w:t>
      </w:r>
      <w:r w:rsidR="00BF3217" w:rsidRPr="00BF3217">
        <w:t>proc.</w:t>
      </w:r>
    </w:p>
    <w:p w14:paraId="7CDB7018" w14:textId="0687627B" w:rsidR="00BC0EEB" w:rsidRDefault="00BC0EEB" w:rsidP="00BC0EEB">
      <w:pPr>
        <w:pStyle w:val="Lead"/>
        <w:spacing w:before="0" w:after="0" w:line="240" w:lineRule="auto"/>
      </w:pPr>
    </w:p>
    <w:p w14:paraId="12D9B75E" w14:textId="578790A5" w:rsidR="00BC0EEB" w:rsidRPr="005C1927" w:rsidRDefault="00BC0EEB" w:rsidP="00BC0EEB">
      <w:pPr>
        <w:pStyle w:val="Lead"/>
        <w:spacing w:before="0" w:after="0" w:line="240" w:lineRule="auto"/>
      </w:pPr>
    </w:p>
    <w:p w14:paraId="3F038BF9" w14:textId="26868180" w:rsidR="002919DE" w:rsidRPr="002919DE" w:rsidRDefault="002822FF" w:rsidP="00BC0EEB">
      <w:pPr>
        <w:pStyle w:val="Nagwek1"/>
        <w:spacing w:before="480"/>
        <w:rPr>
          <w:rFonts w:ascii="Fira Sans" w:eastAsiaTheme="minorHAnsi" w:hAnsi="Fira Sans" w:cstheme="minorBidi"/>
          <w:b/>
          <w:bCs w:val="0"/>
          <w:noProof/>
          <w:szCs w:val="19"/>
        </w:rPr>
      </w:pPr>
      <w:r w:rsidRPr="00A92009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0C9CAA4" wp14:editId="028B8EDE">
                <wp:simplePos x="0" y="0"/>
                <wp:positionH relativeFrom="column">
                  <wp:posOffset>5276699</wp:posOffset>
                </wp:positionH>
                <wp:positionV relativeFrom="paragraph">
                  <wp:posOffset>401680</wp:posOffset>
                </wp:positionV>
                <wp:extent cx="1724025" cy="1428750"/>
                <wp:effectExtent l="0" t="0" r="0" b="0"/>
                <wp:wrapTight wrapText="bothSides">
                  <wp:wrapPolygon edited="0">
                    <wp:start x="716" y="0"/>
                    <wp:lineTo x="716" y="21312"/>
                    <wp:lineTo x="20765" y="21312"/>
                    <wp:lineTo x="20765" y="0"/>
                    <wp:lineTo x="716" y="0"/>
                  </wp:wrapPolygon>
                </wp:wrapTight>
                <wp:docPr id="2" name="Pole tekstowe 2" descr="Współczynnik aktywności zawodowej dla osób w wieku 15–89 lat w porównaniu z poprzednim kwartałem, jak i  rok do roku, zwiększył się wśród kobiet, natomiast zmniejszył się wśród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F718" w14:textId="78B537BD" w:rsidR="00F81235" w:rsidRDefault="005A6925" w:rsidP="00F81235">
                            <w:pPr>
                              <w:pStyle w:val="tekstzboku"/>
                            </w:pPr>
                            <w:r w:rsidRPr="003F3B9E">
                              <w:t xml:space="preserve">Współczynnik aktywności zawodowej dla osób w wieku 15–89 lat </w:t>
                            </w:r>
                            <w:r w:rsidR="00171560">
                              <w:t>w po</w:t>
                            </w:r>
                            <w:r w:rsidR="00B211CA">
                              <w:t>równaniu z poprzednim kwartałem</w:t>
                            </w:r>
                            <w:r w:rsidR="00171560">
                              <w:t xml:space="preserve">, </w:t>
                            </w:r>
                            <w:r w:rsidR="00A93297">
                              <w:t>jak i rok do roku</w:t>
                            </w:r>
                            <w:r w:rsidR="00766DB7">
                              <w:t>,</w:t>
                            </w:r>
                            <w:r w:rsidR="00171560">
                              <w:t xml:space="preserve"> zwiększył się wśród kobiet, natomiast </w:t>
                            </w:r>
                            <w:r w:rsidR="004C75BE">
                              <w:t xml:space="preserve">zmniejszył się </w:t>
                            </w:r>
                            <w:r w:rsidR="00171560">
                              <w:t xml:space="preserve">wśród mężczyzn </w:t>
                            </w:r>
                          </w:p>
                          <w:p w14:paraId="32BD8B75" w14:textId="2721BB89" w:rsidR="005A6925" w:rsidRPr="000E06E3" w:rsidRDefault="005A6925" w:rsidP="00F81235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10C9CAA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spółczynnik aktywności zawodowej dla osób w wieku 15–89 lat w porównaniu z poprzednim kwartałem, jak i  rok do roku, zwiększył się wśród kobiet, natomiast zmniejszył się wśród mężczyzn" style="position:absolute;margin-left:415.5pt;margin-top:31.65pt;width:135.75pt;height:112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" filled="f" stroked="f">
                <v:textbox>
                  <w:txbxContent>
                    <w:p w14:paraId="094AF718" w14:textId="78B537BD" w:rsidR="00F81235" w:rsidRDefault="005A6925" w:rsidP="00F81235">
                      <w:pPr>
                        <w:pStyle w:val="tekstzboku"/>
                      </w:pPr>
                      <w:r w:rsidRPr="003F3B9E">
                        <w:t xml:space="preserve">Współczynnik aktywności zawodowej dla osób w wieku 15–89 lat </w:t>
                      </w:r>
                      <w:r w:rsidR="00171560">
                        <w:t>w po</w:t>
                      </w:r>
                      <w:r w:rsidR="00B211CA">
                        <w:t>równaniu z poprzednim kwartałem</w:t>
                      </w:r>
                      <w:r w:rsidR="00171560">
                        <w:t xml:space="preserve">, </w:t>
                      </w:r>
                      <w:r w:rsidR="00A93297">
                        <w:t>jak i rok do roku</w:t>
                      </w:r>
                      <w:r w:rsidR="00766DB7">
                        <w:t>,</w:t>
                      </w:r>
                      <w:r w:rsidR="00171560">
                        <w:t xml:space="preserve"> zwiększył się wśród kobiet, natomiast </w:t>
                      </w:r>
                      <w:r w:rsidR="004C75BE">
                        <w:t xml:space="preserve">zmniejszył się </w:t>
                      </w:r>
                      <w:r w:rsidR="00171560">
                        <w:t xml:space="preserve">wśród mężczyzn </w:t>
                      </w:r>
                    </w:p>
                    <w:p w14:paraId="32BD8B75" w14:textId="2721BB89" w:rsidR="005A6925" w:rsidRPr="000E06E3" w:rsidRDefault="005A6925" w:rsidP="00F81235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705190">
        <w:rPr>
          <w:rFonts w:ascii="Fira Sans" w:hAnsi="Fira Sans"/>
          <w:b/>
          <w:szCs w:val="19"/>
        </w:rPr>
        <w:t>Aktywność ekonomiczna ludności w wieku 15–89 lat według BAEL</w:t>
      </w:r>
    </w:p>
    <w:p w14:paraId="061DAC99" w14:textId="4FDA941C" w:rsidR="00937E0E" w:rsidRPr="00032359" w:rsidRDefault="00705190" w:rsidP="00937E0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032359">
        <w:rPr>
          <w:rFonts w:eastAsia="Times New Roman" w:cs="Times New Roman"/>
          <w:szCs w:val="19"/>
          <w:lang w:eastAsia="pl-PL"/>
        </w:rPr>
        <w:t xml:space="preserve">W </w:t>
      </w:r>
      <w:r w:rsidR="000B36A3" w:rsidRPr="00032359">
        <w:rPr>
          <w:rFonts w:eastAsia="Times New Roman" w:cs="Times New Roman"/>
          <w:szCs w:val="19"/>
          <w:lang w:eastAsia="pl-PL"/>
        </w:rPr>
        <w:t>2</w:t>
      </w:r>
      <w:r w:rsidRPr="00032359">
        <w:rPr>
          <w:rFonts w:eastAsia="Times New Roman" w:cs="Times New Roman"/>
          <w:szCs w:val="19"/>
          <w:lang w:eastAsia="pl-PL"/>
        </w:rPr>
        <w:t xml:space="preserve"> kwartale 202</w:t>
      </w:r>
      <w:r w:rsidR="00BF3217" w:rsidRPr="00032359">
        <w:rPr>
          <w:rFonts w:eastAsia="Times New Roman" w:cs="Times New Roman"/>
          <w:szCs w:val="19"/>
          <w:lang w:eastAsia="pl-PL"/>
        </w:rPr>
        <w:t>2</w:t>
      </w:r>
      <w:r w:rsidRPr="00032359">
        <w:rPr>
          <w:rFonts w:eastAsia="Times New Roman" w:cs="Times New Roman"/>
          <w:szCs w:val="19"/>
          <w:lang w:eastAsia="pl-PL"/>
        </w:rPr>
        <w:t xml:space="preserve"> r. liczba osób aktywnych zawodowo w wieku 15–89 lat wyniosła </w:t>
      </w:r>
      <w:r w:rsidR="00032359" w:rsidRPr="00032359">
        <w:rPr>
          <w:rFonts w:eastAsia="Times New Roman" w:cs="Times New Roman"/>
          <w:szCs w:val="19"/>
          <w:lang w:eastAsia="pl-PL"/>
        </w:rPr>
        <w:t>17224</w:t>
      </w:r>
      <w:r w:rsidRPr="00032359">
        <w:rPr>
          <w:rFonts w:eastAsia="Times New Roman" w:cs="Times New Roman"/>
          <w:szCs w:val="19"/>
          <w:lang w:eastAsia="pl-PL"/>
        </w:rPr>
        <w:t xml:space="preserve"> tys., z</w:t>
      </w:r>
      <w:r w:rsidR="00A873BD" w:rsidRPr="00032359">
        <w:rPr>
          <w:rFonts w:eastAsia="Times New Roman" w:cs="Times New Roman"/>
          <w:szCs w:val="19"/>
          <w:lang w:eastAsia="pl-PL"/>
        </w:rPr>
        <w:t> </w:t>
      </w:r>
      <w:r w:rsidRPr="00032359">
        <w:rPr>
          <w:rFonts w:eastAsia="Times New Roman" w:cs="Times New Roman"/>
          <w:szCs w:val="19"/>
          <w:lang w:eastAsia="pl-PL"/>
        </w:rPr>
        <w:t xml:space="preserve">tego: </w:t>
      </w:r>
      <w:r w:rsidR="00BF3217" w:rsidRPr="00032359">
        <w:rPr>
          <w:rFonts w:eastAsia="Times New Roman" w:cs="Times New Roman"/>
          <w:szCs w:val="19"/>
          <w:lang w:eastAsia="pl-PL"/>
        </w:rPr>
        <w:t>167</w:t>
      </w:r>
      <w:r w:rsidR="00032359" w:rsidRPr="00032359">
        <w:rPr>
          <w:rFonts w:eastAsia="Times New Roman" w:cs="Times New Roman"/>
          <w:szCs w:val="19"/>
          <w:lang w:eastAsia="pl-PL"/>
        </w:rPr>
        <w:t>70</w:t>
      </w:r>
      <w:r w:rsidRPr="00032359">
        <w:rPr>
          <w:rFonts w:eastAsia="Times New Roman" w:cs="Times New Roman"/>
          <w:szCs w:val="19"/>
          <w:lang w:eastAsia="pl-PL"/>
        </w:rPr>
        <w:t xml:space="preserve"> tys. stanowili pracujący, natomiast </w:t>
      </w:r>
      <w:r w:rsidR="00032359" w:rsidRPr="00032359">
        <w:rPr>
          <w:rFonts w:eastAsia="Times New Roman" w:cs="Times New Roman"/>
          <w:szCs w:val="19"/>
          <w:lang w:eastAsia="pl-PL"/>
        </w:rPr>
        <w:t>454</w:t>
      </w:r>
      <w:r w:rsidRPr="00032359">
        <w:rPr>
          <w:rFonts w:eastAsia="Times New Roman" w:cs="Times New Roman"/>
          <w:szCs w:val="19"/>
          <w:lang w:eastAsia="pl-PL"/>
        </w:rPr>
        <w:t xml:space="preserve"> tys. </w:t>
      </w:r>
      <w:r w:rsidR="00BB6872" w:rsidRPr="00032359">
        <w:rPr>
          <w:rFonts w:eastAsia="Times New Roman" w:cs="Times New Roman"/>
          <w:szCs w:val="19"/>
          <w:lang w:eastAsia="pl-PL"/>
        </w:rPr>
        <w:t xml:space="preserve">– </w:t>
      </w:r>
      <w:r w:rsidRPr="00032359">
        <w:rPr>
          <w:rFonts w:eastAsia="Times New Roman" w:cs="Times New Roman"/>
          <w:szCs w:val="19"/>
          <w:lang w:eastAsia="pl-PL"/>
        </w:rPr>
        <w:t xml:space="preserve">bezrobotni. Populacja biernych zawodowo w </w:t>
      </w:r>
      <w:r w:rsidR="006C2D4C" w:rsidRPr="00032359">
        <w:rPr>
          <w:rFonts w:eastAsia="Times New Roman" w:cs="Times New Roman"/>
          <w:szCs w:val="19"/>
          <w:lang w:eastAsia="pl-PL"/>
        </w:rPr>
        <w:t xml:space="preserve">tej </w:t>
      </w:r>
      <w:r w:rsidRPr="00032359">
        <w:rPr>
          <w:rFonts w:eastAsia="Times New Roman" w:cs="Times New Roman"/>
          <w:szCs w:val="19"/>
          <w:lang w:eastAsia="pl-PL"/>
        </w:rPr>
        <w:t xml:space="preserve">grupie wieku liczyła </w:t>
      </w:r>
      <w:r w:rsidR="00BF3217" w:rsidRPr="00032359">
        <w:rPr>
          <w:rFonts w:eastAsia="Times New Roman" w:cs="Times New Roman"/>
          <w:szCs w:val="19"/>
          <w:lang w:eastAsia="pl-PL"/>
        </w:rPr>
        <w:t>12</w:t>
      </w:r>
      <w:r w:rsidR="00032359" w:rsidRPr="00032359">
        <w:rPr>
          <w:rFonts w:eastAsia="Times New Roman" w:cs="Times New Roman"/>
          <w:szCs w:val="19"/>
          <w:lang w:eastAsia="pl-PL"/>
        </w:rPr>
        <w:t xml:space="preserve">508 </w:t>
      </w:r>
      <w:r w:rsidRPr="00032359">
        <w:rPr>
          <w:rFonts w:eastAsia="Times New Roman" w:cs="Times New Roman"/>
          <w:szCs w:val="19"/>
          <w:lang w:eastAsia="pl-PL"/>
        </w:rPr>
        <w:t>tys.</w:t>
      </w:r>
      <w:r w:rsidR="00937E0E" w:rsidRPr="00032359">
        <w:rPr>
          <w:rFonts w:eastAsia="Times New Roman" w:cs="Times New Roman"/>
          <w:szCs w:val="19"/>
          <w:lang w:eastAsia="pl-PL"/>
        </w:rPr>
        <w:t xml:space="preserve"> </w:t>
      </w:r>
    </w:p>
    <w:p w14:paraId="1482C05B" w14:textId="38861713" w:rsidR="0023192D" w:rsidRPr="003F3B9E" w:rsidRDefault="004C75BE" w:rsidP="00705190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 xml:space="preserve">Odnotowano niewielkie zmiany w grupie osób aktywnych zawodowo. </w:t>
      </w:r>
      <w:r w:rsidR="00937E0E" w:rsidRPr="003F3B9E">
        <w:rPr>
          <w:rFonts w:eastAsia="Times New Roman" w:cs="Times New Roman"/>
          <w:szCs w:val="19"/>
          <w:lang w:eastAsia="pl-PL"/>
        </w:rPr>
        <w:t xml:space="preserve">W porównaniu z </w:t>
      </w:r>
      <w:r w:rsidR="009C1145" w:rsidRPr="003F3B9E">
        <w:rPr>
          <w:rFonts w:eastAsia="Times New Roman" w:cs="Times New Roman"/>
          <w:szCs w:val="19"/>
          <w:lang w:eastAsia="pl-PL"/>
        </w:rPr>
        <w:t>1</w:t>
      </w:r>
      <w:r w:rsidR="00937E0E" w:rsidRPr="003F3B9E">
        <w:rPr>
          <w:rFonts w:eastAsia="Times New Roman" w:cs="Times New Roman"/>
          <w:szCs w:val="19"/>
          <w:lang w:eastAsia="pl-PL"/>
        </w:rPr>
        <w:t xml:space="preserve"> kw</w:t>
      </w:r>
      <w:r w:rsidR="00BB6872" w:rsidRPr="003F3B9E">
        <w:rPr>
          <w:rFonts w:eastAsia="Times New Roman" w:cs="Times New Roman"/>
          <w:szCs w:val="19"/>
          <w:lang w:eastAsia="pl-PL"/>
        </w:rPr>
        <w:t xml:space="preserve">artałem </w:t>
      </w:r>
      <w:r w:rsidR="00BF3217" w:rsidRPr="003F3B9E">
        <w:rPr>
          <w:rFonts w:eastAsia="Times New Roman" w:cs="Times New Roman"/>
          <w:szCs w:val="19"/>
          <w:lang w:eastAsia="pl-PL"/>
        </w:rPr>
        <w:t>202</w:t>
      </w:r>
      <w:r w:rsidR="009C1145" w:rsidRPr="003F3B9E">
        <w:rPr>
          <w:rFonts w:eastAsia="Times New Roman" w:cs="Times New Roman"/>
          <w:szCs w:val="19"/>
          <w:lang w:eastAsia="pl-PL"/>
        </w:rPr>
        <w:t>2</w:t>
      </w:r>
      <w:r w:rsidR="00BF3217" w:rsidRPr="003F3B9E">
        <w:rPr>
          <w:rFonts w:eastAsia="Times New Roman" w:cs="Times New Roman"/>
          <w:szCs w:val="19"/>
          <w:lang w:eastAsia="pl-PL"/>
        </w:rPr>
        <w:t xml:space="preserve"> r. </w:t>
      </w:r>
      <w:r w:rsidR="00980AE0">
        <w:rPr>
          <w:rFonts w:eastAsia="Times New Roman" w:cs="Times New Roman"/>
          <w:szCs w:val="19"/>
          <w:lang w:eastAsia="pl-PL"/>
        </w:rPr>
        <w:t>liczebność tej populacji</w:t>
      </w:r>
      <w:r w:rsidR="00937E0E" w:rsidRPr="003F3B9E">
        <w:rPr>
          <w:rFonts w:eastAsia="Times New Roman" w:cs="Times New Roman"/>
          <w:szCs w:val="19"/>
          <w:lang w:eastAsia="pl-PL"/>
        </w:rPr>
        <w:t xml:space="preserve"> zmniejszyła się o</w:t>
      </w:r>
      <w:r w:rsidR="005C1927" w:rsidRPr="003F3B9E">
        <w:rPr>
          <w:rFonts w:eastAsia="Times New Roman" w:cs="Times New Roman"/>
          <w:szCs w:val="19"/>
          <w:lang w:eastAsia="pl-PL"/>
        </w:rPr>
        <w:t> </w:t>
      </w:r>
      <w:r w:rsidR="00481E63" w:rsidRPr="003F3B9E">
        <w:rPr>
          <w:rFonts w:eastAsia="Times New Roman" w:cs="Times New Roman"/>
          <w:szCs w:val="19"/>
          <w:lang w:eastAsia="pl-PL"/>
        </w:rPr>
        <w:t>2</w:t>
      </w:r>
      <w:r w:rsidR="00032359" w:rsidRPr="003F3B9E">
        <w:rPr>
          <w:rFonts w:eastAsia="Times New Roman" w:cs="Times New Roman"/>
          <w:szCs w:val="19"/>
          <w:lang w:eastAsia="pl-PL"/>
        </w:rPr>
        <w:t>6</w:t>
      </w:r>
      <w:r w:rsidR="005C1927" w:rsidRPr="003F3B9E">
        <w:rPr>
          <w:rFonts w:eastAsia="Times New Roman" w:cs="Times New Roman"/>
          <w:szCs w:val="19"/>
          <w:lang w:eastAsia="pl-PL"/>
        </w:rPr>
        <w:t> </w:t>
      </w:r>
      <w:r w:rsidR="00937E0E" w:rsidRPr="003F3B9E">
        <w:rPr>
          <w:rFonts w:eastAsia="Times New Roman" w:cs="Times New Roman"/>
          <w:szCs w:val="19"/>
          <w:lang w:eastAsia="pl-PL"/>
        </w:rPr>
        <w:t>tys., tj. o </w:t>
      </w:r>
      <w:r w:rsidR="00032359" w:rsidRPr="003F3B9E">
        <w:rPr>
          <w:rFonts w:eastAsia="Times New Roman" w:cs="Times New Roman"/>
          <w:szCs w:val="19"/>
          <w:lang w:eastAsia="pl-PL"/>
        </w:rPr>
        <w:t>0,2</w:t>
      </w:r>
      <w:r w:rsidR="00937E0E" w:rsidRPr="003F3B9E">
        <w:rPr>
          <w:rFonts w:eastAsia="Times New Roman" w:cs="Times New Roman"/>
          <w:szCs w:val="19"/>
          <w:lang w:eastAsia="pl-PL"/>
        </w:rPr>
        <w:t>%</w:t>
      </w:r>
      <w:r w:rsidR="00BB6872">
        <w:rPr>
          <w:rFonts w:eastAsia="Times New Roman" w:cs="Times New Roman"/>
          <w:szCs w:val="19"/>
          <w:lang w:eastAsia="pl-PL"/>
        </w:rPr>
        <w:t>,</w:t>
      </w:r>
      <w:r w:rsidR="00481E63">
        <w:rPr>
          <w:rFonts w:eastAsia="Times New Roman" w:cs="Times New Roman"/>
          <w:szCs w:val="19"/>
          <w:lang w:eastAsia="pl-PL"/>
        </w:rPr>
        <w:t xml:space="preserve"> </w:t>
      </w:r>
      <w:r w:rsidR="009B6BA6">
        <w:rPr>
          <w:rFonts w:eastAsia="Times New Roman" w:cs="Times New Roman"/>
          <w:szCs w:val="19"/>
          <w:lang w:eastAsia="pl-PL"/>
        </w:rPr>
        <w:t>zaś</w:t>
      </w:r>
      <w:r w:rsidR="00481E63" w:rsidRPr="00481E63">
        <w:rPr>
          <w:rFonts w:eastAsia="Times New Roman" w:cs="Times New Roman"/>
          <w:szCs w:val="19"/>
          <w:lang w:eastAsia="pl-PL"/>
        </w:rPr>
        <w:t xml:space="preserve"> w porównaniu z</w:t>
      </w:r>
      <w:r w:rsidR="00573B10">
        <w:rPr>
          <w:rFonts w:eastAsia="Times New Roman" w:cs="Times New Roman"/>
          <w:szCs w:val="19"/>
          <w:lang w:eastAsia="pl-PL"/>
        </w:rPr>
        <w:t> </w:t>
      </w:r>
      <w:r w:rsidR="00481E63" w:rsidRPr="00481E63">
        <w:rPr>
          <w:rFonts w:eastAsia="Times New Roman" w:cs="Times New Roman"/>
          <w:szCs w:val="19"/>
          <w:lang w:eastAsia="pl-PL"/>
        </w:rPr>
        <w:t xml:space="preserve">analogicznym okresem poprzedniego roku </w:t>
      </w:r>
      <w:r w:rsidR="008C4FED">
        <w:rPr>
          <w:rFonts w:eastAsia="Times New Roman" w:cs="Times New Roman"/>
          <w:szCs w:val="19"/>
          <w:lang w:eastAsia="pl-PL"/>
        </w:rPr>
        <w:t xml:space="preserve">zwiększyła się </w:t>
      </w:r>
      <w:r w:rsidR="00481E63" w:rsidRPr="003F3B9E">
        <w:rPr>
          <w:rFonts w:eastAsia="Times New Roman" w:cs="Times New Roman"/>
          <w:szCs w:val="19"/>
          <w:lang w:eastAsia="pl-PL"/>
        </w:rPr>
        <w:t xml:space="preserve">o </w:t>
      </w:r>
      <w:r w:rsidR="003F3B9E" w:rsidRPr="003F3B9E">
        <w:rPr>
          <w:rFonts w:eastAsia="Times New Roman" w:cs="Times New Roman"/>
          <w:szCs w:val="19"/>
          <w:lang w:eastAsia="pl-PL"/>
        </w:rPr>
        <w:t>21</w:t>
      </w:r>
      <w:r w:rsidR="00481E63" w:rsidRPr="003F3B9E">
        <w:rPr>
          <w:rFonts w:eastAsia="Times New Roman" w:cs="Times New Roman"/>
          <w:szCs w:val="19"/>
          <w:lang w:eastAsia="pl-PL"/>
        </w:rPr>
        <w:t xml:space="preserve"> tys., tj. o</w:t>
      </w:r>
      <w:r w:rsidR="00126349" w:rsidRPr="003F3B9E">
        <w:rPr>
          <w:rFonts w:eastAsia="Times New Roman" w:cs="Times New Roman"/>
          <w:szCs w:val="19"/>
          <w:lang w:eastAsia="pl-PL"/>
        </w:rPr>
        <w:t> </w:t>
      </w:r>
      <w:r w:rsidR="00481E63" w:rsidRPr="003F3B9E">
        <w:rPr>
          <w:rFonts w:eastAsia="Times New Roman" w:cs="Times New Roman"/>
          <w:szCs w:val="19"/>
          <w:lang w:eastAsia="pl-PL"/>
        </w:rPr>
        <w:t>0,</w:t>
      </w:r>
      <w:r w:rsidR="003F3B9E" w:rsidRPr="003F3B9E">
        <w:rPr>
          <w:rFonts w:eastAsia="Times New Roman" w:cs="Times New Roman"/>
          <w:szCs w:val="19"/>
          <w:lang w:eastAsia="pl-PL"/>
        </w:rPr>
        <w:t>1</w:t>
      </w:r>
      <w:r w:rsidR="00481E63" w:rsidRPr="003F3B9E">
        <w:rPr>
          <w:rFonts w:eastAsia="Times New Roman" w:cs="Times New Roman"/>
          <w:szCs w:val="19"/>
          <w:lang w:eastAsia="pl-PL"/>
        </w:rPr>
        <w:t>%</w:t>
      </w:r>
      <w:r w:rsidR="008C4FED">
        <w:rPr>
          <w:rFonts w:eastAsia="Times New Roman" w:cs="Times New Roman"/>
          <w:szCs w:val="19"/>
          <w:lang w:eastAsia="pl-PL"/>
        </w:rPr>
        <w:t>.</w:t>
      </w:r>
    </w:p>
    <w:p w14:paraId="48E9C8BC" w14:textId="11758BF2" w:rsidR="00705190" w:rsidRDefault="00A008DE" w:rsidP="00257931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3F3B9E">
        <w:rPr>
          <w:rFonts w:eastAsia="Times New Roman" w:cs="Times New Roman"/>
          <w:szCs w:val="19"/>
          <w:lang w:eastAsia="pl-PL"/>
        </w:rPr>
        <w:t xml:space="preserve">Udział aktywnych zawodowo w ogólnej liczbie osób w wieku 15–89 lat </w:t>
      </w:r>
      <w:r w:rsidR="00BB6872" w:rsidRPr="003F3B9E">
        <w:rPr>
          <w:rFonts w:eastAsia="Times New Roman" w:cs="Times New Roman"/>
          <w:szCs w:val="19"/>
          <w:lang w:eastAsia="pl-PL"/>
        </w:rPr>
        <w:t xml:space="preserve">w </w:t>
      </w:r>
      <w:r w:rsidR="003F3B9E" w:rsidRPr="003F3B9E">
        <w:rPr>
          <w:rFonts w:eastAsia="Times New Roman" w:cs="Times New Roman"/>
          <w:szCs w:val="19"/>
          <w:lang w:eastAsia="pl-PL"/>
        </w:rPr>
        <w:t>2</w:t>
      </w:r>
      <w:r w:rsidR="00BB6872" w:rsidRPr="003F3B9E">
        <w:rPr>
          <w:rFonts w:eastAsia="Times New Roman" w:cs="Times New Roman"/>
          <w:szCs w:val="19"/>
          <w:lang w:eastAsia="pl-PL"/>
        </w:rPr>
        <w:t xml:space="preserve"> kwartale 2022 r. </w:t>
      </w:r>
      <w:r w:rsidRPr="003F3B9E">
        <w:rPr>
          <w:rFonts w:eastAsia="Times New Roman" w:cs="Times New Roman"/>
          <w:szCs w:val="19"/>
          <w:lang w:eastAsia="pl-PL"/>
        </w:rPr>
        <w:t xml:space="preserve">był wyższy wśród mężczyzn i </w:t>
      </w:r>
      <w:r w:rsidR="00BB6872" w:rsidRPr="003F3B9E">
        <w:rPr>
          <w:rFonts w:eastAsia="Times New Roman" w:cs="Times New Roman"/>
          <w:szCs w:val="19"/>
          <w:lang w:eastAsia="pl-PL"/>
        </w:rPr>
        <w:t xml:space="preserve">wynosił </w:t>
      </w:r>
      <w:r w:rsidRPr="003F3B9E">
        <w:rPr>
          <w:rFonts w:eastAsia="Times New Roman" w:cs="Times New Roman"/>
          <w:szCs w:val="19"/>
          <w:lang w:eastAsia="pl-PL"/>
        </w:rPr>
        <w:t>6</w:t>
      </w:r>
      <w:r w:rsidR="003F3B9E" w:rsidRPr="003F3B9E">
        <w:rPr>
          <w:rFonts w:eastAsia="Times New Roman" w:cs="Times New Roman"/>
          <w:szCs w:val="19"/>
          <w:lang w:eastAsia="pl-PL"/>
        </w:rPr>
        <w:t>5,7</w:t>
      </w:r>
      <w:r w:rsidRPr="003F3B9E">
        <w:rPr>
          <w:rFonts w:eastAsia="Times New Roman" w:cs="Times New Roman"/>
          <w:szCs w:val="19"/>
          <w:lang w:eastAsia="pl-PL"/>
        </w:rPr>
        <w:t xml:space="preserve">%, natomiast w populacji kobiet kształtował się na </w:t>
      </w:r>
      <w:r w:rsidR="00F13869">
        <w:rPr>
          <w:rFonts w:eastAsia="Times New Roman" w:cs="Times New Roman"/>
          <w:szCs w:val="19"/>
          <w:lang w:eastAsia="pl-PL"/>
        </w:rPr>
        <w:t xml:space="preserve">niższym </w:t>
      </w:r>
      <w:r w:rsidRPr="003F3B9E">
        <w:rPr>
          <w:rFonts w:eastAsia="Times New Roman" w:cs="Times New Roman"/>
          <w:szCs w:val="19"/>
          <w:lang w:eastAsia="pl-PL"/>
        </w:rPr>
        <w:t xml:space="preserve">poziomie </w:t>
      </w:r>
      <w:r w:rsidR="00F13869">
        <w:rPr>
          <w:rFonts w:eastAsia="Times New Roman" w:cs="Times New Roman"/>
          <w:szCs w:val="19"/>
          <w:lang w:eastAsia="pl-PL"/>
        </w:rPr>
        <w:t xml:space="preserve">– </w:t>
      </w:r>
      <w:r w:rsidRPr="003F3B9E">
        <w:rPr>
          <w:rFonts w:eastAsia="Times New Roman" w:cs="Times New Roman"/>
          <w:szCs w:val="19"/>
          <w:lang w:eastAsia="pl-PL"/>
        </w:rPr>
        <w:t>50,</w:t>
      </w:r>
      <w:r w:rsidR="003F3B9E" w:rsidRPr="003F3B9E">
        <w:rPr>
          <w:rFonts w:eastAsia="Times New Roman" w:cs="Times New Roman"/>
          <w:szCs w:val="19"/>
          <w:lang w:eastAsia="pl-PL"/>
        </w:rPr>
        <w:t>8</w:t>
      </w:r>
      <w:r w:rsidRPr="003F3B9E">
        <w:rPr>
          <w:rFonts w:eastAsia="Times New Roman" w:cs="Times New Roman"/>
          <w:szCs w:val="19"/>
          <w:lang w:eastAsia="pl-PL"/>
        </w:rPr>
        <w:t>% (odpowiednie wartości dla osób w wieku produkcyjnym</w:t>
      </w:r>
      <w:r w:rsidR="009551D9">
        <w:rPr>
          <w:rStyle w:val="Odwoanieprzypisudolnego"/>
          <w:rFonts w:eastAsia="Times New Roman" w:cs="Times New Roman"/>
          <w:szCs w:val="19"/>
          <w:lang w:eastAsia="pl-PL"/>
        </w:rPr>
        <w:footnoteReference w:id="2"/>
      </w:r>
      <w:r w:rsidRPr="003F3B9E">
        <w:rPr>
          <w:rFonts w:eastAsia="Times New Roman" w:cs="Times New Roman"/>
          <w:szCs w:val="19"/>
          <w:lang w:eastAsia="pl-PL"/>
        </w:rPr>
        <w:t xml:space="preserve"> to </w:t>
      </w:r>
      <w:r w:rsidR="003F3B9E" w:rsidRPr="003F3B9E">
        <w:rPr>
          <w:rFonts w:eastAsia="Times New Roman" w:cs="Times New Roman"/>
          <w:szCs w:val="19"/>
          <w:lang w:eastAsia="pl-PL"/>
        </w:rPr>
        <w:t>83,0</w:t>
      </w:r>
      <w:r w:rsidRPr="003F3B9E">
        <w:rPr>
          <w:rFonts w:eastAsia="Times New Roman" w:cs="Times New Roman"/>
          <w:szCs w:val="19"/>
          <w:lang w:eastAsia="pl-PL"/>
        </w:rPr>
        <w:t>% oraz 7</w:t>
      </w:r>
      <w:r w:rsidR="00D47E3E" w:rsidRPr="003F3B9E">
        <w:rPr>
          <w:rFonts w:eastAsia="Times New Roman" w:cs="Times New Roman"/>
          <w:szCs w:val="19"/>
          <w:lang w:eastAsia="pl-PL"/>
        </w:rPr>
        <w:t>6,</w:t>
      </w:r>
      <w:r w:rsidR="003F3B9E" w:rsidRPr="003F3B9E">
        <w:rPr>
          <w:rFonts w:eastAsia="Times New Roman" w:cs="Times New Roman"/>
          <w:szCs w:val="19"/>
          <w:lang w:eastAsia="pl-PL"/>
        </w:rPr>
        <w:t>6</w:t>
      </w:r>
      <w:r w:rsidRPr="003F3B9E">
        <w:rPr>
          <w:rFonts w:eastAsia="Times New Roman" w:cs="Times New Roman"/>
          <w:szCs w:val="19"/>
          <w:lang w:eastAsia="pl-PL"/>
        </w:rPr>
        <w:t xml:space="preserve">%). Analogiczne wskaźniki dla mieszkańców miast oraz mieszkańców wsi wynosiły odpowiednio: </w:t>
      </w:r>
      <w:r w:rsidR="003F3B9E" w:rsidRPr="003F3B9E">
        <w:rPr>
          <w:rFonts w:eastAsia="Times New Roman" w:cs="Times New Roman"/>
          <w:szCs w:val="19"/>
          <w:lang w:eastAsia="pl-PL"/>
        </w:rPr>
        <w:t>57,8</w:t>
      </w:r>
      <w:r w:rsidRPr="003F3B9E">
        <w:rPr>
          <w:rFonts w:eastAsia="Times New Roman" w:cs="Times New Roman"/>
          <w:szCs w:val="19"/>
          <w:lang w:eastAsia="pl-PL"/>
        </w:rPr>
        <w:t>% i 5</w:t>
      </w:r>
      <w:r w:rsidR="003F3B9E" w:rsidRPr="003F3B9E">
        <w:rPr>
          <w:rFonts w:eastAsia="Times New Roman" w:cs="Times New Roman"/>
          <w:szCs w:val="19"/>
          <w:lang w:eastAsia="pl-PL"/>
        </w:rPr>
        <w:t>8,1</w:t>
      </w:r>
      <w:r w:rsidRPr="003F3B9E">
        <w:rPr>
          <w:rFonts w:eastAsia="Times New Roman" w:cs="Times New Roman"/>
          <w:szCs w:val="19"/>
          <w:lang w:eastAsia="pl-PL"/>
        </w:rPr>
        <w:t xml:space="preserve">% (w wieku produkcyjnym: </w:t>
      </w:r>
      <w:r w:rsidR="003F3B9E" w:rsidRPr="003F3B9E">
        <w:rPr>
          <w:rFonts w:eastAsia="Times New Roman" w:cs="Times New Roman"/>
          <w:szCs w:val="19"/>
          <w:lang w:eastAsia="pl-PL"/>
        </w:rPr>
        <w:t>81,9</w:t>
      </w:r>
      <w:r w:rsidRPr="003F3B9E">
        <w:rPr>
          <w:rFonts w:eastAsia="Times New Roman" w:cs="Times New Roman"/>
          <w:szCs w:val="19"/>
          <w:lang w:eastAsia="pl-PL"/>
        </w:rPr>
        <w:t>% i 7</w:t>
      </w:r>
      <w:r w:rsidR="003F3B9E" w:rsidRPr="003F3B9E">
        <w:rPr>
          <w:rFonts w:eastAsia="Times New Roman" w:cs="Times New Roman"/>
          <w:szCs w:val="19"/>
          <w:lang w:eastAsia="pl-PL"/>
        </w:rPr>
        <w:t>7,4</w:t>
      </w:r>
      <w:r w:rsidRPr="003F3B9E">
        <w:rPr>
          <w:rFonts w:eastAsia="Times New Roman" w:cs="Times New Roman"/>
          <w:szCs w:val="19"/>
          <w:lang w:eastAsia="pl-PL"/>
        </w:rPr>
        <w:t>%).</w:t>
      </w:r>
    </w:p>
    <w:p w14:paraId="3DF8D531" w14:textId="65867D5B" w:rsidR="00787638" w:rsidRDefault="00FF0C1F" w:rsidP="00787638">
      <w:pPr>
        <w:ind w:left="851" w:hanging="851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anchor distT="0" distB="0" distL="114300" distR="114300" simplePos="0" relativeHeight="251816960" behindDoc="0" locked="0" layoutInCell="1" allowOverlap="1" wp14:anchorId="43EA5A02" wp14:editId="2E76C427">
            <wp:simplePos x="0" y="0"/>
            <wp:positionH relativeFrom="margin">
              <wp:align>left</wp:align>
            </wp:positionH>
            <wp:positionV relativeFrom="paragraph">
              <wp:posOffset>201295</wp:posOffset>
            </wp:positionV>
            <wp:extent cx="5173345" cy="2219325"/>
            <wp:effectExtent l="0" t="0" r="8255" b="9525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645" cy="2222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543" w:rsidRPr="00924E85">
        <w:rPr>
          <w:rFonts w:eastAsia="Times New Roman" w:cs="Times New Roman"/>
          <w:b/>
          <w:szCs w:val="19"/>
          <w:lang w:eastAsia="pl-PL"/>
        </w:rPr>
        <w:t>Wykres 1.</w:t>
      </w:r>
      <w:r w:rsidR="007F0BB6">
        <w:rPr>
          <w:rFonts w:eastAsia="Times New Roman" w:cs="Times New Roman"/>
          <w:b/>
          <w:szCs w:val="19"/>
          <w:lang w:eastAsia="pl-PL"/>
        </w:rPr>
        <w:tab/>
      </w:r>
      <w:r w:rsidR="003A1D54" w:rsidRPr="007F0BB6">
        <w:rPr>
          <w:rFonts w:eastAsia="Times New Roman" w:cs="Times New Roman"/>
          <w:b/>
          <w:sz w:val="18"/>
          <w:szCs w:val="18"/>
          <w:lang w:eastAsia="pl-PL"/>
        </w:rPr>
        <w:t>Współczynnik</w:t>
      </w:r>
      <w:r w:rsidR="003A1D54" w:rsidRPr="00924E85">
        <w:rPr>
          <w:rFonts w:eastAsia="Times New Roman" w:cs="Times New Roman"/>
          <w:b/>
          <w:szCs w:val="19"/>
          <w:lang w:eastAsia="pl-PL"/>
        </w:rPr>
        <w:t xml:space="preserve"> aktywności zawodowej </w:t>
      </w:r>
      <w:r w:rsidR="00340543" w:rsidRPr="00924E85">
        <w:rPr>
          <w:rFonts w:eastAsia="Times New Roman" w:cs="Times New Roman"/>
          <w:b/>
          <w:szCs w:val="19"/>
          <w:lang w:eastAsia="pl-PL"/>
        </w:rPr>
        <w:t>osób w wieku 15-89 lat</w:t>
      </w:r>
      <w:r w:rsidR="000F160D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3"/>
      </w:r>
    </w:p>
    <w:p w14:paraId="67BDBD55" w14:textId="02FE63C4" w:rsidR="00EF18AC" w:rsidRDefault="00EF18AC">
      <w:pPr>
        <w:spacing w:before="0" w:after="160" w:line="259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br w:type="page"/>
      </w:r>
    </w:p>
    <w:p w14:paraId="60AC5834" w14:textId="0B30013B" w:rsidR="00EE7ACF" w:rsidRDefault="00EF18AC" w:rsidP="00257931">
      <w:pPr>
        <w:spacing w:before="240" w:after="0" w:line="288" w:lineRule="auto"/>
        <w:rPr>
          <w:rFonts w:eastAsia="Times New Roman" w:cs="Times New Roman"/>
          <w:szCs w:val="19"/>
          <w:lang w:eastAsia="pl-PL"/>
        </w:rPr>
      </w:pPr>
      <w:r w:rsidRPr="00B211EE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255C5FC" wp14:editId="7239DF9D">
                <wp:simplePos x="0" y="0"/>
                <wp:positionH relativeFrom="column">
                  <wp:posOffset>5302240</wp:posOffset>
                </wp:positionH>
                <wp:positionV relativeFrom="paragraph">
                  <wp:posOffset>3700</wp:posOffset>
                </wp:positionV>
                <wp:extent cx="1676400" cy="1029335"/>
                <wp:effectExtent l="0" t="0" r="0" b="0"/>
                <wp:wrapTight wrapText="bothSides">
                  <wp:wrapPolygon edited="0">
                    <wp:start x="736" y="0"/>
                    <wp:lineTo x="736" y="21187"/>
                    <wp:lineTo x="20618" y="21187"/>
                    <wp:lineTo x="20618" y="0"/>
                    <wp:lineTo x="736" y="0"/>
                  </wp:wrapPolygon>
                </wp:wrapTight>
                <wp:docPr id="31" name="Pole tekstowe 2" descr="Wskaźnik opisujący relację liczby osób niepracujących do liczby osób pracujących zmniejszył się w porównaniu z poprzednim kwartałem, jak i w 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29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80A39" w14:textId="5B283DFA" w:rsidR="005A6925" w:rsidRPr="00EE1C79" w:rsidRDefault="005A6925" w:rsidP="00EF18AC">
                            <w:pPr>
                              <w:pStyle w:val="tekstzboku"/>
                              <w:spacing w:before="0"/>
                            </w:pPr>
                            <w:r w:rsidRPr="00EE1C79">
                              <w:t>Wskaźnik opisujący relację liczby osób niepracujących do liczby osób pracujących z</w:t>
                            </w:r>
                            <w:r w:rsidR="00B211EE" w:rsidRPr="00EE1C79">
                              <w:t>mniejszył</w:t>
                            </w:r>
                            <w:r w:rsidRPr="00EE1C79">
                              <w:t xml:space="preserve"> się w porównaniu z poprzednim kwartałem</w:t>
                            </w:r>
                            <w:r w:rsidR="00F81235" w:rsidRPr="00EE1C79">
                              <w:t xml:space="preserve">, </w:t>
                            </w:r>
                            <w:r w:rsidR="00B211EE" w:rsidRPr="00EE1C79">
                              <w:t>jak i</w:t>
                            </w:r>
                            <w:r w:rsidR="00F81235" w:rsidRPr="00EE1C79">
                              <w:t xml:space="preserve"> w</w:t>
                            </w:r>
                            <w:r w:rsidR="003F0643" w:rsidRPr="00EE1C79">
                              <w:t> </w:t>
                            </w:r>
                            <w:r w:rsidR="00ED7ADB" w:rsidRPr="00EE1C79">
                              <w:t>skali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255C5FC" id="_x0000_s1028" type="#_x0000_t202" alt="Wskaźnik opisujący relację liczby osób niepracujących do liczby osób pracujących zmniejszył się w porównaniu z poprzednim kwartałem, jak i w  skali roku" style="position:absolute;margin-left:417.5pt;margin-top:.3pt;width:132pt;height:81.0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" filled="f" stroked="f">
                <v:textbox>
                  <w:txbxContent>
                    <w:p w14:paraId="6F580A39" w14:textId="5B283DFA" w:rsidR="005A6925" w:rsidRPr="00EE1C79" w:rsidRDefault="005A6925" w:rsidP="00EF18AC">
                      <w:pPr>
                        <w:pStyle w:val="tekstzboku"/>
                        <w:spacing w:before="0"/>
                      </w:pPr>
                      <w:r w:rsidRPr="00EE1C79">
                        <w:t>Wskaźnik opisujący relację liczby osób niepracujących do liczby osób pracujących z</w:t>
                      </w:r>
                      <w:r w:rsidR="00B211EE" w:rsidRPr="00EE1C79">
                        <w:t>mniejszył</w:t>
                      </w:r>
                      <w:r w:rsidRPr="00EE1C79">
                        <w:t xml:space="preserve"> się w porównaniu z poprzednim kwartałem</w:t>
                      </w:r>
                      <w:r w:rsidR="00F81235" w:rsidRPr="00EE1C79">
                        <w:t xml:space="preserve">, </w:t>
                      </w:r>
                      <w:r w:rsidR="00B211EE" w:rsidRPr="00EE1C79">
                        <w:t>jak i</w:t>
                      </w:r>
                      <w:r w:rsidR="00F81235" w:rsidRPr="00EE1C79">
                        <w:t xml:space="preserve"> w</w:t>
                      </w:r>
                      <w:r w:rsidR="003F0643" w:rsidRPr="00EE1C79">
                        <w:t> </w:t>
                      </w:r>
                      <w:r w:rsidR="00ED7ADB" w:rsidRPr="00EE1C79">
                        <w:t>skali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5190" w:rsidRPr="00B211EE">
        <w:rPr>
          <w:rFonts w:eastAsia="Times New Roman" w:cs="Times New Roman"/>
          <w:szCs w:val="19"/>
          <w:lang w:eastAsia="pl-PL"/>
        </w:rPr>
        <w:t>Wskaźnik opisujący relację liczby osób niepracujących (bezrobotnych w wieku 15-74 lata i</w:t>
      </w:r>
      <w:r w:rsidR="00A873BD" w:rsidRPr="00B211EE">
        <w:rPr>
          <w:rFonts w:eastAsia="Times New Roman" w:cs="Times New Roman"/>
          <w:szCs w:val="19"/>
          <w:lang w:eastAsia="pl-PL"/>
        </w:rPr>
        <w:t> </w:t>
      </w:r>
      <w:r w:rsidR="00705190" w:rsidRPr="00B211EE">
        <w:rPr>
          <w:rFonts w:eastAsia="Times New Roman" w:cs="Times New Roman"/>
          <w:szCs w:val="19"/>
          <w:lang w:eastAsia="pl-PL"/>
        </w:rPr>
        <w:t xml:space="preserve">biernych zawodowo w wieku 15–89 lat) do liczby osób pracujących (w wieku 15-89 lat) </w:t>
      </w:r>
      <w:r w:rsidR="00FB39A9" w:rsidRPr="00B211EE">
        <w:rPr>
          <w:szCs w:val="19"/>
        </w:rPr>
        <w:t>z</w:t>
      </w:r>
      <w:r w:rsidR="00B211EE" w:rsidRPr="00B211EE">
        <w:rPr>
          <w:szCs w:val="19"/>
        </w:rPr>
        <w:t>mniejszył</w:t>
      </w:r>
      <w:r w:rsidR="00FB39A9" w:rsidRPr="00B211EE">
        <w:rPr>
          <w:szCs w:val="19"/>
        </w:rPr>
        <w:t xml:space="preserve"> się w stosunku do poprzedniego kwartału, </w:t>
      </w:r>
      <w:r w:rsidR="00B211EE" w:rsidRPr="00B211EE">
        <w:rPr>
          <w:szCs w:val="19"/>
        </w:rPr>
        <w:t xml:space="preserve">jak i </w:t>
      </w:r>
      <w:r w:rsidR="00FB39A9" w:rsidRPr="00B211EE">
        <w:rPr>
          <w:szCs w:val="19"/>
        </w:rPr>
        <w:t>w porównaniu z analogicznym</w:t>
      </w:r>
      <w:r w:rsidR="00257931">
        <w:rPr>
          <w:szCs w:val="19"/>
        </w:rPr>
        <w:t xml:space="preserve"> </w:t>
      </w:r>
      <w:r w:rsidR="00FB39A9" w:rsidRPr="00B211EE">
        <w:rPr>
          <w:szCs w:val="19"/>
        </w:rPr>
        <w:t>okresem 2021 r</w:t>
      </w:r>
      <w:r w:rsidR="00705190" w:rsidRPr="00B211EE">
        <w:rPr>
          <w:rFonts w:eastAsia="Times New Roman" w:cs="Times New Roman"/>
          <w:szCs w:val="19"/>
          <w:lang w:eastAsia="pl-PL"/>
        </w:rPr>
        <w:t xml:space="preserve">. W </w:t>
      </w:r>
      <w:r w:rsidR="00B211EE" w:rsidRPr="00B211EE">
        <w:rPr>
          <w:rFonts w:eastAsia="Times New Roman" w:cs="Times New Roman"/>
          <w:szCs w:val="19"/>
          <w:lang w:eastAsia="pl-PL"/>
        </w:rPr>
        <w:t xml:space="preserve">2 </w:t>
      </w:r>
      <w:r w:rsidR="00705190" w:rsidRPr="00B211EE">
        <w:rPr>
          <w:rFonts w:eastAsia="Times New Roman" w:cs="Times New Roman"/>
          <w:szCs w:val="19"/>
          <w:lang w:eastAsia="pl-PL"/>
        </w:rPr>
        <w:t>kwartale 202</w:t>
      </w:r>
      <w:r w:rsidR="00FB39A9" w:rsidRPr="00B211EE">
        <w:rPr>
          <w:rFonts w:eastAsia="Times New Roman" w:cs="Times New Roman"/>
          <w:szCs w:val="19"/>
          <w:lang w:eastAsia="pl-PL"/>
        </w:rPr>
        <w:t>2</w:t>
      </w:r>
      <w:r w:rsidR="00705190" w:rsidRPr="00B211EE">
        <w:rPr>
          <w:rFonts w:eastAsia="Times New Roman" w:cs="Times New Roman"/>
          <w:szCs w:val="19"/>
          <w:lang w:eastAsia="pl-PL"/>
        </w:rPr>
        <w:t xml:space="preserve"> r. na 1000 osób pracujących przypadał</w:t>
      </w:r>
      <w:r w:rsidR="00B211EE" w:rsidRPr="00B211EE">
        <w:rPr>
          <w:rFonts w:eastAsia="Times New Roman" w:cs="Times New Roman"/>
          <w:szCs w:val="19"/>
          <w:lang w:eastAsia="pl-PL"/>
        </w:rPr>
        <w:t xml:space="preserve">y </w:t>
      </w:r>
      <w:r w:rsidR="00705190" w:rsidRPr="00B211EE">
        <w:rPr>
          <w:rFonts w:eastAsia="Times New Roman" w:cs="Times New Roman"/>
          <w:szCs w:val="19"/>
          <w:lang w:eastAsia="pl-PL"/>
        </w:rPr>
        <w:t>7</w:t>
      </w:r>
      <w:r w:rsidR="00B211EE" w:rsidRPr="00B211EE">
        <w:rPr>
          <w:rFonts w:eastAsia="Times New Roman" w:cs="Times New Roman"/>
          <w:szCs w:val="19"/>
          <w:lang w:eastAsia="pl-PL"/>
        </w:rPr>
        <w:t>73</w:t>
      </w:r>
      <w:r w:rsidR="0031456B" w:rsidRPr="00B211EE">
        <w:rPr>
          <w:rFonts w:eastAsia="Times New Roman" w:cs="Times New Roman"/>
          <w:szCs w:val="19"/>
          <w:lang w:eastAsia="pl-PL"/>
        </w:rPr>
        <w:t> </w:t>
      </w:r>
      <w:r w:rsidR="00705190" w:rsidRPr="00B211EE">
        <w:rPr>
          <w:rFonts w:eastAsia="Times New Roman" w:cs="Times New Roman"/>
          <w:szCs w:val="19"/>
          <w:lang w:eastAsia="pl-PL"/>
        </w:rPr>
        <w:t>os</w:t>
      </w:r>
      <w:r w:rsidR="00B211EE" w:rsidRPr="00B211EE">
        <w:rPr>
          <w:rFonts w:eastAsia="Times New Roman" w:cs="Times New Roman"/>
          <w:szCs w:val="19"/>
          <w:lang w:eastAsia="pl-PL"/>
        </w:rPr>
        <w:t>oby</w:t>
      </w:r>
      <w:r w:rsidR="00705190" w:rsidRPr="00B211EE">
        <w:rPr>
          <w:rFonts w:eastAsia="Times New Roman" w:cs="Times New Roman"/>
          <w:szCs w:val="19"/>
          <w:lang w:eastAsia="pl-PL"/>
        </w:rPr>
        <w:t xml:space="preserve"> bez pracy w wieku 15-89 lat </w:t>
      </w:r>
      <w:r w:rsidR="00FB39A9" w:rsidRPr="00B211EE">
        <w:rPr>
          <w:rFonts w:eastAsia="Times New Roman" w:cs="Times New Roman"/>
          <w:szCs w:val="19"/>
          <w:lang w:eastAsia="pl-PL"/>
        </w:rPr>
        <w:t xml:space="preserve">(w </w:t>
      </w:r>
      <w:r w:rsidR="00B211EE" w:rsidRPr="00B211EE">
        <w:rPr>
          <w:rFonts w:eastAsia="Times New Roman" w:cs="Times New Roman"/>
          <w:szCs w:val="19"/>
          <w:lang w:eastAsia="pl-PL"/>
        </w:rPr>
        <w:t>1</w:t>
      </w:r>
      <w:r w:rsidR="00FB39A9" w:rsidRPr="00B211EE">
        <w:rPr>
          <w:rFonts w:eastAsia="Times New Roman" w:cs="Times New Roman"/>
          <w:szCs w:val="19"/>
          <w:lang w:eastAsia="pl-PL"/>
        </w:rPr>
        <w:t xml:space="preserve"> kwartale 202</w:t>
      </w:r>
      <w:r w:rsidR="00B211EE" w:rsidRPr="00B211EE">
        <w:rPr>
          <w:rFonts w:eastAsia="Times New Roman" w:cs="Times New Roman"/>
          <w:szCs w:val="19"/>
          <w:lang w:eastAsia="pl-PL"/>
        </w:rPr>
        <w:t>2</w:t>
      </w:r>
      <w:r w:rsidR="00FB39A9" w:rsidRPr="00B211EE">
        <w:rPr>
          <w:rFonts w:eastAsia="Times New Roman" w:cs="Times New Roman"/>
          <w:szCs w:val="19"/>
          <w:lang w:eastAsia="pl-PL"/>
        </w:rPr>
        <w:t xml:space="preserve"> r. </w:t>
      </w:r>
      <w:r w:rsidR="004E3ACE">
        <w:rPr>
          <w:rFonts w:eastAsia="Times New Roman" w:cs="Times New Roman"/>
          <w:szCs w:val="19"/>
          <w:lang w:eastAsia="pl-PL"/>
        </w:rPr>
        <w:t>781 osób, a</w:t>
      </w:r>
      <w:r w:rsidR="00FB39A9" w:rsidRPr="00B211EE">
        <w:rPr>
          <w:rFonts w:eastAsia="Times New Roman" w:cs="Times New Roman"/>
          <w:szCs w:val="19"/>
          <w:lang w:eastAsia="pl-PL"/>
        </w:rPr>
        <w:t xml:space="preserve"> w </w:t>
      </w:r>
      <w:r w:rsidR="00B211EE" w:rsidRPr="00B211EE">
        <w:rPr>
          <w:rFonts w:eastAsia="Times New Roman" w:cs="Times New Roman"/>
          <w:szCs w:val="19"/>
          <w:lang w:eastAsia="pl-PL"/>
        </w:rPr>
        <w:t>2</w:t>
      </w:r>
      <w:r w:rsidR="00BB6872" w:rsidRPr="00B211EE">
        <w:rPr>
          <w:rFonts w:eastAsia="Times New Roman" w:cs="Times New Roman"/>
          <w:szCs w:val="19"/>
          <w:lang w:eastAsia="pl-PL"/>
        </w:rPr>
        <w:t xml:space="preserve"> </w:t>
      </w:r>
      <w:r w:rsidR="00FB39A9" w:rsidRPr="00B211EE">
        <w:rPr>
          <w:rFonts w:eastAsia="Times New Roman" w:cs="Times New Roman"/>
          <w:szCs w:val="19"/>
          <w:lang w:eastAsia="pl-PL"/>
        </w:rPr>
        <w:t xml:space="preserve">kwartale 2021 r. </w:t>
      </w:r>
      <w:r w:rsidR="00B211EE" w:rsidRPr="00B211EE">
        <w:rPr>
          <w:rFonts w:eastAsia="Times New Roman" w:cs="Times New Roman"/>
          <w:szCs w:val="19"/>
          <w:lang w:eastAsia="pl-PL"/>
        </w:rPr>
        <w:t xml:space="preserve">799 </w:t>
      </w:r>
      <w:r w:rsidR="00FB39A9" w:rsidRPr="00B211EE">
        <w:rPr>
          <w:rFonts w:eastAsia="Times New Roman" w:cs="Times New Roman"/>
          <w:szCs w:val="19"/>
          <w:lang w:eastAsia="pl-PL"/>
        </w:rPr>
        <w:t>os</w:t>
      </w:r>
      <w:r w:rsidR="00126349" w:rsidRPr="00B211EE">
        <w:rPr>
          <w:rFonts w:eastAsia="Times New Roman" w:cs="Times New Roman"/>
          <w:szCs w:val="19"/>
          <w:lang w:eastAsia="pl-PL"/>
        </w:rPr>
        <w:t>ób</w:t>
      </w:r>
      <w:r w:rsidR="00471894" w:rsidRPr="00B211EE">
        <w:rPr>
          <w:rFonts w:eastAsia="Times New Roman" w:cs="Times New Roman"/>
          <w:szCs w:val="19"/>
          <w:lang w:eastAsia="pl-PL"/>
        </w:rPr>
        <w:t>).</w:t>
      </w:r>
    </w:p>
    <w:p w14:paraId="118A94CA" w14:textId="3023D52B" w:rsidR="0030711C" w:rsidRPr="00B211EE" w:rsidRDefault="0030711C" w:rsidP="0010408A">
      <w:pPr>
        <w:spacing w:line="240" w:lineRule="auto"/>
        <w:rPr>
          <w:rFonts w:eastAsia="Times New Roman" w:cs="Times New Roman"/>
          <w:szCs w:val="19"/>
          <w:lang w:eastAsia="pl-PL"/>
        </w:rPr>
      </w:pPr>
    </w:p>
    <w:p w14:paraId="60D74962" w14:textId="5A6A0F44" w:rsidR="00924E85" w:rsidRDefault="00EE7ACF" w:rsidP="009015ED">
      <w:pPr>
        <w:pStyle w:val="Lead"/>
        <w:spacing w:before="240"/>
        <w:ind w:left="3686"/>
      </w:pPr>
      <w:r w:rsidRPr="001B1F02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441AA5F" wp14:editId="5CDE866E">
                <wp:simplePos x="0" y="0"/>
                <wp:positionH relativeFrom="margin">
                  <wp:posOffset>-114300</wp:posOffset>
                </wp:positionH>
                <wp:positionV relativeFrom="paragraph">
                  <wp:posOffset>6350</wp:posOffset>
                </wp:positionV>
                <wp:extent cx="2238375" cy="1200150"/>
                <wp:effectExtent l="0" t="0" r="9525" b="0"/>
                <wp:wrapSquare wrapText="bothSides"/>
                <wp:docPr id="15" name="Pole tekstowe 2" descr="Wskaźnik zatrudnienia osób w wieku 15-89 lat - 56,4%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001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088C1" w14:textId="3BB08EBF" w:rsidR="00C25D7B" w:rsidRPr="000E6274" w:rsidRDefault="00C25D7B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,</w:t>
                            </w:r>
                            <w:r w:rsidR="008163B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</w:t>
                            </w:r>
                            <w:r w:rsidRPr="006A364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24FB0006" w14:textId="5C1F798F" w:rsidR="00C25D7B" w:rsidRDefault="00C25D7B" w:rsidP="00577E10">
                            <w:pPr>
                              <w:pStyle w:val="tekstnaniebieskimtle"/>
                              <w:jc w:val="center"/>
                            </w:pPr>
                            <w:r w:rsidRPr="00EE2052">
                              <w:t>Ws</w:t>
                            </w:r>
                            <w:r>
                              <w:t>k</w:t>
                            </w:r>
                            <w:r w:rsidRPr="00EE2052">
                              <w:t>a</w:t>
                            </w:r>
                            <w:r>
                              <w:t>źnik</w:t>
                            </w:r>
                            <w:r w:rsidRPr="00EE2052">
                              <w:t xml:space="preserve"> za</w:t>
                            </w:r>
                            <w:r>
                              <w:t>trudnienia</w:t>
                            </w:r>
                          </w:p>
                          <w:p w14:paraId="20862C31" w14:textId="30C4AE6F" w:rsidR="005A6925" w:rsidRPr="001F49E2" w:rsidRDefault="00C25D7B" w:rsidP="001F49E2">
                            <w:pPr>
                              <w:pStyle w:val="tekstnaniebieskimtle"/>
                              <w:jc w:val="center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osób w wieku 15-89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0441AA5F" id="_x0000_s1029" alt="Wskaźnik zatrudnienia osób w wieku 15-89 lat - 56,4% &#10;" style="position:absolute;left:0;text-align:left;margin-left:-9pt;margin-top:.5pt;width:176.25pt;height:94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" fillcolor="#001d77" stroked="f">
                <v:stroke joinstyle="miter"/>
                <v:textbox>
                  <w:txbxContent>
                    <w:p w14:paraId="143088C1" w14:textId="3BB08EBF" w:rsidR="00C25D7B" w:rsidRPr="000E6274" w:rsidRDefault="00C25D7B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,</w:t>
                      </w:r>
                      <w:r w:rsidR="008163B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</w:t>
                      </w:r>
                      <w:r w:rsidRPr="006A364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14:paraId="24FB0006" w14:textId="5C1F798F" w:rsidR="00C25D7B" w:rsidRDefault="00C25D7B" w:rsidP="00577E10">
                      <w:pPr>
                        <w:pStyle w:val="tekstnaniebieskimtle"/>
                        <w:jc w:val="center"/>
                      </w:pPr>
                      <w:r w:rsidRPr="00EE2052">
                        <w:t>Ws</w:t>
                      </w:r>
                      <w:r>
                        <w:t>k</w:t>
                      </w:r>
                      <w:r w:rsidRPr="00EE2052">
                        <w:t>a</w:t>
                      </w:r>
                      <w:r>
                        <w:t>źnik</w:t>
                      </w:r>
                      <w:r w:rsidRPr="00EE2052">
                        <w:t xml:space="preserve"> za</w:t>
                      </w:r>
                      <w:r>
                        <w:t>trudnienia</w:t>
                      </w:r>
                    </w:p>
                    <w:p w14:paraId="20862C31" w14:textId="30C4AE6F" w:rsidR="005A6925" w:rsidRPr="001F49E2" w:rsidRDefault="00C25D7B" w:rsidP="001F49E2">
                      <w:pPr>
                        <w:pStyle w:val="tekstnaniebieskimtle"/>
                        <w:jc w:val="center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osób w wieku 15-89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05190" w:rsidRPr="001B1F02">
        <w:t xml:space="preserve">Osoby pracujące stanowiły w </w:t>
      </w:r>
      <w:r w:rsidR="00127E61">
        <w:t>2</w:t>
      </w:r>
      <w:r w:rsidR="00705190" w:rsidRPr="0020288C">
        <w:t xml:space="preserve"> kw</w:t>
      </w:r>
      <w:r w:rsidR="00127E61">
        <w:t>artale</w:t>
      </w:r>
      <w:r w:rsidR="00705190" w:rsidRPr="001B1F02">
        <w:t xml:space="preserve"> 202</w:t>
      </w:r>
      <w:r w:rsidR="00464497" w:rsidRPr="001B1F02">
        <w:t>2</w:t>
      </w:r>
      <w:r w:rsidR="00705190" w:rsidRPr="001B1F02">
        <w:t xml:space="preserve"> r. 56,</w:t>
      </w:r>
      <w:r w:rsidR="00127E61">
        <w:t>4</w:t>
      </w:r>
      <w:r w:rsidR="00705190" w:rsidRPr="001B1F02">
        <w:t>% ludności</w:t>
      </w:r>
      <w:r w:rsidR="00705190" w:rsidRPr="00A873BD">
        <w:t xml:space="preserve"> w wieku 15–89 lat</w:t>
      </w:r>
      <w:r w:rsidR="00705190" w:rsidRPr="00924E85">
        <w:t>. W porównaniu z</w:t>
      </w:r>
      <w:r w:rsidR="00573B10">
        <w:t> </w:t>
      </w:r>
      <w:r w:rsidR="00022721">
        <w:t xml:space="preserve">ubiegłym kwartałem </w:t>
      </w:r>
      <w:r w:rsidR="00705190" w:rsidRPr="00A873BD">
        <w:t>202</w:t>
      </w:r>
      <w:r w:rsidR="00171560">
        <w:t>2</w:t>
      </w:r>
      <w:r w:rsidR="00705190" w:rsidRPr="00A873BD">
        <w:t xml:space="preserve"> r.</w:t>
      </w:r>
      <w:r w:rsidR="00022721">
        <w:t>, jak i analogicznym okresem 2021 r.</w:t>
      </w:r>
      <w:r w:rsidR="00705190" w:rsidRPr="00A873BD">
        <w:t xml:space="preserve"> wskaźnik </w:t>
      </w:r>
      <w:r w:rsidR="00A6139F" w:rsidRPr="00A873BD">
        <w:t>zatrudnienia</w:t>
      </w:r>
      <w:r w:rsidR="00705190" w:rsidRPr="00A873BD">
        <w:t xml:space="preserve"> z</w:t>
      </w:r>
      <w:r w:rsidR="00171560">
        <w:t>w</w:t>
      </w:r>
      <w:r w:rsidR="00022721">
        <w:t>iększył</w:t>
      </w:r>
      <w:r w:rsidR="00705190" w:rsidRPr="00A873BD">
        <w:t xml:space="preserve"> </w:t>
      </w:r>
      <w:r w:rsidR="005D53C4">
        <w:t>się o</w:t>
      </w:r>
      <w:r w:rsidR="00022721">
        <w:t>dpowiednio o 0,2 p. proc. i 0,8 p. proc.</w:t>
      </w:r>
      <w:r w:rsidR="005D53C4">
        <w:t xml:space="preserve"> </w:t>
      </w:r>
      <w:r w:rsidR="000E0437" w:rsidRPr="000E0437">
        <w:t>Był on wyższy w</w:t>
      </w:r>
      <w:r w:rsidR="005C1927">
        <w:t> </w:t>
      </w:r>
      <w:r w:rsidR="000E0437" w:rsidRPr="000E0437">
        <w:t>zbiorowości mężczyzn (64,</w:t>
      </w:r>
      <w:r w:rsidR="00022721">
        <w:t>1</w:t>
      </w:r>
      <w:r w:rsidR="000E0437" w:rsidRPr="000E0437">
        <w:t>%) niż kobiet (4</w:t>
      </w:r>
      <w:r w:rsidR="00022721">
        <w:t>9,3</w:t>
      </w:r>
      <w:r w:rsidR="000E0437" w:rsidRPr="000E0437">
        <w:t>%)</w:t>
      </w:r>
      <w:r w:rsidR="00B44FB1">
        <w:t>.</w:t>
      </w:r>
    </w:p>
    <w:p w14:paraId="27148C4B" w14:textId="5921328D" w:rsidR="00924E85" w:rsidRPr="005C1927" w:rsidRDefault="00924E85" w:rsidP="0016353C">
      <w:pPr>
        <w:pStyle w:val="Lead"/>
        <w:spacing w:before="0" w:after="0"/>
      </w:pPr>
    </w:p>
    <w:p w14:paraId="1E610040" w14:textId="349A2C7A" w:rsidR="00705190" w:rsidRDefault="00EB309B" w:rsidP="002F140B">
      <w:pPr>
        <w:pStyle w:val="Nagwek1"/>
      </w:pPr>
      <w:r w:rsidRPr="00D62D4A"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1B6C29C0" wp14:editId="0733655D">
                <wp:simplePos x="0" y="0"/>
                <wp:positionH relativeFrom="column">
                  <wp:posOffset>5323713</wp:posOffset>
                </wp:positionH>
                <wp:positionV relativeFrom="paragraph">
                  <wp:posOffset>281178</wp:posOffset>
                </wp:positionV>
                <wp:extent cx="1612265" cy="1076325"/>
                <wp:effectExtent l="0" t="0" r="0" b="0"/>
                <wp:wrapTight wrapText="bothSides">
                  <wp:wrapPolygon edited="0">
                    <wp:start x="766" y="0"/>
                    <wp:lineTo x="766" y="21027"/>
                    <wp:lineTo x="20673" y="21027"/>
                    <wp:lineTo x="20673" y="0"/>
                    <wp:lineTo x="766" y="0"/>
                  </wp:wrapPolygon>
                </wp:wrapTight>
                <wp:docPr id="32" name="Pole tekstowe 2" descr="Populacja pracujących zwiększyła się w porównaniu z poprzednim kwartałem, jak i w porównaniu z analogicznym okresem 2021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26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A14A" w14:textId="33B50BFB" w:rsidR="005A6925" w:rsidRPr="00EE1C79" w:rsidRDefault="005A6925" w:rsidP="00EC542E">
                            <w:pPr>
                              <w:pStyle w:val="tekstzboku"/>
                            </w:pPr>
                            <w:r w:rsidRPr="00EE1C79">
                              <w:t>Populacja pracujących z</w:t>
                            </w:r>
                            <w:r w:rsidR="00C500D4" w:rsidRPr="00EE1C79">
                              <w:t>większyła</w:t>
                            </w:r>
                            <w:r w:rsidRPr="00EE1C79">
                              <w:t xml:space="preserve"> się w porównaniu z poprzednim kwartałem</w:t>
                            </w:r>
                            <w:r w:rsidR="00980AE0">
                              <w:t xml:space="preserve">, jak </w:t>
                            </w:r>
                            <w:r w:rsidR="00C500D4" w:rsidRPr="00EE1C79">
                              <w:t>i</w:t>
                            </w:r>
                            <w:r w:rsidR="003470DD" w:rsidRPr="00EE1C79">
                              <w:t xml:space="preserve"> w</w:t>
                            </w:r>
                            <w:r w:rsidR="00D64538" w:rsidRPr="00EE1C79">
                              <w:t> </w:t>
                            </w:r>
                            <w:r w:rsidR="003470DD" w:rsidRPr="00EE1C79">
                              <w:t>porównaniu z analogicznym okresem 2021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B6C29C0" id="_x0000_s1030" type="#_x0000_t202" alt="Populacja pracujących zwiększyła się w porównaniu z poprzednim kwartałem, jak i w porównaniu z analogicznym okresem 2021 roku" style="position:absolute;margin-left:419.2pt;margin-top:22.15pt;width:126.95pt;height:84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" filled="f" stroked="f">
                <v:textbox>
                  <w:txbxContent>
                    <w:p w14:paraId="5A8AA14A" w14:textId="33B50BFB" w:rsidR="005A6925" w:rsidRPr="00EE1C79" w:rsidRDefault="005A6925" w:rsidP="00EC542E">
                      <w:pPr>
                        <w:pStyle w:val="tekstzboku"/>
                      </w:pPr>
                      <w:r w:rsidRPr="00EE1C79">
                        <w:t>Populacja pracujących z</w:t>
                      </w:r>
                      <w:r w:rsidR="00C500D4" w:rsidRPr="00EE1C79">
                        <w:t>większyła</w:t>
                      </w:r>
                      <w:r w:rsidRPr="00EE1C79">
                        <w:t xml:space="preserve"> się w porównaniu z poprzednim kwartałem</w:t>
                      </w:r>
                      <w:r w:rsidR="00980AE0">
                        <w:t xml:space="preserve">, jak </w:t>
                      </w:r>
                      <w:r w:rsidR="00C500D4" w:rsidRPr="00EE1C79">
                        <w:t>i</w:t>
                      </w:r>
                      <w:r w:rsidR="003470DD" w:rsidRPr="00EE1C79">
                        <w:t xml:space="preserve"> w</w:t>
                      </w:r>
                      <w:r w:rsidR="00D64538" w:rsidRPr="00EE1C79">
                        <w:t> </w:t>
                      </w:r>
                      <w:r w:rsidR="003470DD" w:rsidRPr="00EE1C79">
                        <w:t>porównaniu z analogicznym okresem 2021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0ACB" w:rsidRPr="00524007">
        <w:rPr>
          <w:rFonts w:ascii="Fira Sans" w:hAnsi="Fira Sans"/>
          <w:b/>
          <w:szCs w:val="19"/>
        </w:rPr>
        <w:t>Pracujący w wieku 15–89 lat według BAEL</w:t>
      </w:r>
    </w:p>
    <w:p w14:paraId="176F7B5D" w14:textId="32FDD15F" w:rsidR="00BF092B" w:rsidRDefault="008F0ACB" w:rsidP="008F0ACB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8F0ACB">
        <w:rPr>
          <w:rFonts w:eastAsia="Times New Roman" w:cs="Times New Roman"/>
          <w:szCs w:val="19"/>
          <w:lang w:eastAsia="pl-PL"/>
        </w:rPr>
        <w:t xml:space="preserve">W </w:t>
      </w:r>
      <w:r w:rsidR="00924E85">
        <w:rPr>
          <w:rFonts w:eastAsia="Times New Roman" w:cs="Times New Roman"/>
          <w:szCs w:val="19"/>
          <w:lang w:eastAsia="pl-PL"/>
        </w:rPr>
        <w:t>2</w:t>
      </w:r>
      <w:r w:rsidR="000C03EE">
        <w:rPr>
          <w:rFonts w:eastAsia="Times New Roman" w:cs="Times New Roman"/>
          <w:szCs w:val="19"/>
          <w:lang w:eastAsia="pl-PL"/>
        </w:rPr>
        <w:t xml:space="preserve"> kwartale 2022 r. </w:t>
      </w:r>
      <w:r w:rsidRPr="008F0ACB">
        <w:rPr>
          <w:rFonts w:eastAsia="Times New Roman" w:cs="Times New Roman"/>
          <w:szCs w:val="19"/>
          <w:lang w:eastAsia="pl-PL"/>
        </w:rPr>
        <w:t>populacja pracujących w wieku 15</w:t>
      </w:r>
      <w:r w:rsidRPr="00D66BE3">
        <w:rPr>
          <w:rFonts w:eastAsia="Times New Roman" w:cs="Times New Roman"/>
          <w:szCs w:val="19"/>
          <w:lang w:eastAsia="pl-PL"/>
        </w:rPr>
        <w:t xml:space="preserve">–89 lat </w:t>
      </w:r>
      <w:r w:rsidRPr="00993C0A">
        <w:rPr>
          <w:rFonts w:eastAsia="Times New Roman" w:cs="Times New Roman"/>
          <w:szCs w:val="19"/>
          <w:lang w:eastAsia="pl-PL"/>
        </w:rPr>
        <w:t xml:space="preserve">liczyła </w:t>
      </w:r>
      <w:r w:rsidR="00924E85">
        <w:rPr>
          <w:rFonts w:eastAsia="Times New Roman" w:cs="Times New Roman"/>
          <w:szCs w:val="19"/>
          <w:lang w:eastAsia="pl-PL"/>
        </w:rPr>
        <w:t>16770</w:t>
      </w:r>
      <w:r w:rsidRPr="00993C0A">
        <w:rPr>
          <w:rFonts w:eastAsia="Times New Roman" w:cs="Times New Roman"/>
          <w:szCs w:val="19"/>
          <w:lang w:eastAsia="pl-PL"/>
        </w:rPr>
        <w:t xml:space="preserve"> tys.</w:t>
      </w:r>
      <w:r w:rsidRPr="00D66BE3">
        <w:rPr>
          <w:rFonts w:eastAsia="Times New Roman" w:cs="Times New Roman"/>
          <w:szCs w:val="19"/>
          <w:lang w:eastAsia="pl-PL"/>
        </w:rPr>
        <w:t xml:space="preserve"> osób i</w:t>
      </w:r>
      <w:r w:rsidR="00CA3E0F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z</w:t>
      </w:r>
      <w:r w:rsidR="00924E85">
        <w:rPr>
          <w:rFonts w:eastAsia="Times New Roman" w:cs="Times New Roman"/>
          <w:szCs w:val="19"/>
          <w:lang w:eastAsia="pl-PL"/>
        </w:rPr>
        <w:t>większyła</w:t>
      </w:r>
      <w:r w:rsidRPr="00993C0A">
        <w:rPr>
          <w:rFonts w:eastAsia="Times New Roman" w:cs="Times New Roman"/>
          <w:szCs w:val="19"/>
          <w:lang w:eastAsia="pl-PL"/>
        </w:rPr>
        <w:t xml:space="preserve"> się względem poprzedniego kwartału </w:t>
      </w:r>
      <w:r w:rsidR="000C03EE" w:rsidRPr="00993C0A">
        <w:rPr>
          <w:rFonts w:eastAsia="Times New Roman" w:cs="Times New Roman"/>
          <w:szCs w:val="19"/>
          <w:lang w:eastAsia="pl-PL"/>
        </w:rPr>
        <w:t>(</w:t>
      </w:r>
      <w:r w:rsidRPr="00993C0A">
        <w:rPr>
          <w:rFonts w:eastAsia="Times New Roman" w:cs="Times New Roman"/>
          <w:szCs w:val="19"/>
          <w:lang w:eastAsia="pl-PL"/>
        </w:rPr>
        <w:t xml:space="preserve">o </w:t>
      </w:r>
      <w:r w:rsidR="00924E85">
        <w:rPr>
          <w:rFonts w:eastAsia="Times New Roman" w:cs="Times New Roman"/>
          <w:szCs w:val="19"/>
          <w:lang w:eastAsia="pl-PL"/>
        </w:rPr>
        <w:t>56</w:t>
      </w:r>
      <w:r w:rsidRPr="00993C0A">
        <w:rPr>
          <w:rFonts w:eastAsia="Times New Roman" w:cs="Times New Roman"/>
          <w:szCs w:val="19"/>
          <w:lang w:eastAsia="pl-PL"/>
        </w:rPr>
        <w:t xml:space="preserve"> tys., tj</w:t>
      </w:r>
      <w:r w:rsidRPr="00993C0A" w:rsidDel="00CB3101">
        <w:rPr>
          <w:rFonts w:eastAsia="Times New Roman" w:cs="Times New Roman"/>
          <w:szCs w:val="19"/>
          <w:lang w:eastAsia="pl-PL"/>
        </w:rPr>
        <w:t xml:space="preserve">. o </w:t>
      </w:r>
      <w:r w:rsidRPr="00993C0A">
        <w:rPr>
          <w:rFonts w:eastAsia="Times New Roman" w:cs="Times New Roman"/>
          <w:szCs w:val="19"/>
          <w:lang w:eastAsia="pl-PL"/>
        </w:rPr>
        <w:t>0</w:t>
      </w:r>
      <w:r w:rsidR="00924E85">
        <w:rPr>
          <w:rFonts w:eastAsia="Times New Roman" w:cs="Times New Roman"/>
          <w:szCs w:val="19"/>
          <w:lang w:eastAsia="pl-PL"/>
        </w:rPr>
        <w:t>,3</w:t>
      </w:r>
      <w:r w:rsidRPr="00993C0A" w:rsidDel="00CB3101">
        <w:rPr>
          <w:rFonts w:eastAsia="Times New Roman" w:cs="Times New Roman"/>
          <w:szCs w:val="19"/>
          <w:lang w:eastAsia="pl-PL"/>
        </w:rPr>
        <w:t>%</w:t>
      </w:r>
      <w:r w:rsidR="000C03EE" w:rsidRPr="00993C0A">
        <w:rPr>
          <w:rFonts w:eastAsia="Times New Roman" w:cs="Times New Roman"/>
          <w:szCs w:val="19"/>
          <w:lang w:eastAsia="pl-PL"/>
        </w:rPr>
        <w:t xml:space="preserve">), </w:t>
      </w:r>
      <w:r w:rsidR="00924E85">
        <w:rPr>
          <w:rFonts w:eastAsia="Times New Roman" w:cs="Times New Roman"/>
          <w:szCs w:val="19"/>
          <w:lang w:eastAsia="pl-PL"/>
        </w:rPr>
        <w:t xml:space="preserve">jak i w porównaniu </w:t>
      </w:r>
      <w:r w:rsidR="00AC5413">
        <w:rPr>
          <w:rFonts w:eastAsia="Times New Roman" w:cs="Times New Roman"/>
          <w:szCs w:val="19"/>
          <w:lang w:eastAsia="pl-PL"/>
        </w:rPr>
        <w:t>z</w:t>
      </w:r>
      <w:r w:rsidR="00924E85">
        <w:rPr>
          <w:rFonts w:eastAsia="Times New Roman" w:cs="Times New Roman"/>
          <w:szCs w:val="19"/>
          <w:lang w:eastAsia="pl-PL"/>
        </w:rPr>
        <w:t xml:space="preserve"> 2</w:t>
      </w:r>
      <w:r w:rsidR="00D3234E">
        <w:rPr>
          <w:rFonts w:eastAsia="Times New Roman" w:cs="Times New Roman"/>
          <w:szCs w:val="19"/>
          <w:lang w:eastAsia="pl-PL"/>
        </w:rPr>
        <w:t> </w:t>
      </w:r>
      <w:r w:rsidR="00924E85">
        <w:rPr>
          <w:rFonts w:eastAsia="Times New Roman" w:cs="Times New Roman"/>
          <w:szCs w:val="19"/>
          <w:lang w:eastAsia="pl-PL"/>
        </w:rPr>
        <w:t>kwarta</w:t>
      </w:r>
      <w:r w:rsidR="00AC5413">
        <w:rPr>
          <w:rFonts w:eastAsia="Times New Roman" w:cs="Times New Roman"/>
          <w:szCs w:val="19"/>
          <w:lang w:eastAsia="pl-PL"/>
        </w:rPr>
        <w:t>łem</w:t>
      </w:r>
      <w:r w:rsidR="00924E85">
        <w:rPr>
          <w:rFonts w:eastAsia="Times New Roman" w:cs="Times New Roman"/>
          <w:szCs w:val="19"/>
          <w:lang w:eastAsia="pl-PL"/>
        </w:rPr>
        <w:t xml:space="preserve"> 2021 r. </w:t>
      </w:r>
      <w:r w:rsidR="000C03EE" w:rsidRPr="00993C0A">
        <w:rPr>
          <w:rFonts w:eastAsia="Times New Roman" w:cs="Times New Roman"/>
          <w:szCs w:val="19"/>
          <w:lang w:eastAsia="pl-PL"/>
        </w:rPr>
        <w:t xml:space="preserve">(o </w:t>
      </w:r>
      <w:r w:rsidR="00924E85">
        <w:rPr>
          <w:rFonts w:eastAsia="Times New Roman" w:cs="Times New Roman"/>
          <w:szCs w:val="19"/>
          <w:lang w:eastAsia="pl-PL"/>
        </w:rPr>
        <w:t>173</w:t>
      </w:r>
      <w:r w:rsidR="000C03EE" w:rsidRPr="00993C0A">
        <w:rPr>
          <w:rFonts w:eastAsia="Times New Roman" w:cs="Times New Roman"/>
          <w:szCs w:val="19"/>
          <w:lang w:eastAsia="pl-PL"/>
        </w:rPr>
        <w:t xml:space="preserve"> tys., tj. 1,</w:t>
      </w:r>
      <w:r w:rsidR="00924E85">
        <w:rPr>
          <w:rFonts w:eastAsia="Times New Roman" w:cs="Times New Roman"/>
          <w:szCs w:val="19"/>
          <w:lang w:eastAsia="pl-PL"/>
        </w:rPr>
        <w:t>0</w:t>
      </w:r>
      <w:r w:rsidR="000C03EE" w:rsidRPr="00993C0A">
        <w:rPr>
          <w:rFonts w:eastAsia="Times New Roman" w:cs="Times New Roman"/>
          <w:szCs w:val="19"/>
          <w:lang w:eastAsia="pl-PL"/>
        </w:rPr>
        <w:t>%)</w:t>
      </w:r>
      <w:r w:rsidRPr="00993C0A" w:rsidDel="00CB3101">
        <w:rPr>
          <w:rFonts w:eastAsia="Times New Roman" w:cs="Times New Roman"/>
          <w:szCs w:val="19"/>
          <w:lang w:eastAsia="pl-PL"/>
        </w:rPr>
        <w:t xml:space="preserve">. </w:t>
      </w:r>
    </w:p>
    <w:p w14:paraId="07D7626D" w14:textId="256CD45F" w:rsidR="007825D0" w:rsidRPr="007825D0" w:rsidRDefault="00662621" w:rsidP="007825D0">
      <w:pPr>
        <w:ind w:left="851" w:hanging="851"/>
        <w:rPr>
          <w:rFonts w:eastAsia="Times New Roman" w:cs="Times New Roman"/>
          <w:b/>
          <w:sz w:val="18"/>
          <w:szCs w:val="18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17984" behindDoc="0" locked="0" layoutInCell="1" allowOverlap="1" wp14:anchorId="7F69C967" wp14:editId="5B1BF616">
            <wp:simplePos x="0" y="0"/>
            <wp:positionH relativeFrom="margin">
              <wp:align>left</wp:align>
            </wp:positionH>
            <wp:positionV relativeFrom="paragraph">
              <wp:posOffset>193675</wp:posOffset>
            </wp:positionV>
            <wp:extent cx="5179695" cy="2725420"/>
            <wp:effectExtent l="0" t="0" r="1905" b="0"/>
            <wp:wrapSquare wrapText="bothSides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695" cy="272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92B" w:rsidRPr="005D64F2">
        <w:rPr>
          <w:rFonts w:eastAsia="Times New Roman" w:cs="Times New Roman"/>
          <w:b/>
          <w:sz w:val="18"/>
          <w:szCs w:val="18"/>
          <w:lang w:eastAsia="pl-PL"/>
        </w:rPr>
        <w:t>Wykres 2.</w:t>
      </w:r>
      <w:r w:rsidR="007F0BB6">
        <w:rPr>
          <w:rFonts w:eastAsia="Times New Roman" w:cs="Times New Roman"/>
          <w:b/>
          <w:sz w:val="18"/>
          <w:szCs w:val="18"/>
          <w:lang w:eastAsia="pl-PL"/>
        </w:rPr>
        <w:tab/>
      </w:r>
      <w:r w:rsidR="00BF092B" w:rsidRPr="005D64F2">
        <w:rPr>
          <w:rFonts w:eastAsia="Times New Roman" w:cs="Times New Roman"/>
          <w:b/>
          <w:sz w:val="18"/>
          <w:szCs w:val="18"/>
          <w:lang w:eastAsia="pl-PL"/>
        </w:rPr>
        <w:t xml:space="preserve">Pracujący </w:t>
      </w:r>
      <w:r w:rsidR="000F23BB">
        <w:rPr>
          <w:rFonts w:eastAsia="Times New Roman" w:cs="Times New Roman"/>
          <w:b/>
          <w:sz w:val="18"/>
          <w:szCs w:val="18"/>
          <w:lang w:eastAsia="pl-PL"/>
        </w:rPr>
        <w:t xml:space="preserve">i wskaźnik zatrudnienia </w:t>
      </w:r>
      <w:r w:rsidR="00915B9C">
        <w:rPr>
          <w:rFonts w:eastAsia="Times New Roman" w:cs="Times New Roman"/>
          <w:b/>
          <w:sz w:val="18"/>
          <w:szCs w:val="18"/>
          <w:lang w:eastAsia="pl-PL"/>
        </w:rPr>
        <w:t xml:space="preserve">osób </w:t>
      </w:r>
      <w:r w:rsidR="00BF092B" w:rsidRPr="005D64F2">
        <w:rPr>
          <w:rFonts w:eastAsia="Times New Roman" w:cs="Times New Roman"/>
          <w:b/>
          <w:sz w:val="18"/>
          <w:szCs w:val="18"/>
          <w:lang w:eastAsia="pl-PL"/>
        </w:rPr>
        <w:t xml:space="preserve">w wieku 15-89 lat i </w:t>
      </w:r>
      <w:r w:rsidR="000F23BB">
        <w:rPr>
          <w:rFonts w:eastAsia="Times New Roman" w:cs="Times New Roman"/>
          <w:b/>
          <w:sz w:val="18"/>
          <w:szCs w:val="18"/>
          <w:lang w:eastAsia="pl-PL"/>
        </w:rPr>
        <w:t>w wieku produkcyjnym</w:t>
      </w:r>
      <w:r w:rsidR="00DB32AA">
        <w:rPr>
          <w:rStyle w:val="Odwoanieprzypisudolnego"/>
          <w:rFonts w:eastAsia="Times New Roman" w:cs="Times New Roman"/>
          <w:b/>
          <w:sz w:val="18"/>
          <w:szCs w:val="18"/>
          <w:lang w:eastAsia="pl-PL"/>
        </w:rPr>
        <w:footnoteReference w:id="4"/>
      </w:r>
    </w:p>
    <w:p w14:paraId="18E92154" w14:textId="103A3E18" w:rsidR="00662621" w:rsidRDefault="00662621" w:rsidP="007825D0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</w:p>
    <w:p w14:paraId="33DD9832" w14:textId="024129B1" w:rsidR="00911853" w:rsidRDefault="008F0ACB" w:rsidP="007825D0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>Uwzględniając podział według płci, liczba pracujących z</w:t>
      </w:r>
      <w:r w:rsidR="00904685">
        <w:rPr>
          <w:rFonts w:eastAsia="Times New Roman" w:cs="Times New Roman"/>
          <w:szCs w:val="19"/>
          <w:lang w:eastAsia="pl-PL"/>
        </w:rPr>
        <w:t>większyła</w:t>
      </w:r>
      <w:r w:rsidRPr="00993C0A">
        <w:rPr>
          <w:rFonts w:eastAsia="Times New Roman" w:cs="Times New Roman"/>
          <w:szCs w:val="19"/>
          <w:lang w:eastAsia="pl-PL"/>
        </w:rPr>
        <w:t xml:space="preserve"> się w skali kwartału wśród </w:t>
      </w:r>
      <w:r w:rsidR="003150A0">
        <w:rPr>
          <w:rFonts w:eastAsia="Times New Roman" w:cs="Times New Roman"/>
          <w:szCs w:val="19"/>
          <w:lang w:eastAsia="pl-PL"/>
        </w:rPr>
        <w:t xml:space="preserve">kobiet </w:t>
      </w:r>
      <w:r w:rsidR="003150A0" w:rsidRPr="00993C0A">
        <w:rPr>
          <w:rFonts w:eastAsia="Times New Roman" w:cs="Times New Roman"/>
          <w:szCs w:val="19"/>
          <w:lang w:eastAsia="pl-PL"/>
        </w:rPr>
        <w:t>(</w:t>
      </w:r>
      <w:r w:rsidR="003150A0">
        <w:rPr>
          <w:rFonts w:eastAsia="Times New Roman" w:cs="Times New Roman"/>
          <w:szCs w:val="19"/>
          <w:lang w:eastAsia="pl-PL"/>
        </w:rPr>
        <w:t>wzrost</w:t>
      </w:r>
      <w:r w:rsidR="003150A0" w:rsidRPr="00993C0A">
        <w:rPr>
          <w:rFonts w:eastAsia="Times New Roman" w:cs="Times New Roman"/>
          <w:szCs w:val="19"/>
          <w:lang w:eastAsia="pl-PL"/>
        </w:rPr>
        <w:t xml:space="preserve"> o </w:t>
      </w:r>
      <w:r w:rsidR="00D8561F">
        <w:rPr>
          <w:rFonts w:eastAsia="Times New Roman" w:cs="Times New Roman"/>
          <w:szCs w:val="19"/>
          <w:lang w:eastAsia="pl-PL"/>
        </w:rPr>
        <w:t>50</w:t>
      </w:r>
      <w:r w:rsidR="003150A0" w:rsidRPr="00993C0A">
        <w:rPr>
          <w:rFonts w:eastAsia="Times New Roman" w:cs="Times New Roman"/>
          <w:szCs w:val="19"/>
          <w:lang w:eastAsia="pl-PL"/>
        </w:rPr>
        <w:t xml:space="preserve"> tys., tj. o</w:t>
      </w:r>
      <w:r w:rsidR="003150A0">
        <w:rPr>
          <w:rFonts w:eastAsia="Times New Roman" w:cs="Times New Roman"/>
          <w:szCs w:val="19"/>
          <w:lang w:eastAsia="pl-PL"/>
        </w:rPr>
        <w:t> </w:t>
      </w:r>
      <w:r w:rsidR="003150A0" w:rsidRPr="00993C0A">
        <w:rPr>
          <w:rFonts w:eastAsia="Times New Roman" w:cs="Times New Roman"/>
          <w:szCs w:val="19"/>
          <w:lang w:eastAsia="pl-PL"/>
        </w:rPr>
        <w:t>0,</w:t>
      </w:r>
      <w:r w:rsidR="003150A0">
        <w:rPr>
          <w:rFonts w:eastAsia="Times New Roman" w:cs="Times New Roman"/>
          <w:szCs w:val="19"/>
          <w:lang w:eastAsia="pl-PL"/>
        </w:rPr>
        <w:t>7</w:t>
      </w:r>
      <w:r w:rsidR="003150A0" w:rsidRPr="00993C0A" w:rsidDel="00CB3101">
        <w:rPr>
          <w:rFonts w:eastAsia="Times New Roman" w:cs="Times New Roman"/>
          <w:szCs w:val="19"/>
          <w:lang w:eastAsia="pl-PL"/>
        </w:rPr>
        <w:t>%)</w:t>
      </w:r>
      <w:r w:rsidR="003150A0">
        <w:rPr>
          <w:rFonts w:eastAsia="Times New Roman" w:cs="Times New Roman"/>
          <w:szCs w:val="19"/>
          <w:lang w:eastAsia="pl-PL"/>
        </w:rPr>
        <w:t xml:space="preserve">, </w:t>
      </w:r>
      <w:r w:rsidR="008C36E8">
        <w:rPr>
          <w:rFonts w:eastAsia="Times New Roman" w:cs="Times New Roman"/>
          <w:szCs w:val="19"/>
          <w:lang w:eastAsia="pl-PL"/>
        </w:rPr>
        <w:t xml:space="preserve">a </w:t>
      </w:r>
      <w:r w:rsidR="003150A0">
        <w:rPr>
          <w:rFonts w:eastAsia="Times New Roman" w:cs="Times New Roman"/>
          <w:szCs w:val="19"/>
          <w:lang w:eastAsia="pl-PL"/>
        </w:rPr>
        <w:t xml:space="preserve">wśród </w:t>
      </w:r>
      <w:r w:rsidR="00002397" w:rsidRPr="00993C0A" w:rsidDel="0071038F">
        <w:rPr>
          <w:rFonts w:eastAsia="Times New Roman" w:cs="Times New Roman"/>
          <w:szCs w:val="19"/>
          <w:lang w:eastAsia="pl-PL"/>
        </w:rPr>
        <w:t xml:space="preserve">mężczyzn </w:t>
      </w:r>
      <w:r w:rsidR="00980AE0">
        <w:rPr>
          <w:rFonts w:eastAsia="Times New Roman" w:cs="Times New Roman"/>
          <w:szCs w:val="19"/>
          <w:lang w:eastAsia="pl-PL"/>
        </w:rPr>
        <w:t>utrzymała się na podobnym poziomie</w:t>
      </w:r>
      <w:r w:rsidR="003150A0">
        <w:rPr>
          <w:rFonts w:eastAsia="Times New Roman" w:cs="Times New Roman"/>
          <w:szCs w:val="19"/>
          <w:lang w:eastAsia="pl-PL"/>
        </w:rPr>
        <w:t>.</w:t>
      </w:r>
      <w:r w:rsidR="00911853" w:rsidRPr="00911853">
        <w:rPr>
          <w:rFonts w:eastAsia="Times New Roman" w:cs="Times New Roman"/>
          <w:szCs w:val="19"/>
          <w:lang w:eastAsia="pl-PL"/>
        </w:rPr>
        <w:t xml:space="preserve"> </w:t>
      </w:r>
      <w:r w:rsidR="00911853" w:rsidRPr="00993C0A">
        <w:rPr>
          <w:rFonts w:eastAsia="Times New Roman" w:cs="Times New Roman"/>
          <w:szCs w:val="19"/>
          <w:lang w:eastAsia="pl-PL"/>
        </w:rPr>
        <w:t>Biorąc pod uwagę miejsce zamieszkania</w:t>
      </w:r>
      <w:r w:rsidR="00911853">
        <w:rPr>
          <w:rFonts w:eastAsia="Times New Roman" w:cs="Times New Roman"/>
          <w:szCs w:val="19"/>
          <w:lang w:eastAsia="pl-PL"/>
        </w:rPr>
        <w:t>, wzrost liczby pracujących wystąpił wśród mieszkańców wsi – o 0,8% (o 54 tys. osób), natomiast w mi</w:t>
      </w:r>
      <w:r w:rsidR="00D45EAC">
        <w:rPr>
          <w:rFonts w:eastAsia="Times New Roman" w:cs="Times New Roman"/>
          <w:szCs w:val="19"/>
          <w:lang w:eastAsia="pl-PL"/>
        </w:rPr>
        <w:t>astach</w:t>
      </w:r>
      <w:r w:rsidR="00911853">
        <w:rPr>
          <w:rFonts w:eastAsia="Times New Roman" w:cs="Times New Roman"/>
          <w:szCs w:val="19"/>
          <w:lang w:eastAsia="pl-PL"/>
        </w:rPr>
        <w:t xml:space="preserve"> liczebność pracujących </w:t>
      </w:r>
      <w:r w:rsidR="00356B66">
        <w:rPr>
          <w:rFonts w:eastAsia="Times New Roman" w:cs="Times New Roman"/>
          <w:szCs w:val="19"/>
          <w:lang w:eastAsia="pl-PL"/>
        </w:rPr>
        <w:t>nie zmieniła się w znaczący sposób</w:t>
      </w:r>
      <w:r w:rsidR="00911853" w:rsidRPr="00B00F4E">
        <w:rPr>
          <w:rFonts w:eastAsia="Times New Roman" w:cs="Times New Roman"/>
          <w:szCs w:val="19"/>
          <w:lang w:eastAsia="pl-PL"/>
        </w:rPr>
        <w:t>.</w:t>
      </w:r>
      <w:r w:rsidR="00911853">
        <w:rPr>
          <w:rFonts w:eastAsia="Times New Roman" w:cs="Times New Roman"/>
          <w:szCs w:val="19"/>
          <w:lang w:eastAsia="pl-PL"/>
        </w:rPr>
        <w:t xml:space="preserve"> </w:t>
      </w:r>
    </w:p>
    <w:p w14:paraId="50CE065F" w14:textId="5B3C4F36" w:rsidR="00787638" w:rsidRDefault="00787638" w:rsidP="003E208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B4D77">
        <w:rPr>
          <w:rFonts w:eastAsia="Times New Roman" w:cs="Times New Roman"/>
          <w:szCs w:val="19"/>
          <w:lang w:eastAsia="pl-PL"/>
        </w:rPr>
        <w:t>W ciągu roku wzrosła liczba pracujących kobiet (</w:t>
      </w:r>
      <w:r w:rsidR="00434A6A" w:rsidRPr="005B4D77">
        <w:rPr>
          <w:rFonts w:eastAsia="Times New Roman" w:cs="Times New Roman"/>
          <w:szCs w:val="19"/>
          <w:lang w:eastAsia="pl-PL"/>
        </w:rPr>
        <w:t>o 113 tys., tj. o 1,5%), jak i mężczyzn (o 60 tys., tj. o 0,7%). Wzrost liczby pracujących odnotowano wśród mieszkańców wsi (o 169 tys., tj. o</w:t>
      </w:r>
      <w:r w:rsidR="00573B10" w:rsidRPr="005B4D77">
        <w:rPr>
          <w:rFonts w:eastAsia="Times New Roman" w:cs="Times New Roman"/>
          <w:szCs w:val="19"/>
          <w:lang w:eastAsia="pl-PL"/>
        </w:rPr>
        <w:t> </w:t>
      </w:r>
      <w:r w:rsidR="00434A6A" w:rsidRPr="005B4D77">
        <w:rPr>
          <w:rFonts w:eastAsia="Times New Roman" w:cs="Times New Roman"/>
          <w:szCs w:val="19"/>
          <w:lang w:eastAsia="pl-PL"/>
        </w:rPr>
        <w:t>2,6%), natomiast wśród mieszkańców miast populacja pracujących pozostała na podobnym poziomie.</w:t>
      </w:r>
      <w:r w:rsidR="00434A6A">
        <w:rPr>
          <w:rFonts w:eastAsia="Times New Roman" w:cs="Times New Roman"/>
          <w:szCs w:val="19"/>
          <w:lang w:eastAsia="pl-PL"/>
        </w:rPr>
        <w:t xml:space="preserve"> </w:t>
      </w:r>
    </w:p>
    <w:p w14:paraId="72FE4C8C" w14:textId="111A1496" w:rsidR="00BF092B" w:rsidRPr="00993C0A" w:rsidRDefault="00BF092B" w:rsidP="008F0ACB">
      <w:pPr>
        <w:spacing w:line="288" w:lineRule="auto"/>
        <w:rPr>
          <w:szCs w:val="19"/>
        </w:rPr>
      </w:pPr>
      <w:r w:rsidRPr="00993C0A">
        <w:rPr>
          <w:rFonts w:eastAsia="Times New Roman" w:cs="Times New Roman"/>
          <w:szCs w:val="19"/>
          <w:lang w:eastAsia="pl-PL"/>
        </w:rPr>
        <w:lastRenderedPageBreak/>
        <w:t xml:space="preserve">Nadal wśród pracujących przeważali mężczyźni, którzy stanowili </w:t>
      </w:r>
      <w:r w:rsidR="00B00F4E">
        <w:rPr>
          <w:rFonts w:eastAsia="Times New Roman" w:cs="Times New Roman"/>
          <w:szCs w:val="19"/>
          <w:lang w:eastAsia="pl-PL"/>
        </w:rPr>
        <w:t>54,5</w:t>
      </w:r>
      <w:r w:rsidRPr="00993C0A">
        <w:rPr>
          <w:rFonts w:eastAsia="Times New Roman" w:cs="Times New Roman"/>
          <w:szCs w:val="19"/>
          <w:lang w:eastAsia="pl-PL"/>
        </w:rPr>
        <w:t>% (tj. 91</w:t>
      </w:r>
      <w:r w:rsidR="00B00F4E">
        <w:rPr>
          <w:rFonts w:eastAsia="Times New Roman" w:cs="Times New Roman"/>
          <w:szCs w:val="19"/>
          <w:lang w:eastAsia="pl-PL"/>
        </w:rPr>
        <w:t>33</w:t>
      </w:r>
      <w:r w:rsidRPr="00993C0A">
        <w:rPr>
          <w:rFonts w:eastAsia="Times New Roman" w:cs="Times New Roman"/>
          <w:szCs w:val="19"/>
          <w:lang w:eastAsia="pl-PL"/>
        </w:rPr>
        <w:t xml:space="preserve"> tys.) tej zbiorowości. Biorąc pod uwagę miejsce zamieszkania odsetek pracujących mieszkańców miast wyniósł </w:t>
      </w:r>
      <w:r w:rsidR="00B00F4E">
        <w:rPr>
          <w:rFonts w:eastAsia="Times New Roman" w:cs="Times New Roman"/>
          <w:szCs w:val="19"/>
          <w:lang w:eastAsia="pl-PL"/>
        </w:rPr>
        <w:t>59,5</w:t>
      </w:r>
      <w:r w:rsidRPr="00993C0A" w:rsidDel="00CB3101">
        <w:rPr>
          <w:rFonts w:eastAsia="Times New Roman" w:cs="Times New Roman"/>
          <w:szCs w:val="19"/>
          <w:lang w:eastAsia="pl-PL"/>
        </w:rPr>
        <w:t xml:space="preserve">% </w:t>
      </w:r>
      <w:r w:rsidRPr="00993C0A">
        <w:rPr>
          <w:rFonts w:eastAsia="Times New Roman" w:cs="Times New Roman"/>
          <w:szCs w:val="19"/>
          <w:lang w:eastAsia="pl-PL"/>
        </w:rPr>
        <w:t>(tj.</w:t>
      </w:r>
      <w:r w:rsidRPr="00993C0A"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998</w:t>
      </w:r>
      <w:r w:rsidR="00B00F4E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 xml:space="preserve"> tys. osób).</w:t>
      </w:r>
    </w:p>
    <w:p w14:paraId="1F9B9BD3" w14:textId="3F9815B8" w:rsidR="00541783" w:rsidRDefault="000941C8" w:rsidP="003E2080">
      <w:pPr>
        <w:spacing w:after="0" w:line="288" w:lineRule="auto"/>
        <w:rPr>
          <w:szCs w:val="19"/>
          <w:highlight w:val="yellow"/>
        </w:rPr>
      </w:pPr>
      <w:r w:rsidRPr="00425A8A">
        <w:rPr>
          <w:szCs w:val="19"/>
        </w:rPr>
        <w:t xml:space="preserve">W 2 kwartale 2022 r. wskaźnik zatrudnienia </w:t>
      </w:r>
      <w:r w:rsidR="00356B66">
        <w:rPr>
          <w:szCs w:val="19"/>
        </w:rPr>
        <w:t xml:space="preserve">ogółem </w:t>
      </w:r>
      <w:r w:rsidRPr="00425A8A">
        <w:rPr>
          <w:szCs w:val="19"/>
        </w:rPr>
        <w:t>wyniósł 56,4% i był wyższy wśród mężczyzn (64,1%) niż wśród kobiet (49,3%). Podobny poziom wskaźnika odnotowano w mi</w:t>
      </w:r>
      <w:r w:rsidR="00FD707A">
        <w:rPr>
          <w:szCs w:val="19"/>
        </w:rPr>
        <w:t xml:space="preserve">astach </w:t>
      </w:r>
      <w:r w:rsidRPr="00425A8A">
        <w:rPr>
          <w:szCs w:val="19"/>
        </w:rPr>
        <w:t>(56,4%),</w:t>
      </w:r>
      <w:r w:rsidR="00541783" w:rsidRPr="00541783">
        <w:t xml:space="preserve"> </w:t>
      </w:r>
      <w:r w:rsidR="00541783" w:rsidRPr="00541783">
        <w:rPr>
          <w:szCs w:val="19"/>
        </w:rPr>
        <w:t>jak i na wsi (56,5%). W porównaniu z poprzednim kwartałem, jak i w skali roku wzrost wskaźnika wystąpił niezależnie od płci, jak i miejsca zamieszkania.</w:t>
      </w:r>
    </w:p>
    <w:p w14:paraId="29EA452D" w14:textId="48860B36" w:rsidR="00C44AC5" w:rsidRDefault="001574CF" w:rsidP="009E76B3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EA6223">
        <w:rPr>
          <w:noProof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1A0B8BB8" wp14:editId="305EAC2A">
                <wp:simplePos x="0" y="0"/>
                <wp:positionH relativeFrom="column">
                  <wp:posOffset>5332950</wp:posOffset>
                </wp:positionH>
                <wp:positionV relativeFrom="paragraph">
                  <wp:posOffset>239615</wp:posOffset>
                </wp:positionV>
                <wp:extent cx="1579880" cy="1362075"/>
                <wp:effectExtent l="0" t="0" r="0" b="0"/>
                <wp:wrapTight wrapText="bothSides">
                  <wp:wrapPolygon edited="0">
                    <wp:start x="781" y="0"/>
                    <wp:lineTo x="781" y="21147"/>
                    <wp:lineTo x="20576" y="21147"/>
                    <wp:lineTo x="20576" y="0"/>
                    <wp:lineTo x="781" y="0"/>
                  </wp:wrapPolygon>
                </wp:wrapTight>
                <wp:docPr id="16" name="Pole tekstowe 2" descr="Liczba pracujących w pełnym wymiarze czasu zmniejszyła się w porównaniu z poprzednim kwartałem, natomiast zwiększyła się w stosunku do analogicznego okresu poprzedniego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A492F" w14:textId="3F5D7BFF" w:rsidR="005A6925" w:rsidRPr="00EE1C79" w:rsidRDefault="005A6925" w:rsidP="00F849EE">
                            <w:pPr>
                              <w:pStyle w:val="tekstzboku"/>
                            </w:pPr>
                            <w:r w:rsidRPr="00EE1C79">
                              <w:t xml:space="preserve">Liczba pracujących w pełnym wymiarze czasu </w:t>
                            </w:r>
                            <w:r w:rsidR="00697DD7" w:rsidRPr="00EE1C79">
                              <w:t xml:space="preserve">zmniejszyła się </w:t>
                            </w:r>
                            <w:r w:rsidRPr="00EE1C79">
                              <w:t>w porównaniu z poprzednim kwartałem</w:t>
                            </w:r>
                            <w:r w:rsidR="003470DD" w:rsidRPr="00EE1C79">
                              <w:t xml:space="preserve">, natomiast </w:t>
                            </w:r>
                            <w:r w:rsidR="00143641" w:rsidRPr="00EE1C79">
                              <w:t>zwiększyła się w stosunku do analogicznego okresu poprzedniego roku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A0B8BB8" id="_x0000_s1031" type="#_x0000_t202" alt="Liczba pracujących w pełnym wymiarze czasu zmniejszyła się w porównaniu z poprzednim kwartałem, natomiast zwiększyła się w stosunku do analogicznego okresu poprzedniego roku" style="position:absolute;margin-left:419.9pt;margin-top:18.85pt;width:124.4pt;height:107.2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" filled="f" stroked="f">
                <v:textbox inset=",0">
                  <w:txbxContent>
                    <w:p w14:paraId="0EBA492F" w14:textId="3F5D7BFF" w:rsidR="005A6925" w:rsidRPr="00EE1C79" w:rsidRDefault="005A6925" w:rsidP="00F849EE">
                      <w:pPr>
                        <w:pStyle w:val="tekstzboku"/>
                      </w:pPr>
                      <w:r w:rsidRPr="00EE1C79">
                        <w:t xml:space="preserve">Liczba pracujących w pełnym wymiarze czasu </w:t>
                      </w:r>
                      <w:r w:rsidR="00697DD7" w:rsidRPr="00EE1C79">
                        <w:t xml:space="preserve">zmniejszyła się </w:t>
                      </w:r>
                      <w:r w:rsidRPr="00EE1C79">
                        <w:t>w porównaniu z poprzednim kwartałem</w:t>
                      </w:r>
                      <w:r w:rsidR="003470DD" w:rsidRPr="00EE1C79">
                        <w:t xml:space="preserve">, natomiast </w:t>
                      </w:r>
                      <w:r w:rsidR="00143641" w:rsidRPr="00EE1C79">
                        <w:t>zwiększyła się w stosunku do analogicznego okresu poprzedniego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711C">
        <w:rPr>
          <w:rFonts w:eastAsia="Times New Roman" w:cs="Times New Roman"/>
          <w:szCs w:val="19"/>
          <w:lang w:eastAsia="pl-PL"/>
        </w:rPr>
        <w:t>Wyniki BAEL wskazują, że</w:t>
      </w:r>
      <w:r w:rsidR="00335F47">
        <w:rPr>
          <w:rFonts w:eastAsia="Times New Roman" w:cs="Times New Roman"/>
          <w:szCs w:val="19"/>
          <w:lang w:eastAsia="pl-PL"/>
        </w:rPr>
        <w:t xml:space="preserve"> w</w:t>
      </w:r>
      <w:r w:rsidR="008F0ACB" w:rsidRPr="005B5586">
        <w:rPr>
          <w:rFonts w:eastAsia="Times New Roman" w:cs="Times New Roman"/>
          <w:szCs w:val="19"/>
          <w:lang w:eastAsia="pl-PL"/>
        </w:rPr>
        <w:t xml:space="preserve"> </w:t>
      </w:r>
      <w:r w:rsidR="00C13295" w:rsidRPr="005B5586">
        <w:rPr>
          <w:rFonts w:eastAsia="Times New Roman" w:cs="Times New Roman"/>
          <w:szCs w:val="19"/>
          <w:lang w:eastAsia="pl-PL"/>
        </w:rPr>
        <w:t>2</w:t>
      </w:r>
      <w:r w:rsidR="008F0ACB" w:rsidRPr="005B5586">
        <w:rPr>
          <w:rFonts w:eastAsia="Times New Roman" w:cs="Times New Roman"/>
          <w:szCs w:val="19"/>
          <w:lang w:eastAsia="pl-PL"/>
        </w:rPr>
        <w:t xml:space="preserve"> kwartale 202</w:t>
      </w:r>
      <w:r w:rsidR="00CD3EE5" w:rsidRPr="005B5586">
        <w:rPr>
          <w:rFonts w:eastAsia="Times New Roman" w:cs="Times New Roman"/>
          <w:szCs w:val="19"/>
          <w:lang w:eastAsia="pl-PL"/>
        </w:rPr>
        <w:t>2</w:t>
      </w:r>
      <w:r w:rsidR="008F0ACB" w:rsidRPr="005B5586">
        <w:rPr>
          <w:rFonts w:eastAsia="Times New Roman" w:cs="Times New Roman"/>
          <w:szCs w:val="19"/>
          <w:lang w:eastAsia="pl-PL"/>
        </w:rPr>
        <w:t xml:space="preserve"> r.</w:t>
      </w:r>
      <w:r w:rsidR="00C44AC5">
        <w:rPr>
          <w:rFonts w:eastAsia="Times New Roman" w:cs="Times New Roman"/>
          <w:szCs w:val="19"/>
          <w:lang w:eastAsia="pl-PL"/>
        </w:rPr>
        <w:t>:</w:t>
      </w:r>
    </w:p>
    <w:p w14:paraId="1C2A43B5" w14:textId="3F6BF420" w:rsidR="00492C15" w:rsidRPr="00787638" w:rsidRDefault="00CD3EE5" w:rsidP="009E76B3">
      <w:pPr>
        <w:pStyle w:val="Akapitzlist"/>
        <w:numPr>
          <w:ilvl w:val="0"/>
          <w:numId w:val="9"/>
        </w:numPr>
        <w:spacing w:line="288" w:lineRule="auto"/>
        <w:ind w:left="771" w:hanging="357"/>
        <w:rPr>
          <w:szCs w:val="19"/>
        </w:rPr>
      </w:pPr>
      <w:r w:rsidRPr="00787638">
        <w:rPr>
          <w:rFonts w:eastAsia="Times New Roman" w:cs="Times New Roman"/>
          <w:szCs w:val="19"/>
          <w:lang w:eastAsia="pl-PL"/>
        </w:rPr>
        <w:t>15</w:t>
      </w:r>
      <w:r w:rsidR="005B5586" w:rsidRPr="00787638">
        <w:rPr>
          <w:rFonts w:eastAsia="Times New Roman" w:cs="Times New Roman"/>
          <w:szCs w:val="19"/>
          <w:lang w:eastAsia="pl-PL"/>
        </w:rPr>
        <w:t>633</w:t>
      </w:r>
      <w:r w:rsidR="008F0ACB" w:rsidRPr="00787638">
        <w:rPr>
          <w:rFonts w:eastAsia="Times New Roman" w:cs="Times New Roman"/>
          <w:szCs w:val="19"/>
          <w:lang w:eastAsia="pl-PL"/>
        </w:rPr>
        <w:t xml:space="preserve"> tys. osób wykonywało pracę w pełnym wymiarze czasu, natomiast </w:t>
      </w:r>
      <w:r w:rsidRPr="00787638">
        <w:rPr>
          <w:rFonts w:eastAsia="Times New Roman" w:cs="Times New Roman"/>
          <w:szCs w:val="19"/>
          <w:lang w:eastAsia="pl-PL"/>
        </w:rPr>
        <w:t>1</w:t>
      </w:r>
      <w:r w:rsidR="005B5586" w:rsidRPr="00787638">
        <w:rPr>
          <w:rFonts w:eastAsia="Times New Roman" w:cs="Times New Roman"/>
          <w:szCs w:val="19"/>
          <w:lang w:eastAsia="pl-PL"/>
        </w:rPr>
        <w:t>136</w:t>
      </w:r>
      <w:r w:rsidR="008F0ACB" w:rsidRPr="00787638">
        <w:rPr>
          <w:rFonts w:eastAsia="Times New Roman" w:cs="Times New Roman"/>
          <w:szCs w:val="19"/>
          <w:lang w:eastAsia="pl-PL"/>
        </w:rPr>
        <w:t xml:space="preserve"> tys. pracowało w niepełnym wymiarze</w:t>
      </w:r>
      <w:r w:rsidR="00C44AC5" w:rsidRPr="00787638">
        <w:rPr>
          <w:rFonts w:eastAsia="Times New Roman" w:cs="Times New Roman"/>
          <w:szCs w:val="19"/>
          <w:lang w:eastAsia="pl-PL"/>
        </w:rPr>
        <w:t>,</w:t>
      </w:r>
      <w:r w:rsidR="008F0ACB" w:rsidRPr="00787638">
        <w:rPr>
          <w:rFonts w:eastAsia="Times New Roman" w:cs="Times New Roman"/>
          <w:szCs w:val="19"/>
          <w:lang w:eastAsia="pl-PL"/>
        </w:rPr>
        <w:t xml:space="preserve"> </w:t>
      </w:r>
    </w:p>
    <w:p w14:paraId="1C742B48" w14:textId="2B8144DC" w:rsidR="008F0ACB" w:rsidRPr="00787638" w:rsidRDefault="00C44AC5" w:rsidP="00787638">
      <w:pPr>
        <w:pStyle w:val="Akapitzlist"/>
        <w:numPr>
          <w:ilvl w:val="0"/>
          <w:numId w:val="9"/>
        </w:numPr>
        <w:spacing w:line="288" w:lineRule="auto"/>
        <w:rPr>
          <w:rFonts w:eastAsia="Times New Roman" w:cs="Times New Roman"/>
          <w:szCs w:val="19"/>
          <w:lang w:eastAsia="pl-PL"/>
        </w:rPr>
      </w:pPr>
      <w:r w:rsidRPr="00787638">
        <w:rPr>
          <w:rFonts w:eastAsia="Times New Roman" w:cs="Times New Roman"/>
          <w:szCs w:val="19"/>
          <w:lang w:eastAsia="pl-PL"/>
        </w:rPr>
        <w:t>ś</w:t>
      </w:r>
      <w:r w:rsidR="008F0ACB" w:rsidRPr="00787638">
        <w:rPr>
          <w:rFonts w:eastAsia="Times New Roman" w:cs="Times New Roman"/>
          <w:szCs w:val="19"/>
          <w:lang w:eastAsia="pl-PL"/>
        </w:rPr>
        <w:t>rednia liczba godzin przepracowanych w</w:t>
      </w:r>
      <w:r w:rsidR="00F22DA5" w:rsidRPr="00787638">
        <w:rPr>
          <w:rFonts w:eastAsia="Times New Roman" w:cs="Times New Roman"/>
          <w:szCs w:val="19"/>
          <w:lang w:eastAsia="pl-PL"/>
        </w:rPr>
        <w:t xml:space="preserve"> </w:t>
      </w:r>
      <w:r w:rsidR="008F0ACB" w:rsidRPr="00787638">
        <w:rPr>
          <w:rFonts w:eastAsia="Times New Roman" w:cs="Times New Roman"/>
          <w:szCs w:val="19"/>
          <w:lang w:eastAsia="pl-PL"/>
        </w:rPr>
        <w:t>badanym tygodniu w</w:t>
      </w:r>
      <w:r w:rsidR="00F22DA5" w:rsidRPr="00787638">
        <w:rPr>
          <w:rFonts w:eastAsia="Times New Roman" w:cs="Times New Roman"/>
          <w:szCs w:val="19"/>
          <w:lang w:eastAsia="pl-PL"/>
        </w:rPr>
        <w:t xml:space="preserve"> </w:t>
      </w:r>
      <w:r w:rsidR="008F0ACB" w:rsidRPr="00787638">
        <w:rPr>
          <w:rFonts w:eastAsia="Times New Roman" w:cs="Times New Roman"/>
          <w:szCs w:val="19"/>
          <w:lang w:eastAsia="pl-PL"/>
        </w:rPr>
        <w:t xml:space="preserve">głównym miejscu pracy wynosiła </w:t>
      </w:r>
      <w:r w:rsidR="00222549" w:rsidRPr="00787638">
        <w:rPr>
          <w:rFonts w:eastAsia="Times New Roman" w:cs="Times New Roman"/>
          <w:szCs w:val="19"/>
          <w:lang w:eastAsia="pl-PL"/>
        </w:rPr>
        <w:t>3</w:t>
      </w:r>
      <w:r w:rsidR="00EE1C79" w:rsidRPr="00787638">
        <w:rPr>
          <w:rFonts w:eastAsia="Times New Roman" w:cs="Times New Roman"/>
          <w:szCs w:val="19"/>
          <w:lang w:eastAsia="pl-PL"/>
        </w:rPr>
        <w:t>8,9</w:t>
      </w:r>
      <w:r w:rsidR="008F0ACB" w:rsidRPr="00787638">
        <w:rPr>
          <w:rFonts w:eastAsia="Times New Roman" w:cs="Times New Roman"/>
          <w:szCs w:val="19"/>
          <w:lang w:eastAsia="pl-PL"/>
        </w:rPr>
        <w:t xml:space="preserve"> godziny</w:t>
      </w:r>
      <w:r w:rsidRPr="00787638">
        <w:rPr>
          <w:rFonts w:eastAsia="Times New Roman" w:cs="Times New Roman"/>
          <w:szCs w:val="19"/>
          <w:lang w:eastAsia="pl-PL"/>
        </w:rPr>
        <w:t>,</w:t>
      </w:r>
    </w:p>
    <w:p w14:paraId="2FAD294C" w14:textId="6262E2A9" w:rsidR="00147A33" w:rsidRPr="00787638" w:rsidRDefault="004141B3" w:rsidP="00787638">
      <w:pPr>
        <w:pStyle w:val="Akapitzlist"/>
        <w:numPr>
          <w:ilvl w:val="0"/>
          <w:numId w:val="9"/>
        </w:numPr>
        <w:spacing w:line="288" w:lineRule="auto"/>
        <w:rPr>
          <w:rFonts w:eastAsia="Times New Roman" w:cs="Times New Roman"/>
          <w:szCs w:val="19"/>
          <w:lang w:eastAsia="pl-PL"/>
        </w:rPr>
      </w:pPr>
      <w:r w:rsidRPr="00787638">
        <w:rPr>
          <w:rFonts w:eastAsia="Times New Roman" w:cs="Times New Roman"/>
          <w:szCs w:val="19"/>
          <w:lang w:eastAsia="pl-PL"/>
        </w:rPr>
        <w:t>w ogólnej liczbie</w:t>
      </w:r>
      <w:r w:rsidRPr="00452B9C">
        <w:rPr>
          <w:rFonts w:eastAsia="Times New Roman" w:cs="Times New Roman"/>
          <w:szCs w:val="19"/>
          <w:lang w:eastAsia="pl-PL"/>
        </w:rPr>
        <w:t xml:space="preserve"> pracujących </w:t>
      </w:r>
      <w:r w:rsidR="00C44AC5">
        <w:rPr>
          <w:rFonts w:eastAsia="Times New Roman" w:cs="Times New Roman"/>
          <w:szCs w:val="19"/>
          <w:lang w:eastAsia="pl-PL"/>
        </w:rPr>
        <w:t>u</w:t>
      </w:r>
      <w:r w:rsidR="00F64C46" w:rsidRPr="00787638">
        <w:rPr>
          <w:rFonts w:eastAsia="Times New Roman" w:cs="Times New Roman"/>
          <w:szCs w:val="19"/>
          <w:lang w:eastAsia="pl-PL"/>
        </w:rPr>
        <w:t xml:space="preserve">dział pracowników zatrudnionych w firmach/instytucjach publicznych lub u prywatnego pracodawcy wynosił </w:t>
      </w:r>
      <w:r w:rsidR="00A77899" w:rsidRPr="00787638">
        <w:rPr>
          <w:rFonts w:eastAsia="Times New Roman" w:cs="Times New Roman"/>
          <w:szCs w:val="19"/>
          <w:lang w:eastAsia="pl-PL"/>
        </w:rPr>
        <w:t>79,8</w:t>
      </w:r>
      <w:r w:rsidR="00F64C46" w:rsidRPr="00787638">
        <w:rPr>
          <w:rFonts w:eastAsia="Times New Roman" w:cs="Times New Roman"/>
          <w:szCs w:val="19"/>
          <w:lang w:eastAsia="pl-PL"/>
        </w:rPr>
        <w:t>% (13</w:t>
      </w:r>
      <w:r w:rsidR="00A77899" w:rsidRPr="00787638">
        <w:rPr>
          <w:rFonts w:eastAsia="Times New Roman" w:cs="Times New Roman"/>
          <w:szCs w:val="19"/>
          <w:lang w:eastAsia="pl-PL"/>
        </w:rPr>
        <w:t>379</w:t>
      </w:r>
      <w:r w:rsidR="00F64C46" w:rsidRPr="00787638">
        <w:rPr>
          <w:rFonts w:eastAsia="Times New Roman" w:cs="Times New Roman"/>
          <w:szCs w:val="19"/>
          <w:lang w:eastAsia="pl-PL"/>
        </w:rPr>
        <w:t xml:space="preserve"> tys. osób)</w:t>
      </w:r>
      <w:r w:rsidR="00C44AC5">
        <w:rPr>
          <w:rFonts w:eastAsia="Times New Roman" w:cs="Times New Roman"/>
          <w:szCs w:val="19"/>
          <w:lang w:eastAsia="pl-PL"/>
        </w:rPr>
        <w:t>,</w:t>
      </w:r>
      <w:r w:rsidR="00F64C46" w:rsidRPr="00787638">
        <w:rPr>
          <w:rFonts w:eastAsia="Times New Roman" w:cs="Times New Roman"/>
          <w:szCs w:val="19"/>
          <w:lang w:eastAsia="pl-PL"/>
        </w:rPr>
        <w:t xml:space="preserve"> </w:t>
      </w:r>
      <w:r w:rsidR="00A77899" w:rsidRPr="00787638">
        <w:rPr>
          <w:rFonts w:eastAsia="Times New Roman" w:cs="Times New Roman"/>
          <w:szCs w:val="19"/>
          <w:lang w:eastAsia="pl-PL"/>
        </w:rPr>
        <w:t>pracujących na własny rachunek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FC46A9" w:rsidRPr="00787638">
        <w:rPr>
          <w:rFonts w:eastAsia="Times New Roman" w:cs="Times New Roman"/>
          <w:szCs w:val="19"/>
          <w:lang w:eastAsia="pl-PL"/>
        </w:rPr>
        <w:t>19,0%</w:t>
      </w:r>
      <w:r w:rsidR="00C44AC5">
        <w:rPr>
          <w:rFonts w:eastAsia="Times New Roman" w:cs="Times New Roman"/>
          <w:szCs w:val="19"/>
          <w:lang w:eastAsia="pl-PL"/>
        </w:rPr>
        <w:t xml:space="preserve">, a </w:t>
      </w:r>
      <w:r w:rsidR="008F0ACB" w:rsidRPr="00787638">
        <w:rPr>
          <w:rFonts w:eastAsia="Times New Roman" w:cs="Times New Roman"/>
          <w:szCs w:val="19"/>
          <w:lang w:eastAsia="pl-PL"/>
        </w:rPr>
        <w:t xml:space="preserve">pomagających członków rodzin </w:t>
      </w:r>
      <w:r w:rsidR="00FC46A9" w:rsidRPr="00787638">
        <w:rPr>
          <w:rFonts w:eastAsia="Times New Roman" w:cs="Times New Roman"/>
          <w:szCs w:val="19"/>
          <w:lang w:eastAsia="pl-PL"/>
        </w:rPr>
        <w:t xml:space="preserve">1,2%, </w:t>
      </w:r>
    </w:p>
    <w:p w14:paraId="2D7903F0" w14:textId="54AF5ED4" w:rsidR="00C44AC5" w:rsidRDefault="00C44AC5" w:rsidP="00787638">
      <w:pPr>
        <w:pStyle w:val="Akapitzlist"/>
        <w:numPr>
          <w:ilvl w:val="0"/>
          <w:numId w:val="9"/>
        </w:num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z</w:t>
      </w:r>
      <w:r w:rsidR="008F0ACB" w:rsidRPr="00787638">
        <w:rPr>
          <w:rFonts w:eastAsia="Times New Roman" w:cs="Times New Roman"/>
          <w:szCs w:val="19"/>
          <w:lang w:eastAsia="pl-PL"/>
        </w:rPr>
        <w:t>decydowana większość pracowników zatrudnionych w firmach/instytucjach publicznych lub u</w:t>
      </w:r>
      <w:r w:rsidR="00123B77" w:rsidRPr="00787638">
        <w:rPr>
          <w:rFonts w:eastAsia="Times New Roman" w:cs="Times New Roman"/>
          <w:szCs w:val="19"/>
          <w:lang w:eastAsia="pl-PL"/>
        </w:rPr>
        <w:t xml:space="preserve"> </w:t>
      </w:r>
      <w:r w:rsidR="008F0ACB" w:rsidRPr="00787638">
        <w:rPr>
          <w:rFonts w:eastAsia="Times New Roman" w:cs="Times New Roman"/>
          <w:szCs w:val="19"/>
          <w:lang w:eastAsia="pl-PL"/>
        </w:rPr>
        <w:t>prywatnego pracodawcy wykonywała swoją pracę w oparciu o umowę na czas nieokreślony (</w:t>
      </w:r>
      <w:r w:rsidR="00FC46A9" w:rsidRPr="00787638">
        <w:rPr>
          <w:rFonts w:eastAsia="Times New Roman" w:cs="Times New Roman"/>
          <w:szCs w:val="19"/>
          <w:lang w:eastAsia="pl-PL"/>
        </w:rPr>
        <w:t>84,1</w:t>
      </w:r>
      <w:r w:rsidR="008F0ACB" w:rsidRPr="00787638" w:rsidDel="00CB3101">
        <w:rPr>
          <w:rFonts w:eastAsia="Times New Roman" w:cs="Times New Roman"/>
          <w:szCs w:val="19"/>
          <w:lang w:eastAsia="pl-PL"/>
        </w:rPr>
        <w:t>%</w:t>
      </w:r>
      <w:r w:rsidR="008F0ACB" w:rsidRPr="00787638">
        <w:rPr>
          <w:rFonts w:eastAsia="Times New Roman" w:cs="Times New Roman"/>
          <w:szCs w:val="19"/>
          <w:lang w:eastAsia="pl-PL"/>
        </w:rPr>
        <w:t>, tj. 11</w:t>
      </w:r>
      <w:r w:rsidR="00FC46A9" w:rsidRPr="00787638">
        <w:rPr>
          <w:rFonts w:eastAsia="Times New Roman" w:cs="Times New Roman"/>
          <w:szCs w:val="19"/>
          <w:lang w:eastAsia="pl-PL"/>
        </w:rPr>
        <w:t>253</w:t>
      </w:r>
      <w:r w:rsidR="008F0ACB" w:rsidRPr="00787638">
        <w:rPr>
          <w:rFonts w:eastAsia="Times New Roman" w:cs="Times New Roman"/>
          <w:szCs w:val="19"/>
          <w:lang w:eastAsia="pl-PL"/>
        </w:rPr>
        <w:t xml:space="preserve"> tys.)</w:t>
      </w:r>
      <w:r>
        <w:rPr>
          <w:rFonts w:eastAsia="Times New Roman" w:cs="Times New Roman"/>
          <w:szCs w:val="19"/>
          <w:lang w:eastAsia="pl-PL"/>
        </w:rPr>
        <w:t>,</w:t>
      </w:r>
    </w:p>
    <w:p w14:paraId="21160EAB" w14:textId="3A6826EB" w:rsidR="008F0ACB" w:rsidRPr="00787638" w:rsidRDefault="00C44AC5" w:rsidP="00787638">
      <w:pPr>
        <w:pStyle w:val="Akapitzlist"/>
        <w:numPr>
          <w:ilvl w:val="0"/>
          <w:numId w:val="9"/>
        </w:numPr>
        <w:spacing w:line="288" w:lineRule="auto"/>
        <w:rPr>
          <w:rFonts w:eastAsia="Times New Roman" w:cs="Times New Roman"/>
          <w:szCs w:val="19"/>
          <w:lang w:eastAsia="pl-PL"/>
        </w:rPr>
      </w:pPr>
      <w:r w:rsidRPr="004141B3">
        <w:rPr>
          <w:rFonts w:eastAsia="Times New Roman" w:cs="Times New Roman"/>
          <w:szCs w:val="19"/>
          <w:lang w:eastAsia="pl-PL"/>
        </w:rPr>
        <w:t>n</w:t>
      </w:r>
      <w:r w:rsidRPr="00787638">
        <w:rPr>
          <w:rFonts w:eastAsia="Times New Roman" w:cs="Times New Roman"/>
          <w:szCs w:val="19"/>
          <w:lang w:eastAsia="pl-PL"/>
        </w:rPr>
        <w:t>ajwięcej osób pracowało w przetwórstwie przemysłowym – 3251 tys. (tj. 19,4% wszystkich pracujących). Ponad 13% (2253 tys. osób) pracowało w handlu hurtowym i detalicznym, naprawie pojazdów samochodowych włączając motocykle.</w:t>
      </w:r>
      <w:r w:rsidRPr="00787638">
        <w:t xml:space="preserve"> Na kolejnym miejscu znalazły się osoby pracujące </w:t>
      </w:r>
      <w:r w:rsidRPr="00787638">
        <w:rPr>
          <w:rFonts w:eastAsia="Times New Roman" w:cs="Times New Roman"/>
          <w:szCs w:val="19"/>
          <w:lang w:eastAsia="pl-PL"/>
        </w:rPr>
        <w:t>w sekcji rolnictwo, leśnictwo, łowiectwo i</w:t>
      </w:r>
      <w:r w:rsidR="00573B10">
        <w:rPr>
          <w:rFonts w:eastAsia="Times New Roman" w:cs="Times New Roman"/>
          <w:szCs w:val="19"/>
          <w:lang w:eastAsia="pl-PL"/>
        </w:rPr>
        <w:t> </w:t>
      </w:r>
      <w:r w:rsidRPr="00787638">
        <w:rPr>
          <w:rFonts w:eastAsia="Times New Roman" w:cs="Times New Roman"/>
          <w:szCs w:val="19"/>
          <w:lang w:eastAsia="pl-PL"/>
        </w:rPr>
        <w:t>rybactwo - 8,5% pracujących (1430 tys. osób), a 8,1% (1354 tys. osób) pracowało w</w:t>
      </w:r>
      <w:r w:rsidR="00573B10">
        <w:rPr>
          <w:rFonts w:eastAsia="Times New Roman" w:cs="Times New Roman"/>
          <w:szCs w:val="19"/>
          <w:lang w:eastAsia="pl-PL"/>
        </w:rPr>
        <w:t> </w:t>
      </w:r>
      <w:r w:rsidRPr="00787638">
        <w:rPr>
          <w:rFonts w:eastAsia="Times New Roman" w:cs="Times New Roman"/>
          <w:szCs w:val="19"/>
          <w:lang w:eastAsia="pl-PL"/>
        </w:rPr>
        <w:t>budownictwie</w:t>
      </w:r>
      <w:r w:rsidR="004141B3">
        <w:rPr>
          <w:rFonts w:eastAsia="Times New Roman" w:cs="Times New Roman"/>
          <w:szCs w:val="19"/>
          <w:lang w:eastAsia="pl-PL"/>
        </w:rPr>
        <w:t>.</w:t>
      </w:r>
    </w:p>
    <w:p w14:paraId="41BFD030" w14:textId="77777777" w:rsidR="00627D29" w:rsidRDefault="00627D29" w:rsidP="003E2080">
      <w:pPr>
        <w:spacing w:before="240" w:line="276" w:lineRule="auto"/>
        <w:ind w:left="851" w:hanging="851"/>
        <w:rPr>
          <w:b/>
          <w:shd w:val="clear" w:color="auto" w:fill="FFFFFF"/>
        </w:rPr>
      </w:pPr>
      <w:r>
        <w:rPr>
          <w:b/>
          <w:noProof/>
          <w:shd w:val="clear" w:color="auto" w:fill="FFFFFF"/>
          <w:lang w:eastAsia="pl-PL"/>
        </w:rPr>
        <w:drawing>
          <wp:anchor distT="0" distB="0" distL="114300" distR="114300" simplePos="0" relativeHeight="251811840" behindDoc="0" locked="0" layoutInCell="1" allowOverlap="1" wp14:anchorId="76A29820" wp14:editId="2E3F89BD">
            <wp:simplePos x="0" y="0"/>
            <wp:positionH relativeFrom="margin">
              <wp:align>left</wp:align>
            </wp:positionH>
            <wp:positionV relativeFrom="paragraph">
              <wp:posOffset>392430</wp:posOffset>
            </wp:positionV>
            <wp:extent cx="5090795" cy="2280285"/>
            <wp:effectExtent l="0" t="0" r="0" b="5715"/>
            <wp:wrapSquare wrapText="bothSides"/>
            <wp:docPr id="28" name="Obraz 28" descr="Wykres prezentuje strukturę pracujących kobiet i mężczyzn w wieku 15-89 lat według statusu zatrudnienia w głównym miejscu pracy w 2 kwartale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C43">
        <w:rPr>
          <w:b/>
          <w:shd w:val="clear" w:color="auto" w:fill="FFFFFF"/>
        </w:rPr>
        <w:t xml:space="preserve">Wykres </w:t>
      </w:r>
      <w:r>
        <w:rPr>
          <w:b/>
          <w:shd w:val="clear" w:color="auto" w:fill="FFFFFF"/>
        </w:rPr>
        <w:t>3</w:t>
      </w:r>
      <w:r w:rsidRPr="00B20C43">
        <w:rPr>
          <w:b/>
          <w:shd w:val="clear" w:color="auto" w:fill="FFFFFF"/>
        </w:rPr>
        <w:t>.</w:t>
      </w:r>
      <w:r w:rsidRPr="00B20C43">
        <w:rPr>
          <w:b/>
          <w:shd w:val="clear" w:color="auto" w:fill="FFFFFF"/>
        </w:rPr>
        <w:tab/>
        <w:t xml:space="preserve">Struktura pracujących kobiet i mężczyzn w wieku 15–89 lat według statusu </w:t>
      </w:r>
      <w:r w:rsidRPr="00B20C43">
        <w:rPr>
          <w:b/>
          <w:shd w:val="clear" w:color="auto" w:fill="FFFFFF"/>
        </w:rPr>
        <w:br/>
        <w:t xml:space="preserve">zatrudnienia w głównym miejscu pracy w </w:t>
      </w:r>
      <w:r>
        <w:rPr>
          <w:b/>
          <w:shd w:val="clear" w:color="auto" w:fill="FFFFFF"/>
        </w:rPr>
        <w:t>2</w:t>
      </w:r>
      <w:r w:rsidRPr="00B20C43">
        <w:rPr>
          <w:b/>
          <w:shd w:val="clear" w:color="auto" w:fill="FFFFFF"/>
        </w:rPr>
        <w:t xml:space="preserve"> kwartale 202</w:t>
      </w:r>
      <w:r>
        <w:rPr>
          <w:b/>
          <w:shd w:val="clear" w:color="auto" w:fill="FFFFFF"/>
        </w:rPr>
        <w:t>2</w:t>
      </w:r>
      <w:r w:rsidRPr="00B20C43">
        <w:rPr>
          <w:b/>
          <w:shd w:val="clear" w:color="auto" w:fill="FFFFFF"/>
        </w:rPr>
        <w:t xml:space="preserve"> r. (w %)</w:t>
      </w:r>
    </w:p>
    <w:p w14:paraId="3BBD56CE" w14:textId="77777777" w:rsidR="001C5073" w:rsidRDefault="001C5073" w:rsidP="001C5073">
      <w:pPr>
        <w:spacing w:before="0" w:after="0" w:line="240" w:lineRule="auto"/>
        <w:rPr>
          <w:rFonts w:eastAsia="Times New Roman" w:cs="Times New Roman"/>
          <w:szCs w:val="19"/>
          <w:lang w:eastAsia="pl-PL"/>
        </w:rPr>
      </w:pPr>
    </w:p>
    <w:p w14:paraId="1D306F1E" w14:textId="6649E404" w:rsidR="00143641" w:rsidRPr="0014438E" w:rsidRDefault="0014438E" w:rsidP="009E76B3">
      <w:pPr>
        <w:spacing w:before="240" w:line="288" w:lineRule="auto"/>
        <w:rPr>
          <w:rFonts w:eastAsia="Times New Roman" w:cs="Times New Roman"/>
          <w:szCs w:val="19"/>
          <w:lang w:eastAsia="pl-PL"/>
        </w:rPr>
      </w:pPr>
      <w:r w:rsidRPr="0014438E">
        <w:rPr>
          <w:rFonts w:eastAsia="Times New Roman" w:cs="Times New Roman"/>
          <w:szCs w:val="19"/>
          <w:lang w:eastAsia="pl-PL"/>
        </w:rPr>
        <w:t>W 2</w:t>
      </w:r>
      <w:r w:rsidR="008F0ACB" w:rsidRPr="0014438E">
        <w:rPr>
          <w:rFonts w:eastAsia="Times New Roman" w:cs="Times New Roman"/>
          <w:szCs w:val="19"/>
          <w:lang w:eastAsia="pl-PL"/>
        </w:rPr>
        <w:t xml:space="preserve"> kwartale 202</w:t>
      </w:r>
      <w:r w:rsidR="00AE3AC3" w:rsidRPr="0014438E">
        <w:rPr>
          <w:rFonts w:eastAsia="Times New Roman" w:cs="Times New Roman"/>
          <w:szCs w:val="19"/>
          <w:lang w:eastAsia="pl-PL"/>
        </w:rPr>
        <w:t>2</w:t>
      </w:r>
      <w:r w:rsidR="008F0ACB" w:rsidRPr="0014438E">
        <w:rPr>
          <w:rFonts w:eastAsia="Times New Roman" w:cs="Times New Roman"/>
          <w:szCs w:val="19"/>
          <w:lang w:eastAsia="pl-PL"/>
        </w:rPr>
        <w:t xml:space="preserve"> r.</w:t>
      </w:r>
      <w:r w:rsidR="00AE238B" w:rsidRPr="0014438E">
        <w:rPr>
          <w:rFonts w:eastAsia="Times New Roman" w:cs="Times New Roman"/>
          <w:szCs w:val="19"/>
          <w:lang w:eastAsia="pl-PL"/>
        </w:rPr>
        <w:t xml:space="preserve"> największy wzrost</w:t>
      </w:r>
      <w:r w:rsidR="008F0ACB" w:rsidRPr="0014438E">
        <w:rPr>
          <w:rFonts w:eastAsia="Times New Roman" w:cs="Times New Roman"/>
          <w:szCs w:val="19"/>
          <w:lang w:eastAsia="pl-PL"/>
        </w:rPr>
        <w:t xml:space="preserve"> liczb</w:t>
      </w:r>
      <w:r w:rsidR="00AE238B" w:rsidRPr="0014438E">
        <w:rPr>
          <w:rFonts w:eastAsia="Times New Roman" w:cs="Times New Roman"/>
          <w:szCs w:val="19"/>
          <w:lang w:eastAsia="pl-PL"/>
        </w:rPr>
        <w:t>y</w:t>
      </w:r>
      <w:r w:rsidR="008F0ACB" w:rsidRPr="0014438E">
        <w:rPr>
          <w:rFonts w:eastAsia="Times New Roman" w:cs="Times New Roman"/>
          <w:szCs w:val="19"/>
          <w:lang w:eastAsia="pl-PL"/>
        </w:rPr>
        <w:t xml:space="preserve"> pracujących w porównaniu z poprzednim kwartałem </w:t>
      </w:r>
      <w:r w:rsidR="00AE238B" w:rsidRPr="0014438E">
        <w:rPr>
          <w:rFonts w:eastAsia="Times New Roman" w:cs="Times New Roman"/>
          <w:szCs w:val="19"/>
          <w:lang w:eastAsia="pl-PL"/>
        </w:rPr>
        <w:t xml:space="preserve">odnotowano </w:t>
      </w:r>
      <w:r w:rsidR="008F0ACB" w:rsidRPr="0014438E">
        <w:rPr>
          <w:rFonts w:eastAsia="Times New Roman" w:cs="Times New Roman"/>
          <w:szCs w:val="19"/>
          <w:lang w:eastAsia="pl-PL"/>
        </w:rPr>
        <w:t xml:space="preserve">w </w:t>
      </w:r>
      <w:r w:rsidRPr="0014438E">
        <w:rPr>
          <w:rFonts w:eastAsia="Times New Roman" w:cs="Times New Roman"/>
          <w:szCs w:val="19"/>
          <w:lang w:eastAsia="pl-PL"/>
        </w:rPr>
        <w:t>administracji publicznej i obronie narodowej (o 59 tys.)</w:t>
      </w:r>
      <w:r w:rsidR="00C27F99">
        <w:rPr>
          <w:rFonts w:eastAsia="Times New Roman" w:cs="Times New Roman"/>
          <w:szCs w:val="19"/>
          <w:lang w:eastAsia="pl-PL"/>
        </w:rPr>
        <w:t xml:space="preserve">, </w:t>
      </w:r>
      <w:r w:rsidR="002C6395">
        <w:rPr>
          <w:rFonts w:eastAsia="Times New Roman" w:cs="Times New Roman"/>
          <w:szCs w:val="19"/>
          <w:lang w:eastAsia="pl-PL"/>
        </w:rPr>
        <w:t>rolnictwie, leśnictwie, łowiectwie i rybactwie (o 58 tys.)</w:t>
      </w:r>
      <w:r w:rsidRPr="0014438E">
        <w:rPr>
          <w:rFonts w:eastAsia="Times New Roman" w:cs="Times New Roman"/>
          <w:szCs w:val="19"/>
          <w:lang w:eastAsia="pl-PL"/>
        </w:rPr>
        <w:t xml:space="preserve"> oraz działalności w zakresie usług administrowania i działalności wspierającej (o 55 tys.). </w:t>
      </w:r>
      <w:r w:rsidR="0097604D" w:rsidRPr="0014438E" w:rsidDel="004A07FA">
        <w:rPr>
          <w:rFonts w:eastAsia="Times New Roman" w:cs="Times New Roman"/>
          <w:szCs w:val="19"/>
          <w:lang w:eastAsia="pl-PL"/>
        </w:rPr>
        <w:t>Największy spadek</w:t>
      </w:r>
      <w:r w:rsidR="0097604D" w:rsidRPr="0014438E">
        <w:rPr>
          <w:rFonts w:eastAsia="Times New Roman" w:cs="Times New Roman"/>
          <w:szCs w:val="19"/>
          <w:lang w:eastAsia="pl-PL"/>
        </w:rPr>
        <w:t xml:space="preserve"> dotyczył natomiast </w:t>
      </w:r>
      <w:r w:rsidRPr="0014438E">
        <w:rPr>
          <w:rFonts w:eastAsia="Times New Roman" w:cs="Times New Roman"/>
          <w:szCs w:val="19"/>
          <w:lang w:eastAsia="pl-PL"/>
        </w:rPr>
        <w:t>przetwórstwa przemysłowego (o 84 tys.), transportu i gospodarki magazynowej (o 54 tys.) oraz działalności finansowej i ubezpieczeniowej (o 45 tys.).</w:t>
      </w:r>
    </w:p>
    <w:p w14:paraId="663D8997" w14:textId="1F878951" w:rsidR="008F0ACB" w:rsidRPr="004E1DBE" w:rsidRDefault="00266C1C" w:rsidP="003E208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4E1DBE">
        <w:rPr>
          <w:rFonts w:eastAsia="Times New Roman" w:cs="Times New Roman"/>
          <w:szCs w:val="19"/>
          <w:lang w:eastAsia="pl-PL"/>
        </w:rPr>
        <w:t xml:space="preserve">W </w:t>
      </w:r>
      <w:r w:rsidR="00143641" w:rsidRPr="004E1DBE">
        <w:rPr>
          <w:rFonts w:eastAsia="Times New Roman" w:cs="Times New Roman"/>
          <w:szCs w:val="19"/>
          <w:lang w:eastAsia="pl-PL"/>
        </w:rPr>
        <w:t xml:space="preserve">porównaniu z </w:t>
      </w:r>
      <w:r w:rsidR="00364C90" w:rsidRPr="004E1DBE">
        <w:rPr>
          <w:rFonts w:eastAsia="Times New Roman" w:cs="Times New Roman"/>
          <w:szCs w:val="19"/>
          <w:lang w:eastAsia="pl-PL"/>
        </w:rPr>
        <w:t>2</w:t>
      </w:r>
      <w:r w:rsidR="00143641" w:rsidRPr="004E1DBE">
        <w:rPr>
          <w:rFonts w:eastAsia="Times New Roman" w:cs="Times New Roman"/>
          <w:szCs w:val="19"/>
          <w:lang w:eastAsia="pl-PL"/>
        </w:rPr>
        <w:t xml:space="preserve"> kwartałem 2021 r. </w:t>
      </w:r>
      <w:r w:rsidRPr="004E1DBE">
        <w:rPr>
          <w:rFonts w:eastAsia="Times New Roman" w:cs="Times New Roman"/>
          <w:szCs w:val="19"/>
          <w:lang w:eastAsia="pl-PL"/>
        </w:rPr>
        <w:t xml:space="preserve">największy wzrost liczby pracujących </w:t>
      </w:r>
      <w:r w:rsidR="008E2BF9" w:rsidRPr="004E1DBE">
        <w:rPr>
          <w:rFonts w:eastAsia="Times New Roman" w:cs="Times New Roman"/>
          <w:szCs w:val="19"/>
          <w:lang w:eastAsia="pl-PL"/>
        </w:rPr>
        <w:t>wy</w:t>
      </w:r>
      <w:r w:rsidRPr="004E1DBE">
        <w:rPr>
          <w:rFonts w:eastAsia="Times New Roman" w:cs="Times New Roman"/>
          <w:szCs w:val="19"/>
          <w:lang w:eastAsia="pl-PL"/>
        </w:rPr>
        <w:t xml:space="preserve">stąpił </w:t>
      </w:r>
      <w:r w:rsidR="00A3353B" w:rsidRPr="004E1DBE">
        <w:rPr>
          <w:rFonts w:eastAsia="Times New Roman" w:cs="Times New Roman"/>
          <w:szCs w:val="19"/>
          <w:lang w:eastAsia="pl-PL"/>
        </w:rPr>
        <w:t>w rolnictwie, leśnictwie, łowiectwie i rybactwie</w:t>
      </w:r>
      <w:r w:rsidR="00621B2C" w:rsidRPr="004E1DBE">
        <w:rPr>
          <w:rFonts w:eastAsia="Times New Roman" w:cs="Times New Roman"/>
          <w:szCs w:val="19"/>
          <w:lang w:eastAsia="pl-PL"/>
        </w:rPr>
        <w:t xml:space="preserve"> (o </w:t>
      </w:r>
      <w:r w:rsidR="00A3353B" w:rsidRPr="004E1DBE">
        <w:rPr>
          <w:rFonts w:eastAsia="Times New Roman" w:cs="Times New Roman"/>
          <w:szCs w:val="19"/>
          <w:lang w:eastAsia="pl-PL"/>
        </w:rPr>
        <w:t>65</w:t>
      </w:r>
      <w:r w:rsidR="00621B2C" w:rsidRPr="004E1DBE">
        <w:rPr>
          <w:rFonts w:eastAsia="Times New Roman" w:cs="Times New Roman"/>
          <w:szCs w:val="19"/>
          <w:lang w:eastAsia="pl-PL"/>
        </w:rPr>
        <w:t xml:space="preserve"> tys.), w działalności </w:t>
      </w:r>
      <w:r w:rsidR="00A3353B" w:rsidRPr="004E1DBE">
        <w:rPr>
          <w:rFonts w:eastAsia="Times New Roman" w:cs="Times New Roman"/>
          <w:szCs w:val="19"/>
          <w:lang w:eastAsia="pl-PL"/>
        </w:rPr>
        <w:t>w zakresie usług administrowania i działalności wspierającej</w:t>
      </w:r>
      <w:r w:rsidR="00621B2C" w:rsidRPr="004E1DBE">
        <w:rPr>
          <w:rFonts w:eastAsia="Times New Roman" w:cs="Times New Roman"/>
          <w:szCs w:val="19"/>
          <w:lang w:eastAsia="pl-PL"/>
        </w:rPr>
        <w:t xml:space="preserve"> (</w:t>
      </w:r>
      <w:r w:rsidR="00587836" w:rsidRPr="004E1DBE">
        <w:rPr>
          <w:rFonts w:eastAsia="Times New Roman" w:cs="Times New Roman"/>
          <w:szCs w:val="19"/>
          <w:lang w:eastAsia="pl-PL"/>
        </w:rPr>
        <w:t>o</w:t>
      </w:r>
      <w:r w:rsidR="009625FE" w:rsidRPr="004E1DBE">
        <w:rPr>
          <w:rFonts w:eastAsia="Times New Roman" w:cs="Times New Roman"/>
          <w:szCs w:val="19"/>
          <w:lang w:eastAsia="pl-PL"/>
        </w:rPr>
        <w:t> </w:t>
      </w:r>
      <w:r w:rsidR="00621B2C" w:rsidRPr="004E1DBE">
        <w:rPr>
          <w:rFonts w:eastAsia="Times New Roman" w:cs="Times New Roman"/>
          <w:szCs w:val="19"/>
          <w:lang w:eastAsia="pl-PL"/>
        </w:rPr>
        <w:t xml:space="preserve">50 tys.) </w:t>
      </w:r>
      <w:r w:rsidR="00587836" w:rsidRPr="004E1DBE">
        <w:rPr>
          <w:rFonts w:eastAsia="Times New Roman" w:cs="Times New Roman"/>
          <w:szCs w:val="19"/>
          <w:lang w:eastAsia="pl-PL"/>
        </w:rPr>
        <w:t xml:space="preserve">oraz w </w:t>
      </w:r>
      <w:r w:rsidR="00A3353B" w:rsidRPr="004E1DBE">
        <w:rPr>
          <w:rFonts w:eastAsia="Times New Roman" w:cs="Times New Roman"/>
          <w:szCs w:val="19"/>
          <w:lang w:eastAsia="pl-PL"/>
        </w:rPr>
        <w:t>przetwórstwie przemysłowym (o</w:t>
      </w:r>
      <w:r w:rsidR="00573B10">
        <w:rPr>
          <w:rFonts w:eastAsia="Times New Roman" w:cs="Times New Roman"/>
          <w:szCs w:val="19"/>
          <w:lang w:eastAsia="pl-PL"/>
        </w:rPr>
        <w:t> </w:t>
      </w:r>
      <w:r w:rsidR="00A3353B" w:rsidRPr="004E1DBE">
        <w:rPr>
          <w:rFonts w:eastAsia="Times New Roman" w:cs="Times New Roman"/>
          <w:szCs w:val="19"/>
          <w:lang w:eastAsia="pl-PL"/>
        </w:rPr>
        <w:t>48</w:t>
      </w:r>
      <w:r w:rsidR="00573B10">
        <w:rPr>
          <w:rFonts w:eastAsia="Times New Roman" w:cs="Times New Roman"/>
          <w:szCs w:val="19"/>
          <w:lang w:eastAsia="pl-PL"/>
        </w:rPr>
        <w:t> </w:t>
      </w:r>
      <w:r w:rsidR="00A3353B" w:rsidRPr="004E1DBE">
        <w:rPr>
          <w:rFonts w:eastAsia="Times New Roman" w:cs="Times New Roman"/>
          <w:szCs w:val="19"/>
          <w:lang w:eastAsia="pl-PL"/>
        </w:rPr>
        <w:t xml:space="preserve">tys.)., </w:t>
      </w:r>
      <w:r w:rsidR="00621B2C" w:rsidRPr="004E1DBE">
        <w:rPr>
          <w:rFonts w:eastAsia="Times New Roman" w:cs="Times New Roman"/>
          <w:szCs w:val="19"/>
          <w:lang w:eastAsia="pl-PL"/>
        </w:rPr>
        <w:t xml:space="preserve">zaś największy spadek w </w:t>
      </w:r>
      <w:r w:rsidR="004E1DBE" w:rsidRPr="004E1DBE">
        <w:rPr>
          <w:rFonts w:eastAsia="Times New Roman" w:cs="Times New Roman"/>
          <w:szCs w:val="19"/>
          <w:lang w:eastAsia="pl-PL"/>
        </w:rPr>
        <w:t xml:space="preserve">handlu hurtowym i detalicznym; naprawie pojazdów samochodowych, włączając motocykle </w:t>
      </w:r>
      <w:r w:rsidR="00621B2C" w:rsidRPr="004E1DBE">
        <w:rPr>
          <w:rFonts w:eastAsia="Times New Roman" w:cs="Times New Roman"/>
          <w:szCs w:val="19"/>
          <w:lang w:eastAsia="pl-PL"/>
        </w:rPr>
        <w:t>(</w:t>
      </w:r>
      <w:r w:rsidR="00587836" w:rsidRPr="004E1DBE">
        <w:rPr>
          <w:rFonts w:eastAsia="Times New Roman" w:cs="Times New Roman"/>
          <w:szCs w:val="19"/>
          <w:lang w:eastAsia="pl-PL"/>
        </w:rPr>
        <w:t xml:space="preserve">o </w:t>
      </w:r>
      <w:r w:rsidR="004E1DBE" w:rsidRPr="004E1DBE">
        <w:rPr>
          <w:rFonts w:eastAsia="Times New Roman" w:cs="Times New Roman"/>
          <w:szCs w:val="19"/>
          <w:lang w:eastAsia="pl-PL"/>
        </w:rPr>
        <w:t>79</w:t>
      </w:r>
      <w:r w:rsidR="00621B2C" w:rsidRPr="004E1DBE">
        <w:rPr>
          <w:rFonts w:eastAsia="Times New Roman" w:cs="Times New Roman"/>
          <w:szCs w:val="19"/>
          <w:lang w:eastAsia="pl-PL"/>
        </w:rPr>
        <w:t xml:space="preserve"> tys.)</w:t>
      </w:r>
      <w:r w:rsidR="004E1DBE" w:rsidRPr="004E1DBE">
        <w:rPr>
          <w:rFonts w:eastAsia="Times New Roman" w:cs="Times New Roman"/>
          <w:szCs w:val="19"/>
          <w:lang w:eastAsia="pl-PL"/>
        </w:rPr>
        <w:t xml:space="preserve"> oraz informacji i komunikacji (o 21 tys.).</w:t>
      </w:r>
    </w:p>
    <w:p w14:paraId="289C0A51" w14:textId="2DAB9E73" w:rsidR="00B20C43" w:rsidRPr="00C50DF9" w:rsidRDefault="00B20C43" w:rsidP="003E2080">
      <w:pPr>
        <w:spacing w:line="288" w:lineRule="auto"/>
      </w:pPr>
      <w:r w:rsidRPr="00305AA3">
        <w:rPr>
          <w:rFonts w:eastAsia="Times New Roman" w:cs="Times New Roman"/>
          <w:szCs w:val="19"/>
          <w:lang w:eastAsia="pl-PL"/>
        </w:rPr>
        <w:lastRenderedPageBreak/>
        <w:t xml:space="preserve">W </w:t>
      </w:r>
      <w:r w:rsidR="00305AA3" w:rsidRPr="00305AA3">
        <w:rPr>
          <w:rFonts w:eastAsia="Times New Roman" w:cs="Times New Roman"/>
          <w:szCs w:val="19"/>
          <w:lang w:eastAsia="pl-PL"/>
        </w:rPr>
        <w:t>2</w:t>
      </w:r>
      <w:r w:rsidRPr="00305AA3">
        <w:rPr>
          <w:rFonts w:eastAsia="Times New Roman" w:cs="Times New Roman"/>
          <w:szCs w:val="19"/>
          <w:lang w:eastAsia="pl-PL"/>
        </w:rPr>
        <w:t xml:space="preserve"> kwartale 202</w:t>
      </w:r>
      <w:r w:rsidR="006F3D50" w:rsidRPr="00305AA3">
        <w:rPr>
          <w:rFonts w:eastAsia="Times New Roman" w:cs="Times New Roman"/>
          <w:szCs w:val="19"/>
          <w:lang w:eastAsia="pl-PL"/>
        </w:rPr>
        <w:t>2</w:t>
      </w:r>
      <w:r w:rsidRPr="00305AA3">
        <w:rPr>
          <w:rFonts w:eastAsia="Times New Roman" w:cs="Times New Roman"/>
          <w:szCs w:val="19"/>
          <w:lang w:eastAsia="pl-PL"/>
        </w:rPr>
        <w:t xml:space="preserve"> r. </w:t>
      </w:r>
      <w:r w:rsidR="00305AA3" w:rsidRPr="00305AA3">
        <w:rPr>
          <w:rFonts w:eastAsia="Times New Roman" w:cs="Times New Roman"/>
          <w:szCs w:val="19"/>
          <w:lang w:eastAsia="pl-PL"/>
        </w:rPr>
        <w:t>713</w:t>
      </w:r>
      <w:r w:rsidRPr="00305AA3">
        <w:rPr>
          <w:rFonts w:eastAsia="Times New Roman" w:cs="Times New Roman"/>
          <w:szCs w:val="19"/>
          <w:lang w:eastAsia="pl-PL"/>
        </w:rPr>
        <w:t xml:space="preserve"> tys. osób posiadało pracę, ale jej nie wykonywało w badanym tygodniu, co stanowiło </w:t>
      </w:r>
      <w:r w:rsidR="00305AA3" w:rsidRPr="00305AA3">
        <w:rPr>
          <w:rFonts w:eastAsia="Times New Roman" w:cs="Times New Roman"/>
          <w:szCs w:val="19"/>
          <w:lang w:eastAsia="pl-PL"/>
        </w:rPr>
        <w:t>4,3</w:t>
      </w:r>
      <w:r w:rsidRPr="00305AA3">
        <w:rPr>
          <w:rFonts w:eastAsia="Times New Roman" w:cs="Times New Roman"/>
          <w:szCs w:val="19"/>
          <w:lang w:eastAsia="pl-PL"/>
        </w:rPr>
        <w:t xml:space="preserve">% ogółu pracujących (analogiczna zbiorowość w poprzednim kwartale liczyła </w:t>
      </w:r>
      <w:r w:rsidR="00305AA3" w:rsidRPr="00305AA3">
        <w:rPr>
          <w:rFonts w:eastAsia="Times New Roman" w:cs="Times New Roman"/>
          <w:szCs w:val="19"/>
          <w:lang w:eastAsia="pl-PL"/>
        </w:rPr>
        <w:t>822</w:t>
      </w:r>
      <w:r w:rsidRPr="00305AA3">
        <w:rPr>
          <w:rFonts w:eastAsia="Times New Roman" w:cs="Times New Roman"/>
          <w:szCs w:val="19"/>
          <w:lang w:eastAsia="pl-PL"/>
        </w:rPr>
        <w:t xml:space="preserve"> tys., tj. </w:t>
      </w:r>
      <w:r w:rsidR="00305AA3" w:rsidRPr="00305AA3">
        <w:rPr>
          <w:rFonts w:eastAsia="Times New Roman" w:cs="Times New Roman"/>
          <w:szCs w:val="19"/>
          <w:lang w:eastAsia="pl-PL"/>
        </w:rPr>
        <w:t>4,9</w:t>
      </w:r>
      <w:r w:rsidRPr="00305AA3">
        <w:rPr>
          <w:rFonts w:eastAsia="Times New Roman" w:cs="Times New Roman"/>
          <w:szCs w:val="19"/>
          <w:lang w:eastAsia="pl-PL"/>
        </w:rPr>
        <w:t>%</w:t>
      </w:r>
      <w:r w:rsidR="00E93150" w:rsidRPr="00305AA3">
        <w:rPr>
          <w:rFonts w:eastAsia="Times New Roman" w:cs="Times New Roman"/>
          <w:szCs w:val="19"/>
          <w:lang w:eastAsia="pl-PL"/>
        </w:rPr>
        <w:t xml:space="preserve">, </w:t>
      </w:r>
      <w:r w:rsidR="00D475C5" w:rsidRPr="00305AA3">
        <w:rPr>
          <w:rFonts w:eastAsia="Times New Roman" w:cs="Times New Roman"/>
          <w:szCs w:val="19"/>
          <w:lang w:eastAsia="pl-PL"/>
        </w:rPr>
        <w:t xml:space="preserve">a </w:t>
      </w:r>
      <w:r w:rsidR="005D15BE" w:rsidRPr="00305AA3">
        <w:rPr>
          <w:rFonts w:eastAsia="Times New Roman" w:cs="Times New Roman"/>
          <w:szCs w:val="19"/>
          <w:lang w:eastAsia="pl-PL"/>
        </w:rPr>
        <w:t>rok wcześniej</w:t>
      </w:r>
      <w:r w:rsidR="00E93150" w:rsidRPr="00305AA3">
        <w:rPr>
          <w:rFonts w:eastAsia="Times New Roman" w:cs="Times New Roman"/>
          <w:szCs w:val="19"/>
          <w:lang w:eastAsia="pl-PL"/>
        </w:rPr>
        <w:t xml:space="preserve"> wyniosła </w:t>
      </w:r>
      <w:r w:rsidR="00305AA3" w:rsidRPr="00305AA3">
        <w:rPr>
          <w:rFonts w:eastAsia="Times New Roman" w:cs="Times New Roman"/>
          <w:szCs w:val="19"/>
          <w:lang w:eastAsia="pl-PL"/>
        </w:rPr>
        <w:t>839</w:t>
      </w:r>
      <w:r w:rsidR="00E93150" w:rsidRPr="00305AA3">
        <w:rPr>
          <w:rFonts w:eastAsia="Times New Roman" w:cs="Times New Roman"/>
          <w:szCs w:val="19"/>
          <w:lang w:eastAsia="pl-PL"/>
        </w:rPr>
        <w:t xml:space="preserve"> tys., tj. </w:t>
      </w:r>
      <w:r w:rsidR="00305AA3" w:rsidRPr="00305AA3">
        <w:rPr>
          <w:rFonts w:eastAsia="Times New Roman" w:cs="Times New Roman"/>
          <w:szCs w:val="19"/>
          <w:lang w:eastAsia="pl-PL"/>
        </w:rPr>
        <w:t>5,1</w:t>
      </w:r>
      <w:r w:rsidR="00E93150" w:rsidRPr="00305AA3">
        <w:rPr>
          <w:rFonts w:eastAsia="Times New Roman" w:cs="Times New Roman"/>
          <w:szCs w:val="19"/>
          <w:lang w:eastAsia="pl-PL"/>
        </w:rPr>
        <w:t>%</w:t>
      </w:r>
      <w:r w:rsidRPr="00305AA3">
        <w:rPr>
          <w:rFonts w:eastAsia="Times New Roman" w:cs="Times New Roman"/>
          <w:szCs w:val="19"/>
          <w:lang w:eastAsia="pl-PL"/>
        </w:rPr>
        <w:t xml:space="preserve">). </w:t>
      </w:r>
      <w:r w:rsidRPr="00787638">
        <w:rPr>
          <w:rFonts w:eastAsia="Times New Roman" w:cs="Times New Roman"/>
          <w:szCs w:val="19"/>
          <w:lang w:eastAsia="pl-PL"/>
        </w:rPr>
        <w:t xml:space="preserve">Wśród tych osób </w:t>
      </w:r>
      <w:r w:rsidR="00305AA3" w:rsidRPr="00787638">
        <w:rPr>
          <w:rFonts w:eastAsia="Times New Roman" w:cs="Times New Roman"/>
          <w:szCs w:val="19"/>
          <w:lang w:eastAsia="pl-PL"/>
        </w:rPr>
        <w:t>711</w:t>
      </w:r>
      <w:r w:rsidR="006E5B7C" w:rsidRPr="00787638">
        <w:rPr>
          <w:rFonts w:eastAsia="Times New Roman" w:cs="Times New Roman"/>
          <w:szCs w:val="19"/>
          <w:lang w:eastAsia="pl-PL"/>
        </w:rPr>
        <w:t xml:space="preserve"> </w:t>
      </w:r>
      <w:r w:rsidRPr="00787638">
        <w:rPr>
          <w:rFonts w:eastAsia="Times New Roman" w:cs="Times New Roman"/>
          <w:szCs w:val="19"/>
          <w:lang w:eastAsia="pl-PL"/>
        </w:rPr>
        <w:t xml:space="preserve">tys. (tj. </w:t>
      </w:r>
      <w:r w:rsidR="00305AA3" w:rsidRPr="00787638">
        <w:rPr>
          <w:rFonts w:eastAsia="Times New Roman" w:cs="Times New Roman"/>
          <w:szCs w:val="19"/>
          <w:lang w:eastAsia="pl-PL"/>
        </w:rPr>
        <w:t>99,7</w:t>
      </w:r>
      <w:r w:rsidRPr="00787638">
        <w:rPr>
          <w:rFonts w:eastAsia="Times New Roman" w:cs="Times New Roman"/>
          <w:szCs w:val="19"/>
          <w:lang w:eastAsia="pl-PL"/>
        </w:rPr>
        <w:t xml:space="preserve">%) wskazało, że </w:t>
      </w:r>
      <w:r w:rsidR="00305AA3" w:rsidRPr="00787638">
        <w:rPr>
          <w:rFonts w:eastAsia="Times New Roman" w:cs="Times New Roman"/>
          <w:szCs w:val="19"/>
          <w:lang w:eastAsia="pl-PL"/>
        </w:rPr>
        <w:t xml:space="preserve">nie </w:t>
      </w:r>
      <w:r w:rsidRPr="00787638">
        <w:rPr>
          <w:rFonts w:eastAsia="Times New Roman" w:cs="Times New Roman"/>
          <w:szCs w:val="19"/>
          <w:lang w:eastAsia="pl-PL"/>
        </w:rPr>
        <w:t>miało to bezpośredni</w:t>
      </w:r>
      <w:r w:rsidR="00305AA3" w:rsidRPr="00787638">
        <w:rPr>
          <w:rFonts w:eastAsia="Times New Roman" w:cs="Times New Roman"/>
          <w:szCs w:val="19"/>
          <w:lang w:eastAsia="pl-PL"/>
        </w:rPr>
        <w:t>ego</w:t>
      </w:r>
      <w:r w:rsidRPr="00787638">
        <w:rPr>
          <w:rFonts w:eastAsia="Times New Roman" w:cs="Times New Roman"/>
          <w:szCs w:val="19"/>
          <w:lang w:eastAsia="pl-PL"/>
        </w:rPr>
        <w:t xml:space="preserve"> związ</w:t>
      </w:r>
      <w:r w:rsidR="00305AA3" w:rsidRPr="00787638">
        <w:rPr>
          <w:rFonts w:eastAsia="Times New Roman" w:cs="Times New Roman"/>
          <w:szCs w:val="19"/>
          <w:lang w:eastAsia="pl-PL"/>
        </w:rPr>
        <w:t>ku</w:t>
      </w:r>
      <w:r w:rsidRPr="00787638">
        <w:rPr>
          <w:rFonts w:eastAsia="Times New Roman" w:cs="Times New Roman"/>
          <w:szCs w:val="19"/>
          <w:lang w:eastAsia="pl-PL"/>
        </w:rPr>
        <w:t xml:space="preserve"> z pandemią COVID-19</w:t>
      </w:r>
      <w:r w:rsidR="00C44AC5" w:rsidRPr="00787638">
        <w:rPr>
          <w:rFonts w:eastAsia="Times New Roman" w:cs="Times New Roman"/>
          <w:szCs w:val="19"/>
          <w:lang w:eastAsia="pl-PL"/>
        </w:rPr>
        <w:t>.</w:t>
      </w:r>
      <w:r w:rsidRPr="00787638">
        <w:rPr>
          <w:rFonts w:eastAsia="Times New Roman" w:cs="Times New Roman"/>
          <w:szCs w:val="19"/>
          <w:lang w:eastAsia="pl-PL"/>
        </w:rPr>
        <w:t xml:space="preserve"> </w:t>
      </w:r>
    </w:p>
    <w:p w14:paraId="47D432E6" w14:textId="53741CD7" w:rsidR="00143641" w:rsidRDefault="009A6EFF" w:rsidP="00572B3E">
      <w:pPr>
        <w:spacing w:after="240" w:line="288" w:lineRule="auto"/>
        <w:rPr>
          <w:rFonts w:eastAsia="Times New Roman" w:cs="Times New Roman"/>
          <w:szCs w:val="19"/>
          <w:lang w:eastAsia="pl-PL"/>
        </w:rPr>
      </w:pPr>
      <w:r w:rsidRPr="00E30CC5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1" locked="0" layoutInCell="1" allowOverlap="1" wp14:anchorId="71E3C5D9" wp14:editId="041DEDA1">
                <wp:simplePos x="0" y="0"/>
                <wp:positionH relativeFrom="column">
                  <wp:posOffset>5305425</wp:posOffset>
                </wp:positionH>
                <wp:positionV relativeFrom="paragraph">
                  <wp:posOffset>22017</wp:posOffset>
                </wp:positionV>
                <wp:extent cx="1630680" cy="904875"/>
                <wp:effectExtent l="0" t="0" r="0" b="0"/>
                <wp:wrapTight wrapText="bothSides">
                  <wp:wrapPolygon edited="0">
                    <wp:start x="757" y="0"/>
                    <wp:lineTo x="757" y="20918"/>
                    <wp:lineTo x="20692" y="20918"/>
                    <wp:lineTo x="20692" y="0"/>
                    <wp:lineTo x="757" y="0"/>
                  </wp:wrapPolygon>
                </wp:wrapTight>
                <wp:docPr id="30" name="Pole tekstowe 2" descr="W formie pracy zdalnej pracowało 5,5% pracujących – dla prawie 1/3 miało to bezpośredni związek z pandemią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C0FE6" w14:textId="5705C20B" w:rsidR="005A6925" w:rsidRPr="002A4789" w:rsidRDefault="005A6925" w:rsidP="00EC542E">
                            <w:pPr>
                              <w:pStyle w:val="tekstzboku"/>
                            </w:pPr>
                            <w:r w:rsidRPr="002A4789">
                              <w:t xml:space="preserve">W formie pracy zdalnej pracowało </w:t>
                            </w:r>
                            <w:r w:rsidR="002A4789" w:rsidRPr="002A4789">
                              <w:t>5,5</w:t>
                            </w:r>
                            <w:r w:rsidRPr="002A4789">
                              <w:t>% pracujących – dla p</w:t>
                            </w:r>
                            <w:r w:rsidR="002A4789" w:rsidRPr="002A4789">
                              <w:t>rawie 1</w:t>
                            </w:r>
                            <w:r w:rsidRPr="002A4789">
                              <w:t xml:space="preserve">/3 miało to bezpośredni związek z pandemią </w:t>
                            </w:r>
                          </w:p>
                          <w:p w14:paraId="2B2AD39B" w14:textId="77777777" w:rsidR="005A6925" w:rsidRPr="00D616D2" w:rsidRDefault="005A6925" w:rsidP="00070561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E3C5D9" id="_x0000_s1032" type="#_x0000_t202" alt="W formie pracy zdalnej pracowało 5,5% pracujących – dla prawie 1/3 miało to bezpośredni związek z pandemią " style="position:absolute;margin-left:417.75pt;margin-top:1.75pt;width:128.4pt;height:71.25pt;z-index:-251550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" filled="f" stroked="f">
                <v:textbox inset=",0">
                  <w:txbxContent>
                    <w:p w14:paraId="70EC0FE6" w14:textId="5705C20B" w:rsidR="005A6925" w:rsidRPr="002A4789" w:rsidRDefault="005A6925" w:rsidP="00EC542E">
                      <w:pPr>
                        <w:pStyle w:val="tekstzboku"/>
                      </w:pPr>
                      <w:r w:rsidRPr="002A4789">
                        <w:t xml:space="preserve">W formie pracy zdalnej pracowało </w:t>
                      </w:r>
                      <w:r w:rsidR="002A4789" w:rsidRPr="002A4789">
                        <w:t>5,5</w:t>
                      </w:r>
                      <w:r w:rsidRPr="002A4789">
                        <w:t>% pracujących – dla p</w:t>
                      </w:r>
                      <w:r w:rsidR="002A4789" w:rsidRPr="002A4789">
                        <w:t>rawie 1</w:t>
                      </w:r>
                      <w:r w:rsidRPr="002A4789">
                        <w:t xml:space="preserve">/3 miało to bezpośredni związek z pandemią </w:t>
                      </w:r>
                    </w:p>
                    <w:p w14:paraId="2B2AD39B" w14:textId="77777777" w:rsidR="005A6925" w:rsidRPr="00D616D2" w:rsidRDefault="005A6925" w:rsidP="00070561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0561" w:rsidRPr="00E30CC5">
        <w:rPr>
          <w:rFonts w:eastAsia="Times New Roman" w:cs="Times New Roman"/>
          <w:szCs w:val="19"/>
          <w:lang w:eastAsia="pl-PL"/>
        </w:rPr>
        <w:t xml:space="preserve">Pandemia COVID-19 </w:t>
      </w:r>
      <w:r w:rsidR="001A320F" w:rsidRPr="00E30CC5">
        <w:rPr>
          <w:rFonts w:eastAsia="Times New Roman" w:cs="Times New Roman"/>
          <w:szCs w:val="19"/>
          <w:lang w:eastAsia="pl-PL"/>
        </w:rPr>
        <w:t xml:space="preserve">w podobnym stopniu </w:t>
      </w:r>
      <w:r w:rsidR="00D858F0" w:rsidRPr="00E30CC5">
        <w:rPr>
          <w:rFonts w:eastAsia="Times New Roman" w:cs="Times New Roman"/>
          <w:szCs w:val="19"/>
          <w:lang w:eastAsia="pl-PL"/>
        </w:rPr>
        <w:t xml:space="preserve">jak w poprzednim kwartale </w:t>
      </w:r>
      <w:r w:rsidR="00070561" w:rsidRPr="00E30CC5">
        <w:rPr>
          <w:rFonts w:eastAsia="Times New Roman" w:cs="Times New Roman"/>
          <w:szCs w:val="19"/>
          <w:lang w:eastAsia="pl-PL"/>
        </w:rPr>
        <w:t>wpły</w:t>
      </w:r>
      <w:r w:rsidR="00D858F0" w:rsidRPr="00E30CC5">
        <w:rPr>
          <w:rFonts w:eastAsia="Times New Roman" w:cs="Times New Roman"/>
          <w:szCs w:val="19"/>
          <w:lang w:eastAsia="pl-PL"/>
        </w:rPr>
        <w:t>nęła</w:t>
      </w:r>
      <w:r w:rsidR="00070561" w:rsidRPr="00E30CC5">
        <w:rPr>
          <w:rFonts w:eastAsia="Times New Roman" w:cs="Times New Roman"/>
          <w:szCs w:val="19"/>
          <w:lang w:eastAsia="pl-PL"/>
        </w:rPr>
        <w:t xml:space="preserve"> na miejsce wykonywania pracy. W </w:t>
      </w:r>
      <w:r w:rsidR="00E30CC5" w:rsidRPr="00E30CC5">
        <w:rPr>
          <w:rFonts w:eastAsia="Times New Roman" w:cs="Times New Roman"/>
          <w:szCs w:val="19"/>
          <w:lang w:eastAsia="pl-PL"/>
        </w:rPr>
        <w:t>2</w:t>
      </w:r>
      <w:r w:rsidR="00070561" w:rsidRPr="00E30CC5">
        <w:rPr>
          <w:rFonts w:eastAsia="Times New Roman" w:cs="Times New Roman"/>
          <w:szCs w:val="19"/>
          <w:lang w:eastAsia="pl-PL"/>
        </w:rPr>
        <w:t xml:space="preserve"> kwartale </w:t>
      </w:r>
      <w:r w:rsidR="00B00EA1" w:rsidRPr="00E30CC5">
        <w:rPr>
          <w:rFonts w:eastAsia="Times New Roman" w:cs="Times New Roman"/>
          <w:szCs w:val="19"/>
          <w:lang w:eastAsia="pl-PL"/>
        </w:rPr>
        <w:t xml:space="preserve">2022 </w:t>
      </w:r>
      <w:r w:rsidR="00070561" w:rsidRPr="00E30CC5">
        <w:rPr>
          <w:rFonts w:eastAsia="Times New Roman" w:cs="Times New Roman"/>
          <w:szCs w:val="19"/>
          <w:lang w:eastAsia="pl-PL"/>
        </w:rPr>
        <w:t>r. liczba osób wykonujących swoją pracę w</w:t>
      </w:r>
      <w:r w:rsidR="00FF7A16" w:rsidRPr="00E30CC5">
        <w:rPr>
          <w:rFonts w:eastAsia="Times New Roman" w:cs="Times New Roman"/>
          <w:szCs w:val="19"/>
          <w:lang w:eastAsia="pl-PL"/>
        </w:rPr>
        <w:t xml:space="preserve"> </w:t>
      </w:r>
      <w:r w:rsidR="00070561" w:rsidRPr="00E30CC5">
        <w:rPr>
          <w:rFonts w:eastAsia="Times New Roman" w:cs="Times New Roman"/>
          <w:szCs w:val="19"/>
          <w:lang w:eastAsia="pl-PL"/>
        </w:rPr>
        <w:t xml:space="preserve">domu, zwykle lub czasami, wyniosła </w:t>
      </w:r>
      <w:r w:rsidR="00FE5570" w:rsidRPr="00E30CC5">
        <w:rPr>
          <w:rFonts w:eastAsia="Times New Roman" w:cs="Times New Roman"/>
          <w:szCs w:val="19"/>
          <w:lang w:eastAsia="pl-PL"/>
        </w:rPr>
        <w:t>2</w:t>
      </w:r>
      <w:r w:rsidR="00E30CC5" w:rsidRPr="00E30CC5">
        <w:rPr>
          <w:rFonts w:eastAsia="Times New Roman" w:cs="Times New Roman"/>
          <w:szCs w:val="19"/>
          <w:lang w:eastAsia="pl-PL"/>
        </w:rPr>
        <w:t>078</w:t>
      </w:r>
      <w:r w:rsidR="00070561" w:rsidRPr="00E30CC5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E30CC5">
        <w:rPr>
          <w:rFonts w:eastAsia="Times New Roman" w:cs="Times New Roman"/>
          <w:szCs w:val="19"/>
          <w:lang w:eastAsia="pl-PL"/>
        </w:rPr>
        <w:t>,</w:t>
      </w:r>
      <w:r w:rsidR="00070561" w:rsidRPr="00E30CC5">
        <w:rPr>
          <w:rFonts w:eastAsia="Times New Roman" w:cs="Times New Roman"/>
          <w:szCs w:val="19"/>
          <w:lang w:eastAsia="pl-PL"/>
        </w:rPr>
        <w:t xml:space="preserve"> co stanowiło </w:t>
      </w:r>
      <w:r w:rsidR="00E30CC5" w:rsidRPr="00E30CC5">
        <w:rPr>
          <w:rFonts w:eastAsia="Times New Roman" w:cs="Times New Roman"/>
          <w:szCs w:val="19"/>
          <w:lang w:eastAsia="pl-PL"/>
        </w:rPr>
        <w:t>12,4</w:t>
      </w:r>
      <w:r w:rsidR="00070561" w:rsidRPr="00E30CC5">
        <w:rPr>
          <w:rFonts w:eastAsia="Times New Roman" w:cs="Times New Roman"/>
          <w:szCs w:val="19"/>
          <w:lang w:eastAsia="pl-PL"/>
        </w:rPr>
        <w:t>% wszystkich pracujących</w:t>
      </w:r>
      <w:r w:rsidR="00C44AC5">
        <w:rPr>
          <w:rFonts w:eastAsia="Times New Roman" w:cs="Times New Roman"/>
          <w:szCs w:val="19"/>
          <w:lang w:eastAsia="pl-PL"/>
        </w:rPr>
        <w:t>.</w:t>
      </w:r>
      <w:r w:rsidR="00070561" w:rsidRPr="00E30CC5">
        <w:rPr>
          <w:rFonts w:eastAsia="Times New Roman" w:cs="Times New Roman"/>
          <w:szCs w:val="19"/>
          <w:lang w:eastAsia="pl-PL"/>
        </w:rPr>
        <w:t xml:space="preserve"> </w:t>
      </w:r>
      <w:r w:rsidR="00070561" w:rsidRPr="00607076">
        <w:rPr>
          <w:rFonts w:eastAsia="Times New Roman" w:cs="Times New Roman"/>
          <w:szCs w:val="19"/>
          <w:lang w:eastAsia="pl-PL"/>
        </w:rPr>
        <w:t xml:space="preserve">Wśród tej zbiorowości </w:t>
      </w:r>
      <w:r w:rsidR="00E30CC5" w:rsidRPr="00607076">
        <w:rPr>
          <w:rFonts w:eastAsia="Times New Roman" w:cs="Times New Roman"/>
          <w:szCs w:val="19"/>
          <w:lang w:eastAsia="pl-PL"/>
        </w:rPr>
        <w:t>287</w:t>
      </w:r>
      <w:r w:rsidR="00B0220C" w:rsidRPr="00607076">
        <w:rPr>
          <w:rFonts w:eastAsia="Times New Roman" w:cs="Times New Roman"/>
          <w:szCs w:val="19"/>
          <w:lang w:eastAsia="pl-PL"/>
        </w:rPr>
        <w:t xml:space="preserve"> </w:t>
      </w:r>
      <w:r w:rsidR="00070561" w:rsidRPr="00607076">
        <w:rPr>
          <w:rFonts w:eastAsia="Times New Roman" w:cs="Times New Roman"/>
          <w:szCs w:val="19"/>
          <w:lang w:eastAsia="pl-PL"/>
        </w:rPr>
        <w:t xml:space="preserve">tys. osób (tj. </w:t>
      </w:r>
      <w:r w:rsidR="00607076" w:rsidRPr="00607076">
        <w:rPr>
          <w:rFonts w:eastAsia="Times New Roman" w:cs="Times New Roman"/>
          <w:szCs w:val="19"/>
          <w:lang w:eastAsia="pl-PL"/>
        </w:rPr>
        <w:t>13,8</w:t>
      </w:r>
      <w:r w:rsidR="00070561" w:rsidRPr="00607076">
        <w:rPr>
          <w:rFonts w:eastAsia="Times New Roman" w:cs="Times New Roman"/>
          <w:szCs w:val="19"/>
          <w:lang w:eastAsia="pl-PL"/>
        </w:rPr>
        <w:t>%) pracowało w</w:t>
      </w:r>
      <w:r w:rsidR="00FF7A16" w:rsidRPr="00607076">
        <w:rPr>
          <w:rFonts w:eastAsia="Times New Roman" w:cs="Times New Roman"/>
          <w:szCs w:val="19"/>
          <w:lang w:eastAsia="pl-PL"/>
        </w:rPr>
        <w:t xml:space="preserve"> </w:t>
      </w:r>
      <w:r w:rsidR="00070561" w:rsidRPr="00607076">
        <w:rPr>
          <w:rFonts w:eastAsia="Times New Roman" w:cs="Times New Roman"/>
          <w:szCs w:val="19"/>
          <w:lang w:eastAsia="pl-PL"/>
        </w:rPr>
        <w:t>domu z powodu sytuacji związanej z pandemią COVID-19. W</w:t>
      </w:r>
      <w:r w:rsidR="00FF7A16" w:rsidRPr="00607076">
        <w:rPr>
          <w:rFonts w:eastAsia="Times New Roman" w:cs="Times New Roman"/>
          <w:szCs w:val="19"/>
          <w:lang w:eastAsia="pl-PL"/>
        </w:rPr>
        <w:t xml:space="preserve"> </w:t>
      </w:r>
      <w:r w:rsidR="00607076" w:rsidRPr="00607076">
        <w:rPr>
          <w:rFonts w:eastAsia="Times New Roman" w:cs="Times New Roman"/>
          <w:szCs w:val="19"/>
          <w:lang w:eastAsia="pl-PL"/>
        </w:rPr>
        <w:t>2</w:t>
      </w:r>
      <w:r w:rsidR="00FF7A16" w:rsidRPr="00607076">
        <w:rPr>
          <w:rFonts w:eastAsia="Times New Roman" w:cs="Times New Roman"/>
          <w:szCs w:val="19"/>
          <w:lang w:eastAsia="pl-PL"/>
        </w:rPr>
        <w:t xml:space="preserve"> </w:t>
      </w:r>
      <w:r w:rsidR="00070561" w:rsidRPr="00607076">
        <w:rPr>
          <w:rFonts w:eastAsia="Times New Roman" w:cs="Times New Roman"/>
          <w:szCs w:val="19"/>
          <w:lang w:eastAsia="pl-PL"/>
        </w:rPr>
        <w:t>kwartale 202</w:t>
      </w:r>
      <w:r w:rsidR="00B0220C" w:rsidRPr="00607076">
        <w:rPr>
          <w:rFonts w:eastAsia="Times New Roman" w:cs="Times New Roman"/>
          <w:szCs w:val="19"/>
          <w:lang w:eastAsia="pl-PL"/>
        </w:rPr>
        <w:t>2</w:t>
      </w:r>
      <w:r w:rsidR="00070561" w:rsidRPr="00607076">
        <w:rPr>
          <w:rFonts w:eastAsia="Times New Roman" w:cs="Times New Roman"/>
          <w:szCs w:val="19"/>
          <w:lang w:eastAsia="pl-PL"/>
        </w:rPr>
        <w:t xml:space="preserve"> r. w formie pracy zdalnej (nie jest tu uwzględniane miejsce wykonywania pracy) swoje obowiązki zawodowe wykonywało</w:t>
      </w:r>
      <w:r w:rsidR="00634CF9" w:rsidRPr="00607076">
        <w:rPr>
          <w:rFonts w:eastAsia="Times New Roman" w:cs="Times New Roman"/>
          <w:szCs w:val="19"/>
          <w:lang w:eastAsia="pl-PL"/>
        </w:rPr>
        <w:t xml:space="preserve"> zwykle lub czasami</w:t>
      </w:r>
      <w:r w:rsidR="00070561" w:rsidRPr="00607076">
        <w:rPr>
          <w:rFonts w:eastAsia="Times New Roman" w:cs="Times New Roman"/>
          <w:szCs w:val="19"/>
          <w:lang w:eastAsia="pl-PL"/>
        </w:rPr>
        <w:t xml:space="preserve"> </w:t>
      </w:r>
      <w:r w:rsidR="00607076" w:rsidRPr="00607076">
        <w:rPr>
          <w:rFonts w:eastAsia="Times New Roman" w:cs="Times New Roman"/>
          <w:szCs w:val="19"/>
          <w:lang w:eastAsia="pl-PL"/>
        </w:rPr>
        <w:t>926</w:t>
      </w:r>
      <w:r w:rsidR="00634CF9" w:rsidRPr="00607076">
        <w:rPr>
          <w:rFonts w:eastAsia="Times New Roman" w:cs="Times New Roman"/>
          <w:szCs w:val="19"/>
          <w:lang w:eastAsia="pl-PL"/>
        </w:rPr>
        <w:t xml:space="preserve"> </w:t>
      </w:r>
      <w:r w:rsidR="00070561" w:rsidRPr="00607076">
        <w:rPr>
          <w:rFonts w:eastAsia="Times New Roman" w:cs="Times New Roman"/>
          <w:szCs w:val="19"/>
          <w:lang w:eastAsia="pl-PL"/>
        </w:rPr>
        <w:t xml:space="preserve">tys. osób (co stanowiło </w:t>
      </w:r>
      <w:r w:rsidR="00607076" w:rsidRPr="00607076">
        <w:rPr>
          <w:rFonts w:eastAsia="Times New Roman" w:cs="Times New Roman"/>
          <w:szCs w:val="19"/>
          <w:lang w:eastAsia="pl-PL"/>
        </w:rPr>
        <w:t>5,5</w:t>
      </w:r>
      <w:r w:rsidR="00070561" w:rsidRPr="00607076">
        <w:rPr>
          <w:rFonts w:eastAsia="Times New Roman" w:cs="Times New Roman"/>
          <w:szCs w:val="19"/>
          <w:lang w:eastAsia="pl-PL"/>
        </w:rPr>
        <w:t xml:space="preserve">% </w:t>
      </w:r>
      <w:r w:rsidR="00070561" w:rsidRPr="002A4789">
        <w:rPr>
          <w:rFonts w:eastAsia="Times New Roman" w:cs="Times New Roman"/>
          <w:szCs w:val="19"/>
          <w:lang w:eastAsia="pl-PL"/>
        </w:rPr>
        <w:t xml:space="preserve">wszystkich pracujących), spośród których </w:t>
      </w:r>
      <w:r w:rsidR="00607076" w:rsidRPr="002A4789">
        <w:rPr>
          <w:rFonts w:eastAsia="Times New Roman" w:cs="Times New Roman"/>
          <w:szCs w:val="19"/>
          <w:lang w:eastAsia="pl-PL"/>
        </w:rPr>
        <w:t>31,0</w:t>
      </w:r>
      <w:r w:rsidR="00070561" w:rsidRPr="002A4789">
        <w:rPr>
          <w:rFonts w:eastAsia="Times New Roman" w:cs="Times New Roman"/>
          <w:szCs w:val="19"/>
          <w:lang w:eastAsia="pl-PL"/>
        </w:rPr>
        <w:t>% pracowało w tej formie z powodu pandemii COVID-19</w:t>
      </w:r>
      <w:r w:rsidR="00C44AC5">
        <w:rPr>
          <w:rFonts w:eastAsia="Times New Roman" w:cs="Times New Roman"/>
          <w:szCs w:val="19"/>
          <w:lang w:eastAsia="pl-PL"/>
        </w:rPr>
        <w:t>.</w:t>
      </w:r>
    </w:p>
    <w:p w14:paraId="2883545A" w14:textId="77777777" w:rsidR="0010408A" w:rsidRPr="002A4789" w:rsidRDefault="0010408A" w:rsidP="0010408A">
      <w:pPr>
        <w:spacing w:line="240" w:lineRule="auto"/>
        <w:rPr>
          <w:rFonts w:eastAsia="Times New Roman" w:cs="Times New Roman"/>
          <w:szCs w:val="19"/>
          <w:lang w:eastAsia="pl-PL"/>
        </w:rPr>
      </w:pPr>
    </w:p>
    <w:p w14:paraId="7F52ACB2" w14:textId="3767152D" w:rsidR="006F60AD" w:rsidRPr="00921D85" w:rsidRDefault="00D5579D" w:rsidP="0059086B">
      <w:pPr>
        <w:pStyle w:val="Lead"/>
        <w:spacing w:before="120"/>
      </w:pPr>
      <w:r w:rsidRPr="00A873BD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BF54515" wp14:editId="0E924012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2204085" cy="1152525"/>
                <wp:effectExtent l="0" t="0" r="5715" b="9525"/>
                <wp:wrapSquare wrapText="bothSides"/>
                <wp:docPr id="18" name="Pole tekstowe 2" descr="Stopa bezrobocia - 2,6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25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6684" w14:textId="1807B65A" w:rsidR="005A6925" w:rsidRPr="00E71364" w:rsidRDefault="001B35DB" w:rsidP="00577E1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2,6</w:t>
                            </w:r>
                            <w:r w:rsidR="00CE4896" w:rsidRPr="00CE4896">
                              <w:rPr>
                                <w:rStyle w:val="WartowskanikaZnak"/>
                                <w:color w:val="auto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1286B078" w14:textId="1DC7FB47" w:rsidR="005A6925" w:rsidRPr="007D605C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S</w:t>
                            </w:r>
                            <w:r w:rsidR="005A6925">
                              <w:t>top</w:t>
                            </w:r>
                            <w:r>
                              <w:t>a</w:t>
                            </w:r>
                            <w:r w:rsidR="005A6925">
                              <w:t xml:space="preserve"> bezrobocia</w:t>
                            </w:r>
                            <w:r w:rsidR="005B4D77">
                              <w:t xml:space="preserve"> osób w wieku 15-89 lat</w:t>
                            </w:r>
                          </w:p>
                          <w:p w14:paraId="7461953E" w14:textId="77777777" w:rsidR="003F0643" w:rsidRDefault="003F06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4BF54515" id="_x0000_s1033" alt="Stopa bezrobocia - 2,6%&#10;" style="position:absolute;margin-left:0;margin-top:2.75pt;width:173.55pt;height:90.75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" fillcolor="#001d77" stroked="f">
                <v:stroke joinstyle="miter"/>
                <v:textbox>
                  <w:txbxContent>
                    <w:p w14:paraId="2CC16684" w14:textId="1807B65A" w:rsidR="005A6925" w:rsidRPr="00E71364" w:rsidRDefault="001B35DB" w:rsidP="00577E1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2,6</w:t>
                      </w:r>
                      <w:r w:rsidR="00CE4896" w:rsidRPr="00CE4896">
                        <w:rPr>
                          <w:rStyle w:val="WartowskanikaZnak"/>
                          <w:color w:val="auto"/>
                          <w:sz w:val="72"/>
                          <w:szCs w:val="72"/>
                        </w:rPr>
                        <w:t>%</w:t>
                      </w:r>
                    </w:p>
                    <w:p w14:paraId="1286B078" w14:textId="1DC7FB47" w:rsidR="005A6925" w:rsidRPr="007D605C" w:rsidRDefault="00CE4896" w:rsidP="00577E10">
                      <w:pPr>
                        <w:pStyle w:val="Opiswskanika"/>
                        <w:spacing w:before="120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S</w:t>
                      </w:r>
                      <w:r w:rsidR="005A6925">
                        <w:t>top</w:t>
                      </w:r>
                      <w:r>
                        <w:t>a</w:t>
                      </w:r>
                      <w:r w:rsidR="005A6925">
                        <w:t xml:space="preserve"> bezrobocia</w:t>
                      </w:r>
                      <w:r w:rsidR="005B4D77">
                        <w:t xml:space="preserve"> osób w wieku 15-89 lat</w:t>
                      </w:r>
                    </w:p>
                    <w:p w14:paraId="7461953E" w14:textId="77777777" w:rsidR="003F0643" w:rsidRDefault="003F0643"/>
                  </w:txbxContent>
                </v:textbox>
                <w10:wrap type="square" anchorx="margin"/>
              </v:roundrect>
            </w:pict>
          </mc:Fallback>
        </mc:AlternateContent>
      </w:r>
      <w:r w:rsidR="00070561" w:rsidRPr="00A873BD">
        <w:t xml:space="preserve">Osoby bezrobotne stanowiły w </w:t>
      </w:r>
      <w:r w:rsidR="001B35DB">
        <w:t>2</w:t>
      </w:r>
      <w:r w:rsidR="00070561" w:rsidRPr="00D66BE3">
        <w:t xml:space="preserve"> kw</w:t>
      </w:r>
      <w:r w:rsidR="00B35283">
        <w:t xml:space="preserve">artale </w:t>
      </w:r>
      <w:r w:rsidR="00070561" w:rsidRPr="00D66BE3">
        <w:t>202</w:t>
      </w:r>
      <w:r w:rsidR="00C865B5">
        <w:t>2</w:t>
      </w:r>
      <w:r w:rsidR="00070561" w:rsidRPr="00D66BE3">
        <w:t xml:space="preserve"> r</w:t>
      </w:r>
      <w:r w:rsidR="00070561" w:rsidRPr="00993C0A">
        <w:t xml:space="preserve">. </w:t>
      </w:r>
      <w:r w:rsidR="001B35DB">
        <w:t>2,6</w:t>
      </w:r>
      <w:r w:rsidR="00070561" w:rsidRPr="00993C0A">
        <w:t xml:space="preserve">% ludności aktywnej zawodowo w wieku </w:t>
      </w:r>
      <w:r w:rsidR="00335F47">
        <w:br/>
      </w:r>
      <w:r w:rsidR="00070561" w:rsidRPr="00993C0A">
        <w:t>15–89</w:t>
      </w:r>
      <w:r w:rsidR="00573B10">
        <w:t> </w:t>
      </w:r>
      <w:r w:rsidR="00070561" w:rsidRPr="00993C0A">
        <w:t>lat</w:t>
      </w:r>
      <w:r w:rsidR="004A71F1">
        <w:t>.</w:t>
      </w:r>
      <w:r w:rsidR="00070561" w:rsidRPr="00993C0A">
        <w:t xml:space="preserve"> </w:t>
      </w:r>
      <w:r w:rsidR="005C1927" w:rsidRPr="005C1927">
        <w:t>W</w:t>
      </w:r>
      <w:r w:rsidR="003E2475">
        <w:t> </w:t>
      </w:r>
      <w:r w:rsidR="005C1927" w:rsidRPr="005C1927">
        <w:t xml:space="preserve">porównaniu z </w:t>
      </w:r>
      <w:r w:rsidR="001B35DB">
        <w:t>ubiegłym kwartałem, jak i</w:t>
      </w:r>
      <w:r w:rsidR="00573B10">
        <w:t> </w:t>
      </w:r>
      <w:r w:rsidR="001B35DB">
        <w:t>analogicznym okresem poprzedniego roku</w:t>
      </w:r>
      <w:r w:rsidR="005836FD">
        <w:t>,</w:t>
      </w:r>
      <w:r w:rsidR="001B35DB">
        <w:t xml:space="preserve"> </w:t>
      </w:r>
      <w:r w:rsidR="005C1927">
        <w:t>s</w:t>
      </w:r>
      <w:r w:rsidR="00070561" w:rsidRPr="00993C0A">
        <w:t>topa bezrobocia</w:t>
      </w:r>
      <w:r w:rsidR="003E2475">
        <w:t xml:space="preserve"> </w:t>
      </w:r>
      <w:r w:rsidR="001B35DB">
        <w:t>zmniejszyła się odpowiednio o</w:t>
      </w:r>
      <w:r w:rsidR="00D41B9C">
        <w:t> </w:t>
      </w:r>
      <w:r w:rsidR="001B35DB">
        <w:t>0,5</w:t>
      </w:r>
      <w:r w:rsidR="00D41B9C">
        <w:t> </w:t>
      </w:r>
      <w:r w:rsidR="001B35DB">
        <w:t>p.</w:t>
      </w:r>
      <w:r w:rsidR="00D41B9C">
        <w:t> </w:t>
      </w:r>
      <w:r w:rsidR="001B35DB">
        <w:t>proc. i 0,9 p. proc.</w:t>
      </w:r>
      <w:r w:rsidR="003E2475">
        <w:t xml:space="preserve"> </w:t>
      </w:r>
      <w:r w:rsidR="007F440F">
        <w:t>N</w:t>
      </w:r>
      <w:r w:rsidR="003E2475">
        <w:t>atężeni</w:t>
      </w:r>
      <w:r w:rsidR="007F440F">
        <w:t>e</w:t>
      </w:r>
      <w:r w:rsidR="003E2475">
        <w:t xml:space="preserve"> </w:t>
      </w:r>
      <w:r w:rsidR="007F440F">
        <w:t xml:space="preserve">bezrobocia </w:t>
      </w:r>
      <w:r w:rsidR="003E2475">
        <w:t xml:space="preserve">było niższe wśród populacji </w:t>
      </w:r>
      <w:r w:rsidR="001B35DB">
        <w:t xml:space="preserve">mężczyzn </w:t>
      </w:r>
      <w:r w:rsidR="00070561" w:rsidRPr="00993C0A">
        <w:t xml:space="preserve">niż </w:t>
      </w:r>
      <w:r w:rsidR="001B35DB">
        <w:t>kobiet</w:t>
      </w:r>
      <w:r w:rsidR="00C44AC5">
        <w:t xml:space="preserve"> </w:t>
      </w:r>
      <w:r w:rsidR="00070561" w:rsidRPr="00993C0A">
        <w:t xml:space="preserve">(odpowiednio </w:t>
      </w:r>
      <w:r w:rsidR="001B35DB">
        <w:t>2,3</w:t>
      </w:r>
      <w:r w:rsidR="00070561" w:rsidRPr="00993C0A">
        <w:t>% wobec 3,</w:t>
      </w:r>
      <w:r w:rsidR="001B35DB">
        <w:t>0</w:t>
      </w:r>
      <w:r w:rsidR="00070561" w:rsidRPr="00993C0A">
        <w:t>%).</w:t>
      </w:r>
    </w:p>
    <w:p w14:paraId="21B82A24" w14:textId="6333EA98" w:rsidR="00D62410" w:rsidRPr="00524007" w:rsidRDefault="00D62410" w:rsidP="00524007">
      <w:pPr>
        <w:pStyle w:val="Nagwek1"/>
        <w:rPr>
          <w:rFonts w:ascii="Fira Sans" w:hAnsi="Fira Sans"/>
          <w:b/>
          <w:szCs w:val="19"/>
        </w:rPr>
      </w:pPr>
      <w:r w:rsidRPr="00D62410">
        <w:rPr>
          <w:rFonts w:ascii="Fira Sans" w:hAnsi="Fira Sans"/>
          <w:b/>
          <w:szCs w:val="19"/>
        </w:rPr>
        <w:t>Bezrobotni według BAEL</w:t>
      </w:r>
      <w:r w:rsidR="005D1913">
        <w:rPr>
          <w:rFonts w:ascii="Fira Sans" w:hAnsi="Fira Sans"/>
          <w:b/>
          <w:szCs w:val="19"/>
        </w:rPr>
        <w:t xml:space="preserve"> </w:t>
      </w:r>
    </w:p>
    <w:p w14:paraId="6E797860" w14:textId="7C618ED6" w:rsidR="00D75635" w:rsidRDefault="00D62410" w:rsidP="00271094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B744DB">
        <w:rPr>
          <w:rFonts w:eastAsia="Times New Roman" w:cs="Times New Roman"/>
          <w:szCs w:val="19"/>
          <w:lang w:eastAsia="pl-PL"/>
        </w:rPr>
        <w:t xml:space="preserve">W </w:t>
      </w:r>
      <w:r w:rsidR="00B744DB" w:rsidRPr="00B744DB">
        <w:rPr>
          <w:rFonts w:eastAsia="Times New Roman" w:cs="Times New Roman"/>
          <w:szCs w:val="19"/>
          <w:lang w:eastAsia="pl-PL"/>
        </w:rPr>
        <w:t>2</w:t>
      </w:r>
      <w:r w:rsidRPr="00B744DB">
        <w:rPr>
          <w:rFonts w:eastAsia="Times New Roman" w:cs="Times New Roman"/>
          <w:szCs w:val="19"/>
          <w:lang w:eastAsia="pl-PL"/>
        </w:rPr>
        <w:t xml:space="preserve"> kwartale 202</w:t>
      </w:r>
      <w:r w:rsidR="00072989" w:rsidRPr="00B744DB">
        <w:rPr>
          <w:rFonts w:eastAsia="Times New Roman" w:cs="Times New Roman"/>
          <w:szCs w:val="19"/>
          <w:lang w:eastAsia="pl-PL"/>
        </w:rPr>
        <w:t>2</w:t>
      </w:r>
      <w:r w:rsidRPr="00B744DB">
        <w:rPr>
          <w:rFonts w:eastAsia="Times New Roman" w:cs="Times New Roman"/>
          <w:szCs w:val="19"/>
          <w:lang w:eastAsia="pl-PL"/>
        </w:rPr>
        <w:t xml:space="preserve"> r. populacja osób bezrobotnych w wieku</w:t>
      </w:r>
      <w:r w:rsidRPr="00D66BE3">
        <w:rPr>
          <w:rFonts w:eastAsia="Times New Roman" w:cs="Times New Roman"/>
          <w:szCs w:val="19"/>
          <w:lang w:eastAsia="pl-PL"/>
        </w:rPr>
        <w:t xml:space="preserve"> 15–74 lata liczyła </w:t>
      </w:r>
      <w:r w:rsidR="00B744DB">
        <w:rPr>
          <w:rFonts w:eastAsia="Times New Roman" w:cs="Times New Roman"/>
          <w:szCs w:val="19"/>
          <w:lang w:eastAsia="pl-PL"/>
        </w:rPr>
        <w:t>454</w:t>
      </w:r>
      <w:r w:rsidRPr="00993C0A">
        <w:rPr>
          <w:rFonts w:eastAsia="Times New Roman" w:cs="Times New Roman"/>
          <w:szCs w:val="19"/>
          <w:lang w:eastAsia="pl-PL"/>
        </w:rPr>
        <w:t xml:space="preserve"> tys. i</w:t>
      </w:r>
      <w:r w:rsidR="00271094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z</w:t>
      </w:r>
      <w:r w:rsidR="00B744DB">
        <w:rPr>
          <w:rFonts w:eastAsia="Times New Roman" w:cs="Times New Roman"/>
          <w:szCs w:val="19"/>
          <w:lang w:eastAsia="pl-PL"/>
        </w:rPr>
        <w:t>mniej</w:t>
      </w:r>
      <w:r w:rsidR="00562913" w:rsidRPr="00993C0A">
        <w:rPr>
          <w:rFonts w:eastAsia="Times New Roman" w:cs="Times New Roman"/>
          <w:szCs w:val="19"/>
          <w:lang w:eastAsia="pl-PL"/>
        </w:rPr>
        <w:t>szyła</w:t>
      </w:r>
      <w:r w:rsidRPr="00993C0A">
        <w:rPr>
          <w:rFonts w:eastAsia="Times New Roman" w:cs="Times New Roman"/>
          <w:szCs w:val="19"/>
          <w:lang w:eastAsia="pl-PL"/>
        </w:rPr>
        <w:t xml:space="preserve"> się w porównaniu z </w:t>
      </w:r>
      <w:r w:rsidR="00B744DB">
        <w:rPr>
          <w:rFonts w:eastAsia="Times New Roman" w:cs="Times New Roman"/>
          <w:szCs w:val="19"/>
          <w:lang w:eastAsia="pl-PL"/>
        </w:rPr>
        <w:t>1</w:t>
      </w:r>
      <w:r w:rsidRPr="00993C0A">
        <w:rPr>
          <w:rFonts w:eastAsia="Times New Roman" w:cs="Times New Roman"/>
          <w:szCs w:val="19"/>
          <w:lang w:eastAsia="pl-PL"/>
        </w:rPr>
        <w:t xml:space="preserve"> kwartałem 202</w:t>
      </w:r>
      <w:r w:rsidR="00B744DB">
        <w:rPr>
          <w:rFonts w:eastAsia="Times New Roman" w:cs="Times New Roman"/>
          <w:szCs w:val="19"/>
          <w:lang w:eastAsia="pl-PL"/>
        </w:rPr>
        <w:t xml:space="preserve">2 </w:t>
      </w:r>
      <w:r w:rsidRPr="00993C0A">
        <w:rPr>
          <w:rFonts w:eastAsia="Times New Roman" w:cs="Times New Roman"/>
          <w:szCs w:val="19"/>
          <w:lang w:eastAsia="pl-PL"/>
        </w:rPr>
        <w:t xml:space="preserve">r. </w:t>
      </w:r>
      <w:r w:rsidR="0002068A" w:rsidRPr="00993C0A">
        <w:rPr>
          <w:rFonts w:eastAsia="Times New Roman" w:cs="Times New Roman"/>
          <w:szCs w:val="19"/>
          <w:lang w:eastAsia="pl-PL"/>
        </w:rPr>
        <w:t>(</w:t>
      </w:r>
      <w:r w:rsidRPr="00993C0A">
        <w:rPr>
          <w:rFonts w:eastAsia="Times New Roman" w:cs="Times New Roman"/>
          <w:szCs w:val="19"/>
          <w:lang w:eastAsia="pl-PL"/>
        </w:rPr>
        <w:t xml:space="preserve">o </w:t>
      </w:r>
      <w:r w:rsidR="00B744DB">
        <w:rPr>
          <w:rFonts w:eastAsia="Times New Roman" w:cs="Times New Roman"/>
          <w:szCs w:val="19"/>
          <w:lang w:eastAsia="pl-PL"/>
        </w:rPr>
        <w:t>82</w:t>
      </w:r>
      <w:r w:rsidRPr="00993C0A">
        <w:rPr>
          <w:rFonts w:eastAsia="Times New Roman" w:cs="Times New Roman"/>
          <w:szCs w:val="19"/>
          <w:lang w:eastAsia="pl-PL"/>
        </w:rPr>
        <w:t xml:space="preserve"> tys., tj. o </w:t>
      </w:r>
      <w:r w:rsidR="00B744DB">
        <w:rPr>
          <w:rFonts w:eastAsia="Times New Roman" w:cs="Times New Roman"/>
          <w:szCs w:val="19"/>
          <w:lang w:eastAsia="pl-PL"/>
        </w:rPr>
        <w:t>15,3</w:t>
      </w:r>
      <w:r w:rsidRPr="00993C0A">
        <w:rPr>
          <w:rFonts w:eastAsia="Times New Roman" w:cs="Times New Roman"/>
          <w:szCs w:val="19"/>
          <w:lang w:eastAsia="pl-PL"/>
        </w:rPr>
        <w:t>%</w:t>
      </w:r>
      <w:r w:rsidR="0002068A" w:rsidRPr="00993C0A">
        <w:rPr>
          <w:rFonts w:eastAsia="Times New Roman" w:cs="Times New Roman"/>
          <w:szCs w:val="19"/>
          <w:lang w:eastAsia="pl-PL"/>
        </w:rPr>
        <w:t>)</w:t>
      </w:r>
      <w:r w:rsidR="002A3EB0" w:rsidRPr="00993C0A">
        <w:rPr>
          <w:rFonts w:eastAsia="Times New Roman" w:cs="Times New Roman"/>
          <w:szCs w:val="19"/>
          <w:lang w:eastAsia="pl-PL"/>
        </w:rPr>
        <w:t>,</w:t>
      </w:r>
      <w:r w:rsidR="002A3EB0" w:rsidRPr="00993C0A">
        <w:t xml:space="preserve"> </w:t>
      </w:r>
      <w:r w:rsidR="00B744DB">
        <w:t>jak i 2 kwartałem 2021 r. (o</w:t>
      </w:r>
      <w:r w:rsidR="00D41B9C">
        <w:t> </w:t>
      </w:r>
      <w:r w:rsidR="00B744DB">
        <w:t xml:space="preserve">152 tys., tj. o 25,1%). </w:t>
      </w:r>
    </w:p>
    <w:p w14:paraId="09EED777" w14:textId="0D225761" w:rsidR="005B4D77" w:rsidRDefault="005B4D77" w:rsidP="005B4D7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 xml:space="preserve">Większość zbiorowości bezrobotnych </w:t>
      </w:r>
      <w:r>
        <w:rPr>
          <w:rFonts w:eastAsia="Times New Roman" w:cs="Times New Roman"/>
          <w:szCs w:val="19"/>
          <w:lang w:eastAsia="pl-PL"/>
        </w:rPr>
        <w:t>w 2 kwartale 2022 r. stanowiły kobiety</w:t>
      </w:r>
      <w:r w:rsidRPr="00993C0A">
        <w:rPr>
          <w:rFonts w:eastAsia="Times New Roman" w:cs="Times New Roman"/>
          <w:szCs w:val="19"/>
          <w:lang w:eastAsia="pl-PL"/>
        </w:rPr>
        <w:t xml:space="preserve"> – 5</w:t>
      </w:r>
      <w:r>
        <w:rPr>
          <w:rFonts w:eastAsia="Times New Roman" w:cs="Times New Roman"/>
          <w:szCs w:val="19"/>
          <w:lang w:eastAsia="pl-PL"/>
        </w:rPr>
        <w:t>2,6</w:t>
      </w:r>
      <w:r w:rsidRPr="00993C0A">
        <w:rPr>
          <w:rFonts w:eastAsia="Times New Roman" w:cs="Times New Roman"/>
          <w:szCs w:val="19"/>
          <w:lang w:eastAsia="pl-PL"/>
        </w:rPr>
        <w:t>%, tj. 2</w:t>
      </w:r>
      <w:r>
        <w:rPr>
          <w:rFonts w:eastAsia="Times New Roman" w:cs="Times New Roman"/>
          <w:szCs w:val="19"/>
          <w:lang w:eastAsia="pl-PL"/>
        </w:rPr>
        <w:t>39 </w:t>
      </w:r>
      <w:r w:rsidRPr="00993C0A">
        <w:rPr>
          <w:rFonts w:eastAsia="Times New Roman" w:cs="Times New Roman"/>
          <w:szCs w:val="19"/>
          <w:lang w:eastAsia="pl-PL"/>
        </w:rPr>
        <w:t>tys.</w:t>
      </w:r>
      <w:r>
        <w:rPr>
          <w:rFonts w:eastAsia="Times New Roman" w:cs="Times New Roman"/>
          <w:szCs w:val="19"/>
          <w:lang w:eastAsia="pl-PL"/>
        </w:rPr>
        <w:t>, a b</w:t>
      </w:r>
      <w:r w:rsidRPr="00993C0A">
        <w:rPr>
          <w:rFonts w:eastAsia="Times New Roman" w:cs="Times New Roman"/>
          <w:szCs w:val="19"/>
          <w:lang w:eastAsia="pl-PL"/>
        </w:rPr>
        <w:t xml:space="preserve">iorąc pod uwagę miejsce zamieszkania, mieszkańcy miast </w:t>
      </w:r>
      <w:r>
        <w:rPr>
          <w:rFonts w:eastAsia="Times New Roman" w:cs="Times New Roman"/>
          <w:szCs w:val="19"/>
          <w:lang w:eastAsia="pl-PL"/>
        </w:rPr>
        <w:t>(56,8</w:t>
      </w:r>
      <w:r w:rsidRPr="00993C0A">
        <w:rPr>
          <w:rFonts w:eastAsia="Times New Roman" w:cs="Times New Roman"/>
          <w:szCs w:val="19"/>
          <w:lang w:eastAsia="pl-PL"/>
        </w:rPr>
        <w:t xml:space="preserve">% tej grupy, tj. </w:t>
      </w:r>
      <w:r>
        <w:rPr>
          <w:rFonts w:eastAsia="Times New Roman" w:cs="Times New Roman"/>
          <w:szCs w:val="19"/>
          <w:lang w:eastAsia="pl-PL"/>
        </w:rPr>
        <w:t>258 </w:t>
      </w:r>
      <w:r w:rsidRPr="00993C0A">
        <w:rPr>
          <w:rFonts w:eastAsia="Times New Roman" w:cs="Times New Roman"/>
          <w:szCs w:val="19"/>
          <w:lang w:eastAsia="pl-PL"/>
        </w:rPr>
        <w:t>tys.</w:t>
      </w:r>
      <w:r>
        <w:rPr>
          <w:rFonts w:eastAsia="Times New Roman" w:cs="Times New Roman"/>
          <w:szCs w:val="19"/>
          <w:lang w:eastAsia="pl-PL"/>
        </w:rPr>
        <w:t>).</w:t>
      </w:r>
    </w:p>
    <w:p w14:paraId="4E80ADAB" w14:textId="342DE56D" w:rsidR="00B744DB" w:rsidRDefault="00B744DB" w:rsidP="00271094">
      <w:pPr>
        <w:spacing w:line="288" w:lineRule="auto"/>
        <w:rPr>
          <w:szCs w:val="19"/>
        </w:rPr>
      </w:pPr>
      <w:r>
        <w:rPr>
          <w:szCs w:val="19"/>
        </w:rPr>
        <w:t>Spadek</w:t>
      </w:r>
      <w:r w:rsidR="0002068A" w:rsidRPr="00993C0A">
        <w:rPr>
          <w:szCs w:val="19"/>
        </w:rPr>
        <w:t xml:space="preserve"> liczby osób bezrobotnych w porównaniu z poprzednim kwartałem </w:t>
      </w:r>
      <w:r>
        <w:rPr>
          <w:szCs w:val="19"/>
        </w:rPr>
        <w:t xml:space="preserve">był spowodowany zmniejszeniem się liczebności bezrobotnych wśród mężczyzn (o 82 tys., tj. o 27,6%), </w:t>
      </w:r>
      <w:r w:rsidR="00FC696C">
        <w:rPr>
          <w:szCs w:val="19"/>
        </w:rPr>
        <w:t xml:space="preserve">podczas gdy liczba bezrobotnych kobiet pozostała na podobnym poziomie. </w:t>
      </w:r>
      <w:r w:rsidR="0002068A" w:rsidRPr="00993C0A">
        <w:rPr>
          <w:szCs w:val="19"/>
        </w:rPr>
        <w:t xml:space="preserve">Biorąc pod uwagę miejsce zamieszkania, </w:t>
      </w:r>
      <w:r>
        <w:rPr>
          <w:szCs w:val="19"/>
        </w:rPr>
        <w:t>spadek wystąpił zarówno wśród mieszkańców miast (o 51 tys.</w:t>
      </w:r>
      <w:r w:rsidR="004444E0">
        <w:rPr>
          <w:szCs w:val="19"/>
        </w:rPr>
        <w:t>,</w:t>
      </w:r>
      <w:r>
        <w:rPr>
          <w:szCs w:val="19"/>
        </w:rPr>
        <w:t xml:space="preserve"> tj. o 16,5%), jak i</w:t>
      </w:r>
      <w:r w:rsidR="00EF3992">
        <w:rPr>
          <w:szCs w:val="19"/>
        </w:rPr>
        <w:t> </w:t>
      </w:r>
      <w:r>
        <w:rPr>
          <w:szCs w:val="19"/>
        </w:rPr>
        <w:t>wsi (o 30 tys.</w:t>
      </w:r>
      <w:r w:rsidR="004444E0">
        <w:rPr>
          <w:szCs w:val="19"/>
        </w:rPr>
        <w:t>,</w:t>
      </w:r>
      <w:r>
        <w:rPr>
          <w:szCs w:val="19"/>
        </w:rPr>
        <w:t xml:space="preserve"> tj. o 13,3%). </w:t>
      </w:r>
    </w:p>
    <w:p w14:paraId="31357C1F" w14:textId="3C19E551" w:rsidR="0002068A" w:rsidRPr="00993C0A" w:rsidRDefault="00CF4B98" w:rsidP="008B1B1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873BD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 wp14:anchorId="026C3BD9" wp14:editId="19E3BD4B">
                <wp:simplePos x="0" y="0"/>
                <wp:positionH relativeFrom="column">
                  <wp:posOffset>5274613</wp:posOffset>
                </wp:positionH>
                <wp:positionV relativeFrom="paragraph">
                  <wp:posOffset>653889</wp:posOffset>
                </wp:positionV>
                <wp:extent cx="1602000" cy="763200"/>
                <wp:effectExtent l="0" t="0" r="0" b="0"/>
                <wp:wrapTight wrapText="bothSides">
                  <wp:wrapPolygon edited="0">
                    <wp:start x="771" y="0"/>
                    <wp:lineTo x="771" y="21042"/>
                    <wp:lineTo x="20812" y="21042"/>
                    <wp:lineTo x="20812" y="0"/>
                    <wp:lineTo x="771" y="0"/>
                  </wp:wrapPolygon>
                </wp:wrapTight>
                <wp:docPr id="13" name="Pole tekstowe 2" descr="Stopa bezrobocia według BAEL w populacji mężczyzn była niższa niż w populacji kobi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2000" cy="76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2B47" w14:textId="5771747F" w:rsidR="005A6925" w:rsidRDefault="005A6925" w:rsidP="00EC542E">
                            <w:pPr>
                              <w:pStyle w:val="tekstzboku"/>
                            </w:pPr>
                            <w:r>
                              <w:t xml:space="preserve">Stopa bezrobocia według BAEL w populacji </w:t>
                            </w:r>
                            <w:r w:rsidR="006F6E4B">
                              <w:t xml:space="preserve">mężczyzn </w:t>
                            </w:r>
                            <w:r w:rsidRPr="00680726">
                              <w:t xml:space="preserve">była niższa </w:t>
                            </w:r>
                            <w:r>
                              <w:t xml:space="preserve">niż </w:t>
                            </w:r>
                            <w:r w:rsidRPr="00680726">
                              <w:t xml:space="preserve">w populacji </w:t>
                            </w:r>
                            <w:r w:rsidR="006F6E4B">
                              <w:t>kobiet</w:t>
                            </w:r>
                          </w:p>
                          <w:p w14:paraId="72251463" w14:textId="77777777" w:rsidR="005A6925" w:rsidRPr="00DB6754" w:rsidRDefault="005A6925" w:rsidP="00D154A2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26C3BD9" id="_x0000_s1034" type="#_x0000_t202" alt="Stopa bezrobocia według BAEL w populacji mężczyzn była niższa niż w populacji kobiet" style="position:absolute;margin-left:415.3pt;margin-top:51.5pt;width:126.15pt;height:60.1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" filled="f" stroked="f">
                <v:textbox inset=",0">
                  <w:txbxContent>
                    <w:p w14:paraId="514C2B47" w14:textId="5771747F" w:rsidR="005A6925" w:rsidRDefault="005A6925" w:rsidP="00EC542E">
                      <w:pPr>
                        <w:pStyle w:val="tekstzboku"/>
                      </w:pPr>
                      <w:r>
                        <w:t xml:space="preserve">Stopa bezrobocia według BAEL w populacji </w:t>
                      </w:r>
                      <w:r w:rsidR="006F6E4B">
                        <w:t xml:space="preserve">mężczyzn </w:t>
                      </w:r>
                      <w:r w:rsidRPr="00680726">
                        <w:t xml:space="preserve">była niższa </w:t>
                      </w:r>
                      <w:r>
                        <w:t xml:space="preserve">niż </w:t>
                      </w:r>
                      <w:r w:rsidRPr="00680726">
                        <w:t xml:space="preserve">w populacji </w:t>
                      </w:r>
                      <w:r w:rsidR="006F6E4B">
                        <w:t>kobiet</w:t>
                      </w:r>
                    </w:p>
                    <w:p w14:paraId="72251463" w14:textId="77777777" w:rsidR="005A6925" w:rsidRPr="00DB6754" w:rsidRDefault="005A6925" w:rsidP="00D154A2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2068A" w:rsidRPr="00993C0A">
        <w:rPr>
          <w:szCs w:val="19"/>
        </w:rPr>
        <w:t xml:space="preserve">Ograniczenie bezrobocia w okresie roku </w:t>
      </w:r>
      <w:r w:rsidR="008E38DB" w:rsidRPr="00993C0A">
        <w:rPr>
          <w:szCs w:val="19"/>
        </w:rPr>
        <w:t xml:space="preserve">odnotowano </w:t>
      </w:r>
      <w:r w:rsidR="0002068A" w:rsidRPr="00993C0A">
        <w:rPr>
          <w:szCs w:val="19"/>
        </w:rPr>
        <w:t xml:space="preserve">we wszystkich analizowanych subpopulacjach, przy czym </w:t>
      </w:r>
      <w:r w:rsidR="006B1DCE">
        <w:rPr>
          <w:szCs w:val="19"/>
        </w:rPr>
        <w:t>uwzględniając</w:t>
      </w:r>
      <w:r w:rsidR="0002068A" w:rsidRPr="00993C0A">
        <w:rPr>
          <w:szCs w:val="19"/>
        </w:rPr>
        <w:t xml:space="preserve"> podzia</w:t>
      </w:r>
      <w:r w:rsidR="006B1DCE">
        <w:rPr>
          <w:szCs w:val="19"/>
        </w:rPr>
        <w:t>ł według</w:t>
      </w:r>
      <w:r w:rsidR="0002068A" w:rsidRPr="00993C0A">
        <w:rPr>
          <w:szCs w:val="19"/>
        </w:rPr>
        <w:t xml:space="preserve"> pł</w:t>
      </w:r>
      <w:r w:rsidR="006B1DCE">
        <w:rPr>
          <w:szCs w:val="19"/>
        </w:rPr>
        <w:t>ci</w:t>
      </w:r>
      <w:r w:rsidR="0002068A" w:rsidRPr="00993C0A">
        <w:rPr>
          <w:szCs w:val="19"/>
        </w:rPr>
        <w:t xml:space="preserve"> w większym stopniu </w:t>
      </w:r>
      <w:r w:rsidR="008E38DB" w:rsidRPr="00993C0A">
        <w:rPr>
          <w:szCs w:val="19"/>
        </w:rPr>
        <w:t>wystąpiło</w:t>
      </w:r>
      <w:r w:rsidR="005A6925" w:rsidRPr="00993C0A">
        <w:rPr>
          <w:szCs w:val="19"/>
        </w:rPr>
        <w:t xml:space="preserve"> </w:t>
      </w:r>
      <w:r w:rsidR="0002068A" w:rsidRPr="00993C0A">
        <w:rPr>
          <w:szCs w:val="19"/>
        </w:rPr>
        <w:t xml:space="preserve">wśród </w:t>
      </w:r>
      <w:r w:rsidR="004E706E" w:rsidRPr="00993C0A">
        <w:rPr>
          <w:szCs w:val="19"/>
        </w:rPr>
        <w:t>mężczyzn</w:t>
      </w:r>
      <w:r w:rsidR="0002068A" w:rsidRPr="00993C0A">
        <w:rPr>
          <w:szCs w:val="19"/>
        </w:rPr>
        <w:t xml:space="preserve"> (spadek o</w:t>
      </w:r>
      <w:r w:rsidR="008F390A">
        <w:rPr>
          <w:szCs w:val="19"/>
        </w:rPr>
        <w:t> </w:t>
      </w:r>
      <w:r w:rsidR="00FB20EF">
        <w:rPr>
          <w:szCs w:val="19"/>
        </w:rPr>
        <w:t>118</w:t>
      </w:r>
      <w:r w:rsidR="0002068A" w:rsidRPr="00993C0A">
        <w:rPr>
          <w:szCs w:val="19"/>
        </w:rPr>
        <w:t xml:space="preserve"> tys., tj. o </w:t>
      </w:r>
      <w:r w:rsidR="00FB20EF">
        <w:rPr>
          <w:szCs w:val="19"/>
        </w:rPr>
        <w:t>35,4</w:t>
      </w:r>
      <w:r w:rsidR="0002068A" w:rsidRPr="00993C0A">
        <w:rPr>
          <w:szCs w:val="19"/>
        </w:rPr>
        <w:t>%),</w:t>
      </w:r>
      <w:r w:rsidR="0002068A">
        <w:rPr>
          <w:szCs w:val="19"/>
        </w:rPr>
        <w:t xml:space="preserve"> a biorąc pod uwagę miejsce zamieszkania </w:t>
      </w:r>
      <w:r w:rsidR="005A6925">
        <w:rPr>
          <w:szCs w:val="19"/>
        </w:rPr>
        <w:t xml:space="preserve">– </w:t>
      </w:r>
      <w:r w:rsidR="0002068A">
        <w:rPr>
          <w:szCs w:val="19"/>
        </w:rPr>
        <w:t xml:space="preserve">wśród mieszkańców </w:t>
      </w:r>
      <w:r w:rsidR="004E706E" w:rsidRPr="00993C0A">
        <w:rPr>
          <w:szCs w:val="19"/>
        </w:rPr>
        <w:t>miast</w:t>
      </w:r>
      <w:r w:rsidR="0002068A" w:rsidRPr="00993C0A">
        <w:rPr>
          <w:szCs w:val="19"/>
        </w:rPr>
        <w:t xml:space="preserve"> (spadek o </w:t>
      </w:r>
      <w:r w:rsidR="004E706E" w:rsidRPr="00993C0A">
        <w:rPr>
          <w:szCs w:val="19"/>
        </w:rPr>
        <w:t>10</w:t>
      </w:r>
      <w:r w:rsidR="00FB20EF">
        <w:rPr>
          <w:szCs w:val="19"/>
        </w:rPr>
        <w:t>9</w:t>
      </w:r>
      <w:r w:rsidR="0002068A" w:rsidRPr="00993C0A">
        <w:rPr>
          <w:szCs w:val="19"/>
        </w:rPr>
        <w:t xml:space="preserve"> tys., tj. o 2</w:t>
      </w:r>
      <w:r w:rsidR="00FB20EF">
        <w:rPr>
          <w:szCs w:val="19"/>
        </w:rPr>
        <w:t>9,7</w:t>
      </w:r>
      <w:r w:rsidR="0002068A" w:rsidRPr="00993C0A">
        <w:rPr>
          <w:szCs w:val="19"/>
        </w:rPr>
        <w:t>%).</w:t>
      </w:r>
    </w:p>
    <w:p w14:paraId="3B253520" w14:textId="08A43D76" w:rsidR="003150A0" w:rsidRPr="005B4D77" w:rsidRDefault="003150A0" w:rsidP="008B1B1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B4D77">
        <w:rPr>
          <w:rFonts w:eastAsia="Times New Roman" w:cs="Times New Roman"/>
          <w:szCs w:val="19"/>
          <w:lang w:eastAsia="pl-PL"/>
        </w:rPr>
        <w:t xml:space="preserve">Stopa bezrobocia </w:t>
      </w:r>
      <w:r w:rsidR="00CE430B" w:rsidRPr="005B4D77">
        <w:rPr>
          <w:rFonts w:eastAsia="Times New Roman" w:cs="Times New Roman"/>
          <w:szCs w:val="19"/>
          <w:lang w:eastAsia="pl-PL"/>
        </w:rPr>
        <w:t xml:space="preserve">w 2 kwartale 2022 r. </w:t>
      </w:r>
      <w:r w:rsidRPr="005B4D77">
        <w:rPr>
          <w:rFonts w:eastAsia="Times New Roman" w:cs="Times New Roman"/>
          <w:szCs w:val="19"/>
          <w:lang w:eastAsia="pl-PL"/>
        </w:rPr>
        <w:t>wyniosła 2,6%</w:t>
      </w:r>
      <w:r w:rsidR="000C64BF" w:rsidRPr="005B4D77">
        <w:rPr>
          <w:rFonts w:eastAsia="Times New Roman" w:cs="Times New Roman"/>
          <w:szCs w:val="19"/>
          <w:lang w:eastAsia="pl-PL"/>
        </w:rPr>
        <w:t xml:space="preserve">. </w:t>
      </w:r>
      <w:r w:rsidR="00141B2D" w:rsidRPr="005B4D77">
        <w:rPr>
          <w:rFonts w:eastAsia="Times New Roman" w:cs="Times New Roman"/>
          <w:szCs w:val="19"/>
          <w:lang w:eastAsia="pl-PL"/>
        </w:rPr>
        <w:t>Niższa stopa bezrobocia była wśród mężczyzn niż kobiet i wyniosła odpowiednio 2,3% i 3,0%.</w:t>
      </w:r>
    </w:p>
    <w:p w14:paraId="49947146" w14:textId="0A90B71C" w:rsidR="00141B2D" w:rsidRPr="005B4D77" w:rsidRDefault="00141B2D" w:rsidP="008B1B1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B4D77">
        <w:rPr>
          <w:rFonts w:eastAsia="Times New Roman" w:cs="Times New Roman"/>
          <w:szCs w:val="19"/>
          <w:lang w:eastAsia="pl-PL"/>
        </w:rPr>
        <w:t xml:space="preserve">W porównaniu z poprzednim kwartałem </w:t>
      </w:r>
      <w:r w:rsidR="0021418F" w:rsidRPr="005B4D77">
        <w:rPr>
          <w:rFonts w:eastAsia="Times New Roman" w:cs="Times New Roman"/>
          <w:szCs w:val="19"/>
          <w:lang w:eastAsia="pl-PL"/>
        </w:rPr>
        <w:t>natężenie bezrobocia</w:t>
      </w:r>
      <w:r w:rsidRPr="005B4D77">
        <w:rPr>
          <w:rFonts w:eastAsia="Times New Roman" w:cs="Times New Roman"/>
          <w:szCs w:val="19"/>
          <w:lang w:eastAsia="pl-PL"/>
        </w:rPr>
        <w:t xml:space="preserve"> zmniejszył</w:t>
      </w:r>
      <w:r w:rsidR="0021418F" w:rsidRPr="005B4D77">
        <w:rPr>
          <w:rFonts w:eastAsia="Times New Roman" w:cs="Times New Roman"/>
          <w:szCs w:val="19"/>
          <w:lang w:eastAsia="pl-PL"/>
        </w:rPr>
        <w:t>o</w:t>
      </w:r>
      <w:r w:rsidRPr="005B4D77">
        <w:rPr>
          <w:rFonts w:eastAsia="Times New Roman" w:cs="Times New Roman"/>
          <w:szCs w:val="19"/>
          <w:lang w:eastAsia="pl-PL"/>
        </w:rPr>
        <w:t xml:space="preserve"> się </w:t>
      </w:r>
      <w:r w:rsidR="00830FD5" w:rsidRPr="005B4D77">
        <w:rPr>
          <w:rFonts w:eastAsia="Times New Roman" w:cs="Times New Roman"/>
          <w:szCs w:val="19"/>
          <w:lang w:eastAsia="pl-PL"/>
        </w:rPr>
        <w:t>o 0,5 p.</w:t>
      </w:r>
      <w:r w:rsidR="00D41B9C" w:rsidRPr="005B4D77">
        <w:rPr>
          <w:rFonts w:eastAsia="Times New Roman" w:cs="Times New Roman"/>
          <w:szCs w:val="19"/>
          <w:lang w:eastAsia="pl-PL"/>
        </w:rPr>
        <w:t xml:space="preserve"> </w:t>
      </w:r>
      <w:r w:rsidR="00830FD5" w:rsidRPr="005B4D77">
        <w:rPr>
          <w:rFonts w:eastAsia="Times New Roman" w:cs="Times New Roman"/>
          <w:szCs w:val="19"/>
          <w:lang w:eastAsia="pl-PL"/>
        </w:rPr>
        <w:t xml:space="preserve">proc., przy czym </w:t>
      </w:r>
      <w:r w:rsidRPr="005B4D77">
        <w:rPr>
          <w:rFonts w:eastAsia="Times New Roman" w:cs="Times New Roman"/>
          <w:szCs w:val="19"/>
          <w:lang w:eastAsia="pl-PL"/>
        </w:rPr>
        <w:t>w populacji mężczyzn o 0,9 p.</w:t>
      </w:r>
      <w:r w:rsidR="00D41B9C" w:rsidRPr="005B4D77">
        <w:rPr>
          <w:rFonts w:eastAsia="Times New Roman" w:cs="Times New Roman"/>
          <w:szCs w:val="19"/>
          <w:lang w:eastAsia="pl-PL"/>
        </w:rPr>
        <w:t xml:space="preserve"> </w:t>
      </w:r>
      <w:r w:rsidRPr="005B4D77">
        <w:rPr>
          <w:rFonts w:eastAsia="Times New Roman" w:cs="Times New Roman"/>
          <w:szCs w:val="19"/>
          <w:lang w:eastAsia="pl-PL"/>
        </w:rPr>
        <w:t>proc.</w:t>
      </w:r>
      <w:r w:rsidR="0021418F" w:rsidRPr="005B4D77">
        <w:rPr>
          <w:rFonts w:eastAsia="Times New Roman" w:cs="Times New Roman"/>
          <w:szCs w:val="19"/>
          <w:lang w:eastAsia="pl-PL"/>
        </w:rPr>
        <w:t>, a w populacji kobiet pozostało bez zmian. W</w:t>
      </w:r>
      <w:r w:rsidR="00D41B9C" w:rsidRPr="005B4D77">
        <w:rPr>
          <w:rFonts w:eastAsia="Times New Roman" w:cs="Times New Roman"/>
          <w:szCs w:val="19"/>
          <w:lang w:eastAsia="pl-PL"/>
        </w:rPr>
        <w:t> </w:t>
      </w:r>
      <w:r w:rsidR="0021418F" w:rsidRPr="005B4D77">
        <w:rPr>
          <w:rFonts w:eastAsia="Times New Roman" w:cs="Times New Roman"/>
          <w:szCs w:val="19"/>
          <w:lang w:eastAsia="pl-PL"/>
        </w:rPr>
        <w:t xml:space="preserve">przypadku </w:t>
      </w:r>
      <w:r w:rsidR="005836FD" w:rsidRPr="005B4D77">
        <w:rPr>
          <w:rFonts w:eastAsia="Times New Roman" w:cs="Times New Roman"/>
          <w:szCs w:val="19"/>
          <w:lang w:eastAsia="pl-PL"/>
        </w:rPr>
        <w:t xml:space="preserve">mieszkańców </w:t>
      </w:r>
      <w:r w:rsidR="0021418F" w:rsidRPr="005B4D77">
        <w:rPr>
          <w:rFonts w:eastAsia="Times New Roman" w:cs="Times New Roman"/>
          <w:szCs w:val="19"/>
          <w:lang w:eastAsia="pl-PL"/>
        </w:rPr>
        <w:t>miast spadek tego wskaźnika wyniósł 0,5 p.</w:t>
      </w:r>
      <w:r w:rsidR="00D41B9C" w:rsidRPr="005B4D77">
        <w:rPr>
          <w:rFonts w:eastAsia="Times New Roman" w:cs="Times New Roman"/>
          <w:szCs w:val="19"/>
          <w:lang w:eastAsia="pl-PL"/>
        </w:rPr>
        <w:t xml:space="preserve"> </w:t>
      </w:r>
      <w:r w:rsidR="0021418F" w:rsidRPr="005B4D77">
        <w:rPr>
          <w:rFonts w:eastAsia="Times New Roman" w:cs="Times New Roman"/>
          <w:szCs w:val="19"/>
          <w:lang w:eastAsia="pl-PL"/>
        </w:rPr>
        <w:t>proc., a wsi – 0,4</w:t>
      </w:r>
      <w:r w:rsidR="00D41B9C" w:rsidRPr="005B4D77">
        <w:rPr>
          <w:rFonts w:eastAsia="Times New Roman" w:cs="Times New Roman"/>
          <w:szCs w:val="19"/>
          <w:lang w:eastAsia="pl-PL"/>
        </w:rPr>
        <w:t> p. proc</w:t>
      </w:r>
      <w:r w:rsidR="0021418F" w:rsidRPr="005B4D77">
        <w:rPr>
          <w:rFonts w:eastAsia="Times New Roman" w:cs="Times New Roman"/>
          <w:szCs w:val="19"/>
          <w:lang w:eastAsia="pl-PL"/>
        </w:rPr>
        <w:t>.</w:t>
      </w:r>
    </w:p>
    <w:p w14:paraId="09823531" w14:textId="33BE5CDA" w:rsidR="00830FD5" w:rsidRPr="005B4D77" w:rsidRDefault="00830FD5" w:rsidP="008B1B16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5B4D77">
        <w:rPr>
          <w:rFonts w:eastAsia="Times New Roman" w:cs="Times New Roman"/>
          <w:szCs w:val="19"/>
          <w:lang w:eastAsia="pl-PL"/>
        </w:rPr>
        <w:t xml:space="preserve">W skali roku </w:t>
      </w:r>
      <w:r w:rsidR="000C64BF" w:rsidRPr="005B4D77">
        <w:rPr>
          <w:rFonts w:eastAsia="Times New Roman" w:cs="Times New Roman"/>
          <w:szCs w:val="19"/>
          <w:lang w:eastAsia="pl-PL"/>
        </w:rPr>
        <w:t xml:space="preserve">również nastąpił spadek stopy bezrobocia </w:t>
      </w:r>
      <w:r w:rsidRPr="005B4D77">
        <w:rPr>
          <w:rFonts w:eastAsia="Times New Roman" w:cs="Times New Roman"/>
          <w:szCs w:val="19"/>
          <w:lang w:eastAsia="pl-PL"/>
        </w:rPr>
        <w:t>o 0,9 p.</w:t>
      </w:r>
      <w:r w:rsidR="00D41B9C" w:rsidRPr="005B4D77">
        <w:rPr>
          <w:rFonts w:eastAsia="Times New Roman" w:cs="Times New Roman"/>
          <w:szCs w:val="19"/>
          <w:lang w:eastAsia="pl-PL"/>
        </w:rPr>
        <w:t xml:space="preserve"> </w:t>
      </w:r>
      <w:r w:rsidRPr="005B4D77">
        <w:rPr>
          <w:rFonts w:eastAsia="Times New Roman" w:cs="Times New Roman"/>
          <w:szCs w:val="19"/>
          <w:lang w:eastAsia="pl-PL"/>
        </w:rPr>
        <w:t xml:space="preserve">proc., </w:t>
      </w:r>
      <w:r w:rsidR="000C64BF" w:rsidRPr="005B4D77">
        <w:rPr>
          <w:rFonts w:eastAsia="Times New Roman" w:cs="Times New Roman"/>
          <w:szCs w:val="19"/>
          <w:lang w:eastAsia="pl-PL"/>
        </w:rPr>
        <w:t>wśród mężczyzn o</w:t>
      </w:r>
      <w:r w:rsidR="00D41B9C" w:rsidRPr="005B4D77">
        <w:rPr>
          <w:rFonts w:eastAsia="Times New Roman" w:cs="Times New Roman"/>
          <w:szCs w:val="19"/>
          <w:lang w:eastAsia="pl-PL"/>
        </w:rPr>
        <w:t> </w:t>
      </w:r>
      <w:r w:rsidR="000C64BF" w:rsidRPr="005B4D77">
        <w:rPr>
          <w:rFonts w:eastAsia="Times New Roman" w:cs="Times New Roman"/>
          <w:szCs w:val="19"/>
          <w:lang w:eastAsia="pl-PL"/>
        </w:rPr>
        <w:t>1,2</w:t>
      </w:r>
      <w:r w:rsidR="00D41B9C" w:rsidRPr="005B4D77">
        <w:rPr>
          <w:rFonts w:eastAsia="Times New Roman" w:cs="Times New Roman"/>
          <w:szCs w:val="19"/>
          <w:lang w:eastAsia="pl-PL"/>
        </w:rPr>
        <w:t> p. proc</w:t>
      </w:r>
      <w:r w:rsidR="000C64BF" w:rsidRPr="005B4D77">
        <w:rPr>
          <w:rFonts w:eastAsia="Times New Roman" w:cs="Times New Roman"/>
          <w:szCs w:val="19"/>
          <w:lang w:eastAsia="pl-PL"/>
        </w:rPr>
        <w:t>, a wśród kobiet o 0,5 p.</w:t>
      </w:r>
      <w:r w:rsidR="00D41B9C" w:rsidRPr="005B4D77">
        <w:rPr>
          <w:rFonts w:eastAsia="Times New Roman" w:cs="Times New Roman"/>
          <w:szCs w:val="19"/>
          <w:lang w:eastAsia="pl-PL"/>
        </w:rPr>
        <w:t xml:space="preserve"> </w:t>
      </w:r>
      <w:r w:rsidR="000C64BF" w:rsidRPr="005B4D77">
        <w:rPr>
          <w:rFonts w:eastAsia="Times New Roman" w:cs="Times New Roman"/>
          <w:szCs w:val="19"/>
          <w:lang w:eastAsia="pl-PL"/>
        </w:rPr>
        <w:t>proc. Uwzględniając miejsce zamieszkania spadek obserwowano zarówno w miastach (o 1,0 p.</w:t>
      </w:r>
      <w:r w:rsidR="00D41B9C" w:rsidRPr="005B4D77">
        <w:rPr>
          <w:rFonts w:eastAsia="Times New Roman" w:cs="Times New Roman"/>
          <w:szCs w:val="19"/>
          <w:lang w:eastAsia="pl-PL"/>
        </w:rPr>
        <w:t xml:space="preserve"> </w:t>
      </w:r>
      <w:r w:rsidR="000C64BF" w:rsidRPr="005B4D77">
        <w:rPr>
          <w:rFonts w:eastAsia="Times New Roman" w:cs="Times New Roman"/>
          <w:szCs w:val="19"/>
          <w:lang w:eastAsia="pl-PL"/>
        </w:rPr>
        <w:t>proc.), jak i na wsi (o 0,7 p.</w:t>
      </w:r>
      <w:r w:rsidR="00D41B9C" w:rsidRPr="005B4D77">
        <w:rPr>
          <w:rFonts w:eastAsia="Times New Roman" w:cs="Times New Roman"/>
          <w:szCs w:val="19"/>
          <w:lang w:eastAsia="pl-PL"/>
        </w:rPr>
        <w:t xml:space="preserve"> </w:t>
      </w:r>
      <w:r w:rsidR="000C64BF" w:rsidRPr="005B4D77">
        <w:rPr>
          <w:rFonts w:eastAsia="Times New Roman" w:cs="Times New Roman"/>
          <w:szCs w:val="19"/>
          <w:lang w:eastAsia="pl-PL"/>
        </w:rPr>
        <w:t xml:space="preserve">proc.). </w:t>
      </w:r>
    </w:p>
    <w:p w14:paraId="518E36EF" w14:textId="533F97A0" w:rsidR="00DC0827" w:rsidRDefault="00DC0827" w:rsidP="008B1B16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07AA2B2E" w14:textId="72DD1E5E" w:rsidR="00145400" w:rsidRPr="00E114AE" w:rsidRDefault="00A140FD" w:rsidP="00145400">
      <w:pPr>
        <w:spacing w:before="240" w:line="288" w:lineRule="auto"/>
        <w:rPr>
          <w:rFonts w:eastAsia="Times New Roman" w:cs="Times New Roman"/>
          <w:b/>
          <w:szCs w:val="19"/>
          <w:lang w:eastAsia="pl-PL"/>
        </w:rPr>
      </w:pPr>
      <w:r>
        <w:rPr>
          <w:rFonts w:eastAsia="Times New Roman" w:cs="Times New Roman"/>
          <w:noProof/>
          <w:szCs w:val="19"/>
          <w:lang w:eastAsia="pl-PL"/>
        </w:rPr>
        <w:lastRenderedPageBreak/>
        <w:drawing>
          <wp:anchor distT="0" distB="0" distL="114300" distR="114300" simplePos="0" relativeHeight="251819008" behindDoc="0" locked="0" layoutInCell="1" allowOverlap="1" wp14:anchorId="61B40803" wp14:editId="05000FB9">
            <wp:simplePos x="0" y="0"/>
            <wp:positionH relativeFrom="margin">
              <wp:align>left</wp:align>
            </wp:positionH>
            <wp:positionV relativeFrom="paragraph">
              <wp:posOffset>206375</wp:posOffset>
            </wp:positionV>
            <wp:extent cx="5211445" cy="2342515"/>
            <wp:effectExtent l="0" t="0" r="8255" b="635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445" cy="234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400" w:rsidRPr="00E114AE">
        <w:rPr>
          <w:rFonts w:eastAsia="Times New Roman" w:cs="Times New Roman"/>
          <w:b/>
          <w:szCs w:val="19"/>
          <w:lang w:eastAsia="pl-PL"/>
        </w:rPr>
        <w:t>Wykres 4. Bezrobotni</w:t>
      </w:r>
      <w:r w:rsidR="005836FD">
        <w:rPr>
          <w:rFonts w:eastAsia="Times New Roman" w:cs="Times New Roman"/>
          <w:b/>
          <w:szCs w:val="19"/>
          <w:lang w:eastAsia="pl-PL"/>
        </w:rPr>
        <w:t xml:space="preserve"> w wieku 15-74 lata</w:t>
      </w:r>
      <w:r w:rsidR="00145400" w:rsidRPr="00E114AE">
        <w:rPr>
          <w:rFonts w:eastAsia="Times New Roman" w:cs="Times New Roman"/>
          <w:b/>
          <w:szCs w:val="19"/>
          <w:lang w:eastAsia="pl-PL"/>
        </w:rPr>
        <w:t xml:space="preserve"> i stopa bezrobocia osób w wieku 15-</w:t>
      </w:r>
      <w:r w:rsidR="00A0427E">
        <w:rPr>
          <w:rFonts w:eastAsia="Times New Roman" w:cs="Times New Roman"/>
          <w:b/>
          <w:szCs w:val="19"/>
          <w:lang w:eastAsia="pl-PL"/>
        </w:rPr>
        <w:t>89</w:t>
      </w:r>
      <w:r w:rsidR="00145400" w:rsidRPr="00E114AE">
        <w:rPr>
          <w:rFonts w:eastAsia="Times New Roman" w:cs="Times New Roman"/>
          <w:b/>
          <w:szCs w:val="19"/>
          <w:lang w:eastAsia="pl-PL"/>
        </w:rPr>
        <w:t xml:space="preserve"> lata</w:t>
      </w:r>
      <w:r w:rsidR="00D7231C">
        <w:rPr>
          <w:rStyle w:val="Odwoanieprzypisudolnego"/>
          <w:rFonts w:eastAsia="Times New Roman" w:cs="Times New Roman"/>
          <w:b/>
          <w:szCs w:val="19"/>
          <w:lang w:eastAsia="pl-PL"/>
        </w:rPr>
        <w:footnoteReference w:id="5"/>
      </w:r>
    </w:p>
    <w:p w14:paraId="00B22F12" w14:textId="3438673B" w:rsidR="00A140FD" w:rsidRDefault="00A140FD" w:rsidP="003E2080">
      <w:pPr>
        <w:spacing w:line="288" w:lineRule="auto"/>
        <w:rPr>
          <w:rFonts w:eastAsia="Times New Roman" w:cs="Times New Roman"/>
          <w:szCs w:val="19"/>
          <w:lang w:eastAsia="pl-PL"/>
        </w:rPr>
      </w:pPr>
    </w:p>
    <w:p w14:paraId="2DBECB62" w14:textId="106A83A9" w:rsidR="00C922C3" w:rsidRPr="005E0634" w:rsidRDefault="004352C1" w:rsidP="003E208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A0F68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72325062" wp14:editId="2FCB2311">
                <wp:simplePos x="0" y="0"/>
                <wp:positionH relativeFrom="column">
                  <wp:posOffset>5295265</wp:posOffset>
                </wp:positionH>
                <wp:positionV relativeFrom="page">
                  <wp:posOffset>4297045</wp:posOffset>
                </wp:positionV>
                <wp:extent cx="1569085" cy="1228725"/>
                <wp:effectExtent l="0" t="0" r="0" b="0"/>
                <wp:wrapTight wrapText="bothSides">
                  <wp:wrapPolygon edited="0">
                    <wp:start x="787" y="0"/>
                    <wp:lineTo x="787" y="21098"/>
                    <wp:lineTo x="20717" y="21098"/>
                    <wp:lineTo x="20717" y="0"/>
                    <wp:lineTo x="787" y="0"/>
                  </wp:wrapPolygon>
                </wp:wrapTight>
                <wp:docPr id="19" name="Pole tekstowe 2" descr="Bezrobocie w największym stopniu dotykało osób posiadających najniższy poziom wykształce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08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95283" w14:textId="77777777" w:rsidR="005A6925" w:rsidRPr="006A0F68" w:rsidRDefault="005A6925" w:rsidP="00EC542E">
                            <w:pPr>
                              <w:pStyle w:val="tekstzboku"/>
                            </w:pPr>
                            <w:r w:rsidRPr="006A0F68">
                              <w:t>Bezrobocie w największym stopniu dotykało osób posiadających najniższy poziom wykształcenia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25062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alt="Bezrobocie w największym stopniu dotykało osób posiadających najniższy poziom wykształcenia" style="position:absolute;margin-left:416.95pt;margin-top:338.35pt;width:123.55pt;height:96.7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" filled="f" stroked="f">
                <v:textbox inset=",0">
                  <w:txbxContent>
                    <w:p w14:paraId="7B495283" w14:textId="77777777" w:rsidR="005A6925" w:rsidRPr="006A0F68" w:rsidRDefault="005A6925" w:rsidP="00EC542E">
                      <w:pPr>
                        <w:pStyle w:val="tekstzboku"/>
                      </w:pPr>
                      <w:r w:rsidRPr="006A0F68">
                        <w:t>Bezrobocie w największym stopniu dotykało osób posiadających najniższy poziom wykształcenia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E8073F" w:rsidRPr="005E0634">
        <w:rPr>
          <w:rFonts w:eastAsia="Times New Roman" w:cs="Times New Roman"/>
          <w:szCs w:val="19"/>
          <w:lang w:eastAsia="pl-PL"/>
        </w:rPr>
        <w:t>Stopa bezrobocia z</w:t>
      </w:r>
      <w:r w:rsidR="005E0634" w:rsidRPr="005E0634">
        <w:rPr>
          <w:rFonts w:eastAsia="Times New Roman" w:cs="Times New Roman"/>
          <w:szCs w:val="19"/>
          <w:lang w:eastAsia="pl-PL"/>
        </w:rPr>
        <w:t>mniejszyła</w:t>
      </w:r>
      <w:r w:rsidR="00E8073F" w:rsidRPr="005E0634">
        <w:rPr>
          <w:rFonts w:eastAsia="Times New Roman" w:cs="Times New Roman"/>
          <w:szCs w:val="19"/>
          <w:lang w:eastAsia="pl-PL"/>
        </w:rPr>
        <w:t xml:space="preserve"> się w skali kwartału</w:t>
      </w:r>
      <w:r w:rsidR="005E0634" w:rsidRPr="005E0634">
        <w:rPr>
          <w:rFonts w:eastAsia="Times New Roman" w:cs="Times New Roman"/>
          <w:szCs w:val="19"/>
          <w:lang w:eastAsia="pl-PL"/>
        </w:rPr>
        <w:t>, jak i w skali roku</w:t>
      </w:r>
      <w:r w:rsidR="00E8073F" w:rsidRPr="005E0634">
        <w:rPr>
          <w:rFonts w:eastAsia="Times New Roman" w:cs="Times New Roman"/>
          <w:szCs w:val="19"/>
          <w:lang w:eastAsia="pl-PL"/>
        </w:rPr>
        <w:t xml:space="preserve"> </w:t>
      </w:r>
      <w:r w:rsidR="00CE430B">
        <w:rPr>
          <w:rFonts w:eastAsia="Times New Roman" w:cs="Times New Roman"/>
          <w:szCs w:val="19"/>
          <w:lang w:eastAsia="pl-PL"/>
        </w:rPr>
        <w:t xml:space="preserve">dla </w:t>
      </w:r>
      <w:r w:rsidR="00E8073F" w:rsidRPr="005E0634">
        <w:rPr>
          <w:rFonts w:eastAsia="Times New Roman" w:cs="Times New Roman"/>
          <w:szCs w:val="19"/>
          <w:lang w:eastAsia="pl-PL"/>
        </w:rPr>
        <w:t xml:space="preserve">większości </w:t>
      </w:r>
      <w:r w:rsidR="0090549C">
        <w:rPr>
          <w:rFonts w:eastAsia="Times New Roman" w:cs="Times New Roman"/>
          <w:szCs w:val="19"/>
          <w:lang w:eastAsia="pl-PL"/>
        </w:rPr>
        <w:t xml:space="preserve">analizowanych </w:t>
      </w:r>
      <w:r w:rsidR="00E8073F" w:rsidRPr="005E0634">
        <w:rPr>
          <w:rFonts w:eastAsia="Times New Roman" w:cs="Times New Roman"/>
          <w:szCs w:val="19"/>
          <w:lang w:eastAsia="pl-PL"/>
        </w:rPr>
        <w:t>grup wieku</w:t>
      </w:r>
      <w:r w:rsidR="005E0634" w:rsidRPr="005E0634">
        <w:rPr>
          <w:rFonts w:eastAsia="Times New Roman" w:cs="Times New Roman"/>
          <w:szCs w:val="19"/>
          <w:lang w:eastAsia="pl-PL"/>
        </w:rPr>
        <w:t xml:space="preserve">. </w:t>
      </w:r>
      <w:r w:rsidR="00E8073F" w:rsidRPr="005E0634">
        <w:rPr>
          <w:rFonts w:eastAsia="Times New Roman" w:cs="Times New Roman"/>
          <w:szCs w:val="19"/>
          <w:lang w:eastAsia="pl-PL"/>
        </w:rPr>
        <w:t>Nadal największe bezrobocie obserwowano wśród osób najmłodszych (w</w:t>
      </w:r>
      <w:r w:rsidR="00D41B9C">
        <w:rPr>
          <w:rFonts w:eastAsia="Times New Roman" w:cs="Times New Roman"/>
          <w:szCs w:val="19"/>
          <w:lang w:eastAsia="pl-PL"/>
        </w:rPr>
        <w:t> </w:t>
      </w:r>
      <w:r w:rsidR="00E8073F" w:rsidRPr="005E0634">
        <w:rPr>
          <w:rFonts w:eastAsia="Times New Roman" w:cs="Times New Roman"/>
          <w:szCs w:val="19"/>
          <w:lang w:eastAsia="pl-PL"/>
        </w:rPr>
        <w:t xml:space="preserve">wieku 15–24 lata), dla których stopa bezrobocia wyniosła </w:t>
      </w:r>
      <w:r w:rsidR="005E0634" w:rsidRPr="005E0634">
        <w:rPr>
          <w:rFonts w:eastAsia="Times New Roman" w:cs="Times New Roman"/>
          <w:szCs w:val="19"/>
          <w:lang w:eastAsia="pl-PL"/>
        </w:rPr>
        <w:t>8,9</w:t>
      </w:r>
      <w:r w:rsidR="00E8073F" w:rsidRPr="005E0634">
        <w:rPr>
          <w:rFonts w:eastAsia="Times New Roman" w:cs="Times New Roman"/>
          <w:szCs w:val="19"/>
          <w:lang w:eastAsia="pl-PL"/>
        </w:rPr>
        <w:t>%. Wśród osób w wieku 25–34</w:t>
      </w:r>
      <w:r w:rsidR="00D41B9C">
        <w:rPr>
          <w:rFonts w:eastAsia="Times New Roman" w:cs="Times New Roman"/>
          <w:szCs w:val="19"/>
          <w:lang w:eastAsia="pl-PL"/>
        </w:rPr>
        <w:t> </w:t>
      </w:r>
      <w:r w:rsidR="00E8073F" w:rsidRPr="005E0634">
        <w:rPr>
          <w:rFonts w:eastAsia="Times New Roman" w:cs="Times New Roman"/>
          <w:szCs w:val="19"/>
          <w:lang w:eastAsia="pl-PL"/>
        </w:rPr>
        <w:t>lata natężenie bezrobocia kształtowało się na poziomie 3,</w:t>
      </w:r>
      <w:r w:rsidR="005E0634" w:rsidRPr="005E0634">
        <w:rPr>
          <w:rFonts w:eastAsia="Times New Roman" w:cs="Times New Roman"/>
          <w:szCs w:val="19"/>
          <w:lang w:eastAsia="pl-PL"/>
        </w:rPr>
        <w:t>0</w:t>
      </w:r>
      <w:r w:rsidR="00E8073F" w:rsidRPr="005E0634">
        <w:rPr>
          <w:rFonts w:eastAsia="Times New Roman" w:cs="Times New Roman"/>
          <w:szCs w:val="19"/>
          <w:lang w:eastAsia="pl-PL"/>
        </w:rPr>
        <w:t>%, 35–44 lata – 2</w:t>
      </w:r>
      <w:r w:rsidR="005E0634" w:rsidRPr="005E0634">
        <w:rPr>
          <w:rFonts w:eastAsia="Times New Roman" w:cs="Times New Roman"/>
          <w:szCs w:val="19"/>
          <w:lang w:eastAsia="pl-PL"/>
        </w:rPr>
        <w:t>,0</w:t>
      </w:r>
      <w:r w:rsidR="00E8073F" w:rsidRPr="005E0634">
        <w:rPr>
          <w:rFonts w:eastAsia="Times New Roman" w:cs="Times New Roman"/>
          <w:szCs w:val="19"/>
          <w:lang w:eastAsia="pl-PL"/>
        </w:rPr>
        <w:t>%, 45–89 lat – 2,</w:t>
      </w:r>
      <w:r w:rsidR="005E0634" w:rsidRPr="005E0634">
        <w:rPr>
          <w:rFonts w:eastAsia="Times New Roman" w:cs="Times New Roman"/>
          <w:szCs w:val="19"/>
          <w:lang w:eastAsia="pl-PL"/>
        </w:rPr>
        <w:t>0</w:t>
      </w:r>
      <w:r w:rsidR="00E8073F" w:rsidRPr="005E0634">
        <w:rPr>
          <w:rFonts w:eastAsia="Times New Roman" w:cs="Times New Roman"/>
          <w:szCs w:val="19"/>
          <w:lang w:eastAsia="pl-PL"/>
        </w:rPr>
        <w:t xml:space="preserve"> %. Wśród osób w wieku produkcyjnym (18–59/64 lata) stopa bezrobocia wyniosła </w:t>
      </w:r>
      <w:r w:rsidR="005E0634" w:rsidRPr="005E0634">
        <w:rPr>
          <w:rFonts w:eastAsia="Times New Roman" w:cs="Times New Roman"/>
          <w:szCs w:val="19"/>
          <w:lang w:eastAsia="pl-PL"/>
        </w:rPr>
        <w:t>2,7</w:t>
      </w:r>
      <w:r w:rsidR="00E8073F" w:rsidRPr="005E0634">
        <w:rPr>
          <w:rFonts w:eastAsia="Times New Roman" w:cs="Times New Roman"/>
          <w:szCs w:val="19"/>
          <w:lang w:eastAsia="pl-PL"/>
        </w:rPr>
        <w:t>%</w:t>
      </w:r>
      <w:r w:rsidR="00414C88">
        <w:rPr>
          <w:rFonts w:eastAsia="Times New Roman" w:cs="Times New Roman"/>
          <w:szCs w:val="19"/>
          <w:lang w:eastAsia="pl-PL"/>
        </w:rPr>
        <w:t>.</w:t>
      </w:r>
    </w:p>
    <w:p w14:paraId="0B8D4B4B" w14:textId="604D4C07" w:rsidR="00D62410" w:rsidRPr="006A0F68" w:rsidRDefault="00806F0F" w:rsidP="003E208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A0F68">
        <w:rPr>
          <w:rFonts w:eastAsia="Times New Roman" w:cs="Times New Roman"/>
          <w:szCs w:val="19"/>
          <w:lang w:eastAsia="pl-PL"/>
        </w:rPr>
        <w:t xml:space="preserve">W </w:t>
      </w:r>
      <w:r w:rsidR="003531DF" w:rsidRPr="006A0F68">
        <w:rPr>
          <w:rFonts w:eastAsia="Times New Roman" w:cs="Times New Roman"/>
          <w:szCs w:val="19"/>
          <w:lang w:eastAsia="pl-PL"/>
        </w:rPr>
        <w:t>odniesieniu do poprzedniego kwartału, jak i analogicznego okresu ubiegłego roku,</w:t>
      </w:r>
      <w:r w:rsidRPr="006A0F68">
        <w:rPr>
          <w:rFonts w:eastAsia="Times New Roman" w:cs="Times New Roman"/>
          <w:szCs w:val="19"/>
          <w:lang w:eastAsia="pl-PL"/>
        </w:rPr>
        <w:t xml:space="preserve"> </w:t>
      </w:r>
      <w:r w:rsidR="005E0634" w:rsidRPr="006A0F68">
        <w:rPr>
          <w:rFonts w:eastAsia="Times New Roman" w:cs="Times New Roman"/>
          <w:szCs w:val="19"/>
          <w:lang w:eastAsia="pl-PL"/>
        </w:rPr>
        <w:t>spadek</w:t>
      </w:r>
      <w:r w:rsidR="00D62410" w:rsidRPr="006A0F68">
        <w:rPr>
          <w:rFonts w:eastAsia="Times New Roman" w:cs="Times New Roman"/>
          <w:szCs w:val="19"/>
          <w:lang w:eastAsia="pl-PL"/>
        </w:rPr>
        <w:t xml:space="preserve"> stopy bezrobocia obserwowano w</w:t>
      </w:r>
      <w:r w:rsidR="006A0F68" w:rsidRPr="006A0F68">
        <w:rPr>
          <w:rFonts w:eastAsia="Times New Roman" w:cs="Times New Roman"/>
          <w:szCs w:val="19"/>
          <w:lang w:eastAsia="pl-PL"/>
        </w:rPr>
        <w:t>e</w:t>
      </w:r>
      <w:r w:rsidR="00D62410" w:rsidRPr="006A0F68">
        <w:rPr>
          <w:rFonts w:eastAsia="Times New Roman" w:cs="Times New Roman"/>
          <w:szCs w:val="19"/>
          <w:lang w:eastAsia="pl-PL"/>
        </w:rPr>
        <w:t xml:space="preserve"> w</w:t>
      </w:r>
      <w:r w:rsidR="006A0F68" w:rsidRPr="006A0F68">
        <w:rPr>
          <w:rFonts w:eastAsia="Times New Roman" w:cs="Times New Roman"/>
          <w:szCs w:val="19"/>
          <w:lang w:eastAsia="pl-PL"/>
        </w:rPr>
        <w:t xml:space="preserve">szystkich </w:t>
      </w:r>
      <w:r w:rsidR="00D62410" w:rsidRPr="006A0F68">
        <w:rPr>
          <w:rFonts w:eastAsia="Times New Roman" w:cs="Times New Roman"/>
          <w:szCs w:val="19"/>
          <w:lang w:eastAsia="pl-PL"/>
        </w:rPr>
        <w:t>grup</w:t>
      </w:r>
      <w:r w:rsidR="006A0F68" w:rsidRPr="006A0F68">
        <w:rPr>
          <w:rFonts w:eastAsia="Times New Roman" w:cs="Times New Roman"/>
          <w:szCs w:val="19"/>
          <w:lang w:eastAsia="pl-PL"/>
        </w:rPr>
        <w:t>ach</w:t>
      </w:r>
      <w:r w:rsidR="00D62410" w:rsidRPr="006A0F68">
        <w:rPr>
          <w:rFonts w:eastAsia="Times New Roman" w:cs="Times New Roman"/>
          <w:szCs w:val="19"/>
          <w:lang w:eastAsia="pl-PL"/>
        </w:rPr>
        <w:t xml:space="preserve"> wyodrębnionych ze względu na poziom wykształcenia</w:t>
      </w:r>
      <w:r w:rsidR="003531DF" w:rsidRPr="006A0F68">
        <w:rPr>
          <w:rFonts w:eastAsia="Times New Roman" w:cs="Times New Roman"/>
          <w:szCs w:val="19"/>
          <w:lang w:eastAsia="pl-PL"/>
        </w:rPr>
        <w:t>, przy czym w skali kwartału największy spadek tego wskaźnika dotyczył osób z wykształceniem gimnazjalnym, podstawowym, niepełnym podstawowym i bez wykształcenia szkolnego (spadek z 9,3% do 6,8%). W skali roku stopa bezrobocia najbardziej obniżyła się wśród osób z wykształceniem</w:t>
      </w:r>
      <w:r w:rsidR="006A0F68" w:rsidRPr="006A0F68">
        <w:rPr>
          <w:rFonts w:eastAsia="Times New Roman" w:cs="Times New Roman"/>
          <w:szCs w:val="19"/>
          <w:lang w:eastAsia="pl-PL"/>
        </w:rPr>
        <w:t xml:space="preserve"> policealnym i średnim zawodowym (spadek z 4,1% do 2,7%).</w:t>
      </w:r>
    </w:p>
    <w:p w14:paraId="468E23CF" w14:textId="4CCD740D" w:rsidR="00D62410" w:rsidRPr="00704598" w:rsidRDefault="00D62410" w:rsidP="003E208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6A0F68">
        <w:rPr>
          <w:rFonts w:eastAsia="Times New Roman" w:cs="Times New Roman"/>
          <w:szCs w:val="19"/>
          <w:lang w:eastAsia="pl-PL"/>
        </w:rPr>
        <w:t>Największą populację bezrobotnych stanowiły osoby, które straciły pracę (</w:t>
      </w:r>
      <w:r w:rsidR="004256BB" w:rsidRPr="006A0F68">
        <w:rPr>
          <w:rFonts w:eastAsia="Times New Roman" w:cs="Times New Roman"/>
          <w:szCs w:val="19"/>
          <w:lang w:eastAsia="pl-PL"/>
        </w:rPr>
        <w:t>4</w:t>
      </w:r>
      <w:r w:rsidR="006A0F68" w:rsidRPr="006A0F68">
        <w:rPr>
          <w:rFonts w:eastAsia="Times New Roman" w:cs="Times New Roman"/>
          <w:szCs w:val="19"/>
          <w:lang w:eastAsia="pl-PL"/>
        </w:rPr>
        <w:t>3,</w:t>
      </w:r>
      <w:r w:rsidR="00704598">
        <w:rPr>
          <w:rFonts w:eastAsia="Times New Roman" w:cs="Times New Roman"/>
          <w:szCs w:val="19"/>
          <w:lang w:eastAsia="pl-PL"/>
        </w:rPr>
        <w:t>9</w:t>
      </w:r>
      <w:r w:rsidRPr="006A0F68">
        <w:rPr>
          <w:rFonts w:eastAsia="Times New Roman" w:cs="Times New Roman"/>
          <w:szCs w:val="19"/>
          <w:lang w:eastAsia="pl-PL"/>
        </w:rPr>
        <w:t xml:space="preserve">%, tj. </w:t>
      </w:r>
      <w:r w:rsidR="006A0F68" w:rsidRPr="006A0F68">
        <w:rPr>
          <w:rFonts w:eastAsia="Times New Roman" w:cs="Times New Roman"/>
          <w:szCs w:val="19"/>
          <w:lang w:eastAsia="pl-PL"/>
        </w:rPr>
        <w:t>199</w:t>
      </w:r>
      <w:r w:rsidRPr="006A0F68">
        <w:rPr>
          <w:rFonts w:eastAsia="Times New Roman" w:cs="Times New Roman"/>
          <w:szCs w:val="19"/>
          <w:lang w:eastAsia="pl-PL"/>
        </w:rPr>
        <w:t xml:space="preserve"> tys.). Udział osób powracających do </w:t>
      </w:r>
      <w:r w:rsidRPr="00704598">
        <w:rPr>
          <w:rFonts w:eastAsia="Times New Roman" w:cs="Times New Roman"/>
          <w:szCs w:val="19"/>
          <w:lang w:eastAsia="pl-PL"/>
        </w:rPr>
        <w:t xml:space="preserve">pracy po przerwie wynosił </w:t>
      </w:r>
      <w:r w:rsidR="004D1421" w:rsidRPr="00704598">
        <w:rPr>
          <w:rFonts w:eastAsia="Times New Roman" w:cs="Times New Roman"/>
          <w:szCs w:val="19"/>
          <w:lang w:eastAsia="pl-PL"/>
        </w:rPr>
        <w:t>2</w:t>
      </w:r>
      <w:r w:rsidR="004661EE" w:rsidRPr="00704598">
        <w:rPr>
          <w:rFonts w:eastAsia="Times New Roman" w:cs="Times New Roman"/>
          <w:szCs w:val="19"/>
          <w:lang w:eastAsia="pl-PL"/>
        </w:rPr>
        <w:t>7</w:t>
      </w:r>
      <w:r w:rsidR="004D1421" w:rsidRPr="00704598">
        <w:rPr>
          <w:rFonts w:eastAsia="Times New Roman" w:cs="Times New Roman"/>
          <w:szCs w:val="19"/>
          <w:lang w:eastAsia="pl-PL"/>
        </w:rPr>
        <w:t>,</w:t>
      </w:r>
      <w:r w:rsidR="00704598">
        <w:rPr>
          <w:rFonts w:eastAsia="Times New Roman" w:cs="Times New Roman"/>
          <w:szCs w:val="19"/>
          <w:lang w:eastAsia="pl-PL"/>
        </w:rPr>
        <w:t>6</w:t>
      </w:r>
      <w:r w:rsidRPr="00704598">
        <w:rPr>
          <w:rFonts w:eastAsia="Times New Roman" w:cs="Times New Roman"/>
          <w:szCs w:val="19"/>
          <w:lang w:eastAsia="pl-PL"/>
        </w:rPr>
        <w:t>% (1</w:t>
      </w:r>
      <w:r w:rsidR="006A0F68" w:rsidRPr="00704598">
        <w:rPr>
          <w:rFonts w:eastAsia="Times New Roman" w:cs="Times New Roman"/>
          <w:szCs w:val="19"/>
          <w:lang w:eastAsia="pl-PL"/>
        </w:rPr>
        <w:t>25</w:t>
      </w:r>
      <w:r w:rsidRPr="00704598">
        <w:rPr>
          <w:rFonts w:eastAsia="Times New Roman" w:cs="Times New Roman"/>
          <w:szCs w:val="19"/>
          <w:lang w:eastAsia="pl-PL"/>
        </w:rPr>
        <w:t xml:space="preserve"> tys.), podejmujących pracę po raz pierwszy </w:t>
      </w:r>
      <w:r w:rsidR="004D1421" w:rsidRPr="00704598">
        <w:rPr>
          <w:rFonts w:eastAsia="Times New Roman" w:cs="Times New Roman"/>
          <w:szCs w:val="19"/>
          <w:lang w:eastAsia="pl-PL"/>
        </w:rPr>
        <w:t>1</w:t>
      </w:r>
      <w:r w:rsidR="004661EE" w:rsidRPr="00704598">
        <w:rPr>
          <w:rFonts w:eastAsia="Times New Roman" w:cs="Times New Roman"/>
          <w:szCs w:val="19"/>
          <w:lang w:eastAsia="pl-PL"/>
        </w:rPr>
        <w:t>4</w:t>
      </w:r>
      <w:r w:rsidR="004D1421" w:rsidRPr="00704598">
        <w:rPr>
          <w:rFonts w:eastAsia="Times New Roman" w:cs="Times New Roman"/>
          <w:szCs w:val="19"/>
          <w:lang w:eastAsia="pl-PL"/>
        </w:rPr>
        <w:t>,</w:t>
      </w:r>
      <w:r w:rsidR="00704598">
        <w:rPr>
          <w:rFonts w:eastAsia="Times New Roman" w:cs="Times New Roman"/>
          <w:szCs w:val="19"/>
          <w:lang w:eastAsia="pl-PL"/>
        </w:rPr>
        <w:t>4</w:t>
      </w:r>
      <w:r w:rsidRPr="00704598">
        <w:rPr>
          <w:rFonts w:eastAsia="Times New Roman" w:cs="Times New Roman"/>
          <w:szCs w:val="19"/>
          <w:lang w:eastAsia="pl-PL"/>
        </w:rPr>
        <w:t>% (</w:t>
      </w:r>
      <w:r w:rsidR="00F65AA3" w:rsidRPr="00704598">
        <w:rPr>
          <w:rFonts w:eastAsia="Times New Roman" w:cs="Times New Roman"/>
          <w:szCs w:val="19"/>
          <w:lang w:eastAsia="pl-PL"/>
        </w:rPr>
        <w:t>65</w:t>
      </w:r>
      <w:r w:rsidRPr="00704598">
        <w:rPr>
          <w:rFonts w:eastAsia="Times New Roman" w:cs="Times New Roman"/>
          <w:szCs w:val="19"/>
          <w:lang w:eastAsia="pl-PL"/>
        </w:rPr>
        <w:t xml:space="preserve"> tys.), natomiast najmniej było osób, które zrezygnowały z</w:t>
      </w:r>
      <w:r w:rsidR="00A873BD" w:rsidRPr="00704598">
        <w:rPr>
          <w:rFonts w:eastAsia="Times New Roman" w:cs="Times New Roman"/>
          <w:szCs w:val="19"/>
          <w:lang w:eastAsia="pl-PL"/>
        </w:rPr>
        <w:t> </w:t>
      </w:r>
      <w:r w:rsidRPr="00704598">
        <w:rPr>
          <w:rFonts w:eastAsia="Times New Roman" w:cs="Times New Roman"/>
          <w:szCs w:val="19"/>
          <w:lang w:eastAsia="pl-PL"/>
        </w:rPr>
        <w:t xml:space="preserve">pracy </w:t>
      </w:r>
      <w:r w:rsidR="004D1421" w:rsidRPr="00704598">
        <w:rPr>
          <w:rFonts w:eastAsia="Times New Roman" w:cs="Times New Roman"/>
          <w:szCs w:val="19"/>
          <w:lang w:eastAsia="pl-PL"/>
        </w:rPr>
        <w:t>–</w:t>
      </w:r>
      <w:r w:rsidR="00806F0F" w:rsidRPr="00704598">
        <w:rPr>
          <w:rFonts w:eastAsia="Times New Roman" w:cs="Times New Roman"/>
          <w:szCs w:val="19"/>
          <w:lang w:eastAsia="pl-PL"/>
        </w:rPr>
        <w:t>1</w:t>
      </w:r>
      <w:r w:rsidR="00704598" w:rsidRPr="00704598">
        <w:rPr>
          <w:rFonts w:eastAsia="Times New Roman" w:cs="Times New Roman"/>
          <w:szCs w:val="19"/>
          <w:lang w:eastAsia="pl-PL"/>
        </w:rPr>
        <w:t>4,1</w:t>
      </w:r>
      <w:r w:rsidRPr="00704598">
        <w:rPr>
          <w:rFonts w:eastAsia="Times New Roman" w:cs="Times New Roman"/>
          <w:szCs w:val="19"/>
          <w:lang w:eastAsia="pl-PL"/>
        </w:rPr>
        <w:t>% (</w:t>
      </w:r>
      <w:r w:rsidR="00704598" w:rsidRPr="00704598">
        <w:rPr>
          <w:rFonts w:eastAsia="Times New Roman" w:cs="Times New Roman"/>
          <w:szCs w:val="19"/>
          <w:lang w:eastAsia="pl-PL"/>
        </w:rPr>
        <w:t>64</w:t>
      </w:r>
      <w:r w:rsidRPr="00704598">
        <w:rPr>
          <w:rFonts w:eastAsia="Times New Roman" w:cs="Times New Roman"/>
          <w:szCs w:val="19"/>
          <w:lang w:eastAsia="pl-PL"/>
        </w:rPr>
        <w:t xml:space="preserve"> tys.).</w:t>
      </w:r>
    </w:p>
    <w:p w14:paraId="56009271" w14:textId="4D8A0B0E" w:rsidR="00D62410" w:rsidRDefault="000622CE" w:rsidP="00BF1F06">
      <w:pPr>
        <w:spacing w:before="360"/>
        <w:ind w:left="851" w:hanging="851"/>
        <w:rPr>
          <w:b/>
          <w:shd w:val="clear" w:color="auto" w:fill="FFFFFF"/>
        </w:rPr>
      </w:pPr>
      <w:bookmarkStart w:id="1" w:name="_Hlk74913153"/>
      <w:r>
        <w:rPr>
          <w:rFonts w:eastAsia="Times New Roman" w:cs="Times New Roman"/>
          <w:noProof/>
          <w:szCs w:val="19"/>
          <w:lang w:eastAsia="pl-PL"/>
        </w:rPr>
        <w:drawing>
          <wp:anchor distT="0" distB="0" distL="114300" distR="114300" simplePos="0" relativeHeight="251815936" behindDoc="0" locked="0" layoutInCell="1" allowOverlap="1" wp14:anchorId="29C18787" wp14:editId="18D1A963">
            <wp:simplePos x="0" y="0"/>
            <wp:positionH relativeFrom="margin">
              <wp:align>center</wp:align>
            </wp:positionH>
            <wp:positionV relativeFrom="paragraph">
              <wp:posOffset>531495</wp:posOffset>
            </wp:positionV>
            <wp:extent cx="4596765" cy="1481455"/>
            <wp:effectExtent l="0" t="0" r="0" b="4445"/>
            <wp:wrapSquare wrapText="bothSides"/>
            <wp:docPr id="3" name="Obraz 3" descr="Wykres prezentuje strukturę osób bezrobotnych według źródła napływu do bezrobocia i płci w 2 kwartale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765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410" w:rsidRPr="00D62410">
        <w:rPr>
          <w:b/>
        </w:rPr>
        <w:t xml:space="preserve">Wykres </w:t>
      </w:r>
      <w:r w:rsidR="00DC47E0">
        <w:rPr>
          <w:b/>
        </w:rPr>
        <w:t>5</w:t>
      </w:r>
      <w:r w:rsidR="00D62410" w:rsidRPr="00D62410">
        <w:rPr>
          <w:b/>
        </w:rPr>
        <w:t>.</w:t>
      </w:r>
      <w:r w:rsidR="00D62410" w:rsidRPr="00D62410">
        <w:rPr>
          <w:shd w:val="clear" w:color="auto" w:fill="FFFFFF"/>
        </w:rPr>
        <w:tab/>
      </w:r>
      <w:r w:rsidR="00D62410" w:rsidRPr="00D62410">
        <w:rPr>
          <w:b/>
          <w:shd w:val="clear" w:color="auto" w:fill="FFFFFF"/>
        </w:rPr>
        <w:t xml:space="preserve">Struktura osób bezrobotnych według źródła napływu do bezrobocia i płci </w:t>
      </w:r>
      <w:r w:rsidR="00D62410" w:rsidRPr="00D62410">
        <w:rPr>
          <w:b/>
          <w:shd w:val="clear" w:color="auto" w:fill="FFFFFF"/>
        </w:rPr>
        <w:br/>
        <w:t xml:space="preserve">w </w:t>
      </w:r>
      <w:r w:rsidR="0037016E">
        <w:rPr>
          <w:b/>
          <w:shd w:val="clear" w:color="auto" w:fill="FFFFFF"/>
        </w:rPr>
        <w:t>2</w:t>
      </w:r>
      <w:r w:rsidR="00D62410" w:rsidRPr="00D62410">
        <w:rPr>
          <w:b/>
          <w:shd w:val="clear" w:color="auto" w:fill="FFFFFF"/>
        </w:rPr>
        <w:t xml:space="preserve"> kwartale 202</w:t>
      </w:r>
      <w:r w:rsidR="00D64104">
        <w:rPr>
          <w:b/>
          <w:shd w:val="clear" w:color="auto" w:fill="FFFFFF"/>
        </w:rPr>
        <w:t>2</w:t>
      </w:r>
      <w:r w:rsidR="00D62410" w:rsidRPr="00D62410">
        <w:rPr>
          <w:b/>
          <w:shd w:val="clear" w:color="auto" w:fill="FFFFFF"/>
        </w:rPr>
        <w:t xml:space="preserve"> r. (w </w:t>
      </w:r>
      <w:bookmarkEnd w:id="1"/>
      <w:r w:rsidR="00D62410" w:rsidRPr="00D62410">
        <w:rPr>
          <w:b/>
          <w:shd w:val="clear" w:color="auto" w:fill="FFFFFF"/>
        </w:rPr>
        <w:t>%)</w:t>
      </w:r>
    </w:p>
    <w:p w14:paraId="6EFED582" w14:textId="652CBAA2" w:rsidR="00F02824" w:rsidRDefault="00D677CD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623D6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0818FE95" wp14:editId="7FCBAFB7">
                <wp:simplePos x="0" y="0"/>
                <wp:positionH relativeFrom="column">
                  <wp:posOffset>5324636</wp:posOffset>
                </wp:positionH>
                <wp:positionV relativeFrom="paragraph">
                  <wp:posOffset>1628491</wp:posOffset>
                </wp:positionV>
                <wp:extent cx="1533525" cy="1009650"/>
                <wp:effectExtent l="0" t="0" r="0" b="0"/>
                <wp:wrapTight wrapText="bothSides">
                  <wp:wrapPolygon edited="0">
                    <wp:start x="805" y="0"/>
                    <wp:lineTo x="805" y="21192"/>
                    <wp:lineTo x="20661" y="21192"/>
                    <wp:lineTo x="20661" y="0"/>
                    <wp:lineTo x="805" y="0"/>
                  </wp:wrapPolygon>
                </wp:wrapTight>
                <wp:docPr id="20" name="Pole tekstowe 2" descr="Co dwudziesta osoba uprzednio pracująca wskazała, że utraciła lub zaprzestała pracy w związku z pandemią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2B701" w14:textId="2663B651" w:rsidR="005A6925" w:rsidRPr="00680A8E" w:rsidRDefault="00680A8E" w:rsidP="00254EEE">
                            <w:pPr>
                              <w:pStyle w:val="tekstzboku"/>
                            </w:pPr>
                            <w:r w:rsidRPr="00254EEE">
                              <w:t>C</w:t>
                            </w:r>
                            <w:r w:rsidR="005A6925" w:rsidRPr="00254EEE">
                              <w:t>o</w:t>
                            </w:r>
                            <w:r w:rsidR="00254EEE" w:rsidRPr="00254EEE">
                              <w:t xml:space="preserve"> osiemnasta</w:t>
                            </w:r>
                            <w:r w:rsidR="005A6925" w:rsidRPr="00254EEE">
                              <w:t xml:space="preserve"> osoba uprzednio pracująca wskazała, że utraciła lub zaprzestała pracy w związku z pandemią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818FE95" id="_x0000_s1036" type="#_x0000_t202" alt="Co dwudziesta osoba uprzednio pracująca wskazała, że utraciła lub zaprzestała pracy w związku z pandemią" style="position:absolute;margin-left:419.25pt;margin-top:128.25pt;width:120.75pt;height:79.5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" filled="f" stroked="f">
                <v:textbox inset=",0">
                  <w:txbxContent>
                    <w:p w14:paraId="6A82B701" w14:textId="2663B651" w:rsidR="005A6925" w:rsidRPr="00680A8E" w:rsidRDefault="00680A8E" w:rsidP="00254EEE">
                      <w:pPr>
                        <w:pStyle w:val="tekstzboku"/>
                      </w:pPr>
                      <w:r w:rsidRPr="00254EEE">
                        <w:t>C</w:t>
                      </w:r>
                      <w:r w:rsidR="005A6925" w:rsidRPr="00254EEE">
                        <w:t>o</w:t>
                      </w:r>
                      <w:r w:rsidR="00254EEE" w:rsidRPr="00254EEE">
                        <w:t xml:space="preserve"> osiemnasta</w:t>
                      </w:r>
                      <w:r w:rsidR="005A6925" w:rsidRPr="00254EEE">
                        <w:t xml:space="preserve"> osoba uprzednio pracująca wskazała, że utraciła lub zaprzestała pracy w związku z pandemią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51E1F9" w14:textId="35464E0B" w:rsidR="00D62410" w:rsidRPr="001623D6" w:rsidRDefault="00D62410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1623D6">
        <w:rPr>
          <w:rFonts w:eastAsia="Times New Roman" w:cs="Times New Roman"/>
          <w:szCs w:val="19"/>
          <w:lang w:eastAsia="pl-PL"/>
        </w:rPr>
        <w:t xml:space="preserve">W </w:t>
      </w:r>
      <w:r w:rsidR="001914D1" w:rsidRPr="001623D6">
        <w:rPr>
          <w:rFonts w:eastAsia="Times New Roman" w:cs="Times New Roman"/>
          <w:szCs w:val="19"/>
          <w:lang w:eastAsia="pl-PL"/>
        </w:rPr>
        <w:t>2</w:t>
      </w:r>
      <w:r w:rsidRPr="001623D6">
        <w:rPr>
          <w:rFonts w:eastAsia="Times New Roman" w:cs="Times New Roman"/>
          <w:szCs w:val="19"/>
          <w:lang w:eastAsia="pl-PL"/>
        </w:rPr>
        <w:t xml:space="preserve"> kwartale 202</w:t>
      </w:r>
      <w:r w:rsidR="00F07B08" w:rsidRPr="001623D6">
        <w:rPr>
          <w:rFonts w:eastAsia="Times New Roman" w:cs="Times New Roman"/>
          <w:szCs w:val="19"/>
          <w:lang w:eastAsia="pl-PL"/>
        </w:rPr>
        <w:t>2</w:t>
      </w:r>
      <w:r w:rsidRPr="001623D6">
        <w:rPr>
          <w:rFonts w:eastAsia="Times New Roman" w:cs="Times New Roman"/>
          <w:szCs w:val="19"/>
          <w:lang w:eastAsia="pl-PL"/>
        </w:rPr>
        <w:t xml:space="preserve"> r. z </w:t>
      </w:r>
      <w:r w:rsidR="001914D1" w:rsidRPr="001623D6">
        <w:rPr>
          <w:rFonts w:eastAsia="Times New Roman" w:cs="Times New Roman"/>
          <w:szCs w:val="19"/>
          <w:lang w:eastAsia="pl-PL"/>
        </w:rPr>
        <w:t>344</w:t>
      </w:r>
      <w:r w:rsidR="00324BB0" w:rsidRPr="001623D6">
        <w:rPr>
          <w:rFonts w:eastAsia="Times New Roman" w:cs="Times New Roman"/>
          <w:szCs w:val="19"/>
          <w:lang w:eastAsia="pl-PL"/>
        </w:rPr>
        <w:t xml:space="preserve"> </w:t>
      </w:r>
      <w:r w:rsidRPr="001623D6">
        <w:rPr>
          <w:rFonts w:eastAsia="Times New Roman" w:cs="Times New Roman"/>
          <w:szCs w:val="19"/>
          <w:lang w:eastAsia="pl-PL"/>
        </w:rPr>
        <w:t xml:space="preserve">tys. osób bezrobotnych poprzednio pracujących, </w:t>
      </w:r>
      <w:r w:rsidR="001914D1" w:rsidRPr="001623D6">
        <w:rPr>
          <w:rFonts w:eastAsia="Times New Roman" w:cs="Times New Roman"/>
          <w:szCs w:val="19"/>
          <w:lang w:eastAsia="pl-PL"/>
        </w:rPr>
        <w:t>19</w:t>
      </w:r>
      <w:r w:rsidRPr="001623D6">
        <w:rPr>
          <w:rFonts w:eastAsia="Times New Roman" w:cs="Times New Roman"/>
          <w:szCs w:val="19"/>
          <w:lang w:eastAsia="pl-PL"/>
        </w:rPr>
        <w:t xml:space="preserve"> tys. osób (</w:t>
      </w:r>
      <w:r w:rsidR="001914D1" w:rsidRPr="001623D6">
        <w:rPr>
          <w:rFonts w:eastAsia="Times New Roman" w:cs="Times New Roman"/>
          <w:szCs w:val="19"/>
          <w:lang w:eastAsia="pl-PL"/>
        </w:rPr>
        <w:t>5,5</w:t>
      </w:r>
      <w:r w:rsidRPr="001623D6">
        <w:rPr>
          <w:rFonts w:eastAsia="Times New Roman" w:cs="Times New Roman"/>
          <w:szCs w:val="19"/>
          <w:lang w:eastAsia="pl-PL"/>
        </w:rPr>
        <w:t>%) jako przyczynę zaprzestania ostatnio wykonywanej pracy podało sytuację spowodowaną pandemią COVID-19 (w poprzednim kwartale był</w:t>
      </w:r>
      <w:r w:rsidR="001623D6" w:rsidRPr="001623D6">
        <w:rPr>
          <w:rFonts w:eastAsia="Times New Roman" w:cs="Times New Roman"/>
          <w:szCs w:val="19"/>
          <w:lang w:eastAsia="pl-PL"/>
        </w:rPr>
        <w:t>o to 20</w:t>
      </w:r>
      <w:r w:rsidRPr="001623D6">
        <w:rPr>
          <w:rFonts w:eastAsia="Times New Roman" w:cs="Times New Roman"/>
          <w:szCs w:val="19"/>
          <w:lang w:eastAsia="pl-PL"/>
        </w:rPr>
        <w:t xml:space="preserve"> tys., tj. </w:t>
      </w:r>
      <w:r w:rsidR="001623D6" w:rsidRPr="001623D6">
        <w:rPr>
          <w:rFonts w:eastAsia="Times New Roman" w:cs="Times New Roman"/>
          <w:szCs w:val="19"/>
          <w:lang w:eastAsia="pl-PL"/>
        </w:rPr>
        <w:t>5,0</w:t>
      </w:r>
      <w:r w:rsidRPr="001623D6">
        <w:rPr>
          <w:rFonts w:eastAsia="Times New Roman" w:cs="Times New Roman"/>
          <w:szCs w:val="19"/>
          <w:lang w:eastAsia="pl-PL"/>
        </w:rPr>
        <w:t>%</w:t>
      </w:r>
      <w:r w:rsidR="00386996" w:rsidRPr="001623D6">
        <w:rPr>
          <w:rFonts w:eastAsia="Times New Roman" w:cs="Times New Roman"/>
          <w:szCs w:val="19"/>
          <w:lang w:eastAsia="pl-PL"/>
        </w:rPr>
        <w:t xml:space="preserve">, </w:t>
      </w:r>
      <w:r w:rsidR="00EF4BA6" w:rsidRPr="001623D6">
        <w:rPr>
          <w:rFonts w:eastAsia="Times New Roman" w:cs="Times New Roman"/>
          <w:szCs w:val="19"/>
          <w:lang w:eastAsia="pl-PL"/>
        </w:rPr>
        <w:t>a rok wcześniej</w:t>
      </w:r>
      <w:r w:rsidR="00386996" w:rsidRPr="001623D6">
        <w:rPr>
          <w:rFonts w:eastAsia="Times New Roman" w:cs="Times New Roman"/>
          <w:szCs w:val="19"/>
          <w:lang w:eastAsia="pl-PL"/>
        </w:rPr>
        <w:t xml:space="preserve"> 1</w:t>
      </w:r>
      <w:r w:rsidR="001623D6" w:rsidRPr="001623D6">
        <w:rPr>
          <w:rFonts w:eastAsia="Times New Roman" w:cs="Times New Roman"/>
          <w:szCs w:val="19"/>
          <w:lang w:eastAsia="pl-PL"/>
        </w:rPr>
        <w:t>10</w:t>
      </w:r>
      <w:r w:rsidR="00386996" w:rsidRPr="001623D6">
        <w:rPr>
          <w:rFonts w:eastAsia="Times New Roman" w:cs="Times New Roman"/>
          <w:szCs w:val="19"/>
          <w:lang w:eastAsia="pl-PL"/>
        </w:rPr>
        <w:t xml:space="preserve"> tys., tj. </w:t>
      </w:r>
      <w:r w:rsidR="001623D6" w:rsidRPr="001623D6">
        <w:rPr>
          <w:rFonts w:eastAsia="Times New Roman" w:cs="Times New Roman"/>
          <w:szCs w:val="19"/>
          <w:lang w:eastAsia="pl-PL"/>
        </w:rPr>
        <w:t>23,6</w:t>
      </w:r>
      <w:r w:rsidR="00386996" w:rsidRPr="001623D6">
        <w:rPr>
          <w:rFonts w:eastAsia="Times New Roman" w:cs="Times New Roman"/>
          <w:szCs w:val="19"/>
          <w:lang w:eastAsia="pl-PL"/>
        </w:rPr>
        <w:t>%</w:t>
      </w:r>
      <w:r w:rsidRPr="001623D6">
        <w:rPr>
          <w:rFonts w:eastAsia="Times New Roman" w:cs="Times New Roman"/>
          <w:szCs w:val="19"/>
          <w:lang w:eastAsia="pl-PL"/>
        </w:rPr>
        <w:t xml:space="preserve">). Z tej grupy </w:t>
      </w:r>
      <w:r w:rsidR="001623D6" w:rsidRPr="001623D6">
        <w:rPr>
          <w:rFonts w:eastAsia="Times New Roman" w:cs="Times New Roman"/>
          <w:szCs w:val="19"/>
          <w:lang w:eastAsia="pl-PL"/>
        </w:rPr>
        <w:t>14</w:t>
      </w:r>
      <w:r w:rsidRPr="001623D6">
        <w:rPr>
          <w:rFonts w:eastAsia="Times New Roman" w:cs="Times New Roman"/>
          <w:szCs w:val="19"/>
          <w:lang w:eastAsia="pl-PL"/>
        </w:rPr>
        <w:t xml:space="preserve"> tys. osób (tj.</w:t>
      </w:r>
      <w:r w:rsidR="00386996" w:rsidRPr="001623D6">
        <w:rPr>
          <w:rFonts w:eastAsia="Times New Roman" w:cs="Times New Roman"/>
          <w:szCs w:val="19"/>
          <w:lang w:eastAsia="pl-PL"/>
        </w:rPr>
        <w:t xml:space="preserve"> 7</w:t>
      </w:r>
      <w:r w:rsidR="001623D6" w:rsidRPr="001623D6">
        <w:rPr>
          <w:rFonts w:eastAsia="Times New Roman" w:cs="Times New Roman"/>
          <w:szCs w:val="19"/>
          <w:lang w:eastAsia="pl-PL"/>
        </w:rPr>
        <w:t>3,7</w:t>
      </w:r>
      <w:r w:rsidRPr="001623D6">
        <w:rPr>
          <w:rFonts w:eastAsia="Times New Roman" w:cs="Times New Roman"/>
          <w:szCs w:val="19"/>
          <w:lang w:eastAsia="pl-PL"/>
        </w:rPr>
        <w:t>%) jako bezpośredni powód zakończenia pracy wskazało likwidację zakładu lub stanowiska pracy</w:t>
      </w:r>
      <w:r w:rsidR="00225852" w:rsidRPr="001623D6">
        <w:rPr>
          <w:rFonts w:eastAsia="Times New Roman" w:cs="Times New Roman"/>
          <w:szCs w:val="19"/>
          <w:lang w:eastAsia="pl-PL"/>
        </w:rPr>
        <w:t>.</w:t>
      </w:r>
    </w:p>
    <w:p w14:paraId="7D56F022" w14:textId="2056D6DF" w:rsidR="007C3336" w:rsidRPr="002627B0" w:rsidRDefault="00D62410" w:rsidP="00D62410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627B0">
        <w:rPr>
          <w:rFonts w:eastAsia="Times New Roman" w:cs="Times New Roman"/>
          <w:szCs w:val="19"/>
          <w:lang w:eastAsia="pl-PL"/>
        </w:rPr>
        <w:lastRenderedPageBreak/>
        <w:t xml:space="preserve">W </w:t>
      </w:r>
      <w:r w:rsidR="00225852" w:rsidRPr="002627B0">
        <w:rPr>
          <w:rFonts w:eastAsia="Times New Roman" w:cs="Times New Roman"/>
          <w:szCs w:val="19"/>
          <w:lang w:eastAsia="pl-PL"/>
        </w:rPr>
        <w:t>analizowanym</w:t>
      </w:r>
      <w:r w:rsidRPr="002627B0">
        <w:rPr>
          <w:rFonts w:eastAsia="Times New Roman" w:cs="Times New Roman"/>
          <w:szCs w:val="19"/>
          <w:lang w:eastAsia="pl-PL"/>
        </w:rPr>
        <w:t xml:space="preserve"> okresie przeciętny czas poszukiwania pracy wynosił 8,</w:t>
      </w:r>
      <w:r w:rsidR="002627B0" w:rsidRPr="002627B0">
        <w:rPr>
          <w:rFonts w:eastAsia="Times New Roman" w:cs="Times New Roman"/>
          <w:szCs w:val="19"/>
          <w:lang w:eastAsia="pl-PL"/>
        </w:rPr>
        <w:t>7</w:t>
      </w:r>
      <w:r w:rsidRPr="002627B0">
        <w:rPr>
          <w:rFonts w:eastAsia="Times New Roman" w:cs="Times New Roman"/>
          <w:szCs w:val="19"/>
          <w:lang w:eastAsia="pl-PL"/>
        </w:rPr>
        <w:t xml:space="preserve"> miesiąca (w poprzednim kwartale</w:t>
      </w:r>
      <w:r w:rsidR="009F6606" w:rsidRPr="002627B0">
        <w:rPr>
          <w:rFonts w:eastAsia="Times New Roman" w:cs="Times New Roman"/>
          <w:szCs w:val="19"/>
          <w:lang w:eastAsia="pl-PL"/>
        </w:rPr>
        <w:t xml:space="preserve"> było to 8,</w:t>
      </w:r>
      <w:r w:rsidR="002627B0" w:rsidRPr="002627B0">
        <w:rPr>
          <w:rFonts w:eastAsia="Times New Roman" w:cs="Times New Roman"/>
          <w:szCs w:val="19"/>
          <w:lang w:eastAsia="pl-PL"/>
        </w:rPr>
        <w:t>2</w:t>
      </w:r>
      <w:r w:rsidR="009F6606" w:rsidRPr="002627B0">
        <w:rPr>
          <w:rFonts w:eastAsia="Times New Roman" w:cs="Times New Roman"/>
          <w:szCs w:val="19"/>
          <w:lang w:eastAsia="pl-PL"/>
        </w:rPr>
        <w:t xml:space="preserve"> miesiąca, </w:t>
      </w:r>
      <w:r w:rsidR="00EF4BA6" w:rsidRPr="002627B0">
        <w:rPr>
          <w:rFonts w:eastAsia="Times New Roman" w:cs="Times New Roman"/>
          <w:szCs w:val="19"/>
          <w:lang w:eastAsia="pl-PL"/>
        </w:rPr>
        <w:t>a rok wcześniej</w:t>
      </w:r>
      <w:r w:rsidR="009F6606" w:rsidRPr="002627B0">
        <w:rPr>
          <w:rFonts w:eastAsia="Times New Roman" w:cs="Times New Roman"/>
          <w:szCs w:val="19"/>
          <w:lang w:eastAsia="pl-PL"/>
        </w:rPr>
        <w:t xml:space="preserve"> </w:t>
      </w:r>
      <w:r w:rsidR="002627B0" w:rsidRPr="002627B0">
        <w:rPr>
          <w:rFonts w:eastAsia="Times New Roman" w:cs="Times New Roman"/>
          <w:szCs w:val="19"/>
          <w:lang w:eastAsia="pl-PL"/>
        </w:rPr>
        <w:t>8,1</w:t>
      </w:r>
      <w:r w:rsidR="009F6606" w:rsidRPr="002627B0">
        <w:rPr>
          <w:rFonts w:eastAsia="Times New Roman" w:cs="Times New Roman"/>
          <w:szCs w:val="19"/>
          <w:lang w:eastAsia="pl-PL"/>
        </w:rPr>
        <w:t xml:space="preserve"> miesiąca</w:t>
      </w:r>
      <w:r w:rsidRPr="002627B0">
        <w:rPr>
          <w:rFonts w:eastAsia="Times New Roman" w:cs="Times New Roman"/>
          <w:szCs w:val="19"/>
          <w:lang w:eastAsia="pl-PL"/>
        </w:rPr>
        <w:t>). Najdłużej pracy poszukiwały osoby w wieku</w:t>
      </w:r>
      <w:r w:rsidR="00BA5003" w:rsidRPr="002627B0">
        <w:rPr>
          <w:rFonts w:eastAsia="Times New Roman" w:cs="Times New Roman"/>
          <w:szCs w:val="19"/>
          <w:lang w:eastAsia="pl-PL"/>
        </w:rPr>
        <w:t xml:space="preserve"> </w:t>
      </w:r>
      <w:r w:rsidR="009F6606" w:rsidRPr="002627B0">
        <w:rPr>
          <w:rFonts w:eastAsia="Times New Roman" w:cs="Times New Roman"/>
          <w:szCs w:val="19"/>
          <w:lang w:eastAsia="pl-PL"/>
        </w:rPr>
        <w:t>55–74 lata (10,</w:t>
      </w:r>
      <w:r w:rsidR="002627B0" w:rsidRPr="002627B0">
        <w:rPr>
          <w:rFonts w:eastAsia="Times New Roman" w:cs="Times New Roman"/>
          <w:szCs w:val="19"/>
          <w:lang w:eastAsia="pl-PL"/>
        </w:rPr>
        <w:t>5</w:t>
      </w:r>
      <w:r w:rsidR="009F6606" w:rsidRPr="002627B0">
        <w:rPr>
          <w:rFonts w:eastAsia="Times New Roman" w:cs="Times New Roman"/>
          <w:szCs w:val="19"/>
          <w:lang w:eastAsia="pl-PL"/>
        </w:rPr>
        <w:t xml:space="preserve"> </w:t>
      </w:r>
      <w:r w:rsidR="002269E7" w:rsidRPr="002627B0">
        <w:rPr>
          <w:rFonts w:eastAsia="Times New Roman" w:cs="Times New Roman"/>
          <w:szCs w:val="19"/>
          <w:lang w:eastAsia="pl-PL"/>
        </w:rPr>
        <w:t>miesiąca</w:t>
      </w:r>
      <w:r w:rsidR="009F6606" w:rsidRPr="002627B0">
        <w:rPr>
          <w:rFonts w:eastAsia="Times New Roman" w:cs="Times New Roman"/>
          <w:szCs w:val="19"/>
          <w:lang w:eastAsia="pl-PL"/>
        </w:rPr>
        <w:t>)</w:t>
      </w:r>
      <w:r w:rsidR="002627B0" w:rsidRPr="002627B0">
        <w:rPr>
          <w:rFonts w:eastAsia="Times New Roman" w:cs="Times New Roman"/>
          <w:szCs w:val="19"/>
          <w:lang w:eastAsia="pl-PL"/>
        </w:rPr>
        <w:t xml:space="preserve"> i 45-54 lata (10,1 miesiąca), </w:t>
      </w:r>
      <w:r w:rsidRPr="002627B0">
        <w:rPr>
          <w:rFonts w:eastAsia="Times New Roman" w:cs="Times New Roman"/>
          <w:szCs w:val="19"/>
          <w:lang w:eastAsia="pl-PL"/>
        </w:rPr>
        <w:t>najkrócej natomiast osoby najmłodsze, w</w:t>
      </w:r>
      <w:r w:rsidR="00EE0E7D" w:rsidRPr="002627B0">
        <w:rPr>
          <w:rFonts w:eastAsia="Times New Roman" w:cs="Times New Roman"/>
          <w:szCs w:val="19"/>
          <w:lang w:eastAsia="pl-PL"/>
        </w:rPr>
        <w:t xml:space="preserve"> </w:t>
      </w:r>
      <w:r w:rsidRPr="002627B0">
        <w:rPr>
          <w:rFonts w:eastAsia="Times New Roman" w:cs="Times New Roman"/>
          <w:szCs w:val="19"/>
          <w:lang w:eastAsia="pl-PL"/>
        </w:rPr>
        <w:t>wieku 15–19 lat (</w:t>
      </w:r>
      <w:r w:rsidR="002627B0" w:rsidRPr="002627B0">
        <w:rPr>
          <w:rFonts w:eastAsia="Times New Roman" w:cs="Times New Roman"/>
          <w:szCs w:val="19"/>
          <w:lang w:eastAsia="pl-PL"/>
        </w:rPr>
        <w:t>2,5</w:t>
      </w:r>
      <w:r w:rsidRPr="002627B0">
        <w:rPr>
          <w:rFonts w:eastAsia="Times New Roman" w:cs="Times New Roman"/>
          <w:szCs w:val="19"/>
          <w:lang w:eastAsia="pl-PL"/>
        </w:rPr>
        <w:t xml:space="preserve"> </w:t>
      </w:r>
      <w:r w:rsidR="002269E7" w:rsidRPr="002627B0">
        <w:rPr>
          <w:rFonts w:eastAsia="Times New Roman" w:cs="Times New Roman"/>
          <w:szCs w:val="19"/>
          <w:lang w:eastAsia="pl-PL"/>
        </w:rPr>
        <w:t>miesiąca</w:t>
      </w:r>
      <w:r w:rsidRPr="002627B0">
        <w:rPr>
          <w:rFonts w:eastAsia="Times New Roman" w:cs="Times New Roman"/>
          <w:szCs w:val="19"/>
          <w:lang w:eastAsia="pl-PL"/>
        </w:rPr>
        <w:t>)</w:t>
      </w:r>
      <w:r w:rsidR="00EE0E7D" w:rsidRPr="002627B0">
        <w:rPr>
          <w:rFonts w:eastAsia="Times New Roman" w:cs="Times New Roman"/>
          <w:szCs w:val="19"/>
          <w:lang w:eastAsia="pl-PL"/>
        </w:rPr>
        <w:t>.</w:t>
      </w:r>
    </w:p>
    <w:p w14:paraId="209F5E21" w14:textId="1DD53453" w:rsidR="00860F41" w:rsidRPr="00D66BE3" w:rsidRDefault="00DE3F49" w:rsidP="003E2080">
      <w:pPr>
        <w:spacing w:line="240" w:lineRule="auto"/>
        <w:rPr>
          <w:rFonts w:eastAsia="Times New Roman" w:cs="Times New Roman"/>
          <w:szCs w:val="19"/>
          <w:lang w:eastAsia="pl-PL"/>
        </w:rPr>
      </w:pPr>
      <w:r w:rsidRPr="00D66BE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B6620F8" wp14:editId="4983B411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2200275" cy="1419225"/>
                <wp:effectExtent l="0" t="0" r="9525" b="9525"/>
                <wp:wrapSquare wrapText="bothSides"/>
                <wp:docPr id="26" name="Pole tekstowe 2" descr="Udział osób biernych zawodowo wśród ogółu ludności w wieku 15–89 lat - 42,1%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1922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A0C78" w14:textId="5BEEE65F" w:rsidR="00CE4896" w:rsidRPr="00CE4896" w:rsidRDefault="00CE4896" w:rsidP="00577E10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42,</w:t>
                            </w:r>
                            <w:r w:rsidR="00E02C4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Pr="00CE489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4E9D303C" w14:textId="425E5BD9" w:rsidR="00CE4896" w:rsidRDefault="00CE4896" w:rsidP="00577E10">
                            <w:pPr>
                              <w:pStyle w:val="Opiswskanika"/>
                              <w:spacing w:before="120"/>
                              <w:jc w:val="center"/>
                            </w:pPr>
                            <w:r>
                              <w:t>Udział osób biernych zawodowo wśród ogółu ludności w wieku</w:t>
                            </w:r>
                          </w:p>
                          <w:p w14:paraId="0BC03B12" w14:textId="16EF3E28" w:rsidR="005A6925" w:rsidRPr="00504397" w:rsidRDefault="00CE4896" w:rsidP="00577E10">
                            <w:pPr>
                              <w:pStyle w:val="Opiswskanika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t>15–89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7B6620F8" id="_x0000_s1037" alt="Udział osób biernych zawodowo wśród ogółu ludności w wieku 15–89 lat - 42,1%&#10;" style="position:absolute;margin-left:0;margin-top:19.75pt;width:173.25pt;height:111.75pt;z-index:251776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" fillcolor="#001d77" stroked="f">
                <v:stroke joinstyle="miter"/>
                <v:textbox>
                  <w:txbxContent>
                    <w:p w14:paraId="395A0C78" w14:textId="5BEEE65F" w:rsidR="00CE4896" w:rsidRPr="00CE4896" w:rsidRDefault="00CE4896" w:rsidP="00577E10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42,</w:t>
                      </w:r>
                      <w:r w:rsidR="00E02C4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Pr="00CE489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4E9D303C" w14:textId="425E5BD9" w:rsidR="00CE4896" w:rsidRDefault="00CE4896" w:rsidP="00577E10">
                      <w:pPr>
                        <w:pStyle w:val="Opiswskanika"/>
                        <w:spacing w:before="120"/>
                        <w:jc w:val="center"/>
                      </w:pPr>
                      <w:r>
                        <w:t>Udział osób biernych zawodowo wśród ogółu ludności w wieku</w:t>
                      </w:r>
                    </w:p>
                    <w:p w14:paraId="0BC03B12" w14:textId="16EF3E28" w:rsidR="005A6925" w:rsidRPr="00504397" w:rsidRDefault="00CE4896" w:rsidP="00577E10">
                      <w:pPr>
                        <w:pStyle w:val="Opiswskanika"/>
                        <w:jc w:val="center"/>
                        <w:rPr>
                          <w:sz w:val="18"/>
                          <w:szCs w:val="20"/>
                        </w:rPr>
                      </w:pPr>
                      <w:r>
                        <w:t>15–89 lat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14:paraId="49FC12A5" w14:textId="09E30184" w:rsidR="00E260E4" w:rsidRDefault="00E260E4" w:rsidP="00E260E4">
      <w:pPr>
        <w:pStyle w:val="Lead"/>
      </w:pPr>
      <w:r w:rsidRPr="00D66BE3">
        <w:t xml:space="preserve">Osoby bierne zawodowo stanowiły w </w:t>
      </w:r>
      <w:r w:rsidR="00E02C4B">
        <w:t>2 kwartale</w:t>
      </w:r>
      <w:r w:rsidRPr="00D66BE3">
        <w:t xml:space="preserve"> 202</w:t>
      </w:r>
      <w:r w:rsidR="001F4146">
        <w:t>2</w:t>
      </w:r>
      <w:r w:rsidRPr="00D66BE3">
        <w:t xml:space="preserve"> r. </w:t>
      </w:r>
      <w:r w:rsidRPr="00993C0A">
        <w:t>4</w:t>
      </w:r>
      <w:r w:rsidR="00216DE2" w:rsidRPr="00993C0A">
        <w:t>2,</w:t>
      </w:r>
      <w:r w:rsidR="00E02C4B">
        <w:t>1</w:t>
      </w:r>
      <w:r w:rsidRPr="00993C0A">
        <w:t>% ogółu ludności w wieku 15–89 lat</w:t>
      </w:r>
      <w:r w:rsidR="00737D55" w:rsidRPr="00993C0A">
        <w:t xml:space="preserve">. </w:t>
      </w:r>
      <w:r w:rsidRPr="00993C0A">
        <w:t xml:space="preserve">Odsetek ten </w:t>
      </w:r>
      <w:r w:rsidR="00AD50F9" w:rsidRPr="00993C0A">
        <w:t xml:space="preserve">ukształtował się na </w:t>
      </w:r>
      <w:r w:rsidR="00E02C4B">
        <w:t>nieco wyższym</w:t>
      </w:r>
      <w:r w:rsidR="00AD50F9" w:rsidRPr="00993C0A">
        <w:t xml:space="preserve"> poziomie</w:t>
      </w:r>
      <w:r w:rsidR="00580A28" w:rsidRPr="00993C0A">
        <w:t xml:space="preserve"> w</w:t>
      </w:r>
      <w:r w:rsidR="008426E7">
        <w:t> </w:t>
      </w:r>
      <w:r w:rsidR="00580A28" w:rsidRPr="00993C0A">
        <w:t xml:space="preserve">porównaniu </w:t>
      </w:r>
      <w:r w:rsidR="00CE4779" w:rsidRPr="00993C0A">
        <w:t>z</w:t>
      </w:r>
      <w:r w:rsidR="00580A28" w:rsidRPr="00993C0A">
        <w:t xml:space="preserve"> poprzedni</w:t>
      </w:r>
      <w:r w:rsidR="00CE4779" w:rsidRPr="00993C0A">
        <w:t>m</w:t>
      </w:r>
      <w:r w:rsidR="00580A28" w:rsidRPr="00993C0A">
        <w:t xml:space="preserve"> kwartał</w:t>
      </w:r>
      <w:r w:rsidR="00CE4779" w:rsidRPr="00993C0A">
        <w:t>em</w:t>
      </w:r>
      <w:r w:rsidR="00E02C4B">
        <w:t xml:space="preserve"> (wzrost o 0,1 p.</w:t>
      </w:r>
      <w:r w:rsidR="00D41B9C">
        <w:t xml:space="preserve"> </w:t>
      </w:r>
      <w:r w:rsidR="00E02C4B">
        <w:t>proc.)</w:t>
      </w:r>
      <w:r w:rsidR="00580A28" w:rsidRPr="00993C0A">
        <w:t>, natomiast zmniejszył się w</w:t>
      </w:r>
      <w:r w:rsidR="00D41B9C">
        <w:t> </w:t>
      </w:r>
      <w:r w:rsidR="00580A28" w:rsidRPr="00993C0A">
        <w:t>ujęciu rocznym (spadek o 0,</w:t>
      </w:r>
      <w:r w:rsidR="00E02C4B">
        <w:t>3 p.</w:t>
      </w:r>
      <w:r w:rsidR="00D41B9C">
        <w:t xml:space="preserve"> </w:t>
      </w:r>
      <w:r w:rsidR="00E02C4B">
        <w:t>proc.</w:t>
      </w:r>
      <w:r w:rsidR="00580A28" w:rsidRPr="00993C0A">
        <w:t>).</w:t>
      </w:r>
      <w:r w:rsidR="00580A28">
        <w:t xml:space="preserve"> </w:t>
      </w:r>
    </w:p>
    <w:p w14:paraId="6E1C8895" w14:textId="77777777" w:rsidR="00DE3F49" w:rsidRPr="00D709CE" w:rsidRDefault="00DE3F49" w:rsidP="00DE3F49">
      <w:pPr>
        <w:spacing w:before="360"/>
        <w:rPr>
          <w:lang w:eastAsia="pl-PL"/>
        </w:rPr>
      </w:pPr>
    </w:p>
    <w:p w14:paraId="28F9FD4A" w14:textId="656512FE" w:rsidR="00524007" w:rsidRPr="00524007" w:rsidRDefault="00524007" w:rsidP="00524007">
      <w:pPr>
        <w:pStyle w:val="Nagwek1"/>
        <w:rPr>
          <w:rFonts w:ascii="Fira Sans" w:hAnsi="Fira Sans"/>
          <w:b/>
          <w:szCs w:val="19"/>
        </w:rPr>
      </w:pPr>
      <w:r w:rsidRPr="00524007">
        <w:rPr>
          <w:rFonts w:ascii="Fira Sans" w:hAnsi="Fira Sans"/>
          <w:b/>
          <w:szCs w:val="19"/>
        </w:rPr>
        <w:t>Osoby bierne zawodowo w wieku 15–89 lat według BAEL</w:t>
      </w:r>
    </w:p>
    <w:p w14:paraId="1976BD54" w14:textId="3D58F83E" w:rsidR="00A37764" w:rsidRDefault="00223F1C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D66BE3">
        <w:rPr>
          <w:rFonts w:eastAsia="Times New Roman" w:cs="Times New Roman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15658DEB" wp14:editId="2A835BA6">
                <wp:simplePos x="0" y="0"/>
                <wp:positionH relativeFrom="column">
                  <wp:posOffset>5327015</wp:posOffset>
                </wp:positionH>
                <wp:positionV relativeFrom="paragraph">
                  <wp:posOffset>485140</wp:posOffset>
                </wp:positionV>
                <wp:extent cx="1609090" cy="619760"/>
                <wp:effectExtent l="0" t="0" r="0" b="0"/>
                <wp:wrapTight wrapText="bothSides">
                  <wp:wrapPolygon edited="0">
                    <wp:start x="767" y="0"/>
                    <wp:lineTo x="767" y="20582"/>
                    <wp:lineTo x="20713" y="20582"/>
                    <wp:lineTo x="20713" y="0"/>
                    <wp:lineTo x="767" y="0"/>
                  </wp:wrapPolygon>
                </wp:wrapTight>
                <wp:docPr id="27" name="Pole tekstowe 2" descr="Kobiety nadal stanowią większość populacji biernych zawodow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BFA7" w14:textId="77777777" w:rsidR="005A6925" w:rsidRPr="00527382" w:rsidRDefault="005A6925" w:rsidP="00EC542E">
                            <w:pPr>
                              <w:pStyle w:val="tekstzboku"/>
                            </w:pPr>
                            <w:r w:rsidRPr="00527382">
                              <w:t>Kobiety nadal stanowią większość populacji biernych zawodowo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8DEB" id="_x0000_s1038" type="#_x0000_t202" alt="Kobiety nadal stanowią większość populacji biernych zawodowo" style="position:absolute;margin-left:419.45pt;margin-top:38.2pt;width:126.7pt;height:48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" filled="f" stroked="f">
                <v:textbox inset=",0">
                  <w:txbxContent>
                    <w:p w14:paraId="6194BFA7" w14:textId="77777777" w:rsidR="005A6925" w:rsidRPr="00527382" w:rsidRDefault="005A6925" w:rsidP="00EC542E">
                      <w:pPr>
                        <w:pStyle w:val="tekstzboku"/>
                      </w:pPr>
                      <w:r w:rsidRPr="00527382">
                        <w:t>Kobiety nadal stanowią większość populacji biernych zawodowo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24007" w:rsidRPr="00D66BE3">
        <w:rPr>
          <w:rFonts w:eastAsia="Times New Roman" w:cs="Times New Roman"/>
          <w:szCs w:val="19"/>
          <w:lang w:eastAsia="pl-PL"/>
        </w:rPr>
        <w:t xml:space="preserve">W </w:t>
      </w:r>
      <w:r w:rsidR="006D2B2E">
        <w:rPr>
          <w:rFonts w:eastAsia="Times New Roman" w:cs="Times New Roman"/>
          <w:szCs w:val="19"/>
          <w:lang w:eastAsia="pl-PL"/>
        </w:rPr>
        <w:t>2</w:t>
      </w:r>
      <w:r w:rsidR="00524007" w:rsidRPr="00D66BE3">
        <w:rPr>
          <w:rFonts w:eastAsia="Times New Roman" w:cs="Times New Roman"/>
          <w:szCs w:val="19"/>
          <w:lang w:eastAsia="pl-PL"/>
        </w:rPr>
        <w:t xml:space="preserve"> kwartale 202</w:t>
      </w:r>
      <w:r w:rsidR="00A37764">
        <w:rPr>
          <w:rFonts w:eastAsia="Times New Roman" w:cs="Times New Roman"/>
          <w:szCs w:val="19"/>
          <w:lang w:eastAsia="pl-PL"/>
        </w:rPr>
        <w:t>2</w:t>
      </w:r>
      <w:r w:rsidR="00524007" w:rsidRPr="00D66BE3">
        <w:rPr>
          <w:rFonts w:eastAsia="Times New Roman" w:cs="Times New Roman"/>
          <w:szCs w:val="19"/>
          <w:lang w:eastAsia="pl-PL"/>
        </w:rPr>
        <w:t xml:space="preserve"> r. populacja osób biernych zawodowo w wieku 15-89 lat </w:t>
      </w:r>
      <w:r w:rsidR="001623D6">
        <w:rPr>
          <w:rFonts w:eastAsia="Times New Roman" w:cs="Times New Roman"/>
          <w:szCs w:val="19"/>
          <w:lang w:eastAsia="pl-PL"/>
        </w:rPr>
        <w:t>wynosiła</w:t>
      </w:r>
      <w:r w:rsidR="00524007" w:rsidRPr="00993C0A">
        <w:rPr>
          <w:rFonts w:eastAsia="Times New Roman" w:cs="Times New Roman"/>
          <w:szCs w:val="19"/>
          <w:lang w:eastAsia="pl-PL"/>
        </w:rPr>
        <w:t xml:space="preserve"> </w:t>
      </w:r>
      <w:r w:rsidR="00AD50F9" w:rsidRPr="00993C0A">
        <w:rPr>
          <w:rFonts w:eastAsia="Times New Roman" w:cs="Times New Roman"/>
          <w:szCs w:val="19"/>
          <w:lang w:eastAsia="pl-PL"/>
        </w:rPr>
        <w:t>125</w:t>
      </w:r>
      <w:r w:rsidR="006D2B2E">
        <w:rPr>
          <w:rFonts w:eastAsia="Times New Roman" w:cs="Times New Roman"/>
          <w:szCs w:val="19"/>
          <w:lang w:eastAsia="pl-PL"/>
        </w:rPr>
        <w:t>08</w:t>
      </w:r>
      <w:r w:rsidR="008C7C8D">
        <w:rPr>
          <w:rFonts w:eastAsia="Times New Roman" w:cs="Times New Roman"/>
          <w:szCs w:val="19"/>
          <w:lang w:eastAsia="pl-PL"/>
        </w:rPr>
        <w:t> </w:t>
      </w:r>
      <w:r w:rsidR="00524007" w:rsidRPr="00993C0A">
        <w:rPr>
          <w:rFonts w:eastAsia="Times New Roman" w:cs="Times New Roman"/>
          <w:szCs w:val="19"/>
          <w:lang w:eastAsia="pl-PL"/>
        </w:rPr>
        <w:t xml:space="preserve">tys. </w:t>
      </w:r>
      <w:r w:rsidR="001623D6">
        <w:rPr>
          <w:rFonts w:eastAsia="Times New Roman" w:cs="Times New Roman"/>
          <w:szCs w:val="19"/>
          <w:lang w:eastAsia="pl-PL"/>
        </w:rPr>
        <w:t xml:space="preserve">i była na podobnym poziomie co w 1 kwartale 2022 r. i wyraźnie niższa </w:t>
      </w:r>
      <w:r w:rsidR="00CE430B">
        <w:rPr>
          <w:rFonts w:eastAsia="Times New Roman" w:cs="Times New Roman"/>
          <w:szCs w:val="19"/>
          <w:lang w:eastAsia="pl-PL"/>
        </w:rPr>
        <w:t xml:space="preserve">niż </w:t>
      </w:r>
      <w:r w:rsidR="001623D6">
        <w:rPr>
          <w:rFonts w:eastAsia="Times New Roman" w:cs="Times New Roman"/>
          <w:szCs w:val="19"/>
          <w:lang w:eastAsia="pl-PL"/>
        </w:rPr>
        <w:t xml:space="preserve">przed rokiem (w odniesieniu do 2 kwartału 2021 r. odnotowano spadek </w:t>
      </w:r>
      <w:r w:rsidR="00BC4484" w:rsidRPr="00993C0A">
        <w:rPr>
          <w:rFonts w:eastAsia="Times New Roman" w:cs="Times New Roman"/>
          <w:szCs w:val="19"/>
          <w:lang w:eastAsia="pl-PL"/>
        </w:rPr>
        <w:t>o</w:t>
      </w:r>
      <w:r w:rsidR="008E65F1" w:rsidRPr="00993C0A">
        <w:rPr>
          <w:rFonts w:eastAsia="Times New Roman" w:cs="Times New Roman"/>
          <w:szCs w:val="19"/>
          <w:lang w:eastAsia="pl-PL"/>
        </w:rPr>
        <w:t xml:space="preserve"> </w:t>
      </w:r>
      <w:r w:rsidR="006D2B2E">
        <w:rPr>
          <w:rFonts w:eastAsia="Times New Roman" w:cs="Times New Roman"/>
          <w:szCs w:val="19"/>
          <w:lang w:eastAsia="pl-PL"/>
        </w:rPr>
        <w:t>143</w:t>
      </w:r>
      <w:r w:rsidR="00A37764" w:rsidRPr="00993C0A">
        <w:rPr>
          <w:rFonts w:eastAsia="Times New Roman" w:cs="Times New Roman"/>
          <w:szCs w:val="19"/>
          <w:lang w:eastAsia="pl-PL"/>
        </w:rPr>
        <w:t xml:space="preserve"> tys.</w:t>
      </w:r>
      <w:r w:rsidR="00B44FB1" w:rsidRPr="00416225">
        <w:rPr>
          <w:rFonts w:eastAsia="Times New Roman" w:cs="Times New Roman"/>
          <w:szCs w:val="19"/>
          <w:lang w:eastAsia="pl-PL"/>
        </w:rPr>
        <w:t>,</w:t>
      </w:r>
      <w:r w:rsidR="00A37764" w:rsidRPr="00993C0A">
        <w:rPr>
          <w:rFonts w:eastAsia="Times New Roman" w:cs="Times New Roman"/>
          <w:szCs w:val="19"/>
          <w:lang w:eastAsia="pl-PL"/>
        </w:rPr>
        <w:t xml:space="preserve"> tj. </w:t>
      </w:r>
      <w:r w:rsidR="006D2B2E">
        <w:rPr>
          <w:rFonts w:eastAsia="Times New Roman" w:cs="Times New Roman"/>
          <w:szCs w:val="19"/>
          <w:lang w:eastAsia="pl-PL"/>
        </w:rPr>
        <w:t>1,1</w:t>
      </w:r>
      <w:r w:rsidR="00A37764" w:rsidRPr="00993C0A">
        <w:rPr>
          <w:rFonts w:eastAsia="Times New Roman" w:cs="Times New Roman"/>
          <w:szCs w:val="19"/>
          <w:lang w:eastAsia="pl-PL"/>
        </w:rPr>
        <w:t>%</w:t>
      </w:r>
      <w:r w:rsidR="002B4D65" w:rsidRPr="00993C0A">
        <w:rPr>
          <w:rFonts w:eastAsia="Times New Roman" w:cs="Times New Roman"/>
          <w:szCs w:val="19"/>
          <w:lang w:eastAsia="pl-PL"/>
        </w:rPr>
        <w:t>).</w:t>
      </w:r>
    </w:p>
    <w:p w14:paraId="7C23B5E3" w14:textId="0D4F7C1C" w:rsidR="00223F1C" w:rsidRPr="00993C0A" w:rsidRDefault="00223F1C" w:rsidP="00223F1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>Ponad połowę wśród osób biernych zawodowo stanowiły kobiety – 6</w:t>
      </w:r>
      <w:r>
        <w:rPr>
          <w:rFonts w:eastAsia="Times New Roman" w:cs="Times New Roman"/>
          <w:szCs w:val="19"/>
          <w:lang w:eastAsia="pl-PL"/>
        </w:rPr>
        <w:t>0,9</w:t>
      </w:r>
      <w:r w:rsidRPr="00993C0A">
        <w:rPr>
          <w:rFonts w:eastAsia="Times New Roman" w:cs="Times New Roman"/>
          <w:szCs w:val="19"/>
          <w:lang w:eastAsia="pl-PL"/>
        </w:rPr>
        <w:t>%, tj. 76</w:t>
      </w:r>
      <w:r>
        <w:rPr>
          <w:rFonts w:eastAsia="Times New Roman" w:cs="Times New Roman"/>
          <w:szCs w:val="19"/>
          <w:lang w:eastAsia="pl-PL"/>
        </w:rPr>
        <w:t>18</w:t>
      </w:r>
      <w:r w:rsidRPr="00993C0A">
        <w:rPr>
          <w:rFonts w:eastAsia="Times New Roman" w:cs="Times New Roman"/>
          <w:szCs w:val="19"/>
          <w:lang w:eastAsia="pl-PL"/>
        </w:rPr>
        <w:t xml:space="preserve"> tys. Biorąc pod uwagę miejsce zamieszkania, mieszkańcy miast stanowili </w:t>
      </w:r>
      <w:r>
        <w:rPr>
          <w:rFonts w:eastAsia="Times New Roman" w:cs="Times New Roman"/>
          <w:szCs w:val="19"/>
          <w:lang w:eastAsia="pl-PL"/>
        </w:rPr>
        <w:t>59,7</w:t>
      </w:r>
      <w:r w:rsidRPr="00993C0A">
        <w:rPr>
          <w:rFonts w:eastAsia="Times New Roman" w:cs="Times New Roman"/>
          <w:szCs w:val="19"/>
          <w:lang w:eastAsia="pl-PL"/>
        </w:rPr>
        <w:t>% tej zbiorowości (tj. 74</w:t>
      </w:r>
      <w:r>
        <w:rPr>
          <w:rFonts w:eastAsia="Times New Roman" w:cs="Times New Roman"/>
          <w:szCs w:val="19"/>
          <w:lang w:eastAsia="pl-PL"/>
        </w:rPr>
        <w:t>69</w:t>
      </w:r>
      <w:r w:rsidRPr="00993C0A">
        <w:rPr>
          <w:rFonts w:eastAsia="Times New Roman" w:cs="Times New Roman"/>
          <w:szCs w:val="19"/>
          <w:lang w:eastAsia="pl-PL"/>
        </w:rPr>
        <w:t> tys.).</w:t>
      </w:r>
    </w:p>
    <w:p w14:paraId="1A08FEAF" w14:textId="2FBB2BE8" w:rsidR="008C7C8D" w:rsidRDefault="008C7C8D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A0427E">
        <w:rPr>
          <w:rFonts w:eastAsia="Times New Roman" w:cs="Times New Roman"/>
          <w:szCs w:val="19"/>
          <w:lang w:eastAsia="pl-PL"/>
        </w:rPr>
        <w:t>W skali kwartału zmniejszyła się liczba biernych zawodowo kobiet (o 65 tys., tj. o 0,8%)</w:t>
      </w:r>
      <w:r w:rsidR="00480ABA" w:rsidRPr="00A0427E">
        <w:rPr>
          <w:rFonts w:eastAsia="Times New Roman" w:cs="Times New Roman"/>
          <w:szCs w:val="19"/>
          <w:lang w:eastAsia="pl-PL"/>
        </w:rPr>
        <w:t>, podczas gdy wśród mężczyzn obserwowano wzrost – o 62 tys., tj. o 1,3%. W przypadku mieszkańców wsi odnotowano spadek biernych zawodowo (o 36 tys., tj. o 0,7%), a wśród mieszkańców miast wzrost – o 33 tys.</w:t>
      </w:r>
      <w:r w:rsidR="00555CC2">
        <w:rPr>
          <w:rFonts w:eastAsia="Times New Roman" w:cs="Times New Roman"/>
          <w:szCs w:val="19"/>
          <w:lang w:eastAsia="pl-PL"/>
        </w:rPr>
        <w:t>,</w:t>
      </w:r>
      <w:r w:rsidR="00480ABA" w:rsidRPr="00A0427E">
        <w:rPr>
          <w:rFonts w:eastAsia="Times New Roman" w:cs="Times New Roman"/>
          <w:szCs w:val="19"/>
          <w:lang w:eastAsia="pl-PL"/>
        </w:rPr>
        <w:t xml:space="preserve"> tj. o 0,4%.</w:t>
      </w:r>
    </w:p>
    <w:p w14:paraId="7B49F0E4" w14:textId="2BEA7A32" w:rsidR="00524007" w:rsidRPr="00993C0A" w:rsidRDefault="00E9145B" w:rsidP="00524007">
      <w:pPr>
        <w:spacing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Odnotowane w</w:t>
      </w:r>
      <w:r w:rsidR="00DC0A22" w:rsidRPr="00E9145B">
        <w:rPr>
          <w:rFonts w:eastAsia="Times New Roman" w:cs="Times New Roman"/>
          <w:szCs w:val="19"/>
          <w:lang w:eastAsia="pl-PL"/>
        </w:rPr>
        <w:t xml:space="preserve"> skali roku </w:t>
      </w:r>
      <w:r>
        <w:rPr>
          <w:rFonts w:eastAsia="Times New Roman" w:cs="Times New Roman"/>
          <w:szCs w:val="19"/>
          <w:lang w:eastAsia="pl-PL"/>
        </w:rPr>
        <w:t xml:space="preserve">istotne </w:t>
      </w:r>
      <w:r w:rsidR="00DC0A22">
        <w:rPr>
          <w:rFonts w:eastAsia="Times New Roman" w:cs="Times New Roman"/>
          <w:szCs w:val="19"/>
          <w:lang w:eastAsia="pl-PL"/>
        </w:rPr>
        <w:t xml:space="preserve">zmniejszenie się </w:t>
      </w:r>
      <w:r w:rsidR="0090549C">
        <w:rPr>
          <w:rFonts w:eastAsia="Times New Roman" w:cs="Times New Roman"/>
          <w:szCs w:val="19"/>
          <w:lang w:eastAsia="pl-PL"/>
        </w:rPr>
        <w:t xml:space="preserve">tej </w:t>
      </w:r>
      <w:r w:rsidR="00DC0A22">
        <w:rPr>
          <w:rFonts w:eastAsia="Times New Roman" w:cs="Times New Roman"/>
          <w:szCs w:val="19"/>
          <w:lang w:eastAsia="pl-PL"/>
        </w:rPr>
        <w:t xml:space="preserve">populacji </w:t>
      </w:r>
      <w:r>
        <w:rPr>
          <w:rFonts w:eastAsia="Times New Roman" w:cs="Times New Roman"/>
          <w:szCs w:val="19"/>
          <w:lang w:eastAsia="pl-PL"/>
        </w:rPr>
        <w:t xml:space="preserve">było </w:t>
      </w:r>
      <w:r w:rsidR="004F51F7">
        <w:rPr>
          <w:rFonts w:eastAsia="Times New Roman" w:cs="Times New Roman"/>
          <w:szCs w:val="19"/>
          <w:lang w:eastAsia="pl-PL"/>
        </w:rPr>
        <w:t xml:space="preserve">spowodowane głównie przez spadek liczebności biernych zawodowo kobiet (o 139 tys., tj. o 1,8%), podczas gdy wśród mężczyzn </w:t>
      </w:r>
      <w:r w:rsidR="0090549C">
        <w:rPr>
          <w:rFonts w:eastAsia="Times New Roman" w:cs="Times New Roman"/>
          <w:szCs w:val="19"/>
          <w:lang w:eastAsia="pl-PL"/>
        </w:rPr>
        <w:t xml:space="preserve">liczebność tej grupy utrzymała się na podobnym poziomie. </w:t>
      </w:r>
      <w:r w:rsidR="004F51F7">
        <w:rPr>
          <w:rFonts w:eastAsia="Times New Roman" w:cs="Times New Roman"/>
          <w:szCs w:val="19"/>
          <w:lang w:eastAsia="pl-PL"/>
        </w:rPr>
        <w:t xml:space="preserve">Biorąc pod uwagę miejsce zamieszkania </w:t>
      </w:r>
      <w:r w:rsidR="0090549C">
        <w:rPr>
          <w:rFonts w:eastAsia="Times New Roman" w:cs="Times New Roman"/>
          <w:szCs w:val="19"/>
          <w:lang w:eastAsia="pl-PL"/>
        </w:rPr>
        <w:t xml:space="preserve">zdecydowanie </w:t>
      </w:r>
      <w:r w:rsidR="00032E85">
        <w:rPr>
          <w:rFonts w:eastAsia="Times New Roman" w:cs="Times New Roman"/>
          <w:szCs w:val="19"/>
          <w:lang w:eastAsia="pl-PL"/>
        </w:rPr>
        <w:t>większy</w:t>
      </w:r>
      <w:r w:rsidR="004F51F7">
        <w:rPr>
          <w:rFonts w:eastAsia="Times New Roman" w:cs="Times New Roman"/>
          <w:szCs w:val="19"/>
          <w:lang w:eastAsia="pl-PL"/>
        </w:rPr>
        <w:t xml:space="preserve"> spadek biernych zawodowo wystąpił wśród mieszkańców wsi (o 132 tys.</w:t>
      </w:r>
      <w:r w:rsidR="00A654A8">
        <w:rPr>
          <w:rFonts w:eastAsia="Times New Roman" w:cs="Times New Roman"/>
          <w:szCs w:val="19"/>
          <w:lang w:eastAsia="pl-PL"/>
        </w:rPr>
        <w:t>,</w:t>
      </w:r>
      <w:r w:rsidR="004F51F7">
        <w:rPr>
          <w:rFonts w:eastAsia="Times New Roman" w:cs="Times New Roman"/>
          <w:szCs w:val="19"/>
          <w:lang w:eastAsia="pl-PL"/>
        </w:rPr>
        <w:t xml:space="preserve"> tj. o 2,6%), niż wśród mieszkańców miast (spadek o 11 tys.</w:t>
      </w:r>
      <w:r w:rsidR="00A654A8">
        <w:rPr>
          <w:rFonts w:eastAsia="Times New Roman" w:cs="Times New Roman"/>
          <w:szCs w:val="19"/>
          <w:lang w:eastAsia="pl-PL"/>
        </w:rPr>
        <w:t>,</w:t>
      </w:r>
      <w:r w:rsidR="004F51F7">
        <w:rPr>
          <w:rFonts w:eastAsia="Times New Roman" w:cs="Times New Roman"/>
          <w:szCs w:val="19"/>
          <w:lang w:eastAsia="pl-PL"/>
        </w:rPr>
        <w:t xml:space="preserve"> tj. o</w:t>
      </w:r>
      <w:r w:rsidR="00D41B9C">
        <w:rPr>
          <w:rFonts w:eastAsia="Times New Roman" w:cs="Times New Roman"/>
          <w:szCs w:val="19"/>
          <w:lang w:eastAsia="pl-PL"/>
        </w:rPr>
        <w:t> </w:t>
      </w:r>
      <w:r w:rsidR="004F51F7">
        <w:rPr>
          <w:rFonts w:eastAsia="Times New Roman" w:cs="Times New Roman"/>
          <w:szCs w:val="19"/>
          <w:lang w:eastAsia="pl-PL"/>
        </w:rPr>
        <w:t xml:space="preserve">0,1%).  </w:t>
      </w:r>
    </w:p>
    <w:p w14:paraId="6D184783" w14:textId="77777777" w:rsidR="00524007" w:rsidRPr="00993C0A" w:rsidRDefault="00524007" w:rsidP="00524007">
      <w:pPr>
        <w:spacing w:line="288" w:lineRule="auto"/>
      </w:pPr>
      <w:r w:rsidRPr="00993C0A">
        <w:rPr>
          <w:rFonts w:eastAsia="Times New Roman" w:cs="Times New Roman"/>
          <w:szCs w:val="19"/>
          <w:lang w:eastAsia="pl-PL"/>
        </w:rPr>
        <w:t>Populacja biernych zawodowo jest specyficzną, jeżeli chodzi o zasoby dla rynku pracy. W ramach tej zbiorowości znajdują się bowiem zarówno osoby, które jeszcze nie weszły na rynek pracy (w tym większość uczącej się młodzieży), osoby, które już definitywnie z rynku pracy odeszły albo nigdy na rynek pracy nie trafią (część emerytów, rencistów, osoby utrzymujące się z</w:t>
      </w:r>
      <w:r w:rsidR="00194121" w:rsidRPr="00993C0A">
        <w:rPr>
          <w:rFonts w:eastAsia="Times New Roman" w:cs="Times New Roman"/>
          <w:szCs w:val="19"/>
          <w:lang w:eastAsia="pl-PL"/>
        </w:rPr>
        <w:t xml:space="preserve"> </w:t>
      </w:r>
      <w:r w:rsidRPr="00993C0A">
        <w:rPr>
          <w:rFonts w:eastAsia="Times New Roman" w:cs="Times New Roman"/>
          <w:szCs w:val="19"/>
          <w:lang w:eastAsia="pl-PL"/>
        </w:rPr>
        <w:t>innych źródeł niż praca), ale też osoby, które weszły na rynek pracy, potem częściowo się zdezaktywizowały i po przerwie na ten rynek pracy zechcą powrócić.</w:t>
      </w:r>
    </w:p>
    <w:p w14:paraId="7DE7866C" w14:textId="5D5E9087" w:rsidR="00524007" w:rsidRPr="00D66BE3" w:rsidRDefault="00524007" w:rsidP="00A0427E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993C0A">
        <w:rPr>
          <w:rFonts w:eastAsia="Times New Roman" w:cs="Times New Roman"/>
          <w:szCs w:val="19"/>
          <w:lang w:eastAsia="pl-PL"/>
        </w:rPr>
        <w:t xml:space="preserve">W </w:t>
      </w:r>
      <w:r w:rsidR="00233A12">
        <w:rPr>
          <w:rFonts w:eastAsia="Times New Roman" w:cs="Times New Roman"/>
          <w:szCs w:val="19"/>
          <w:lang w:eastAsia="pl-PL"/>
        </w:rPr>
        <w:t xml:space="preserve">2 </w:t>
      </w:r>
      <w:r w:rsidRPr="00993C0A">
        <w:rPr>
          <w:rFonts w:eastAsia="Times New Roman" w:cs="Times New Roman"/>
          <w:szCs w:val="19"/>
          <w:lang w:eastAsia="pl-PL"/>
        </w:rPr>
        <w:t>kwartale 202</w:t>
      </w:r>
      <w:r w:rsidR="00DC0A22" w:rsidRPr="00993C0A"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 xml:space="preserve"> r. w zbiorowości osób biernych zawodowo w wieku 15-74 lata, liczącej </w:t>
      </w:r>
      <w:r w:rsidR="0007124A">
        <w:rPr>
          <w:rFonts w:eastAsia="Times New Roman" w:cs="Times New Roman"/>
          <w:szCs w:val="19"/>
          <w:lang w:eastAsia="pl-PL"/>
        </w:rPr>
        <w:t>10297</w:t>
      </w:r>
      <w:r w:rsidR="00FF1362" w:rsidRPr="00993C0A">
        <w:rPr>
          <w:rFonts w:eastAsia="Times New Roman" w:cs="Times New Roman"/>
          <w:szCs w:val="19"/>
          <w:lang w:eastAsia="pl-PL"/>
        </w:rPr>
        <w:t> </w:t>
      </w:r>
      <w:r w:rsidRPr="00993C0A">
        <w:rPr>
          <w:rFonts w:eastAsia="Times New Roman" w:cs="Times New Roman"/>
          <w:szCs w:val="19"/>
          <w:lang w:eastAsia="pl-PL"/>
        </w:rPr>
        <w:t>tys. (dla tej grupy wieku ustalana była przyczyna bierności) ponad połowę stanowili emeryci (</w:t>
      </w:r>
      <w:r w:rsidR="0007124A">
        <w:rPr>
          <w:rFonts w:eastAsia="Times New Roman" w:cs="Times New Roman"/>
          <w:szCs w:val="19"/>
          <w:lang w:eastAsia="pl-PL"/>
        </w:rPr>
        <w:t>51,2</w:t>
      </w:r>
      <w:r w:rsidRPr="00993C0A">
        <w:rPr>
          <w:rFonts w:eastAsia="Times New Roman" w:cs="Times New Roman"/>
          <w:szCs w:val="19"/>
          <w:lang w:eastAsia="pl-PL"/>
        </w:rPr>
        <w:t>%), a drugą w kolejności grupą byli uczniowie i studenci (21,</w:t>
      </w:r>
      <w:r w:rsidR="0007124A">
        <w:rPr>
          <w:rFonts w:eastAsia="Times New Roman" w:cs="Times New Roman"/>
          <w:szCs w:val="19"/>
          <w:lang w:eastAsia="pl-PL"/>
        </w:rPr>
        <w:t>5</w:t>
      </w:r>
      <w:r w:rsidRPr="00993C0A">
        <w:rPr>
          <w:rFonts w:eastAsia="Times New Roman" w:cs="Times New Roman"/>
          <w:szCs w:val="19"/>
          <w:lang w:eastAsia="pl-PL"/>
        </w:rPr>
        <w:t xml:space="preserve">%). </w:t>
      </w:r>
    </w:p>
    <w:p w14:paraId="418B97B1" w14:textId="77777777" w:rsidR="003E2080" w:rsidRDefault="003E2080">
      <w:pPr>
        <w:spacing w:before="0" w:after="160" w:line="259" w:lineRule="auto"/>
        <w:rPr>
          <w:b/>
        </w:rPr>
      </w:pPr>
      <w:r>
        <w:rPr>
          <w:b/>
        </w:rPr>
        <w:br w:type="page"/>
      </w:r>
    </w:p>
    <w:p w14:paraId="5A2D27AA" w14:textId="6390B564" w:rsidR="00524007" w:rsidRPr="00524007" w:rsidRDefault="00524007" w:rsidP="00524007">
      <w:pPr>
        <w:spacing w:before="360" w:line="259" w:lineRule="auto"/>
        <w:ind w:left="851" w:hanging="851"/>
        <w:rPr>
          <w:b/>
          <w:shd w:val="clear" w:color="auto" w:fill="FFFFFF"/>
        </w:rPr>
      </w:pPr>
      <w:r w:rsidRPr="00524007">
        <w:rPr>
          <w:b/>
        </w:rPr>
        <w:lastRenderedPageBreak/>
        <w:t xml:space="preserve">Wykres </w:t>
      </w:r>
      <w:r w:rsidR="00DC47E0">
        <w:rPr>
          <w:b/>
        </w:rPr>
        <w:t>6</w:t>
      </w:r>
      <w:r w:rsidRPr="00524007">
        <w:rPr>
          <w:b/>
        </w:rPr>
        <w:t>.</w:t>
      </w:r>
      <w:r w:rsidRPr="00524007">
        <w:rPr>
          <w:shd w:val="clear" w:color="auto" w:fill="FFFFFF"/>
        </w:rPr>
        <w:tab/>
      </w:r>
      <w:r w:rsidRPr="00524007">
        <w:rPr>
          <w:b/>
          <w:shd w:val="clear" w:color="auto" w:fill="FFFFFF"/>
        </w:rPr>
        <w:t xml:space="preserve">Struktura osób biernych zawodowo w wieku 15-74 lata według płci </w:t>
      </w:r>
      <w:r w:rsidRPr="00524007">
        <w:rPr>
          <w:b/>
          <w:shd w:val="clear" w:color="auto" w:fill="FFFFFF"/>
        </w:rPr>
        <w:br/>
        <w:t xml:space="preserve">i przyczyn bierności w </w:t>
      </w:r>
      <w:r w:rsidR="00DC47E0">
        <w:rPr>
          <w:b/>
          <w:shd w:val="clear" w:color="auto" w:fill="FFFFFF"/>
        </w:rPr>
        <w:t>2</w:t>
      </w:r>
      <w:r w:rsidRPr="00524007">
        <w:rPr>
          <w:b/>
          <w:shd w:val="clear" w:color="auto" w:fill="FFFFFF"/>
        </w:rPr>
        <w:t xml:space="preserve"> kwartale 202</w:t>
      </w:r>
      <w:r w:rsidR="00833BB1">
        <w:rPr>
          <w:b/>
          <w:shd w:val="clear" w:color="auto" w:fill="FFFFFF"/>
        </w:rPr>
        <w:t>2</w:t>
      </w:r>
      <w:r w:rsidRPr="00524007">
        <w:rPr>
          <w:b/>
          <w:shd w:val="clear" w:color="auto" w:fill="FFFFFF"/>
        </w:rPr>
        <w:t xml:space="preserve"> r. (w %)</w:t>
      </w:r>
    </w:p>
    <w:p w14:paraId="115780EC" w14:textId="3B70DEE9" w:rsidR="00524007" w:rsidRDefault="000622CE" w:rsidP="00524007">
      <w:pPr>
        <w:spacing w:before="0" w:after="160" w:line="259" w:lineRule="auto"/>
        <w:jc w:val="center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0ABB6BDA" wp14:editId="589697BF">
            <wp:extent cx="4913630" cy="2359660"/>
            <wp:effectExtent l="0" t="0" r="1270" b="2540"/>
            <wp:docPr id="24" name="Obraz 24" descr="Wykres prezentuje strukturę osób biernych zawodowo w wieku 15-74 lata według płci i przyczyn bierności w 2 kwartale 2022 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864A0" w14:textId="700D564E" w:rsidR="00CD5757" w:rsidRDefault="00CD5757" w:rsidP="0016353C">
      <w:pPr>
        <w:spacing w:line="288" w:lineRule="auto"/>
      </w:pPr>
      <w:r>
        <w:rPr>
          <w:rFonts w:eastAsia="Times New Roman" w:cs="Times New Roman"/>
          <w:szCs w:val="19"/>
          <w:lang w:eastAsia="pl-PL"/>
        </w:rPr>
        <w:t>W</w:t>
      </w:r>
      <w:r w:rsidRPr="00993C0A">
        <w:rPr>
          <w:rFonts w:eastAsia="Times New Roman" w:cs="Times New Roman"/>
          <w:szCs w:val="19"/>
          <w:lang w:eastAsia="pl-PL"/>
        </w:rPr>
        <w:t> przypadku osób biernych zawodowo w wieku produkcyjnym (41</w:t>
      </w:r>
      <w:r>
        <w:rPr>
          <w:rFonts w:eastAsia="Times New Roman" w:cs="Times New Roman"/>
          <w:szCs w:val="19"/>
          <w:lang w:eastAsia="pl-PL"/>
        </w:rPr>
        <w:t>14</w:t>
      </w:r>
      <w:r w:rsidRPr="00993C0A">
        <w:rPr>
          <w:rFonts w:eastAsia="Times New Roman" w:cs="Times New Roman"/>
          <w:szCs w:val="19"/>
          <w:lang w:eastAsia="pl-PL"/>
        </w:rPr>
        <w:t xml:space="preserve"> tys.) najczęstszymi przyczynami bierności były: nauka i podnoszenie kwalifikacji (</w:t>
      </w:r>
      <w:r>
        <w:rPr>
          <w:rFonts w:eastAsia="Times New Roman" w:cs="Times New Roman"/>
          <w:szCs w:val="19"/>
          <w:lang w:eastAsia="pl-PL"/>
        </w:rPr>
        <w:t>29,3</w:t>
      </w:r>
      <w:r w:rsidRPr="00993C0A">
        <w:rPr>
          <w:rFonts w:eastAsia="Times New Roman" w:cs="Times New Roman"/>
          <w:szCs w:val="19"/>
          <w:lang w:eastAsia="pl-PL"/>
        </w:rPr>
        <w:t>%), choroba, niepełnosprawność (24</w:t>
      </w:r>
      <w:r>
        <w:rPr>
          <w:rFonts w:eastAsia="Times New Roman" w:cs="Times New Roman"/>
          <w:szCs w:val="19"/>
          <w:lang w:eastAsia="pl-PL"/>
        </w:rPr>
        <w:t>,1</w:t>
      </w:r>
      <w:r w:rsidRPr="00993C0A">
        <w:rPr>
          <w:rFonts w:eastAsia="Times New Roman" w:cs="Times New Roman"/>
          <w:szCs w:val="19"/>
          <w:lang w:eastAsia="pl-PL"/>
        </w:rPr>
        <w:t>%), obowiązki rodzinne (19,</w:t>
      </w:r>
      <w:r>
        <w:rPr>
          <w:rFonts w:eastAsia="Times New Roman" w:cs="Times New Roman"/>
          <w:szCs w:val="19"/>
          <w:lang w:eastAsia="pl-PL"/>
        </w:rPr>
        <w:t>3</w:t>
      </w:r>
      <w:r w:rsidRPr="00993C0A">
        <w:rPr>
          <w:rFonts w:eastAsia="Times New Roman" w:cs="Times New Roman"/>
          <w:szCs w:val="19"/>
          <w:lang w:eastAsia="pl-PL"/>
        </w:rPr>
        <w:t xml:space="preserve">%), </w:t>
      </w:r>
      <w:r>
        <w:rPr>
          <w:rFonts w:eastAsia="Times New Roman" w:cs="Times New Roman"/>
          <w:szCs w:val="19"/>
          <w:lang w:eastAsia="pl-PL"/>
        </w:rPr>
        <w:t xml:space="preserve">emerytura (9,2%) oraz </w:t>
      </w:r>
      <w:r w:rsidRPr="00993C0A">
        <w:rPr>
          <w:rFonts w:eastAsia="Times New Roman" w:cs="Times New Roman"/>
          <w:szCs w:val="19"/>
          <w:lang w:eastAsia="pl-PL"/>
        </w:rPr>
        <w:t>zniechęcenie bezskutecznością poszukiwań pracy (1,</w:t>
      </w:r>
      <w:r>
        <w:rPr>
          <w:rFonts w:eastAsia="Times New Roman" w:cs="Times New Roman"/>
          <w:szCs w:val="19"/>
          <w:lang w:eastAsia="pl-PL"/>
        </w:rPr>
        <w:t>2</w:t>
      </w:r>
      <w:r w:rsidRPr="00993C0A">
        <w:rPr>
          <w:rFonts w:eastAsia="Times New Roman" w:cs="Times New Roman"/>
          <w:szCs w:val="19"/>
          <w:lang w:eastAsia="pl-PL"/>
        </w:rPr>
        <w:t>%)</w:t>
      </w:r>
      <w:r>
        <w:rPr>
          <w:rFonts w:eastAsia="Times New Roman" w:cs="Times New Roman"/>
          <w:szCs w:val="19"/>
          <w:lang w:eastAsia="pl-PL"/>
        </w:rPr>
        <w:t>.</w:t>
      </w:r>
    </w:p>
    <w:p w14:paraId="5DAFB1CC" w14:textId="2A0F7393" w:rsidR="00AE14FB" w:rsidRDefault="00AE14FB" w:rsidP="00AE14FB">
      <w:pPr>
        <w:pStyle w:val="Nagwek1"/>
        <w:rPr>
          <w:rFonts w:ascii="Fira Sans" w:hAnsi="Fira Sans"/>
          <w:b/>
          <w:szCs w:val="19"/>
        </w:rPr>
      </w:pPr>
      <w:r w:rsidRPr="00AE14FB">
        <w:rPr>
          <w:rFonts w:ascii="Fira Sans" w:hAnsi="Fira Sans"/>
          <w:b/>
          <w:szCs w:val="19"/>
        </w:rPr>
        <w:t>Uwagi metodologiczne</w:t>
      </w:r>
    </w:p>
    <w:p w14:paraId="2DD196A2" w14:textId="0550F58A" w:rsidR="00155A1E" w:rsidRDefault="00155A1E" w:rsidP="00FC1275">
      <w:pPr>
        <w:spacing w:line="288" w:lineRule="auto"/>
        <w:rPr>
          <w:lang w:eastAsia="pl-PL"/>
        </w:rPr>
      </w:pPr>
      <w:r>
        <w:rPr>
          <w:lang w:eastAsia="pl-PL"/>
        </w:rPr>
        <w:t xml:space="preserve">Niniejsza informacja sygnalna została przygotowana na podstawie uogólnionych wyników reprezentacyjnego </w:t>
      </w:r>
      <w:r w:rsidRPr="009C5691">
        <w:rPr>
          <w:b/>
          <w:lang w:eastAsia="pl-PL"/>
        </w:rPr>
        <w:t>Badania Aktywności Ekonomicznej Ludności (BAEL)</w:t>
      </w:r>
      <w:r>
        <w:rPr>
          <w:lang w:eastAsia="pl-PL"/>
        </w:rPr>
        <w:t xml:space="preserve"> w 2 kwartale 2022 r. </w:t>
      </w:r>
    </w:p>
    <w:p w14:paraId="0DE8635C" w14:textId="7F682A5A" w:rsidR="00155A1E" w:rsidRDefault="00155A1E" w:rsidP="00FC1275">
      <w:pPr>
        <w:spacing w:line="288" w:lineRule="auto"/>
        <w:rPr>
          <w:lang w:eastAsia="pl-PL"/>
        </w:rPr>
      </w:pPr>
      <w:r>
        <w:rPr>
          <w:lang w:eastAsia="pl-PL"/>
        </w:rPr>
        <w:t xml:space="preserve">Badanie Aktywności Ekonomicznej Ludności prowadzone jest w Polsce kwartalnie od maja 1992 r. i doskonalone zgodnie z zaleceniami Eurostatu. </w:t>
      </w:r>
    </w:p>
    <w:p w14:paraId="469E0D06" w14:textId="31221E30" w:rsidR="009C5691" w:rsidRDefault="009C5691" w:rsidP="00FC1275">
      <w:pPr>
        <w:spacing w:line="288" w:lineRule="auto"/>
        <w:rPr>
          <w:lang w:eastAsia="pl-PL"/>
        </w:rPr>
      </w:pPr>
      <w:r>
        <w:rPr>
          <w:lang w:eastAsia="pl-PL"/>
        </w:rPr>
        <w:t xml:space="preserve">Podstawą metodologii BAEL od 1 kwartału 2021 r. są definicje pracujących, bezrobotnych oraz biernych zawodowo zgodne z Rezolucją dotyczącą statystyki pracy, zatrudnienia i niepełnego wykorzystania siły roboczej, wypracowaną w 2013 r. podczas 19 Międzynarodowej Konferencji Statystyków Pracy w Genewie (ICLS) i zarekomendowane przez Międzynarodową Organizację Pracy (MOP/ILO) do stosowania we wszystkich krajach. </w:t>
      </w:r>
      <w:r w:rsidRPr="009C5691">
        <w:rPr>
          <w:b/>
          <w:lang w:eastAsia="pl-PL"/>
        </w:rPr>
        <w:t>Przedmiotem badania jest sytuacja w</w:t>
      </w:r>
      <w:r w:rsidR="00425977">
        <w:rPr>
          <w:b/>
          <w:lang w:eastAsia="pl-PL"/>
        </w:rPr>
        <w:t> </w:t>
      </w:r>
      <w:r w:rsidRPr="009C5691">
        <w:rPr>
          <w:b/>
          <w:lang w:eastAsia="pl-PL"/>
        </w:rPr>
        <w:t>zakresie aktywności ekonomicznej ludności, tzn. fakt wykonywania pracy, pozostawania bezrobotnym lub biernym zawodowo w badanym tygodniu.</w:t>
      </w:r>
      <w:r w:rsidRPr="009C5691">
        <w:t xml:space="preserve"> </w:t>
      </w:r>
      <w:r w:rsidRPr="009C5691">
        <w:rPr>
          <w:lang w:eastAsia="pl-PL"/>
        </w:rPr>
        <w:t xml:space="preserve">W Unii Europejskiej wdrożenie zapisów ww. rezolucji nastąpiło poprzez ustanowienie nowych aktów prawnych. </w:t>
      </w:r>
      <w:r w:rsidRPr="009C5691">
        <w:rPr>
          <w:b/>
          <w:lang w:eastAsia="pl-PL"/>
        </w:rPr>
        <w:t>Od 2021 r. EU-LFS jest jednym z kluczowych badań objętych rozporządzeniem ramowym dla statystyki społecznej (tzw. IESS FR).</w:t>
      </w:r>
      <w:r w:rsidRPr="009C5691">
        <w:rPr>
          <w:lang w:eastAsia="pl-PL"/>
        </w:rPr>
        <w:t xml:space="preserve"> Towarzyszące IESS FR akty implementacyjne w dziedzinie zasobów pracy precyzują zakres badania zasadniczego i badań modułowych, określają organizację badania oraz szczegółowo definiują poszczególne populacje wyodrębniane ze względu na status osób na rynku pracy.</w:t>
      </w:r>
    </w:p>
    <w:p w14:paraId="5E37E61C" w14:textId="4869383F" w:rsidR="009C5691" w:rsidRDefault="009C5691" w:rsidP="00FC1275">
      <w:pPr>
        <w:spacing w:line="288" w:lineRule="auto"/>
        <w:rPr>
          <w:rStyle w:val="Hipercze"/>
          <w:rFonts w:cstheme="minorBidi"/>
          <w:lang w:eastAsia="pl-PL"/>
        </w:rPr>
      </w:pPr>
      <w:r>
        <w:rPr>
          <w:lang w:eastAsia="pl-PL"/>
        </w:rPr>
        <w:t>W związku z wdrożeniem w badaniu zmian metodologicznych, dane BAEL od 1 kwartału 2021</w:t>
      </w:r>
      <w:r w:rsidR="00DE6E82">
        <w:rPr>
          <w:lang w:eastAsia="pl-PL"/>
        </w:rPr>
        <w:t> </w:t>
      </w:r>
      <w:r>
        <w:rPr>
          <w:lang w:eastAsia="pl-PL"/>
        </w:rPr>
        <w:t xml:space="preserve">r. nie mogą być porównywane z poprzednimi okresami (z wyjątkiem danych przeliczonych). Na potrzeby prowadzenia analiz porównawczych dla dłuższych szeregów czasowych, GUS przygotował dane historyczne z BAEL dla lat 2010–2020 opracowane z uwzględnieniem definicji głównych kategorii osób wyróżnianych z uwagi na ich status na rynku pracy, tj. pracujących, bezrobotnych i biernych zawodowo, obowiązujących od 2021 r. Dane te są dostępne na stronie GUS: </w:t>
      </w:r>
      <w:hyperlink r:id="rId16" w:history="1">
        <w:r w:rsidRPr="009C5691">
          <w:rPr>
            <w:rStyle w:val="Hipercze"/>
            <w:rFonts w:cstheme="minorBidi"/>
            <w:lang w:eastAsia="pl-PL"/>
          </w:rPr>
          <w:t>przeliczone wyniki BAEL za lata 2010-2020.</w:t>
        </w:r>
      </w:hyperlink>
    </w:p>
    <w:p w14:paraId="044B6A97" w14:textId="1340BF17" w:rsidR="008862E5" w:rsidRDefault="008862E5" w:rsidP="00FC1275">
      <w:pPr>
        <w:spacing w:line="288" w:lineRule="auto"/>
        <w:rPr>
          <w:lang w:eastAsia="pl-PL"/>
        </w:rPr>
      </w:pPr>
      <w:r>
        <w:rPr>
          <w:lang w:eastAsia="pl-PL"/>
        </w:rPr>
        <w:t>Szczegółowe wyniki badania, jak również aktualna metodologia – obowiązująca od I kw. 2021</w:t>
      </w:r>
      <w:r w:rsidR="00DE6E82">
        <w:rPr>
          <w:lang w:eastAsia="pl-PL"/>
        </w:rPr>
        <w:t> </w:t>
      </w:r>
      <w:r>
        <w:rPr>
          <w:lang w:eastAsia="pl-PL"/>
        </w:rPr>
        <w:t xml:space="preserve">r., znajdują się w kwartalnej publikacji „Aktywność ekonomiczna ludności Polski” dostępnej na stronie </w:t>
      </w:r>
      <w:r w:rsidR="003A6D52">
        <w:rPr>
          <w:lang w:eastAsia="pl-PL"/>
        </w:rPr>
        <w:t xml:space="preserve">internetowej </w:t>
      </w:r>
      <w:r>
        <w:rPr>
          <w:lang w:eastAsia="pl-PL"/>
        </w:rPr>
        <w:t>GUS pod adresem:</w:t>
      </w:r>
    </w:p>
    <w:p w14:paraId="72CB82B9" w14:textId="55FE1263" w:rsidR="008862E5" w:rsidRPr="00155A1E" w:rsidRDefault="0058664B" w:rsidP="00FC1275">
      <w:pPr>
        <w:spacing w:line="288" w:lineRule="auto"/>
        <w:rPr>
          <w:lang w:eastAsia="pl-PL"/>
        </w:rPr>
      </w:pPr>
      <w:hyperlink r:id="rId17" w:history="1">
        <w:r w:rsidR="008862E5" w:rsidRPr="00821D47">
          <w:rPr>
            <w:rStyle w:val="Hipercze"/>
            <w:rFonts w:cstheme="minorBidi"/>
            <w:lang w:eastAsia="pl-PL"/>
          </w:rPr>
          <w:t>https://stat.gov.pl/obszary-tematyczne/rynek-pracy/pracujacy-bezrobotni-bierni-zawodowo-wg-bael/aktywnosc-ekonomiczna-ludnosci-polski-i-kwartal-2022-roku,4,46.html</w:t>
        </w:r>
      </w:hyperlink>
      <w:r w:rsidR="008862E5">
        <w:rPr>
          <w:lang w:eastAsia="pl-PL"/>
        </w:rPr>
        <w:t xml:space="preserve"> </w:t>
      </w:r>
    </w:p>
    <w:p w14:paraId="64F9A13E" w14:textId="77777777" w:rsidR="00DA331D" w:rsidRPr="00001C5B" w:rsidRDefault="00DA331D" w:rsidP="00DA331D">
      <w:pPr>
        <w:spacing w:before="360"/>
        <w:rPr>
          <w:sz w:val="18"/>
        </w:rPr>
        <w:sectPr w:rsidR="00DA331D" w:rsidRPr="00001C5B" w:rsidSect="003B18B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608DBF98" w14:textId="77777777" w:rsidTr="00B84C43">
        <w:trPr>
          <w:trHeight w:val="1626"/>
        </w:trPr>
        <w:tc>
          <w:tcPr>
            <w:tcW w:w="4926" w:type="dxa"/>
          </w:tcPr>
          <w:p w14:paraId="57ABBA9D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7222F2DF" w14:textId="77777777" w:rsidR="00DE240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EA3288">
              <w:rPr>
                <w:rFonts w:cs="Arial"/>
                <w:b/>
                <w:color w:val="000000" w:themeColor="text1"/>
                <w:sz w:val="20"/>
              </w:rPr>
              <w:t>Rynku Pracy</w:t>
            </w:r>
          </w:p>
          <w:p w14:paraId="41CC4D0C" w14:textId="77777777" w:rsidR="00DE2400" w:rsidRPr="00DE2400" w:rsidRDefault="00DE2400" w:rsidP="00D5361B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C17A11">
              <w:rPr>
                <w:b/>
                <w:lang w:val="fi-FI"/>
              </w:rPr>
              <w:t>Agnieszka Zgierska</w:t>
            </w:r>
          </w:p>
          <w:p w14:paraId="55B49EE6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EA328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30 15</w:t>
            </w:r>
          </w:p>
        </w:tc>
        <w:tc>
          <w:tcPr>
            <w:tcW w:w="4927" w:type="dxa"/>
          </w:tcPr>
          <w:p w14:paraId="0D40B9B8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7218B5C" w14:textId="77777777" w:rsidR="00DE2400" w:rsidRPr="004A1D19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CEBEEC9" w14:textId="77777777" w:rsidR="00DE2400" w:rsidRPr="004A1D19" w:rsidRDefault="00DE2400" w:rsidP="00D5361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72346EDB" w14:textId="77777777" w:rsidR="00DE2400" w:rsidRDefault="00DE2400" w:rsidP="00D5361B">
            <w:pPr>
              <w:rPr>
                <w:sz w:val="18"/>
              </w:rPr>
            </w:pPr>
          </w:p>
        </w:tc>
      </w:tr>
      <w:tr w:rsidR="00DE2400" w14:paraId="62924A77" w14:textId="77777777" w:rsidTr="00B84C43">
        <w:trPr>
          <w:trHeight w:val="418"/>
        </w:trPr>
        <w:tc>
          <w:tcPr>
            <w:tcW w:w="4926" w:type="dxa"/>
            <w:vMerge w:val="restart"/>
          </w:tcPr>
          <w:p w14:paraId="38FC03C2" w14:textId="77777777" w:rsidR="00DE2400" w:rsidRPr="00C91687" w:rsidRDefault="00DE2400" w:rsidP="00D5361B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72905A4" w14:textId="77777777" w:rsidR="00DE2400" w:rsidRPr="00C91687" w:rsidRDefault="00DE2400" w:rsidP="00D5361B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14:paraId="3BCA2817" w14:textId="77777777" w:rsidR="00DE2400" w:rsidRPr="00F05FC7" w:rsidRDefault="00DE2400" w:rsidP="00D5361B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22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5570C715" w14:textId="7BB115F8" w:rsidR="00DE2400" w:rsidRDefault="00DE2400" w:rsidP="00D536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1699309C" wp14:editId="0DEA988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DE2400" w14:paraId="0E1E6FF2" w14:textId="77777777" w:rsidTr="00B84C43">
        <w:trPr>
          <w:trHeight w:val="418"/>
        </w:trPr>
        <w:tc>
          <w:tcPr>
            <w:tcW w:w="4926" w:type="dxa"/>
            <w:vMerge/>
          </w:tcPr>
          <w:p w14:paraId="213FAF45" w14:textId="77777777" w:rsidR="00DE2400" w:rsidRPr="00C91687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23339D18" w14:textId="77777777" w:rsidR="00DE2400" w:rsidRDefault="00531873" w:rsidP="00D536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7BEA544C" wp14:editId="67B0DEF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14:paraId="78F5CDF6" w14:textId="77777777" w:rsidTr="00B84C43">
        <w:trPr>
          <w:trHeight w:val="476"/>
        </w:trPr>
        <w:tc>
          <w:tcPr>
            <w:tcW w:w="4926" w:type="dxa"/>
            <w:vMerge/>
          </w:tcPr>
          <w:p w14:paraId="40B962AB" w14:textId="77777777" w:rsidR="00DE2400" w:rsidRPr="00C91687" w:rsidRDefault="00DE2400" w:rsidP="00D5361B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30B061A" w14:textId="77777777" w:rsidR="00DE2400" w:rsidRDefault="00531873" w:rsidP="00D5361B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0766B793" wp14:editId="0A9D2FF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14:paraId="70EBF144" w14:textId="77777777" w:rsidTr="00B84C43">
        <w:trPr>
          <w:trHeight w:val="426"/>
        </w:trPr>
        <w:tc>
          <w:tcPr>
            <w:tcW w:w="4926" w:type="dxa"/>
          </w:tcPr>
          <w:p w14:paraId="08EB5141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698D9E5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4B45B4A0" wp14:editId="4C2F4A2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31873" w14:paraId="47B0A3AF" w14:textId="77777777" w:rsidTr="00B84C43">
        <w:trPr>
          <w:trHeight w:val="504"/>
        </w:trPr>
        <w:tc>
          <w:tcPr>
            <w:tcW w:w="4926" w:type="dxa"/>
          </w:tcPr>
          <w:p w14:paraId="2693BE0F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CEEFEC6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D3D50FA" wp14:editId="44585C3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31873" w14:paraId="26B681F8" w14:textId="77777777" w:rsidTr="00B84C43">
        <w:trPr>
          <w:trHeight w:val="1546"/>
        </w:trPr>
        <w:tc>
          <w:tcPr>
            <w:tcW w:w="4926" w:type="dxa"/>
          </w:tcPr>
          <w:p w14:paraId="5E843B6D" w14:textId="77777777"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1E8B00C" w14:textId="77777777"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CD76CB3" wp14:editId="3F71CF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14:paraId="6584F37E" w14:textId="77777777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2A4D71E" w14:textId="77777777"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48DD7370" w14:textId="77777777" w:rsidR="00531873" w:rsidRPr="00CF18EE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begin"/>
            </w:r>
            <w:r w:rsidR="006C050E">
              <w:rPr>
                <w:rFonts w:cs="Times New Roman"/>
              </w:rPr>
              <w:instrText>HYPERLINK "https://stat.gov.pl/obszary-tematyczne/rynek-pracy/zasady-metodyczne-rocznik-pracy/zeszyt-metodologiczny-badanie-aktywnosci-ekonomicznej-ludnosci,3,1.html" \o "Link do opracowania pt. Zeszyt metodologiczny Badanie Aktywności Ekonomicznej Ludności (metodologia obowiązująca do 2020 r. włącznie)"</w:instrText>
            </w:r>
            <w:r>
              <w:rPr>
                <w:rFonts w:cs="Times New Roman"/>
              </w:rPr>
              <w:fldChar w:fldCharType="separate"/>
            </w:r>
            <w:r w:rsidR="00EA3288" w:rsidRPr="00EA3288">
              <w:rPr>
                <w:rStyle w:val="Hipercze"/>
              </w:rPr>
              <w:t>Zeszyt metodologiczny. Badanie Aktywności Ekonomicznej Ludności (metodologia obowiązująca do 2020 r. włącznie)</w:t>
            </w:r>
          </w:p>
          <w:p w14:paraId="72A26BD9" w14:textId="567C047F" w:rsidR="00531873" w:rsidRPr="006E5F77" w:rsidRDefault="00531873" w:rsidP="00531873">
            <w:pPr>
              <w:rPr>
                <w:rStyle w:val="Hipercze"/>
              </w:rPr>
            </w:pPr>
            <w:r>
              <w:rPr>
                <w:rFonts w:cs="Times New Roman"/>
              </w:rPr>
              <w:fldChar w:fldCharType="end"/>
            </w:r>
            <w:hyperlink r:id="rId29" w:tooltip="Link do publikacji BAEL" w:history="1">
              <w:r w:rsidR="00EA3288" w:rsidRPr="00031C1A">
                <w:rPr>
                  <w:rStyle w:val="Hipercze"/>
                </w:rPr>
                <w:t>Aktywność ekonomiczna ludności Polski</w:t>
              </w:r>
            </w:hyperlink>
          </w:p>
          <w:p w14:paraId="5C104DB4" w14:textId="77777777" w:rsidR="00531873" w:rsidRPr="005731DF" w:rsidRDefault="0058664B" w:rsidP="00EA3288">
            <w:pPr>
              <w:rPr>
                <w:rFonts w:cs="Times New Roman"/>
              </w:rPr>
            </w:pPr>
            <w:hyperlink r:id="rId30" w:history="1">
              <w:r w:rsidR="00EA3288" w:rsidRPr="005731DF">
                <w:rPr>
                  <w:rStyle w:val="Hipercze"/>
                </w:rPr>
                <w:t>Inne opracowania zawierające wyniki BAEL i modułów BAEL stat.gov.pl → Obszary tematyczne → Rynek pracy</w:t>
              </w:r>
            </w:hyperlink>
          </w:p>
          <w:p w14:paraId="7881E58D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2A505965" w14:textId="77777777" w:rsidR="00531873" w:rsidRPr="005731DF" w:rsidRDefault="0058664B" w:rsidP="00531873">
            <w:hyperlink r:id="rId31" w:anchor="/" w:history="1">
              <w:r w:rsidR="00EA3288" w:rsidRPr="005731DF">
                <w:rPr>
                  <w:rStyle w:val="Hipercze"/>
                </w:rPr>
                <w:t>Strateg → Obszary tematyczne → Rynek pracy</w:t>
              </w:r>
            </w:hyperlink>
          </w:p>
          <w:p w14:paraId="6782453D" w14:textId="77777777" w:rsidR="00531873" w:rsidRPr="00031C1A" w:rsidRDefault="0058664B" w:rsidP="00531873">
            <w:hyperlink r:id="rId32" w:history="1">
              <w:r w:rsidR="00EA3288" w:rsidRPr="00031C1A">
                <w:rPr>
                  <w:rStyle w:val="Hipercze"/>
                </w:rPr>
                <w:t>Bank Danych Lokalnych → Rynek pracy</w:t>
              </w:r>
            </w:hyperlink>
          </w:p>
          <w:p w14:paraId="0BA7354B" w14:textId="77777777" w:rsidR="00531873" w:rsidRPr="00694D6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28B42297" w14:textId="77777777" w:rsidR="00531873" w:rsidRPr="004E7FE4" w:rsidRDefault="004E7FE4" w:rsidP="00531873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begin"/>
            </w:r>
            <w:r w:rsidRPr="004E7FE4">
              <w:rPr>
                <w:rStyle w:val="Hipercze"/>
              </w:rPr>
              <w:instrText xml:space="preserve"> HYPERLINK "https://stat.gov.pl/metainformacje/slownik-pojec/pojecia-stosowane-w-statystyce-publicznej/4562,pojecie.html" \o "Link do słownika pojęć" </w:instrText>
            </w:r>
            <w:r w:rsidRPr="004E7FE4">
              <w:rPr>
                <w:rStyle w:val="Hipercze"/>
              </w:rPr>
              <w:fldChar w:fldCharType="separate"/>
            </w:r>
            <w:r w:rsidRPr="004E7FE4">
              <w:rPr>
                <w:rStyle w:val="Hipercze"/>
              </w:rPr>
              <w:t>Aktywność ekonomiczna według BAEL</w:t>
            </w:r>
          </w:p>
          <w:p w14:paraId="219FB201" w14:textId="77777777" w:rsidR="00531873" w:rsidRPr="004E7FE4" w:rsidRDefault="004E7FE4" w:rsidP="00531873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end"/>
            </w:r>
            <w:r w:rsidR="00531873" w:rsidRPr="004E7FE4">
              <w:rPr>
                <w:rStyle w:val="Hipercze"/>
              </w:rPr>
              <w:fldChar w:fldCharType="begin"/>
            </w:r>
            <w:r w:rsidRPr="004E7FE4">
              <w:rPr>
                <w:rStyle w:val="Hipercze"/>
              </w:rPr>
              <w:instrText>HYPERLINK "https://stat.gov.pl/metainformacje/slownik-pojec/pojecia-stosowane-w-statystyce-publicznej/4565,pojecie.html" \o "Link do słownika pojęć"</w:instrText>
            </w:r>
            <w:r w:rsidR="00531873" w:rsidRPr="004E7FE4">
              <w:rPr>
                <w:rStyle w:val="Hipercze"/>
              </w:rPr>
              <w:fldChar w:fldCharType="separate"/>
            </w:r>
            <w:r w:rsidRPr="004E7FE4">
              <w:rPr>
                <w:rStyle w:val="Hipercze"/>
              </w:rPr>
              <w:t>Ludność aktywna zawodowo według BAEL</w:t>
            </w:r>
          </w:p>
          <w:p w14:paraId="067C9E38" w14:textId="73B68E91" w:rsidR="005731DF" w:rsidRPr="00F104FC" w:rsidRDefault="00531873" w:rsidP="004E7FE4">
            <w:pPr>
              <w:rPr>
                <w:rStyle w:val="Hipercze"/>
              </w:rPr>
            </w:pPr>
            <w:r w:rsidRPr="004E7FE4">
              <w:rPr>
                <w:rStyle w:val="Hipercze"/>
              </w:rPr>
              <w:fldChar w:fldCharType="end"/>
            </w:r>
            <w:hyperlink r:id="rId33" w:tooltip="Link do słownika pojęć" w:history="1">
              <w:r w:rsidR="00F104FC" w:rsidRPr="003C0C0E">
                <w:rPr>
                  <w:rStyle w:val="Hipercze"/>
                </w:rPr>
                <w:t>Pracujący według BAEL</w:t>
              </w:r>
            </w:hyperlink>
            <w:r w:rsidR="00F104FC" w:rsidRPr="007F0D60">
              <w:rPr>
                <w:rStyle w:val="Hipercze"/>
              </w:rPr>
              <w:t xml:space="preserve"> </w:t>
            </w:r>
          </w:p>
          <w:p w14:paraId="75CE7340" w14:textId="13306A82" w:rsidR="00531873" w:rsidRDefault="0058664B" w:rsidP="00531873">
            <w:pPr>
              <w:rPr>
                <w:rStyle w:val="Hipercze"/>
              </w:rPr>
            </w:pPr>
            <w:hyperlink r:id="rId34" w:tooltip="Link do słownika pojęć" w:history="1">
              <w:r w:rsidR="004E7FE4" w:rsidRPr="007D7785">
                <w:rPr>
                  <w:rStyle w:val="Hipercze"/>
                </w:rPr>
                <w:t>Bezrobotni według BAEL</w:t>
              </w:r>
            </w:hyperlink>
          </w:p>
          <w:p w14:paraId="0C286533" w14:textId="2E7CDA28" w:rsidR="005731DF" w:rsidRPr="00F104FC" w:rsidRDefault="0058664B" w:rsidP="00531873">
            <w:pPr>
              <w:rPr>
                <w:rStyle w:val="Hipercze"/>
              </w:rPr>
            </w:pPr>
            <w:hyperlink r:id="rId35" w:tooltip="Link do słownika pojęć" w:history="1">
              <w:r w:rsidR="005731DF" w:rsidRPr="005731DF">
                <w:rPr>
                  <w:rStyle w:val="Hipercze"/>
                </w:rPr>
                <w:t>Ludność bierna zawodowo według BAEL</w:t>
              </w:r>
            </w:hyperlink>
          </w:p>
          <w:p w14:paraId="04BF0E41" w14:textId="25143419" w:rsidR="00531873" w:rsidRDefault="0058664B" w:rsidP="00531873">
            <w:pPr>
              <w:rPr>
                <w:rFonts w:cs="Times New Roman"/>
              </w:rPr>
            </w:pPr>
            <w:hyperlink r:id="rId36" w:tooltip="Link do słownika pojęć" w:history="1">
              <w:r w:rsidR="004E7FE4" w:rsidRPr="004E7FE4">
                <w:rPr>
                  <w:rStyle w:val="Hipercze"/>
                </w:rPr>
                <w:t>Współczynnik aktywności zawodowej ludności według BAEL</w:t>
              </w:r>
            </w:hyperlink>
          </w:p>
          <w:p w14:paraId="309273FC" w14:textId="07AB4D2C" w:rsidR="00531873" w:rsidRDefault="0058664B" w:rsidP="00531873">
            <w:pPr>
              <w:rPr>
                <w:rStyle w:val="Hipercze"/>
              </w:rPr>
            </w:pPr>
            <w:hyperlink r:id="rId37" w:tooltip="Link do słownika pojęć" w:history="1">
              <w:r w:rsidR="004E7FE4" w:rsidRPr="004E7FE4">
                <w:rPr>
                  <w:rStyle w:val="Hipercze"/>
                </w:rPr>
                <w:t>Wskaźnik zatrudnienia według BAEL</w:t>
              </w:r>
            </w:hyperlink>
          </w:p>
          <w:p w14:paraId="7D785001" w14:textId="356AFEC8" w:rsidR="004E7FE4" w:rsidRPr="004E7FE4" w:rsidRDefault="0058664B" w:rsidP="00531873">
            <w:pPr>
              <w:rPr>
                <w:rStyle w:val="Hipercze"/>
              </w:rPr>
            </w:pPr>
            <w:hyperlink r:id="rId38" w:tooltip="Linik do słownika pojęć" w:history="1">
              <w:r w:rsidR="004E7FE4" w:rsidRPr="004E7FE4">
                <w:rPr>
                  <w:rStyle w:val="Hipercze"/>
                </w:rPr>
                <w:t>Stopa bezrobocia według BAEL</w:t>
              </w:r>
            </w:hyperlink>
          </w:p>
          <w:p w14:paraId="0BA21ED1" w14:textId="77777777" w:rsidR="00531873" w:rsidRPr="008C5B89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387E1220" w14:textId="77777777" w:rsidR="00D261A2" w:rsidRPr="00001C5B" w:rsidRDefault="00D261A2" w:rsidP="00AB458A">
      <w:pPr>
        <w:rPr>
          <w:sz w:val="18"/>
        </w:rPr>
      </w:pPr>
    </w:p>
    <w:sectPr w:rsidR="00D261A2" w:rsidRPr="00001C5B" w:rsidSect="003B18B6">
      <w:headerReference w:type="default" r:id="rId39"/>
      <w:footerReference w:type="default" r:id="rId4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84F5A" w14:textId="77777777" w:rsidR="0058664B" w:rsidRDefault="0058664B" w:rsidP="000662E2">
      <w:pPr>
        <w:spacing w:after="0" w:line="240" w:lineRule="auto"/>
      </w:pPr>
      <w:r>
        <w:separator/>
      </w:r>
    </w:p>
  </w:endnote>
  <w:endnote w:type="continuationSeparator" w:id="0">
    <w:p w14:paraId="7B1B0D5E" w14:textId="77777777" w:rsidR="0058664B" w:rsidRDefault="0058664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70DDAB33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21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1F440F98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21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D08B7B3" w14:textId="77777777" w:rsidR="005A6925" w:rsidRDefault="005A692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21A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E84BC" w14:textId="77777777" w:rsidR="0058664B" w:rsidRDefault="0058664B" w:rsidP="000662E2">
      <w:pPr>
        <w:spacing w:after="0" w:line="240" w:lineRule="auto"/>
      </w:pPr>
      <w:r>
        <w:separator/>
      </w:r>
    </w:p>
  </w:footnote>
  <w:footnote w:type="continuationSeparator" w:id="0">
    <w:p w14:paraId="0A0EFB39" w14:textId="77777777" w:rsidR="0058664B" w:rsidRDefault="0058664B" w:rsidP="000662E2">
      <w:pPr>
        <w:spacing w:after="0" w:line="240" w:lineRule="auto"/>
      </w:pPr>
      <w:r>
        <w:continuationSeparator/>
      </w:r>
    </w:p>
  </w:footnote>
  <w:footnote w:id="1">
    <w:p w14:paraId="00B27BDA" w14:textId="7E9F7282" w:rsidR="005A6925" w:rsidRPr="000F160D" w:rsidRDefault="005A6925" w:rsidP="000F160D">
      <w:pPr>
        <w:autoSpaceDE w:val="0"/>
        <w:autoSpaceDN w:val="0"/>
        <w:adjustRightInd w:val="0"/>
        <w:spacing w:before="0" w:after="0" w:line="240" w:lineRule="auto"/>
        <w:rPr>
          <w:rFonts w:eastAsia="Times New Roman" w:cs="Times New Roman"/>
          <w:bCs/>
          <w:color w:val="001D77"/>
          <w:szCs w:val="19"/>
          <w:vertAlign w:val="superscript"/>
          <w:lang w:eastAsia="pl-PL"/>
        </w:rPr>
      </w:pPr>
      <w:r w:rsidRPr="00BB7ECA">
        <w:rPr>
          <w:rStyle w:val="Odwoanieprzypisudolnego"/>
          <w:szCs w:val="19"/>
        </w:rPr>
        <w:footnoteRef/>
      </w:r>
      <w:r w:rsidRPr="00BB7ECA">
        <w:rPr>
          <w:szCs w:val="19"/>
        </w:rPr>
        <w:t xml:space="preserve"> </w:t>
      </w:r>
      <w:r w:rsidR="00FD5BBD" w:rsidRPr="00FE24B6">
        <w:rPr>
          <w:rStyle w:val="Hipercze"/>
          <w:rFonts w:cstheme="minorBidi"/>
          <w:color w:val="auto"/>
          <w:szCs w:val="19"/>
          <w:u w:val="none"/>
        </w:rPr>
        <w:t>Wyniki BAEL odnoszą się do ludności przebywającej lub zamierzającej przebywać na terenie kraju co najmniej 12 miesięcy, zamieszkałej w gospodarstwach domowych</w:t>
      </w:r>
      <w:r w:rsidRPr="00FE24B6">
        <w:rPr>
          <w:rStyle w:val="Hipercze"/>
          <w:rFonts w:cstheme="minorBidi"/>
          <w:color w:val="auto"/>
          <w:szCs w:val="19"/>
          <w:u w:val="none"/>
        </w:rPr>
        <w:t xml:space="preserve">. </w:t>
      </w:r>
    </w:p>
  </w:footnote>
  <w:footnote w:id="2">
    <w:p w14:paraId="55B819A8" w14:textId="18754A37" w:rsidR="009551D9" w:rsidRDefault="009551D9" w:rsidP="00A178FE">
      <w:pPr>
        <w:autoSpaceDE w:val="0"/>
        <w:autoSpaceDN w:val="0"/>
        <w:adjustRightInd w:val="0"/>
        <w:spacing w:after="0" w:line="240" w:lineRule="auto"/>
      </w:pPr>
      <w:r w:rsidRPr="00A178FE">
        <w:rPr>
          <w:rStyle w:val="Odwoanieprzypisudolnego"/>
        </w:rPr>
        <w:footnoteRef/>
      </w:r>
      <w:r w:rsidRPr="0030711C">
        <w:rPr>
          <w:rStyle w:val="Hipercze"/>
          <w:rFonts w:cstheme="minorBidi"/>
          <w:color w:val="auto"/>
          <w:szCs w:val="19"/>
          <w:u w:val="none"/>
        </w:rPr>
        <w:t xml:space="preserve"> Mężczyźni w wieku 18-64 lata i kobiety w wieku 18-59 lat</w:t>
      </w:r>
      <w:r w:rsidR="00A178FE">
        <w:rPr>
          <w:rStyle w:val="Hipercze"/>
          <w:rFonts w:cstheme="minorBidi"/>
          <w:color w:val="auto"/>
          <w:szCs w:val="19"/>
          <w:u w:val="none"/>
        </w:rPr>
        <w:t>.</w:t>
      </w:r>
    </w:p>
  </w:footnote>
  <w:footnote w:id="3">
    <w:p w14:paraId="787E7EC8" w14:textId="2C1FCF69" w:rsidR="000F160D" w:rsidRPr="000F160D" w:rsidRDefault="000F160D">
      <w:pPr>
        <w:pStyle w:val="Tekstprzypisudolnego"/>
        <w:rPr>
          <w:rStyle w:val="Hipercze"/>
          <w:rFonts w:cstheme="minorBidi"/>
          <w:color w:val="auto"/>
          <w:sz w:val="19"/>
          <w:szCs w:val="19"/>
          <w:u w:val="none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Hipercze"/>
          <w:rFonts w:cstheme="minorBidi"/>
          <w:color w:val="auto"/>
          <w:sz w:val="19"/>
          <w:szCs w:val="19"/>
          <w:u w:val="none"/>
        </w:rPr>
        <w:t>D</w:t>
      </w:r>
      <w:r w:rsidRPr="000F160D">
        <w:rPr>
          <w:rStyle w:val="Hipercze"/>
          <w:rFonts w:cstheme="minorBidi"/>
          <w:color w:val="auto"/>
          <w:sz w:val="19"/>
          <w:szCs w:val="19"/>
          <w:u w:val="none"/>
        </w:rPr>
        <w:t xml:space="preserve">ane od 1 kwartału 2010 r. do </w:t>
      </w:r>
      <w:r>
        <w:rPr>
          <w:rStyle w:val="Hipercze"/>
          <w:rFonts w:cstheme="minorBidi"/>
          <w:color w:val="auto"/>
          <w:sz w:val="19"/>
          <w:szCs w:val="19"/>
          <w:u w:val="none"/>
        </w:rPr>
        <w:t>4</w:t>
      </w:r>
      <w:r w:rsidRPr="000F160D">
        <w:rPr>
          <w:rStyle w:val="Hipercze"/>
          <w:rFonts w:cstheme="minorBidi"/>
          <w:color w:val="auto"/>
          <w:sz w:val="19"/>
          <w:szCs w:val="19"/>
          <w:u w:val="none"/>
        </w:rPr>
        <w:t xml:space="preserve"> kwartału 2020 r. </w:t>
      </w:r>
      <w:r w:rsidR="00A0427E">
        <w:rPr>
          <w:rStyle w:val="Hipercze"/>
          <w:rFonts w:cstheme="minorBidi"/>
          <w:color w:val="auto"/>
          <w:sz w:val="19"/>
          <w:szCs w:val="19"/>
          <w:u w:val="none"/>
        </w:rPr>
        <w:t xml:space="preserve">zostały </w:t>
      </w:r>
      <w:r w:rsidRPr="000F160D">
        <w:rPr>
          <w:rStyle w:val="Hipercze"/>
          <w:rFonts w:cstheme="minorBidi"/>
          <w:color w:val="auto"/>
          <w:sz w:val="19"/>
          <w:szCs w:val="19"/>
          <w:u w:val="none"/>
        </w:rPr>
        <w:t>przeliczo</w:t>
      </w:r>
      <w:r>
        <w:rPr>
          <w:rStyle w:val="Hipercze"/>
          <w:rFonts w:cstheme="minorBidi"/>
          <w:color w:val="auto"/>
          <w:sz w:val="19"/>
          <w:szCs w:val="19"/>
          <w:u w:val="none"/>
        </w:rPr>
        <w:t>ne z uwzględnieniem definicji obowiązujących w BAEL od 2021 r.</w:t>
      </w:r>
    </w:p>
  </w:footnote>
  <w:footnote w:id="4">
    <w:p w14:paraId="4ED1A237" w14:textId="19F6A891" w:rsidR="00DB32AA" w:rsidRPr="00DB32AA" w:rsidRDefault="00DB32AA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DB32AA">
        <w:rPr>
          <w:sz w:val="19"/>
          <w:szCs w:val="19"/>
        </w:rPr>
        <w:t xml:space="preserve">Dane od 1 kwartału 2010 r. do 4 kwartału 2020 r. </w:t>
      </w:r>
      <w:r w:rsidR="00980AE0">
        <w:rPr>
          <w:sz w:val="19"/>
          <w:szCs w:val="19"/>
        </w:rPr>
        <w:t xml:space="preserve">zostały </w:t>
      </w:r>
      <w:r w:rsidRPr="00DB32AA">
        <w:rPr>
          <w:sz w:val="19"/>
          <w:szCs w:val="19"/>
        </w:rPr>
        <w:t>przeliczone z uwzględnieniem definicji obowiązujących w BAEL od 2021 r.</w:t>
      </w:r>
    </w:p>
  </w:footnote>
  <w:footnote w:id="5">
    <w:p w14:paraId="558754AF" w14:textId="608BE71E" w:rsidR="00D7231C" w:rsidRPr="00F6575F" w:rsidRDefault="00D7231C">
      <w:pPr>
        <w:pStyle w:val="Tekstprzypisudolnego"/>
        <w:rPr>
          <w:sz w:val="19"/>
          <w:szCs w:val="19"/>
        </w:rPr>
      </w:pPr>
      <w:r w:rsidRPr="00F6575F">
        <w:rPr>
          <w:rStyle w:val="Odwoanieprzypisudolnego"/>
          <w:sz w:val="19"/>
          <w:szCs w:val="19"/>
        </w:rPr>
        <w:footnoteRef/>
      </w:r>
      <w:r w:rsidRPr="00F6575F">
        <w:rPr>
          <w:sz w:val="19"/>
          <w:szCs w:val="19"/>
        </w:rPr>
        <w:t xml:space="preserve"> Dane od 1 kwartału 2010 r. do 4 kwartału 2020 r. </w:t>
      </w:r>
      <w:r w:rsidR="0090549C" w:rsidRPr="00F6575F">
        <w:rPr>
          <w:sz w:val="19"/>
          <w:szCs w:val="19"/>
        </w:rPr>
        <w:t xml:space="preserve">zostały </w:t>
      </w:r>
      <w:r w:rsidRPr="00F6575F">
        <w:rPr>
          <w:sz w:val="19"/>
          <w:szCs w:val="19"/>
        </w:rPr>
        <w:t>przeliczone z uwzględnieniem definicji obowiązujących w BAEL od 2021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C6F13" w14:textId="77777777" w:rsidR="005A6925" w:rsidRDefault="005A692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5A9E57B" wp14:editId="71D57C98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ABB28B4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B3DF94F" w14:textId="77777777" w:rsidR="005A6925" w:rsidRDefault="005A692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AC9B6" w14:textId="77777777" w:rsidR="005A6925" w:rsidRDefault="005A6925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2619B60D" wp14:editId="4369DAAD">
          <wp:simplePos x="0" y="0"/>
          <wp:positionH relativeFrom="column">
            <wp:posOffset>13335</wp:posOffset>
          </wp:positionH>
          <wp:positionV relativeFrom="paragraph">
            <wp:posOffset>153670</wp:posOffset>
          </wp:positionV>
          <wp:extent cx="1125855" cy="431800"/>
          <wp:effectExtent l="0" t="0" r="0" b="6350"/>
          <wp:wrapSquare wrapText="bothSides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2585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F70367" wp14:editId="754A571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DDCA3F" w14:textId="77777777" w:rsidR="005A6925" w:rsidRPr="003C6C8D" w:rsidRDefault="005A6925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4EF70367" id="Schemat blokowy: opóźnienie 6" o:spid="_x0000_s1039" alt="Napis &quot;Informacja sygnalna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9DDCA3F" w14:textId="77777777" w:rsidR="005A6925" w:rsidRPr="003C6C8D" w:rsidRDefault="005A6925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FFCE56D" wp14:editId="63FA640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658A6C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04D92B2E" w14:textId="77777777" w:rsidR="005A6925" w:rsidRDefault="005A6925">
    <w:pPr>
      <w:pStyle w:val="Nagwek"/>
      <w:rPr>
        <w:noProof/>
        <w:lang w:eastAsia="pl-PL"/>
      </w:rPr>
    </w:pPr>
  </w:p>
  <w:p w14:paraId="1A5A48F3" w14:textId="77777777" w:rsidR="005A6925" w:rsidRDefault="005A6925">
    <w:pPr>
      <w:pStyle w:val="Nagwek"/>
      <w:rPr>
        <w:noProof/>
        <w:lang w:eastAsia="pl-PL"/>
      </w:rPr>
    </w:pPr>
  </w:p>
  <w:p w14:paraId="14AD3F76" w14:textId="77777777" w:rsidR="005A6925" w:rsidRDefault="005A692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7DC7428" wp14:editId="5155CCE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24.08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07BE50" w14:textId="6D217B54" w:rsidR="005A6925" w:rsidRPr="00A01B40" w:rsidRDefault="005A6925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791EEA">
                            <w:t>4</w:t>
                          </w:r>
                          <w:r>
                            <w:t>.0</w:t>
                          </w:r>
                          <w:r w:rsidR="00791EEA">
                            <w:t>8</w:t>
                          </w:r>
                          <w:r>
                            <w:t>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7DC7428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Data publikacji informacji sygnalnej: 24.08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" filled="f" stroked="f">
              <v:textbox>
                <w:txbxContent>
                  <w:p w14:paraId="3307BE50" w14:textId="6D217B54" w:rsidR="005A6925" w:rsidRPr="00A01B40" w:rsidRDefault="005A6925" w:rsidP="00F049AB">
                    <w:pPr>
                      <w:pStyle w:val="Datainformacjisygnalnej"/>
                    </w:pPr>
                    <w:r>
                      <w:t>2</w:t>
                    </w:r>
                    <w:r w:rsidR="00791EEA">
                      <w:t>4</w:t>
                    </w:r>
                    <w:r>
                      <w:t>.0</w:t>
                    </w:r>
                    <w:r w:rsidR="00791EEA">
                      <w:t>8</w:t>
                    </w:r>
                    <w:r>
                      <w:t>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43D45" w14:textId="77777777" w:rsidR="005A6925" w:rsidRDefault="005A6925">
    <w:pPr>
      <w:pStyle w:val="Nagwek"/>
    </w:pPr>
  </w:p>
  <w:p w14:paraId="699F508A" w14:textId="77777777" w:rsidR="005A6925" w:rsidRDefault="005A69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3CF54088"/>
    <w:multiLevelType w:val="hybridMultilevel"/>
    <w:tmpl w:val="EBD04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06DC5"/>
    <w:multiLevelType w:val="hybridMultilevel"/>
    <w:tmpl w:val="00E83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B6579"/>
    <w:multiLevelType w:val="hybridMultilevel"/>
    <w:tmpl w:val="C0B8D73E"/>
    <w:lvl w:ilvl="0" w:tplc="86587FDE">
      <w:start w:val="1"/>
      <w:numFmt w:val="bullet"/>
      <w:lvlText w:val=""/>
      <w:lvlJc w:val="righ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965"/>
    <w:rsid w:val="00001C5B"/>
    <w:rsid w:val="00002397"/>
    <w:rsid w:val="00003437"/>
    <w:rsid w:val="00004776"/>
    <w:rsid w:val="00004F8C"/>
    <w:rsid w:val="0000709F"/>
    <w:rsid w:val="000108B8"/>
    <w:rsid w:val="000152F5"/>
    <w:rsid w:val="0002068A"/>
    <w:rsid w:val="00022721"/>
    <w:rsid w:val="00025184"/>
    <w:rsid w:val="000260E5"/>
    <w:rsid w:val="00031C1A"/>
    <w:rsid w:val="00032359"/>
    <w:rsid w:val="00032E85"/>
    <w:rsid w:val="00035E77"/>
    <w:rsid w:val="0004582E"/>
    <w:rsid w:val="000462F6"/>
    <w:rsid w:val="000470AA"/>
    <w:rsid w:val="00053422"/>
    <w:rsid w:val="00057CA1"/>
    <w:rsid w:val="00061467"/>
    <w:rsid w:val="000622CE"/>
    <w:rsid w:val="000647A9"/>
    <w:rsid w:val="000652DC"/>
    <w:rsid w:val="000662E2"/>
    <w:rsid w:val="00066883"/>
    <w:rsid w:val="00070561"/>
    <w:rsid w:val="00070E64"/>
    <w:rsid w:val="0007124A"/>
    <w:rsid w:val="00071B39"/>
    <w:rsid w:val="00072989"/>
    <w:rsid w:val="00074116"/>
    <w:rsid w:val="00074DD8"/>
    <w:rsid w:val="00074FE9"/>
    <w:rsid w:val="00075759"/>
    <w:rsid w:val="00077CE9"/>
    <w:rsid w:val="000806F7"/>
    <w:rsid w:val="00083A97"/>
    <w:rsid w:val="00084120"/>
    <w:rsid w:val="00084B97"/>
    <w:rsid w:val="000858EC"/>
    <w:rsid w:val="000860F1"/>
    <w:rsid w:val="0009015B"/>
    <w:rsid w:val="00090630"/>
    <w:rsid w:val="00093281"/>
    <w:rsid w:val="000941C8"/>
    <w:rsid w:val="00097668"/>
    <w:rsid w:val="00097840"/>
    <w:rsid w:val="00097E6F"/>
    <w:rsid w:val="000A4DCD"/>
    <w:rsid w:val="000A6D25"/>
    <w:rsid w:val="000B0727"/>
    <w:rsid w:val="000B17E3"/>
    <w:rsid w:val="000B36A3"/>
    <w:rsid w:val="000C03EE"/>
    <w:rsid w:val="000C135D"/>
    <w:rsid w:val="000C1FEE"/>
    <w:rsid w:val="000C64BF"/>
    <w:rsid w:val="000C68D1"/>
    <w:rsid w:val="000D1169"/>
    <w:rsid w:val="000D1B3A"/>
    <w:rsid w:val="000D1D43"/>
    <w:rsid w:val="000D225C"/>
    <w:rsid w:val="000D2A5C"/>
    <w:rsid w:val="000D2DE5"/>
    <w:rsid w:val="000D334B"/>
    <w:rsid w:val="000D39F0"/>
    <w:rsid w:val="000D5734"/>
    <w:rsid w:val="000D72E5"/>
    <w:rsid w:val="000E0437"/>
    <w:rsid w:val="000E06E3"/>
    <w:rsid w:val="000E0918"/>
    <w:rsid w:val="000E79A9"/>
    <w:rsid w:val="000E7E60"/>
    <w:rsid w:val="000F160D"/>
    <w:rsid w:val="000F23BB"/>
    <w:rsid w:val="000F31FF"/>
    <w:rsid w:val="000F7A50"/>
    <w:rsid w:val="00100DAE"/>
    <w:rsid w:val="00100F3F"/>
    <w:rsid w:val="001011C3"/>
    <w:rsid w:val="0010294C"/>
    <w:rsid w:val="001039E0"/>
    <w:rsid w:val="0010408A"/>
    <w:rsid w:val="0010480C"/>
    <w:rsid w:val="00104C92"/>
    <w:rsid w:val="00106DA3"/>
    <w:rsid w:val="00110214"/>
    <w:rsid w:val="001102E8"/>
    <w:rsid w:val="00110D87"/>
    <w:rsid w:val="00112399"/>
    <w:rsid w:val="0011409E"/>
    <w:rsid w:val="00114DB9"/>
    <w:rsid w:val="00116087"/>
    <w:rsid w:val="001165A1"/>
    <w:rsid w:val="00117711"/>
    <w:rsid w:val="00120493"/>
    <w:rsid w:val="00123B77"/>
    <w:rsid w:val="00126349"/>
    <w:rsid w:val="00126E49"/>
    <w:rsid w:val="00127E61"/>
    <w:rsid w:val="00130296"/>
    <w:rsid w:val="00132541"/>
    <w:rsid w:val="00134145"/>
    <w:rsid w:val="00135F4B"/>
    <w:rsid w:val="00136736"/>
    <w:rsid w:val="00136740"/>
    <w:rsid w:val="00136D67"/>
    <w:rsid w:val="001407B4"/>
    <w:rsid w:val="00140D81"/>
    <w:rsid w:val="00141B2D"/>
    <w:rsid w:val="001423B6"/>
    <w:rsid w:val="00143641"/>
    <w:rsid w:val="0014438E"/>
    <w:rsid w:val="001448A7"/>
    <w:rsid w:val="00145400"/>
    <w:rsid w:val="00146621"/>
    <w:rsid w:val="00147A33"/>
    <w:rsid w:val="00152F95"/>
    <w:rsid w:val="00155865"/>
    <w:rsid w:val="00155A1E"/>
    <w:rsid w:val="001574CF"/>
    <w:rsid w:val="001617E3"/>
    <w:rsid w:val="00162325"/>
    <w:rsid w:val="001623D6"/>
    <w:rsid w:val="0016353C"/>
    <w:rsid w:val="00171560"/>
    <w:rsid w:val="00172AD7"/>
    <w:rsid w:val="00172BD2"/>
    <w:rsid w:val="00174052"/>
    <w:rsid w:val="00181141"/>
    <w:rsid w:val="00187721"/>
    <w:rsid w:val="001914D1"/>
    <w:rsid w:val="0019370D"/>
    <w:rsid w:val="00194121"/>
    <w:rsid w:val="001951DA"/>
    <w:rsid w:val="001A320F"/>
    <w:rsid w:val="001A55BF"/>
    <w:rsid w:val="001B053D"/>
    <w:rsid w:val="001B1ACF"/>
    <w:rsid w:val="001B1E38"/>
    <w:rsid w:val="001B1F02"/>
    <w:rsid w:val="001B35DB"/>
    <w:rsid w:val="001C3209"/>
    <w:rsid w:val="001C3269"/>
    <w:rsid w:val="001C5073"/>
    <w:rsid w:val="001D19B6"/>
    <w:rsid w:val="001D1DB4"/>
    <w:rsid w:val="001D23F1"/>
    <w:rsid w:val="001D25F9"/>
    <w:rsid w:val="001D61ED"/>
    <w:rsid w:val="001E5B2D"/>
    <w:rsid w:val="001E5B54"/>
    <w:rsid w:val="001E7D66"/>
    <w:rsid w:val="001F209D"/>
    <w:rsid w:val="001F4146"/>
    <w:rsid w:val="001F49DD"/>
    <w:rsid w:val="001F49E2"/>
    <w:rsid w:val="001F6E28"/>
    <w:rsid w:val="0020156C"/>
    <w:rsid w:val="0020288C"/>
    <w:rsid w:val="00203FA4"/>
    <w:rsid w:val="0020455E"/>
    <w:rsid w:val="0021418F"/>
    <w:rsid w:val="00214C1A"/>
    <w:rsid w:val="00215412"/>
    <w:rsid w:val="00216634"/>
    <w:rsid w:val="00216DE1"/>
    <w:rsid w:val="00216DE2"/>
    <w:rsid w:val="00217A41"/>
    <w:rsid w:val="00222549"/>
    <w:rsid w:val="00223F1C"/>
    <w:rsid w:val="00225852"/>
    <w:rsid w:val="002265BB"/>
    <w:rsid w:val="002269E7"/>
    <w:rsid w:val="0023192D"/>
    <w:rsid w:val="00233A12"/>
    <w:rsid w:val="00242D31"/>
    <w:rsid w:val="00247AB1"/>
    <w:rsid w:val="00250C8A"/>
    <w:rsid w:val="0025481E"/>
    <w:rsid w:val="00254EEE"/>
    <w:rsid w:val="00257043"/>
    <w:rsid w:val="002574F9"/>
    <w:rsid w:val="00257931"/>
    <w:rsid w:val="002627B0"/>
    <w:rsid w:val="00262B61"/>
    <w:rsid w:val="00262CC6"/>
    <w:rsid w:val="00262DF1"/>
    <w:rsid w:val="00263CB0"/>
    <w:rsid w:val="00263E08"/>
    <w:rsid w:val="00266B87"/>
    <w:rsid w:val="00266C1C"/>
    <w:rsid w:val="00271094"/>
    <w:rsid w:val="00271B2F"/>
    <w:rsid w:val="0027367C"/>
    <w:rsid w:val="00275DB0"/>
    <w:rsid w:val="00276811"/>
    <w:rsid w:val="0027700B"/>
    <w:rsid w:val="002822FF"/>
    <w:rsid w:val="00282699"/>
    <w:rsid w:val="002848AC"/>
    <w:rsid w:val="00284C08"/>
    <w:rsid w:val="0028724E"/>
    <w:rsid w:val="0029193A"/>
    <w:rsid w:val="002919DE"/>
    <w:rsid w:val="002926DF"/>
    <w:rsid w:val="00292E9A"/>
    <w:rsid w:val="002959BF"/>
    <w:rsid w:val="00296697"/>
    <w:rsid w:val="00296931"/>
    <w:rsid w:val="00297BAB"/>
    <w:rsid w:val="002A3EB0"/>
    <w:rsid w:val="002A4789"/>
    <w:rsid w:val="002B01F4"/>
    <w:rsid w:val="002B0472"/>
    <w:rsid w:val="002B4D65"/>
    <w:rsid w:val="002B616B"/>
    <w:rsid w:val="002B6B12"/>
    <w:rsid w:val="002C033D"/>
    <w:rsid w:val="002C21F0"/>
    <w:rsid w:val="002C5A25"/>
    <w:rsid w:val="002C5D28"/>
    <w:rsid w:val="002C6395"/>
    <w:rsid w:val="002D01DF"/>
    <w:rsid w:val="002D0FC5"/>
    <w:rsid w:val="002D7DF9"/>
    <w:rsid w:val="002E3EB3"/>
    <w:rsid w:val="002E4814"/>
    <w:rsid w:val="002E6140"/>
    <w:rsid w:val="002E6985"/>
    <w:rsid w:val="002E6ADB"/>
    <w:rsid w:val="002E71B6"/>
    <w:rsid w:val="002F140B"/>
    <w:rsid w:val="002F35F6"/>
    <w:rsid w:val="002F77C8"/>
    <w:rsid w:val="00300D75"/>
    <w:rsid w:val="00304F22"/>
    <w:rsid w:val="00305489"/>
    <w:rsid w:val="003055C0"/>
    <w:rsid w:val="00305AA3"/>
    <w:rsid w:val="00306C7C"/>
    <w:rsid w:val="0030711C"/>
    <w:rsid w:val="003140C2"/>
    <w:rsid w:val="0031456B"/>
    <w:rsid w:val="00314F86"/>
    <w:rsid w:val="003150A0"/>
    <w:rsid w:val="00315B02"/>
    <w:rsid w:val="00317F4D"/>
    <w:rsid w:val="00322EDD"/>
    <w:rsid w:val="00324BB0"/>
    <w:rsid w:val="00325D34"/>
    <w:rsid w:val="00327482"/>
    <w:rsid w:val="003309FA"/>
    <w:rsid w:val="00331DB3"/>
    <w:rsid w:val="00332320"/>
    <w:rsid w:val="00335F47"/>
    <w:rsid w:val="00340543"/>
    <w:rsid w:val="0034198E"/>
    <w:rsid w:val="003438AE"/>
    <w:rsid w:val="00344A05"/>
    <w:rsid w:val="003470DD"/>
    <w:rsid w:val="00347D72"/>
    <w:rsid w:val="00352CA8"/>
    <w:rsid w:val="003531DF"/>
    <w:rsid w:val="00353F45"/>
    <w:rsid w:val="00356B66"/>
    <w:rsid w:val="003571B3"/>
    <w:rsid w:val="00357611"/>
    <w:rsid w:val="0036432A"/>
    <w:rsid w:val="00364AF9"/>
    <w:rsid w:val="00364C90"/>
    <w:rsid w:val="00367237"/>
    <w:rsid w:val="0037016E"/>
    <w:rsid w:val="0037077F"/>
    <w:rsid w:val="00372411"/>
    <w:rsid w:val="003735F2"/>
    <w:rsid w:val="00373882"/>
    <w:rsid w:val="00373E99"/>
    <w:rsid w:val="003843DB"/>
    <w:rsid w:val="00386849"/>
    <w:rsid w:val="00386996"/>
    <w:rsid w:val="00393761"/>
    <w:rsid w:val="00394E26"/>
    <w:rsid w:val="00394E5E"/>
    <w:rsid w:val="00396082"/>
    <w:rsid w:val="00396691"/>
    <w:rsid w:val="00397D18"/>
    <w:rsid w:val="003A10ED"/>
    <w:rsid w:val="003A17D8"/>
    <w:rsid w:val="003A1B36"/>
    <w:rsid w:val="003A1D54"/>
    <w:rsid w:val="003A57A8"/>
    <w:rsid w:val="003A589A"/>
    <w:rsid w:val="003A6D52"/>
    <w:rsid w:val="003B080C"/>
    <w:rsid w:val="003B1454"/>
    <w:rsid w:val="003B18B6"/>
    <w:rsid w:val="003B733E"/>
    <w:rsid w:val="003B787B"/>
    <w:rsid w:val="003C0867"/>
    <w:rsid w:val="003C0C0E"/>
    <w:rsid w:val="003C161B"/>
    <w:rsid w:val="003C59E0"/>
    <w:rsid w:val="003C6C39"/>
    <w:rsid w:val="003C6C8D"/>
    <w:rsid w:val="003D0E1E"/>
    <w:rsid w:val="003D2656"/>
    <w:rsid w:val="003D4F95"/>
    <w:rsid w:val="003D5F42"/>
    <w:rsid w:val="003D60A9"/>
    <w:rsid w:val="003E026A"/>
    <w:rsid w:val="003E2080"/>
    <w:rsid w:val="003E2475"/>
    <w:rsid w:val="003E4367"/>
    <w:rsid w:val="003E580A"/>
    <w:rsid w:val="003F0643"/>
    <w:rsid w:val="003F0E56"/>
    <w:rsid w:val="003F3B9E"/>
    <w:rsid w:val="003F4C97"/>
    <w:rsid w:val="003F65C7"/>
    <w:rsid w:val="003F666D"/>
    <w:rsid w:val="003F7FE6"/>
    <w:rsid w:val="00400193"/>
    <w:rsid w:val="00405E74"/>
    <w:rsid w:val="00406880"/>
    <w:rsid w:val="004141B3"/>
    <w:rsid w:val="00414C88"/>
    <w:rsid w:val="00414D3E"/>
    <w:rsid w:val="00416225"/>
    <w:rsid w:val="00416680"/>
    <w:rsid w:val="00416A89"/>
    <w:rsid w:val="00416EAF"/>
    <w:rsid w:val="004212E7"/>
    <w:rsid w:val="0042329A"/>
    <w:rsid w:val="00423C88"/>
    <w:rsid w:val="0042446D"/>
    <w:rsid w:val="0042468A"/>
    <w:rsid w:val="004256BB"/>
    <w:rsid w:val="00425977"/>
    <w:rsid w:val="00425A8A"/>
    <w:rsid w:val="00427BF8"/>
    <w:rsid w:val="00431470"/>
    <w:rsid w:val="00431C02"/>
    <w:rsid w:val="00434A6A"/>
    <w:rsid w:val="004352C1"/>
    <w:rsid w:val="00437395"/>
    <w:rsid w:val="00440489"/>
    <w:rsid w:val="00442E36"/>
    <w:rsid w:val="004444E0"/>
    <w:rsid w:val="00445047"/>
    <w:rsid w:val="00445247"/>
    <w:rsid w:val="00446749"/>
    <w:rsid w:val="00453EB7"/>
    <w:rsid w:val="00463E39"/>
    <w:rsid w:val="00463E78"/>
    <w:rsid w:val="00464497"/>
    <w:rsid w:val="004657FC"/>
    <w:rsid w:val="004661EE"/>
    <w:rsid w:val="0046790F"/>
    <w:rsid w:val="00471894"/>
    <w:rsid w:val="004733F6"/>
    <w:rsid w:val="004738CF"/>
    <w:rsid w:val="00474E69"/>
    <w:rsid w:val="00480ABA"/>
    <w:rsid w:val="00481E63"/>
    <w:rsid w:val="00483E9F"/>
    <w:rsid w:val="00483F0B"/>
    <w:rsid w:val="00485A2C"/>
    <w:rsid w:val="00492C15"/>
    <w:rsid w:val="00494FA0"/>
    <w:rsid w:val="0049621B"/>
    <w:rsid w:val="00497C05"/>
    <w:rsid w:val="004A1D19"/>
    <w:rsid w:val="004A45D2"/>
    <w:rsid w:val="004A5055"/>
    <w:rsid w:val="004A65BA"/>
    <w:rsid w:val="004A6886"/>
    <w:rsid w:val="004A71F1"/>
    <w:rsid w:val="004B06E0"/>
    <w:rsid w:val="004B7C2A"/>
    <w:rsid w:val="004C1895"/>
    <w:rsid w:val="004C28D8"/>
    <w:rsid w:val="004C303B"/>
    <w:rsid w:val="004C3389"/>
    <w:rsid w:val="004C35F4"/>
    <w:rsid w:val="004C3E60"/>
    <w:rsid w:val="004C56E3"/>
    <w:rsid w:val="004C6D40"/>
    <w:rsid w:val="004C75BE"/>
    <w:rsid w:val="004D1421"/>
    <w:rsid w:val="004D1B39"/>
    <w:rsid w:val="004D2393"/>
    <w:rsid w:val="004D3259"/>
    <w:rsid w:val="004D50C5"/>
    <w:rsid w:val="004D634E"/>
    <w:rsid w:val="004E1DBE"/>
    <w:rsid w:val="004E3ACE"/>
    <w:rsid w:val="004E6AA8"/>
    <w:rsid w:val="004E706E"/>
    <w:rsid w:val="004E7FE4"/>
    <w:rsid w:val="004F0C3C"/>
    <w:rsid w:val="004F0EC4"/>
    <w:rsid w:val="004F1FEA"/>
    <w:rsid w:val="004F2280"/>
    <w:rsid w:val="004F23BB"/>
    <w:rsid w:val="004F4A42"/>
    <w:rsid w:val="004F51F7"/>
    <w:rsid w:val="004F63FC"/>
    <w:rsid w:val="0050225D"/>
    <w:rsid w:val="00504397"/>
    <w:rsid w:val="00505A92"/>
    <w:rsid w:val="0050735C"/>
    <w:rsid w:val="00507BC9"/>
    <w:rsid w:val="00513C30"/>
    <w:rsid w:val="0051499C"/>
    <w:rsid w:val="005203F1"/>
    <w:rsid w:val="00521BC3"/>
    <w:rsid w:val="0052342E"/>
    <w:rsid w:val="00523C25"/>
    <w:rsid w:val="00524007"/>
    <w:rsid w:val="00527382"/>
    <w:rsid w:val="0053139F"/>
    <w:rsid w:val="00531873"/>
    <w:rsid w:val="00533632"/>
    <w:rsid w:val="00533BC5"/>
    <w:rsid w:val="00534013"/>
    <w:rsid w:val="00536E74"/>
    <w:rsid w:val="00540C5C"/>
    <w:rsid w:val="00541783"/>
    <w:rsid w:val="00541E6E"/>
    <w:rsid w:val="0054251F"/>
    <w:rsid w:val="00542D2A"/>
    <w:rsid w:val="00543B1E"/>
    <w:rsid w:val="00545FCE"/>
    <w:rsid w:val="005520D8"/>
    <w:rsid w:val="00555CC2"/>
    <w:rsid w:val="00555CFB"/>
    <w:rsid w:val="00556ADB"/>
    <w:rsid w:val="00556CF1"/>
    <w:rsid w:val="00562913"/>
    <w:rsid w:val="005658EC"/>
    <w:rsid w:val="00565B83"/>
    <w:rsid w:val="00567365"/>
    <w:rsid w:val="00572B3E"/>
    <w:rsid w:val="005731DF"/>
    <w:rsid w:val="00573B10"/>
    <w:rsid w:val="0057545D"/>
    <w:rsid w:val="005762A7"/>
    <w:rsid w:val="0057679A"/>
    <w:rsid w:val="00577E10"/>
    <w:rsid w:val="00580A28"/>
    <w:rsid w:val="005836FD"/>
    <w:rsid w:val="00584432"/>
    <w:rsid w:val="005849BA"/>
    <w:rsid w:val="0058664B"/>
    <w:rsid w:val="00587836"/>
    <w:rsid w:val="00587B13"/>
    <w:rsid w:val="00587CEE"/>
    <w:rsid w:val="0059086B"/>
    <w:rsid w:val="005916D7"/>
    <w:rsid w:val="005920A4"/>
    <w:rsid w:val="0059427F"/>
    <w:rsid w:val="0059561B"/>
    <w:rsid w:val="005A6925"/>
    <w:rsid w:val="005A698C"/>
    <w:rsid w:val="005A7B1D"/>
    <w:rsid w:val="005B01EB"/>
    <w:rsid w:val="005B1034"/>
    <w:rsid w:val="005B4D77"/>
    <w:rsid w:val="005B5526"/>
    <w:rsid w:val="005B5586"/>
    <w:rsid w:val="005C0CAC"/>
    <w:rsid w:val="005C0EB0"/>
    <w:rsid w:val="005C1738"/>
    <w:rsid w:val="005C1927"/>
    <w:rsid w:val="005D02F6"/>
    <w:rsid w:val="005D062E"/>
    <w:rsid w:val="005D15BE"/>
    <w:rsid w:val="005D1913"/>
    <w:rsid w:val="005D2F6B"/>
    <w:rsid w:val="005D3B27"/>
    <w:rsid w:val="005D53C4"/>
    <w:rsid w:val="005D62BF"/>
    <w:rsid w:val="005D64F2"/>
    <w:rsid w:val="005D7535"/>
    <w:rsid w:val="005E0634"/>
    <w:rsid w:val="005E0799"/>
    <w:rsid w:val="005E10F9"/>
    <w:rsid w:val="005E1200"/>
    <w:rsid w:val="005E3F6A"/>
    <w:rsid w:val="005E4203"/>
    <w:rsid w:val="005F3E9B"/>
    <w:rsid w:val="005F421A"/>
    <w:rsid w:val="005F44CD"/>
    <w:rsid w:val="005F45EE"/>
    <w:rsid w:val="005F5A1C"/>
    <w:rsid w:val="005F5A80"/>
    <w:rsid w:val="005F6A47"/>
    <w:rsid w:val="00602A96"/>
    <w:rsid w:val="006044FF"/>
    <w:rsid w:val="00607076"/>
    <w:rsid w:val="00607CC5"/>
    <w:rsid w:val="00611060"/>
    <w:rsid w:val="0061179B"/>
    <w:rsid w:val="006120CB"/>
    <w:rsid w:val="006125F9"/>
    <w:rsid w:val="00614471"/>
    <w:rsid w:val="00621B2C"/>
    <w:rsid w:val="00627D29"/>
    <w:rsid w:val="00633014"/>
    <w:rsid w:val="0063437B"/>
    <w:rsid w:val="00634CF9"/>
    <w:rsid w:val="0063545D"/>
    <w:rsid w:val="006354E7"/>
    <w:rsid w:val="00636A2C"/>
    <w:rsid w:val="0064017E"/>
    <w:rsid w:val="00650411"/>
    <w:rsid w:val="006531BC"/>
    <w:rsid w:val="00654BB6"/>
    <w:rsid w:val="00662621"/>
    <w:rsid w:val="006673CA"/>
    <w:rsid w:val="006713E7"/>
    <w:rsid w:val="00673C26"/>
    <w:rsid w:val="00674DE5"/>
    <w:rsid w:val="0067504B"/>
    <w:rsid w:val="00677ACA"/>
    <w:rsid w:val="00680A8E"/>
    <w:rsid w:val="006812AF"/>
    <w:rsid w:val="0068327D"/>
    <w:rsid w:val="00685BC5"/>
    <w:rsid w:val="00691534"/>
    <w:rsid w:val="00693880"/>
    <w:rsid w:val="006938E0"/>
    <w:rsid w:val="00694AF0"/>
    <w:rsid w:val="00695E54"/>
    <w:rsid w:val="00697495"/>
    <w:rsid w:val="00697DD7"/>
    <w:rsid w:val="006A0F68"/>
    <w:rsid w:val="006A3645"/>
    <w:rsid w:val="006A4686"/>
    <w:rsid w:val="006A4691"/>
    <w:rsid w:val="006B0E9E"/>
    <w:rsid w:val="006B1DCE"/>
    <w:rsid w:val="006B267D"/>
    <w:rsid w:val="006B41AB"/>
    <w:rsid w:val="006B486D"/>
    <w:rsid w:val="006B5AE4"/>
    <w:rsid w:val="006C050E"/>
    <w:rsid w:val="006C2D4C"/>
    <w:rsid w:val="006C34AD"/>
    <w:rsid w:val="006D1507"/>
    <w:rsid w:val="006D252F"/>
    <w:rsid w:val="006D2B2E"/>
    <w:rsid w:val="006D3954"/>
    <w:rsid w:val="006D4054"/>
    <w:rsid w:val="006D481A"/>
    <w:rsid w:val="006D6F41"/>
    <w:rsid w:val="006E02EC"/>
    <w:rsid w:val="006E3C4F"/>
    <w:rsid w:val="006E3F9F"/>
    <w:rsid w:val="006E5B7C"/>
    <w:rsid w:val="006E5F77"/>
    <w:rsid w:val="006E6F41"/>
    <w:rsid w:val="006E73E6"/>
    <w:rsid w:val="006F1BAC"/>
    <w:rsid w:val="006F3D50"/>
    <w:rsid w:val="006F3E7E"/>
    <w:rsid w:val="006F60AD"/>
    <w:rsid w:val="006F6E4B"/>
    <w:rsid w:val="00704598"/>
    <w:rsid w:val="00704878"/>
    <w:rsid w:val="00705190"/>
    <w:rsid w:val="00713DC3"/>
    <w:rsid w:val="0071652E"/>
    <w:rsid w:val="00720FFC"/>
    <w:rsid w:val="007211B1"/>
    <w:rsid w:val="00726545"/>
    <w:rsid w:val="007277DA"/>
    <w:rsid w:val="00731D27"/>
    <w:rsid w:val="00737D55"/>
    <w:rsid w:val="00740957"/>
    <w:rsid w:val="00742174"/>
    <w:rsid w:val="00746187"/>
    <w:rsid w:val="00747137"/>
    <w:rsid w:val="00752194"/>
    <w:rsid w:val="0076254F"/>
    <w:rsid w:val="00763634"/>
    <w:rsid w:val="00766836"/>
    <w:rsid w:val="00766DB7"/>
    <w:rsid w:val="00766DD4"/>
    <w:rsid w:val="00777534"/>
    <w:rsid w:val="007801F5"/>
    <w:rsid w:val="00780A0F"/>
    <w:rsid w:val="00780A9E"/>
    <w:rsid w:val="007825D0"/>
    <w:rsid w:val="007828F2"/>
    <w:rsid w:val="00783CA4"/>
    <w:rsid w:val="007842FB"/>
    <w:rsid w:val="00784E1E"/>
    <w:rsid w:val="00786124"/>
    <w:rsid w:val="00786EDB"/>
    <w:rsid w:val="007873B7"/>
    <w:rsid w:val="00787638"/>
    <w:rsid w:val="00791EEA"/>
    <w:rsid w:val="0079514B"/>
    <w:rsid w:val="00795252"/>
    <w:rsid w:val="0079572B"/>
    <w:rsid w:val="00797FA4"/>
    <w:rsid w:val="007A2DC1"/>
    <w:rsid w:val="007A2F1A"/>
    <w:rsid w:val="007A40DE"/>
    <w:rsid w:val="007A4440"/>
    <w:rsid w:val="007A5391"/>
    <w:rsid w:val="007B0396"/>
    <w:rsid w:val="007B2E04"/>
    <w:rsid w:val="007B3282"/>
    <w:rsid w:val="007C3336"/>
    <w:rsid w:val="007C3873"/>
    <w:rsid w:val="007C7D79"/>
    <w:rsid w:val="007D05D6"/>
    <w:rsid w:val="007D0869"/>
    <w:rsid w:val="007D14C4"/>
    <w:rsid w:val="007D310D"/>
    <w:rsid w:val="007D3319"/>
    <w:rsid w:val="007D335D"/>
    <w:rsid w:val="007D40A2"/>
    <w:rsid w:val="007D4466"/>
    <w:rsid w:val="007D5CDE"/>
    <w:rsid w:val="007D605C"/>
    <w:rsid w:val="007D7785"/>
    <w:rsid w:val="007E252C"/>
    <w:rsid w:val="007E3314"/>
    <w:rsid w:val="007E3514"/>
    <w:rsid w:val="007E3602"/>
    <w:rsid w:val="007E4B03"/>
    <w:rsid w:val="007E556F"/>
    <w:rsid w:val="007F0BB6"/>
    <w:rsid w:val="007F0D60"/>
    <w:rsid w:val="007F1CED"/>
    <w:rsid w:val="007F30DA"/>
    <w:rsid w:val="007F324B"/>
    <w:rsid w:val="007F440F"/>
    <w:rsid w:val="007F5322"/>
    <w:rsid w:val="0080031D"/>
    <w:rsid w:val="00802BCA"/>
    <w:rsid w:val="0080317E"/>
    <w:rsid w:val="00803384"/>
    <w:rsid w:val="0080553C"/>
    <w:rsid w:val="00805B46"/>
    <w:rsid w:val="00805DB4"/>
    <w:rsid w:val="00806F0F"/>
    <w:rsid w:val="008124C7"/>
    <w:rsid w:val="008163BE"/>
    <w:rsid w:val="00822335"/>
    <w:rsid w:val="00823593"/>
    <w:rsid w:val="00825DC2"/>
    <w:rsid w:val="00826719"/>
    <w:rsid w:val="008270B1"/>
    <w:rsid w:val="00830961"/>
    <w:rsid w:val="00830FD5"/>
    <w:rsid w:val="00833BB1"/>
    <w:rsid w:val="008346F5"/>
    <w:rsid w:val="00834AD3"/>
    <w:rsid w:val="00837946"/>
    <w:rsid w:val="008411B3"/>
    <w:rsid w:val="008426E7"/>
    <w:rsid w:val="00843795"/>
    <w:rsid w:val="00847F0F"/>
    <w:rsid w:val="00852448"/>
    <w:rsid w:val="00852487"/>
    <w:rsid w:val="008541D0"/>
    <w:rsid w:val="00856922"/>
    <w:rsid w:val="00857582"/>
    <w:rsid w:val="00857DC1"/>
    <w:rsid w:val="00860004"/>
    <w:rsid w:val="00860F41"/>
    <w:rsid w:val="00863200"/>
    <w:rsid w:val="00864B8C"/>
    <w:rsid w:val="00865DC0"/>
    <w:rsid w:val="00866F4C"/>
    <w:rsid w:val="00872983"/>
    <w:rsid w:val="00873D50"/>
    <w:rsid w:val="00874824"/>
    <w:rsid w:val="00875D4F"/>
    <w:rsid w:val="0087671E"/>
    <w:rsid w:val="00877F6C"/>
    <w:rsid w:val="0088258A"/>
    <w:rsid w:val="008842FA"/>
    <w:rsid w:val="00885C3A"/>
    <w:rsid w:val="008862E5"/>
    <w:rsid w:val="00886332"/>
    <w:rsid w:val="00887B2E"/>
    <w:rsid w:val="00890A2F"/>
    <w:rsid w:val="008925F0"/>
    <w:rsid w:val="0089448A"/>
    <w:rsid w:val="00894C96"/>
    <w:rsid w:val="00897877"/>
    <w:rsid w:val="008A0037"/>
    <w:rsid w:val="008A065D"/>
    <w:rsid w:val="008A167B"/>
    <w:rsid w:val="008A210C"/>
    <w:rsid w:val="008A2170"/>
    <w:rsid w:val="008A26D9"/>
    <w:rsid w:val="008A2F06"/>
    <w:rsid w:val="008A647E"/>
    <w:rsid w:val="008A7B5B"/>
    <w:rsid w:val="008B12D2"/>
    <w:rsid w:val="008B1B16"/>
    <w:rsid w:val="008C0C29"/>
    <w:rsid w:val="008C2B4E"/>
    <w:rsid w:val="008C36E8"/>
    <w:rsid w:val="008C406C"/>
    <w:rsid w:val="008C4FED"/>
    <w:rsid w:val="008C5B89"/>
    <w:rsid w:val="008C79ED"/>
    <w:rsid w:val="008C7C8D"/>
    <w:rsid w:val="008D02DA"/>
    <w:rsid w:val="008D5D28"/>
    <w:rsid w:val="008D7305"/>
    <w:rsid w:val="008D76BC"/>
    <w:rsid w:val="008E2BF9"/>
    <w:rsid w:val="008E38DB"/>
    <w:rsid w:val="008E65F1"/>
    <w:rsid w:val="008E7DBA"/>
    <w:rsid w:val="008F0829"/>
    <w:rsid w:val="008F0ACB"/>
    <w:rsid w:val="008F23CC"/>
    <w:rsid w:val="008F3638"/>
    <w:rsid w:val="008F390A"/>
    <w:rsid w:val="008F4441"/>
    <w:rsid w:val="008F59C6"/>
    <w:rsid w:val="008F659A"/>
    <w:rsid w:val="008F6B20"/>
    <w:rsid w:val="008F6F31"/>
    <w:rsid w:val="008F74DF"/>
    <w:rsid w:val="009015ED"/>
    <w:rsid w:val="00902274"/>
    <w:rsid w:val="009045B8"/>
    <w:rsid w:val="00904685"/>
    <w:rsid w:val="0090549C"/>
    <w:rsid w:val="00911853"/>
    <w:rsid w:val="009127BA"/>
    <w:rsid w:val="00913516"/>
    <w:rsid w:val="00915B9C"/>
    <w:rsid w:val="00920AAE"/>
    <w:rsid w:val="00921D85"/>
    <w:rsid w:val="00921FC4"/>
    <w:rsid w:val="009227A6"/>
    <w:rsid w:val="00924E85"/>
    <w:rsid w:val="00926299"/>
    <w:rsid w:val="00933EC1"/>
    <w:rsid w:val="0093432F"/>
    <w:rsid w:val="00934C19"/>
    <w:rsid w:val="00937E0E"/>
    <w:rsid w:val="009446AD"/>
    <w:rsid w:val="00945581"/>
    <w:rsid w:val="009530DB"/>
    <w:rsid w:val="0095338A"/>
    <w:rsid w:val="00953676"/>
    <w:rsid w:val="009551D9"/>
    <w:rsid w:val="00956F30"/>
    <w:rsid w:val="009625FE"/>
    <w:rsid w:val="00962DC8"/>
    <w:rsid w:val="009638EE"/>
    <w:rsid w:val="00963D0F"/>
    <w:rsid w:val="00965349"/>
    <w:rsid w:val="00966C9A"/>
    <w:rsid w:val="009705EE"/>
    <w:rsid w:val="009726B5"/>
    <w:rsid w:val="009734E5"/>
    <w:rsid w:val="0097604D"/>
    <w:rsid w:val="00977873"/>
    <w:rsid w:val="00977927"/>
    <w:rsid w:val="00980AE0"/>
    <w:rsid w:val="0098135C"/>
    <w:rsid w:val="009813B2"/>
    <w:rsid w:val="0098156A"/>
    <w:rsid w:val="009849EF"/>
    <w:rsid w:val="009860DD"/>
    <w:rsid w:val="009862E5"/>
    <w:rsid w:val="00987FE3"/>
    <w:rsid w:val="00991BAC"/>
    <w:rsid w:val="00991CD1"/>
    <w:rsid w:val="009925B4"/>
    <w:rsid w:val="00993C0A"/>
    <w:rsid w:val="0099757D"/>
    <w:rsid w:val="00997E4B"/>
    <w:rsid w:val="009A6EA0"/>
    <w:rsid w:val="009A6EFF"/>
    <w:rsid w:val="009B03BC"/>
    <w:rsid w:val="009B1162"/>
    <w:rsid w:val="009B3663"/>
    <w:rsid w:val="009B65A1"/>
    <w:rsid w:val="009B6BA6"/>
    <w:rsid w:val="009B6CC8"/>
    <w:rsid w:val="009B7D55"/>
    <w:rsid w:val="009C1145"/>
    <w:rsid w:val="009C1335"/>
    <w:rsid w:val="009C18DA"/>
    <w:rsid w:val="009C1AB2"/>
    <w:rsid w:val="009C5691"/>
    <w:rsid w:val="009C6F8F"/>
    <w:rsid w:val="009C7251"/>
    <w:rsid w:val="009C725F"/>
    <w:rsid w:val="009D2418"/>
    <w:rsid w:val="009D555D"/>
    <w:rsid w:val="009E2E91"/>
    <w:rsid w:val="009E7512"/>
    <w:rsid w:val="009E76B3"/>
    <w:rsid w:val="009E7DCC"/>
    <w:rsid w:val="009F0EC7"/>
    <w:rsid w:val="009F6606"/>
    <w:rsid w:val="00A008DE"/>
    <w:rsid w:val="00A01B40"/>
    <w:rsid w:val="00A0427E"/>
    <w:rsid w:val="00A139F5"/>
    <w:rsid w:val="00A140FD"/>
    <w:rsid w:val="00A149D7"/>
    <w:rsid w:val="00A17549"/>
    <w:rsid w:val="00A178FE"/>
    <w:rsid w:val="00A210D1"/>
    <w:rsid w:val="00A3217A"/>
    <w:rsid w:val="00A32E16"/>
    <w:rsid w:val="00A3353B"/>
    <w:rsid w:val="00A34927"/>
    <w:rsid w:val="00A36274"/>
    <w:rsid w:val="00A365F4"/>
    <w:rsid w:val="00A37764"/>
    <w:rsid w:val="00A416DE"/>
    <w:rsid w:val="00A44049"/>
    <w:rsid w:val="00A44372"/>
    <w:rsid w:val="00A453CD"/>
    <w:rsid w:val="00A454E5"/>
    <w:rsid w:val="00A462EA"/>
    <w:rsid w:val="00A46DBC"/>
    <w:rsid w:val="00A4720D"/>
    <w:rsid w:val="00A47D80"/>
    <w:rsid w:val="00A50825"/>
    <w:rsid w:val="00A51507"/>
    <w:rsid w:val="00A53132"/>
    <w:rsid w:val="00A55A98"/>
    <w:rsid w:val="00A563F2"/>
    <w:rsid w:val="00A566E8"/>
    <w:rsid w:val="00A57663"/>
    <w:rsid w:val="00A6139F"/>
    <w:rsid w:val="00A654A8"/>
    <w:rsid w:val="00A66347"/>
    <w:rsid w:val="00A709A4"/>
    <w:rsid w:val="00A75105"/>
    <w:rsid w:val="00A7744E"/>
    <w:rsid w:val="00A77899"/>
    <w:rsid w:val="00A80F99"/>
    <w:rsid w:val="00A810F9"/>
    <w:rsid w:val="00A82D31"/>
    <w:rsid w:val="00A835F1"/>
    <w:rsid w:val="00A859CC"/>
    <w:rsid w:val="00A85E7E"/>
    <w:rsid w:val="00A86E70"/>
    <w:rsid w:val="00A86ECC"/>
    <w:rsid w:val="00A86FCC"/>
    <w:rsid w:val="00A873BD"/>
    <w:rsid w:val="00A87CD4"/>
    <w:rsid w:val="00A90A6D"/>
    <w:rsid w:val="00A92009"/>
    <w:rsid w:val="00A93297"/>
    <w:rsid w:val="00A95DF2"/>
    <w:rsid w:val="00A971E5"/>
    <w:rsid w:val="00AA055D"/>
    <w:rsid w:val="00AA5401"/>
    <w:rsid w:val="00AA710D"/>
    <w:rsid w:val="00AB2042"/>
    <w:rsid w:val="00AB458A"/>
    <w:rsid w:val="00AB4708"/>
    <w:rsid w:val="00AB5C8B"/>
    <w:rsid w:val="00AB5CE2"/>
    <w:rsid w:val="00AB64F3"/>
    <w:rsid w:val="00AB6917"/>
    <w:rsid w:val="00AB6D25"/>
    <w:rsid w:val="00AB6ECF"/>
    <w:rsid w:val="00AC185F"/>
    <w:rsid w:val="00AC5413"/>
    <w:rsid w:val="00AC6F4F"/>
    <w:rsid w:val="00AD0E56"/>
    <w:rsid w:val="00AD393A"/>
    <w:rsid w:val="00AD5020"/>
    <w:rsid w:val="00AD50F9"/>
    <w:rsid w:val="00AD6527"/>
    <w:rsid w:val="00AE14FB"/>
    <w:rsid w:val="00AE229B"/>
    <w:rsid w:val="00AE238B"/>
    <w:rsid w:val="00AE2D4B"/>
    <w:rsid w:val="00AE3AC3"/>
    <w:rsid w:val="00AE4F99"/>
    <w:rsid w:val="00AF3AAC"/>
    <w:rsid w:val="00AF5B24"/>
    <w:rsid w:val="00AF67B4"/>
    <w:rsid w:val="00AF7F9B"/>
    <w:rsid w:val="00B00EA1"/>
    <w:rsid w:val="00B00F4E"/>
    <w:rsid w:val="00B0220C"/>
    <w:rsid w:val="00B10188"/>
    <w:rsid w:val="00B105C7"/>
    <w:rsid w:val="00B1081F"/>
    <w:rsid w:val="00B10D1B"/>
    <w:rsid w:val="00B11B69"/>
    <w:rsid w:val="00B1438D"/>
    <w:rsid w:val="00B14817"/>
    <w:rsid w:val="00B14952"/>
    <w:rsid w:val="00B14EC8"/>
    <w:rsid w:val="00B1589E"/>
    <w:rsid w:val="00B15F36"/>
    <w:rsid w:val="00B16102"/>
    <w:rsid w:val="00B16871"/>
    <w:rsid w:val="00B1762F"/>
    <w:rsid w:val="00B20C43"/>
    <w:rsid w:val="00B211CA"/>
    <w:rsid w:val="00B211EE"/>
    <w:rsid w:val="00B25B45"/>
    <w:rsid w:val="00B31E5A"/>
    <w:rsid w:val="00B32B01"/>
    <w:rsid w:val="00B3376A"/>
    <w:rsid w:val="00B35283"/>
    <w:rsid w:val="00B405D7"/>
    <w:rsid w:val="00B421EC"/>
    <w:rsid w:val="00B428AD"/>
    <w:rsid w:val="00B4400E"/>
    <w:rsid w:val="00B44FB1"/>
    <w:rsid w:val="00B46B60"/>
    <w:rsid w:val="00B47359"/>
    <w:rsid w:val="00B4784D"/>
    <w:rsid w:val="00B6147A"/>
    <w:rsid w:val="00B6158A"/>
    <w:rsid w:val="00B653AB"/>
    <w:rsid w:val="00B65F9E"/>
    <w:rsid w:val="00B66B19"/>
    <w:rsid w:val="00B7386E"/>
    <w:rsid w:val="00B744DB"/>
    <w:rsid w:val="00B774B8"/>
    <w:rsid w:val="00B82CFF"/>
    <w:rsid w:val="00B84C43"/>
    <w:rsid w:val="00B84D98"/>
    <w:rsid w:val="00B855FF"/>
    <w:rsid w:val="00B86A9B"/>
    <w:rsid w:val="00B903FF"/>
    <w:rsid w:val="00B914E9"/>
    <w:rsid w:val="00B92F1D"/>
    <w:rsid w:val="00B956EE"/>
    <w:rsid w:val="00B97D19"/>
    <w:rsid w:val="00BA25E9"/>
    <w:rsid w:val="00BA2BA1"/>
    <w:rsid w:val="00BA3447"/>
    <w:rsid w:val="00BA3562"/>
    <w:rsid w:val="00BA5003"/>
    <w:rsid w:val="00BA5961"/>
    <w:rsid w:val="00BB4F09"/>
    <w:rsid w:val="00BB54B5"/>
    <w:rsid w:val="00BB6872"/>
    <w:rsid w:val="00BB6FB7"/>
    <w:rsid w:val="00BB7ECA"/>
    <w:rsid w:val="00BC0EEB"/>
    <w:rsid w:val="00BC29B1"/>
    <w:rsid w:val="00BC350B"/>
    <w:rsid w:val="00BC3917"/>
    <w:rsid w:val="00BC4484"/>
    <w:rsid w:val="00BC72D4"/>
    <w:rsid w:val="00BD056B"/>
    <w:rsid w:val="00BD1ACA"/>
    <w:rsid w:val="00BD4E33"/>
    <w:rsid w:val="00BD691A"/>
    <w:rsid w:val="00BD7DCF"/>
    <w:rsid w:val="00BE04E3"/>
    <w:rsid w:val="00BE69CA"/>
    <w:rsid w:val="00BF088E"/>
    <w:rsid w:val="00BF092B"/>
    <w:rsid w:val="00BF1F06"/>
    <w:rsid w:val="00BF301C"/>
    <w:rsid w:val="00BF3180"/>
    <w:rsid w:val="00BF3217"/>
    <w:rsid w:val="00BF4921"/>
    <w:rsid w:val="00C030DE"/>
    <w:rsid w:val="00C047DB"/>
    <w:rsid w:val="00C051A8"/>
    <w:rsid w:val="00C05C2A"/>
    <w:rsid w:val="00C13295"/>
    <w:rsid w:val="00C1500D"/>
    <w:rsid w:val="00C17A11"/>
    <w:rsid w:val="00C22105"/>
    <w:rsid w:val="00C230F8"/>
    <w:rsid w:val="00C2366D"/>
    <w:rsid w:val="00C244B6"/>
    <w:rsid w:val="00C252DB"/>
    <w:rsid w:val="00C25D7B"/>
    <w:rsid w:val="00C2765E"/>
    <w:rsid w:val="00C27BD3"/>
    <w:rsid w:val="00C27BF1"/>
    <w:rsid w:val="00C27F99"/>
    <w:rsid w:val="00C34636"/>
    <w:rsid w:val="00C35233"/>
    <w:rsid w:val="00C3702F"/>
    <w:rsid w:val="00C41733"/>
    <w:rsid w:val="00C44AC5"/>
    <w:rsid w:val="00C4500A"/>
    <w:rsid w:val="00C45AFC"/>
    <w:rsid w:val="00C470DB"/>
    <w:rsid w:val="00C500D4"/>
    <w:rsid w:val="00C50DF9"/>
    <w:rsid w:val="00C55406"/>
    <w:rsid w:val="00C57E86"/>
    <w:rsid w:val="00C62238"/>
    <w:rsid w:val="00C64A37"/>
    <w:rsid w:val="00C66664"/>
    <w:rsid w:val="00C67595"/>
    <w:rsid w:val="00C7158E"/>
    <w:rsid w:val="00C7250B"/>
    <w:rsid w:val="00C72A6F"/>
    <w:rsid w:val="00C7346B"/>
    <w:rsid w:val="00C76967"/>
    <w:rsid w:val="00C77C0E"/>
    <w:rsid w:val="00C865B5"/>
    <w:rsid w:val="00C86D19"/>
    <w:rsid w:val="00C878EE"/>
    <w:rsid w:val="00C90D70"/>
    <w:rsid w:val="00C9135C"/>
    <w:rsid w:val="00C91454"/>
    <w:rsid w:val="00C91687"/>
    <w:rsid w:val="00C922C3"/>
    <w:rsid w:val="00C924A8"/>
    <w:rsid w:val="00C945FE"/>
    <w:rsid w:val="00C96FAA"/>
    <w:rsid w:val="00C97A04"/>
    <w:rsid w:val="00CA107B"/>
    <w:rsid w:val="00CA216A"/>
    <w:rsid w:val="00CA24F2"/>
    <w:rsid w:val="00CA33B9"/>
    <w:rsid w:val="00CA3E0F"/>
    <w:rsid w:val="00CA484D"/>
    <w:rsid w:val="00CA4FB6"/>
    <w:rsid w:val="00CB011D"/>
    <w:rsid w:val="00CB0B49"/>
    <w:rsid w:val="00CB2F90"/>
    <w:rsid w:val="00CB655C"/>
    <w:rsid w:val="00CB6AD4"/>
    <w:rsid w:val="00CC2D2B"/>
    <w:rsid w:val="00CC6B2B"/>
    <w:rsid w:val="00CC739E"/>
    <w:rsid w:val="00CC73E0"/>
    <w:rsid w:val="00CC7C3B"/>
    <w:rsid w:val="00CC7C7E"/>
    <w:rsid w:val="00CD0DDF"/>
    <w:rsid w:val="00CD1EBB"/>
    <w:rsid w:val="00CD28CF"/>
    <w:rsid w:val="00CD39E7"/>
    <w:rsid w:val="00CD3EE5"/>
    <w:rsid w:val="00CD42A3"/>
    <w:rsid w:val="00CD54AF"/>
    <w:rsid w:val="00CD5757"/>
    <w:rsid w:val="00CD58B7"/>
    <w:rsid w:val="00CD7967"/>
    <w:rsid w:val="00CE430B"/>
    <w:rsid w:val="00CE4779"/>
    <w:rsid w:val="00CE4896"/>
    <w:rsid w:val="00CF106E"/>
    <w:rsid w:val="00CF18EE"/>
    <w:rsid w:val="00CF30BD"/>
    <w:rsid w:val="00CF4099"/>
    <w:rsid w:val="00CF4B98"/>
    <w:rsid w:val="00D00796"/>
    <w:rsid w:val="00D119C5"/>
    <w:rsid w:val="00D14143"/>
    <w:rsid w:val="00D154A2"/>
    <w:rsid w:val="00D16486"/>
    <w:rsid w:val="00D16CA3"/>
    <w:rsid w:val="00D2277E"/>
    <w:rsid w:val="00D261A2"/>
    <w:rsid w:val="00D274A5"/>
    <w:rsid w:val="00D27C76"/>
    <w:rsid w:val="00D3038A"/>
    <w:rsid w:val="00D3234E"/>
    <w:rsid w:val="00D41B9C"/>
    <w:rsid w:val="00D45EAC"/>
    <w:rsid w:val="00D47151"/>
    <w:rsid w:val="00D475C5"/>
    <w:rsid w:val="00D47E3E"/>
    <w:rsid w:val="00D500B1"/>
    <w:rsid w:val="00D50CAE"/>
    <w:rsid w:val="00D50FA3"/>
    <w:rsid w:val="00D5361B"/>
    <w:rsid w:val="00D5579D"/>
    <w:rsid w:val="00D6004A"/>
    <w:rsid w:val="00D616D2"/>
    <w:rsid w:val="00D62108"/>
    <w:rsid w:val="00D62410"/>
    <w:rsid w:val="00D62D4A"/>
    <w:rsid w:val="00D63B5F"/>
    <w:rsid w:val="00D64104"/>
    <w:rsid w:val="00D64538"/>
    <w:rsid w:val="00D65DF6"/>
    <w:rsid w:val="00D66BE3"/>
    <w:rsid w:val="00D677CD"/>
    <w:rsid w:val="00D67D6F"/>
    <w:rsid w:val="00D70597"/>
    <w:rsid w:val="00D709CE"/>
    <w:rsid w:val="00D70EF7"/>
    <w:rsid w:val="00D720A4"/>
    <w:rsid w:val="00D7231C"/>
    <w:rsid w:val="00D74354"/>
    <w:rsid w:val="00D75635"/>
    <w:rsid w:val="00D76BCB"/>
    <w:rsid w:val="00D82FB0"/>
    <w:rsid w:val="00D8397C"/>
    <w:rsid w:val="00D8561F"/>
    <w:rsid w:val="00D856FF"/>
    <w:rsid w:val="00D85715"/>
    <w:rsid w:val="00D858F0"/>
    <w:rsid w:val="00D87067"/>
    <w:rsid w:val="00D907DF"/>
    <w:rsid w:val="00D94EED"/>
    <w:rsid w:val="00D96026"/>
    <w:rsid w:val="00D972F6"/>
    <w:rsid w:val="00DA331D"/>
    <w:rsid w:val="00DA5246"/>
    <w:rsid w:val="00DA7C1C"/>
    <w:rsid w:val="00DB147A"/>
    <w:rsid w:val="00DB1B7A"/>
    <w:rsid w:val="00DB32AA"/>
    <w:rsid w:val="00DB3563"/>
    <w:rsid w:val="00DB706E"/>
    <w:rsid w:val="00DB7D32"/>
    <w:rsid w:val="00DC0827"/>
    <w:rsid w:val="00DC0A22"/>
    <w:rsid w:val="00DC1A37"/>
    <w:rsid w:val="00DC2BF2"/>
    <w:rsid w:val="00DC2F2A"/>
    <w:rsid w:val="00DC47E0"/>
    <w:rsid w:val="00DC6708"/>
    <w:rsid w:val="00DD011A"/>
    <w:rsid w:val="00DD127E"/>
    <w:rsid w:val="00DE115A"/>
    <w:rsid w:val="00DE2400"/>
    <w:rsid w:val="00DE3F49"/>
    <w:rsid w:val="00DE58F1"/>
    <w:rsid w:val="00DE6B58"/>
    <w:rsid w:val="00DE6E82"/>
    <w:rsid w:val="00DF5E32"/>
    <w:rsid w:val="00DF60E6"/>
    <w:rsid w:val="00DF711C"/>
    <w:rsid w:val="00E01436"/>
    <w:rsid w:val="00E01D55"/>
    <w:rsid w:val="00E02C4B"/>
    <w:rsid w:val="00E03E79"/>
    <w:rsid w:val="00E045BD"/>
    <w:rsid w:val="00E04D6C"/>
    <w:rsid w:val="00E114AE"/>
    <w:rsid w:val="00E17B77"/>
    <w:rsid w:val="00E17C2B"/>
    <w:rsid w:val="00E231AB"/>
    <w:rsid w:val="00E23337"/>
    <w:rsid w:val="00E25327"/>
    <w:rsid w:val="00E259EA"/>
    <w:rsid w:val="00E25D33"/>
    <w:rsid w:val="00E260E4"/>
    <w:rsid w:val="00E30CC5"/>
    <w:rsid w:val="00E32061"/>
    <w:rsid w:val="00E33087"/>
    <w:rsid w:val="00E33917"/>
    <w:rsid w:val="00E33F48"/>
    <w:rsid w:val="00E40AC0"/>
    <w:rsid w:val="00E413AC"/>
    <w:rsid w:val="00E42FF9"/>
    <w:rsid w:val="00E44790"/>
    <w:rsid w:val="00E45C21"/>
    <w:rsid w:val="00E4714C"/>
    <w:rsid w:val="00E5178D"/>
    <w:rsid w:val="00E51AEB"/>
    <w:rsid w:val="00E522A7"/>
    <w:rsid w:val="00E5349E"/>
    <w:rsid w:val="00E54452"/>
    <w:rsid w:val="00E57630"/>
    <w:rsid w:val="00E63B0C"/>
    <w:rsid w:val="00E65377"/>
    <w:rsid w:val="00E664C5"/>
    <w:rsid w:val="00E671A2"/>
    <w:rsid w:val="00E701E7"/>
    <w:rsid w:val="00E71364"/>
    <w:rsid w:val="00E75897"/>
    <w:rsid w:val="00E75BFA"/>
    <w:rsid w:val="00E76D26"/>
    <w:rsid w:val="00E76EE5"/>
    <w:rsid w:val="00E7786E"/>
    <w:rsid w:val="00E8073F"/>
    <w:rsid w:val="00E82780"/>
    <w:rsid w:val="00E9145B"/>
    <w:rsid w:val="00E92B59"/>
    <w:rsid w:val="00E93150"/>
    <w:rsid w:val="00E95036"/>
    <w:rsid w:val="00E95B8E"/>
    <w:rsid w:val="00EA22D0"/>
    <w:rsid w:val="00EA3288"/>
    <w:rsid w:val="00EA6223"/>
    <w:rsid w:val="00EB1390"/>
    <w:rsid w:val="00EB2C71"/>
    <w:rsid w:val="00EB309B"/>
    <w:rsid w:val="00EB3333"/>
    <w:rsid w:val="00EB4340"/>
    <w:rsid w:val="00EB556D"/>
    <w:rsid w:val="00EB5A7D"/>
    <w:rsid w:val="00EC2FE9"/>
    <w:rsid w:val="00EC356A"/>
    <w:rsid w:val="00EC542E"/>
    <w:rsid w:val="00EC6481"/>
    <w:rsid w:val="00ED1761"/>
    <w:rsid w:val="00ED1BEC"/>
    <w:rsid w:val="00ED55C0"/>
    <w:rsid w:val="00ED64D0"/>
    <w:rsid w:val="00ED682B"/>
    <w:rsid w:val="00ED7ADB"/>
    <w:rsid w:val="00EE026F"/>
    <w:rsid w:val="00EE0E7D"/>
    <w:rsid w:val="00EE1C79"/>
    <w:rsid w:val="00EE41D5"/>
    <w:rsid w:val="00EE7ACF"/>
    <w:rsid w:val="00EF072C"/>
    <w:rsid w:val="00EF18AC"/>
    <w:rsid w:val="00EF2D6D"/>
    <w:rsid w:val="00EF3992"/>
    <w:rsid w:val="00EF4BA6"/>
    <w:rsid w:val="00EF5825"/>
    <w:rsid w:val="00EF7D7D"/>
    <w:rsid w:val="00F0166F"/>
    <w:rsid w:val="00F02824"/>
    <w:rsid w:val="00F037A4"/>
    <w:rsid w:val="00F04752"/>
    <w:rsid w:val="00F049AB"/>
    <w:rsid w:val="00F064B6"/>
    <w:rsid w:val="00F07B08"/>
    <w:rsid w:val="00F104FC"/>
    <w:rsid w:val="00F13869"/>
    <w:rsid w:val="00F13E6A"/>
    <w:rsid w:val="00F142DB"/>
    <w:rsid w:val="00F14C14"/>
    <w:rsid w:val="00F21751"/>
    <w:rsid w:val="00F22DA5"/>
    <w:rsid w:val="00F22FDA"/>
    <w:rsid w:val="00F255DF"/>
    <w:rsid w:val="00F27C8F"/>
    <w:rsid w:val="00F30C2A"/>
    <w:rsid w:val="00F32749"/>
    <w:rsid w:val="00F37172"/>
    <w:rsid w:val="00F373E9"/>
    <w:rsid w:val="00F37B98"/>
    <w:rsid w:val="00F43314"/>
    <w:rsid w:val="00F4477E"/>
    <w:rsid w:val="00F449B9"/>
    <w:rsid w:val="00F46269"/>
    <w:rsid w:val="00F55189"/>
    <w:rsid w:val="00F60BA8"/>
    <w:rsid w:val="00F64C46"/>
    <w:rsid w:val="00F6575F"/>
    <w:rsid w:val="00F65AA3"/>
    <w:rsid w:val="00F67D8F"/>
    <w:rsid w:val="00F72D35"/>
    <w:rsid w:val="00F802BE"/>
    <w:rsid w:val="00F80E93"/>
    <w:rsid w:val="00F81067"/>
    <w:rsid w:val="00F81235"/>
    <w:rsid w:val="00F849EE"/>
    <w:rsid w:val="00F84EE7"/>
    <w:rsid w:val="00F85D3B"/>
    <w:rsid w:val="00F86015"/>
    <w:rsid w:val="00F86024"/>
    <w:rsid w:val="00F8611A"/>
    <w:rsid w:val="00F87B19"/>
    <w:rsid w:val="00FA2274"/>
    <w:rsid w:val="00FA33C2"/>
    <w:rsid w:val="00FA5128"/>
    <w:rsid w:val="00FB20EF"/>
    <w:rsid w:val="00FB39A9"/>
    <w:rsid w:val="00FB42D4"/>
    <w:rsid w:val="00FB5906"/>
    <w:rsid w:val="00FB762F"/>
    <w:rsid w:val="00FC1275"/>
    <w:rsid w:val="00FC186E"/>
    <w:rsid w:val="00FC2AED"/>
    <w:rsid w:val="00FC46A9"/>
    <w:rsid w:val="00FC5CD0"/>
    <w:rsid w:val="00FC696C"/>
    <w:rsid w:val="00FD060A"/>
    <w:rsid w:val="00FD08AE"/>
    <w:rsid w:val="00FD15AF"/>
    <w:rsid w:val="00FD5BBD"/>
    <w:rsid w:val="00FD5EA7"/>
    <w:rsid w:val="00FD707A"/>
    <w:rsid w:val="00FE101A"/>
    <w:rsid w:val="00FE24B6"/>
    <w:rsid w:val="00FE36CF"/>
    <w:rsid w:val="00FE5570"/>
    <w:rsid w:val="00FE572F"/>
    <w:rsid w:val="00FF0246"/>
    <w:rsid w:val="00FF0C1F"/>
    <w:rsid w:val="00FF1362"/>
    <w:rsid w:val="00FF7422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9F58C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Tekst przypisu,Footnote,Podrozdział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Footnote Znak,Podrozdział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58EC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58EC"/>
    <w:rPr>
      <w:rFonts w:ascii="Fira Sans" w:hAnsi="Fira San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B0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04F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1C1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06146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0C0E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C5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26" Type="http://schemas.openxmlformats.org/officeDocument/2006/relationships/image" Target="media/image13.png"/><Relationship Id="rId39" Type="http://schemas.openxmlformats.org/officeDocument/2006/relationships/header" Target="header3.xml"/><Relationship Id="rId21" Type="http://schemas.openxmlformats.org/officeDocument/2006/relationships/footer" Target="footer2.xml"/><Relationship Id="rId34" Type="http://schemas.openxmlformats.org/officeDocument/2006/relationships/hyperlink" Target="https://stat.gov.pl/metainformacje/slownik-pojec/pojecia-stosowane-w-statystyce-publicznej/4560,pojecie.html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tat.gov.pl/obszary-tematyczne/rynek-pracy/pracujacy-bezrobotni-bierni-zawodowo-wg-bael/informacja-na-temat-przeliczonych-dla-lat-2010-2020-wynikow-badania-aktywnosci-ekonomicznej-ludnosci-bael,37,1.html" TargetMode="External"/><Relationship Id="rId20" Type="http://schemas.openxmlformats.org/officeDocument/2006/relationships/header" Target="header2.xml"/><Relationship Id="rId29" Type="http://schemas.openxmlformats.org/officeDocument/2006/relationships/hyperlink" Target="https://stat.gov.pl/obszary-tematyczne/rynek-pracy/pracujacy-bezrobotni-bierni-zawodowo-wg-bael/aktywnosc-ekonomiczna-ludnosci-polski-i-kwartal-2022-roku,4,46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s://bdl.stat.gov.pl/bdl/dane/podgrup/temat" TargetMode="External"/><Relationship Id="rId37" Type="http://schemas.openxmlformats.org/officeDocument/2006/relationships/hyperlink" Target="https://stat.gov.pl/metainformacje/slownik-pojec/pojecia-stosowane-w-statystyce-publicznej/4575,pojecie.html" TargetMode="Externa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hyperlink" Target="https://stat.gov.pl/metainformacje/slownik-pojec/pojecia-stosowane-w-statystyce-publicznej/4573,pojecie.html" TargetMode="Externa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31" Type="http://schemas.openxmlformats.org/officeDocument/2006/relationships/hyperlink" Target="https://strateg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14.png"/><Relationship Id="rId30" Type="http://schemas.openxmlformats.org/officeDocument/2006/relationships/hyperlink" Target="https://stat.gov.pl/obszary-tematyczne/rynek-pracy/pracujacy-bezrobotni-bierni-zawodowo-wg-bael/" TargetMode="External"/><Relationship Id="rId35" Type="http://schemas.openxmlformats.org/officeDocument/2006/relationships/hyperlink" Target="https://stat.gov.pl/metainformacje/slownik-pojec/pojecia-stosowane-w-statystyce-publicznej/4561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s://stat.gov.pl/obszary-tematyczne/rynek-pracy/pracujacy-bezrobotni-bierni-zawodowo-wg-bael/aktywnosc-ekonomiczna-ludnosci-polski-i-kwartal-2022-roku,4,46.html" TargetMode="External"/><Relationship Id="rId25" Type="http://schemas.openxmlformats.org/officeDocument/2006/relationships/image" Target="media/image12.png"/><Relationship Id="rId33" Type="http://schemas.openxmlformats.org/officeDocument/2006/relationships/hyperlink" Target="https://stat.gov.pl/metainformacje/slownik-pojec/pojecia-stosowane-w-statystyce-publicznej/4563,pojecie.html" TargetMode="External"/><Relationship Id="rId38" Type="http://schemas.openxmlformats.org/officeDocument/2006/relationships/hyperlink" Target="https://stat.gov.pl/metainformacje/slownik-pojec/pojecia-stosowane-w-statystyce-publicznej/4572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Pracujacy_bezrobotni_i_bierni_zawodowo-wyniki_wstepne_bael_w_2_kwartale_2022.docx</NazwaPliku>
    <Odbiorcy2 xmlns="AD3641B4-23D9-4536-AF9E-7D0EADDEB824" xsi:nil="true"/>
    <Osoba xmlns="AD3641B4-23D9-4536-AF9E-7D0EADDEB824">STAT\BialyI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50C815B-8270-4033-8BDC-89E26A053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5D871-06AB-4F50-BFFF-F9BA6BBBC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2847</Words>
  <Characters>17083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Pracujący, bezrobotni i bierni zawodowo - wyniki wstępne BAEL w II kwartale 2022 r.</dc:title>
  <dc:creator>GUS</dc:creator>
  <cp:keywords/>
  <dc:description/>
  <cp:lastModifiedBy>Putkowska Beata</cp:lastModifiedBy>
  <cp:revision>3</cp:revision>
  <cp:lastPrinted>2022-02-22T10:42:00Z</cp:lastPrinted>
  <dcterms:created xsi:type="dcterms:W3CDTF">2022-08-22T12:23:00Z</dcterms:created>
  <dcterms:modified xsi:type="dcterms:W3CDTF">2022-08-24T07:05:00Z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