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0910A" w14:textId="77777777" w:rsidR="005D03A0" w:rsidRPr="0000577E" w:rsidRDefault="005D03A0" w:rsidP="005D03A0">
      <w:pPr>
        <w:pStyle w:val="Tytuinfomacjisygnalnej"/>
      </w:pPr>
      <w:r w:rsidRPr="0000577E">
        <w:t>Wskaźniki cen towarów i usług konsumpcyjnych w </w:t>
      </w:r>
      <w:r>
        <w:t>czerwcu 2025</w:t>
      </w:r>
      <w:r w:rsidRPr="0000577E">
        <w:t xml:space="preserve"> r.</w:t>
      </w:r>
    </w:p>
    <w:p w14:paraId="7D18F8FB" w14:textId="77777777" w:rsidR="005D03A0" w:rsidRPr="00E06E25" w:rsidRDefault="005D03A0" w:rsidP="005D03A0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62C1095B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4,1% w porównaniu z czerw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77777777" w:rsidR="005D03A0" w:rsidRPr="00E13990" w:rsidRDefault="005D03A0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9E810E1" w14:textId="77777777" w:rsidR="005D03A0" w:rsidRDefault="005D03A0" w:rsidP="005D03A0">
                            <w:pPr>
                              <w:pStyle w:val="Opiswskanika"/>
                            </w:pPr>
                            <w:r>
                              <w:t xml:space="preserve">wzrost cen w porównaniu </w:t>
                            </w:r>
                          </w:p>
                          <w:p w14:paraId="76DC51D7" w14:textId="77777777" w:rsidR="005D03A0" w:rsidRPr="007D605C" w:rsidRDefault="005D03A0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czerwcem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6" alt="wzrost cen o 4,1% w porównaniu z czerwcem 2024 r." style="position:absolute;margin-left:.65pt;margin-top:10.4pt;width:173.55pt;height:89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" fillcolor="#001d77" stroked="f">
                <v:stroke joinstyle="miter"/>
                <v:textbox>
                  <w:txbxContent>
                    <w:p w14:paraId="648D4049" w14:textId="77777777" w:rsidR="005D03A0" w:rsidRPr="00E13990" w:rsidRDefault="005D03A0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9E810E1" w14:textId="77777777" w:rsidR="005D03A0" w:rsidRDefault="005D03A0" w:rsidP="005D03A0">
                      <w:pPr>
                        <w:pStyle w:val="Opiswskanika"/>
                      </w:pPr>
                      <w:r>
                        <w:t xml:space="preserve">wzrost cen w porównaniu </w:t>
                      </w:r>
                    </w:p>
                    <w:p w14:paraId="76DC51D7" w14:textId="77777777" w:rsidR="005D03A0" w:rsidRPr="007D605C" w:rsidRDefault="005D03A0" w:rsidP="005D03A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czerwcem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4081D2AC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4,1%) był taki sam jaki opublikowano w szybkim szacunku za czerwiec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C9798" w14:textId="77777777" w:rsidR="005D03A0" w:rsidRPr="00BF2F65" w:rsidRDefault="005D03A0" w:rsidP="005D03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(4,1%) był taki sam jaki opublikowano w szybkim szacunku za czerwiec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zrost cen towarów i usług konsumpcyjnych w skali roku (4,1%) był taki sam jaki opublikowano w szybkim szacunku za czerwiec br." style="position:absolute;margin-left:413.7pt;margin-top:5.65pt;width:143.4pt;height:1in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" filled="f" stroked="f">
                <v:textbox>
                  <w:txbxContent>
                    <w:p w14:paraId="7D3C9798" w14:textId="77777777" w:rsidR="005D03A0" w:rsidRPr="00BF2F65" w:rsidRDefault="005D03A0" w:rsidP="005D03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(4,1%) był taki sam jaki opublikowano w szybkim szacunku za czerwiec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color w:val="001D77"/>
        </w:rPr>
        <w:t xml:space="preserve"> </w:t>
      </w:r>
      <w:r w:rsidRPr="0000577E">
        <w:br/>
      </w:r>
      <w:r w:rsidRPr="00B52BEB">
        <w:rPr>
          <w:spacing w:val="-2"/>
        </w:rPr>
        <w:t>Ceny towarów i usług konsumpcyjnych w </w:t>
      </w:r>
      <w:r>
        <w:rPr>
          <w:spacing w:val="-2"/>
        </w:rPr>
        <w:t>czerwcu</w:t>
      </w:r>
      <w:r w:rsidRPr="00B52BEB">
        <w:rPr>
          <w:spacing w:val="-2"/>
        </w:rPr>
        <w:t xml:space="preserve"> 2025 r. wzrosły o 4,</w:t>
      </w:r>
      <w:r>
        <w:rPr>
          <w:spacing w:val="-2"/>
        </w:rPr>
        <w:t>1</w:t>
      </w:r>
      <w:r w:rsidRPr="00B52BEB">
        <w:rPr>
          <w:spacing w:val="-2"/>
        </w:rPr>
        <w:t>% w porównaniu z analogicz</w:t>
      </w:r>
      <w:r>
        <w:rPr>
          <w:spacing w:val="-2"/>
        </w:rPr>
        <w:t>-</w:t>
      </w:r>
      <w:r w:rsidRPr="00B52BEB">
        <w:rPr>
          <w:spacing w:val="-2"/>
        </w:rPr>
        <w:t xml:space="preserve">nym miesiącem ub. roku (przy wzroście cen usług </w:t>
      </w:r>
      <w:r w:rsidRPr="00E06E25">
        <w:rPr>
          <w:spacing w:val="-2"/>
        </w:rPr>
        <w:t xml:space="preserve">o 6,3% i towarów o 3,2%). </w:t>
      </w:r>
    </w:p>
    <w:p w14:paraId="4214B8E8" w14:textId="1D6278BD" w:rsidR="005D03A0" w:rsidRPr="00E06E25" w:rsidRDefault="005D03A0" w:rsidP="005D03A0">
      <w:pPr>
        <w:pStyle w:val="Lead"/>
        <w:contextualSpacing/>
      </w:pPr>
      <w:r w:rsidRPr="00E06E25">
        <w:rPr>
          <w:spacing w:val="-2"/>
        </w:rPr>
        <w:t>W stosunku do poprzedniego miesiąca ceny to-warów i us</w:t>
      </w:r>
      <w:r w:rsidR="00F93ED2">
        <w:rPr>
          <w:spacing w:val="-2"/>
        </w:rPr>
        <w:t>ług wzrosły o 0,1</w:t>
      </w:r>
      <w:r w:rsidR="00F93ED2" w:rsidRPr="00F93ED2">
        <w:rPr>
          <w:spacing w:val="-4"/>
        </w:rPr>
        <w:t xml:space="preserve">% (w tym usług </w:t>
      </w:r>
      <w:r w:rsidRPr="00F93ED2">
        <w:rPr>
          <w:spacing w:val="-4"/>
        </w:rPr>
        <w:t xml:space="preserve">o 0,8%, </w:t>
      </w:r>
      <w:r w:rsidRPr="00E06E25">
        <w:rPr>
          <w:spacing w:val="-2"/>
        </w:rPr>
        <w:t>natomianst ceny towarów spadły o 0,2%).</w:t>
      </w:r>
    </w:p>
    <w:p w14:paraId="300682B6" w14:textId="77777777" w:rsidR="005D03A0" w:rsidRPr="00B81275" w:rsidRDefault="005D03A0" w:rsidP="005D03A0">
      <w:pPr>
        <w:pStyle w:val="Lead"/>
        <w:tabs>
          <w:tab w:val="left" w:pos="960"/>
        </w:tabs>
        <w:contextualSpacing/>
      </w:pPr>
      <w:r>
        <w:tab/>
      </w: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2AA954AA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5D03A0">
        <w:t>czerwc</w:t>
      </w:r>
      <w:r w:rsidR="009F5E05">
        <w:t>u</w:t>
      </w:r>
      <w:r w:rsidR="00EA6FCC">
        <w:t xml:space="preserve"> 2025</w:t>
      </w:r>
      <w:r w:rsidRPr="0000577E">
        <w:t xml:space="preserve"> r.</w:t>
      </w:r>
    </w:p>
    <w:p w14:paraId="2D096657" w14:textId="5CA7EB00" w:rsidR="008F26B8" w:rsidRDefault="008F26B8" w:rsidP="00B81275">
      <w:pPr>
        <w:pStyle w:val="Lead"/>
        <w:spacing w:after="0"/>
        <w:contextualSpacing/>
      </w:pP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czerwcu 2025 roku, w 2 kwartale 2025 roku oraz 1 półroczu 2025 roku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5D03A0" w:rsidRPr="00681262" w14:paraId="322CF8CB" w14:textId="77777777" w:rsidTr="007C4F92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07E1D75C" w14:textId="77777777" w:rsidR="005D03A0" w:rsidRPr="006F5F5C" w:rsidRDefault="005D03A0" w:rsidP="007C4F9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6C3B2C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7E0F975F" w14:textId="77777777" w:rsidR="005D03A0" w:rsidRPr="00936773" w:rsidRDefault="005D03A0" w:rsidP="007C4F9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06 2025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372F0522" w14:textId="77777777" w:rsidR="005D03A0" w:rsidRPr="00936773" w:rsidRDefault="005D03A0" w:rsidP="007C4F9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2 kw. 2025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21E4B94D" w14:textId="77777777" w:rsidR="005D03A0" w:rsidRPr="00936773" w:rsidRDefault="005D03A0" w:rsidP="007C4F9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2025</w:t>
            </w:r>
          </w:p>
        </w:tc>
        <w:tc>
          <w:tcPr>
            <w:tcW w:w="789" w:type="dxa"/>
            <w:vMerge w:val="restart"/>
            <w:tcBorders>
              <w:top w:val="nil"/>
            </w:tcBorders>
            <w:vAlign w:val="center"/>
          </w:tcPr>
          <w:p w14:paraId="5EA5918B" w14:textId="77777777" w:rsidR="005D03A0" w:rsidRPr="00936773" w:rsidRDefault="005D03A0" w:rsidP="007C4F9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10CD61C8" w14:textId="77777777" w:rsidR="005D03A0" w:rsidRPr="00681262" w:rsidRDefault="005D03A0" w:rsidP="007C4F9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05 2025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5D03A0" w:rsidRPr="00703E94" w14:paraId="2007655D" w14:textId="77777777" w:rsidTr="007C4F92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02515400" w14:textId="77777777" w:rsidR="005D03A0" w:rsidRPr="00FD11D4" w:rsidRDefault="005D03A0" w:rsidP="007C4F92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1025B9" w14:textId="77777777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783D3A5" w14:textId="77777777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75B3C91" w14:textId="7D1923ED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05 202</w:t>
            </w:r>
            <w:r w:rsidR="000E4506"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bookmarkStart w:id="0" w:name="_GoBack"/>
            <w:bookmarkEnd w:id="0"/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22F7D37" w14:textId="77777777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 kw.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2E3683D" w14:textId="77777777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 kw. 2025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922F463" w14:textId="77777777" w:rsidR="005D03A0" w:rsidRPr="00681262" w:rsidRDefault="005D03A0" w:rsidP="007C4F9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01-06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6D0626B2" w14:textId="77777777" w:rsidR="005D03A0" w:rsidRPr="00703E94" w:rsidRDefault="005D03A0" w:rsidP="007C4F9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5D03A0" w:rsidRPr="00E35783" w14:paraId="6EA536D5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6C86D70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1B348E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BC27BE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54D7D09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8C2BA61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104,1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2174FBAC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FE7C68F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104,5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9B923F5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x</w:t>
            </w:r>
          </w:p>
        </w:tc>
      </w:tr>
      <w:tr w:rsidR="005D03A0" w:rsidRPr="00E35783" w14:paraId="66EC0626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35787F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111051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5C885D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E824AA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9D34F2C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91146A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AC900A6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2AA77D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682F50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0,04</w:t>
            </w:r>
          </w:p>
        </w:tc>
      </w:tr>
      <w:tr w:rsidR="005D03A0" w:rsidRPr="00E35783" w14:paraId="3A0DD1B3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4C3D6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111051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C9AF07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4C618F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475F67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23AB97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A8A09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50E4E5E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1307B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0,03</w:t>
            </w:r>
          </w:p>
        </w:tc>
      </w:tr>
      <w:tr w:rsidR="005D03A0" w:rsidRPr="00E35783" w14:paraId="651F5DD7" w14:textId="77777777" w:rsidTr="00F93ED2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3292E6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3A575A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5CA58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A08A15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98,3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E01A0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98,4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F1213B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94A090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98,6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E07CC4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-0,06</w:t>
            </w:r>
          </w:p>
        </w:tc>
      </w:tr>
      <w:tr w:rsidR="005D03A0" w:rsidRPr="00E35783" w14:paraId="3C8DA325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5FFDDC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Użytkowanie mieszkania 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9ACB53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110,5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76DFEE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7990D2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B5765F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8AE930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20A5A2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110,7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7F37D4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-0,02</w:t>
            </w:r>
          </w:p>
        </w:tc>
      </w:tr>
      <w:tr w:rsidR="005D03A0" w:rsidRPr="00E35783" w14:paraId="7B5527F6" w14:textId="77777777" w:rsidTr="007C4F92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B8A832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195343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9C2E05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9E593E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D2A127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37D11F0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25E393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100,0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9871DE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0,00</w:t>
            </w:r>
          </w:p>
        </w:tc>
      </w:tr>
      <w:tr w:rsidR="005D03A0" w:rsidRPr="00E35783" w14:paraId="7F5AEB49" w14:textId="77777777" w:rsidTr="00F93ED2">
        <w:trPr>
          <w:cantSplit/>
          <w:trHeight w:val="315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EB122A" w14:textId="77777777" w:rsidR="005D03A0" w:rsidRPr="00111051" w:rsidRDefault="005D03A0" w:rsidP="007C4F9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248A3C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1D7E361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23AFA4C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10B54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C3C6791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5DD52F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C825B2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0,01</w:t>
            </w:r>
          </w:p>
        </w:tc>
      </w:tr>
      <w:tr w:rsidR="005D03A0" w:rsidRPr="00E35783" w14:paraId="51FB11AB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01569D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4B20E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94,0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FA7F0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95,8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1AA8EE9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39499F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CA55D1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96,9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4B12E9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95,8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214258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-0,04</w:t>
            </w:r>
          </w:p>
        </w:tc>
      </w:tr>
      <w:tr w:rsidR="005D03A0" w:rsidRPr="00E35783" w14:paraId="45EDE82A" w14:textId="77777777" w:rsidTr="007C4F92">
        <w:trPr>
          <w:cantSplit/>
          <w:trHeight w:val="16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E1B5F3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0DE32D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D0FC28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6656F6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22D956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F8740A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885529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103,0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37E235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0,03</w:t>
            </w:r>
          </w:p>
        </w:tc>
      </w:tr>
      <w:tr w:rsidR="005D03A0" w:rsidRPr="00E35783" w14:paraId="1BEF73DF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2F07616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F1A3B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CE4D63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102,5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7B7D7E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8A4342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4317D1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F5626C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CDBD9A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0,10</w:t>
            </w:r>
          </w:p>
        </w:tc>
      </w:tr>
      <w:tr w:rsidR="005D03A0" w:rsidRPr="00E35783" w14:paraId="1FEB1748" w14:textId="77777777" w:rsidTr="007C4F92">
        <w:trPr>
          <w:cantSplit/>
          <w:trHeight w:val="2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3CEAF5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0E94A4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108,0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693709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713DD8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E5EAF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108,1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6349E7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16CCBB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108,2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B8E30D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0,00</w:t>
            </w:r>
          </w:p>
        </w:tc>
      </w:tr>
      <w:tr w:rsidR="005D03A0" w:rsidRPr="00E35783" w14:paraId="4EDEC505" w14:textId="77777777" w:rsidTr="007C4F9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8E96B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4F738E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10E595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44342F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2CB9D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59A0607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E5F2AB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106,2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9B3F79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0,03</w:t>
            </w:r>
          </w:p>
        </w:tc>
      </w:tr>
      <w:tr w:rsidR="005D03A0" w:rsidRPr="00E35783" w14:paraId="5BE9E4A2" w14:textId="77777777" w:rsidTr="007C4F92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53393645" w14:textId="77777777" w:rsidR="005D03A0" w:rsidRPr="00111051" w:rsidRDefault="005D03A0" w:rsidP="007C4F9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54E3CCA8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22F2FD5" w14:textId="77777777" w:rsidR="005D03A0" w:rsidRPr="00225B00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274AE050" w14:textId="77777777" w:rsidR="005D03A0" w:rsidRPr="00FA7C6A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E8C200B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0B65508" w14:textId="77777777" w:rsidR="005D03A0" w:rsidRPr="006F4B4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DE90AAB" w14:textId="77777777" w:rsidR="005D03A0" w:rsidRPr="005251E9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102,2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004B1825" w14:textId="77777777" w:rsidR="005D03A0" w:rsidRPr="002775AF" w:rsidRDefault="005D03A0" w:rsidP="007C4F92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-0,01</w:t>
            </w:r>
          </w:p>
        </w:tc>
      </w:tr>
    </w:tbl>
    <w:p w14:paraId="1A5F9E1E" w14:textId="77777777" w:rsidR="008F26B8" w:rsidRDefault="008F26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</w:p>
    <w:p w14:paraId="41D69118" w14:textId="6EBB169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48922826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6D73B985" w:rsidR="00F45242" w:rsidRPr="00B565C2" w:rsidRDefault="00F45242" w:rsidP="00F45242">
      <w:pPr>
        <w:pStyle w:val="Nagwek1"/>
        <w:spacing w:before="120" w:line="240" w:lineRule="exact"/>
      </w:pPr>
      <w:r w:rsidRPr="00B565C2">
        <w:rPr>
          <w:shd w:val="clear" w:color="auto" w:fill="FFFFFF"/>
        </w:rPr>
        <w:lastRenderedPageBreak/>
        <w:t>Wpływy zmian cen na wskaźnik cen towarów i usług konsumpcyjnych ogółem</w:t>
      </w:r>
    </w:p>
    <w:p w14:paraId="2EF78187" w14:textId="60ED148E" w:rsidR="005409CB" w:rsidRPr="00F21BEC" w:rsidRDefault="005409CB" w:rsidP="005409CB">
      <w:pPr>
        <w:pStyle w:val="Tekstkomentarza"/>
        <w:rPr>
          <w:spacing w:val="-2"/>
          <w:sz w:val="19"/>
          <w:szCs w:val="19"/>
        </w:rPr>
      </w:pPr>
      <w:r w:rsidRPr="00F21BEC">
        <w:rPr>
          <w:sz w:val="19"/>
          <w:szCs w:val="19"/>
        </w:rPr>
        <w:t>W czerwcu br. w porównaniu z poprzednim miesiącem największy wpływ na wskaźnik cen towarów i usług konsumpcyjnych ogółem miały wyższe ceny w zakresie</w:t>
      </w:r>
      <w:r w:rsidR="00F21BEC" w:rsidRPr="00F21BEC">
        <w:rPr>
          <w:sz w:val="19"/>
          <w:szCs w:val="19"/>
        </w:rPr>
        <w:t>:</w:t>
      </w:r>
      <w:r w:rsidRPr="00F21BEC">
        <w:rPr>
          <w:sz w:val="19"/>
          <w:szCs w:val="19"/>
        </w:rPr>
        <w:t xml:space="preserve"> rekreacji i kultury (o 1,4%),</w:t>
      </w:r>
      <w:r w:rsidRPr="00F21BEC">
        <w:rPr>
          <w:spacing w:val="-2"/>
          <w:sz w:val="19"/>
          <w:szCs w:val="19"/>
        </w:rPr>
        <w:t xml:space="preserve"> żywności (o 0,2%)</w:t>
      </w:r>
      <w:r w:rsidR="00F21BEC" w:rsidRPr="00F21BEC">
        <w:rPr>
          <w:spacing w:val="-2"/>
          <w:sz w:val="19"/>
          <w:szCs w:val="19"/>
        </w:rPr>
        <w:t xml:space="preserve">, </w:t>
      </w:r>
      <w:r w:rsidRPr="00F21BEC">
        <w:rPr>
          <w:spacing w:val="-2"/>
          <w:sz w:val="19"/>
          <w:szCs w:val="19"/>
        </w:rPr>
        <w:t>restauracji i hoteli o</w:t>
      </w:r>
      <w:r w:rsidR="00F21BEC" w:rsidRPr="00F21BEC">
        <w:rPr>
          <w:spacing w:val="-2"/>
          <w:sz w:val="19"/>
          <w:szCs w:val="19"/>
        </w:rPr>
        <w:t>raz napojów alkoholowych i wyro</w:t>
      </w:r>
      <w:r w:rsidRPr="00F21BEC">
        <w:rPr>
          <w:spacing w:val="-2"/>
          <w:sz w:val="19"/>
          <w:szCs w:val="19"/>
        </w:rPr>
        <w:t>bów tytoniowych (po 0,6%) i łączności (o 0,7%)</w:t>
      </w:r>
      <w:r w:rsidR="00F21BEC" w:rsidRPr="00F21BEC">
        <w:rPr>
          <w:spacing w:val="-2"/>
          <w:sz w:val="19"/>
          <w:szCs w:val="19"/>
        </w:rPr>
        <w:t>,</w:t>
      </w:r>
      <w:r w:rsidRPr="00F21BEC">
        <w:rPr>
          <w:spacing w:val="-2"/>
          <w:sz w:val="19"/>
          <w:szCs w:val="19"/>
        </w:rPr>
        <w:t xml:space="preserve"> które podwyższyły wskaźnik odpowiednio o: 0,10 p. proc., 0,04 p. proc. oraz po 0,03 p. proc. Niższe ceny w zakresie odzieży i obuwia (o 1,7%) oraz transpor</w:t>
      </w:r>
      <w:r w:rsidR="00F21BEC" w:rsidRPr="00F21BEC">
        <w:rPr>
          <w:spacing w:val="-2"/>
          <w:sz w:val="19"/>
          <w:szCs w:val="19"/>
        </w:rPr>
        <w:t>tu (o 0,4%)</w:t>
      </w:r>
      <w:r w:rsidRPr="00F21BEC">
        <w:rPr>
          <w:spacing w:val="-2"/>
          <w:sz w:val="19"/>
          <w:szCs w:val="19"/>
        </w:rPr>
        <w:t xml:space="preserve"> obniżyły wskaźnik odpowiednio o 0,06 p. proc i 0,04 p. proc.</w:t>
      </w:r>
    </w:p>
    <w:p w14:paraId="21A56CC4" w14:textId="62A7380B" w:rsidR="00F45242" w:rsidRPr="001A60F7" w:rsidRDefault="005409CB" w:rsidP="005409CB">
      <w:pPr>
        <w:pStyle w:val="Tekstkomentarza"/>
        <w:rPr>
          <w:sz w:val="19"/>
          <w:szCs w:val="19"/>
        </w:rPr>
      </w:pPr>
      <w:r w:rsidRPr="001A60F7">
        <w:rPr>
          <w:sz w:val="19"/>
          <w:szCs w:val="19"/>
        </w:rPr>
        <w:t>W porównaniu z analogicznym miesiącem poprzedniego</w:t>
      </w:r>
      <w:r w:rsidR="00F21BEC" w:rsidRPr="001A60F7">
        <w:rPr>
          <w:sz w:val="19"/>
          <w:szCs w:val="19"/>
        </w:rPr>
        <w:t xml:space="preserve"> roku wyższe ceny m.in. w zakre</w:t>
      </w:r>
      <w:r w:rsidRPr="001A60F7">
        <w:rPr>
          <w:sz w:val="19"/>
          <w:szCs w:val="19"/>
        </w:rPr>
        <w:t>sie: mieszkania (o 8,2%), żywności (o 4,8%), napojów</w:t>
      </w:r>
      <w:r w:rsidR="00F21BEC" w:rsidRPr="001A60F7">
        <w:rPr>
          <w:sz w:val="19"/>
          <w:szCs w:val="19"/>
        </w:rPr>
        <w:t xml:space="preserve"> alkoholowych i wyrobów tytonio</w:t>
      </w:r>
      <w:r w:rsidRPr="001A60F7">
        <w:rPr>
          <w:sz w:val="19"/>
          <w:szCs w:val="19"/>
        </w:rPr>
        <w:t>wych</w:t>
      </w:r>
      <w:r w:rsidR="001A60F7">
        <w:rPr>
          <w:sz w:val="19"/>
          <w:szCs w:val="19"/>
        </w:rPr>
        <w:t xml:space="preserve"> (o </w:t>
      </w:r>
      <w:r w:rsidRPr="001A60F7">
        <w:rPr>
          <w:sz w:val="19"/>
          <w:szCs w:val="19"/>
        </w:rPr>
        <w:t>6,7%), restauracji i hoteli (o 6,0%), zdrowia (o 4,6%) oraz rekreacji i kultury (o 3,3%) wpłynęły na wzro</w:t>
      </w:r>
      <w:r w:rsidR="001A60F7" w:rsidRPr="001A60F7">
        <w:rPr>
          <w:sz w:val="19"/>
          <w:szCs w:val="19"/>
        </w:rPr>
        <w:t>st wskaźnika ogółem odpowiednio</w:t>
      </w:r>
      <w:r w:rsidRPr="001A60F7">
        <w:rPr>
          <w:sz w:val="19"/>
          <w:szCs w:val="19"/>
        </w:rPr>
        <w:t xml:space="preserve"> o</w:t>
      </w:r>
      <w:r w:rsidR="001A60F7" w:rsidRPr="001A60F7">
        <w:rPr>
          <w:sz w:val="19"/>
          <w:szCs w:val="19"/>
        </w:rPr>
        <w:t>:</w:t>
      </w:r>
      <w:r w:rsidRPr="001A60F7">
        <w:rPr>
          <w:sz w:val="19"/>
          <w:szCs w:val="19"/>
        </w:rPr>
        <w:t xml:space="preserve"> 1,97 p. proc., 1,15 p. proc., 0,35 p. proc., 0,34 p. proc., 0,27 p. proc i 0,23 p. proc. Niższe ceny w zakresie transportu (o 6,0%) oraz odzieży i obuwia (o 1,5%) obniżyły wskaźnik odpowiednio o 0,67 p. proc. i 0,06 p. proc.</w:t>
      </w:r>
    </w:p>
    <w:p w14:paraId="3460A7A6" w14:textId="4D95C1CC" w:rsidR="0086155F" w:rsidRPr="00BE5289" w:rsidRDefault="00960F73" w:rsidP="00B276C1">
      <w:pPr>
        <w:pStyle w:val="tytuwykresu"/>
        <w:spacing w:before="360"/>
        <w:ind w:left="794" w:hanging="794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40512" behindDoc="0" locked="0" layoutInCell="1" allowOverlap="1" wp14:anchorId="136BF847" wp14:editId="1E2C85B5">
            <wp:simplePos x="0" y="0"/>
            <wp:positionH relativeFrom="column">
              <wp:posOffset>2718</wp:posOffset>
            </wp:positionH>
            <wp:positionV relativeFrom="paragraph">
              <wp:posOffset>588010</wp:posOffset>
            </wp:positionV>
            <wp:extent cx="5035550" cy="2158365"/>
            <wp:effectExtent l="0" t="0" r="0" b="0"/>
            <wp:wrapSquare wrapText="bothSides"/>
            <wp:docPr id="8" name="Obraz 8" descr="Wykres 1. Wpływ zmian cen wybranych grup towarów i usług konsumpcyjnych w czerwc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276C1">
        <w:rPr>
          <w:spacing w:val="-4"/>
          <w:sz w:val="19"/>
          <w:szCs w:val="19"/>
        </w:rPr>
        <w:t>Wykres 1.</w:t>
      </w:r>
      <w:r w:rsidR="00F45242" w:rsidRPr="00B276C1">
        <w:rPr>
          <w:spacing w:val="-4"/>
          <w:sz w:val="19"/>
          <w:szCs w:val="19"/>
          <w:shd w:val="clear" w:color="auto" w:fill="FFFFFF"/>
        </w:rPr>
        <w:t xml:space="preserve"> Wpływ zmian cen wybranych grup towarów i u</w:t>
      </w:r>
      <w:r w:rsidR="000F493B" w:rsidRPr="00B276C1">
        <w:rPr>
          <w:spacing w:val="-4"/>
          <w:sz w:val="19"/>
          <w:szCs w:val="19"/>
          <w:shd w:val="clear" w:color="auto" w:fill="FFFFFF"/>
        </w:rPr>
        <w:t xml:space="preserve">sług konsumpcyjnych w </w:t>
      </w:r>
      <w:r w:rsidR="005409CB" w:rsidRPr="00B276C1">
        <w:rPr>
          <w:spacing w:val="-4"/>
          <w:sz w:val="19"/>
          <w:szCs w:val="19"/>
          <w:shd w:val="clear" w:color="auto" w:fill="FFFFFF"/>
        </w:rPr>
        <w:t>czerwc</w:t>
      </w:r>
      <w:r w:rsidR="005B6A85" w:rsidRPr="00B276C1">
        <w:rPr>
          <w:spacing w:val="-4"/>
          <w:sz w:val="19"/>
          <w:szCs w:val="19"/>
          <w:shd w:val="clear" w:color="auto" w:fill="FFFFFF"/>
        </w:rPr>
        <w:t>u</w:t>
      </w:r>
      <w:r w:rsidR="005B087E" w:rsidRPr="00B276C1">
        <w:rPr>
          <w:spacing w:val="-4"/>
          <w:sz w:val="19"/>
          <w:szCs w:val="19"/>
          <w:shd w:val="clear" w:color="auto" w:fill="FFFFFF"/>
        </w:rPr>
        <w:t xml:space="preserve"> 2025</w:t>
      </w:r>
      <w:r w:rsidR="0016138C" w:rsidRPr="00B276C1">
        <w:rPr>
          <w:spacing w:val="-4"/>
          <w:sz w:val="19"/>
          <w:szCs w:val="19"/>
          <w:shd w:val="clear" w:color="auto" w:fill="FFFFFF"/>
        </w:rPr>
        <w:t> </w:t>
      </w:r>
      <w:r w:rsidR="00F45242" w:rsidRPr="00B276C1">
        <w:rPr>
          <w:spacing w:val="-4"/>
          <w:sz w:val="19"/>
          <w:szCs w:val="19"/>
          <w:shd w:val="clear" w:color="auto" w:fill="FFFFFF"/>
        </w:rPr>
        <w:t>r.</w:t>
      </w:r>
      <w:r w:rsidR="004F6C63" w:rsidRPr="00B276C1">
        <w:rPr>
          <w:spacing w:val="-4"/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01BD1330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40F601B3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46264CBC" w:rsidR="00F45242" w:rsidRPr="0000577E" w:rsidRDefault="002F6275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50EBF90E">
            <wp:simplePos x="0" y="0"/>
            <wp:positionH relativeFrom="margin">
              <wp:posOffset>-63187</wp:posOffset>
            </wp:positionH>
            <wp:positionV relativeFrom="paragraph">
              <wp:posOffset>254520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5125A2EB" w:rsidR="00B6109A" w:rsidRPr="008D49E4" w:rsidRDefault="00960F73" w:rsidP="004E4D51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41536" behindDoc="0" locked="0" layoutInCell="1" allowOverlap="1" wp14:anchorId="6610B89B" wp14:editId="2D122488">
            <wp:simplePos x="0" y="0"/>
            <wp:positionH relativeFrom="column">
              <wp:posOffset>-11430</wp:posOffset>
            </wp:positionH>
            <wp:positionV relativeFrom="paragraph">
              <wp:posOffset>335915</wp:posOffset>
            </wp:positionV>
            <wp:extent cx="5041900" cy="2463165"/>
            <wp:effectExtent l="0" t="0" r="0" b="0"/>
            <wp:wrapSquare wrapText="bothSides"/>
            <wp:docPr id="10" name="Obraz 10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0879CD86" w:rsidR="00B6109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43CE36AA" w:rsidR="005829A0" w:rsidRPr="00E97ADF" w:rsidRDefault="00960F73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42560" behindDoc="0" locked="0" layoutInCell="1" allowOverlap="1" wp14:anchorId="317930D3" wp14:editId="4E4ECFFF">
            <wp:simplePos x="0" y="0"/>
            <wp:positionH relativeFrom="column">
              <wp:posOffset>-48006</wp:posOffset>
            </wp:positionH>
            <wp:positionV relativeFrom="paragraph">
              <wp:posOffset>316865</wp:posOffset>
            </wp:positionV>
            <wp:extent cx="5041900" cy="2682240"/>
            <wp:effectExtent l="0" t="0" r="0" b="381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638607B6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Od lipca 2024 r. wskaźnik cen towarów i usług kształtuje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CAA7EE4" w:rsidR="007915C4" w:rsidRPr="00BF2F65" w:rsidRDefault="000A10B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lipca 2024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uje się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powyżej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górnej granicy odchy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eń od celu inflacyjnego okre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8" type="#_x0000_t202" alt="Od lipca 2024 r. wskaźnik cen towarów i usług kształtuje się powyżej górnej granicy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" filled="f" stroked="f">
                <v:textbox>
                  <w:txbxContent>
                    <w:p w14:paraId="1E16F82F" w14:textId="1CAA7EE4" w:rsidR="007915C4" w:rsidRPr="00BF2F65" w:rsidRDefault="000A10B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lipca 2024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uje się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powyżej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górnej granicy odchy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eń od celu inflacyjnego okre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752FDD7B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64465CA8" w14:textId="314925F9" w:rsidR="005829A0" w:rsidRPr="00B6109A" w:rsidRDefault="00960F73" w:rsidP="004E4D51">
      <w:pPr>
        <w:spacing w:before="0" w:after="0"/>
        <w:ind w:left="839" w:hanging="839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43584" behindDoc="0" locked="0" layoutInCell="1" allowOverlap="1" wp14:anchorId="086A3CED" wp14:editId="05F135C4">
            <wp:simplePos x="0" y="0"/>
            <wp:positionH relativeFrom="column">
              <wp:posOffset>3175</wp:posOffset>
            </wp:positionH>
            <wp:positionV relativeFrom="paragraph">
              <wp:posOffset>459207</wp:posOffset>
            </wp:positionV>
            <wp:extent cx="5041900" cy="239014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097B6952" w14:textId="04C5BF50" w:rsidR="00305451" w:rsidRPr="0000577E" w:rsidRDefault="00305451" w:rsidP="009E3725">
      <w:pPr>
        <w:spacing w:before="24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112A3E8D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0E4506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0E4506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CDDFE33-30D7-4031-8B19-D57EC3F37AF5}"/>
    <w:embedBold r:id="rId2" w:fontKey="{2F8131C2-2869-4E17-B51E-2808CF7D35A9}"/>
    <w:embedItalic r:id="rId3" w:fontKey="{B5BB3771-3624-4BF8-BAE6-8770AB99726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A2DD415-1E47-4C01-828A-868AC937B8E9}"/>
    <w:embedBold r:id="rId5" w:fontKey="{F8801BE0-02DA-4553-A405-26B0419987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5A572A4-0698-4026-9400-122DE3167D5B}"/>
    <w:embedBold r:id="rId7" w:fontKey="{83549C74-E497-4557-82E9-A71A27BDE7C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9CF6358-DEFB-4DCE-BEE1-31EB63A3AC5D}"/>
    <w:embedItalic r:id="rId9" w:fontKey="{1850A19D-5D11-40A0-8334-5FC20937D4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B0C66C7-FDFD-443C-9205-79EC0D6E4A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3F5D718-0698-4FA3-9E25-8E00B8DDC9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151819E-1FF6-4DD3-B428-044B23D4A6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F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F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F7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1956" w14:textId="7ACEBF3D" w:rsidR="007915C4" w:rsidRDefault="007915C4" w:rsidP="00FF5CCD">
    <w:pPr>
      <w:pStyle w:val="Nagwek"/>
      <w:tabs>
        <w:tab w:val="clear" w:pos="4536"/>
        <w:tab w:val="clear" w:pos="9072"/>
        <w:tab w:val="left" w:pos="455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5A8547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  <w:r w:rsidR="00FF5CCD">
      <w:tab/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848BB3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20" name="Obraz 2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AE632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pc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09E8769C" w:rsidR="007915C4" w:rsidRPr="00624363" w:rsidRDefault="005758C4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5D03A0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D03A0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7915C4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  <w:r w:rsidR="007915C4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lipc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1w/9mi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6011EEFB" w14:textId="09E8769C" w:rsidR="007915C4" w:rsidRPr="00624363" w:rsidRDefault="005758C4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5D03A0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D03A0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7915C4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  <w:r w:rsidR="007915C4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4506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457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0F73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762B4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153D"/>
    <w:rsid w:val="00AF2F5C"/>
    <w:rsid w:val="00AF7709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21983"/>
    <w:rsid w:val="00F21BEC"/>
    <w:rsid w:val="00F22912"/>
    <w:rsid w:val="00F27C8F"/>
    <w:rsid w:val="00F32749"/>
    <w:rsid w:val="00F3415D"/>
    <w:rsid w:val="00F37172"/>
    <w:rsid w:val="00F4477E"/>
    <w:rsid w:val="00F45242"/>
    <w:rsid w:val="00F46269"/>
    <w:rsid w:val="00F46CE5"/>
    <w:rsid w:val="00F541A0"/>
    <w:rsid w:val="00F56247"/>
    <w:rsid w:val="00F60BA8"/>
    <w:rsid w:val="00F67D8F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infopath/2007/PartnerControls"/>
    <ds:schemaRef ds:uri="8C029B3F-2CC4-4A59-AF0D-A90575FA3373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0665B83-4FA2-4AA8-BD17-AE676AED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4</Pages>
  <Words>888</Words>
  <Characters>5334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CPI_05_2025</vt:lpstr>
    </vt:vector>
  </TitlesOfParts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2025-06-12T09:56:00Z</cp:lastPrinted>
  <dcterms:created xsi:type="dcterms:W3CDTF">2025-05-13T06:54:00Z</dcterms:created>
  <dcterms:modified xsi:type="dcterms:W3CDTF">2025-07-16T07:54:00Z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