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4B7D" w14:textId="1043E81E" w:rsidR="00F87C2A" w:rsidRPr="00F87C2A" w:rsidRDefault="00F87C2A" w:rsidP="00A111A0">
      <w:pPr>
        <w:suppressAutoHyphens/>
        <w:spacing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</w:pP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Wyniki finansowe przedsiębiorstw niefinansowych 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br/>
      </w:r>
      <w:r w:rsidR="00BF2EA0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w 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202</w:t>
      </w:r>
      <w:r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5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 r</w:t>
      </w:r>
      <w:r w:rsidR="00A14E8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.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ab/>
      </w:r>
    </w:p>
    <w:p w14:paraId="1860AB6A" w14:textId="7243F801" w:rsidR="007B0414" w:rsidRPr="00C46FD4" w:rsidRDefault="00731D27" w:rsidP="0017369E">
      <w:pPr>
        <w:pStyle w:val="Lead"/>
        <w:rPr>
          <w:rFonts w:eastAsia="Times New Roman" w:cs="Times New Roman"/>
          <w:bCs/>
          <w:noProof w:val="0"/>
        </w:rPr>
      </w:pPr>
      <w:r w:rsidRPr="003E3E08">
        <w:rPr>
          <w:color w:val="FF000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FF810F6" wp14:editId="63C5923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28520" cy="1001395"/>
                <wp:effectExtent l="0" t="0" r="5080" b="8255"/>
                <wp:wrapSquare wrapText="bothSides"/>
                <wp:docPr id="6" name="Pole tekstowe 2" descr="2,9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001864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BFA5A" w14:textId="1D3275DE" w:rsidR="005C0CAC" w:rsidRPr="00431E60" w:rsidRDefault="00060C89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B0228D">
                              <w:rPr>
                                <w:rStyle w:val="IkonawskanikaZnak"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="00992D1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AC6DA9" w:rsidRP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6008B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</w:t>
                            </w:r>
                            <w:r w:rsidR="009C58FF" w:rsidRP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4BF04921" w14:textId="280FE837" w:rsidR="005C0CAC" w:rsidRPr="00431E60" w:rsidRDefault="00431E60" w:rsidP="007B551D">
                            <w:pPr>
                              <w:pStyle w:val="Opiswskanika"/>
                              <w:spacing w:before="120"/>
                            </w:pPr>
                            <w:r w:rsidRPr="00431E60">
                              <w:t xml:space="preserve">Wzrost </w:t>
                            </w:r>
                            <w:r w:rsidR="00992D12">
                              <w:t xml:space="preserve">przychodów ogółem </w:t>
                            </w:r>
                            <w:r w:rsidR="009C58FF" w:rsidRPr="00431E60"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810F6" id="Pole tekstowe 2" o:spid="_x0000_s1026" alt="2,9% &#10;Wzrost przychodów ogółem (rok do roku)" style="position:absolute;margin-left:0;margin-top:.6pt;width:167.6pt;height:78.8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" fillcolor="#001d77" stroked="f">
                <v:stroke joinstyle="miter"/>
                <v:textbox>
                  <w:txbxContent>
                    <w:p w14:paraId="64EBFA5A" w14:textId="1D3275DE" w:rsidR="005C0CAC" w:rsidRPr="00431E60" w:rsidRDefault="00060C89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B0228D">
                        <w:rPr>
                          <w:rStyle w:val="IkonawskanikaZnak"/>
                          <w:color w:val="FFFFFF" w:themeColor="background1"/>
                          <w:sz w:val="76"/>
                          <w:szCs w:val="76"/>
                        </w:rPr>
                        <w:t xml:space="preserve"> </w:t>
                      </w:r>
                      <w:r w:rsidR="00992D12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AC6DA9" w:rsidRPr="00431E60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6008BB">
                        <w:rPr>
                          <w:rStyle w:val="WartowskanikaZnak"/>
                          <w:sz w:val="72"/>
                          <w:szCs w:val="72"/>
                        </w:rPr>
                        <w:t>9</w:t>
                      </w:r>
                      <w:r w:rsidR="009C58FF" w:rsidRPr="00431E60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4BF04921" w14:textId="280FE837" w:rsidR="005C0CAC" w:rsidRPr="00431E60" w:rsidRDefault="00431E60" w:rsidP="007B551D">
                      <w:pPr>
                        <w:pStyle w:val="Opiswskanika"/>
                        <w:spacing w:before="120"/>
                      </w:pPr>
                      <w:r w:rsidRPr="00431E60">
                        <w:t xml:space="preserve">Wzrost </w:t>
                      </w:r>
                      <w:r w:rsidR="00992D12">
                        <w:t xml:space="preserve">przychodów ogółem </w:t>
                      </w:r>
                      <w:r w:rsidR="009C58FF" w:rsidRPr="00431E60">
                        <w:t>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E5C25" w:rsidRPr="003E3E08">
        <w:rPr>
          <w:rFonts w:eastAsia="Times New Roman" w:cs="Times New Roman"/>
          <w:bCs/>
          <w:noProof w:val="0"/>
        </w:rPr>
        <w:t xml:space="preserve">W 2025 r. wynik finansowy </w:t>
      </w:r>
      <w:r w:rsidR="00C42CCC" w:rsidRPr="003E3E08">
        <w:rPr>
          <w:rFonts w:eastAsia="Times New Roman" w:cs="Times New Roman"/>
          <w:bCs/>
          <w:noProof w:val="0"/>
        </w:rPr>
        <w:t>brutto</w:t>
      </w:r>
      <w:r w:rsidR="00EE5C25" w:rsidRPr="003E3E08">
        <w:rPr>
          <w:rFonts w:eastAsia="Times New Roman" w:cs="Times New Roman"/>
          <w:bCs/>
          <w:noProof w:val="0"/>
        </w:rPr>
        <w:t xml:space="preserve"> badanych przedsiębiorstw niefinansowych był wyższy </w:t>
      </w:r>
      <w:r w:rsidR="00EE5C25" w:rsidRPr="00CF6E8B">
        <w:rPr>
          <w:rFonts w:eastAsia="Times New Roman" w:cs="Times New Roman"/>
          <w:bCs/>
          <w:noProof w:val="0"/>
        </w:rPr>
        <w:t xml:space="preserve">o </w:t>
      </w:r>
      <w:r w:rsidR="004E4BA1" w:rsidRPr="00CF6E8B">
        <w:rPr>
          <w:rFonts w:eastAsia="Times New Roman" w:cs="Times New Roman"/>
          <w:bCs/>
          <w:noProof w:val="0"/>
        </w:rPr>
        <w:t>12</w:t>
      </w:r>
      <w:r w:rsidR="00EE5C25" w:rsidRPr="00CF6E8B">
        <w:rPr>
          <w:rFonts w:eastAsia="Times New Roman" w:cs="Times New Roman"/>
          <w:bCs/>
          <w:noProof w:val="0"/>
        </w:rPr>
        <w:t>,</w:t>
      </w:r>
      <w:r w:rsidR="004E4BA1" w:rsidRPr="00CF6E8B">
        <w:rPr>
          <w:rFonts w:eastAsia="Times New Roman" w:cs="Times New Roman"/>
          <w:bCs/>
          <w:noProof w:val="0"/>
        </w:rPr>
        <w:t>4</w:t>
      </w:r>
      <w:r w:rsidR="00EE5C25" w:rsidRPr="003E3E08">
        <w:rPr>
          <w:rFonts w:eastAsia="Times New Roman" w:cs="Times New Roman"/>
          <w:bCs/>
          <w:noProof w:val="0"/>
        </w:rPr>
        <w:t xml:space="preserve">% od uzyskanego rok wcześniej. </w:t>
      </w:r>
      <w:r w:rsidR="00E65E03" w:rsidRPr="003E3E08">
        <w:rPr>
          <w:rFonts w:eastAsia="Times New Roman" w:cs="Times New Roman"/>
          <w:bCs/>
          <w:noProof w:val="0"/>
        </w:rPr>
        <w:t>P</w:t>
      </w:r>
      <w:r w:rsidR="00EE5C25" w:rsidRPr="003E3E08">
        <w:rPr>
          <w:rFonts w:eastAsia="Times New Roman" w:cs="Times New Roman"/>
          <w:bCs/>
          <w:noProof w:val="0"/>
        </w:rPr>
        <w:t>oprawie uległy wskaźniki ekonomiczno-finansowe.</w:t>
      </w:r>
      <w:r w:rsidR="00CA171E" w:rsidRPr="00C46FD4">
        <w:rPr>
          <w:rFonts w:eastAsia="Times New Roman" w:cs="Times New Roman"/>
          <w:bCs/>
          <w:noProof w:val="0"/>
        </w:rPr>
        <w:t xml:space="preserve"> </w:t>
      </w:r>
      <w:r w:rsidR="0084617F" w:rsidRPr="00B448F2">
        <w:rPr>
          <w:rFonts w:eastAsia="Times New Roman" w:cs="Times New Roman"/>
          <w:bCs/>
          <w:noProof w:val="0"/>
        </w:rPr>
        <w:t xml:space="preserve">Nakłady inwestycyjne były </w:t>
      </w:r>
      <w:r w:rsidR="00B448F2" w:rsidRPr="004D1B60">
        <w:rPr>
          <w:color w:val="000000" w:themeColor="text1"/>
        </w:rPr>
        <w:t>o 3,2% wyższe niż przed rokiem (kiedy notowano spadek o 7,8%)</w:t>
      </w:r>
      <w:r w:rsidR="00B448F2">
        <w:rPr>
          <w:color w:val="000000" w:themeColor="text1"/>
        </w:rPr>
        <w:t>.</w:t>
      </w:r>
    </w:p>
    <w:p w14:paraId="3A2A57E4" w14:textId="77777777" w:rsidR="007F6FF8" w:rsidRDefault="007F6FF8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F9CD367" w14:textId="37F91568" w:rsidR="00EE5C25" w:rsidRPr="007F6FF8" w:rsidRDefault="00EE5C25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E3E08">
        <w:rPr>
          <w:rFonts w:eastAsia="Times New Roman" w:cs="Times New Roman"/>
          <w:szCs w:val="19"/>
          <w:lang w:eastAsia="pl-PL"/>
        </w:rPr>
        <w:t xml:space="preserve">Przychody ogółem </w:t>
      </w:r>
      <w:r w:rsidRPr="007F6FF8">
        <w:rPr>
          <w:rFonts w:eastAsia="Times New Roman" w:cs="Times New Roman"/>
          <w:szCs w:val="19"/>
          <w:lang w:eastAsia="pl-PL"/>
        </w:rPr>
        <w:t xml:space="preserve">były </w:t>
      </w:r>
      <w:r w:rsidR="005614E8" w:rsidRPr="007F6FF8">
        <w:rPr>
          <w:rFonts w:eastAsia="Times New Roman" w:cs="Times New Roman"/>
          <w:szCs w:val="19"/>
          <w:lang w:eastAsia="pl-PL"/>
        </w:rPr>
        <w:t xml:space="preserve">wyższe </w:t>
      </w:r>
      <w:r w:rsidR="00481A89" w:rsidRPr="007F6FF8">
        <w:rPr>
          <w:rFonts w:eastAsia="Times New Roman" w:cs="Times New Roman"/>
          <w:szCs w:val="19"/>
          <w:lang w:eastAsia="pl-PL"/>
        </w:rPr>
        <w:t>(o 2,</w:t>
      </w:r>
      <w:r w:rsidR="006008BB" w:rsidRPr="007F6FF8">
        <w:rPr>
          <w:rFonts w:eastAsia="Times New Roman" w:cs="Times New Roman"/>
          <w:szCs w:val="19"/>
          <w:lang w:eastAsia="pl-PL"/>
        </w:rPr>
        <w:t>9</w:t>
      </w:r>
      <w:r w:rsidR="00481A89" w:rsidRPr="007F6FF8">
        <w:rPr>
          <w:rFonts w:eastAsia="Times New Roman" w:cs="Times New Roman"/>
          <w:szCs w:val="19"/>
          <w:lang w:eastAsia="pl-PL"/>
        </w:rPr>
        <w:t xml:space="preserve">%) </w:t>
      </w:r>
      <w:r w:rsidR="005614E8" w:rsidRPr="007F6FF8">
        <w:rPr>
          <w:rFonts w:eastAsia="Times New Roman" w:cs="Times New Roman"/>
          <w:szCs w:val="19"/>
          <w:lang w:eastAsia="pl-PL"/>
        </w:rPr>
        <w:t>od</w:t>
      </w:r>
      <w:r w:rsidRPr="007F6FF8">
        <w:rPr>
          <w:rFonts w:eastAsia="Times New Roman" w:cs="Times New Roman"/>
          <w:szCs w:val="19"/>
          <w:lang w:eastAsia="pl-PL"/>
        </w:rPr>
        <w:t xml:space="preserve"> wartości przychodów osiągniętych rok wcześniej</w:t>
      </w:r>
      <w:r w:rsidR="009A3E45" w:rsidRPr="007F6FF8">
        <w:rPr>
          <w:rFonts w:eastAsia="Times New Roman" w:cs="Times New Roman"/>
          <w:szCs w:val="19"/>
          <w:lang w:eastAsia="pl-PL"/>
        </w:rPr>
        <w:t xml:space="preserve"> </w:t>
      </w:r>
      <w:r w:rsidRPr="007F6FF8">
        <w:rPr>
          <w:rFonts w:eastAsia="Times New Roman" w:cs="Times New Roman"/>
          <w:szCs w:val="19"/>
          <w:lang w:eastAsia="pl-PL"/>
        </w:rPr>
        <w:t>(</w:t>
      </w:r>
      <w:r w:rsidR="006008BB" w:rsidRPr="007F6FF8">
        <w:rPr>
          <w:rFonts w:eastAsia="Times New Roman" w:cs="Times New Roman"/>
          <w:szCs w:val="19"/>
          <w:lang w:eastAsia="pl-PL"/>
        </w:rPr>
        <w:t>5</w:t>
      </w:r>
      <w:r w:rsidR="00294686" w:rsidRPr="007F6FF8">
        <w:rPr>
          <w:rFonts w:eastAsia="Times New Roman" w:cs="Times New Roman"/>
          <w:szCs w:val="19"/>
          <w:lang w:eastAsia="pl-PL"/>
        </w:rPr>
        <w:t xml:space="preserve"> </w:t>
      </w:r>
      <w:r w:rsidR="006008BB" w:rsidRPr="007F6FF8">
        <w:rPr>
          <w:rFonts w:eastAsia="Times New Roman" w:cs="Times New Roman"/>
          <w:szCs w:val="19"/>
          <w:lang w:eastAsia="pl-PL"/>
        </w:rPr>
        <w:t>279</w:t>
      </w:r>
      <w:r w:rsidR="00294686" w:rsidRPr="007F6FF8">
        <w:rPr>
          <w:rFonts w:eastAsia="Times New Roman" w:cs="Times New Roman"/>
          <w:szCs w:val="19"/>
          <w:lang w:eastAsia="pl-PL"/>
        </w:rPr>
        <w:t>,</w:t>
      </w:r>
      <w:r w:rsidR="00131102">
        <w:rPr>
          <w:rFonts w:eastAsia="Times New Roman" w:cs="Times New Roman"/>
          <w:szCs w:val="19"/>
          <w:lang w:eastAsia="pl-PL"/>
        </w:rPr>
        <w:t>8</w:t>
      </w:r>
      <w:r w:rsidR="00294686" w:rsidRPr="007F6FF8">
        <w:rPr>
          <w:rFonts w:eastAsia="Times New Roman" w:cs="Times New Roman"/>
          <w:szCs w:val="19"/>
          <w:lang w:eastAsia="pl-PL"/>
        </w:rPr>
        <w:t xml:space="preserve"> </w:t>
      </w:r>
      <w:r w:rsidRPr="007F6FF8">
        <w:rPr>
          <w:rFonts w:eastAsia="Times New Roman" w:cs="Times New Roman"/>
          <w:szCs w:val="19"/>
          <w:lang w:eastAsia="pl-PL"/>
        </w:rPr>
        <w:t>ml</w:t>
      </w:r>
      <w:r w:rsidR="00355360" w:rsidRPr="007F6FF8">
        <w:rPr>
          <w:rFonts w:eastAsia="Times New Roman" w:cs="Times New Roman"/>
          <w:szCs w:val="19"/>
          <w:lang w:eastAsia="pl-PL"/>
        </w:rPr>
        <w:t>d</w:t>
      </w:r>
      <w:r w:rsidRPr="007F6FF8">
        <w:rPr>
          <w:rFonts w:eastAsia="Times New Roman" w:cs="Times New Roman"/>
          <w:szCs w:val="19"/>
          <w:lang w:eastAsia="pl-PL"/>
        </w:rPr>
        <w:t xml:space="preserve"> zł w 202</w:t>
      </w:r>
      <w:r w:rsidR="00AE2C37" w:rsidRPr="007F6FF8">
        <w:rPr>
          <w:rFonts w:eastAsia="Times New Roman" w:cs="Times New Roman"/>
          <w:szCs w:val="19"/>
          <w:lang w:eastAsia="pl-PL"/>
        </w:rPr>
        <w:t>5</w:t>
      </w:r>
      <w:r w:rsidRPr="007F6FF8">
        <w:rPr>
          <w:rFonts w:eastAsia="Times New Roman" w:cs="Times New Roman"/>
          <w:szCs w:val="19"/>
          <w:lang w:eastAsia="pl-PL"/>
        </w:rPr>
        <w:t xml:space="preserve"> r., </w:t>
      </w:r>
      <w:r w:rsidR="00302CFA" w:rsidRPr="007F6FF8">
        <w:rPr>
          <w:rFonts w:eastAsia="Times New Roman" w:cs="Times New Roman"/>
          <w:szCs w:val="19"/>
          <w:lang w:eastAsia="pl-PL"/>
        </w:rPr>
        <w:t>5</w:t>
      </w:r>
      <w:r w:rsidR="00355360" w:rsidRPr="007F6FF8">
        <w:rPr>
          <w:rFonts w:eastAsia="Times New Roman" w:cs="Times New Roman"/>
          <w:szCs w:val="19"/>
          <w:lang w:eastAsia="pl-PL"/>
        </w:rPr>
        <w:t> </w:t>
      </w:r>
      <w:r w:rsidR="00302CFA" w:rsidRPr="007F6FF8">
        <w:rPr>
          <w:rFonts w:eastAsia="Times New Roman" w:cs="Times New Roman"/>
          <w:szCs w:val="19"/>
          <w:lang w:eastAsia="pl-PL"/>
        </w:rPr>
        <w:t>133</w:t>
      </w:r>
      <w:r w:rsidR="00355360" w:rsidRPr="007F6FF8">
        <w:rPr>
          <w:rFonts w:eastAsia="Times New Roman" w:cs="Times New Roman"/>
          <w:szCs w:val="19"/>
          <w:lang w:eastAsia="pl-PL"/>
        </w:rPr>
        <w:t>,</w:t>
      </w:r>
      <w:r w:rsidR="00302CFA" w:rsidRPr="007F6FF8">
        <w:rPr>
          <w:rFonts w:eastAsia="Times New Roman" w:cs="Times New Roman"/>
          <w:szCs w:val="19"/>
          <w:lang w:eastAsia="pl-PL"/>
        </w:rPr>
        <w:t>0</w:t>
      </w:r>
      <w:r w:rsidR="00355360" w:rsidRPr="007F6FF8">
        <w:rPr>
          <w:rFonts w:eastAsia="Times New Roman" w:cs="Times New Roman"/>
          <w:szCs w:val="19"/>
          <w:lang w:eastAsia="pl-PL"/>
        </w:rPr>
        <w:t xml:space="preserve"> mld</w:t>
      </w:r>
      <w:r w:rsidRPr="007F6FF8">
        <w:rPr>
          <w:rFonts w:eastAsia="Times New Roman" w:cs="Times New Roman"/>
          <w:szCs w:val="19"/>
          <w:lang w:eastAsia="pl-PL"/>
        </w:rPr>
        <w:t xml:space="preserve"> </w:t>
      </w:r>
      <w:r w:rsidR="009A6B83" w:rsidRPr="007F6FF8">
        <w:rPr>
          <w:rFonts w:eastAsia="Times New Roman" w:cs="Times New Roman"/>
          <w:szCs w:val="19"/>
          <w:lang w:eastAsia="pl-PL"/>
        </w:rPr>
        <w:t xml:space="preserve">zł </w:t>
      </w:r>
      <w:r w:rsidRPr="007F6FF8">
        <w:rPr>
          <w:rFonts w:eastAsia="Times New Roman" w:cs="Times New Roman"/>
          <w:szCs w:val="19"/>
          <w:lang w:eastAsia="pl-PL"/>
        </w:rPr>
        <w:t xml:space="preserve">przed rokiem), </w:t>
      </w:r>
      <w:r w:rsidR="00F27A2E" w:rsidRPr="007F6FF8">
        <w:rPr>
          <w:rFonts w:eastAsia="Times New Roman" w:cs="Times New Roman"/>
          <w:szCs w:val="19"/>
          <w:lang w:eastAsia="pl-PL"/>
        </w:rPr>
        <w:t xml:space="preserve">a </w:t>
      </w:r>
      <w:r w:rsidRPr="007F6FF8">
        <w:rPr>
          <w:rFonts w:eastAsia="Times New Roman" w:cs="Times New Roman"/>
          <w:szCs w:val="19"/>
          <w:lang w:eastAsia="pl-PL"/>
        </w:rPr>
        <w:t xml:space="preserve">koszty ich uzyskania </w:t>
      </w:r>
      <w:r w:rsidR="00316C0D" w:rsidRPr="007F6FF8">
        <w:rPr>
          <w:rFonts w:eastAsia="Times New Roman" w:cs="Times New Roman"/>
          <w:szCs w:val="19"/>
          <w:lang w:eastAsia="pl-PL"/>
        </w:rPr>
        <w:t>wzrosły</w:t>
      </w:r>
      <w:r w:rsidRPr="007F6FF8">
        <w:rPr>
          <w:rFonts w:eastAsia="Times New Roman" w:cs="Times New Roman"/>
          <w:szCs w:val="19"/>
          <w:lang w:eastAsia="pl-PL"/>
        </w:rPr>
        <w:t xml:space="preserve"> o </w:t>
      </w:r>
      <w:r w:rsidR="00316C0D" w:rsidRPr="007F6FF8">
        <w:rPr>
          <w:rFonts w:eastAsia="Times New Roman" w:cs="Times New Roman"/>
          <w:szCs w:val="19"/>
          <w:lang w:eastAsia="pl-PL"/>
        </w:rPr>
        <w:t>2</w:t>
      </w:r>
      <w:r w:rsidRPr="007F6FF8">
        <w:rPr>
          <w:rFonts w:eastAsia="Times New Roman" w:cs="Times New Roman"/>
          <w:szCs w:val="19"/>
          <w:lang w:eastAsia="pl-PL"/>
        </w:rPr>
        <w:t>,</w:t>
      </w:r>
      <w:r w:rsidR="00316C0D" w:rsidRPr="007F6FF8">
        <w:rPr>
          <w:rFonts w:eastAsia="Times New Roman" w:cs="Times New Roman"/>
          <w:szCs w:val="19"/>
          <w:lang w:eastAsia="pl-PL"/>
        </w:rPr>
        <w:t>4</w:t>
      </w:r>
      <w:r w:rsidRPr="007F6FF8">
        <w:rPr>
          <w:rFonts w:eastAsia="Times New Roman" w:cs="Times New Roman"/>
          <w:szCs w:val="19"/>
          <w:lang w:eastAsia="pl-PL"/>
        </w:rPr>
        <w:t>%</w:t>
      </w:r>
      <w:r w:rsidR="00F27A2E" w:rsidRPr="007F6FF8">
        <w:rPr>
          <w:rFonts w:eastAsia="Times New Roman" w:cs="Times New Roman"/>
          <w:szCs w:val="19"/>
          <w:lang w:eastAsia="pl-PL"/>
        </w:rPr>
        <w:t xml:space="preserve"> </w:t>
      </w:r>
      <w:r w:rsidR="00F27A2E" w:rsidRPr="003E3E08">
        <w:rPr>
          <w:rFonts w:eastAsia="Times New Roman" w:cs="Times New Roman"/>
          <w:szCs w:val="19"/>
          <w:lang w:eastAsia="pl-PL"/>
        </w:rPr>
        <w:t>(</w:t>
      </w:r>
      <w:r w:rsidR="00A7779D">
        <w:rPr>
          <w:rFonts w:eastAsia="Times New Roman" w:cs="Times New Roman"/>
          <w:szCs w:val="19"/>
          <w:lang w:eastAsia="pl-PL"/>
        </w:rPr>
        <w:t xml:space="preserve">z 4 914,7 mld zł </w:t>
      </w:r>
      <w:bookmarkStart w:id="0" w:name="_GoBack"/>
      <w:bookmarkEnd w:id="0"/>
      <w:r w:rsidR="00F27A2E" w:rsidRPr="003E3E08">
        <w:rPr>
          <w:rFonts w:eastAsia="Times New Roman" w:cs="Times New Roman"/>
          <w:szCs w:val="19"/>
          <w:lang w:eastAsia="pl-PL"/>
        </w:rPr>
        <w:t xml:space="preserve">do </w:t>
      </w:r>
      <w:r w:rsidR="001A186F" w:rsidRPr="003E3E08">
        <w:rPr>
          <w:rFonts w:eastAsia="Times New Roman" w:cs="Times New Roman"/>
          <w:szCs w:val="19"/>
          <w:lang w:eastAsia="pl-PL"/>
        </w:rPr>
        <w:t>5</w:t>
      </w:r>
      <w:r w:rsidR="002E59EE" w:rsidRPr="003E3E08">
        <w:rPr>
          <w:rFonts w:eastAsia="Times New Roman" w:cs="Times New Roman"/>
          <w:szCs w:val="19"/>
          <w:lang w:eastAsia="pl-PL"/>
        </w:rPr>
        <w:t> </w:t>
      </w:r>
      <w:r w:rsidR="001A186F" w:rsidRPr="003E3E08">
        <w:rPr>
          <w:rFonts w:eastAsia="Times New Roman" w:cs="Times New Roman"/>
          <w:szCs w:val="19"/>
          <w:lang w:eastAsia="pl-PL"/>
        </w:rPr>
        <w:t>034</w:t>
      </w:r>
      <w:r w:rsidR="002E59EE" w:rsidRPr="003E3E08">
        <w:rPr>
          <w:rFonts w:eastAsia="Times New Roman" w:cs="Times New Roman"/>
          <w:szCs w:val="19"/>
          <w:lang w:eastAsia="pl-PL"/>
        </w:rPr>
        <w:t>,</w:t>
      </w:r>
      <w:r w:rsidR="001A186F" w:rsidRPr="003E3E08">
        <w:rPr>
          <w:rFonts w:eastAsia="Times New Roman" w:cs="Times New Roman"/>
          <w:szCs w:val="19"/>
          <w:lang w:eastAsia="pl-PL"/>
        </w:rPr>
        <w:t>5</w:t>
      </w:r>
      <w:r w:rsidR="00F27A2E" w:rsidRPr="003E3E08">
        <w:rPr>
          <w:rFonts w:eastAsia="Times New Roman" w:cs="Times New Roman"/>
          <w:szCs w:val="19"/>
          <w:lang w:eastAsia="pl-PL"/>
        </w:rPr>
        <w:t xml:space="preserve"> mld zł)</w:t>
      </w:r>
      <w:r w:rsidRPr="003E3E08">
        <w:rPr>
          <w:rFonts w:eastAsia="Times New Roman" w:cs="Times New Roman"/>
          <w:szCs w:val="19"/>
          <w:lang w:eastAsia="pl-PL"/>
        </w:rPr>
        <w:t xml:space="preserve">. </w:t>
      </w:r>
      <w:r w:rsidR="00AD4EC5" w:rsidRPr="003E3E08">
        <w:rPr>
          <w:rFonts w:eastAsia="Times New Roman" w:cs="Times New Roman"/>
          <w:szCs w:val="19"/>
          <w:lang w:eastAsia="pl-PL"/>
        </w:rPr>
        <w:t>W</w:t>
      </w:r>
      <w:r w:rsidRPr="003E3E08">
        <w:rPr>
          <w:rFonts w:eastAsia="Times New Roman" w:cs="Times New Roman"/>
          <w:szCs w:val="19"/>
          <w:lang w:eastAsia="pl-PL"/>
        </w:rPr>
        <w:t xml:space="preserve">skaźnik poziomu kosztów </w:t>
      </w:r>
      <w:r w:rsidR="00287D70" w:rsidRPr="003E3E08">
        <w:rPr>
          <w:rFonts w:eastAsia="Times New Roman" w:cs="Times New Roman"/>
          <w:szCs w:val="19"/>
          <w:lang w:eastAsia="pl-PL"/>
        </w:rPr>
        <w:t xml:space="preserve">był </w:t>
      </w:r>
      <w:r w:rsidR="00672EBA" w:rsidRPr="003E3E08">
        <w:rPr>
          <w:rFonts w:eastAsia="Times New Roman" w:cs="Times New Roman"/>
          <w:szCs w:val="19"/>
          <w:lang w:eastAsia="pl-PL"/>
        </w:rPr>
        <w:t>niższy niż</w:t>
      </w:r>
      <w:r w:rsidR="00287D70" w:rsidRPr="003E3E08">
        <w:rPr>
          <w:rFonts w:eastAsia="Times New Roman" w:cs="Times New Roman"/>
          <w:szCs w:val="19"/>
          <w:lang w:eastAsia="pl-PL"/>
        </w:rPr>
        <w:t xml:space="preserve"> rok </w:t>
      </w:r>
      <w:r w:rsidR="00287D70" w:rsidRPr="007F6FF8">
        <w:rPr>
          <w:rFonts w:eastAsia="Times New Roman" w:cs="Times New Roman"/>
          <w:szCs w:val="19"/>
          <w:lang w:eastAsia="pl-PL"/>
        </w:rPr>
        <w:t>wcześniej (</w:t>
      </w:r>
      <w:r w:rsidRPr="007F6FF8">
        <w:rPr>
          <w:rFonts w:eastAsia="Times New Roman" w:cs="Times New Roman"/>
          <w:szCs w:val="19"/>
          <w:lang w:eastAsia="pl-PL"/>
        </w:rPr>
        <w:t>9</w:t>
      </w:r>
      <w:r w:rsidR="00287D70" w:rsidRPr="007F6FF8">
        <w:rPr>
          <w:rFonts w:eastAsia="Times New Roman" w:cs="Times New Roman"/>
          <w:szCs w:val="19"/>
          <w:lang w:eastAsia="pl-PL"/>
        </w:rPr>
        <w:t>5</w:t>
      </w:r>
      <w:r w:rsidRPr="007F6FF8">
        <w:rPr>
          <w:rFonts w:eastAsia="Times New Roman" w:cs="Times New Roman"/>
          <w:szCs w:val="19"/>
          <w:lang w:eastAsia="pl-PL"/>
        </w:rPr>
        <w:t>,</w:t>
      </w:r>
      <w:r w:rsidR="001A186F" w:rsidRPr="007F6FF8">
        <w:rPr>
          <w:rFonts w:eastAsia="Times New Roman" w:cs="Times New Roman"/>
          <w:szCs w:val="19"/>
          <w:lang w:eastAsia="pl-PL"/>
        </w:rPr>
        <w:t>4</w:t>
      </w:r>
      <w:r w:rsidRPr="007F6FF8">
        <w:rPr>
          <w:rFonts w:eastAsia="Times New Roman" w:cs="Times New Roman"/>
          <w:szCs w:val="19"/>
          <w:lang w:eastAsia="pl-PL"/>
        </w:rPr>
        <w:t xml:space="preserve">% </w:t>
      </w:r>
      <w:r w:rsidR="00287D70" w:rsidRPr="007F6FF8">
        <w:rPr>
          <w:rFonts w:eastAsia="Times New Roman" w:cs="Times New Roman"/>
          <w:szCs w:val="19"/>
          <w:lang w:eastAsia="pl-PL"/>
        </w:rPr>
        <w:t>w</w:t>
      </w:r>
      <w:r w:rsidR="0003393D" w:rsidRPr="007F6FF8">
        <w:rPr>
          <w:rFonts w:eastAsia="Times New Roman" w:cs="Times New Roman"/>
          <w:szCs w:val="19"/>
          <w:lang w:eastAsia="pl-PL"/>
        </w:rPr>
        <w:t xml:space="preserve"> </w:t>
      </w:r>
      <w:r w:rsidR="00287D70" w:rsidRPr="007F6FF8">
        <w:rPr>
          <w:rFonts w:eastAsia="Times New Roman" w:cs="Times New Roman"/>
          <w:szCs w:val="19"/>
          <w:lang w:eastAsia="pl-PL"/>
        </w:rPr>
        <w:t>2025</w:t>
      </w:r>
      <w:r w:rsidR="00F35B0D" w:rsidRPr="007F6FF8">
        <w:rPr>
          <w:rFonts w:eastAsia="Times New Roman" w:cs="Times New Roman"/>
          <w:szCs w:val="19"/>
          <w:lang w:eastAsia="pl-PL"/>
        </w:rPr>
        <w:t xml:space="preserve"> </w:t>
      </w:r>
      <w:r w:rsidR="00287D70" w:rsidRPr="007F6FF8">
        <w:rPr>
          <w:rFonts w:eastAsia="Times New Roman" w:cs="Times New Roman"/>
          <w:szCs w:val="19"/>
          <w:lang w:eastAsia="pl-PL"/>
        </w:rPr>
        <w:t>r., 9</w:t>
      </w:r>
      <w:r w:rsidR="00D80417" w:rsidRPr="007F6FF8">
        <w:rPr>
          <w:rFonts w:eastAsia="Times New Roman" w:cs="Times New Roman"/>
          <w:szCs w:val="19"/>
          <w:lang w:eastAsia="pl-PL"/>
        </w:rPr>
        <w:t>5</w:t>
      </w:r>
      <w:r w:rsidR="00287D70" w:rsidRPr="007F6FF8">
        <w:rPr>
          <w:rFonts w:eastAsia="Times New Roman" w:cs="Times New Roman"/>
          <w:szCs w:val="19"/>
          <w:lang w:eastAsia="pl-PL"/>
        </w:rPr>
        <w:t>,</w:t>
      </w:r>
      <w:r w:rsidR="00D80417" w:rsidRPr="007F6FF8">
        <w:rPr>
          <w:rFonts w:eastAsia="Times New Roman" w:cs="Times New Roman"/>
          <w:szCs w:val="19"/>
          <w:lang w:eastAsia="pl-PL"/>
        </w:rPr>
        <w:t>7</w:t>
      </w:r>
      <w:r w:rsidR="00287D70" w:rsidRPr="007F6FF8">
        <w:rPr>
          <w:rFonts w:eastAsia="Times New Roman" w:cs="Times New Roman"/>
          <w:szCs w:val="19"/>
          <w:lang w:eastAsia="pl-PL"/>
        </w:rPr>
        <w:t>% przed rokiem</w:t>
      </w:r>
      <w:r w:rsidRPr="007F6FF8">
        <w:rPr>
          <w:rFonts w:eastAsia="Times New Roman" w:cs="Times New Roman"/>
          <w:szCs w:val="19"/>
          <w:lang w:eastAsia="pl-PL"/>
        </w:rPr>
        <w:t>)</w:t>
      </w:r>
      <w:r w:rsidR="00A7779D">
        <w:rPr>
          <w:rFonts w:eastAsia="Times New Roman" w:cs="Times New Roman"/>
          <w:szCs w:val="19"/>
          <w:lang w:eastAsia="pl-PL"/>
        </w:rPr>
        <w:t>;</w:t>
      </w:r>
      <w:r w:rsidR="003F3062" w:rsidRPr="007F6FF8">
        <w:rPr>
          <w:rFonts w:eastAsia="Times New Roman" w:cs="Times New Roman"/>
          <w:szCs w:val="19"/>
          <w:lang w:eastAsia="pl-PL"/>
        </w:rPr>
        <w:t xml:space="preserve"> </w:t>
      </w:r>
      <w:r w:rsidR="00063A7B" w:rsidRPr="007F6FF8">
        <w:rPr>
          <w:rFonts w:eastAsia="Times New Roman" w:cs="Times New Roman"/>
          <w:szCs w:val="19"/>
          <w:lang w:eastAsia="pl-PL"/>
        </w:rPr>
        <w:t>poprawił</w:t>
      </w:r>
      <w:r w:rsidR="00A7779D">
        <w:rPr>
          <w:rFonts w:eastAsia="Times New Roman" w:cs="Times New Roman"/>
          <w:szCs w:val="19"/>
          <w:lang w:eastAsia="pl-PL"/>
        </w:rPr>
        <w:t>y</w:t>
      </w:r>
      <w:r w:rsidR="00063A7B" w:rsidRPr="007F6FF8">
        <w:rPr>
          <w:rFonts w:eastAsia="Times New Roman" w:cs="Times New Roman"/>
          <w:szCs w:val="19"/>
          <w:lang w:eastAsia="pl-PL"/>
        </w:rPr>
        <w:t xml:space="preserve"> się </w:t>
      </w:r>
      <w:r w:rsidR="00CD1055" w:rsidRPr="007F6FF8">
        <w:rPr>
          <w:rFonts w:eastAsia="Times New Roman" w:cs="Times New Roman"/>
          <w:szCs w:val="19"/>
          <w:lang w:eastAsia="pl-PL"/>
        </w:rPr>
        <w:t>wskaźnik</w:t>
      </w:r>
      <w:r w:rsidR="00A7779D">
        <w:rPr>
          <w:rFonts w:eastAsia="Times New Roman" w:cs="Times New Roman"/>
          <w:szCs w:val="19"/>
          <w:lang w:eastAsia="pl-PL"/>
        </w:rPr>
        <w:t>i</w:t>
      </w:r>
      <w:r w:rsidR="00AE2C37" w:rsidRPr="007F6FF8">
        <w:rPr>
          <w:rFonts w:eastAsia="Times New Roman" w:cs="Times New Roman"/>
          <w:szCs w:val="19"/>
          <w:lang w:eastAsia="pl-PL"/>
        </w:rPr>
        <w:t xml:space="preserve"> rentowności </w:t>
      </w:r>
      <w:r w:rsidR="00CD1055" w:rsidRPr="007F6FF8">
        <w:rPr>
          <w:rFonts w:eastAsia="Times New Roman" w:cs="Times New Roman"/>
          <w:szCs w:val="19"/>
          <w:lang w:eastAsia="pl-PL"/>
        </w:rPr>
        <w:t>obrotu brutto (4,</w:t>
      </w:r>
      <w:r w:rsidR="001A186F" w:rsidRPr="007F6FF8">
        <w:rPr>
          <w:rFonts w:eastAsia="Times New Roman" w:cs="Times New Roman"/>
          <w:szCs w:val="19"/>
          <w:lang w:eastAsia="pl-PL"/>
        </w:rPr>
        <w:t>6</w:t>
      </w:r>
      <w:r w:rsidR="00CD1055" w:rsidRPr="007F6FF8">
        <w:rPr>
          <w:rFonts w:eastAsia="Times New Roman" w:cs="Times New Roman"/>
          <w:szCs w:val="19"/>
          <w:lang w:eastAsia="pl-PL"/>
        </w:rPr>
        <w:t>%</w:t>
      </w:r>
      <w:r w:rsidR="009506EA" w:rsidRPr="007F6FF8">
        <w:rPr>
          <w:rFonts w:eastAsia="Times New Roman" w:cs="Times New Roman"/>
          <w:szCs w:val="19"/>
          <w:lang w:eastAsia="pl-PL"/>
        </w:rPr>
        <w:t>,</w:t>
      </w:r>
      <w:r w:rsidR="00230AE9" w:rsidRPr="007F6FF8">
        <w:rPr>
          <w:rFonts w:eastAsia="Times New Roman" w:cs="Times New Roman"/>
          <w:szCs w:val="19"/>
          <w:lang w:eastAsia="pl-PL"/>
        </w:rPr>
        <w:t xml:space="preserve"> w</w:t>
      </w:r>
      <w:r w:rsidR="00F4621E" w:rsidRPr="007F6FF8">
        <w:rPr>
          <w:rFonts w:eastAsia="Times New Roman" w:cs="Times New Roman"/>
          <w:szCs w:val="19"/>
          <w:lang w:eastAsia="pl-PL"/>
        </w:rPr>
        <w:t>obec</w:t>
      </w:r>
      <w:r w:rsidR="00230AE9" w:rsidRPr="007F6FF8">
        <w:rPr>
          <w:rFonts w:eastAsia="Times New Roman" w:cs="Times New Roman"/>
          <w:szCs w:val="19"/>
          <w:lang w:eastAsia="pl-PL"/>
        </w:rPr>
        <w:t xml:space="preserve"> </w:t>
      </w:r>
      <w:r w:rsidR="00CD1055" w:rsidRPr="007F6FF8">
        <w:rPr>
          <w:rFonts w:eastAsia="Times New Roman" w:cs="Times New Roman"/>
          <w:szCs w:val="19"/>
          <w:lang w:eastAsia="pl-PL"/>
        </w:rPr>
        <w:t>4,3%</w:t>
      </w:r>
      <w:r w:rsidR="00230AE9" w:rsidRPr="007F6FF8">
        <w:rPr>
          <w:rFonts w:eastAsia="Times New Roman" w:cs="Times New Roman"/>
          <w:szCs w:val="19"/>
          <w:lang w:eastAsia="pl-PL"/>
        </w:rPr>
        <w:t xml:space="preserve"> przed rokiem</w:t>
      </w:r>
      <w:r w:rsidR="00CD1055" w:rsidRPr="007F6FF8">
        <w:rPr>
          <w:rFonts w:eastAsia="Times New Roman" w:cs="Times New Roman"/>
          <w:szCs w:val="19"/>
          <w:lang w:eastAsia="pl-PL"/>
        </w:rPr>
        <w:t xml:space="preserve">) oraz </w:t>
      </w:r>
      <w:r w:rsidRPr="007F6FF8">
        <w:rPr>
          <w:rFonts w:eastAsia="Times New Roman" w:cs="Times New Roman"/>
          <w:szCs w:val="19"/>
          <w:lang w:eastAsia="pl-PL"/>
        </w:rPr>
        <w:t xml:space="preserve">wskaźnik </w:t>
      </w:r>
      <w:r w:rsidRPr="003E3E08">
        <w:rPr>
          <w:rFonts w:eastAsia="Times New Roman" w:cs="Times New Roman"/>
          <w:szCs w:val="19"/>
          <w:lang w:eastAsia="pl-PL"/>
        </w:rPr>
        <w:t xml:space="preserve">rentowności </w:t>
      </w:r>
      <w:r w:rsidR="00F22C7D" w:rsidRPr="003E3E08">
        <w:rPr>
          <w:rFonts w:eastAsia="Times New Roman" w:cs="Times New Roman"/>
          <w:szCs w:val="19"/>
          <w:lang w:eastAsia="pl-PL"/>
        </w:rPr>
        <w:t>obrotu</w:t>
      </w:r>
      <w:r w:rsidRPr="003E3E08">
        <w:rPr>
          <w:rFonts w:eastAsia="Times New Roman" w:cs="Times New Roman"/>
          <w:szCs w:val="19"/>
          <w:lang w:eastAsia="pl-PL"/>
        </w:rPr>
        <w:t xml:space="preserve"> </w:t>
      </w:r>
      <w:r w:rsidR="00D80417" w:rsidRPr="007F6FF8">
        <w:rPr>
          <w:rFonts w:eastAsia="Times New Roman" w:cs="Times New Roman"/>
          <w:szCs w:val="19"/>
          <w:lang w:eastAsia="pl-PL"/>
        </w:rPr>
        <w:t>netto</w:t>
      </w:r>
      <w:r w:rsidRPr="007F6FF8">
        <w:rPr>
          <w:rFonts w:eastAsia="Times New Roman" w:cs="Times New Roman"/>
          <w:szCs w:val="19"/>
          <w:lang w:eastAsia="pl-PL"/>
        </w:rPr>
        <w:t xml:space="preserve"> (</w:t>
      </w:r>
      <w:r w:rsidR="00230AE9" w:rsidRPr="007F6FF8">
        <w:rPr>
          <w:rFonts w:eastAsia="Times New Roman" w:cs="Times New Roman"/>
          <w:szCs w:val="19"/>
          <w:lang w:eastAsia="pl-PL"/>
        </w:rPr>
        <w:t xml:space="preserve">odpowiednio </w:t>
      </w:r>
      <w:r w:rsidR="00D80417" w:rsidRPr="007F6FF8">
        <w:rPr>
          <w:rFonts w:eastAsia="Times New Roman" w:cs="Times New Roman"/>
          <w:szCs w:val="19"/>
          <w:lang w:eastAsia="pl-PL"/>
        </w:rPr>
        <w:t>3</w:t>
      </w:r>
      <w:r w:rsidRPr="007F6FF8">
        <w:rPr>
          <w:rFonts w:eastAsia="Times New Roman" w:cs="Times New Roman"/>
          <w:szCs w:val="19"/>
          <w:lang w:eastAsia="pl-PL"/>
        </w:rPr>
        <w:t>,</w:t>
      </w:r>
      <w:r w:rsidR="00D80417" w:rsidRPr="007F6FF8">
        <w:rPr>
          <w:rFonts w:eastAsia="Times New Roman" w:cs="Times New Roman"/>
          <w:szCs w:val="19"/>
          <w:lang w:eastAsia="pl-PL"/>
        </w:rPr>
        <w:t>7</w:t>
      </w:r>
      <w:r w:rsidRPr="007F6FF8">
        <w:rPr>
          <w:rFonts w:eastAsia="Times New Roman" w:cs="Times New Roman"/>
          <w:szCs w:val="19"/>
          <w:lang w:eastAsia="pl-PL"/>
        </w:rPr>
        <w:t>%</w:t>
      </w:r>
      <w:r w:rsidR="003F3062" w:rsidRPr="007F6FF8">
        <w:rPr>
          <w:rFonts w:eastAsia="Times New Roman" w:cs="Times New Roman"/>
          <w:szCs w:val="19"/>
          <w:lang w:eastAsia="pl-PL"/>
        </w:rPr>
        <w:t xml:space="preserve"> </w:t>
      </w:r>
      <w:r w:rsidR="00230AE9" w:rsidRPr="007F6FF8">
        <w:rPr>
          <w:rFonts w:eastAsia="Times New Roman" w:cs="Times New Roman"/>
          <w:szCs w:val="19"/>
          <w:lang w:eastAsia="pl-PL"/>
        </w:rPr>
        <w:t xml:space="preserve">oraz </w:t>
      </w:r>
      <w:r w:rsidR="00D80417" w:rsidRPr="007F6FF8">
        <w:rPr>
          <w:rFonts w:eastAsia="Times New Roman" w:cs="Times New Roman"/>
          <w:szCs w:val="19"/>
          <w:lang w:eastAsia="pl-PL"/>
        </w:rPr>
        <w:t>3</w:t>
      </w:r>
      <w:r w:rsidRPr="007F6FF8">
        <w:rPr>
          <w:rFonts w:eastAsia="Times New Roman" w:cs="Times New Roman"/>
          <w:szCs w:val="19"/>
          <w:lang w:eastAsia="pl-PL"/>
        </w:rPr>
        <w:t>,</w:t>
      </w:r>
      <w:r w:rsidR="001A186F" w:rsidRPr="007F6FF8">
        <w:rPr>
          <w:rFonts w:eastAsia="Times New Roman" w:cs="Times New Roman"/>
          <w:szCs w:val="19"/>
          <w:lang w:eastAsia="pl-PL"/>
        </w:rPr>
        <w:t>4</w:t>
      </w:r>
      <w:r w:rsidRPr="007F6FF8">
        <w:rPr>
          <w:rFonts w:eastAsia="Times New Roman" w:cs="Times New Roman"/>
          <w:szCs w:val="19"/>
          <w:lang w:eastAsia="pl-PL"/>
        </w:rPr>
        <w:t>%)</w:t>
      </w:r>
      <w:r w:rsidR="00CD1055" w:rsidRPr="007F6FF8">
        <w:rPr>
          <w:rFonts w:eastAsia="Times New Roman" w:cs="Times New Roman"/>
          <w:szCs w:val="19"/>
          <w:lang w:eastAsia="pl-PL"/>
        </w:rPr>
        <w:t xml:space="preserve">. </w:t>
      </w:r>
      <w:r w:rsidRPr="007F6FF8">
        <w:rPr>
          <w:rFonts w:eastAsia="Times New Roman" w:cs="Times New Roman"/>
          <w:szCs w:val="19"/>
          <w:lang w:eastAsia="pl-PL"/>
        </w:rPr>
        <w:t>Przychody netto ze sprzedaży produktów, towarów i materiałów</w:t>
      </w:r>
      <w:r w:rsidR="003E718A" w:rsidRPr="007F6FF8">
        <w:rPr>
          <w:rFonts w:eastAsia="Times New Roman" w:cs="Times New Roman"/>
          <w:szCs w:val="19"/>
          <w:lang w:eastAsia="pl-PL"/>
        </w:rPr>
        <w:t xml:space="preserve"> wzrosły o 2,8%, a</w:t>
      </w:r>
      <w:r w:rsidR="009B69F1" w:rsidRPr="007F6FF8">
        <w:rPr>
          <w:rFonts w:eastAsia="Times New Roman" w:cs="Times New Roman"/>
          <w:szCs w:val="19"/>
          <w:lang w:eastAsia="pl-PL"/>
        </w:rPr>
        <w:t xml:space="preserve"> koszty tej działalności</w:t>
      </w:r>
      <w:r w:rsidRPr="007F6FF8">
        <w:rPr>
          <w:rFonts w:eastAsia="Times New Roman" w:cs="Times New Roman"/>
          <w:szCs w:val="19"/>
          <w:lang w:eastAsia="pl-PL"/>
        </w:rPr>
        <w:t xml:space="preserve"> o </w:t>
      </w:r>
      <w:r w:rsidR="00B340A6" w:rsidRPr="007F6FF8">
        <w:rPr>
          <w:rFonts w:eastAsia="Times New Roman" w:cs="Times New Roman"/>
          <w:szCs w:val="19"/>
          <w:lang w:eastAsia="pl-PL"/>
        </w:rPr>
        <w:t>2</w:t>
      </w:r>
      <w:r w:rsidRPr="007F6FF8">
        <w:rPr>
          <w:rFonts w:eastAsia="Times New Roman" w:cs="Times New Roman"/>
          <w:szCs w:val="19"/>
          <w:lang w:eastAsia="pl-PL"/>
        </w:rPr>
        <w:t>,</w:t>
      </w:r>
      <w:r w:rsidR="003E718A" w:rsidRPr="007F6FF8">
        <w:rPr>
          <w:rFonts w:eastAsia="Times New Roman" w:cs="Times New Roman"/>
          <w:szCs w:val="19"/>
          <w:lang w:eastAsia="pl-PL"/>
        </w:rPr>
        <w:t>7</w:t>
      </w:r>
      <w:r w:rsidRPr="007F6FF8">
        <w:rPr>
          <w:rFonts w:eastAsia="Times New Roman" w:cs="Times New Roman"/>
          <w:szCs w:val="19"/>
          <w:lang w:eastAsia="pl-PL"/>
        </w:rPr>
        <w:t>%</w:t>
      </w:r>
      <w:r w:rsidR="009B69F1" w:rsidRPr="007F6FF8">
        <w:rPr>
          <w:rFonts w:eastAsia="Times New Roman" w:cs="Times New Roman"/>
          <w:szCs w:val="19"/>
          <w:lang w:eastAsia="pl-PL"/>
        </w:rPr>
        <w:t>.</w:t>
      </w:r>
    </w:p>
    <w:p w14:paraId="4E6704B6" w14:textId="38BDFB30" w:rsidR="00846E02" w:rsidRPr="005417CB" w:rsidRDefault="00E06F14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E3E0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6A9FE8E" wp14:editId="409AA373">
                <wp:simplePos x="0" y="0"/>
                <wp:positionH relativeFrom="page">
                  <wp:posOffset>5676900</wp:posOffset>
                </wp:positionH>
                <wp:positionV relativeFrom="paragraph">
                  <wp:posOffset>817880</wp:posOffset>
                </wp:positionV>
                <wp:extent cx="1748790" cy="1057275"/>
                <wp:effectExtent l="0" t="0" r="0" b="0"/>
                <wp:wrapTight wrapText="bothSides">
                  <wp:wrapPolygon edited="0">
                    <wp:start x="706" y="0"/>
                    <wp:lineTo x="706" y="21016"/>
                    <wp:lineTo x="20706" y="21016"/>
                    <wp:lineTo x="20706" y="0"/>
                    <wp:lineTo x="706" y="0"/>
                  </wp:wrapPolygon>
                </wp:wrapTight>
                <wp:docPr id="2" name="Pole tekstowe 2" descr="W 2025 r. wynik finansowy netto przedsiębiorstw niefinansowych był wyższy o 13,5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E73E2" w14:textId="744E9B4B" w:rsidR="00D616D2" w:rsidRPr="00846E02" w:rsidRDefault="006F16C0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3E3E08">
                              <w:rPr>
                                <w:bCs w:val="0"/>
                              </w:rPr>
                              <w:t xml:space="preserve">W 2025 r. wynik finansowy </w:t>
                            </w:r>
                            <w:r w:rsidR="004B5C24" w:rsidRPr="003E3E08">
                              <w:rPr>
                                <w:bCs w:val="0"/>
                              </w:rPr>
                              <w:t>netto</w:t>
                            </w:r>
                            <w:r w:rsidRPr="003E3E08">
                              <w:rPr>
                                <w:bCs w:val="0"/>
                              </w:rPr>
                              <w:t xml:space="preserve"> przedsiębiorstw niefinansowych był </w:t>
                            </w:r>
                            <w:r w:rsidR="00B44A8B" w:rsidRPr="003E3E08">
                              <w:rPr>
                                <w:bCs w:val="0"/>
                              </w:rPr>
                              <w:t>wyższy</w:t>
                            </w:r>
                            <w:r w:rsidRPr="003E3E08">
                              <w:rPr>
                                <w:bCs w:val="0"/>
                              </w:rPr>
                              <w:t xml:space="preserve"> o </w:t>
                            </w:r>
                            <w:r w:rsidR="0073048E" w:rsidRPr="003E3E08">
                              <w:rPr>
                                <w:bCs w:val="0"/>
                              </w:rPr>
                              <w:t>1</w:t>
                            </w:r>
                            <w:r w:rsidR="003C7EA6" w:rsidRPr="003E3E08">
                              <w:rPr>
                                <w:bCs w:val="0"/>
                              </w:rPr>
                              <w:t>3</w:t>
                            </w:r>
                            <w:r w:rsidR="004B5C24" w:rsidRPr="003E3E08">
                              <w:rPr>
                                <w:bCs w:val="0"/>
                              </w:rPr>
                              <w:t>,</w:t>
                            </w:r>
                            <w:r w:rsidR="003C7EA6" w:rsidRPr="003E3E08">
                              <w:rPr>
                                <w:bCs w:val="0"/>
                              </w:rPr>
                              <w:t>5</w:t>
                            </w:r>
                            <w:r w:rsidRPr="003E3E08">
                              <w:rPr>
                                <w:bCs w:val="0"/>
                              </w:rPr>
                              <w:t xml:space="preserve">% niż </w:t>
                            </w:r>
                            <w:r w:rsidR="00DC5F74" w:rsidRPr="003E3E08">
                              <w:rPr>
                                <w:bCs w:val="0"/>
                              </w:rPr>
                              <w:t>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9FE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025 r. wynik finansowy netto przedsiębiorstw niefinansowych był wyższy o 13,5% niż przed rokiem" style="position:absolute;margin-left:447pt;margin-top:64.4pt;width:137.7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" filled="f" stroked="f">
                <v:textbox>
                  <w:txbxContent>
                    <w:p w14:paraId="102E73E2" w14:textId="744E9B4B" w:rsidR="00D616D2" w:rsidRPr="00846E02" w:rsidRDefault="006F16C0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3E3E08">
                        <w:rPr>
                          <w:bCs w:val="0"/>
                        </w:rPr>
                        <w:t xml:space="preserve">W 2025 r. wynik finansowy </w:t>
                      </w:r>
                      <w:r w:rsidR="004B5C24" w:rsidRPr="003E3E08">
                        <w:rPr>
                          <w:bCs w:val="0"/>
                        </w:rPr>
                        <w:t>netto</w:t>
                      </w:r>
                      <w:r w:rsidRPr="003E3E08">
                        <w:rPr>
                          <w:bCs w:val="0"/>
                        </w:rPr>
                        <w:t xml:space="preserve"> przedsiębiorstw niefinansowych był </w:t>
                      </w:r>
                      <w:r w:rsidR="00B44A8B" w:rsidRPr="003E3E08">
                        <w:rPr>
                          <w:bCs w:val="0"/>
                        </w:rPr>
                        <w:t>wyższy</w:t>
                      </w:r>
                      <w:r w:rsidRPr="003E3E08">
                        <w:rPr>
                          <w:bCs w:val="0"/>
                        </w:rPr>
                        <w:t xml:space="preserve"> o </w:t>
                      </w:r>
                      <w:r w:rsidR="0073048E" w:rsidRPr="003E3E08">
                        <w:rPr>
                          <w:bCs w:val="0"/>
                        </w:rPr>
                        <w:t>1</w:t>
                      </w:r>
                      <w:r w:rsidR="003C7EA6" w:rsidRPr="003E3E08">
                        <w:rPr>
                          <w:bCs w:val="0"/>
                        </w:rPr>
                        <w:t>3</w:t>
                      </w:r>
                      <w:r w:rsidR="004B5C24" w:rsidRPr="003E3E08">
                        <w:rPr>
                          <w:bCs w:val="0"/>
                        </w:rPr>
                        <w:t>,</w:t>
                      </w:r>
                      <w:r w:rsidR="003C7EA6" w:rsidRPr="003E3E08">
                        <w:rPr>
                          <w:bCs w:val="0"/>
                        </w:rPr>
                        <w:t>5</w:t>
                      </w:r>
                      <w:r w:rsidRPr="003E3E08">
                        <w:rPr>
                          <w:bCs w:val="0"/>
                        </w:rPr>
                        <w:t xml:space="preserve">% niż </w:t>
                      </w:r>
                      <w:r w:rsidR="00DC5F74" w:rsidRPr="003E3E08">
                        <w:rPr>
                          <w:bCs w:val="0"/>
                        </w:rPr>
                        <w:t>przed rokiem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B282B" w:rsidRPr="003E3E08">
        <w:rPr>
          <w:rFonts w:eastAsia="Times New Roman" w:cs="Times New Roman"/>
          <w:szCs w:val="19"/>
          <w:lang w:eastAsia="pl-PL"/>
        </w:rPr>
        <w:t xml:space="preserve">Wynik finansowy ze sprzedaży produktów, towarów i </w:t>
      </w:r>
      <w:r w:rsidR="00BB282B" w:rsidRPr="007F6FF8">
        <w:rPr>
          <w:rFonts w:eastAsia="Times New Roman" w:cs="Times New Roman"/>
          <w:szCs w:val="19"/>
          <w:lang w:eastAsia="pl-PL"/>
        </w:rPr>
        <w:t xml:space="preserve">materiałów wyniósł </w:t>
      </w:r>
      <w:r w:rsidR="00F8708B" w:rsidRPr="007F6FF8">
        <w:rPr>
          <w:rFonts w:eastAsia="Times New Roman" w:cs="Times New Roman"/>
          <w:szCs w:val="19"/>
          <w:lang w:eastAsia="pl-PL"/>
        </w:rPr>
        <w:t>233</w:t>
      </w:r>
      <w:r w:rsidR="00BB282B" w:rsidRPr="007F6FF8">
        <w:rPr>
          <w:rFonts w:eastAsia="Times New Roman" w:cs="Times New Roman"/>
          <w:szCs w:val="19"/>
          <w:lang w:eastAsia="pl-PL"/>
        </w:rPr>
        <w:t>,</w:t>
      </w:r>
      <w:r w:rsidR="00F8708B" w:rsidRPr="007F6FF8">
        <w:rPr>
          <w:rFonts w:eastAsia="Times New Roman" w:cs="Times New Roman"/>
          <w:szCs w:val="19"/>
          <w:lang w:eastAsia="pl-PL"/>
        </w:rPr>
        <w:t>1</w:t>
      </w:r>
      <w:r w:rsidR="00BB282B" w:rsidRPr="007F6FF8">
        <w:rPr>
          <w:rFonts w:eastAsia="Times New Roman" w:cs="Times New Roman"/>
          <w:szCs w:val="19"/>
          <w:lang w:eastAsia="pl-PL"/>
        </w:rPr>
        <w:t xml:space="preserve"> mld zł i </w:t>
      </w:r>
      <w:r w:rsidR="00BB282B" w:rsidRPr="003E3E08">
        <w:rPr>
          <w:rFonts w:eastAsia="Times New Roman" w:cs="Times New Roman"/>
          <w:szCs w:val="19"/>
          <w:lang w:eastAsia="pl-PL"/>
        </w:rPr>
        <w:t xml:space="preserve">był </w:t>
      </w:r>
      <w:r w:rsidR="00F803B2" w:rsidRPr="007F6FF8">
        <w:rPr>
          <w:rFonts w:eastAsia="Times New Roman" w:cs="Times New Roman"/>
          <w:szCs w:val="19"/>
          <w:lang w:eastAsia="pl-PL"/>
        </w:rPr>
        <w:t>wyższy</w:t>
      </w:r>
      <w:r w:rsidR="00BB282B" w:rsidRPr="007F6FF8">
        <w:rPr>
          <w:rFonts w:eastAsia="Times New Roman" w:cs="Times New Roman"/>
          <w:szCs w:val="19"/>
          <w:lang w:eastAsia="pl-PL"/>
        </w:rPr>
        <w:t xml:space="preserve"> o </w:t>
      </w:r>
      <w:r w:rsidR="00F8708B" w:rsidRPr="007F6FF8">
        <w:rPr>
          <w:rFonts w:eastAsia="Times New Roman" w:cs="Times New Roman"/>
          <w:szCs w:val="19"/>
          <w:lang w:eastAsia="pl-PL"/>
        </w:rPr>
        <w:t>6</w:t>
      </w:r>
      <w:r w:rsidR="00BB282B" w:rsidRPr="007F6FF8">
        <w:rPr>
          <w:rFonts w:eastAsia="Times New Roman" w:cs="Times New Roman"/>
          <w:szCs w:val="19"/>
          <w:lang w:eastAsia="pl-PL"/>
        </w:rPr>
        <w:t>,</w:t>
      </w:r>
      <w:r w:rsidR="00F8708B" w:rsidRPr="007F6FF8">
        <w:rPr>
          <w:rFonts w:eastAsia="Times New Roman" w:cs="Times New Roman"/>
          <w:szCs w:val="19"/>
          <w:lang w:eastAsia="pl-PL"/>
        </w:rPr>
        <w:t>7</w:t>
      </w:r>
      <w:r w:rsidR="00BB282B" w:rsidRPr="007F6FF8">
        <w:rPr>
          <w:rFonts w:eastAsia="Times New Roman" w:cs="Times New Roman"/>
          <w:szCs w:val="19"/>
          <w:lang w:eastAsia="pl-PL"/>
        </w:rPr>
        <w:t xml:space="preserve">% w stosunku </w:t>
      </w:r>
      <w:r w:rsidR="00BB282B" w:rsidRPr="003E3E08">
        <w:rPr>
          <w:rFonts w:eastAsia="Times New Roman" w:cs="Times New Roman"/>
          <w:szCs w:val="19"/>
          <w:lang w:eastAsia="pl-PL"/>
        </w:rPr>
        <w:t>do</w:t>
      </w:r>
      <w:r w:rsidR="000E6E4F" w:rsidRPr="003E3E08">
        <w:rPr>
          <w:rFonts w:eastAsia="Times New Roman" w:cs="Times New Roman"/>
          <w:szCs w:val="19"/>
          <w:lang w:eastAsia="pl-PL"/>
        </w:rPr>
        <w:t xml:space="preserve"> </w:t>
      </w:r>
      <w:r w:rsidR="00BB282B" w:rsidRPr="003E3E08">
        <w:rPr>
          <w:rFonts w:eastAsia="Times New Roman" w:cs="Times New Roman"/>
          <w:szCs w:val="19"/>
          <w:lang w:eastAsia="pl-PL"/>
        </w:rPr>
        <w:t>202</w:t>
      </w:r>
      <w:r w:rsidR="00F803B2" w:rsidRPr="003E3E08">
        <w:rPr>
          <w:rFonts w:eastAsia="Times New Roman" w:cs="Times New Roman"/>
          <w:szCs w:val="19"/>
          <w:lang w:eastAsia="pl-PL"/>
        </w:rPr>
        <w:t>4</w:t>
      </w:r>
      <w:r w:rsidR="00BB282B" w:rsidRPr="003E3E08">
        <w:rPr>
          <w:rFonts w:eastAsia="Times New Roman" w:cs="Times New Roman"/>
          <w:szCs w:val="19"/>
          <w:lang w:eastAsia="pl-PL"/>
        </w:rPr>
        <w:t xml:space="preserve"> r. Wynik finansowy z pozostałej działalności operacyjnej ukształtował się na </w:t>
      </w:r>
      <w:r w:rsidR="00BB282B" w:rsidRPr="00983FA7">
        <w:rPr>
          <w:rFonts w:eastAsia="Times New Roman" w:cs="Times New Roman"/>
          <w:szCs w:val="19"/>
          <w:lang w:eastAsia="pl-PL"/>
        </w:rPr>
        <w:t xml:space="preserve">poziomie </w:t>
      </w:r>
      <w:r w:rsidR="00E63C60" w:rsidRPr="00983FA7">
        <w:rPr>
          <w:rFonts w:eastAsia="Times New Roman" w:cs="Times New Roman"/>
          <w:szCs w:val="19"/>
          <w:lang w:eastAsia="pl-PL"/>
        </w:rPr>
        <w:t>1</w:t>
      </w:r>
      <w:r w:rsidR="0083161B" w:rsidRPr="00983FA7">
        <w:rPr>
          <w:rFonts w:eastAsia="Times New Roman" w:cs="Times New Roman"/>
          <w:szCs w:val="19"/>
          <w:lang w:eastAsia="pl-PL"/>
        </w:rPr>
        <w:t>3</w:t>
      </w:r>
      <w:r w:rsidR="00BB282B" w:rsidRPr="00983FA7">
        <w:rPr>
          <w:rFonts w:eastAsia="Times New Roman" w:cs="Times New Roman"/>
          <w:szCs w:val="19"/>
          <w:lang w:eastAsia="pl-PL"/>
        </w:rPr>
        <w:t>,</w:t>
      </w:r>
      <w:r w:rsidR="0083161B" w:rsidRPr="00983FA7">
        <w:rPr>
          <w:rFonts w:eastAsia="Times New Roman" w:cs="Times New Roman"/>
          <w:szCs w:val="19"/>
          <w:lang w:eastAsia="pl-PL"/>
        </w:rPr>
        <w:t>8</w:t>
      </w:r>
      <w:r w:rsidR="00BB282B" w:rsidRPr="00983FA7">
        <w:rPr>
          <w:rFonts w:eastAsia="Times New Roman" w:cs="Times New Roman"/>
          <w:szCs w:val="19"/>
          <w:lang w:eastAsia="pl-PL"/>
        </w:rPr>
        <w:t xml:space="preserve"> mld zł i </w:t>
      </w:r>
      <w:r w:rsidR="00BB282B" w:rsidRPr="003E3E08">
        <w:rPr>
          <w:rFonts w:eastAsia="Times New Roman" w:cs="Times New Roman"/>
          <w:szCs w:val="19"/>
          <w:lang w:eastAsia="pl-PL"/>
        </w:rPr>
        <w:t xml:space="preserve">był </w:t>
      </w:r>
      <w:r w:rsidR="009B073E" w:rsidRPr="003E3E08">
        <w:rPr>
          <w:rFonts w:eastAsia="Times New Roman" w:cs="Times New Roman"/>
          <w:szCs w:val="19"/>
          <w:lang w:eastAsia="pl-PL"/>
        </w:rPr>
        <w:t>wyższy</w:t>
      </w:r>
      <w:r w:rsidR="00BB282B" w:rsidRPr="003E3E08">
        <w:rPr>
          <w:rFonts w:eastAsia="Times New Roman" w:cs="Times New Roman"/>
          <w:szCs w:val="19"/>
          <w:lang w:eastAsia="pl-PL"/>
        </w:rPr>
        <w:t xml:space="preserve"> o </w:t>
      </w:r>
      <w:r w:rsidR="003154C2" w:rsidRPr="003E3E08">
        <w:rPr>
          <w:rFonts w:eastAsia="Times New Roman" w:cs="Times New Roman"/>
          <w:szCs w:val="19"/>
          <w:lang w:eastAsia="pl-PL"/>
        </w:rPr>
        <w:t>1</w:t>
      </w:r>
      <w:r w:rsidR="0083161B" w:rsidRPr="003E3E08">
        <w:rPr>
          <w:rFonts w:eastAsia="Times New Roman" w:cs="Times New Roman"/>
          <w:szCs w:val="19"/>
          <w:lang w:eastAsia="pl-PL"/>
        </w:rPr>
        <w:t>1</w:t>
      </w:r>
      <w:r w:rsidR="00BB282B" w:rsidRPr="003E3E08">
        <w:rPr>
          <w:rFonts w:eastAsia="Times New Roman" w:cs="Times New Roman"/>
          <w:szCs w:val="19"/>
          <w:lang w:eastAsia="pl-PL"/>
        </w:rPr>
        <w:t>,</w:t>
      </w:r>
      <w:r w:rsidR="00754430" w:rsidRPr="003E3E08">
        <w:rPr>
          <w:rFonts w:eastAsia="Times New Roman" w:cs="Times New Roman"/>
          <w:szCs w:val="19"/>
          <w:lang w:eastAsia="pl-PL"/>
        </w:rPr>
        <w:t>7</w:t>
      </w:r>
      <w:r w:rsidR="00BB282B" w:rsidRPr="003E3E08">
        <w:rPr>
          <w:rFonts w:eastAsia="Times New Roman" w:cs="Times New Roman"/>
          <w:szCs w:val="19"/>
          <w:lang w:eastAsia="pl-PL"/>
        </w:rPr>
        <w:t xml:space="preserve"> mld zł niż przed rokiem</w:t>
      </w:r>
      <w:r w:rsidR="00E63C60" w:rsidRPr="003E3E08">
        <w:rPr>
          <w:rFonts w:eastAsia="Times New Roman" w:cs="Times New Roman"/>
          <w:szCs w:val="19"/>
          <w:lang w:eastAsia="pl-PL"/>
        </w:rPr>
        <w:t xml:space="preserve">, </w:t>
      </w:r>
      <w:r w:rsidR="00417C14" w:rsidRPr="003E3E08">
        <w:rPr>
          <w:rFonts w:eastAsia="Times New Roman" w:cs="Times New Roman"/>
          <w:szCs w:val="19"/>
          <w:lang w:eastAsia="pl-PL"/>
        </w:rPr>
        <w:t xml:space="preserve">a </w:t>
      </w:r>
      <w:r w:rsidR="00E63C60" w:rsidRPr="003E3E08">
        <w:rPr>
          <w:rFonts w:eastAsia="Times New Roman" w:cs="Times New Roman"/>
          <w:szCs w:val="19"/>
          <w:lang w:eastAsia="pl-PL"/>
        </w:rPr>
        <w:t>w</w:t>
      </w:r>
      <w:r w:rsidR="00BB282B" w:rsidRPr="003E3E08">
        <w:rPr>
          <w:rFonts w:eastAsia="Times New Roman" w:cs="Times New Roman"/>
          <w:szCs w:val="19"/>
          <w:lang w:eastAsia="pl-PL"/>
        </w:rPr>
        <w:t xml:space="preserve">ynik na operacjach finansowych </w:t>
      </w:r>
      <w:r w:rsidR="00E63C60" w:rsidRPr="003E3E08">
        <w:rPr>
          <w:rFonts w:eastAsia="Times New Roman" w:cs="Times New Roman"/>
          <w:szCs w:val="19"/>
          <w:lang w:eastAsia="pl-PL"/>
        </w:rPr>
        <w:t xml:space="preserve">ukształtował </w:t>
      </w:r>
      <w:r w:rsidR="00E63C60" w:rsidRPr="005417CB">
        <w:rPr>
          <w:rFonts w:eastAsia="Times New Roman" w:cs="Times New Roman"/>
          <w:szCs w:val="19"/>
          <w:lang w:eastAsia="pl-PL"/>
        </w:rPr>
        <w:t>się na poziomie</w:t>
      </w:r>
      <w:r w:rsidR="00B50F80" w:rsidRPr="005417CB">
        <w:rPr>
          <w:rFonts w:eastAsia="Times New Roman" w:cs="Times New Roman"/>
          <w:szCs w:val="19"/>
          <w:lang w:eastAsia="pl-PL"/>
        </w:rPr>
        <w:t xml:space="preserve"> minus</w:t>
      </w:r>
      <w:r w:rsidR="00E63C60" w:rsidRPr="005417CB">
        <w:rPr>
          <w:rFonts w:eastAsia="Times New Roman" w:cs="Times New Roman"/>
          <w:szCs w:val="19"/>
          <w:lang w:eastAsia="pl-PL"/>
        </w:rPr>
        <w:t xml:space="preserve"> </w:t>
      </w:r>
      <w:r w:rsidR="00A97B13" w:rsidRPr="005417CB">
        <w:rPr>
          <w:rFonts w:eastAsia="Times New Roman" w:cs="Times New Roman"/>
          <w:szCs w:val="19"/>
          <w:lang w:eastAsia="pl-PL"/>
        </w:rPr>
        <w:t>1</w:t>
      </w:r>
      <w:r w:rsidR="00BB282B" w:rsidRPr="005417CB">
        <w:rPr>
          <w:rFonts w:eastAsia="Times New Roman" w:cs="Times New Roman"/>
          <w:szCs w:val="19"/>
          <w:lang w:eastAsia="pl-PL"/>
        </w:rPr>
        <w:t>,</w:t>
      </w:r>
      <w:r w:rsidR="00B50F80" w:rsidRPr="005417CB">
        <w:rPr>
          <w:rFonts w:eastAsia="Times New Roman" w:cs="Times New Roman"/>
          <w:szCs w:val="19"/>
          <w:lang w:eastAsia="pl-PL"/>
        </w:rPr>
        <w:t>5</w:t>
      </w:r>
      <w:r w:rsidR="00BB282B" w:rsidRPr="005417CB">
        <w:rPr>
          <w:rFonts w:eastAsia="Times New Roman" w:cs="Times New Roman"/>
          <w:szCs w:val="19"/>
          <w:lang w:eastAsia="pl-PL"/>
        </w:rPr>
        <w:t xml:space="preserve"> mld zł</w:t>
      </w:r>
      <w:r w:rsidR="009506EA" w:rsidRPr="005417CB">
        <w:rPr>
          <w:rFonts w:eastAsia="Times New Roman" w:cs="Times New Roman"/>
          <w:szCs w:val="19"/>
          <w:lang w:eastAsia="pl-PL"/>
        </w:rPr>
        <w:t>, wobec minus</w:t>
      </w:r>
      <w:r w:rsidR="00BF568E" w:rsidRPr="005417CB">
        <w:rPr>
          <w:rFonts w:eastAsia="Times New Roman" w:cs="Times New Roman"/>
          <w:szCs w:val="19"/>
          <w:lang w:eastAsia="pl-PL"/>
        </w:rPr>
        <w:t xml:space="preserve"> </w:t>
      </w:r>
      <w:r w:rsidR="00B41DDD" w:rsidRPr="005417CB">
        <w:rPr>
          <w:rFonts w:eastAsia="Times New Roman" w:cs="Times New Roman"/>
          <w:szCs w:val="19"/>
          <w:lang w:eastAsia="pl-PL"/>
        </w:rPr>
        <w:t>2</w:t>
      </w:r>
      <w:r w:rsidR="00BB282B" w:rsidRPr="005417CB">
        <w:rPr>
          <w:rFonts w:eastAsia="Times New Roman" w:cs="Times New Roman"/>
          <w:szCs w:val="19"/>
          <w:lang w:eastAsia="pl-PL"/>
        </w:rPr>
        <w:t>,</w:t>
      </w:r>
      <w:r w:rsidR="00B41DDD" w:rsidRPr="005417CB">
        <w:rPr>
          <w:rFonts w:eastAsia="Times New Roman" w:cs="Times New Roman"/>
          <w:szCs w:val="19"/>
          <w:lang w:eastAsia="pl-PL"/>
        </w:rPr>
        <w:t>2</w:t>
      </w:r>
      <w:r w:rsidR="00BB282B" w:rsidRPr="005417CB">
        <w:rPr>
          <w:rFonts w:eastAsia="Times New Roman" w:cs="Times New Roman"/>
          <w:szCs w:val="19"/>
          <w:lang w:eastAsia="pl-PL"/>
        </w:rPr>
        <w:t xml:space="preserve"> mld zł</w:t>
      </w:r>
      <w:r w:rsidR="00C87E7F" w:rsidRPr="005417CB">
        <w:rPr>
          <w:rFonts w:eastAsia="Times New Roman" w:cs="Times New Roman"/>
          <w:szCs w:val="19"/>
          <w:lang w:eastAsia="pl-PL"/>
        </w:rPr>
        <w:t xml:space="preserve"> </w:t>
      </w:r>
      <w:r w:rsidR="00BB282B" w:rsidRPr="005417CB">
        <w:rPr>
          <w:rFonts w:eastAsia="Times New Roman" w:cs="Times New Roman"/>
          <w:szCs w:val="19"/>
          <w:lang w:eastAsia="pl-PL"/>
        </w:rPr>
        <w:t>w</w:t>
      </w:r>
      <w:r w:rsidR="0083161B" w:rsidRPr="005417CB">
        <w:rPr>
          <w:rFonts w:eastAsia="Times New Roman" w:cs="Times New Roman"/>
          <w:szCs w:val="19"/>
          <w:lang w:eastAsia="pl-PL"/>
        </w:rPr>
        <w:t xml:space="preserve"> </w:t>
      </w:r>
      <w:r w:rsidR="00BB282B" w:rsidRPr="005417CB">
        <w:rPr>
          <w:rFonts w:eastAsia="Times New Roman" w:cs="Times New Roman"/>
          <w:szCs w:val="19"/>
          <w:lang w:eastAsia="pl-PL"/>
        </w:rPr>
        <w:t>202</w:t>
      </w:r>
      <w:r w:rsidR="00F803B2" w:rsidRPr="005417CB">
        <w:rPr>
          <w:rFonts w:eastAsia="Times New Roman" w:cs="Times New Roman"/>
          <w:szCs w:val="19"/>
          <w:lang w:eastAsia="pl-PL"/>
        </w:rPr>
        <w:t>4</w:t>
      </w:r>
      <w:r w:rsidR="00BB282B" w:rsidRPr="005417CB">
        <w:rPr>
          <w:rFonts w:eastAsia="Times New Roman" w:cs="Times New Roman"/>
          <w:szCs w:val="19"/>
          <w:lang w:eastAsia="pl-PL"/>
        </w:rPr>
        <w:t xml:space="preserve"> r</w:t>
      </w:r>
      <w:r w:rsidR="006D7790" w:rsidRPr="005417CB">
        <w:rPr>
          <w:rFonts w:eastAsia="Times New Roman" w:cs="Times New Roman"/>
          <w:szCs w:val="19"/>
          <w:lang w:eastAsia="pl-PL"/>
        </w:rPr>
        <w:t>.</w:t>
      </w:r>
    </w:p>
    <w:p w14:paraId="612CA257" w14:textId="06409975" w:rsidR="00DE6B58" w:rsidRPr="00520C81" w:rsidRDefault="008A4558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E3E08">
        <w:rPr>
          <w:rFonts w:eastAsia="Times New Roman" w:cs="Times New Roman"/>
          <w:szCs w:val="19"/>
          <w:lang w:eastAsia="pl-PL"/>
        </w:rPr>
        <w:t xml:space="preserve">Wynik finansowy </w:t>
      </w:r>
      <w:r w:rsidRPr="005417CB">
        <w:rPr>
          <w:rFonts w:eastAsia="Times New Roman" w:cs="Times New Roman"/>
          <w:szCs w:val="19"/>
          <w:lang w:eastAsia="pl-PL"/>
        </w:rPr>
        <w:t xml:space="preserve">brutto wyniósł </w:t>
      </w:r>
      <w:r w:rsidR="00B41DDD" w:rsidRPr="005417CB">
        <w:rPr>
          <w:rFonts w:eastAsia="Times New Roman" w:cs="Times New Roman"/>
          <w:szCs w:val="19"/>
          <w:lang w:eastAsia="pl-PL"/>
        </w:rPr>
        <w:t>245</w:t>
      </w:r>
      <w:r w:rsidRPr="005417CB">
        <w:rPr>
          <w:rFonts w:eastAsia="Times New Roman" w:cs="Times New Roman"/>
          <w:szCs w:val="19"/>
          <w:lang w:eastAsia="pl-PL"/>
        </w:rPr>
        <w:t>,</w:t>
      </w:r>
      <w:r w:rsidR="00B41DDD" w:rsidRPr="005417CB">
        <w:rPr>
          <w:rFonts w:eastAsia="Times New Roman" w:cs="Times New Roman"/>
          <w:szCs w:val="19"/>
          <w:lang w:eastAsia="pl-PL"/>
        </w:rPr>
        <w:t>3</w:t>
      </w:r>
      <w:r w:rsidRPr="005417CB">
        <w:rPr>
          <w:rFonts w:eastAsia="Times New Roman" w:cs="Times New Roman"/>
          <w:szCs w:val="19"/>
          <w:lang w:eastAsia="pl-PL"/>
        </w:rPr>
        <w:t xml:space="preserve"> mld zł (wobec </w:t>
      </w:r>
      <w:r w:rsidR="00B41DDD" w:rsidRPr="005417CB">
        <w:rPr>
          <w:rFonts w:eastAsia="Times New Roman" w:cs="Times New Roman"/>
          <w:szCs w:val="19"/>
          <w:lang w:eastAsia="pl-PL"/>
        </w:rPr>
        <w:t>218</w:t>
      </w:r>
      <w:r w:rsidRPr="005417CB">
        <w:rPr>
          <w:rFonts w:eastAsia="Times New Roman" w:cs="Times New Roman"/>
          <w:szCs w:val="19"/>
          <w:lang w:eastAsia="pl-PL"/>
        </w:rPr>
        <w:t>,</w:t>
      </w:r>
      <w:r w:rsidR="00B41DDD" w:rsidRPr="005417CB">
        <w:rPr>
          <w:rFonts w:eastAsia="Times New Roman" w:cs="Times New Roman"/>
          <w:szCs w:val="19"/>
          <w:lang w:eastAsia="pl-PL"/>
        </w:rPr>
        <w:t>4</w:t>
      </w:r>
      <w:r w:rsidRPr="005417CB">
        <w:rPr>
          <w:rFonts w:eastAsia="Times New Roman" w:cs="Times New Roman"/>
          <w:szCs w:val="19"/>
          <w:lang w:eastAsia="pl-PL"/>
        </w:rPr>
        <w:t xml:space="preserve"> mld zł </w:t>
      </w:r>
      <w:r w:rsidR="006D7790" w:rsidRPr="005417CB">
        <w:rPr>
          <w:rFonts w:eastAsia="Times New Roman" w:cs="Times New Roman"/>
          <w:szCs w:val="19"/>
          <w:lang w:eastAsia="pl-PL"/>
        </w:rPr>
        <w:t>w</w:t>
      </w:r>
      <w:r w:rsidR="000E6E4F" w:rsidRPr="005417CB">
        <w:rPr>
          <w:rFonts w:eastAsia="Times New Roman" w:cs="Times New Roman"/>
          <w:szCs w:val="19"/>
          <w:lang w:eastAsia="pl-PL"/>
        </w:rPr>
        <w:t xml:space="preserve"> </w:t>
      </w:r>
      <w:r w:rsidR="006D7790" w:rsidRPr="005417CB">
        <w:rPr>
          <w:rFonts w:eastAsia="Times New Roman" w:cs="Times New Roman"/>
          <w:szCs w:val="19"/>
          <w:lang w:eastAsia="pl-PL"/>
        </w:rPr>
        <w:t>2024 r.</w:t>
      </w:r>
      <w:r w:rsidRPr="005417CB">
        <w:rPr>
          <w:rFonts w:eastAsia="Times New Roman" w:cs="Times New Roman"/>
          <w:szCs w:val="19"/>
          <w:lang w:eastAsia="pl-PL"/>
        </w:rPr>
        <w:t xml:space="preserve">), a jego obciążenia ukształtowały się na poziomie </w:t>
      </w:r>
      <w:r w:rsidR="00B41DDD" w:rsidRPr="005417CB">
        <w:rPr>
          <w:rFonts w:eastAsia="Times New Roman" w:cs="Times New Roman"/>
          <w:szCs w:val="19"/>
          <w:lang w:eastAsia="pl-PL"/>
        </w:rPr>
        <w:t>48</w:t>
      </w:r>
      <w:r w:rsidRPr="005417CB">
        <w:rPr>
          <w:rFonts w:eastAsia="Times New Roman" w:cs="Times New Roman"/>
          <w:szCs w:val="19"/>
          <w:lang w:eastAsia="pl-PL"/>
        </w:rPr>
        <w:t>,</w:t>
      </w:r>
      <w:r w:rsidR="00B41DDD" w:rsidRPr="005417CB">
        <w:rPr>
          <w:rFonts w:eastAsia="Times New Roman" w:cs="Times New Roman"/>
          <w:szCs w:val="19"/>
          <w:lang w:eastAsia="pl-PL"/>
        </w:rPr>
        <w:t>3</w:t>
      </w:r>
      <w:r w:rsidRPr="005417CB">
        <w:rPr>
          <w:rFonts w:eastAsia="Times New Roman" w:cs="Times New Roman"/>
          <w:szCs w:val="19"/>
          <w:lang w:eastAsia="pl-PL"/>
        </w:rPr>
        <w:t xml:space="preserve"> mld zł (wobec </w:t>
      </w:r>
      <w:r w:rsidR="00B41DDD" w:rsidRPr="005417CB">
        <w:rPr>
          <w:rFonts w:eastAsia="Times New Roman" w:cs="Times New Roman"/>
          <w:szCs w:val="19"/>
          <w:lang w:eastAsia="pl-PL"/>
        </w:rPr>
        <w:t>44</w:t>
      </w:r>
      <w:r w:rsidRPr="005417CB">
        <w:rPr>
          <w:rFonts w:eastAsia="Times New Roman" w:cs="Times New Roman"/>
          <w:szCs w:val="19"/>
          <w:lang w:eastAsia="pl-PL"/>
        </w:rPr>
        <w:t>,</w:t>
      </w:r>
      <w:r w:rsidR="00B41DDD" w:rsidRPr="005417CB">
        <w:rPr>
          <w:rFonts w:eastAsia="Times New Roman" w:cs="Times New Roman"/>
          <w:szCs w:val="19"/>
          <w:lang w:eastAsia="pl-PL"/>
        </w:rPr>
        <w:t>7</w:t>
      </w:r>
      <w:r w:rsidRPr="005417CB">
        <w:rPr>
          <w:rFonts w:eastAsia="Times New Roman" w:cs="Times New Roman"/>
          <w:szCs w:val="19"/>
          <w:lang w:eastAsia="pl-PL"/>
        </w:rPr>
        <w:t xml:space="preserve"> mld zł przed rokiem). Wynik finansowy netto </w:t>
      </w:r>
      <w:r w:rsidR="003C55A7" w:rsidRPr="005417CB">
        <w:rPr>
          <w:rFonts w:eastAsia="Times New Roman" w:cs="Times New Roman"/>
          <w:szCs w:val="19"/>
          <w:lang w:eastAsia="pl-PL"/>
        </w:rPr>
        <w:t>osiągnął</w:t>
      </w:r>
      <w:r w:rsidRPr="005417CB">
        <w:rPr>
          <w:rFonts w:eastAsia="Times New Roman" w:cs="Times New Roman"/>
          <w:szCs w:val="19"/>
          <w:lang w:eastAsia="pl-PL"/>
        </w:rPr>
        <w:t xml:space="preserve"> </w:t>
      </w:r>
      <w:r w:rsidR="00672EBA" w:rsidRPr="005417CB">
        <w:rPr>
          <w:rFonts w:eastAsia="Times New Roman" w:cs="Times New Roman"/>
          <w:szCs w:val="19"/>
          <w:lang w:eastAsia="pl-PL"/>
        </w:rPr>
        <w:t xml:space="preserve">poziom </w:t>
      </w:r>
      <w:r w:rsidR="00825D6E" w:rsidRPr="005417CB">
        <w:rPr>
          <w:rFonts w:eastAsia="Times New Roman" w:cs="Times New Roman"/>
          <w:szCs w:val="19"/>
          <w:lang w:eastAsia="pl-PL"/>
        </w:rPr>
        <w:t>1</w:t>
      </w:r>
      <w:r w:rsidR="00B41DDD" w:rsidRPr="005417CB">
        <w:rPr>
          <w:rFonts w:eastAsia="Times New Roman" w:cs="Times New Roman"/>
          <w:szCs w:val="19"/>
          <w:lang w:eastAsia="pl-PL"/>
        </w:rPr>
        <w:t>97</w:t>
      </w:r>
      <w:r w:rsidRPr="005417CB">
        <w:rPr>
          <w:rFonts w:eastAsia="Times New Roman" w:cs="Times New Roman"/>
          <w:szCs w:val="19"/>
          <w:lang w:eastAsia="pl-PL"/>
        </w:rPr>
        <w:t>,</w:t>
      </w:r>
      <w:r w:rsidR="00B41DDD" w:rsidRPr="005417CB">
        <w:rPr>
          <w:rFonts w:eastAsia="Times New Roman" w:cs="Times New Roman"/>
          <w:szCs w:val="19"/>
          <w:lang w:eastAsia="pl-PL"/>
        </w:rPr>
        <w:t>1</w:t>
      </w:r>
      <w:r w:rsidRPr="005417CB">
        <w:rPr>
          <w:rFonts w:eastAsia="Times New Roman" w:cs="Times New Roman"/>
          <w:szCs w:val="19"/>
          <w:lang w:eastAsia="pl-PL"/>
        </w:rPr>
        <w:t xml:space="preserve"> mld zł i był </w:t>
      </w:r>
      <w:r w:rsidR="001D373B" w:rsidRPr="005417CB">
        <w:rPr>
          <w:rFonts w:eastAsia="Times New Roman" w:cs="Times New Roman"/>
          <w:szCs w:val="19"/>
          <w:lang w:eastAsia="pl-PL"/>
        </w:rPr>
        <w:t>wyższy</w:t>
      </w:r>
      <w:r w:rsidRPr="005417CB">
        <w:rPr>
          <w:rFonts w:eastAsia="Times New Roman" w:cs="Times New Roman"/>
          <w:szCs w:val="19"/>
          <w:lang w:eastAsia="pl-PL"/>
        </w:rPr>
        <w:t xml:space="preserve"> o </w:t>
      </w:r>
      <w:r w:rsidR="00ED17A7" w:rsidRPr="005417CB">
        <w:rPr>
          <w:rFonts w:eastAsia="Times New Roman" w:cs="Times New Roman"/>
          <w:szCs w:val="19"/>
          <w:lang w:eastAsia="pl-PL"/>
        </w:rPr>
        <w:t>1</w:t>
      </w:r>
      <w:r w:rsidR="00B41DDD" w:rsidRPr="005417CB">
        <w:rPr>
          <w:rFonts w:eastAsia="Times New Roman" w:cs="Times New Roman"/>
          <w:szCs w:val="19"/>
          <w:lang w:eastAsia="pl-PL"/>
        </w:rPr>
        <w:t>3</w:t>
      </w:r>
      <w:r w:rsidRPr="005417CB">
        <w:rPr>
          <w:rFonts w:eastAsia="Times New Roman" w:cs="Times New Roman"/>
          <w:szCs w:val="19"/>
          <w:lang w:eastAsia="pl-PL"/>
        </w:rPr>
        <w:t>,</w:t>
      </w:r>
      <w:r w:rsidR="00B41DDD" w:rsidRPr="005417CB">
        <w:rPr>
          <w:rFonts w:eastAsia="Times New Roman" w:cs="Times New Roman"/>
          <w:szCs w:val="19"/>
          <w:lang w:eastAsia="pl-PL"/>
        </w:rPr>
        <w:t>5</w:t>
      </w:r>
      <w:r w:rsidRPr="005417CB">
        <w:rPr>
          <w:rFonts w:eastAsia="Times New Roman" w:cs="Times New Roman"/>
          <w:szCs w:val="19"/>
          <w:lang w:eastAsia="pl-PL"/>
        </w:rPr>
        <w:t xml:space="preserve">% niż </w:t>
      </w:r>
      <w:r w:rsidR="006D7790" w:rsidRPr="005417CB">
        <w:rPr>
          <w:rFonts w:eastAsia="Times New Roman" w:cs="Times New Roman"/>
          <w:szCs w:val="19"/>
          <w:lang w:eastAsia="pl-PL"/>
        </w:rPr>
        <w:t>rok wcześniej</w:t>
      </w:r>
      <w:r w:rsidRPr="005417CB">
        <w:rPr>
          <w:rFonts w:eastAsia="Times New Roman" w:cs="Times New Roman"/>
          <w:szCs w:val="19"/>
          <w:lang w:eastAsia="pl-PL"/>
        </w:rPr>
        <w:t xml:space="preserve">. Zysk netto wyniósł </w:t>
      </w:r>
      <w:r w:rsidR="00B41DDD" w:rsidRPr="005417CB">
        <w:rPr>
          <w:rFonts w:eastAsia="Times New Roman" w:cs="Times New Roman"/>
          <w:szCs w:val="19"/>
          <w:lang w:eastAsia="pl-PL"/>
        </w:rPr>
        <w:t>261</w:t>
      </w:r>
      <w:r w:rsidRPr="005417CB">
        <w:rPr>
          <w:rFonts w:eastAsia="Times New Roman" w:cs="Times New Roman"/>
          <w:szCs w:val="19"/>
          <w:lang w:eastAsia="pl-PL"/>
        </w:rPr>
        <w:t>,</w:t>
      </w:r>
      <w:r w:rsidR="00F33FD9" w:rsidRPr="005417CB">
        <w:rPr>
          <w:rFonts w:eastAsia="Times New Roman" w:cs="Times New Roman"/>
          <w:szCs w:val="19"/>
          <w:lang w:eastAsia="pl-PL"/>
        </w:rPr>
        <w:t>3</w:t>
      </w:r>
      <w:r w:rsidRPr="005417CB">
        <w:rPr>
          <w:rFonts w:eastAsia="Times New Roman" w:cs="Times New Roman"/>
          <w:szCs w:val="19"/>
          <w:lang w:eastAsia="pl-PL"/>
        </w:rPr>
        <w:t xml:space="preserve"> mld zł i był </w:t>
      </w:r>
      <w:r w:rsidR="002C1BD6" w:rsidRPr="005417CB">
        <w:rPr>
          <w:rFonts w:eastAsia="Times New Roman" w:cs="Times New Roman"/>
          <w:szCs w:val="19"/>
          <w:lang w:eastAsia="pl-PL"/>
        </w:rPr>
        <w:t>wyższy</w:t>
      </w:r>
      <w:r w:rsidRPr="005417CB">
        <w:rPr>
          <w:rFonts w:eastAsia="Times New Roman" w:cs="Times New Roman"/>
          <w:szCs w:val="19"/>
          <w:lang w:eastAsia="pl-PL"/>
        </w:rPr>
        <w:t xml:space="preserve"> o </w:t>
      </w:r>
      <w:r w:rsidR="00F33FD9" w:rsidRPr="005417CB">
        <w:rPr>
          <w:rFonts w:eastAsia="Times New Roman" w:cs="Times New Roman"/>
          <w:szCs w:val="19"/>
          <w:lang w:eastAsia="pl-PL"/>
        </w:rPr>
        <w:t>1</w:t>
      </w:r>
      <w:r w:rsidR="009826BB" w:rsidRPr="005417CB">
        <w:rPr>
          <w:rFonts w:eastAsia="Times New Roman" w:cs="Times New Roman"/>
          <w:szCs w:val="19"/>
          <w:lang w:eastAsia="pl-PL"/>
        </w:rPr>
        <w:t>8</w:t>
      </w:r>
      <w:r w:rsidRPr="005417CB">
        <w:rPr>
          <w:rFonts w:eastAsia="Times New Roman" w:cs="Times New Roman"/>
          <w:szCs w:val="19"/>
          <w:lang w:eastAsia="pl-PL"/>
        </w:rPr>
        <w:t>,</w:t>
      </w:r>
      <w:r w:rsidR="009826BB" w:rsidRPr="005417CB">
        <w:rPr>
          <w:rFonts w:eastAsia="Times New Roman" w:cs="Times New Roman"/>
          <w:szCs w:val="19"/>
          <w:lang w:eastAsia="pl-PL"/>
        </w:rPr>
        <w:t>6</w:t>
      </w:r>
      <w:r w:rsidRPr="005417CB">
        <w:rPr>
          <w:rFonts w:eastAsia="Times New Roman" w:cs="Times New Roman"/>
          <w:szCs w:val="19"/>
          <w:lang w:eastAsia="pl-PL"/>
        </w:rPr>
        <w:t xml:space="preserve"> mld zł </w:t>
      </w:r>
      <w:r w:rsidR="00481A89" w:rsidRPr="005417CB">
        <w:rPr>
          <w:rFonts w:eastAsia="Times New Roman" w:cs="Times New Roman"/>
          <w:szCs w:val="19"/>
          <w:lang w:eastAsia="pl-PL"/>
        </w:rPr>
        <w:t xml:space="preserve">(o </w:t>
      </w:r>
      <w:r w:rsidR="00ED17A7" w:rsidRPr="005417CB">
        <w:rPr>
          <w:rFonts w:eastAsia="Times New Roman" w:cs="Times New Roman"/>
          <w:szCs w:val="19"/>
          <w:lang w:eastAsia="pl-PL"/>
        </w:rPr>
        <w:t>7</w:t>
      </w:r>
      <w:r w:rsidR="00481A89" w:rsidRPr="005417CB">
        <w:rPr>
          <w:rFonts w:eastAsia="Times New Roman" w:cs="Times New Roman"/>
          <w:szCs w:val="19"/>
          <w:lang w:eastAsia="pl-PL"/>
        </w:rPr>
        <w:t>,</w:t>
      </w:r>
      <w:r w:rsidR="00B41DDD" w:rsidRPr="005417CB">
        <w:rPr>
          <w:rFonts w:eastAsia="Times New Roman" w:cs="Times New Roman"/>
          <w:szCs w:val="19"/>
          <w:lang w:eastAsia="pl-PL"/>
        </w:rPr>
        <w:t>7</w:t>
      </w:r>
      <w:r w:rsidR="00481A89" w:rsidRPr="005417CB">
        <w:rPr>
          <w:rFonts w:eastAsia="Times New Roman" w:cs="Times New Roman"/>
          <w:szCs w:val="19"/>
          <w:lang w:eastAsia="pl-PL"/>
        </w:rPr>
        <w:t xml:space="preserve">%) </w:t>
      </w:r>
      <w:r w:rsidRPr="005417CB">
        <w:rPr>
          <w:rFonts w:eastAsia="Times New Roman" w:cs="Times New Roman"/>
          <w:szCs w:val="19"/>
          <w:lang w:eastAsia="pl-PL"/>
        </w:rPr>
        <w:t>od uzyskanego w</w:t>
      </w:r>
      <w:r w:rsidR="000E6E4F" w:rsidRPr="005417CB">
        <w:rPr>
          <w:rFonts w:eastAsia="Times New Roman" w:cs="Times New Roman"/>
          <w:szCs w:val="19"/>
          <w:lang w:eastAsia="pl-PL"/>
        </w:rPr>
        <w:t xml:space="preserve"> </w:t>
      </w:r>
      <w:r w:rsidRPr="005417CB">
        <w:rPr>
          <w:rFonts w:eastAsia="Times New Roman" w:cs="Times New Roman"/>
          <w:szCs w:val="19"/>
          <w:lang w:eastAsia="pl-PL"/>
        </w:rPr>
        <w:t>202</w:t>
      </w:r>
      <w:r w:rsidR="006D7790" w:rsidRPr="005417CB">
        <w:rPr>
          <w:rFonts w:eastAsia="Times New Roman" w:cs="Times New Roman"/>
          <w:szCs w:val="19"/>
          <w:lang w:eastAsia="pl-PL"/>
        </w:rPr>
        <w:t>4</w:t>
      </w:r>
      <w:r w:rsidR="00672EBA" w:rsidRPr="005417CB">
        <w:rPr>
          <w:rFonts w:eastAsia="Times New Roman" w:cs="Times New Roman"/>
          <w:szCs w:val="19"/>
          <w:lang w:eastAsia="pl-PL"/>
        </w:rPr>
        <w:t> </w:t>
      </w:r>
      <w:r w:rsidRPr="005417CB">
        <w:rPr>
          <w:rFonts w:eastAsia="Times New Roman" w:cs="Times New Roman"/>
          <w:szCs w:val="19"/>
          <w:lang w:eastAsia="pl-PL"/>
        </w:rPr>
        <w:t>r</w:t>
      </w:r>
      <w:r w:rsidR="006D7790" w:rsidRPr="005417CB">
        <w:rPr>
          <w:rFonts w:eastAsia="Times New Roman" w:cs="Times New Roman"/>
          <w:szCs w:val="19"/>
          <w:lang w:eastAsia="pl-PL"/>
        </w:rPr>
        <w:t>.</w:t>
      </w:r>
      <w:r w:rsidRPr="005417CB">
        <w:rPr>
          <w:rFonts w:eastAsia="Times New Roman" w:cs="Times New Roman"/>
          <w:szCs w:val="19"/>
          <w:lang w:eastAsia="pl-PL"/>
        </w:rPr>
        <w:t xml:space="preserve">, a strata netto </w:t>
      </w:r>
      <w:r w:rsidR="00BA28A5" w:rsidRPr="005417CB">
        <w:rPr>
          <w:rFonts w:eastAsia="Times New Roman" w:cs="Times New Roman"/>
          <w:szCs w:val="19"/>
          <w:lang w:eastAsia="pl-PL"/>
        </w:rPr>
        <w:t>–</w:t>
      </w:r>
      <w:r w:rsidRPr="005417CB">
        <w:rPr>
          <w:rFonts w:eastAsia="Times New Roman" w:cs="Times New Roman"/>
          <w:szCs w:val="19"/>
          <w:lang w:eastAsia="pl-PL"/>
        </w:rPr>
        <w:t xml:space="preserve"> </w:t>
      </w:r>
      <w:r w:rsidR="00B41DDD" w:rsidRPr="005417CB">
        <w:rPr>
          <w:rFonts w:eastAsia="Times New Roman" w:cs="Times New Roman"/>
          <w:szCs w:val="19"/>
          <w:lang w:eastAsia="pl-PL"/>
        </w:rPr>
        <w:t>64</w:t>
      </w:r>
      <w:r w:rsidRPr="005417CB">
        <w:rPr>
          <w:rFonts w:eastAsia="Times New Roman" w:cs="Times New Roman"/>
          <w:szCs w:val="19"/>
          <w:lang w:eastAsia="pl-PL"/>
        </w:rPr>
        <w:t>,</w:t>
      </w:r>
      <w:r w:rsidR="00B41DDD" w:rsidRPr="005417CB">
        <w:rPr>
          <w:rFonts w:eastAsia="Times New Roman" w:cs="Times New Roman"/>
          <w:szCs w:val="19"/>
          <w:lang w:eastAsia="pl-PL"/>
        </w:rPr>
        <w:t>2</w:t>
      </w:r>
      <w:r w:rsidRPr="005417CB">
        <w:rPr>
          <w:rFonts w:eastAsia="Times New Roman" w:cs="Times New Roman"/>
          <w:szCs w:val="19"/>
          <w:lang w:eastAsia="pl-PL"/>
        </w:rPr>
        <w:t xml:space="preserve"> mld zł</w:t>
      </w:r>
      <w:r w:rsidR="00B41DDD" w:rsidRPr="005417CB">
        <w:rPr>
          <w:rFonts w:eastAsia="Times New Roman" w:cs="Times New Roman"/>
          <w:szCs w:val="19"/>
          <w:lang w:eastAsia="pl-PL"/>
        </w:rPr>
        <w:t xml:space="preserve"> i była niższa o 4,8 mld </w:t>
      </w:r>
      <w:r w:rsidR="00B41DDD" w:rsidRPr="003E3E08">
        <w:rPr>
          <w:rFonts w:eastAsia="Times New Roman" w:cs="Times New Roman"/>
          <w:szCs w:val="19"/>
          <w:lang w:eastAsia="pl-PL"/>
        </w:rPr>
        <w:t xml:space="preserve">zł </w:t>
      </w:r>
      <w:r w:rsidR="003C7EA6" w:rsidRPr="003E3E08">
        <w:rPr>
          <w:rFonts w:eastAsia="Times New Roman" w:cs="Times New Roman"/>
          <w:szCs w:val="19"/>
          <w:lang w:eastAsia="pl-PL"/>
        </w:rPr>
        <w:t>w skali roku</w:t>
      </w:r>
      <w:r w:rsidR="005661F4" w:rsidRPr="003E3E08">
        <w:rPr>
          <w:rFonts w:eastAsia="Times New Roman" w:cs="Times New Roman"/>
          <w:szCs w:val="19"/>
          <w:lang w:eastAsia="pl-PL"/>
        </w:rPr>
        <w:t xml:space="preserve">. </w:t>
      </w:r>
      <w:r w:rsidR="004423DF" w:rsidRPr="003E3E08">
        <w:rPr>
          <w:rFonts w:eastAsia="Times New Roman" w:cs="Times New Roman"/>
          <w:szCs w:val="19"/>
          <w:lang w:eastAsia="pl-PL"/>
        </w:rPr>
        <w:t xml:space="preserve">Zysk </w:t>
      </w:r>
      <w:r w:rsidR="004423DF" w:rsidRPr="005417CB">
        <w:rPr>
          <w:rFonts w:eastAsia="Times New Roman" w:cs="Times New Roman"/>
          <w:szCs w:val="19"/>
          <w:lang w:eastAsia="pl-PL"/>
        </w:rPr>
        <w:t xml:space="preserve">netto wykazało </w:t>
      </w:r>
      <w:r w:rsidR="00B93242" w:rsidRPr="005417CB">
        <w:rPr>
          <w:rFonts w:eastAsia="Times New Roman" w:cs="Times New Roman"/>
          <w:szCs w:val="19"/>
          <w:lang w:eastAsia="pl-PL"/>
        </w:rPr>
        <w:t>7</w:t>
      </w:r>
      <w:r w:rsidR="00194921" w:rsidRPr="005417CB">
        <w:rPr>
          <w:rFonts w:eastAsia="Times New Roman" w:cs="Times New Roman"/>
          <w:szCs w:val="19"/>
          <w:lang w:eastAsia="pl-PL"/>
        </w:rPr>
        <w:t>8</w:t>
      </w:r>
      <w:r w:rsidR="004423DF" w:rsidRPr="005417CB">
        <w:rPr>
          <w:rFonts w:eastAsia="Times New Roman" w:cs="Times New Roman"/>
          <w:szCs w:val="19"/>
          <w:lang w:eastAsia="pl-PL"/>
        </w:rPr>
        <w:t>,</w:t>
      </w:r>
      <w:r w:rsidR="00D87623" w:rsidRPr="005417CB">
        <w:rPr>
          <w:rFonts w:eastAsia="Times New Roman" w:cs="Times New Roman"/>
          <w:szCs w:val="19"/>
          <w:lang w:eastAsia="pl-PL"/>
        </w:rPr>
        <w:t>1</w:t>
      </w:r>
      <w:r w:rsidR="004423DF" w:rsidRPr="005417CB">
        <w:rPr>
          <w:rFonts w:eastAsia="Times New Roman" w:cs="Times New Roman"/>
          <w:szCs w:val="19"/>
          <w:lang w:eastAsia="pl-PL"/>
        </w:rPr>
        <w:t xml:space="preserve">% ogółu przedsiębiorstw (wobec </w:t>
      </w:r>
      <w:r w:rsidR="00B4650C" w:rsidRPr="005417CB">
        <w:rPr>
          <w:rFonts w:eastAsia="Times New Roman" w:cs="Times New Roman"/>
          <w:szCs w:val="19"/>
          <w:lang w:eastAsia="pl-PL"/>
        </w:rPr>
        <w:t>7</w:t>
      </w:r>
      <w:r w:rsidR="00B41DDD" w:rsidRPr="005417CB">
        <w:rPr>
          <w:rFonts w:eastAsia="Times New Roman" w:cs="Times New Roman"/>
          <w:szCs w:val="19"/>
          <w:lang w:eastAsia="pl-PL"/>
        </w:rPr>
        <w:t>7</w:t>
      </w:r>
      <w:r w:rsidR="004423DF" w:rsidRPr="005417CB">
        <w:rPr>
          <w:rFonts w:eastAsia="Times New Roman" w:cs="Times New Roman"/>
          <w:szCs w:val="19"/>
          <w:lang w:eastAsia="pl-PL"/>
        </w:rPr>
        <w:t>,</w:t>
      </w:r>
      <w:r w:rsidR="00B41DDD" w:rsidRPr="005417CB">
        <w:rPr>
          <w:rFonts w:eastAsia="Times New Roman" w:cs="Times New Roman"/>
          <w:szCs w:val="19"/>
          <w:lang w:eastAsia="pl-PL"/>
        </w:rPr>
        <w:t>2</w:t>
      </w:r>
      <w:r w:rsidR="004423DF" w:rsidRPr="005417CB">
        <w:rPr>
          <w:rFonts w:eastAsia="Times New Roman" w:cs="Times New Roman"/>
          <w:szCs w:val="19"/>
          <w:lang w:eastAsia="pl-PL"/>
        </w:rPr>
        <w:t>% rok wcześniej</w:t>
      </w:r>
      <w:r w:rsidR="004423DF" w:rsidRPr="003E3E08">
        <w:rPr>
          <w:rFonts w:eastAsia="Times New Roman" w:cs="Times New Roman"/>
          <w:szCs w:val="19"/>
          <w:lang w:eastAsia="pl-PL"/>
        </w:rPr>
        <w:t xml:space="preserve">), a uzyskane przez nie przychody stanowiły </w:t>
      </w:r>
      <w:r w:rsidR="00BD6E8E" w:rsidRPr="00B8006D">
        <w:rPr>
          <w:rFonts w:eastAsia="Times New Roman" w:cs="Times New Roman"/>
          <w:szCs w:val="19"/>
          <w:lang w:eastAsia="pl-PL"/>
        </w:rPr>
        <w:t>8</w:t>
      </w:r>
      <w:r w:rsidR="00194921" w:rsidRPr="00B8006D">
        <w:rPr>
          <w:rFonts w:eastAsia="Times New Roman" w:cs="Times New Roman"/>
          <w:szCs w:val="19"/>
          <w:lang w:eastAsia="pl-PL"/>
        </w:rPr>
        <w:t>5</w:t>
      </w:r>
      <w:r w:rsidR="004423DF" w:rsidRPr="00B8006D">
        <w:rPr>
          <w:rFonts w:eastAsia="Times New Roman" w:cs="Times New Roman"/>
          <w:szCs w:val="19"/>
          <w:lang w:eastAsia="pl-PL"/>
        </w:rPr>
        <w:t>,</w:t>
      </w:r>
      <w:r w:rsidR="00194921" w:rsidRPr="00B8006D">
        <w:rPr>
          <w:rFonts w:eastAsia="Times New Roman" w:cs="Times New Roman"/>
          <w:szCs w:val="19"/>
          <w:lang w:eastAsia="pl-PL"/>
        </w:rPr>
        <w:t>1</w:t>
      </w:r>
      <w:r w:rsidR="004423DF" w:rsidRPr="00B8006D">
        <w:rPr>
          <w:rFonts w:eastAsia="Times New Roman" w:cs="Times New Roman"/>
          <w:szCs w:val="19"/>
          <w:lang w:eastAsia="pl-PL"/>
        </w:rPr>
        <w:t xml:space="preserve">% przychodów ogółem badanych przedsiębiorstw (wobec </w:t>
      </w:r>
      <w:r w:rsidR="00BF568E" w:rsidRPr="00B8006D">
        <w:rPr>
          <w:rFonts w:eastAsia="Times New Roman" w:cs="Times New Roman"/>
          <w:szCs w:val="19"/>
          <w:lang w:eastAsia="pl-PL"/>
        </w:rPr>
        <w:t>8</w:t>
      </w:r>
      <w:r w:rsidR="00B41DDD" w:rsidRPr="00B8006D">
        <w:rPr>
          <w:rFonts w:eastAsia="Times New Roman" w:cs="Times New Roman"/>
          <w:szCs w:val="19"/>
          <w:lang w:eastAsia="pl-PL"/>
        </w:rPr>
        <w:t>2</w:t>
      </w:r>
      <w:r w:rsidR="004423DF" w:rsidRPr="00B8006D">
        <w:rPr>
          <w:rFonts w:eastAsia="Times New Roman" w:cs="Times New Roman"/>
          <w:szCs w:val="19"/>
          <w:lang w:eastAsia="pl-PL"/>
        </w:rPr>
        <w:t>,</w:t>
      </w:r>
      <w:r w:rsidR="00B41DDD" w:rsidRPr="00B8006D">
        <w:rPr>
          <w:rFonts w:eastAsia="Times New Roman" w:cs="Times New Roman"/>
          <w:szCs w:val="19"/>
          <w:lang w:eastAsia="pl-PL"/>
        </w:rPr>
        <w:t>9</w:t>
      </w:r>
      <w:r w:rsidR="004423DF" w:rsidRPr="00B8006D">
        <w:rPr>
          <w:rFonts w:eastAsia="Times New Roman" w:cs="Times New Roman"/>
          <w:szCs w:val="19"/>
          <w:lang w:eastAsia="pl-PL"/>
        </w:rPr>
        <w:t xml:space="preserve">% przed rokiem). W przetwórstwie przemysłowym zysk netto odnotowało </w:t>
      </w:r>
      <w:r w:rsidR="00DE7C20" w:rsidRPr="00B8006D">
        <w:rPr>
          <w:rFonts w:eastAsia="Times New Roman" w:cs="Times New Roman"/>
          <w:szCs w:val="19"/>
          <w:lang w:eastAsia="pl-PL"/>
        </w:rPr>
        <w:t>7</w:t>
      </w:r>
      <w:r w:rsidR="00F957DB" w:rsidRPr="00B8006D">
        <w:rPr>
          <w:rFonts w:eastAsia="Times New Roman" w:cs="Times New Roman"/>
          <w:szCs w:val="19"/>
          <w:lang w:eastAsia="pl-PL"/>
        </w:rPr>
        <w:t>5</w:t>
      </w:r>
      <w:r w:rsidR="004423DF" w:rsidRPr="00B8006D">
        <w:rPr>
          <w:rFonts w:eastAsia="Times New Roman" w:cs="Times New Roman"/>
          <w:szCs w:val="19"/>
          <w:lang w:eastAsia="pl-PL"/>
        </w:rPr>
        <w:t>,</w:t>
      </w:r>
      <w:r w:rsidR="00F957DB" w:rsidRPr="00B8006D">
        <w:rPr>
          <w:rFonts w:eastAsia="Times New Roman" w:cs="Times New Roman"/>
          <w:szCs w:val="19"/>
          <w:lang w:eastAsia="pl-PL"/>
        </w:rPr>
        <w:t>8</w:t>
      </w:r>
      <w:r w:rsidR="004423DF" w:rsidRPr="00B8006D">
        <w:rPr>
          <w:rFonts w:eastAsia="Times New Roman" w:cs="Times New Roman"/>
          <w:szCs w:val="19"/>
          <w:lang w:eastAsia="pl-PL"/>
        </w:rPr>
        <w:t>% jednostek (</w:t>
      </w:r>
      <w:r w:rsidR="008F039F" w:rsidRPr="00B8006D">
        <w:rPr>
          <w:rFonts w:eastAsia="Times New Roman" w:cs="Times New Roman"/>
          <w:szCs w:val="19"/>
          <w:lang w:eastAsia="pl-PL"/>
        </w:rPr>
        <w:t>7</w:t>
      </w:r>
      <w:r w:rsidR="00B41DDD" w:rsidRPr="00B8006D">
        <w:rPr>
          <w:rFonts w:eastAsia="Times New Roman" w:cs="Times New Roman"/>
          <w:szCs w:val="19"/>
          <w:lang w:eastAsia="pl-PL"/>
        </w:rPr>
        <w:t>4</w:t>
      </w:r>
      <w:r w:rsidR="004423DF" w:rsidRPr="00B8006D">
        <w:rPr>
          <w:rFonts w:eastAsia="Times New Roman" w:cs="Times New Roman"/>
          <w:szCs w:val="19"/>
          <w:lang w:eastAsia="pl-PL"/>
        </w:rPr>
        <w:t>,</w:t>
      </w:r>
      <w:r w:rsidR="00B41DDD" w:rsidRPr="00B8006D">
        <w:rPr>
          <w:rFonts w:eastAsia="Times New Roman" w:cs="Times New Roman"/>
          <w:szCs w:val="19"/>
          <w:lang w:eastAsia="pl-PL"/>
        </w:rPr>
        <w:t>8</w:t>
      </w:r>
      <w:r w:rsidR="004423DF" w:rsidRPr="00B8006D">
        <w:rPr>
          <w:rFonts w:eastAsia="Times New Roman" w:cs="Times New Roman"/>
          <w:szCs w:val="19"/>
          <w:lang w:eastAsia="pl-PL"/>
        </w:rPr>
        <w:t>%</w:t>
      </w:r>
      <w:r w:rsidR="00BA2B4B" w:rsidRPr="00B8006D">
        <w:rPr>
          <w:rFonts w:eastAsia="Times New Roman" w:cs="Times New Roman"/>
          <w:szCs w:val="19"/>
          <w:lang w:eastAsia="pl-PL"/>
        </w:rPr>
        <w:t xml:space="preserve"> rok wcześniej</w:t>
      </w:r>
      <w:r w:rsidR="004423DF" w:rsidRPr="00B8006D">
        <w:rPr>
          <w:rFonts w:eastAsia="Times New Roman" w:cs="Times New Roman"/>
          <w:szCs w:val="19"/>
          <w:lang w:eastAsia="pl-PL"/>
        </w:rPr>
        <w:t xml:space="preserve">), a udział uzyskanych przez nie przychodów w przychodach wszystkich podmiotów tej sekcji wyniósł </w:t>
      </w:r>
      <w:r w:rsidR="00303F90" w:rsidRPr="00B8006D">
        <w:rPr>
          <w:rFonts w:eastAsia="Times New Roman" w:cs="Times New Roman"/>
          <w:szCs w:val="19"/>
          <w:lang w:eastAsia="pl-PL"/>
        </w:rPr>
        <w:t>8</w:t>
      </w:r>
      <w:r w:rsidR="00F957DB" w:rsidRPr="00B8006D">
        <w:rPr>
          <w:rFonts w:eastAsia="Times New Roman" w:cs="Times New Roman"/>
          <w:szCs w:val="19"/>
          <w:lang w:eastAsia="pl-PL"/>
        </w:rPr>
        <w:t>4</w:t>
      </w:r>
      <w:r w:rsidR="004423DF" w:rsidRPr="00B8006D">
        <w:rPr>
          <w:rFonts w:eastAsia="Times New Roman" w:cs="Times New Roman"/>
          <w:szCs w:val="19"/>
          <w:lang w:eastAsia="pl-PL"/>
        </w:rPr>
        <w:t>,</w:t>
      </w:r>
      <w:r w:rsidR="00F957DB" w:rsidRPr="00B8006D">
        <w:rPr>
          <w:rFonts w:eastAsia="Times New Roman" w:cs="Times New Roman"/>
          <w:szCs w:val="19"/>
          <w:lang w:eastAsia="pl-PL"/>
        </w:rPr>
        <w:t>4</w:t>
      </w:r>
      <w:r w:rsidR="004423DF" w:rsidRPr="00B8006D">
        <w:rPr>
          <w:rFonts w:eastAsia="Times New Roman" w:cs="Times New Roman"/>
          <w:szCs w:val="19"/>
          <w:lang w:eastAsia="pl-PL"/>
        </w:rPr>
        <w:t xml:space="preserve">% (wobec </w:t>
      </w:r>
      <w:r w:rsidR="008F039F" w:rsidRPr="00B8006D">
        <w:rPr>
          <w:rFonts w:eastAsia="Times New Roman" w:cs="Times New Roman"/>
          <w:szCs w:val="19"/>
          <w:lang w:eastAsia="pl-PL"/>
        </w:rPr>
        <w:t>8</w:t>
      </w:r>
      <w:r w:rsidR="00B41DDD" w:rsidRPr="00B8006D">
        <w:rPr>
          <w:rFonts w:eastAsia="Times New Roman" w:cs="Times New Roman"/>
          <w:szCs w:val="19"/>
          <w:lang w:eastAsia="pl-PL"/>
        </w:rPr>
        <w:t>3</w:t>
      </w:r>
      <w:r w:rsidR="004423DF" w:rsidRPr="00B8006D">
        <w:rPr>
          <w:rFonts w:eastAsia="Times New Roman" w:cs="Times New Roman"/>
          <w:szCs w:val="19"/>
          <w:lang w:eastAsia="pl-PL"/>
        </w:rPr>
        <w:t>,</w:t>
      </w:r>
      <w:r w:rsidR="00B41DDD" w:rsidRPr="00B8006D">
        <w:rPr>
          <w:rFonts w:eastAsia="Times New Roman" w:cs="Times New Roman"/>
          <w:szCs w:val="19"/>
          <w:lang w:eastAsia="pl-PL"/>
        </w:rPr>
        <w:t>7</w:t>
      </w:r>
      <w:r w:rsidR="004423DF" w:rsidRPr="00B8006D">
        <w:rPr>
          <w:rFonts w:eastAsia="Times New Roman" w:cs="Times New Roman"/>
          <w:szCs w:val="19"/>
          <w:lang w:eastAsia="pl-PL"/>
        </w:rPr>
        <w:t>% przed rokiem</w:t>
      </w:r>
      <w:r w:rsidR="002E6ED3" w:rsidRPr="00B8006D">
        <w:rPr>
          <w:rFonts w:eastAsia="Times New Roman" w:cs="Times New Roman"/>
          <w:szCs w:val="19"/>
          <w:lang w:eastAsia="pl-PL"/>
        </w:rPr>
        <w:t>).</w:t>
      </w:r>
    </w:p>
    <w:p w14:paraId="085CD6D9" w14:textId="2001A281" w:rsidR="000E1B8C" w:rsidRDefault="000B2172" w:rsidP="00D576E6">
      <w:pPr>
        <w:spacing w:before="360" w:line="240" w:lineRule="auto"/>
        <w:rPr>
          <w:rFonts w:eastAsia="Times New Roman" w:cs="Times New Roman"/>
          <w:b/>
          <w:szCs w:val="19"/>
          <w:lang w:eastAsia="pl-PL"/>
        </w:rPr>
      </w:pPr>
      <w:r w:rsidRPr="00520C81">
        <w:rPr>
          <w:rFonts w:eastAsia="Times New Roman" w:cs="Times New Roman"/>
          <w:b/>
          <w:szCs w:val="19"/>
          <w:lang w:eastAsia="pl-PL"/>
        </w:rPr>
        <w:t>Wy</w:t>
      </w:r>
      <w:r w:rsidR="009929D5" w:rsidRPr="00520C81">
        <w:rPr>
          <w:rFonts w:eastAsia="Times New Roman" w:cs="Times New Roman"/>
          <w:b/>
          <w:szCs w:val="19"/>
          <w:lang w:eastAsia="pl-PL"/>
        </w:rPr>
        <w:t>kres 1. Wskaźniki rentowności</w:t>
      </w:r>
      <w:r w:rsidR="00DF5AE6">
        <w:rPr>
          <w:rFonts w:eastAsia="Times New Roman" w:cs="Times New Roman"/>
          <w:b/>
          <w:szCs w:val="19"/>
          <w:lang w:eastAsia="pl-PL"/>
        </w:rPr>
        <w:t xml:space="preserve"> </w:t>
      </w:r>
      <w:r w:rsidR="00520C81">
        <w:rPr>
          <w:rFonts w:eastAsia="Times New Roman" w:cs="Times New Roman"/>
          <w:b/>
          <w:szCs w:val="19"/>
          <w:lang w:eastAsia="pl-PL"/>
        </w:rPr>
        <w:t>w latach 2006</w:t>
      </w:r>
      <w:r w:rsidR="007A36E1" w:rsidRPr="00520C81">
        <w:rPr>
          <w:rFonts w:eastAsia="Times New Roman" w:cs="Times New Roman"/>
          <w:b/>
          <w:szCs w:val="19"/>
          <w:lang w:eastAsia="pl-PL"/>
        </w:rPr>
        <w:t>–</w:t>
      </w:r>
      <w:r w:rsidR="00520C81">
        <w:rPr>
          <w:rFonts w:eastAsia="Times New Roman" w:cs="Times New Roman"/>
          <w:b/>
          <w:szCs w:val="19"/>
          <w:lang w:eastAsia="pl-PL"/>
        </w:rPr>
        <w:t>2025</w:t>
      </w:r>
    </w:p>
    <w:p w14:paraId="6CAB043E" w14:textId="77744DF3" w:rsidR="00997E02" w:rsidRDefault="005506A1" w:rsidP="000E1B8C">
      <w:pPr>
        <w:spacing w:line="288" w:lineRule="auto"/>
        <w:jc w:val="both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7BD4E46B" wp14:editId="1B96172E">
            <wp:extent cx="4876800" cy="2200232"/>
            <wp:effectExtent l="0" t="0" r="0" b="0"/>
            <wp:docPr id="3" name="Obraz 3" descr="Wykres liniowy. Dane do Wykresu 1. znajdują się w pliku XLSX pod nazwą: IS-05-tabl-20260323- Wyniki finansowe przedsiębiorstw niefinansowych w 2025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534" cy="2231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EAE50" w14:textId="77777777" w:rsidR="00136008" w:rsidRPr="00520C81" w:rsidRDefault="00136008" w:rsidP="00D576E6">
      <w:pPr>
        <w:pStyle w:val="LID"/>
        <w:spacing w:before="360" w:line="240" w:lineRule="auto"/>
        <w:contextualSpacing/>
      </w:pPr>
      <w:r w:rsidRPr="00520C81">
        <w:lastRenderedPageBreak/>
        <w:t xml:space="preserve">Tablica 1. Podstawowe dane o badanych </w:t>
      </w:r>
      <w:r w:rsidR="005654AA" w:rsidRPr="00520C81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odstawowe dane o badanych przedsiębiorstwach niefinansowych"/>
        <w:tblDescription w:val="Tablica 1. Dane do tablicy 1. znajdują się w pliku XLSX pod nazwą: IS-05-tabl-20260323- Wyniki finansowe przedsiębiorstw niefinansowych w 2025 r. Tablica w formacie XLSX."/>
      </w:tblPr>
      <w:tblGrid>
        <w:gridCol w:w="3860"/>
        <w:gridCol w:w="1243"/>
        <w:gridCol w:w="1276"/>
        <w:gridCol w:w="1601"/>
      </w:tblGrid>
      <w:tr w:rsidR="00520C81" w:rsidRPr="00520C81" w14:paraId="0C1032E5" w14:textId="77777777" w:rsidTr="00F80F38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F023390" w14:textId="77777777" w:rsidR="00136008" w:rsidRPr="00520C81" w:rsidRDefault="00136008" w:rsidP="00EA59DE">
            <w:pPr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WYSZCZEGÓLNIENIE</w:t>
            </w:r>
          </w:p>
        </w:tc>
        <w:tc>
          <w:tcPr>
            <w:tcW w:w="12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28108EF" w14:textId="6510DDBA" w:rsidR="00136008" w:rsidRPr="00520C81" w:rsidRDefault="00236438" w:rsidP="005034D1">
            <w:pPr>
              <w:spacing w:line="288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01-</w:t>
            </w:r>
            <w:r w:rsidR="00583801">
              <w:rPr>
                <w:rFonts w:eastAsia="Times New Roman" w:cs="Calibri"/>
                <w:szCs w:val="19"/>
                <w:lang w:eastAsia="pl-PL"/>
              </w:rPr>
              <w:t>12</w:t>
            </w:r>
            <w:r w:rsidR="006C1E21" w:rsidRPr="00520C81">
              <w:rPr>
                <w:rFonts w:eastAsia="Times New Roman" w:cs="Calibri"/>
                <w:szCs w:val="19"/>
                <w:lang w:eastAsia="pl-PL"/>
              </w:rPr>
              <w:t xml:space="preserve"> 202</w:t>
            </w:r>
            <w:r w:rsidR="00870CFE" w:rsidRPr="00520C81">
              <w:rPr>
                <w:rFonts w:eastAsia="Times New Roman" w:cs="Calibri"/>
                <w:szCs w:val="19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B4088B3" w14:textId="2C3693C8" w:rsidR="00136008" w:rsidRPr="00520C81" w:rsidRDefault="00236438" w:rsidP="005034D1">
            <w:pPr>
              <w:spacing w:line="288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01-</w:t>
            </w:r>
            <w:r w:rsidR="00583801">
              <w:rPr>
                <w:rFonts w:eastAsia="Times New Roman" w:cs="Calibri"/>
                <w:szCs w:val="19"/>
                <w:lang w:eastAsia="pl-PL"/>
              </w:rPr>
              <w:t>12</w:t>
            </w:r>
            <w:r w:rsidR="006C1E21" w:rsidRPr="00520C81">
              <w:rPr>
                <w:rFonts w:eastAsia="Times New Roman" w:cs="Calibri"/>
                <w:szCs w:val="19"/>
                <w:lang w:eastAsia="pl-PL"/>
              </w:rPr>
              <w:t xml:space="preserve"> 202</w:t>
            </w:r>
            <w:r w:rsidR="002B57A2" w:rsidRPr="00520C81">
              <w:rPr>
                <w:rFonts w:eastAsia="Times New Roman" w:cs="Calibri"/>
                <w:szCs w:val="19"/>
                <w:lang w:eastAsia="pl-PL"/>
              </w:rPr>
              <w:t>5</w:t>
            </w:r>
          </w:p>
        </w:tc>
        <w:tc>
          <w:tcPr>
            <w:tcW w:w="1601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906A2" w14:textId="4EA4BD2F" w:rsidR="00136008" w:rsidRPr="00520C81" w:rsidRDefault="00236438" w:rsidP="005034D1">
            <w:pPr>
              <w:spacing w:line="288" w:lineRule="auto"/>
              <w:jc w:val="center"/>
              <w:rPr>
                <w:rFonts w:eastAsia="Times New Roman" w:cs="Calibri"/>
                <w:spacing w:val="-4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>01-</w:t>
            </w:r>
            <w:r w:rsidR="00583801">
              <w:rPr>
                <w:rFonts w:eastAsia="Times New Roman" w:cs="Calibri"/>
                <w:spacing w:val="-4"/>
                <w:szCs w:val="19"/>
                <w:lang w:eastAsia="pl-PL"/>
              </w:rPr>
              <w:t>12</w:t>
            </w:r>
            <w:r w:rsidR="006C1E21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202</w:t>
            </w:r>
            <w:r w:rsidR="00473C33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>4</w:t>
            </w:r>
            <w:r w:rsidR="00136008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= 100</w:t>
            </w:r>
          </w:p>
        </w:tc>
      </w:tr>
      <w:tr w:rsidR="00520C81" w:rsidRPr="00520C81" w14:paraId="34D5A64E" w14:textId="77777777" w:rsidTr="00F80F3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47D3DF3" w14:textId="77777777" w:rsidR="00136008" w:rsidRPr="00520C81" w:rsidRDefault="00136008" w:rsidP="00BC631E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3BE8D69" w14:textId="77777777" w:rsidR="00136008" w:rsidRPr="00520C81" w:rsidRDefault="00136008" w:rsidP="005034D1">
            <w:pPr>
              <w:spacing w:line="288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 milionach złotych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3043D1D5" w14:textId="77777777" w:rsidR="00136008" w:rsidRPr="00520C81" w:rsidRDefault="00136008" w:rsidP="00BC631E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</w:tr>
      <w:tr w:rsidR="00476754" w:rsidRPr="00520C81" w14:paraId="3AB39728" w14:textId="77777777" w:rsidTr="00596262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59D495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Przychody ogółem (przychody </w:t>
            </w:r>
          </w:p>
          <w:p w14:paraId="283D0E3B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z całokształtu działalności)</w:t>
            </w:r>
          </w:p>
        </w:tc>
        <w:tc>
          <w:tcPr>
            <w:tcW w:w="12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957A674" w14:textId="21CCEC42" w:rsidR="00476754" w:rsidRPr="00313C11" w:rsidRDefault="00476754" w:rsidP="00476754">
            <w:pPr>
              <w:spacing w:before="0" w:after="0" w:line="240" w:lineRule="auto"/>
              <w:jc w:val="right"/>
              <w:rPr>
                <w:rFonts w:cs="Calibri"/>
                <w:szCs w:val="19"/>
              </w:rPr>
            </w:pPr>
            <w:r w:rsidRPr="00313C11">
              <w:t>5 133 029,9</w:t>
            </w:r>
          </w:p>
        </w:tc>
        <w:tc>
          <w:tcPr>
            <w:tcW w:w="1276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429992BF" w14:textId="1EF18AF8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5 279 802,3</w:t>
            </w:r>
          </w:p>
        </w:tc>
        <w:tc>
          <w:tcPr>
            <w:tcW w:w="16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189F84BA" w14:textId="615F5A78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102,</w:t>
            </w:r>
            <w:r w:rsidR="00FD47C9" w:rsidRPr="00313C11">
              <w:rPr>
                <w:rFonts w:cs="Calibri"/>
                <w:szCs w:val="19"/>
              </w:rPr>
              <w:t>9</w:t>
            </w:r>
          </w:p>
        </w:tc>
      </w:tr>
      <w:tr w:rsidR="00476754" w:rsidRPr="00520C81" w14:paraId="30C6FC00" w14:textId="77777777" w:rsidTr="0059626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AD3B" w14:textId="77777777" w:rsidR="00476754" w:rsidRPr="00520C81" w:rsidRDefault="00476754" w:rsidP="00476754">
            <w:pPr>
              <w:spacing w:before="0" w:after="0" w:line="240" w:lineRule="auto"/>
              <w:ind w:left="34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w tym przychody netto ze sprzedaży </w:t>
            </w:r>
            <w:r w:rsidRPr="00520C81">
              <w:rPr>
                <w:rFonts w:eastAsia="Times New Roman" w:cs="Calibri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12945FCB" w14:textId="392B4948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4 960 631,4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612B9A6D" w14:textId="795E6125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5 101 520,8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60D043D4" w14:textId="0D8E21D4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102,</w:t>
            </w:r>
            <w:r w:rsidR="00FD47C9" w:rsidRPr="00313C11">
              <w:rPr>
                <w:rFonts w:cs="Calibri"/>
                <w:szCs w:val="19"/>
              </w:rPr>
              <w:t>8</w:t>
            </w:r>
          </w:p>
        </w:tc>
      </w:tr>
      <w:tr w:rsidR="00476754" w:rsidRPr="00520C81" w14:paraId="08B5D315" w14:textId="77777777" w:rsidTr="0059626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CBE59A0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0D812FDC" w14:textId="42F97A87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4 914 664,2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3015D181" w14:textId="08B419B2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5 034 454,2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0131FBF" w14:textId="510350E5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102,4</w:t>
            </w:r>
          </w:p>
        </w:tc>
      </w:tr>
      <w:tr w:rsidR="00476754" w:rsidRPr="00520C81" w14:paraId="4F17852A" w14:textId="77777777" w:rsidTr="0059626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26F874C" w14:textId="77777777" w:rsidR="00476754" w:rsidRPr="00520C81" w:rsidRDefault="00476754" w:rsidP="00476754">
            <w:pPr>
              <w:spacing w:before="0" w:after="0" w:line="240" w:lineRule="auto"/>
              <w:ind w:left="34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w tym koszty sprzedanych produktów, </w:t>
            </w:r>
            <w:r w:rsidRPr="00520C81">
              <w:rPr>
                <w:rFonts w:eastAsia="Times New Roman" w:cs="Calibri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4BA65111" w14:textId="27188090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4 742 079,1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4680C694" w14:textId="43B3554B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4 868 420,9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54EE798" w14:textId="7554EA19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102,7</w:t>
            </w:r>
          </w:p>
        </w:tc>
      </w:tr>
      <w:tr w:rsidR="00476754" w:rsidRPr="00520C81" w14:paraId="5D75977F" w14:textId="77777777" w:rsidTr="0059626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45C7905" w14:textId="470AD1E0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finansowy ze sprzedaży produktów, towarów i materiałów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A9B89B5" w14:textId="5AFE6757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218 552,3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3BFEDD3D" w14:textId="7E7BA78A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233 099,9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3B7A49FF" w14:textId="60787983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10</w:t>
            </w:r>
            <w:r w:rsidR="00FD47C9" w:rsidRPr="00313C11">
              <w:rPr>
                <w:rFonts w:cs="Calibri"/>
                <w:szCs w:val="19"/>
              </w:rPr>
              <w:t>6</w:t>
            </w:r>
            <w:r w:rsidRPr="00313C11">
              <w:rPr>
                <w:rFonts w:cs="Calibri"/>
                <w:szCs w:val="19"/>
              </w:rPr>
              <w:t>,</w:t>
            </w:r>
            <w:r w:rsidR="00FD47C9" w:rsidRPr="00313C11">
              <w:rPr>
                <w:rFonts w:cs="Calibri"/>
                <w:szCs w:val="19"/>
              </w:rPr>
              <w:t>7</w:t>
            </w:r>
          </w:p>
        </w:tc>
      </w:tr>
      <w:tr w:rsidR="00476754" w:rsidRPr="00520C81" w14:paraId="762475B8" w14:textId="77777777" w:rsidTr="0059626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41D781" w14:textId="0522488F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finansowy z pozostałej działalności operacyjnej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0FF526B7" w14:textId="69432E99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2 062,2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4ADAEC76" w14:textId="272F39B7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13 766,6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4BAE3B44" w14:textId="1E0F6310" w:rsidR="00476754" w:rsidRPr="00313C11" w:rsidRDefault="008B6550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667</w:t>
            </w:r>
            <w:r w:rsidR="00476754" w:rsidRPr="00313C11">
              <w:rPr>
                <w:rFonts w:cs="Calibri"/>
                <w:szCs w:val="19"/>
              </w:rPr>
              <w:t>,</w:t>
            </w:r>
            <w:r w:rsidRPr="00313C11">
              <w:rPr>
                <w:rFonts w:cs="Calibri"/>
                <w:szCs w:val="19"/>
              </w:rPr>
              <w:t>6</w:t>
            </w:r>
          </w:p>
        </w:tc>
      </w:tr>
      <w:tr w:rsidR="00476754" w:rsidRPr="00520C81" w14:paraId="7312D46C" w14:textId="77777777" w:rsidTr="0059626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FC501C3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na operacjach finansowych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3E181A9" w14:textId="5CE1AA47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-2 248,8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2D3818EC" w14:textId="178A1587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-1 518,4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C20D832" w14:textId="7253C924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.</w:t>
            </w:r>
          </w:p>
        </w:tc>
      </w:tr>
      <w:tr w:rsidR="00476754" w:rsidRPr="00520C81" w14:paraId="0B12FD9E" w14:textId="77777777" w:rsidTr="0059626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46C2068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finansowy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33240249" w14:textId="4DB53278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218 365,7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07786F75" w14:textId="75B4E0AD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245 348,1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3258932D" w14:textId="026BB5CE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11</w:t>
            </w:r>
            <w:r w:rsidR="006B34B7" w:rsidRPr="00313C11">
              <w:rPr>
                <w:rFonts w:cs="Calibri"/>
                <w:szCs w:val="19"/>
              </w:rPr>
              <w:t>2</w:t>
            </w:r>
            <w:r w:rsidRPr="00313C11">
              <w:rPr>
                <w:rFonts w:cs="Calibri"/>
                <w:szCs w:val="19"/>
              </w:rPr>
              <w:t>,</w:t>
            </w:r>
            <w:r w:rsidR="006B34B7" w:rsidRPr="00313C11">
              <w:rPr>
                <w:rFonts w:cs="Calibri"/>
                <w:szCs w:val="19"/>
              </w:rPr>
              <w:t>4</w:t>
            </w:r>
          </w:p>
        </w:tc>
      </w:tr>
      <w:tr w:rsidR="00476754" w:rsidRPr="00520C81" w14:paraId="4395F768" w14:textId="77777777" w:rsidTr="0059626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29848D3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finansowy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572EA9DB" w14:textId="22CEF7F6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173 704,2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34372348" w14:textId="54ECD039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197 087,5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42514A23" w14:textId="54922ABE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11</w:t>
            </w:r>
            <w:r w:rsidR="00FD47C9" w:rsidRPr="00313C11">
              <w:rPr>
                <w:rFonts w:cs="Calibri"/>
                <w:szCs w:val="19"/>
              </w:rPr>
              <w:t>3</w:t>
            </w:r>
            <w:r w:rsidRPr="00313C11">
              <w:rPr>
                <w:rFonts w:cs="Calibri"/>
                <w:szCs w:val="19"/>
              </w:rPr>
              <w:t>,</w:t>
            </w:r>
            <w:r w:rsidR="00FD47C9" w:rsidRPr="00313C11">
              <w:rPr>
                <w:rFonts w:cs="Calibri"/>
                <w:szCs w:val="19"/>
              </w:rPr>
              <w:t>5</w:t>
            </w:r>
          </w:p>
        </w:tc>
      </w:tr>
      <w:tr w:rsidR="00476754" w:rsidRPr="00520C81" w14:paraId="7B38A26F" w14:textId="77777777" w:rsidTr="0059626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B4130B0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Zysk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3EF5BCF5" w14:textId="429A216F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242 709,2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45EE7EE" w14:textId="53E4FD85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261 319,6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77F488FF" w14:textId="18630C0D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107,</w:t>
            </w:r>
            <w:r w:rsidR="00BF2B62" w:rsidRPr="00313C11">
              <w:rPr>
                <w:rFonts w:cs="Calibri"/>
                <w:szCs w:val="19"/>
              </w:rPr>
              <w:t>7</w:t>
            </w:r>
          </w:p>
        </w:tc>
      </w:tr>
      <w:tr w:rsidR="00476754" w:rsidRPr="00520C81" w14:paraId="2FA89921" w14:textId="77777777" w:rsidTr="00596262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6BC69A5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Strata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452DB961" w14:textId="0747AC51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69 004,9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062DA14C" w14:textId="05617025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64 232,1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1F919908" w14:textId="15FD279D" w:rsidR="00476754" w:rsidRPr="00313C11" w:rsidRDefault="006B34B7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rPr>
                <w:rFonts w:cs="Calibri"/>
                <w:szCs w:val="19"/>
              </w:rPr>
              <w:t>93</w:t>
            </w:r>
            <w:r w:rsidR="00476754" w:rsidRPr="00313C11">
              <w:rPr>
                <w:rFonts w:cs="Calibri"/>
                <w:szCs w:val="19"/>
              </w:rPr>
              <w:t>,</w:t>
            </w:r>
            <w:r w:rsidRPr="00313C11">
              <w:rPr>
                <w:rFonts w:cs="Calibri"/>
                <w:szCs w:val="19"/>
              </w:rPr>
              <w:t>1</w:t>
            </w:r>
          </w:p>
        </w:tc>
      </w:tr>
      <w:tr w:rsidR="00BF568E" w:rsidRPr="00520C81" w14:paraId="4BFA9529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72075CEE" w14:textId="77777777" w:rsidR="00BF568E" w:rsidRPr="00520C81" w:rsidRDefault="00BF568E" w:rsidP="00BF568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0C81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1F84FD6A" w14:textId="77777777" w:rsidR="00BF568E" w:rsidRPr="00313C11" w:rsidRDefault="00BF568E" w:rsidP="00BF568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313C11">
              <w:rPr>
                <w:rFonts w:eastAsia="Times New Roman" w:cs="Calibri"/>
                <w:szCs w:val="19"/>
                <w:lang w:eastAsia="pl-PL"/>
              </w:rPr>
              <w:t xml:space="preserve"> w %</w:t>
            </w:r>
          </w:p>
        </w:tc>
      </w:tr>
      <w:tr w:rsidR="00476754" w:rsidRPr="00520C81" w14:paraId="2B09F09C" w14:textId="77777777" w:rsidTr="00B0668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3934F0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poziomu kosztów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18B0BC5F" w14:textId="30358842" w:rsidR="00476754" w:rsidRPr="00313C11" w:rsidRDefault="00476754" w:rsidP="00476754">
            <w:pPr>
              <w:spacing w:before="0" w:after="0" w:line="240" w:lineRule="auto"/>
              <w:jc w:val="right"/>
              <w:rPr>
                <w:rFonts w:cs="Calibri"/>
                <w:szCs w:val="19"/>
              </w:rPr>
            </w:pPr>
            <w:r w:rsidRPr="00313C11"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4F37528A" w14:textId="235BF9F1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95,4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86663A8" w14:textId="77777777" w:rsidR="00476754" w:rsidRPr="00520C81" w:rsidRDefault="00476754" w:rsidP="0047675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476754" w:rsidRPr="00520C81" w14:paraId="29E97E04" w14:textId="77777777" w:rsidTr="00B0668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605C93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6CC4D52" w14:textId="272C5449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66BEF510" w14:textId="2F95A148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4,6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6CC6272" w14:textId="77777777" w:rsidR="00476754" w:rsidRPr="00520C81" w:rsidRDefault="00476754" w:rsidP="0047675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476754" w:rsidRPr="00520C81" w14:paraId="78E4F81A" w14:textId="77777777" w:rsidTr="00B0668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D9427AE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7C3424F" w14:textId="1E907F02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58D3B387" w14:textId="6471150E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4,6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C9B3249" w14:textId="77777777" w:rsidR="00476754" w:rsidRPr="00520C81" w:rsidRDefault="00476754" w:rsidP="0047675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476754" w:rsidRPr="00520C81" w14:paraId="06BC27BF" w14:textId="77777777" w:rsidTr="00B0668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0EF8A2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06503A4" w14:textId="4BB96B6A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6E498B89" w14:textId="2CBAB26D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3,7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67AF956" w14:textId="77777777" w:rsidR="00476754" w:rsidRPr="00520C81" w:rsidRDefault="00476754" w:rsidP="0047675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476754" w:rsidRPr="00520C81" w14:paraId="14CA1767" w14:textId="77777777" w:rsidTr="00B0668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B4D7325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5474B73" w14:textId="674B4863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</w:tcPr>
          <w:p w14:paraId="7B26621A" w14:textId="08365774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48,9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8E6BCC" w14:textId="77777777" w:rsidR="00476754" w:rsidRPr="00520C81" w:rsidRDefault="00476754" w:rsidP="0047675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476754" w:rsidRPr="00520C81" w14:paraId="3D03FC57" w14:textId="77777777" w:rsidTr="00B0668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F076ED" w14:textId="77777777" w:rsidR="00476754" w:rsidRPr="00520C81" w:rsidRDefault="00476754" w:rsidP="00476754">
            <w:pPr>
              <w:spacing w:before="0" w:after="0" w:line="240" w:lineRule="auto"/>
              <w:ind w:left="170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F0F37E4" w14:textId="7B5A333F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107,5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</w:tcPr>
          <w:p w14:paraId="15DFFED9" w14:textId="67BEDBEE" w:rsidR="00476754" w:rsidRPr="00313C11" w:rsidRDefault="00476754" w:rsidP="00476754">
            <w:pPr>
              <w:jc w:val="right"/>
              <w:rPr>
                <w:rFonts w:cs="Calibri"/>
                <w:szCs w:val="19"/>
              </w:rPr>
            </w:pPr>
            <w:r w:rsidRPr="00313C11">
              <w:t>109,0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7637" w14:textId="77777777" w:rsidR="00476754" w:rsidRPr="00520C81" w:rsidRDefault="00476754" w:rsidP="0047675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</w:tbl>
    <w:p w14:paraId="5CF45FB5" w14:textId="372C3E7F" w:rsidR="00136008" w:rsidRPr="00657E0E" w:rsidRDefault="00136008" w:rsidP="00F652BE">
      <w:pPr>
        <w:pStyle w:val="LID"/>
        <w:spacing w:line="288" w:lineRule="auto"/>
        <w:rPr>
          <w:b w:val="0"/>
        </w:rPr>
      </w:pPr>
      <w:r w:rsidRPr="003E3E08"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DFAC840" wp14:editId="08E11259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7,2 p. proc.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27B0F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C840" id="Pole tekstowe 5" o:spid="_x0000_s1028" type="#_x0000_t202" alt="Największe pogorszenie wskaźnika rentowności obrotu netto odnotowano w górnictwie i wydobywaniu (o 7,2 p. proc.).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" filled="f" stroked="f">
                <v:textbox>
                  <w:txbxContent>
                    <w:p w14:paraId="30A27B0F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="00220164" w:rsidRPr="003E3E08">
        <w:rPr>
          <w:b w:val="0"/>
        </w:rPr>
        <w:t>Poprawie uległ w</w:t>
      </w:r>
      <w:r w:rsidR="00D5187E" w:rsidRPr="003E3E08">
        <w:rPr>
          <w:b w:val="0"/>
        </w:rPr>
        <w:t xml:space="preserve">skaźnik rentowności </w:t>
      </w:r>
      <w:r w:rsidR="00D5187E" w:rsidRPr="00657E0E">
        <w:rPr>
          <w:b w:val="0"/>
        </w:rPr>
        <w:t>sprzedaży brutt</w:t>
      </w:r>
      <w:r w:rsidR="00046E28" w:rsidRPr="00657E0E">
        <w:rPr>
          <w:b w:val="0"/>
        </w:rPr>
        <w:t xml:space="preserve">o </w:t>
      </w:r>
      <w:r w:rsidR="00220164" w:rsidRPr="00657E0E">
        <w:rPr>
          <w:b w:val="0"/>
        </w:rPr>
        <w:t xml:space="preserve">(4,6% </w:t>
      </w:r>
      <w:r w:rsidR="00F2610D">
        <w:rPr>
          <w:b w:val="0"/>
        </w:rPr>
        <w:t>w 2025 r.</w:t>
      </w:r>
      <w:r w:rsidR="009642F8">
        <w:rPr>
          <w:b w:val="0"/>
        </w:rPr>
        <w:t>,</w:t>
      </w:r>
      <w:r w:rsidR="00F2610D">
        <w:rPr>
          <w:b w:val="0"/>
        </w:rPr>
        <w:t xml:space="preserve"> </w:t>
      </w:r>
      <w:r w:rsidR="00220164" w:rsidRPr="00657E0E">
        <w:rPr>
          <w:b w:val="0"/>
        </w:rPr>
        <w:t>wobec 4,4%</w:t>
      </w:r>
      <w:r w:rsidR="00F2610D">
        <w:rPr>
          <w:b w:val="0"/>
        </w:rPr>
        <w:t xml:space="preserve"> w 2024</w:t>
      </w:r>
      <w:r w:rsidR="009642F8">
        <w:rPr>
          <w:b w:val="0"/>
        </w:rPr>
        <w:t> </w:t>
      </w:r>
      <w:r w:rsidR="00F2610D">
        <w:rPr>
          <w:b w:val="0"/>
        </w:rPr>
        <w:t>r.</w:t>
      </w:r>
      <w:r w:rsidR="00220164" w:rsidRPr="00657E0E">
        <w:rPr>
          <w:b w:val="0"/>
        </w:rPr>
        <w:t xml:space="preserve">), </w:t>
      </w:r>
      <w:r w:rsidR="00F2610D">
        <w:rPr>
          <w:b w:val="0"/>
        </w:rPr>
        <w:t>jak ró</w:t>
      </w:r>
      <w:r w:rsidR="005E291A">
        <w:rPr>
          <w:b w:val="0"/>
        </w:rPr>
        <w:t>w</w:t>
      </w:r>
      <w:r w:rsidR="00F2610D">
        <w:rPr>
          <w:b w:val="0"/>
        </w:rPr>
        <w:t xml:space="preserve">nież </w:t>
      </w:r>
      <w:r w:rsidR="00D5187E" w:rsidRPr="00657E0E">
        <w:rPr>
          <w:b w:val="0"/>
        </w:rPr>
        <w:t xml:space="preserve">wskaźnik rentowności obrotu brutto </w:t>
      </w:r>
      <w:r w:rsidR="004C00C4" w:rsidRPr="00657E0E">
        <w:rPr>
          <w:b w:val="0"/>
        </w:rPr>
        <w:t>(</w:t>
      </w:r>
      <w:r w:rsidR="008332C6" w:rsidRPr="00657E0E">
        <w:rPr>
          <w:b w:val="0"/>
        </w:rPr>
        <w:t>4</w:t>
      </w:r>
      <w:r w:rsidR="00D5187E" w:rsidRPr="00657E0E">
        <w:rPr>
          <w:b w:val="0"/>
        </w:rPr>
        <w:t>,</w:t>
      </w:r>
      <w:r w:rsidR="00220164" w:rsidRPr="00657E0E">
        <w:rPr>
          <w:b w:val="0"/>
        </w:rPr>
        <w:t>6</w:t>
      </w:r>
      <w:r w:rsidR="00D5187E" w:rsidRPr="00657E0E">
        <w:rPr>
          <w:b w:val="0"/>
        </w:rPr>
        <w:t>%</w:t>
      </w:r>
      <w:r w:rsidR="004C00C4" w:rsidRPr="00657E0E">
        <w:rPr>
          <w:b w:val="0"/>
        </w:rPr>
        <w:t xml:space="preserve">, </w:t>
      </w:r>
      <w:r w:rsidR="00D765EC" w:rsidRPr="00657E0E">
        <w:rPr>
          <w:b w:val="0"/>
        </w:rPr>
        <w:t xml:space="preserve">wobec </w:t>
      </w:r>
      <w:r w:rsidR="00E53D65" w:rsidRPr="00657E0E">
        <w:rPr>
          <w:b w:val="0"/>
        </w:rPr>
        <w:t>4</w:t>
      </w:r>
      <w:r w:rsidR="00D5187E" w:rsidRPr="00657E0E">
        <w:rPr>
          <w:b w:val="0"/>
        </w:rPr>
        <w:t>,</w:t>
      </w:r>
      <w:r w:rsidR="00394C0E" w:rsidRPr="00657E0E">
        <w:rPr>
          <w:b w:val="0"/>
        </w:rPr>
        <w:t>3</w:t>
      </w:r>
      <w:r w:rsidR="00D5187E" w:rsidRPr="00657E0E">
        <w:rPr>
          <w:b w:val="0"/>
        </w:rPr>
        <w:t>%</w:t>
      </w:r>
      <w:r w:rsidR="008332C6" w:rsidRPr="00657E0E">
        <w:rPr>
          <w:b w:val="0"/>
        </w:rPr>
        <w:t>)</w:t>
      </w:r>
      <w:r w:rsidR="00063A7B" w:rsidRPr="00657E0E">
        <w:rPr>
          <w:b w:val="0"/>
        </w:rPr>
        <w:t xml:space="preserve"> oraz</w:t>
      </w:r>
      <w:r w:rsidR="00D5187E" w:rsidRPr="00657E0E">
        <w:rPr>
          <w:b w:val="0"/>
        </w:rPr>
        <w:t xml:space="preserve"> wskaźnik rentowności obrotu netto </w:t>
      </w:r>
      <w:r w:rsidR="004C00C4" w:rsidRPr="00657E0E">
        <w:rPr>
          <w:b w:val="0"/>
        </w:rPr>
        <w:t>(</w:t>
      </w:r>
      <w:r w:rsidR="008332C6" w:rsidRPr="00657E0E">
        <w:rPr>
          <w:b w:val="0"/>
        </w:rPr>
        <w:t>3</w:t>
      </w:r>
      <w:r w:rsidR="00D5187E" w:rsidRPr="00657E0E">
        <w:rPr>
          <w:b w:val="0"/>
        </w:rPr>
        <w:t>,</w:t>
      </w:r>
      <w:r w:rsidR="00046E28" w:rsidRPr="00657E0E">
        <w:rPr>
          <w:b w:val="0"/>
        </w:rPr>
        <w:t>7</w:t>
      </w:r>
      <w:r w:rsidR="00D5187E" w:rsidRPr="00657E0E">
        <w:rPr>
          <w:b w:val="0"/>
        </w:rPr>
        <w:t>%</w:t>
      </w:r>
      <w:r w:rsidR="004C00C4" w:rsidRPr="00657E0E">
        <w:rPr>
          <w:b w:val="0"/>
        </w:rPr>
        <w:t xml:space="preserve">, </w:t>
      </w:r>
      <w:r w:rsidR="008332C6" w:rsidRPr="00657E0E">
        <w:rPr>
          <w:b w:val="0"/>
        </w:rPr>
        <w:t>wobec 3,</w:t>
      </w:r>
      <w:r w:rsidR="00220164" w:rsidRPr="00657E0E">
        <w:rPr>
          <w:b w:val="0"/>
        </w:rPr>
        <w:t>4</w:t>
      </w:r>
      <w:r w:rsidR="008332C6" w:rsidRPr="00657E0E">
        <w:rPr>
          <w:b w:val="0"/>
        </w:rPr>
        <w:t>%)</w:t>
      </w:r>
      <w:r w:rsidR="005A3AA4" w:rsidRPr="00657E0E">
        <w:rPr>
          <w:b w:val="0"/>
        </w:rPr>
        <w:t>.</w:t>
      </w:r>
      <w:r w:rsidRPr="00657E0E">
        <w:rPr>
          <w:b w:val="0"/>
        </w:rPr>
        <w:t xml:space="preserve"> </w:t>
      </w:r>
    </w:p>
    <w:p w14:paraId="2608953F" w14:textId="365CF998" w:rsidR="00D07127" w:rsidRPr="00B8006D" w:rsidRDefault="00481A89" w:rsidP="00F652BE">
      <w:pPr>
        <w:pStyle w:val="LID"/>
        <w:spacing w:line="288" w:lineRule="auto"/>
        <w:rPr>
          <w:b w:val="0"/>
        </w:rPr>
      </w:pPr>
      <w:r w:rsidRPr="003E3E08">
        <w:rPr>
          <w:b w:val="0"/>
        </w:rPr>
        <w:t>Poprawę wskaźnika rentowności obrotu netto odnotowano m.in</w:t>
      </w:r>
      <w:r w:rsidRPr="00B8006D">
        <w:rPr>
          <w:b w:val="0"/>
        </w:rPr>
        <w:t>.</w:t>
      </w:r>
      <w:r w:rsidRPr="00B8006D">
        <w:t xml:space="preserve"> </w:t>
      </w:r>
      <w:r w:rsidR="00003A1B" w:rsidRPr="00B8006D">
        <w:rPr>
          <w:b w:val="0"/>
        </w:rPr>
        <w:t xml:space="preserve">wytwarzaniu i zaopatrywaniu w energię elektryczną, gaz, parę wodną i gorącą wodę (z 3,1% do 5,5%), </w:t>
      </w:r>
      <w:r w:rsidR="005E4094" w:rsidRPr="00B8006D">
        <w:rPr>
          <w:b w:val="0"/>
        </w:rPr>
        <w:t>działalności profesjonalnej, naukowej i technicznej (z 6,</w:t>
      </w:r>
      <w:r w:rsidR="00003A1B" w:rsidRPr="00B8006D">
        <w:rPr>
          <w:b w:val="0"/>
        </w:rPr>
        <w:t>2</w:t>
      </w:r>
      <w:r w:rsidR="005E4094" w:rsidRPr="00B8006D">
        <w:rPr>
          <w:b w:val="0"/>
        </w:rPr>
        <w:t xml:space="preserve">% do </w:t>
      </w:r>
      <w:r w:rsidR="00003A1B" w:rsidRPr="00B8006D">
        <w:rPr>
          <w:b w:val="0"/>
        </w:rPr>
        <w:t>8</w:t>
      </w:r>
      <w:r w:rsidR="005E4094" w:rsidRPr="00B8006D">
        <w:rPr>
          <w:b w:val="0"/>
        </w:rPr>
        <w:t>,</w:t>
      </w:r>
      <w:r w:rsidR="00003A1B" w:rsidRPr="00B8006D">
        <w:rPr>
          <w:b w:val="0"/>
        </w:rPr>
        <w:t>4</w:t>
      </w:r>
      <w:r w:rsidR="005E4094" w:rsidRPr="00B8006D">
        <w:rPr>
          <w:b w:val="0"/>
        </w:rPr>
        <w:t xml:space="preserve">%), </w:t>
      </w:r>
      <w:r w:rsidR="00003A1B" w:rsidRPr="00B8006D">
        <w:rPr>
          <w:b w:val="0"/>
        </w:rPr>
        <w:t xml:space="preserve">transporcie i gospodarce magazynowej (z 3,4% do 4,4%), </w:t>
      </w:r>
      <w:r w:rsidR="005E4094" w:rsidRPr="00B8006D">
        <w:rPr>
          <w:b w:val="0"/>
        </w:rPr>
        <w:t xml:space="preserve">w dostawie wody; gospodarowaniu ściekami i odpadami; rekultywacji (z </w:t>
      </w:r>
      <w:r w:rsidR="00003A1B" w:rsidRPr="00B8006D">
        <w:rPr>
          <w:b w:val="0"/>
        </w:rPr>
        <w:t>6</w:t>
      </w:r>
      <w:r w:rsidR="005E4094" w:rsidRPr="00B8006D">
        <w:rPr>
          <w:b w:val="0"/>
        </w:rPr>
        <w:t>,</w:t>
      </w:r>
      <w:r w:rsidR="00003A1B" w:rsidRPr="00B8006D">
        <w:rPr>
          <w:b w:val="0"/>
        </w:rPr>
        <w:t>3</w:t>
      </w:r>
      <w:r w:rsidR="005E4094" w:rsidRPr="00B8006D">
        <w:rPr>
          <w:b w:val="0"/>
        </w:rPr>
        <w:t xml:space="preserve">% do </w:t>
      </w:r>
      <w:r w:rsidR="00003A1B" w:rsidRPr="00B8006D">
        <w:rPr>
          <w:b w:val="0"/>
        </w:rPr>
        <w:t>6</w:t>
      </w:r>
      <w:r w:rsidR="005E4094" w:rsidRPr="00B8006D">
        <w:rPr>
          <w:b w:val="0"/>
        </w:rPr>
        <w:t>,</w:t>
      </w:r>
      <w:r w:rsidR="00003A1B" w:rsidRPr="00B8006D">
        <w:rPr>
          <w:b w:val="0"/>
        </w:rPr>
        <w:t>7</w:t>
      </w:r>
      <w:r w:rsidR="005E4094" w:rsidRPr="00B8006D">
        <w:rPr>
          <w:b w:val="0"/>
        </w:rPr>
        <w:t xml:space="preserve">%), </w:t>
      </w:r>
      <w:r w:rsidR="00003A1B" w:rsidRPr="00B8006D">
        <w:rPr>
          <w:b w:val="0"/>
        </w:rPr>
        <w:t>budownictwie (z 5,3% do 5,6%)</w:t>
      </w:r>
      <w:r w:rsidR="002B50CF" w:rsidRPr="00B8006D">
        <w:rPr>
          <w:b w:val="0"/>
        </w:rPr>
        <w:t xml:space="preserve">, </w:t>
      </w:r>
      <w:r w:rsidR="009B3A92" w:rsidRPr="00B8006D">
        <w:rPr>
          <w:b w:val="0"/>
        </w:rPr>
        <w:t>handlu; naprawie pojazdów samochodowych (z 2,4% do 2,5%)</w:t>
      </w:r>
      <w:r w:rsidR="002B50CF" w:rsidRPr="00B8006D">
        <w:rPr>
          <w:b w:val="0"/>
        </w:rPr>
        <w:t xml:space="preserve"> oraz</w:t>
      </w:r>
      <w:r w:rsidR="005E291A" w:rsidRPr="00B8006D">
        <w:rPr>
          <w:b w:val="0"/>
        </w:rPr>
        <w:t xml:space="preserve"> </w:t>
      </w:r>
      <w:r w:rsidR="002B50CF" w:rsidRPr="00B8006D">
        <w:rPr>
          <w:b w:val="0"/>
        </w:rPr>
        <w:t xml:space="preserve">w górnictwie i wydobywaniu (z minus 10,2% do minus 7,4%). </w:t>
      </w:r>
      <w:r w:rsidR="009B3A92" w:rsidRPr="00B8006D">
        <w:rPr>
          <w:b w:val="0"/>
        </w:rPr>
        <w:t xml:space="preserve">W </w:t>
      </w:r>
      <w:r w:rsidR="00B8326C" w:rsidRPr="00B8006D">
        <w:rPr>
          <w:b w:val="0"/>
        </w:rPr>
        <w:t>przetwórstwie przemysłowym</w:t>
      </w:r>
      <w:r w:rsidR="009B3A92" w:rsidRPr="00B8006D">
        <w:rPr>
          <w:b w:val="0"/>
        </w:rPr>
        <w:t xml:space="preserve"> wskaźnik rentowności obrotu netto w skali roku pozostał na tym samym poziomie i wyniósł</w:t>
      </w:r>
      <w:r w:rsidR="00B8326C" w:rsidRPr="00B8006D">
        <w:rPr>
          <w:b w:val="0"/>
        </w:rPr>
        <w:t xml:space="preserve"> 3,7%</w:t>
      </w:r>
      <w:r w:rsidR="009B3A92" w:rsidRPr="00B8006D">
        <w:rPr>
          <w:b w:val="0"/>
        </w:rPr>
        <w:t xml:space="preserve">. </w:t>
      </w:r>
      <w:r w:rsidR="00EC71FD" w:rsidRPr="00B8006D">
        <w:rPr>
          <w:b w:val="0"/>
        </w:rPr>
        <w:t xml:space="preserve">Pogorszenie wskaźnika rentowności obrotu netto odnotowano m.in. </w:t>
      </w:r>
      <w:r w:rsidR="002729AB" w:rsidRPr="00B8006D">
        <w:rPr>
          <w:b w:val="0"/>
        </w:rPr>
        <w:t>w</w:t>
      </w:r>
      <w:r w:rsidR="00EC71FD" w:rsidRPr="00B8006D">
        <w:rPr>
          <w:b w:val="0"/>
        </w:rPr>
        <w:t xml:space="preserve"> </w:t>
      </w:r>
      <w:r w:rsidR="00672A68" w:rsidRPr="00B8006D">
        <w:rPr>
          <w:b w:val="0"/>
        </w:rPr>
        <w:t xml:space="preserve">administrowaniu i działalności wspierającej (z </w:t>
      </w:r>
      <w:r w:rsidR="008A5A28" w:rsidRPr="00B8006D">
        <w:rPr>
          <w:b w:val="0"/>
        </w:rPr>
        <w:t>6</w:t>
      </w:r>
      <w:r w:rsidR="00672A68" w:rsidRPr="00B8006D">
        <w:rPr>
          <w:b w:val="0"/>
        </w:rPr>
        <w:t>,</w:t>
      </w:r>
      <w:r w:rsidR="00003A1B" w:rsidRPr="00B8006D">
        <w:rPr>
          <w:b w:val="0"/>
        </w:rPr>
        <w:t>5</w:t>
      </w:r>
      <w:r w:rsidR="00672A68" w:rsidRPr="00B8006D">
        <w:rPr>
          <w:b w:val="0"/>
        </w:rPr>
        <w:t xml:space="preserve">% do </w:t>
      </w:r>
      <w:r w:rsidR="005E4094" w:rsidRPr="00B8006D">
        <w:rPr>
          <w:b w:val="0"/>
        </w:rPr>
        <w:t>5,</w:t>
      </w:r>
      <w:r w:rsidR="00003A1B" w:rsidRPr="00B8006D">
        <w:rPr>
          <w:b w:val="0"/>
        </w:rPr>
        <w:t>2</w:t>
      </w:r>
      <w:r w:rsidR="008A5A28" w:rsidRPr="00B8006D">
        <w:rPr>
          <w:b w:val="0"/>
        </w:rPr>
        <w:t>%)</w:t>
      </w:r>
      <w:r w:rsidR="00672A68" w:rsidRPr="00B8006D">
        <w:rPr>
          <w:b w:val="0"/>
        </w:rPr>
        <w:t>,</w:t>
      </w:r>
      <w:r w:rsidR="009B3A92" w:rsidRPr="00B8006D">
        <w:rPr>
          <w:b w:val="0"/>
        </w:rPr>
        <w:t xml:space="preserve"> w obsłudze rynku nieruchomości (z 5,6% do 4,7%), informacji i komunikacji (z 8,1% do 8,0%) oraz w</w:t>
      </w:r>
      <w:r w:rsidR="009C2FB7" w:rsidRPr="00B8006D">
        <w:rPr>
          <w:b w:val="0"/>
        </w:rPr>
        <w:t xml:space="preserve"> </w:t>
      </w:r>
      <w:r w:rsidR="00125734" w:rsidRPr="00B8006D">
        <w:rPr>
          <w:b w:val="0"/>
        </w:rPr>
        <w:t>zakwaterowaniu i gastronomii (z 9,</w:t>
      </w:r>
      <w:r w:rsidR="00003A1B" w:rsidRPr="00B8006D">
        <w:rPr>
          <w:b w:val="0"/>
        </w:rPr>
        <w:t>2</w:t>
      </w:r>
      <w:r w:rsidR="00125734" w:rsidRPr="00B8006D">
        <w:rPr>
          <w:b w:val="0"/>
        </w:rPr>
        <w:t>% do 9,</w:t>
      </w:r>
      <w:r w:rsidR="00003A1B" w:rsidRPr="00B8006D">
        <w:rPr>
          <w:b w:val="0"/>
        </w:rPr>
        <w:t>1</w:t>
      </w:r>
      <w:r w:rsidR="00125734" w:rsidRPr="00B8006D">
        <w:rPr>
          <w:b w:val="0"/>
        </w:rPr>
        <w:t>%</w:t>
      </w:r>
      <w:r w:rsidR="009B3A92" w:rsidRPr="00B8006D">
        <w:rPr>
          <w:b w:val="0"/>
        </w:rPr>
        <w:t>)</w:t>
      </w:r>
      <w:r w:rsidR="00125734" w:rsidRPr="00B8006D">
        <w:rPr>
          <w:b w:val="0"/>
        </w:rPr>
        <w:t>.</w:t>
      </w:r>
    </w:p>
    <w:p w14:paraId="32525A58" w14:textId="54E7559F" w:rsidR="00136008" w:rsidRPr="00520C81" w:rsidRDefault="0082316E" w:rsidP="00F652BE">
      <w:pPr>
        <w:pStyle w:val="LID"/>
        <w:spacing w:line="288" w:lineRule="auto"/>
        <w:rPr>
          <w:b w:val="0"/>
        </w:rPr>
      </w:pPr>
      <w:r w:rsidRPr="003E3E08">
        <w:rPr>
          <w:b w:val="0"/>
        </w:rPr>
        <w:t xml:space="preserve">Wskaźnik płynności finansowej I </w:t>
      </w:r>
      <w:r w:rsidRPr="00184AFF">
        <w:rPr>
          <w:b w:val="0"/>
        </w:rPr>
        <w:t xml:space="preserve">stopnia </w:t>
      </w:r>
      <w:r w:rsidR="00A05C24" w:rsidRPr="00184AFF">
        <w:rPr>
          <w:b w:val="0"/>
        </w:rPr>
        <w:t>poprawił się do</w:t>
      </w:r>
      <w:r w:rsidRPr="00184AFF">
        <w:rPr>
          <w:b w:val="0"/>
        </w:rPr>
        <w:t xml:space="preserve"> 4</w:t>
      </w:r>
      <w:r w:rsidR="007924E5" w:rsidRPr="00184AFF">
        <w:rPr>
          <w:b w:val="0"/>
        </w:rPr>
        <w:t>8</w:t>
      </w:r>
      <w:r w:rsidRPr="00184AFF">
        <w:rPr>
          <w:b w:val="0"/>
        </w:rPr>
        <w:t>,</w:t>
      </w:r>
      <w:r w:rsidR="007924E5" w:rsidRPr="00184AFF">
        <w:rPr>
          <w:b w:val="0"/>
        </w:rPr>
        <w:t>9</w:t>
      </w:r>
      <w:r w:rsidRPr="00184AFF">
        <w:rPr>
          <w:b w:val="0"/>
        </w:rPr>
        <w:t xml:space="preserve">% (wobec </w:t>
      </w:r>
      <w:r w:rsidR="00BF7956" w:rsidRPr="00184AFF">
        <w:rPr>
          <w:b w:val="0"/>
        </w:rPr>
        <w:t>4</w:t>
      </w:r>
      <w:r w:rsidR="00DE092D" w:rsidRPr="00184AFF">
        <w:rPr>
          <w:b w:val="0"/>
        </w:rPr>
        <w:t>4</w:t>
      </w:r>
      <w:r w:rsidR="00BF7956" w:rsidRPr="00184AFF">
        <w:rPr>
          <w:b w:val="0"/>
        </w:rPr>
        <w:t>,</w:t>
      </w:r>
      <w:r w:rsidR="00DE092D" w:rsidRPr="00184AFF">
        <w:rPr>
          <w:b w:val="0"/>
        </w:rPr>
        <w:t>6</w:t>
      </w:r>
      <w:r w:rsidRPr="00184AFF">
        <w:rPr>
          <w:b w:val="0"/>
        </w:rPr>
        <w:t xml:space="preserve">% </w:t>
      </w:r>
      <w:r w:rsidR="004132E8" w:rsidRPr="00184AFF">
        <w:rPr>
          <w:b w:val="0"/>
        </w:rPr>
        <w:t>w</w:t>
      </w:r>
      <w:r w:rsidR="000E6E4F" w:rsidRPr="00184AFF">
        <w:rPr>
          <w:rFonts w:eastAsia="Times New Roman" w:cs="Times New Roman"/>
        </w:rPr>
        <w:t xml:space="preserve"> </w:t>
      </w:r>
      <w:r w:rsidR="004132E8" w:rsidRPr="00184AFF">
        <w:rPr>
          <w:b w:val="0"/>
        </w:rPr>
        <w:t>2024</w:t>
      </w:r>
      <w:r w:rsidR="00046E28" w:rsidRPr="00184AFF">
        <w:rPr>
          <w:b w:val="0"/>
        </w:rPr>
        <w:t xml:space="preserve"> </w:t>
      </w:r>
      <w:r w:rsidR="004132E8" w:rsidRPr="00184AFF">
        <w:rPr>
          <w:b w:val="0"/>
        </w:rPr>
        <w:t>r.</w:t>
      </w:r>
      <w:r w:rsidRPr="00184AFF">
        <w:rPr>
          <w:b w:val="0"/>
        </w:rPr>
        <w:t xml:space="preserve">), a </w:t>
      </w:r>
      <w:r w:rsidR="00EF2502" w:rsidRPr="00184AFF">
        <w:rPr>
          <w:b w:val="0"/>
        </w:rPr>
        <w:t xml:space="preserve">wskaźnik </w:t>
      </w:r>
      <w:r w:rsidRPr="00184AFF">
        <w:rPr>
          <w:b w:val="0"/>
        </w:rPr>
        <w:t xml:space="preserve">płynności finansowej II stopnia </w:t>
      </w:r>
      <w:r w:rsidR="00AB6080" w:rsidRPr="00184AFF">
        <w:rPr>
          <w:b w:val="0"/>
        </w:rPr>
        <w:t>wyniósł</w:t>
      </w:r>
      <w:r w:rsidR="00B47D00" w:rsidRPr="00184AFF">
        <w:rPr>
          <w:b w:val="0"/>
        </w:rPr>
        <w:t xml:space="preserve"> </w:t>
      </w:r>
      <w:r w:rsidRPr="00184AFF">
        <w:rPr>
          <w:b w:val="0"/>
        </w:rPr>
        <w:t>10</w:t>
      </w:r>
      <w:r w:rsidR="00AB6080" w:rsidRPr="00184AFF">
        <w:rPr>
          <w:b w:val="0"/>
        </w:rPr>
        <w:t>9</w:t>
      </w:r>
      <w:r w:rsidRPr="00184AFF">
        <w:rPr>
          <w:b w:val="0"/>
        </w:rPr>
        <w:t>,</w:t>
      </w:r>
      <w:r w:rsidR="00DE092D" w:rsidRPr="00184AFF">
        <w:rPr>
          <w:b w:val="0"/>
        </w:rPr>
        <w:t>0</w:t>
      </w:r>
      <w:r w:rsidRPr="00184AFF">
        <w:rPr>
          <w:b w:val="0"/>
        </w:rPr>
        <w:t>%</w:t>
      </w:r>
      <w:r w:rsidR="00DE63B5" w:rsidRPr="00184AFF">
        <w:rPr>
          <w:b w:val="0"/>
        </w:rPr>
        <w:t xml:space="preserve"> (wobec 10</w:t>
      </w:r>
      <w:r w:rsidR="00DE092D" w:rsidRPr="00184AFF">
        <w:rPr>
          <w:b w:val="0"/>
        </w:rPr>
        <w:t>7</w:t>
      </w:r>
      <w:r w:rsidR="00DE63B5" w:rsidRPr="00184AFF">
        <w:rPr>
          <w:b w:val="0"/>
        </w:rPr>
        <w:t>,</w:t>
      </w:r>
      <w:r w:rsidR="00DE092D" w:rsidRPr="00184AFF">
        <w:rPr>
          <w:b w:val="0"/>
        </w:rPr>
        <w:t>5</w:t>
      </w:r>
      <w:r w:rsidR="00DE63B5" w:rsidRPr="00184AFF">
        <w:rPr>
          <w:b w:val="0"/>
        </w:rPr>
        <w:t>% przed rokiem)</w:t>
      </w:r>
      <w:r w:rsidR="00B47D00" w:rsidRPr="00184AFF">
        <w:rPr>
          <w:b w:val="0"/>
        </w:rPr>
        <w:t xml:space="preserve">. </w:t>
      </w:r>
      <w:r w:rsidRPr="00184AFF">
        <w:rPr>
          <w:b w:val="0"/>
        </w:rPr>
        <w:lastRenderedPageBreak/>
        <w:t>Wskaźnik płynności</w:t>
      </w:r>
      <w:r w:rsidR="00EF2502" w:rsidRPr="00184AFF">
        <w:rPr>
          <w:b w:val="0"/>
        </w:rPr>
        <w:t xml:space="preserve"> finansowej</w:t>
      </w:r>
      <w:r w:rsidRPr="00184AFF">
        <w:rPr>
          <w:b w:val="0"/>
        </w:rPr>
        <w:t xml:space="preserve"> I stopnia powyżej 20% uzyskało </w:t>
      </w:r>
      <w:r w:rsidR="00F75C90" w:rsidRPr="00184AFF">
        <w:rPr>
          <w:b w:val="0"/>
        </w:rPr>
        <w:t>5</w:t>
      </w:r>
      <w:r w:rsidR="000F00F7" w:rsidRPr="00184AFF">
        <w:rPr>
          <w:b w:val="0"/>
        </w:rPr>
        <w:t>9</w:t>
      </w:r>
      <w:r w:rsidRPr="00184AFF">
        <w:rPr>
          <w:b w:val="0"/>
        </w:rPr>
        <w:t>,</w:t>
      </w:r>
      <w:r w:rsidR="000F00F7" w:rsidRPr="00184AFF">
        <w:rPr>
          <w:b w:val="0"/>
        </w:rPr>
        <w:t>0</w:t>
      </w:r>
      <w:r w:rsidRPr="00184AFF">
        <w:rPr>
          <w:b w:val="0"/>
        </w:rPr>
        <w:t>% badanych przedsiębiorstw (wobec 5</w:t>
      </w:r>
      <w:r w:rsidR="00906666" w:rsidRPr="00184AFF">
        <w:rPr>
          <w:b w:val="0"/>
        </w:rPr>
        <w:t>8</w:t>
      </w:r>
      <w:r w:rsidRPr="00184AFF">
        <w:rPr>
          <w:b w:val="0"/>
        </w:rPr>
        <w:t>,</w:t>
      </w:r>
      <w:r w:rsidR="00906666" w:rsidRPr="00184AFF">
        <w:rPr>
          <w:b w:val="0"/>
        </w:rPr>
        <w:t>5</w:t>
      </w:r>
      <w:r w:rsidRPr="00184AFF">
        <w:rPr>
          <w:b w:val="0"/>
        </w:rPr>
        <w:t xml:space="preserve">% przed rokiem). Wskaźnik płynności </w:t>
      </w:r>
      <w:r w:rsidR="00EF2502" w:rsidRPr="00184AFF">
        <w:rPr>
          <w:b w:val="0"/>
        </w:rPr>
        <w:t xml:space="preserve">finansowej </w:t>
      </w:r>
      <w:r w:rsidRPr="00184AFF">
        <w:rPr>
          <w:b w:val="0"/>
        </w:rPr>
        <w:t>II stopnia w przedziale od 100% do 130% odnotowało 11,</w:t>
      </w:r>
      <w:r w:rsidR="000F00F7" w:rsidRPr="00184AFF">
        <w:rPr>
          <w:b w:val="0"/>
        </w:rPr>
        <w:t>4</w:t>
      </w:r>
      <w:r w:rsidRPr="00184AFF">
        <w:rPr>
          <w:b w:val="0"/>
        </w:rPr>
        <w:t>% badanych przedsiębiorstw</w:t>
      </w:r>
      <w:r w:rsidR="001D268A" w:rsidRPr="00184AFF">
        <w:rPr>
          <w:b w:val="0"/>
        </w:rPr>
        <w:t xml:space="preserve"> </w:t>
      </w:r>
      <w:r w:rsidR="001D268A" w:rsidRPr="00184AFF">
        <w:rPr>
          <w:rFonts w:eastAsia="Times New Roman" w:cs="Times New Roman"/>
        </w:rPr>
        <w:t>–</w:t>
      </w:r>
      <w:r w:rsidR="004C00C4" w:rsidRPr="00184AFF">
        <w:rPr>
          <w:b w:val="0"/>
        </w:rPr>
        <w:t xml:space="preserve"> </w:t>
      </w:r>
      <w:r w:rsidR="00906666" w:rsidRPr="00184AFF">
        <w:rPr>
          <w:b w:val="0"/>
        </w:rPr>
        <w:t>11,5%</w:t>
      </w:r>
      <w:r w:rsidR="004C00C4" w:rsidRPr="00184AFF">
        <w:rPr>
          <w:b w:val="0"/>
        </w:rPr>
        <w:t xml:space="preserve"> w 2024 </w:t>
      </w:r>
      <w:r w:rsidR="004C00C4" w:rsidRPr="003E3E08">
        <w:rPr>
          <w:b w:val="0"/>
        </w:rPr>
        <w:t>r.</w:t>
      </w:r>
    </w:p>
    <w:p w14:paraId="1C60AE40" w14:textId="4F636B03" w:rsidR="00BA1968" w:rsidRDefault="005506A1" w:rsidP="00D576E6">
      <w:pPr>
        <w:pStyle w:val="LID"/>
        <w:spacing w:before="360" w:line="240" w:lineRule="auto"/>
        <w:contextualSpacing/>
      </w:pPr>
      <w:r>
        <w:drawing>
          <wp:anchor distT="0" distB="0" distL="114300" distR="114300" simplePos="0" relativeHeight="251819008" behindDoc="0" locked="0" layoutInCell="1" allowOverlap="1" wp14:anchorId="76EB0853" wp14:editId="79B40B9C">
            <wp:simplePos x="0" y="0"/>
            <wp:positionH relativeFrom="margin">
              <wp:align>left</wp:align>
            </wp:positionH>
            <wp:positionV relativeFrom="paragraph">
              <wp:posOffset>285060</wp:posOffset>
            </wp:positionV>
            <wp:extent cx="4833620" cy="3339465"/>
            <wp:effectExtent l="0" t="0" r="5080" b="0"/>
            <wp:wrapTopAndBottom/>
            <wp:docPr id="13" name="Obraz 13" descr="Wykres kolumnowo liniowy. Dane do Wykresu 2. znajdują się w pliku XLSX pod nazwą: IS-05-tabl-20260323- Wyniki finansowe przedsiębiorstw niefinansowych w 2025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230" cy="334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968" w:rsidRPr="00520C81">
        <w:t>Wykres 2. Wskaźnik rentowności obrotu netto</w:t>
      </w:r>
    </w:p>
    <w:p w14:paraId="44097D47" w14:textId="340D34EC" w:rsidR="00181FAD" w:rsidRPr="00181FAD" w:rsidRDefault="00B8006D" w:rsidP="00181FAD">
      <w:pPr>
        <w:pStyle w:val="LID"/>
        <w:contextualSpacing/>
      </w:pPr>
      <w:r w:rsidRPr="00520C81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774D7ECC" wp14:editId="6E0C0E96">
                <wp:simplePos x="0" y="0"/>
                <wp:positionH relativeFrom="page">
                  <wp:posOffset>5756275</wp:posOffset>
                </wp:positionH>
                <wp:positionV relativeFrom="paragraph">
                  <wp:posOffset>3483748</wp:posOffset>
                </wp:positionV>
                <wp:extent cx="1732915" cy="1558290"/>
                <wp:effectExtent l="0" t="0" r="0" b="3810"/>
                <wp:wrapTight wrapText="bothSides">
                  <wp:wrapPolygon edited="0">
                    <wp:start x="712" y="0"/>
                    <wp:lineTo x="712" y="21389"/>
                    <wp:lineTo x="20658" y="21389"/>
                    <wp:lineTo x="20658" y="0"/>
                    <wp:lineTo x="712" y="0"/>
                  </wp:wrapPolygon>
                </wp:wrapTight>
                <wp:docPr id="4" name="Pole tekstowe 4" descr="W strukturze kosztów rodzajowych najbardziej zwiększył się udział usług obcych oraz wynagrodzeń (po 0,8 p. proc.), a zmniejszył się udział zużycia materiałów (o 1,5 p. proc.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55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D0D1" w14:textId="1FF0B468" w:rsidR="00710B8D" w:rsidRPr="00846E02" w:rsidRDefault="00710B8D" w:rsidP="00710B8D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B8006D">
                              <w:rPr>
                                <w:bCs w:val="0"/>
                              </w:rPr>
                              <w:t xml:space="preserve">W strukturze kosztów rodzajowych najbardziej </w:t>
                            </w:r>
                            <w:r w:rsidR="007D24E1" w:rsidRPr="00B8006D">
                              <w:rPr>
                                <w:bCs w:val="0"/>
                              </w:rPr>
                              <w:t xml:space="preserve">zwiększył </w:t>
                            </w:r>
                            <w:r w:rsidRPr="00B8006D">
                              <w:rPr>
                                <w:bCs w:val="0"/>
                              </w:rPr>
                              <w:t xml:space="preserve">się udział </w:t>
                            </w:r>
                            <w:r w:rsidR="007D24E1" w:rsidRPr="00B8006D">
                              <w:rPr>
                                <w:bCs w:val="0"/>
                              </w:rPr>
                              <w:t>usług obcych</w:t>
                            </w:r>
                            <w:r w:rsidR="00B5546D" w:rsidRPr="00B8006D">
                              <w:rPr>
                                <w:bCs w:val="0"/>
                              </w:rPr>
                              <w:t xml:space="preserve"> oraz wynagrodzeń</w:t>
                            </w:r>
                            <w:r w:rsidR="00AD6A0A" w:rsidRPr="00B8006D">
                              <w:rPr>
                                <w:bCs w:val="0"/>
                              </w:rPr>
                              <w:t xml:space="preserve"> </w:t>
                            </w:r>
                            <w:r w:rsidRPr="00B8006D">
                              <w:rPr>
                                <w:bCs w:val="0"/>
                              </w:rPr>
                              <w:t>(</w:t>
                            </w:r>
                            <w:r w:rsidR="00B5546D" w:rsidRPr="00B8006D">
                              <w:rPr>
                                <w:bCs w:val="0"/>
                              </w:rPr>
                              <w:t>po</w:t>
                            </w:r>
                            <w:r w:rsidRPr="00B8006D">
                              <w:rPr>
                                <w:bCs w:val="0"/>
                              </w:rPr>
                              <w:t xml:space="preserve"> </w:t>
                            </w:r>
                            <w:r w:rsidR="0046694E" w:rsidRPr="00B8006D">
                              <w:rPr>
                                <w:bCs w:val="0"/>
                              </w:rPr>
                              <w:t>0</w:t>
                            </w:r>
                            <w:r w:rsidRPr="00B8006D">
                              <w:rPr>
                                <w:bCs w:val="0"/>
                              </w:rPr>
                              <w:t>,</w:t>
                            </w:r>
                            <w:r w:rsidR="0046694E" w:rsidRPr="00B8006D">
                              <w:rPr>
                                <w:bCs w:val="0"/>
                              </w:rPr>
                              <w:t>8</w:t>
                            </w:r>
                            <w:r w:rsidRPr="00B8006D">
                              <w:rPr>
                                <w:bCs w:val="0"/>
                              </w:rPr>
                              <w:t xml:space="preserve"> p. proc</w:t>
                            </w:r>
                            <w:r w:rsidR="0000222E" w:rsidRPr="00B8006D">
                              <w:rPr>
                                <w:bCs w:val="0"/>
                              </w:rPr>
                              <w:t>.</w:t>
                            </w:r>
                            <w:r w:rsidRPr="00B8006D">
                              <w:rPr>
                                <w:bCs w:val="0"/>
                              </w:rPr>
                              <w:t>)</w:t>
                            </w:r>
                            <w:r w:rsidR="00724E59" w:rsidRPr="00B8006D">
                              <w:rPr>
                                <w:bCs w:val="0"/>
                              </w:rPr>
                              <w:t xml:space="preserve">, a </w:t>
                            </w:r>
                            <w:r w:rsidR="00B5546D" w:rsidRPr="00B8006D">
                              <w:rPr>
                                <w:bCs w:val="0"/>
                              </w:rPr>
                              <w:t>zmniejszył się udział zużycia materiałów (o 1,5 p.</w:t>
                            </w:r>
                            <w:r w:rsidR="000B46F5" w:rsidRPr="00B8006D">
                              <w:rPr>
                                <w:bCs w:val="0"/>
                              </w:rPr>
                              <w:t xml:space="preserve"> </w:t>
                            </w:r>
                            <w:r w:rsidR="00B5546D" w:rsidRPr="00B8006D">
                              <w:rPr>
                                <w:bCs w:val="0"/>
                              </w:rPr>
                              <w:t>proc.)</w:t>
                            </w:r>
                            <w:r w:rsidR="00724E59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7ECC" id="Pole tekstowe 4" o:spid="_x0000_s1029" type="#_x0000_t202" alt="W strukturze kosztów rodzajowych najbardziej zwiększył się udział usług obcych oraz wynagrodzeń (po 0,8 p. proc.), a zmniejszył się udział zużycia materiałów (o 1,5 p. proc.) " style="position:absolute;margin-left:453.25pt;margin-top:274.3pt;width:136.45pt;height:122.7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" filled="f" stroked="f">
                <v:textbox>
                  <w:txbxContent>
                    <w:p w14:paraId="16A5D0D1" w14:textId="1FF0B468" w:rsidR="00710B8D" w:rsidRPr="00846E02" w:rsidRDefault="00710B8D" w:rsidP="00710B8D">
                      <w:pPr>
                        <w:pStyle w:val="tekstzboku"/>
                        <w:rPr>
                          <w:bCs w:val="0"/>
                        </w:rPr>
                      </w:pPr>
                      <w:r w:rsidRPr="00B8006D">
                        <w:rPr>
                          <w:bCs w:val="0"/>
                        </w:rPr>
                        <w:t xml:space="preserve">W strukturze kosztów rodzajowych najbardziej </w:t>
                      </w:r>
                      <w:r w:rsidR="007D24E1" w:rsidRPr="00B8006D">
                        <w:rPr>
                          <w:bCs w:val="0"/>
                        </w:rPr>
                        <w:t xml:space="preserve">zwiększył </w:t>
                      </w:r>
                      <w:r w:rsidRPr="00B8006D">
                        <w:rPr>
                          <w:bCs w:val="0"/>
                        </w:rPr>
                        <w:t xml:space="preserve">się udział </w:t>
                      </w:r>
                      <w:r w:rsidR="007D24E1" w:rsidRPr="00B8006D">
                        <w:rPr>
                          <w:bCs w:val="0"/>
                        </w:rPr>
                        <w:t>usług obcych</w:t>
                      </w:r>
                      <w:r w:rsidR="00B5546D" w:rsidRPr="00B8006D">
                        <w:rPr>
                          <w:bCs w:val="0"/>
                        </w:rPr>
                        <w:t xml:space="preserve"> oraz wynagrodzeń</w:t>
                      </w:r>
                      <w:r w:rsidR="00AD6A0A" w:rsidRPr="00B8006D">
                        <w:rPr>
                          <w:bCs w:val="0"/>
                        </w:rPr>
                        <w:t xml:space="preserve"> </w:t>
                      </w:r>
                      <w:r w:rsidRPr="00B8006D">
                        <w:rPr>
                          <w:bCs w:val="0"/>
                        </w:rPr>
                        <w:t>(</w:t>
                      </w:r>
                      <w:r w:rsidR="00B5546D" w:rsidRPr="00B8006D">
                        <w:rPr>
                          <w:bCs w:val="0"/>
                        </w:rPr>
                        <w:t>po</w:t>
                      </w:r>
                      <w:r w:rsidRPr="00B8006D">
                        <w:rPr>
                          <w:bCs w:val="0"/>
                        </w:rPr>
                        <w:t xml:space="preserve"> </w:t>
                      </w:r>
                      <w:r w:rsidR="0046694E" w:rsidRPr="00B8006D">
                        <w:rPr>
                          <w:bCs w:val="0"/>
                        </w:rPr>
                        <w:t>0</w:t>
                      </w:r>
                      <w:r w:rsidRPr="00B8006D">
                        <w:rPr>
                          <w:bCs w:val="0"/>
                        </w:rPr>
                        <w:t>,</w:t>
                      </w:r>
                      <w:r w:rsidR="0046694E" w:rsidRPr="00B8006D">
                        <w:rPr>
                          <w:bCs w:val="0"/>
                        </w:rPr>
                        <w:t>8</w:t>
                      </w:r>
                      <w:r w:rsidRPr="00B8006D">
                        <w:rPr>
                          <w:bCs w:val="0"/>
                        </w:rPr>
                        <w:t xml:space="preserve"> p. proc</w:t>
                      </w:r>
                      <w:r w:rsidR="0000222E" w:rsidRPr="00B8006D">
                        <w:rPr>
                          <w:bCs w:val="0"/>
                        </w:rPr>
                        <w:t>.</w:t>
                      </w:r>
                      <w:r w:rsidRPr="00B8006D">
                        <w:rPr>
                          <w:bCs w:val="0"/>
                        </w:rPr>
                        <w:t>)</w:t>
                      </w:r>
                      <w:r w:rsidR="00724E59" w:rsidRPr="00B8006D">
                        <w:rPr>
                          <w:bCs w:val="0"/>
                        </w:rPr>
                        <w:t xml:space="preserve">, a </w:t>
                      </w:r>
                      <w:r w:rsidR="00B5546D" w:rsidRPr="00B8006D">
                        <w:rPr>
                          <w:bCs w:val="0"/>
                        </w:rPr>
                        <w:t>zmniejszył się udział zużycia materiałów (o 1,5 p.</w:t>
                      </w:r>
                      <w:r w:rsidR="000B46F5" w:rsidRPr="00B8006D">
                        <w:rPr>
                          <w:bCs w:val="0"/>
                        </w:rPr>
                        <w:t xml:space="preserve"> </w:t>
                      </w:r>
                      <w:r w:rsidR="00B5546D" w:rsidRPr="00B8006D">
                        <w:rPr>
                          <w:bCs w:val="0"/>
                        </w:rPr>
                        <w:t>proc.)</w:t>
                      </w:r>
                      <w:r w:rsidR="00724E59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3B17F731" w14:textId="08BDE00B" w:rsidR="005B6111" w:rsidRPr="002200CA" w:rsidRDefault="00597F6A" w:rsidP="00F652BE">
      <w:pPr>
        <w:pStyle w:val="LID"/>
        <w:spacing w:line="288" w:lineRule="auto"/>
        <w:contextualSpacing/>
        <w:rPr>
          <w:b w:val="0"/>
        </w:rPr>
      </w:pPr>
      <w:r w:rsidRPr="003E3E08">
        <w:rPr>
          <w:b w:val="0"/>
        </w:rPr>
        <w:t xml:space="preserve">W strukturze rodzajowej kosztów </w:t>
      </w:r>
      <w:r w:rsidRPr="002200CA">
        <w:rPr>
          <w:b w:val="0"/>
        </w:rPr>
        <w:t>ogółem</w:t>
      </w:r>
      <w:r w:rsidR="00481A89" w:rsidRPr="002200CA">
        <w:rPr>
          <w:b w:val="0"/>
        </w:rPr>
        <w:t>, w porównaniu z 2024 r.</w:t>
      </w:r>
      <w:r w:rsidRPr="002200CA">
        <w:rPr>
          <w:b w:val="0"/>
        </w:rPr>
        <w:t xml:space="preserve"> zwiększył się udział </w:t>
      </w:r>
      <w:r w:rsidR="0047612C" w:rsidRPr="002200CA">
        <w:rPr>
          <w:b w:val="0"/>
        </w:rPr>
        <w:t xml:space="preserve">usług obcych (o </w:t>
      </w:r>
      <w:r w:rsidR="00CB14DB" w:rsidRPr="002200CA">
        <w:rPr>
          <w:b w:val="0"/>
        </w:rPr>
        <w:t>0</w:t>
      </w:r>
      <w:r w:rsidR="0047612C" w:rsidRPr="002200CA">
        <w:rPr>
          <w:b w:val="0"/>
        </w:rPr>
        <w:t>,</w:t>
      </w:r>
      <w:r w:rsidR="00CB14DB" w:rsidRPr="002200CA">
        <w:rPr>
          <w:b w:val="0"/>
        </w:rPr>
        <w:t>8</w:t>
      </w:r>
      <w:r w:rsidR="0047612C" w:rsidRPr="002200CA">
        <w:rPr>
          <w:b w:val="0"/>
        </w:rPr>
        <w:t xml:space="preserve"> p. proc.), wynagrodzeń (o 0,</w:t>
      </w:r>
      <w:r w:rsidR="00B22907" w:rsidRPr="002200CA">
        <w:rPr>
          <w:b w:val="0"/>
        </w:rPr>
        <w:t>8</w:t>
      </w:r>
      <w:r w:rsidR="0047612C" w:rsidRPr="002200CA">
        <w:rPr>
          <w:b w:val="0"/>
        </w:rPr>
        <w:t xml:space="preserve"> p. proc.), </w:t>
      </w:r>
      <w:r w:rsidR="004132E8" w:rsidRPr="002200CA">
        <w:rPr>
          <w:b w:val="0"/>
        </w:rPr>
        <w:t xml:space="preserve">pozostałych kosztów rodzajowych (o </w:t>
      </w:r>
      <w:r w:rsidR="00B0232C" w:rsidRPr="002200CA">
        <w:rPr>
          <w:b w:val="0"/>
        </w:rPr>
        <w:t>0,</w:t>
      </w:r>
      <w:r w:rsidR="00B22907" w:rsidRPr="002200CA">
        <w:rPr>
          <w:b w:val="0"/>
        </w:rPr>
        <w:t>6</w:t>
      </w:r>
      <w:r w:rsidR="004132E8" w:rsidRPr="002200CA">
        <w:rPr>
          <w:b w:val="0"/>
        </w:rPr>
        <w:t xml:space="preserve"> p. proc.), </w:t>
      </w:r>
      <w:r w:rsidR="00B22907" w:rsidRPr="002200CA">
        <w:rPr>
          <w:b w:val="0"/>
        </w:rPr>
        <w:t xml:space="preserve">ubezpieczeń społecznych i innych świadczeń (o 0,2 p. proc.) oraz </w:t>
      </w:r>
      <w:r w:rsidRPr="002200CA">
        <w:rPr>
          <w:b w:val="0"/>
        </w:rPr>
        <w:t>amortyzacji (</w:t>
      </w:r>
      <w:r w:rsidR="004132E8" w:rsidRPr="002200CA">
        <w:rPr>
          <w:b w:val="0"/>
        </w:rPr>
        <w:t>o</w:t>
      </w:r>
      <w:r w:rsidRPr="002200CA">
        <w:rPr>
          <w:b w:val="0"/>
        </w:rPr>
        <w:t xml:space="preserve"> </w:t>
      </w:r>
      <w:r w:rsidR="00F86444" w:rsidRPr="002200CA">
        <w:rPr>
          <w:b w:val="0"/>
        </w:rPr>
        <w:t>0</w:t>
      </w:r>
      <w:r w:rsidRPr="002200CA">
        <w:rPr>
          <w:b w:val="0"/>
        </w:rPr>
        <w:t>,</w:t>
      </w:r>
      <w:r w:rsidR="00B22907" w:rsidRPr="002200CA">
        <w:rPr>
          <w:b w:val="0"/>
        </w:rPr>
        <w:t>1</w:t>
      </w:r>
      <w:r w:rsidRPr="002200CA">
        <w:rPr>
          <w:b w:val="0"/>
        </w:rPr>
        <w:t xml:space="preserve"> p. proc.)</w:t>
      </w:r>
      <w:r w:rsidR="00B22907" w:rsidRPr="002200CA">
        <w:rPr>
          <w:b w:val="0"/>
        </w:rPr>
        <w:t xml:space="preserve">. </w:t>
      </w:r>
      <w:r w:rsidRPr="002200CA">
        <w:rPr>
          <w:b w:val="0"/>
        </w:rPr>
        <w:t>Zmniejszył się udział</w:t>
      </w:r>
      <w:r w:rsidR="00CB14DB" w:rsidRPr="002200CA">
        <w:rPr>
          <w:b w:val="0"/>
        </w:rPr>
        <w:t xml:space="preserve"> zużycia materiałów (o 1,</w:t>
      </w:r>
      <w:r w:rsidR="00B22907" w:rsidRPr="002200CA">
        <w:rPr>
          <w:b w:val="0"/>
        </w:rPr>
        <w:t>5</w:t>
      </w:r>
      <w:r w:rsidR="00CB14DB" w:rsidRPr="002200CA">
        <w:rPr>
          <w:b w:val="0"/>
        </w:rPr>
        <w:t xml:space="preserve"> p. proc.),</w:t>
      </w:r>
      <w:r w:rsidRPr="002200CA">
        <w:rPr>
          <w:b w:val="0"/>
        </w:rPr>
        <w:t xml:space="preserve"> </w:t>
      </w:r>
      <w:r w:rsidR="004132E8" w:rsidRPr="002200CA">
        <w:rPr>
          <w:b w:val="0"/>
        </w:rPr>
        <w:t xml:space="preserve">podatków i opłat (o </w:t>
      </w:r>
      <w:r w:rsidR="00B22907" w:rsidRPr="002200CA">
        <w:rPr>
          <w:b w:val="0"/>
        </w:rPr>
        <w:t>0</w:t>
      </w:r>
      <w:r w:rsidR="004132E8" w:rsidRPr="002200CA">
        <w:rPr>
          <w:b w:val="0"/>
        </w:rPr>
        <w:t>,</w:t>
      </w:r>
      <w:r w:rsidR="00B22907" w:rsidRPr="002200CA">
        <w:rPr>
          <w:b w:val="0"/>
        </w:rPr>
        <w:t>7</w:t>
      </w:r>
      <w:r w:rsidR="004132E8" w:rsidRPr="002200CA">
        <w:rPr>
          <w:b w:val="0"/>
        </w:rPr>
        <w:t xml:space="preserve"> p. proc.)</w:t>
      </w:r>
      <w:r w:rsidR="00CB14DB" w:rsidRPr="002200CA">
        <w:rPr>
          <w:b w:val="0"/>
        </w:rPr>
        <w:t xml:space="preserve"> </w:t>
      </w:r>
      <w:r w:rsidR="0047612C" w:rsidRPr="002200CA">
        <w:rPr>
          <w:b w:val="0"/>
        </w:rPr>
        <w:t xml:space="preserve">oraz </w:t>
      </w:r>
      <w:r w:rsidR="00F026BC" w:rsidRPr="002200CA">
        <w:rPr>
          <w:b w:val="0"/>
        </w:rPr>
        <w:t xml:space="preserve">zużycia energii (o </w:t>
      </w:r>
      <w:r w:rsidR="00F86444" w:rsidRPr="002200CA">
        <w:rPr>
          <w:b w:val="0"/>
        </w:rPr>
        <w:t>0</w:t>
      </w:r>
      <w:r w:rsidR="00F026BC" w:rsidRPr="002200CA">
        <w:rPr>
          <w:b w:val="0"/>
        </w:rPr>
        <w:t>,</w:t>
      </w:r>
      <w:r w:rsidR="00F86444" w:rsidRPr="002200CA">
        <w:rPr>
          <w:b w:val="0"/>
        </w:rPr>
        <w:t>3</w:t>
      </w:r>
      <w:r w:rsidR="00F026BC" w:rsidRPr="002200CA">
        <w:rPr>
          <w:b w:val="0"/>
        </w:rPr>
        <w:t xml:space="preserve"> p. proc.)</w:t>
      </w:r>
      <w:r w:rsidR="0047612C" w:rsidRPr="002200CA">
        <w:rPr>
          <w:b w:val="0"/>
        </w:rPr>
        <w:t>.</w:t>
      </w:r>
    </w:p>
    <w:p w14:paraId="2172E9F2" w14:textId="1421637B" w:rsidR="00BA1968" w:rsidRPr="002200CA" w:rsidRDefault="00BA1968" w:rsidP="00BA1968">
      <w:pPr>
        <w:pStyle w:val="LID"/>
        <w:contextualSpacing/>
      </w:pPr>
    </w:p>
    <w:p w14:paraId="072DB901" w14:textId="1830B3F1" w:rsidR="00D67740" w:rsidRPr="00AD3E34" w:rsidRDefault="005506A1" w:rsidP="00733D68">
      <w:pPr>
        <w:pStyle w:val="LID"/>
        <w:spacing w:before="360" w:line="240" w:lineRule="auto"/>
        <w:contextualSpacing/>
      </w:pPr>
      <w:r>
        <w:drawing>
          <wp:anchor distT="0" distB="0" distL="114300" distR="114300" simplePos="0" relativeHeight="251820032" behindDoc="0" locked="0" layoutInCell="1" allowOverlap="1" wp14:anchorId="716A3A37" wp14:editId="405A1D1B">
            <wp:simplePos x="0" y="0"/>
            <wp:positionH relativeFrom="margin">
              <wp:align>left</wp:align>
            </wp:positionH>
            <wp:positionV relativeFrom="paragraph">
              <wp:posOffset>260985</wp:posOffset>
            </wp:positionV>
            <wp:extent cx="4484370" cy="3168015"/>
            <wp:effectExtent l="0" t="0" r="0" b="0"/>
            <wp:wrapTopAndBottom/>
            <wp:docPr id="16" name="Obraz 16" descr="Wykres kołowy. Dane do Wykresu 3. znajdują się w pliku XLSX pod nazwą: IS-05-tabl-20260323- Wyniki finansowe przedsiębiorstw niefinansowych w 2025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013" cy="3208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968" w:rsidRPr="00131C92">
        <w:t>Wykres 3. Struktura kosztów rodzajowych w</w:t>
      </w:r>
      <w:r w:rsidR="00131C92" w:rsidRPr="00131C92">
        <w:t xml:space="preserve"> 2025</w:t>
      </w:r>
      <w:r w:rsidR="00CB6C3A" w:rsidRPr="00131C92">
        <w:t xml:space="preserve"> r.</w:t>
      </w:r>
    </w:p>
    <w:p w14:paraId="0ABCB382" w14:textId="2F2F5C18" w:rsidR="00E40D45" w:rsidRPr="00131C92" w:rsidRDefault="002875CB" w:rsidP="00F652BE">
      <w:pPr>
        <w:pStyle w:val="LID"/>
        <w:spacing w:line="288" w:lineRule="auto"/>
        <w:rPr>
          <w:b w:val="0"/>
        </w:rPr>
      </w:pPr>
      <w:r w:rsidRPr="003E3E08">
        <w:rPr>
          <w:b w:val="0"/>
        </w:rPr>
        <w:t>Z grupy przedsiębiorstw objętych badaniem</w:t>
      </w:r>
      <w:r w:rsidR="0068714F" w:rsidRPr="003E3E08">
        <w:rPr>
          <w:b w:val="0"/>
        </w:rPr>
        <w:t>,</w:t>
      </w:r>
      <w:r w:rsidRPr="003E3E08">
        <w:rPr>
          <w:b w:val="0"/>
        </w:rPr>
        <w:t xml:space="preserve"> 5</w:t>
      </w:r>
      <w:r w:rsidR="00F37A43">
        <w:rPr>
          <w:b w:val="0"/>
        </w:rPr>
        <w:t>5</w:t>
      </w:r>
      <w:r w:rsidRPr="003E3E08">
        <w:rPr>
          <w:b w:val="0"/>
        </w:rPr>
        <w:t>,</w:t>
      </w:r>
      <w:r w:rsidR="00F37A43">
        <w:rPr>
          <w:b w:val="0"/>
        </w:rPr>
        <w:t>0</w:t>
      </w:r>
      <w:r w:rsidRPr="003E3E08">
        <w:rPr>
          <w:b w:val="0"/>
        </w:rPr>
        <w:t>% wykazało w</w:t>
      </w:r>
      <w:r w:rsidR="000E6E4F" w:rsidRPr="003E3E08">
        <w:rPr>
          <w:rFonts w:eastAsia="Times New Roman" w:cs="Times New Roman"/>
        </w:rPr>
        <w:t xml:space="preserve"> </w:t>
      </w:r>
      <w:r w:rsidRPr="003E3E08">
        <w:rPr>
          <w:b w:val="0"/>
        </w:rPr>
        <w:t>202</w:t>
      </w:r>
      <w:r w:rsidR="00D374AC" w:rsidRPr="003E3E08">
        <w:rPr>
          <w:b w:val="0"/>
        </w:rPr>
        <w:t>5</w:t>
      </w:r>
      <w:r w:rsidRPr="003E3E08">
        <w:rPr>
          <w:b w:val="0"/>
        </w:rPr>
        <w:t xml:space="preserve"> </w:t>
      </w:r>
      <w:r w:rsidR="00D374AC" w:rsidRPr="003E3E08">
        <w:rPr>
          <w:b w:val="0"/>
        </w:rPr>
        <w:t>r.</w:t>
      </w:r>
      <w:r w:rsidRPr="003E3E08">
        <w:rPr>
          <w:b w:val="0"/>
        </w:rPr>
        <w:t xml:space="preserve"> przychody netto ze sprzedaży produktów, towarów i materiałów na </w:t>
      </w:r>
      <w:r w:rsidRPr="00184AFF">
        <w:rPr>
          <w:b w:val="0"/>
        </w:rPr>
        <w:t>eksport (wobec 5</w:t>
      </w:r>
      <w:r w:rsidR="00DE63B5" w:rsidRPr="00184AFF">
        <w:rPr>
          <w:b w:val="0"/>
        </w:rPr>
        <w:t>4</w:t>
      </w:r>
      <w:r w:rsidRPr="00184AFF">
        <w:rPr>
          <w:b w:val="0"/>
        </w:rPr>
        <w:t>,</w:t>
      </w:r>
      <w:r w:rsidR="003E15C0" w:rsidRPr="00184AFF">
        <w:rPr>
          <w:b w:val="0"/>
        </w:rPr>
        <w:t>6</w:t>
      </w:r>
      <w:r w:rsidRPr="00184AFF">
        <w:rPr>
          <w:b w:val="0"/>
        </w:rPr>
        <w:t xml:space="preserve">% rok wcześniej). Poziom </w:t>
      </w:r>
      <w:r w:rsidRPr="003E3E08">
        <w:rPr>
          <w:b w:val="0"/>
        </w:rPr>
        <w:t xml:space="preserve">przychodów ze sprzedaży na eksport </w:t>
      </w:r>
      <w:r w:rsidRPr="00B8006D">
        <w:rPr>
          <w:b w:val="0"/>
        </w:rPr>
        <w:t xml:space="preserve">był o </w:t>
      </w:r>
      <w:r w:rsidR="00027273" w:rsidRPr="00B8006D">
        <w:rPr>
          <w:b w:val="0"/>
        </w:rPr>
        <w:t>2</w:t>
      </w:r>
      <w:r w:rsidRPr="00B8006D">
        <w:rPr>
          <w:b w:val="0"/>
        </w:rPr>
        <w:t>,</w:t>
      </w:r>
      <w:r w:rsidR="006D5054" w:rsidRPr="00B8006D">
        <w:rPr>
          <w:b w:val="0"/>
        </w:rPr>
        <w:t>3</w:t>
      </w:r>
      <w:r w:rsidRPr="00B8006D">
        <w:rPr>
          <w:b w:val="0"/>
        </w:rPr>
        <w:t xml:space="preserve">% </w:t>
      </w:r>
      <w:r w:rsidR="00EF7BDF" w:rsidRPr="00B8006D">
        <w:rPr>
          <w:b w:val="0"/>
        </w:rPr>
        <w:t>wyższy</w:t>
      </w:r>
      <w:r w:rsidRPr="00B8006D">
        <w:rPr>
          <w:b w:val="0"/>
        </w:rPr>
        <w:t xml:space="preserve"> niż </w:t>
      </w:r>
      <w:r w:rsidRPr="003E3E08">
        <w:rPr>
          <w:b w:val="0"/>
        </w:rPr>
        <w:t xml:space="preserve">rok wcześniej. Udział tych przychodów w przychodach netto ze sprzedaży produktów, towarów i materiałów ogółu </w:t>
      </w:r>
      <w:r w:rsidRPr="003E3E08">
        <w:rPr>
          <w:b w:val="0"/>
        </w:rPr>
        <w:lastRenderedPageBreak/>
        <w:t xml:space="preserve">badanych podmiotów </w:t>
      </w:r>
      <w:r w:rsidR="008D05BA" w:rsidRPr="00B8006D">
        <w:rPr>
          <w:b w:val="0"/>
        </w:rPr>
        <w:t>wyniósł</w:t>
      </w:r>
      <w:r w:rsidRPr="00B8006D">
        <w:rPr>
          <w:b w:val="0"/>
        </w:rPr>
        <w:t xml:space="preserve"> </w:t>
      </w:r>
      <w:r w:rsidR="00C92698" w:rsidRPr="00B8006D">
        <w:rPr>
          <w:b w:val="0"/>
        </w:rPr>
        <w:t>2</w:t>
      </w:r>
      <w:r w:rsidR="008D05BA" w:rsidRPr="00B8006D">
        <w:rPr>
          <w:b w:val="0"/>
        </w:rPr>
        <w:t>3</w:t>
      </w:r>
      <w:r w:rsidR="00C92698" w:rsidRPr="00B8006D">
        <w:rPr>
          <w:b w:val="0"/>
        </w:rPr>
        <w:t>,</w:t>
      </w:r>
      <w:r w:rsidR="008D05BA" w:rsidRPr="00B8006D">
        <w:rPr>
          <w:b w:val="0"/>
        </w:rPr>
        <w:t>3</w:t>
      </w:r>
      <w:r w:rsidR="00C92698" w:rsidRPr="00B8006D">
        <w:rPr>
          <w:b w:val="0"/>
        </w:rPr>
        <w:t>%</w:t>
      </w:r>
      <w:r w:rsidR="008D05BA" w:rsidRPr="00B8006D">
        <w:rPr>
          <w:b w:val="0"/>
        </w:rPr>
        <w:t xml:space="preserve"> (23,4% w 2024 r.)</w:t>
      </w:r>
      <w:r w:rsidRPr="00B8006D">
        <w:rPr>
          <w:b w:val="0"/>
        </w:rPr>
        <w:t xml:space="preserve">. Spośród jednostek eksportujących, zysk netto wykazało </w:t>
      </w:r>
      <w:r w:rsidR="00B152BF" w:rsidRPr="00B8006D">
        <w:rPr>
          <w:b w:val="0"/>
        </w:rPr>
        <w:t>7</w:t>
      </w:r>
      <w:r w:rsidR="008D05BA" w:rsidRPr="00B8006D">
        <w:rPr>
          <w:b w:val="0"/>
        </w:rPr>
        <w:t>7</w:t>
      </w:r>
      <w:r w:rsidRPr="00B8006D">
        <w:rPr>
          <w:b w:val="0"/>
        </w:rPr>
        <w:t>,</w:t>
      </w:r>
      <w:r w:rsidR="008D05BA" w:rsidRPr="00B8006D">
        <w:rPr>
          <w:b w:val="0"/>
        </w:rPr>
        <w:t>5</w:t>
      </w:r>
      <w:r w:rsidRPr="00B8006D">
        <w:rPr>
          <w:b w:val="0"/>
        </w:rPr>
        <w:t>% przedsiębiorstw</w:t>
      </w:r>
      <w:r w:rsidR="0068714F" w:rsidRPr="00B8006D">
        <w:rPr>
          <w:b w:val="0"/>
        </w:rPr>
        <w:t>,</w:t>
      </w:r>
      <w:r w:rsidRPr="00B8006D">
        <w:rPr>
          <w:b w:val="0"/>
        </w:rPr>
        <w:t xml:space="preserve"> wobec </w:t>
      </w:r>
      <w:r w:rsidR="00B152BF" w:rsidRPr="00556914">
        <w:rPr>
          <w:b w:val="0"/>
        </w:rPr>
        <w:t>7</w:t>
      </w:r>
      <w:r w:rsidR="003E15C0" w:rsidRPr="00556914">
        <w:rPr>
          <w:b w:val="0"/>
        </w:rPr>
        <w:t>6</w:t>
      </w:r>
      <w:r w:rsidRPr="00556914">
        <w:rPr>
          <w:b w:val="0"/>
        </w:rPr>
        <w:t>,</w:t>
      </w:r>
      <w:r w:rsidR="00DE63B5" w:rsidRPr="00556914">
        <w:rPr>
          <w:b w:val="0"/>
        </w:rPr>
        <w:t>4</w:t>
      </w:r>
      <w:r w:rsidRPr="00556914">
        <w:rPr>
          <w:b w:val="0"/>
        </w:rPr>
        <w:t xml:space="preserve">% przed </w:t>
      </w:r>
      <w:r w:rsidRPr="003E3E08">
        <w:rPr>
          <w:b w:val="0"/>
        </w:rPr>
        <w:t xml:space="preserve">rokiem. Podstawowe relacje </w:t>
      </w:r>
      <w:r w:rsidR="009F31B2" w:rsidRPr="003E3E08">
        <w:rPr>
          <w:b w:val="0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06BD3F9" wp14:editId="27463A37">
                <wp:simplePos x="0" y="0"/>
                <wp:positionH relativeFrom="page">
                  <wp:posOffset>5736590</wp:posOffset>
                </wp:positionH>
                <wp:positionV relativeFrom="paragraph">
                  <wp:posOffset>436852</wp:posOffset>
                </wp:positionV>
                <wp:extent cx="1788795" cy="1160145"/>
                <wp:effectExtent l="0" t="0" r="0" b="1905"/>
                <wp:wrapSquare wrapText="bothSides"/>
                <wp:docPr id="29" name="Pole tekstowe 2" descr="Nakłady inwestycyjne badanych przedsiębiorstw były o 3,2% wyższe niż przed rokiem. Wzrosły nakłady na zakupy, przy spadku nakładów na budynki i budow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16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54A3" w14:textId="2BC76F8D" w:rsidR="00E40D45" w:rsidRDefault="004E4189" w:rsidP="00796F6F">
                            <w:r w:rsidRPr="004E41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Nakłady inwestycyjne badanych przedsiębiorstw były o 3,2% wyższe niż przed rokiem. Wzrosły nakłady na zakupy, przy spadku nakładów na budynki i budowle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BD3F9" id="_x0000_s1030" type="#_x0000_t202" alt="Nakłady inwestycyjne badanych przedsiębiorstw były o 3,2% wyższe niż przed rokiem. Wzrosły nakłady na zakupy, przy spadku nakładów na budynki i budowle" style="position:absolute;margin-left:451.7pt;margin-top:34.4pt;width:140.85pt;height:91.3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" filled="f" stroked="f">
                <v:textbox>
                  <w:txbxContent>
                    <w:p w14:paraId="66C354A3" w14:textId="2BC76F8D" w:rsidR="00E40D45" w:rsidRDefault="004E4189" w:rsidP="00796F6F">
                      <w:r w:rsidRPr="004E41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Nakłady inwestycyjne badanych przedsiębiorstw były o 3,2% wyższe niż przed rokiem. Wzrosły nakłady na zakupy, przy spadku nakładów na budynki i budowle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E3E08">
        <w:rPr>
          <w:b w:val="0"/>
        </w:rPr>
        <w:t>ekonomiczno-finansowe eksporterów uległy po</w:t>
      </w:r>
      <w:r w:rsidR="0027622F" w:rsidRPr="003E3E08">
        <w:rPr>
          <w:b w:val="0"/>
        </w:rPr>
        <w:t>prawie.</w:t>
      </w:r>
    </w:p>
    <w:p w14:paraId="5F1BE827" w14:textId="41AC8574" w:rsidR="004A4E95" w:rsidRPr="00765945" w:rsidRDefault="004A4E95" w:rsidP="007312E1">
      <w:pPr>
        <w:spacing w:line="288" w:lineRule="auto"/>
        <w:rPr>
          <w:b/>
        </w:rPr>
      </w:pPr>
      <w:r w:rsidRPr="00C4761A">
        <w:rPr>
          <w:color w:val="000000" w:themeColor="text1"/>
        </w:rPr>
        <w:t xml:space="preserve">Nakłady </w:t>
      </w:r>
      <w:r w:rsidRPr="004D1B60">
        <w:rPr>
          <w:color w:val="000000" w:themeColor="text1"/>
        </w:rPr>
        <w:t xml:space="preserve">inwestycyjne w 2025 r. wyniosły 217,6 mld zł i były (w cenach stałych) o 3,2% wyższe niż przed rokiem (kiedy notowano spadek o 7,8%). </w:t>
      </w:r>
      <w:r w:rsidR="009642F8">
        <w:rPr>
          <w:color w:val="000000" w:themeColor="text1"/>
        </w:rPr>
        <w:t>Wzrosły n</w:t>
      </w:r>
      <w:r w:rsidRPr="000949B9">
        <w:rPr>
          <w:color w:val="000000" w:themeColor="text1"/>
        </w:rPr>
        <w:t>akłady na zakupy</w:t>
      </w:r>
      <w:r>
        <w:rPr>
          <w:rStyle w:val="Odwoanieprzypisudolnego"/>
        </w:rPr>
        <w:footnoteReference w:id="1"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642F8" w:rsidRPr="00CB6801">
        <w:rPr>
          <w:color w:val="000000" w:themeColor="text1"/>
        </w:rPr>
        <w:t>‒</w:t>
      </w:r>
      <w:r w:rsidR="00C618C7">
        <w:rPr>
          <w:color w:val="000000" w:themeColor="text1"/>
        </w:rPr>
        <w:t xml:space="preserve"> o</w:t>
      </w:r>
      <w:r w:rsidR="009642F8">
        <w:rPr>
          <w:color w:val="000000" w:themeColor="text1"/>
        </w:rPr>
        <w:t xml:space="preserve"> </w:t>
      </w:r>
      <w:r w:rsidRPr="004D1B60">
        <w:rPr>
          <w:color w:val="000000" w:themeColor="text1"/>
        </w:rPr>
        <w:t>5,4% (wobec</w:t>
      </w:r>
      <w:r w:rsidRPr="000949B9">
        <w:rPr>
          <w:color w:val="000000" w:themeColor="text1"/>
        </w:rPr>
        <w:t xml:space="preserve"> </w:t>
      </w:r>
      <w:r w:rsidRPr="00CB6801">
        <w:rPr>
          <w:color w:val="000000" w:themeColor="text1"/>
        </w:rPr>
        <w:t>spadku o 4,3% rok wcześniej), w tym na maszyny, urządzenia techniczne i narzędzia ‒ o 4,1% (wobec spadku przed rokiem o 4,9%),</w:t>
      </w:r>
      <w:r w:rsidRPr="000949B9">
        <w:rPr>
          <w:color w:val="000000" w:themeColor="text1"/>
        </w:rPr>
        <w:t xml:space="preserve"> a na środki </w:t>
      </w:r>
      <w:r w:rsidRPr="00CB6801">
        <w:rPr>
          <w:color w:val="000000" w:themeColor="text1"/>
        </w:rPr>
        <w:t xml:space="preserve">transportu ‒ o 9,4% </w:t>
      </w:r>
      <w:r w:rsidRPr="00CB6801">
        <w:t>(wobec spadku o 2,4%).</w:t>
      </w:r>
      <w:r w:rsidR="009642F8">
        <w:t xml:space="preserve"> </w:t>
      </w:r>
      <w:r w:rsidR="009642F8" w:rsidRPr="004D1B60">
        <w:rPr>
          <w:color w:val="000000" w:themeColor="text1"/>
        </w:rPr>
        <w:t>Nakłady</w:t>
      </w:r>
      <w:r w:rsidR="009642F8" w:rsidRPr="00C4761A">
        <w:rPr>
          <w:color w:val="000000" w:themeColor="text1"/>
        </w:rPr>
        <w:t xml:space="preserve"> na budynki i budo</w:t>
      </w:r>
      <w:r w:rsidR="009642F8" w:rsidRPr="004D1B60">
        <w:rPr>
          <w:color w:val="000000" w:themeColor="text1"/>
        </w:rPr>
        <w:t>wle zmniejszyły się o 0,3% (wobec spadku przed rokiem o 13,4%).</w:t>
      </w:r>
    </w:p>
    <w:p w14:paraId="4CA5FCB4" w14:textId="67A30E04" w:rsidR="004A4E95" w:rsidRDefault="004A4E95" w:rsidP="007312E1">
      <w:pPr>
        <w:spacing w:line="288" w:lineRule="auto"/>
        <w:jc w:val="both"/>
      </w:pPr>
      <w:r w:rsidRPr="00765945">
        <w:t>Wzrost nakładów (w cenach bieżących) notowano m.in. w informacji i komun</w:t>
      </w:r>
      <w:r w:rsidRPr="00380AA2">
        <w:t>ikacji (o 32,4%</w:t>
      </w:r>
      <w:r w:rsidR="009642F8">
        <w:t>,</w:t>
      </w:r>
      <w:r w:rsidRPr="00380AA2">
        <w:t xml:space="preserve"> wobec spadku o 10,7%),</w:t>
      </w:r>
      <w:r w:rsidRPr="00C4109B">
        <w:t xml:space="preserve"> </w:t>
      </w:r>
      <w:r w:rsidRPr="00765945">
        <w:t xml:space="preserve">w </w:t>
      </w:r>
      <w:r w:rsidRPr="00380AA2">
        <w:t>budownictwie (o 30,3%</w:t>
      </w:r>
      <w:r w:rsidR="009642F8">
        <w:t>,</w:t>
      </w:r>
      <w:r w:rsidRPr="00380AA2">
        <w:t xml:space="preserve"> wobec wzrostu przed rokiem o 23,8%), </w:t>
      </w:r>
      <w:r w:rsidRPr="00765945">
        <w:t xml:space="preserve">w dostawie wody; gospodarowaniu ściekami i odpadami, </w:t>
      </w:r>
      <w:r w:rsidRPr="00380AA2">
        <w:t>rekultywacji (o 17,3% wobec</w:t>
      </w:r>
      <w:r w:rsidRPr="00765945">
        <w:t xml:space="preserve"> spadku przed </w:t>
      </w:r>
      <w:r w:rsidRPr="00380AA2">
        <w:t>rokiem o 18,2%), w wytwarzaniu i zaopatrywaniu w energię elektryczną, gaz, parę wodną i gorącą wodę (o 12,0%</w:t>
      </w:r>
      <w:r w:rsidR="009642F8">
        <w:t>,</w:t>
      </w:r>
      <w:r w:rsidRPr="00380AA2">
        <w:t xml:space="preserve"> </w:t>
      </w:r>
      <w:r w:rsidRPr="002473A7">
        <w:t>wobec spadku o 7,4%), transporcie</w:t>
      </w:r>
      <w:r w:rsidRPr="00765945">
        <w:t xml:space="preserve"> i gospodarce m</w:t>
      </w:r>
      <w:r w:rsidRPr="00380AA2">
        <w:t>agazynowej (o 11,6%</w:t>
      </w:r>
      <w:r w:rsidR="009642F8">
        <w:t>,</w:t>
      </w:r>
      <w:r w:rsidRPr="00765945">
        <w:t xml:space="preserve"> </w:t>
      </w:r>
      <w:r w:rsidRPr="006B2E06">
        <w:t>wobec spadku o 21,8% przed</w:t>
      </w:r>
      <w:r w:rsidRPr="00765945">
        <w:t xml:space="preserve"> rokiem), w administrowaniu i działalności </w:t>
      </w:r>
      <w:r w:rsidRPr="00152EE1">
        <w:t>wspierającej (o 9,6%</w:t>
      </w:r>
      <w:r w:rsidR="009642F8">
        <w:t>,</w:t>
      </w:r>
      <w:r w:rsidRPr="00765945">
        <w:t xml:space="preserve"> </w:t>
      </w:r>
      <w:r w:rsidRPr="002473A7">
        <w:t>wobec wzrostu o 11,6%)</w:t>
      </w:r>
      <w:r>
        <w:t xml:space="preserve"> </w:t>
      </w:r>
      <w:r w:rsidRPr="00765945">
        <w:t xml:space="preserve">oraz w handlu; naprawie pojazdów </w:t>
      </w:r>
      <w:r w:rsidRPr="00152EE1">
        <w:t>samochodowych (o 6,5%</w:t>
      </w:r>
      <w:r w:rsidR="009642F8">
        <w:t>,</w:t>
      </w:r>
      <w:r w:rsidRPr="00152EE1">
        <w:t xml:space="preserve"> wobec</w:t>
      </w:r>
      <w:r w:rsidRPr="00765945">
        <w:t xml:space="preserve"> </w:t>
      </w:r>
      <w:r w:rsidRPr="002473A7">
        <w:t>wzrostu o 0,3%). Spadek</w:t>
      </w:r>
      <w:r w:rsidRPr="00765945">
        <w:t xml:space="preserve"> nakładów notowano m.in. w górnictwie i wydobywa</w:t>
      </w:r>
      <w:r w:rsidRPr="0082728E">
        <w:t>niu (o 14,9%</w:t>
      </w:r>
      <w:r w:rsidR="009642F8">
        <w:t>,</w:t>
      </w:r>
      <w:r w:rsidRPr="0082728E">
        <w:t xml:space="preserve"> </w:t>
      </w:r>
      <w:r w:rsidRPr="002473A7">
        <w:t>wobec wzrostu o 3,7%),</w:t>
      </w:r>
      <w:r w:rsidRPr="00765945">
        <w:t xml:space="preserve"> w </w:t>
      </w:r>
      <w:r w:rsidRPr="00BA2197">
        <w:t xml:space="preserve">obsłudze rynku </w:t>
      </w:r>
      <w:r w:rsidRPr="002473A7">
        <w:t>nieruchomości (o 6,0%</w:t>
      </w:r>
      <w:r w:rsidR="009642F8">
        <w:t>,</w:t>
      </w:r>
      <w:r w:rsidRPr="002473A7">
        <w:t xml:space="preserve"> wobec spadku o 26,9%),</w:t>
      </w:r>
      <w:r>
        <w:t xml:space="preserve"> </w:t>
      </w:r>
      <w:r w:rsidRPr="00765945">
        <w:t xml:space="preserve">w przetwórstwie </w:t>
      </w:r>
      <w:r w:rsidRPr="0082728E">
        <w:t>przemysłowym (o 5,7%</w:t>
      </w:r>
      <w:r w:rsidR="009642F8">
        <w:t>,</w:t>
      </w:r>
      <w:r w:rsidRPr="00765945">
        <w:t xml:space="preserve"> </w:t>
      </w:r>
      <w:r w:rsidRPr="002473A7">
        <w:t>wobec spadku o 8,3%)</w:t>
      </w:r>
      <w:r w:rsidRPr="00765945">
        <w:t xml:space="preserve"> oraz zakwaterowaniu i gastronomii </w:t>
      </w:r>
      <w:r w:rsidRPr="0082728E">
        <w:t>(o 1,6%</w:t>
      </w:r>
      <w:r w:rsidR="009642F8">
        <w:t>,</w:t>
      </w:r>
      <w:r w:rsidRPr="00765945">
        <w:t xml:space="preserve"> </w:t>
      </w:r>
      <w:r w:rsidRPr="002473A7">
        <w:t>wobec spadku o 1,1%).</w:t>
      </w:r>
    </w:p>
    <w:p w14:paraId="229A5EB4" w14:textId="1E97F4D8" w:rsidR="00907B0C" w:rsidRDefault="00C10B01" w:rsidP="00D576E6">
      <w:pPr>
        <w:pStyle w:val="LID"/>
        <w:spacing w:before="360" w:line="240" w:lineRule="auto"/>
        <w:ind w:left="851" w:hanging="851"/>
        <w:contextualSpacing/>
      </w:pPr>
      <w:r w:rsidRPr="004F4B83">
        <w:t>Wykres 4. Nakłady inwestycyjne</w:t>
      </w:r>
      <w:r w:rsidR="007F7A8F" w:rsidRPr="004F4B83">
        <w:t xml:space="preserve"> – </w:t>
      </w:r>
      <w:r w:rsidR="00D15D16" w:rsidRPr="004F4B83">
        <w:t xml:space="preserve">zmiana </w:t>
      </w:r>
      <w:r w:rsidR="007F7A8F" w:rsidRPr="004F4B83">
        <w:t>w stosunku do analogicznego okresu roku poprzedniego</w:t>
      </w:r>
    </w:p>
    <w:p w14:paraId="4698B3D9" w14:textId="0D751662" w:rsidR="004A4E95" w:rsidRPr="00907B0C" w:rsidRDefault="00613600" w:rsidP="00D576E6">
      <w:pPr>
        <w:pStyle w:val="LID"/>
        <w:spacing w:before="360" w:line="240" w:lineRule="auto"/>
        <w:ind w:left="851" w:hanging="851"/>
        <w:contextualSpacing/>
        <w:rPr>
          <w:rFonts w:eastAsia="Times New Roman" w:cs="Times New Roman"/>
          <w:color w:val="FF0000"/>
        </w:rPr>
      </w:pPr>
      <w:r>
        <w:rPr>
          <w:rFonts w:eastAsia="Times New Roman" w:cs="Times New Roman"/>
          <w:color w:val="FF0000"/>
        </w:rPr>
        <w:drawing>
          <wp:inline distT="0" distB="0" distL="0" distR="0" wp14:anchorId="03CB83DB" wp14:editId="6C964355">
            <wp:extent cx="4956175" cy="2712720"/>
            <wp:effectExtent l="0" t="0" r="0" b="6350"/>
            <wp:docPr id="17" name="Obraz 17" descr="Wykres kolumnowo liniowy. Dane do Wykresu 4. znajdują się w pliku XLSX pod nazwą: IS-05-tabl-20260323- Wyniki finansowe przedsiębiorstw niefinansowych w 2025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FA6D8" w14:textId="3A1AB1E2" w:rsidR="00BA1968" w:rsidRDefault="009E4D7B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31C92">
        <w:rPr>
          <w:rFonts w:eastAsia="Times New Roman" w:cs="Times New Roman"/>
          <w:szCs w:val="19"/>
          <w:lang w:eastAsia="pl-PL"/>
        </w:rPr>
        <w:t>Dane prezentowane w ninie</w:t>
      </w:r>
      <w:r w:rsidR="00C37602" w:rsidRPr="00131C92">
        <w:rPr>
          <w:rFonts w:eastAsia="Times New Roman" w:cs="Times New Roman"/>
          <w:szCs w:val="19"/>
          <w:lang w:eastAsia="pl-PL"/>
        </w:rPr>
        <w:t xml:space="preserve">jszym opracowaniu </w:t>
      </w:r>
      <w:r w:rsidR="00AF5213" w:rsidRPr="00EA1A17">
        <w:rPr>
          <w:rFonts w:eastAsia="Times New Roman" w:cs="Times New Roman"/>
          <w:szCs w:val="19"/>
          <w:lang w:eastAsia="pl-PL"/>
        </w:rPr>
        <w:t>dotyczą 1</w:t>
      </w:r>
      <w:r w:rsidR="0007440D" w:rsidRPr="00EA1A17">
        <w:rPr>
          <w:rFonts w:eastAsia="Times New Roman" w:cs="Times New Roman"/>
          <w:szCs w:val="19"/>
          <w:lang w:eastAsia="pl-PL"/>
        </w:rPr>
        <w:t>7</w:t>
      </w:r>
      <w:r w:rsidR="005E24B5" w:rsidRPr="00EA1A17">
        <w:rPr>
          <w:rFonts w:eastAsia="Times New Roman" w:cs="Times New Roman"/>
          <w:szCs w:val="19"/>
          <w:lang w:eastAsia="pl-PL"/>
        </w:rPr>
        <w:t xml:space="preserve"> </w:t>
      </w:r>
      <w:r w:rsidR="0034654F" w:rsidRPr="00EA1A17">
        <w:rPr>
          <w:rFonts w:eastAsia="Times New Roman" w:cs="Times New Roman"/>
          <w:szCs w:val="19"/>
          <w:lang w:eastAsia="pl-PL"/>
        </w:rPr>
        <w:t>903</w:t>
      </w:r>
      <w:r w:rsidRPr="00EA1A17">
        <w:rPr>
          <w:rFonts w:eastAsia="Times New Roman" w:cs="Times New Roman"/>
          <w:szCs w:val="19"/>
          <w:lang w:eastAsia="pl-PL"/>
        </w:rPr>
        <w:t xml:space="preserve"> przedsiębiorstw</w:t>
      </w:r>
      <w:r w:rsidR="00CA171E">
        <w:rPr>
          <w:rFonts w:eastAsia="Times New Roman" w:cs="Times New Roman"/>
          <w:szCs w:val="19"/>
          <w:lang w:eastAsia="pl-PL"/>
        </w:rPr>
        <w:t xml:space="preserve"> nie</w:t>
      </w:r>
      <w:r w:rsidRPr="00F5263E">
        <w:rPr>
          <w:rFonts w:eastAsia="Times New Roman" w:cs="Times New Roman"/>
          <w:szCs w:val="19"/>
          <w:lang w:eastAsia="pl-PL"/>
        </w:rPr>
        <w:t>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politycznych.</w:t>
      </w:r>
    </w:p>
    <w:p w14:paraId="7764E12B" w14:textId="4F77EC0B" w:rsidR="002E5BED" w:rsidRPr="00F5263E" w:rsidRDefault="002E5BED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E5BED">
        <w:rPr>
          <w:rFonts w:eastAsia="Times New Roman" w:cs="Times New Roman"/>
          <w:szCs w:val="19"/>
          <w:lang w:eastAsia="pl-PL"/>
        </w:rPr>
        <w:t xml:space="preserve">Ze względu na zaokrąglenia danych, w niektórych przypadkach sumy składników mogą się nieznacznie różnić od podanych wielkości „ogółem”. Liczby względne (wskaźniki, </w:t>
      </w:r>
      <w:r w:rsidR="003D1F24">
        <w:rPr>
          <w:rFonts w:eastAsia="Times New Roman" w:cs="Times New Roman"/>
          <w:szCs w:val="19"/>
          <w:lang w:eastAsia="pl-PL"/>
        </w:rPr>
        <w:t>wartości procentowe</w:t>
      </w:r>
      <w:r w:rsidRPr="002E5BED">
        <w:rPr>
          <w:rFonts w:eastAsia="Times New Roman" w:cs="Times New Roman"/>
          <w:szCs w:val="19"/>
          <w:lang w:eastAsia="pl-PL"/>
        </w:rPr>
        <w:t>) obliczono z reguły na podstawie danych bezwzględnych wyrażonych z większą dokładnością, niż podano w niniejszym opracowaniu.</w:t>
      </w:r>
    </w:p>
    <w:p w14:paraId="5EE07FA3" w14:textId="77777777" w:rsidR="009E4D7B" w:rsidRPr="00F5263E" w:rsidRDefault="009E4D7B" w:rsidP="00F652B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5263E">
        <w:rPr>
          <w:rFonts w:eastAsia="Times New Roman" w:cs="Times New Roman"/>
          <w:szCs w:val="19"/>
          <w:lang w:eastAsia="pl-PL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658D81E1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0B9B020E" w14:textId="77777777" w:rsidTr="00B84C43">
        <w:trPr>
          <w:trHeight w:val="1626"/>
        </w:trPr>
        <w:tc>
          <w:tcPr>
            <w:tcW w:w="4926" w:type="dxa"/>
          </w:tcPr>
          <w:p w14:paraId="00BC83A3" w14:textId="77777777" w:rsidR="00DE2400" w:rsidRPr="004A1D19" w:rsidRDefault="00DE2400" w:rsidP="00D576E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B12B118" w14:textId="77777777" w:rsidR="00DE2400" w:rsidRPr="008925F0" w:rsidRDefault="00DE2400" w:rsidP="00D576E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7720DE5A" w14:textId="15080564" w:rsidR="00DE2400" w:rsidRPr="00DE2400" w:rsidRDefault="00DE2400" w:rsidP="00D576E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  <w:r w:rsidR="00C12511">
              <w:rPr>
                <w:b/>
                <w:lang w:val="fi-FI"/>
              </w:rPr>
              <w:t>-Macias</w:t>
            </w:r>
          </w:p>
          <w:p w14:paraId="42FF18EF" w14:textId="10D50751" w:rsidR="00DE2400" w:rsidRPr="00AB24E4" w:rsidRDefault="00DE2400" w:rsidP="00D576E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75F4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75F4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</w:t>
            </w:r>
          </w:p>
        </w:tc>
        <w:tc>
          <w:tcPr>
            <w:tcW w:w="4927" w:type="dxa"/>
          </w:tcPr>
          <w:p w14:paraId="4F6C5493" w14:textId="5E8ADD17" w:rsidR="00CD320E" w:rsidRDefault="00DE2400" w:rsidP="007C14D2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CD320E">
              <w:rPr>
                <w:rFonts w:cs="Arial"/>
                <w:b/>
                <w:sz w:val="20"/>
              </w:rPr>
              <w:t xml:space="preserve">Wydział </w:t>
            </w:r>
            <w:r w:rsidR="00A75F4D">
              <w:rPr>
                <w:rFonts w:cs="Arial"/>
                <w:b/>
                <w:sz w:val="20"/>
              </w:rPr>
              <w:t>Prasowy</w:t>
            </w:r>
          </w:p>
          <w:p w14:paraId="09F57DBF" w14:textId="77777777" w:rsidR="00CD320E" w:rsidRPr="007A69B4" w:rsidRDefault="00CD320E" w:rsidP="003F2ACC">
            <w:pPr>
              <w:spacing w:before="0" w:line="276" w:lineRule="auto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Tel. komórkowy: +48 695 255 032</w:t>
            </w:r>
          </w:p>
          <w:p w14:paraId="29E5C2E8" w14:textId="77777777" w:rsidR="00CD320E" w:rsidRPr="007A69B4" w:rsidRDefault="00CD320E" w:rsidP="003F2ACC">
            <w:pPr>
              <w:spacing w:before="0" w:line="276" w:lineRule="auto"/>
              <w:ind w:left="1491" w:hanging="1491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Tel. stacjonarne: +48 22 608 38 04, +48 22 449 41 45,     +48 22 608 30 09</w:t>
            </w:r>
          </w:p>
          <w:p w14:paraId="6E7312CC" w14:textId="77777777" w:rsidR="00CD320E" w:rsidRDefault="00CD320E" w:rsidP="00CD320E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FA5181D" w14:textId="77777777" w:rsidR="00CD320E" w:rsidRPr="00CD320E" w:rsidRDefault="00CD320E" w:rsidP="00CD320E"/>
        </w:tc>
      </w:tr>
      <w:tr w:rsidR="00DE2400" w14:paraId="18A41FAE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54AA8DAE" w14:textId="77777777" w:rsidR="00CD320E" w:rsidRPr="00F01205" w:rsidRDefault="00CD320E" w:rsidP="00CD320E">
            <w:pPr>
              <w:rPr>
                <w:sz w:val="18"/>
                <w:lang w:val="fr-FR"/>
              </w:rPr>
            </w:pPr>
            <w:r w:rsidRPr="00F01205">
              <w:rPr>
                <w:sz w:val="18"/>
                <w:lang w:val="fr-FR"/>
              </w:rPr>
              <w:t xml:space="preserve"> </w:t>
            </w:r>
          </w:p>
          <w:p w14:paraId="2E0A27B3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56A1CF8C" w14:textId="77777777" w:rsidR="00DE2400" w:rsidRDefault="00DE2400" w:rsidP="007C14D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24E2A52F" wp14:editId="25E7C2B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A031F5" w14:paraId="53527B0E" w14:textId="77777777" w:rsidTr="00B84C43">
        <w:trPr>
          <w:trHeight w:val="418"/>
        </w:trPr>
        <w:tc>
          <w:tcPr>
            <w:tcW w:w="4926" w:type="dxa"/>
            <w:vMerge/>
          </w:tcPr>
          <w:p w14:paraId="6B600650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DDF1C6D" w14:textId="77777777" w:rsidR="00A031F5" w:rsidRDefault="00A031F5" w:rsidP="007C14D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472664C9" wp14:editId="64B4395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A031F5" w14:paraId="5B54BA5B" w14:textId="77777777" w:rsidTr="00B84C43">
        <w:trPr>
          <w:trHeight w:val="476"/>
        </w:trPr>
        <w:tc>
          <w:tcPr>
            <w:tcW w:w="4926" w:type="dxa"/>
            <w:vMerge/>
          </w:tcPr>
          <w:p w14:paraId="1E47B2C9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A295AC" w14:textId="77777777" w:rsidR="00A031F5" w:rsidRDefault="00A031F5" w:rsidP="007C14D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2E610543" wp14:editId="5B13BA4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5E8DB75D" w14:textId="77777777" w:rsidTr="00B84C43">
        <w:trPr>
          <w:trHeight w:val="426"/>
        </w:trPr>
        <w:tc>
          <w:tcPr>
            <w:tcW w:w="4926" w:type="dxa"/>
          </w:tcPr>
          <w:p w14:paraId="5C7E0ADA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A732635" w14:textId="77777777" w:rsidR="00531873" w:rsidRDefault="00531873" w:rsidP="007C14D2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DDEE97" wp14:editId="341EF3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51C28B10" w14:textId="77777777" w:rsidTr="00B84C43">
        <w:trPr>
          <w:trHeight w:val="504"/>
        </w:trPr>
        <w:tc>
          <w:tcPr>
            <w:tcW w:w="4926" w:type="dxa"/>
          </w:tcPr>
          <w:p w14:paraId="7DC04B24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50F948B" w14:textId="77777777" w:rsidR="00531873" w:rsidRDefault="00531873" w:rsidP="007C14D2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604B0349" wp14:editId="38C9F05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5D8E0A31" w14:textId="77777777" w:rsidTr="00B84C43">
        <w:trPr>
          <w:trHeight w:val="1546"/>
        </w:trPr>
        <w:tc>
          <w:tcPr>
            <w:tcW w:w="4926" w:type="dxa"/>
          </w:tcPr>
          <w:p w14:paraId="2F5DB43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8D85051" w14:textId="77777777" w:rsidR="00531873" w:rsidRDefault="00531873" w:rsidP="007C14D2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36163E3B" wp14:editId="0E5E243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ED89754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29E0AE" w14:textId="77777777" w:rsidR="00FD1E89" w:rsidRDefault="00531873" w:rsidP="00F652BE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A9D35BF" w14:textId="0373DF9D" w:rsidR="00FD1E89" w:rsidRPr="003F2ACC" w:rsidRDefault="00A7779D" w:rsidP="00FD1E89">
            <w:pPr>
              <w:rPr>
                <w:rStyle w:val="Hipercze"/>
                <w:rFonts w:cs="Arial"/>
                <w:szCs w:val="19"/>
                <w:shd w:val="clear" w:color="auto" w:fill="F0F0F0"/>
              </w:rPr>
            </w:pPr>
            <w:hyperlink r:id="rId25" w:tooltip="Biuletyn Statystyczny" w:history="1">
              <w:r w:rsidR="00FD1E89" w:rsidRPr="003F2ACC">
                <w:rPr>
                  <w:rStyle w:val="Hipercze"/>
                  <w:szCs w:val="19"/>
                </w:rPr>
                <w:t>Biuletyn Statystyczny</w:t>
              </w:r>
            </w:hyperlink>
          </w:p>
          <w:p w14:paraId="3C23C59E" w14:textId="2D3D38D1" w:rsidR="00FD1E89" w:rsidRPr="003F2ACC" w:rsidRDefault="00FC3135" w:rsidP="00FA6A83">
            <w:pPr>
              <w:rPr>
                <w:rStyle w:val="Hipercze"/>
                <w:rFonts w:cstheme="minorBidi"/>
                <w:szCs w:val="19"/>
              </w:rPr>
            </w:pPr>
            <w:r w:rsidRPr="003F2ACC">
              <w:rPr>
                <w:rFonts w:cs="Times New Roman"/>
                <w:szCs w:val="19"/>
              </w:rPr>
              <w:fldChar w:fldCharType="begin"/>
            </w:r>
            <w:r w:rsidRPr="003F2ACC">
              <w:rPr>
                <w:rFonts w:cs="Times New Roman"/>
                <w:szCs w:val="19"/>
              </w:rPr>
              <w:instrText xml:space="preserve"> HYPERLINK "https://ssgk.stat.gov.pl/" \o "Informacja o sytuacji społeczno-gospodarczej kraju" </w:instrText>
            </w:r>
            <w:r w:rsidRPr="003F2ACC">
              <w:rPr>
                <w:rFonts w:cs="Times New Roman"/>
                <w:szCs w:val="19"/>
              </w:rPr>
              <w:fldChar w:fldCharType="separate"/>
            </w:r>
            <w:r w:rsidR="00FD1E89" w:rsidRPr="003F2ACC">
              <w:rPr>
                <w:rStyle w:val="Hipercze"/>
                <w:szCs w:val="19"/>
              </w:rPr>
              <w:t>Informacja o sytuacji społeczno-gospodarczej kraju</w:t>
            </w:r>
          </w:p>
          <w:p w14:paraId="43610116" w14:textId="74A0191C" w:rsidR="00FD1E89" w:rsidRPr="003F2ACC" w:rsidRDefault="00FC3135" w:rsidP="001628E4">
            <w:pPr>
              <w:rPr>
                <w:szCs w:val="19"/>
              </w:rPr>
            </w:pPr>
            <w:r w:rsidRPr="003F2ACC">
              <w:rPr>
                <w:rFonts w:cs="Times New Roman"/>
                <w:szCs w:val="19"/>
              </w:rPr>
              <w:fldChar w:fldCharType="end"/>
            </w:r>
            <w:hyperlink r:id="rId26" w:tooltip="Informacje sygnalne. Wyniki finansowe przedsiębiorstw niefinansowych" w:history="1">
              <w:r w:rsidR="00FD1E89" w:rsidRPr="003F2ACC">
                <w:rPr>
                  <w:rStyle w:val="Hipercze"/>
                  <w:szCs w:val="19"/>
                </w:rPr>
                <w:t>Informacje sygnalne. Wyniki finansowe przedsiębiorstw niefinansowych</w:t>
              </w:r>
            </w:hyperlink>
          </w:p>
          <w:p w14:paraId="7B7375CA" w14:textId="77777777" w:rsidR="00FD1E89" w:rsidRPr="003F2ACC" w:rsidRDefault="00A7779D" w:rsidP="001628E4">
            <w:pPr>
              <w:rPr>
                <w:szCs w:val="19"/>
              </w:rPr>
            </w:pPr>
            <w:hyperlink r:id="rId27" w:tooltip="Zeszyt metodologiczny. Badania przedsiębiorstw niefinansowych" w:history="1">
              <w:r w:rsidR="00FD1E89" w:rsidRPr="003F2ACC">
                <w:rPr>
                  <w:rStyle w:val="Hipercze"/>
                  <w:szCs w:val="19"/>
                </w:rPr>
                <w:t>Zeszyt metodologiczny. Badania przedsiębiorstw niefinansowych</w:t>
              </w:r>
            </w:hyperlink>
          </w:p>
          <w:p w14:paraId="177ACD8E" w14:textId="77777777" w:rsidR="00FA5E94" w:rsidRDefault="00531873" w:rsidP="00F652BE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5D2C8E23" w14:textId="77777777" w:rsidR="00FA5E94" w:rsidRPr="003F2ACC" w:rsidRDefault="00A7779D" w:rsidP="00FA5E94">
            <w:pPr>
              <w:rPr>
                <w:szCs w:val="19"/>
              </w:rPr>
            </w:pPr>
            <w:hyperlink r:id="rId28" w:tooltip="Bank Danych Lokalnych (BDL)" w:history="1">
              <w:r w:rsidR="00FA5E94" w:rsidRPr="003F2ACC">
                <w:rPr>
                  <w:rStyle w:val="Hipercze"/>
                  <w:szCs w:val="19"/>
                </w:rPr>
                <w:t>Bank Danych Lokalnych (BDL)</w:t>
              </w:r>
            </w:hyperlink>
          </w:p>
          <w:p w14:paraId="1155AE7B" w14:textId="77777777" w:rsidR="00FA5E94" w:rsidRPr="003F2ACC" w:rsidRDefault="00A7779D" w:rsidP="00FA5E94">
            <w:pPr>
              <w:rPr>
                <w:szCs w:val="19"/>
              </w:rPr>
            </w:pPr>
            <w:hyperlink r:id="rId29" w:tooltip="Dziedzinowa Baza Wiedzy Przedsiębiorstwa Niefinansowe (DBW)" w:history="1">
              <w:r w:rsidR="00FA5E94" w:rsidRPr="003F2ACC">
                <w:rPr>
                  <w:rStyle w:val="Hipercze"/>
                  <w:szCs w:val="19"/>
                </w:rPr>
                <w:t>Dziedzinowa Baza Wiedzy Przedsiębiorstwa Niefinansowe (DBW)</w:t>
              </w:r>
            </w:hyperlink>
          </w:p>
          <w:p w14:paraId="1F136F64" w14:textId="77777777" w:rsidR="00FA5E94" w:rsidRPr="003F2ACC" w:rsidRDefault="00A7779D" w:rsidP="00FA5E94">
            <w:pPr>
              <w:rPr>
                <w:szCs w:val="19"/>
              </w:rPr>
            </w:pPr>
            <w:hyperlink r:id="rId30" w:tooltip="Bank Danych Makroekonomicznych" w:history="1">
              <w:r w:rsidR="00FA5E94" w:rsidRPr="003F2ACC">
                <w:rPr>
                  <w:rStyle w:val="Hipercze"/>
                  <w:szCs w:val="19"/>
                </w:rPr>
                <w:t>Bank Danych Makroekonomicznych</w:t>
              </w:r>
            </w:hyperlink>
            <w:r w:rsidR="00FA5E94" w:rsidRPr="003F2ACC">
              <w:rPr>
                <w:szCs w:val="19"/>
              </w:rPr>
              <w:t xml:space="preserve"> </w:t>
            </w:r>
          </w:p>
          <w:p w14:paraId="47A5067A" w14:textId="77777777" w:rsidR="00531873" w:rsidRPr="00694D63" w:rsidRDefault="00531873" w:rsidP="00F652B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0F6442C" w14:textId="77777777" w:rsidR="00F93103" w:rsidRPr="003F2ACC" w:rsidRDefault="00A7779D" w:rsidP="008223FC">
            <w:pPr>
              <w:rPr>
                <w:color w:val="0000FF"/>
                <w:szCs w:val="19"/>
              </w:rPr>
            </w:pPr>
            <w:hyperlink r:id="rId31" w:tooltip="Przychody ogółem (przychody z całokształtu działalności)" w:history="1">
              <w:r w:rsidR="00F93103" w:rsidRPr="003F2ACC">
                <w:rPr>
                  <w:rStyle w:val="Hipercze"/>
                  <w:szCs w:val="19"/>
                </w:rPr>
                <w:t>Przychody ogółem (przychody z całokształtu działalności</w:t>
              </w:r>
            </w:hyperlink>
            <w:r w:rsidR="00F93103" w:rsidRPr="003F2ACC">
              <w:rPr>
                <w:color w:val="0000FF"/>
                <w:szCs w:val="19"/>
              </w:rPr>
              <w:t>)</w:t>
            </w:r>
          </w:p>
          <w:p w14:paraId="22A21B43" w14:textId="77777777" w:rsidR="00F93103" w:rsidRPr="003F2ACC" w:rsidRDefault="00A96E59" w:rsidP="00A96E59">
            <w:pPr>
              <w:rPr>
                <w:rStyle w:val="Hipercze"/>
                <w:rFonts w:cstheme="minorBidi"/>
                <w:szCs w:val="19"/>
              </w:rPr>
            </w:pPr>
            <w:r w:rsidRPr="003F2ACC">
              <w:rPr>
                <w:color w:val="0000FF"/>
                <w:szCs w:val="19"/>
              </w:rPr>
              <w:fldChar w:fldCharType="begin"/>
            </w:r>
            <w:r w:rsidR="00C94432" w:rsidRPr="003F2ACC">
              <w:rPr>
                <w:color w:val="0000FF"/>
                <w:szCs w:val="19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3F2ACC">
              <w:rPr>
                <w:color w:val="0000FF"/>
                <w:szCs w:val="19"/>
              </w:rPr>
              <w:fldChar w:fldCharType="separate"/>
            </w:r>
            <w:r w:rsidR="00F93103" w:rsidRPr="003F2ACC">
              <w:rPr>
                <w:rStyle w:val="Hipercze"/>
                <w:rFonts w:cstheme="minorBidi"/>
                <w:szCs w:val="19"/>
              </w:rPr>
              <w:t>Koszty ogółem (</w:t>
            </w:r>
            <w:r w:rsidR="00F93103" w:rsidRPr="003F2ACC">
              <w:rPr>
                <w:rStyle w:val="Hipercze"/>
                <w:szCs w:val="19"/>
              </w:rPr>
              <w:t>koszty uzyskania przychodów z całokształtu działalności</w:t>
            </w:r>
            <w:r w:rsidR="00F93103" w:rsidRPr="003F2ACC">
              <w:rPr>
                <w:rStyle w:val="Hipercze"/>
                <w:rFonts w:cstheme="minorBidi"/>
                <w:szCs w:val="19"/>
              </w:rPr>
              <w:t>)</w:t>
            </w:r>
          </w:p>
          <w:p w14:paraId="3FFC938F" w14:textId="77777777" w:rsidR="00F93103" w:rsidRPr="003F2ACC" w:rsidRDefault="00A96E59" w:rsidP="00F93103">
            <w:pPr>
              <w:rPr>
                <w:szCs w:val="19"/>
              </w:rPr>
            </w:pPr>
            <w:r w:rsidRPr="003F2ACC">
              <w:rPr>
                <w:color w:val="0000FF"/>
                <w:szCs w:val="19"/>
              </w:rPr>
              <w:fldChar w:fldCharType="end"/>
            </w:r>
            <w:hyperlink r:id="rId32" w:tooltip="Wynik finansowy brutto" w:history="1">
              <w:r w:rsidR="00F93103" w:rsidRPr="003F2ACC">
                <w:rPr>
                  <w:rStyle w:val="Hipercze"/>
                  <w:szCs w:val="19"/>
                </w:rPr>
                <w:t>Wynik finansowy brutto</w:t>
              </w:r>
            </w:hyperlink>
          </w:p>
          <w:p w14:paraId="57B5B3F5" w14:textId="77777777" w:rsidR="00F93103" w:rsidRPr="003F2ACC" w:rsidRDefault="00A7779D" w:rsidP="00F93103">
            <w:pPr>
              <w:rPr>
                <w:szCs w:val="19"/>
              </w:rPr>
            </w:pPr>
            <w:hyperlink r:id="rId33" w:tooltip="Wynik finansowy netto" w:history="1">
              <w:r w:rsidR="00F93103" w:rsidRPr="003F2ACC">
                <w:rPr>
                  <w:rStyle w:val="Hipercze"/>
                  <w:szCs w:val="19"/>
                </w:rPr>
                <w:t>Wynik finansowy netto</w:t>
              </w:r>
            </w:hyperlink>
          </w:p>
          <w:p w14:paraId="70C5A421" w14:textId="77777777" w:rsidR="00F93103" w:rsidRPr="003F2ACC" w:rsidRDefault="00A7779D" w:rsidP="00F93103">
            <w:pPr>
              <w:rPr>
                <w:szCs w:val="19"/>
              </w:rPr>
            </w:pPr>
            <w:hyperlink r:id="rId34" w:tooltip="Wskaźnik poziomu kosztów" w:history="1">
              <w:r w:rsidR="00F93103" w:rsidRPr="003F2ACC">
                <w:rPr>
                  <w:rStyle w:val="Hipercze"/>
                  <w:szCs w:val="19"/>
                </w:rPr>
                <w:t>Wskaźnik poziomu kosztów</w:t>
              </w:r>
            </w:hyperlink>
          </w:p>
          <w:p w14:paraId="693675EE" w14:textId="77777777" w:rsidR="00F93103" w:rsidRPr="003F2ACC" w:rsidRDefault="00A7779D" w:rsidP="00F93103">
            <w:pPr>
              <w:rPr>
                <w:szCs w:val="19"/>
              </w:rPr>
            </w:pPr>
            <w:hyperlink r:id="rId35" w:tooltip="Wskaźnik rentowności obrotu brutto" w:history="1">
              <w:r w:rsidR="00F93103" w:rsidRPr="003F2ACC">
                <w:rPr>
                  <w:rStyle w:val="Hipercze"/>
                  <w:szCs w:val="19"/>
                </w:rPr>
                <w:t>Wskaźnik rentowności obrotu brutto</w:t>
              </w:r>
            </w:hyperlink>
          </w:p>
          <w:p w14:paraId="695713AF" w14:textId="77777777" w:rsidR="00F93103" w:rsidRPr="003F2ACC" w:rsidRDefault="00A7779D" w:rsidP="00F93103">
            <w:pPr>
              <w:rPr>
                <w:szCs w:val="19"/>
              </w:rPr>
            </w:pPr>
            <w:hyperlink r:id="rId36" w:tooltip="Wskaźnik rentowności obrotu netto" w:history="1">
              <w:r w:rsidR="00F93103" w:rsidRPr="003F2ACC">
                <w:rPr>
                  <w:rStyle w:val="Hipercze"/>
                  <w:szCs w:val="19"/>
                </w:rPr>
                <w:t>Wskaźnik rentowności obrotu netto</w:t>
              </w:r>
            </w:hyperlink>
          </w:p>
          <w:p w14:paraId="4C9B13D0" w14:textId="77777777" w:rsidR="00F93103" w:rsidRPr="003F2ACC" w:rsidRDefault="00A7779D" w:rsidP="00F93103">
            <w:pPr>
              <w:rPr>
                <w:szCs w:val="19"/>
              </w:rPr>
            </w:pPr>
            <w:hyperlink r:id="rId37" w:tooltip="Wskaźnik płynności finansowej I stopnia" w:history="1">
              <w:r w:rsidR="00F93103" w:rsidRPr="003F2ACC">
                <w:rPr>
                  <w:rStyle w:val="Hipercze"/>
                  <w:szCs w:val="19"/>
                </w:rPr>
                <w:t>Wskaźnik płynności finansowej I stopnia</w:t>
              </w:r>
            </w:hyperlink>
          </w:p>
          <w:p w14:paraId="7453FA56" w14:textId="77777777" w:rsidR="00F93103" w:rsidRPr="003F2ACC" w:rsidRDefault="00A7779D" w:rsidP="00F93103">
            <w:pPr>
              <w:rPr>
                <w:szCs w:val="19"/>
              </w:rPr>
            </w:pPr>
            <w:hyperlink r:id="rId38" w:tooltip="Wskaźnik płynności finansowej II stopnia" w:history="1">
              <w:r w:rsidR="00F93103" w:rsidRPr="003F2ACC">
                <w:rPr>
                  <w:rStyle w:val="Hipercze"/>
                  <w:szCs w:val="19"/>
                </w:rPr>
                <w:t>Wskaźnik płynności finansowej II stopnia</w:t>
              </w:r>
            </w:hyperlink>
          </w:p>
          <w:p w14:paraId="54B7A509" w14:textId="77777777" w:rsidR="00F93103" w:rsidRPr="003F2ACC" w:rsidRDefault="00A7779D" w:rsidP="00F93103">
            <w:pPr>
              <w:rPr>
                <w:szCs w:val="19"/>
              </w:rPr>
            </w:pPr>
            <w:hyperlink r:id="rId39" w:tooltip="Nakłady inwestycyjne" w:history="1">
              <w:r w:rsidR="00F93103" w:rsidRPr="003F2ACC">
                <w:rPr>
                  <w:rStyle w:val="Hipercze"/>
                  <w:szCs w:val="19"/>
                </w:rPr>
                <w:t>Nakłady inwestycyjne</w:t>
              </w:r>
            </w:hyperlink>
          </w:p>
          <w:p w14:paraId="24432469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23A6C" w14:textId="77777777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AA505" w14:textId="77777777" w:rsidR="005244C5" w:rsidRDefault="005244C5" w:rsidP="000662E2">
      <w:pPr>
        <w:spacing w:after="0" w:line="240" w:lineRule="auto"/>
      </w:pPr>
      <w:r>
        <w:separator/>
      </w:r>
    </w:p>
  </w:endnote>
  <w:endnote w:type="continuationSeparator" w:id="0">
    <w:p w14:paraId="33AC4D31" w14:textId="77777777" w:rsidR="005244C5" w:rsidRDefault="005244C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307FDD8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340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2CE8A1B1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A6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4EE689EB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A6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6A6DB" w14:textId="77777777" w:rsidR="005244C5" w:rsidRDefault="005244C5" w:rsidP="000662E2">
      <w:pPr>
        <w:spacing w:after="0" w:line="240" w:lineRule="auto"/>
      </w:pPr>
      <w:r>
        <w:separator/>
      </w:r>
    </w:p>
  </w:footnote>
  <w:footnote w:type="continuationSeparator" w:id="0">
    <w:p w14:paraId="7B1896CC" w14:textId="77777777" w:rsidR="005244C5" w:rsidRDefault="005244C5" w:rsidP="000662E2">
      <w:pPr>
        <w:spacing w:after="0" w:line="240" w:lineRule="auto"/>
      </w:pPr>
      <w:r>
        <w:continuationSeparator/>
      </w:r>
    </w:p>
  </w:footnote>
  <w:footnote w:id="1">
    <w:p w14:paraId="1F1DF4F1" w14:textId="77777777" w:rsidR="004A4E95" w:rsidRPr="003F2ACC" w:rsidRDefault="004A4E95" w:rsidP="004A4E95">
      <w:pPr>
        <w:pStyle w:val="Tekstprzypisudolnego"/>
        <w:rPr>
          <w:sz w:val="19"/>
          <w:szCs w:val="19"/>
        </w:rPr>
      </w:pPr>
      <w:r w:rsidRPr="003F2ACC">
        <w:rPr>
          <w:rStyle w:val="Odwoanieprzypisudolnego"/>
          <w:sz w:val="19"/>
          <w:szCs w:val="19"/>
        </w:rPr>
        <w:footnoteRef/>
      </w:r>
      <w:r w:rsidRPr="003F2ACC">
        <w:rPr>
          <w:sz w:val="19"/>
          <w:szCs w:val="19"/>
        </w:rPr>
        <w:t xml:space="preserve"> Maszyny, urządzenia techniczne i narzędzia oraz środki transportu.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6B22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657ADB" wp14:editId="0E270CB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8CD63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7F6B2E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CD80" w14:textId="77777777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0B1E6959" wp14:editId="28BC31A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C9C7F5" wp14:editId="1608D84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F70B18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C9C7F5" id="Schemat blokowy: opóźnienie 6" o:spid="_x0000_s103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7F70B18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C5CC559" wp14:editId="3E0BC6B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AE3CD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2BAE6F0F" w14:textId="77777777" w:rsidR="00540C5C" w:rsidRDefault="00540C5C">
    <w:pPr>
      <w:pStyle w:val="Nagwek"/>
      <w:rPr>
        <w:noProof/>
        <w:lang w:eastAsia="pl-PL"/>
      </w:rPr>
    </w:pPr>
  </w:p>
  <w:p w14:paraId="5DE757D5" w14:textId="77777777" w:rsidR="00540C5C" w:rsidRDefault="00540C5C">
    <w:pPr>
      <w:pStyle w:val="Nagwek"/>
      <w:rPr>
        <w:noProof/>
        <w:lang w:eastAsia="pl-PL"/>
      </w:rPr>
    </w:pPr>
  </w:p>
  <w:p w14:paraId="0F2167DD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D33D29" wp14:editId="16DE3034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CE1E2" w14:textId="61051034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341049">
                            <w:t>3</w:t>
                          </w:r>
                          <w:r w:rsidR="0081507A">
                            <w:t>.</w:t>
                          </w:r>
                          <w:r w:rsidR="00341049">
                            <w:t>03</w:t>
                          </w:r>
                          <w:r w:rsidR="0081507A">
                            <w:t>.202</w:t>
                          </w:r>
                          <w:r w:rsidR="00341049">
                            <w:t>6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3D2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4.03.2025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" filled="f" stroked="f">
              <v:textbox>
                <w:txbxContent>
                  <w:p w14:paraId="6B0CE1E2" w14:textId="61051034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341049">
                      <w:t>3</w:t>
                    </w:r>
                    <w:r w:rsidR="0081507A">
                      <w:t>.</w:t>
                    </w:r>
                    <w:r w:rsidR="00341049">
                      <w:t>03</w:t>
                    </w:r>
                    <w:r w:rsidR="0081507A">
                      <w:t>.202</w:t>
                    </w:r>
                    <w:r w:rsidR="00341049">
                      <w:t>6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0340D" w14:textId="77777777" w:rsidR="00607CC5" w:rsidRDefault="00607CC5">
    <w:pPr>
      <w:pStyle w:val="Nagwek"/>
    </w:pPr>
  </w:p>
  <w:p w14:paraId="58B9D161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.15pt;height:126.15pt;visibility:visible;mso-wrap-style:square" o:bullet="t">
        <v:imagedata r:id="rId1" o:title=""/>
      </v:shape>
    </w:pict>
  </w:numPicBullet>
  <w:numPicBullet w:numPicBulletId="1">
    <w:pict>
      <v:shape id="_x0000_i1029" type="#_x0000_t75" style="width:126.15pt;height:126.1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ADA"/>
    <w:rsid w:val="00001C5B"/>
    <w:rsid w:val="0000222E"/>
    <w:rsid w:val="00003437"/>
    <w:rsid w:val="0000360A"/>
    <w:rsid w:val="00003A1B"/>
    <w:rsid w:val="00004112"/>
    <w:rsid w:val="0000709F"/>
    <w:rsid w:val="000108B8"/>
    <w:rsid w:val="000122CF"/>
    <w:rsid w:val="000152F5"/>
    <w:rsid w:val="000171CF"/>
    <w:rsid w:val="00022056"/>
    <w:rsid w:val="0002274D"/>
    <w:rsid w:val="00023F4D"/>
    <w:rsid w:val="00027273"/>
    <w:rsid w:val="000279A2"/>
    <w:rsid w:val="000337E5"/>
    <w:rsid w:val="0003393D"/>
    <w:rsid w:val="00040632"/>
    <w:rsid w:val="00041673"/>
    <w:rsid w:val="0004528C"/>
    <w:rsid w:val="0004582E"/>
    <w:rsid w:val="00046E28"/>
    <w:rsid w:val="000470AA"/>
    <w:rsid w:val="00050EF3"/>
    <w:rsid w:val="000545E7"/>
    <w:rsid w:val="000547D4"/>
    <w:rsid w:val="00057215"/>
    <w:rsid w:val="00057CA1"/>
    <w:rsid w:val="00060BC6"/>
    <w:rsid w:val="00060C89"/>
    <w:rsid w:val="0006186F"/>
    <w:rsid w:val="0006389B"/>
    <w:rsid w:val="00063A7B"/>
    <w:rsid w:val="000647A9"/>
    <w:rsid w:val="00065FF6"/>
    <w:rsid w:val="000662E2"/>
    <w:rsid w:val="00066883"/>
    <w:rsid w:val="000675C9"/>
    <w:rsid w:val="000677E1"/>
    <w:rsid w:val="00071B39"/>
    <w:rsid w:val="0007228D"/>
    <w:rsid w:val="0007440D"/>
    <w:rsid w:val="00074CCB"/>
    <w:rsid w:val="00074DD8"/>
    <w:rsid w:val="00075759"/>
    <w:rsid w:val="00076158"/>
    <w:rsid w:val="00077EE1"/>
    <w:rsid w:val="000806F7"/>
    <w:rsid w:val="00085739"/>
    <w:rsid w:val="00090180"/>
    <w:rsid w:val="00091B51"/>
    <w:rsid w:val="0009301E"/>
    <w:rsid w:val="00094620"/>
    <w:rsid w:val="0009551C"/>
    <w:rsid w:val="00097840"/>
    <w:rsid w:val="000A2CCA"/>
    <w:rsid w:val="000A52D6"/>
    <w:rsid w:val="000A7803"/>
    <w:rsid w:val="000B02E1"/>
    <w:rsid w:val="000B03F9"/>
    <w:rsid w:val="000B0727"/>
    <w:rsid w:val="000B1E93"/>
    <w:rsid w:val="000B1FB4"/>
    <w:rsid w:val="000B2172"/>
    <w:rsid w:val="000B46F5"/>
    <w:rsid w:val="000B4FD1"/>
    <w:rsid w:val="000B6EE9"/>
    <w:rsid w:val="000B7282"/>
    <w:rsid w:val="000C135D"/>
    <w:rsid w:val="000C136B"/>
    <w:rsid w:val="000C18BE"/>
    <w:rsid w:val="000C6B65"/>
    <w:rsid w:val="000C78F5"/>
    <w:rsid w:val="000D006B"/>
    <w:rsid w:val="000D1D43"/>
    <w:rsid w:val="000D225C"/>
    <w:rsid w:val="000D289E"/>
    <w:rsid w:val="000D2A5C"/>
    <w:rsid w:val="000D39F0"/>
    <w:rsid w:val="000E0918"/>
    <w:rsid w:val="000E1B8C"/>
    <w:rsid w:val="000E1CB1"/>
    <w:rsid w:val="000E1FB7"/>
    <w:rsid w:val="000E24B1"/>
    <w:rsid w:val="000E6E4F"/>
    <w:rsid w:val="000E70A9"/>
    <w:rsid w:val="000E79A9"/>
    <w:rsid w:val="000E7C5A"/>
    <w:rsid w:val="000F00F7"/>
    <w:rsid w:val="000F1D9C"/>
    <w:rsid w:val="000F1FFC"/>
    <w:rsid w:val="000F34EA"/>
    <w:rsid w:val="001011C3"/>
    <w:rsid w:val="001017AC"/>
    <w:rsid w:val="001029F4"/>
    <w:rsid w:val="00103124"/>
    <w:rsid w:val="00103E85"/>
    <w:rsid w:val="00106DA3"/>
    <w:rsid w:val="00110214"/>
    <w:rsid w:val="00110D87"/>
    <w:rsid w:val="00112263"/>
    <w:rsid w:val="00112399"/>
    <w:rsid w:val="001146E7"/>
    <w:rsid w:val="00114DB9"/>
    <w:rsid w:val="00116087"/>
    <w:rsid w:val="001161F4"/>
    <w:rsid w:val="00117711"/>
    <w:rsid w:val="00124901"/>
    <w:rsid w:val="00125734"/>
    <w:rsid w:val="00126A1E"/>
    <w:rsid w:val="00130296"/>
    <w:rsid w:val="00131102"/>
    <w:rsid w:val="00131C92"/>
    <w:rsid w:val="00134145"/>
    <w:rsid w:val="001346D8"/>
    <w:rsid w:val="00135EC3"/>
    <w:rsid w:val="00136008"/>
    <w:rsid w:val="00136736"/>
    <w:rsid w:val="00136740"/>
    <w:rsid w:val="00136D67"/>
    <w:rsid w:val="0013733A"/>
    <w:rsid w:val="00137D3A"/>
    <w:rsid w:val="001423B6"/>
    <w:rsid w:val="00142C8A"/>
    <w:rsid w:val="001438FB"/>
    <w:rsid w:val="001448A7"/>
    <w:rsid w:val="00145AB6"/>
    <w:rsid w:val="001465CB"/>
    <w:rsid w:val="00146621"/>
    <w:rsid w:val="00146D29"/>
    <w:rsid w:val="001471B6"/>
    <w:rsid w:val="0014731A"/>
    <w:rsid w:val="00147650"/>
    <w:rsid w:val="00150487"/>
    <w:rsid w:val="00150A63"/>
    <w:rsid w:val="00152B46"/>
    <w:rsid w:val="00153044"/>
    <w:rsid w:val="00157C39"/>
    <w:rsid w:val="00160DE9"/>
    <w:rsid w:val="001617E3"/>
    <w:rsid w:val="00162325"/>
    <w:rsid w:val="001624A7"/>
    <w:rsid w:val="001628E4"/>
    <w:rsid w:val="0016538E"/>
    <w:rsid w:val="00167C3B"/>
    <w:rsid w:val="001706F1"/>
    <w:rsid w:val="00171732"/>
    <w:rsid w:val="00171800"/>
    <w:rsid w:val="001720FC"/>
    <w:rsid w:val="00172818"/>
    <w:rsid w:val="0017369E"/>
    <w:rsid w:val="00174882"/>
    <w:rsid w:val="00174B11"/>
    <w:rsid w:val="00177514"/>
    <w:rsid w:val="00177529"/>
    <w:rsid w:val="00180C00"/>
    <w:rsid w:val="00181FAD"/>
    <w:rsid w:val="00183708"/>
    <w:rsid w:val="00183E9E"/>
    <w:rsid w:val="001843B1"/>
    <w:rsid w:val="00184AFF"/>
    <w:rsid w:val="00185353"/>
    <w:rsid w:val="00191E88"/>
    <w:rsid w:val="00192461"/>
    <w:rsid w:val="00194921"/>
    <w:rsid w:val="001951DA"/>
    <w:rsid w:val="0019780D"/>
    <w:rsid w:val="001A0234"/>
    <w:rsid w:val="001A0E5C"/>
    <w:rsid w:val="001A1039"/>
    <w:rsid w:val="001A1641"/>
    <w:rsid w:val="001A186F"/>
    <w:rsid w:val="001A3DF3"/>
    <w:rsid w:val="001A4114"/>
    <w:rsid w:val="001A6107"/>
    <w:rsid w:val="001A6375"/>
    <w:rsid w:val="001B0510"/>
    <w:rsid w:val="001B053D"/>
    <w:rsid w:val="001B26F9"/>
    <w:rsid w:val="001B3369"/>
    <w:rsid w:val="001B3E7F"/>
    <w:rsid w:val="001B595A"/>
    <w:rsid w:val="001C07C3"/>
    <w:rsid w:val="001C1489"/>
    <w:rsid w:val="001C3034"/>
    <w:rsid w:val="001C3269"/>
    <w:rsid w:val="001C445B"/>
    <w:rsid w:val="001C4DF4"/>
    <w:rsid w:val="001C7BA5"/>
    <w:rsid w:val="001D19B6"/>
    <w:rsid w:val="001D1DB4"/>
    <w:rsid w:val="001D23F1"/>
    <w:rsid w:val="001D25F9"/>
    <w:rsid w:val="001D268A"/>
    <w:rsid w:val="001D2900"/>
    <w:rsid w:val="001D373B"/>
    <w:rsid w:val="001D388C"/>
    <w:rsid w:val="001D3B30"/>
    <w:rsid w:val="001D41EF"/>
    <w:rsid w:val="001D4378"/>
    <w:rsid w:val="001D61A0"/>
    <w:rsid w:val="001D61ED"/>
    <w:rsid w:val="001D7C2E"/>
    <w:rsid w:val="001E15B3"/>
    <w:rsid w:val="001E5B2D"/>
    <w:rsid w:val="001E7332"/>
    <w:rsid w:val="001F080F"/>
    <w:rsid w:val="001F10BB"/>
    <w:rsid w:val="001F6FB0"/>
    <w:rsid w:val="0020041B"/>
    <w:rsid w:val="00200E19"/>
    <w:rsid w:val="0020156C"/>
    <w:rsid w:val="002016A2"/>
    <w:rsid w:val="00201DB3"/>
    <w:rsid w:val="00202F30"/>
    <w:rsid w:val="00207B7B"/>
    <w:rsid w:val="00211583"/>
    <w:rsid w:val="00215766"/>
    <w:rsid w:val="00216634"/>
    <w:rsid w:val="002177A4"/>
    <w:rsid w:val="002200CA"/>
    <w:rsid w:val="00220164"/>
    <w:rsid w:val="002213A2"/>
    <w:rsid w:val="00223BEB"/>
    <w:rsid w:val="002252AA"/>
    <w:rsid w:val="00230642"/>
    <w:rsid w:val="002309C8"/>
    <w:rsid w:val="00230AE9"/>
    <w:rsid w:val="00230BD4"/>
    <w:rsid w:val="00233E64"/>
    <w:rsid w:val="00236438"/>
    <w:rsid w:val="00240D44"/>
    <w:rsid w:val="00241E85"/>
    <w:rsid w:val="00242BC7"/>
    <w:rsid w:val="00242D31"/>
    <w:rsid w:val="002456A6"/>
    <w:rsid w:val="00246CAB"/>
    <w:rsid w:val="00250763"/>
    <w:rsid w:val="0025481E"/>
    <w:rsid w:val="00255E67"/>
    <w:rsid w:val="00256234"/>
    <w:rsid w:val="0025717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66CA0"/>
    <w:rsid w:val="00267D9F"/>
    <w:rsid w:val="002729AB"/>
    <w:rsid w:val="00272F9B"/>
    <w:rsid w:val="00273D09"/>
    <w:rsid w:val="0027622F"/>
    <w:rsid w:val="00276811"/>
    <w:rsid w:val="0028247F"/>
    <w:rsid w:val="00282699"/>
    <w:rsid w:val="002837B0"/>
    <w:rsid w:val="0028500C"/>
    <w:rsid w:val="00285054"/>
    <w:rsid w:val="002875CB"/>
    <w:rsid w:val="00287D70"/>
    <w:rsid w:val="00291478"/>
    <w:rsid w:val="0029217D"/>
    <w:rsid w:val="002926DF"/>
    <w:rsid w:val="00294686"/>
    <w:rsid w:val="00294A25"/>
    <w:rsid w:val="00295F15"/>
    <w:rsid w:val="00296697"/>
    <w:rsid w:val="002979F7"/>
    <w:rsid w:val="002A0741"/>
    <w:rsid w:val="002A151C"/>
    <w:rsid w:val="002A50A6"/>
    <w:rsid w:val="002A564A"/>
    <w:rsid w:val="002A5B61"/>
    <w:rsid w:val="002A65A4"/>
    <w:rsid w:val="002B0472"/>
    <w:rsid w:val="002B04F2"/>
    <w:rsid w:val="002B2537"/>
    <w:rsid w:val="002B48D0"/>
    <w:rsid w:val="002B50CF"/>
    <w:rsid w:val="002B57A2"/>
    <w:rsid w:val="002B6B12"/>
    <w:rsid w:val="002C1699"/>
    <w:rsid w:val="002C1BD6"/>
    <w:rsid w:val="002C21F0"/>
    <w:rsid w:val="002C267A"/>
    <w:rsid w:val="002C3231"/>
    <w:rsid w:val="002C4E59"/>
    <w:rsid w:val="002C567C"/>
    <w:rsid w:val="002D01DF"/>
    <w:rsid w:val="002D03BA"/>
    <w:rsid w:val="002D0E9A"/>
    <w:rsid w:val="002D425F"/>
    <w:rsid w:val="002D713A"/>
    <w:rsid w:val="002E11B7"/>
    <w:rsid w:val="002E14C8"/>
    <w:rsid w:val="002E248C"/>
    <w:rsid w:val="002E2B73"/>
    <w:rsid w:val="002E3EB3"/>
    <w:rsid w:val="002E59EE"/>
    <w:rsid w:val="002E5BED"/>
    <w:rsid w:val="002E6140"/>
    <w:rsid w:val="002E6985"/>
    <w:rsid w:val="002E6ED3"/>
    <w:rsid w:val="002E71B6"/>
    <w:rsid w:val="002F2328"/>
    <w:rsid w:val="002F2DC7"/>
    <w:rsid w:val="002F2FCD"/>
    <w:rsid w:val="002F3546"/>
    <w:rsid w:val="002F35F6"/>
    <w:rsid w:val="002F384B"/>
    <w:rsid w:val="002F6421"/>
    <w:rsid w:val="002F66CB"/>
    <w:rsid w:val="002F77C8"/>
    <w:rsid w:val="0030068D"/>
    <w:rsid w:val="00302CFA"/>
    <w:rsid w:val="003032A3"/>
    <w:rsid w:val="003035F1"/>
    <w:rsid w:val="00303F90"/>
    <w:rsid w:val="00304F22"/>
    <w:rsid w:val="00306C7C"/>
    <w:rsid w:val="00311006"/>
    <w:rsid w:val="003129CF"/>
    <w:rsid w:val="00313C11"/>
    <w:rsid w:val="00314F86"/>
    <w:rsid w:val="003154C2"/>
    <w:rsid w:val="0031550E"/>
    <w:rsid w:val="00316C0D"/>
    <w:rsid w:val="00317F4D"/>
    <w:rsid w:val="003203CA"/>
    <w:rsid w:val="003204A4"/>
    <w:rsid w:val="00322EDD"/>
    <w:rsid w:val="003235B9"/>
    <w:rsid w:val="00324C78"/>
    <w:rsid w:val="003250CC"/>
    <w:rsid w:val="003259D3"/>
    <w:rsid w:val="00325CDD"/>
    <w:rsid w:val="003270D2"/>
    <w:rsid w:val="00327843"/>
    <w:rsid w:val="00327A28"/>
    <w:rsid w:val="0033030B"/>
    <w:rsid w:val="0033033B"/>
    <w:rsid w:val="003309FA"/>
    <w:rsid w:val="00332320"/>
    <w:rsid w:val="003325FE"/>
    <w:rsid w:val="00332AA3"/>
    <w:rsid w:val="003340B9"/>
    <w:rsid w:val="003348E6"/>
    <w:rsid w:val="00340972"/>
    <w:rsid w:val="00340E2C"/>
    <w:rsid w:val="00341049"/>
    <w:rsid w:val="00341885"/>
    <w:rsid w:val="003437ED"/>
    <w:rsid w:val="0034626A"/>
    <w:rsid w:val="0034654F"/>
    <w:rsid w:val="00347587"/>
    <w:rsid w:val="00347D72"/>
    <w:rsid w:val="00352473"/>
    <w:rsid w:val="00353F45"/>
    <w:rsid w:val="00355360"/>
    <w:rsid w:val="00357611"/>
    <w:rsid w:val="00361319"/>
    <w:rsid w:val="00361629"/>
    <w:rsid w:val="00362C07"/>
    <w:rsid w:val="00363492"/>
    <w:rsid w:val="0036432A"/>
    <w:rsid w:val="00364664"/>
    <w:rsid w:val="00364AF9"/>
    <w:rsid w:val="00365C16"/>
    <w:rsid w:val="00367237"/>
    <w:rsid w:val="0037077F"/>
    <w:rsid w:val="00370F01"/>
    <w:rsid w:val="003716A9"/>
    <w:rsid w:val="0037191E"/>
    <w:rsid w:val="00372411"/>
    <w:rsid w:val="00373882"/>
    <w:rsid w:val="00373D59"/>
    <w:rsid w:val="00373F1B"/>
    <w:rsid w:val="00375A14"/>
    <w:rsid w:val="00375BB7"/>
    <w:rsid w:val="003766DE"/>
    <w:rsid w:val="00383DE6"/>
    <w:rsid w:val="003843DB"/>
    <w:rsid w:val="00385634"/>
    <w:rsid w:val="00385D4F"/>
    <w:rsid w:val="0038653E"/>
    <w:rsid w:val="003873C8"/>
    <w:rsid w:val="00390777"/>
    <w:rsid w:val="003908D1"/>
    <w:rsid w:val="00391D23"/>
    <w:rsid w:val="003925B8"/>
    <w:rsid w:val="00393761"/>
    <w:rsid w:val="00394C0E"/>
    <w:rsid w:val="00394E26"/>
    <w:rsid w:val="00396691"/>
    <w:rsid w:val="00396698"/>
    <w:rsid w:val="00397D18"/>
    <w:rsid w:val="003A1B36"/>
    <w:rsid w:val="003A3874"/>
    <w:rsid w:val="003A3C39"/>
    <w:rsid w:val="003A4407"/>
    <w:rsid w:val="003A49D1"/>
    <w:rsid w:val="003A719E"/>
    <w:rsid w:val="003B08A6"/>
    <w:rsid w:val="003B099C"/>
    <w:rsid w:val="003B0BBA"/>
    <w:rsid w:val="003B1454"/>
    <w:rsid w:val="003B18B6"/>
    <w:rsid w:val="003B793A"/>
    <w:rsid w:val="003C161B"/>
    <w:rsid w:val="003C4460"/>
    <w:rsid w:val="003C55A7"/>
    <w:rsid w:val="003C59E0"/>
    <w:rsid w:val="003C655D"/>
    <w:rsid w:val="003C6962"/>
    <w:rsid w:val="003C6C8D"/>
    <w:rsid w:val="003C7EA6"/>
    <w:rsid w:val="003D0D30"/>
    <w:rsid w:val="003D161F"/>
    <w:rsid w:val="003D1F24"/>
    <w:rsid w:val="003D2656"/>
    <w:rsid w:val="003D2F72"/>
    <w:rsid w:val="003D468E"/>
    <w:rsid w:val="003D4A8F"/>
    <w:rsid w:val="003D4F7C"/>
    <w:rsid w:val="003D4F95"/>
    <w:rsid w:val="003D5F42"/>
    <w:rsid w:val="003D60A9"/>
    <w:rsid w:val="003D7A4E"/>
    <w:rsid w:val="003E15C0"/>
    <w:rsid w:val="003E3C57"/>
    <w:rsid w:val="003E3E08"/>
    <w:rsid w:val="003E4367"/>
    <w:rsid w:val="003E4655"/>
    <w:rsid w:val="003E4658"/>
    <w:rsid w:val="003E718A"/>
    <w:rsid w:val="003F089E"/>
    <w:rsid w:val="003F2ACC"/>
    <w:rsid w:val="003F3062"/>
    <w:rsid w:val="003F47E7"/>
    <w:rsid w:val="003F4C97"/>
    <w:rsid w:val="003F666D"/>
    <w:rsid w:val="003F74C2"/>
    <w:rsid w:val="003F7993"/>
    <w:rsid w:val="003F7FE6"/>
    <w:rsid w:val="00400163"/>
    <w:rsid w:val="00400193"/>
    <w:rsid w:val="00402A23"/>
    <w:rsid w:val="00403044"/>
    <w:rsid w:val="004038E2"/>
    <w:rsid w:val="00407264"/>
    <w:rsid w:val="004132E8"/>
    <w:rsid w:val="00413738"/>
    <w:rsid w:val="004150FA"/>
    <w:rsid w:val="0041661C"/>
    <w:rsid w:val="00416EAF"/>
    <w:rsid w:val="004174A9"/>
    <w:rsid w:val="00417C14"/>
    <w:rsid w:val="004212E7"/>
    <w:rsid w:val="00422B20"/>
    <w:rsid w:val="00423B0C"/>
    <w:rsid w:val="00423C88"/>
    <w:rsid w:val="0042446D"/>
    <w:rsid w:val="004270BF"/>
    <w:rsid w:val="004272CA"/>
    <w:rsid w:val="00427BF8"/>
    <w:rsid w:val="00431C02"/>
    <w:rsid w:val="00431E60"/>
    <w:rsid w:val="0043254E"/>
    <w:rsid w:val="0043327C"/>
    <w:rsid w:val="00435E2B"/>
    <w:rsid w:val="00436466"/>
    <w:rsid w:val="00436653"/>
    <w:rsid w:val="00437395"/>
    <w:rsid w:val="00437D06"/>
    <w:rsid w:val="00440316"/>
    <w:rsid w:val="00441285"/>
    <w:rsid w:val="00441A92"/>
    <w:rsid w:val="004423DF"/>
    <w:rsid w:val="00442FBF"/>
    <w:rsid w:val="004440CE"/>
    <w:rsid w:val="004440F0"/>
    <w:rsid w:val="00445047"/>
    <w:rsid w:val="00445796"/>
    <w:rsid w:val="00446176"/>
    <w:rsid w:val="00446186"/>
    <w:rsid w:val="00446749"/>
    <w:rsid w:val="0045002B"/>
    <w:rsid w:val="00451EF6"/>
    <w:rsid w:val="004520D9"/>
    <w:rsid w:val="00453EB7"/>
    <w:rsid w:val="00461329"/>
    <w:rsid w:val="00462193"/>
    <w:rsid w:val="00462414"/>
    <w:rsid w:val="00463E39"/>
    <w:rsid w:val="0046425B"/>
    <w:rsid w:val="004650FA"/>
    <w:rsid w:val="004657FC"/>
    <w:rsid w:val="0046694E"/>
    <w:rsid w:val="00466E22"/>
    <w:rsid w:val="004677C5"/>
    <w:rsid w:val="004733F6"/>
    <w:rsid w:val="00473C33"/>
    <w:rsid w:val="00474E69"/>
    <w:rsid w:val="0047612C"/>
    <w:rsid w:val="004761BF"/>
    <w:rsid w:val="00476754"/>
    <w:rsid w:val="00480B4F"/>
    <w:rsid w:val="00481A89"/>
    <w:rsid w:val="00481DAD"/>
    <w:rsid w:val="004820E2"/>
    <w:rsid w:val="004822B9"/>
    <w:rsid w:val="004837DC"/>
    <w:rsid w:val="00483E9F"/>
    <w:rsid w:val="004850D8"/>
    <w:rsid w:val="00485A2C"/>
    <w:rsid w:val="00493E20"/>
    <w:rsid w:val="0049621B"/>
    <w:rsid w:val="004A1D19"/>
    <w:rsid w:val="004A2941"/>
    <w:rsid w:val="004A4106"/>
    <w:rsid w:val="004A4E95"/>
    <w:rsid w:val="004A534A"/>
    <w:rsid w:val="004B1DA7"/>
    <w:rsid w:val="004B2943"/>
    <w:rsid w:val="004B3E84"/>
    <w:rsid w:val="004B5C24"/>
    <w:rsid w:val="004B5C2A"/>
    <w:rsid w:val="004B62A1"/>
    <w:rsid w:val="004C00C4"/>
    <w:rsid w:val="004C1895"/>
    <w:rsid w:val="004C4F63"/>
    <w:rsid w:val="004C6D40"/>
    <w:rsid w:val="004D18F2"/>
    <w:rsid w:val="004D4336"/>
    <w:rsid w:val="004D5BDF"/>
    <w:rsid w:val="004D5E40"/>
    <w:rsid w:val="004E3DF0"/>
    <w:rsid w:val="004E4189"/>
    <w:rsid w:val="004E4BA1"/>
    <w:rsid w:val="004E6AA8"/>
    <w:rsid w:val="004F0AA3"/>
    <w:rsid w:val="004F0C3C"/>
    <w:rsid w:val="004F2280"/>
    <w:rsid w:val="004F23BB"/>
    <w:rsid w:val="004F3C3D"/>
    <w:rsid w:val="004F4B83"/>
    <w:rsid w:val="004F63FC"/>
    <w:rsid w:val="004F7EE5"/>
    <w:rsid w:val="00502AC9"/>
    <w:rsid w:val="005034D1"/>
    <w:rsid w:val="0050501F"/>
    <w:rsid w:val="00505A92"/>
    <w:rsid w:val="00512E33"/>
    <w:rsid w:val="005140DD"/>
    <w:rsid w:val="005171F1"/>
    <w:rsid w:val="0051730C"/>
    <w:rsid w:val="005203F1"/>
    <w:rsid w:val="00520C81"/>
    <w:rsid w:val="00521BC3"/>
    <w:rsid w:val="00523AD1"/>
    <w:rsid w:val="0052403C"/>
    <w:rsid w:val="00524156"/>
    <w:rsid w:val="005244C5"/>
    <w:rsid w:val="005266D2"/>
    <w:rsid w:val="00531570"/>
    <w:rsid w:val="00531873"/>
    <w:rsid w:val="00533632"/>
    <w:rsid w:val="00534013"/>
    <w:rsid w:val="00534157"/>
    <w:rsid w:val="00534624"/>
    <w:rsid w:val="005356BD"/>
    <w:rsid w:val="00535DD3"/>
    <w:rsid w:val="00536A7E"/>
    <w:rsid w:val="00540C5C"/>
    <w:rsid w:val="005417CB"/>
    <w:rsid w:val="00541E6E"/>
    <w:rsid w:val="00542512"/>
    <w:rsid w:val="0054251F"/>
    <w:rsid w:val="00542B3E"/>
    <w:rsid w:val="00545AA7"/>
    <w:rsid w:val="005479FE"/>
    <w:rsid w:val="005506A1"/>
    <w:rsid w:val="00551473"/>
    <w:rsid w:val="005520D8"/>
    <w:rsid w:val="005530B6"/>
    <w:rsid w:val="00553C9F"/>
    <w:rsid w:val="00554191"/>
    <w:rsid w:val="00554E12"/>
    <w:rsid w:val="005551A4"/>
    <w:rsid w:val="00555CFB"/>
    <w:rsid w:val="00556914"/>
    <w:rsid w:val="00556ADB"/>
    <w:rsid w:val="00556CF1"/>
    <w:rsid w:val="00556CF6"/>
    <w:rsid w:val="005614E8"/>
    <w:rsid w:val="0056178E"/>
    <w:rsid w:val="00562E95"/>
    <w:rsid w:val="00563A53"/>
    <w:rsid w:val="005641B7"/>
    <w:rsid w:val="00564C2C"/>
    <w:rsid w:val="005654AA"/>
    <w:rsid w:val="005661F4"/>
    <w:rsid w:val="00572449"/>
    <w:rsid w:val="00572A63"/>
    <w:rsid w:val="00573E8B"/>
    <w:rsid w:val="005751F8"/>
    <w:rsid w:val="005762A7"/>
    <w:rsid w:val="0057774C"/>
    <w:rsid w:val="005809D0"/>
    <w:rsid w:val="00583801"/>
    <w:rsid w:val="00583FD0"/>
    <w:rsid w:val="0058406C"/>
    <w:rsid w:val="0058423A"/>
    <w:rsid w:val="00587B47"/>
    <w:rsid w:val="00587CEE"/>
    <w:rsid w:val="005907AA"/>
    <w:rsid w:val="00590D7D"/>
    <w:rsid w:val="005916D7"/>
    <w:rsid w:val="0059427F"/>
    <w:rsid w:val="00597F6A"/>
    <w:rsid w:val="005A0DE6"/>
    <w:rsid w:val="005A1228"/>
    <w:rsid w:val="005A1386"/>
    <w:rsid w:val="005A2B33"/>
    <w:rsid w:val="005A3AA4"/>
    <w:rsid w:val="005A3DD0"/>
    <w:rsid w:val="005A41AE"/>
    <w:rsid w:val="005A698C"/>
    <w:rsid w:val="005B2597"/>
    <w:rsid w:val="005B39F0"/>
    <w:rsid w:val="005B3E73"/>
    <w:rsid w:val="005B49A0"/>
    <w:rsid w:val="005B567F"/>
    <w:rsid w:val="005B6111"/>
    <w:rsid w:val="005C04A4"/>
    <w:rsid w:val="005C0CAC"/>
    <w:rsid w:val="005C21E4"/>
    <w:rsid w:val="005C2638"/>
    <w:rsid w:val="005C579E"/>
    <w:rsid w:val="005C6C04"/>
    <w:rsid w:val="005C6F35"/>
    <w:rsid w:val="005D062E"/>
    <w:rsid w:val="005D0920"/>
    <w:rsid w:val="005D1BD8"/>
    <w:rsid w:val="005D2F6B"/>
    <w:rsid w:val="005D4795"/>
    <w:rsid w:val="005D71E2"/>
    <w:rsid w:val="005D7B3F"/>
    <w:rsid w:val="005E0799"/>
    <w:rsid w:val="005E10F9"/>
    <w:rsid w:val="005E1200"/>
    <w:rsid w:val="005E1ED0"/>
    <w:rsid w:val="005E1EF1"/>
    <w:rsid w:val="005E24B5"/>
    <w:rsid w:val="005E291A"/>
    <w:rsid w:val="005E2D74"/>
    <w:rsid w:val="005E313F"/>
    <w:rsid w:val="005E361F"/>
    <w:rsid w:val="005E3B1A"/>
    <w:rsid w:val="005E3B9E"/>
    <w:rsid w:val="005E4094"/>
    <w:rsid w:val="005E6159"/>
    <w:rsid w:val="005E6E5B"/>
    <w:rsid w:val="005E6FAF"/>
    <w:rsid w:val="005F45EE"/>
    <w:rsid w:val="005F5A80"/>
    <w:rsid w:val="005F70A7"/>
    <w:rsid w:val="005F7627"/>
    <w:rsid w:val="00600561"/>
    <w:rsid w:val="006008BB"/>
    <w:rsid w:val="006017E8"/>
    <w:rsid w:val="006044FF"/>
    <w:rsid w:val="00604509"/>
    <w:rsid w:val="00604F2C"/>
    <w:rsid w:val="00607654"/>
    <w:rsid w:val="00607CC5"/>
    <w:rsid w:val="00610153"/>
    <w:rsid w:val="0061179B"/>
    <w:rsid w:val="006125F9"/>
    <w:rsid w:val="006132C2"/>
    <w:rsid w:val="00613600"/>
    <w:rsid w:val="006140F7"/>
    <w:rsid w:val="00616199"/>
    <w:rsid w:val="00621F67"/>
    <w:rsid w:val="00622415"/>
    <w:rsid w:val="0062328B"/>
    <w:rsid w:val="00625810"/>
    <w:rsid w:val="00627266"/>
    <w:rsid w:val="0062769C"/>
    <w:rsid w:val="00633014"/>
    <w:rsid w:val="0063437B"/>
    <w:rsid w:val="0064017E"/>
    <w:rsid w:val="0064109B"/>
    <w:rsid w:val="006443F0"/>
    <w:rsid w:val="00647330"/>
    <w:rsid w:val="00651763"/>
    <w:rsid w:val="00654BB6"/>
    <w:rsid w:val="00654DD9"/>
    <w:rsid w:val="00656298"/>
    <w:rsid w:val="00657E0E"/>
    <w:rsid w:val="00660DB0"/>
    <w:rsid w:val="00661723"/>
    <w:rsid w:val="00661FD4"/>
    <w:rsid w:val="006638A4"/>
    <w:rsid w:val="00663A20"/>
    <w:rsid w:val="0066421C"/>
    <w:rsid w:val="00664AB5"/>
    <w:rsid w:val="00665D9F"/>
    <w:rsid w:val="006673CA"/>
    <w:rsid w:val="0067004F"/>
    <w:rsid w:val="00672243"/>
    <w:rsid w:val="006722E3"/>
    <w:rsid w:val="00672A68"/>
    <w:rsid w:val="00672EBA"/>
    <w:rsid w:val="00673C26"/>
    <w:rsid w:val="00674DE5"/>
    <w:rsid w:val="006763BD"/>
    <w:rsid w:val="00677ACA"/>
    <w:rsid w:val="006812AF"/>
    <w:rsid w:val="00682D82"/>
    <w:rsid w:val="0068327D"/>
    <w:rsid w:val="00686CEC"/>
    <w:rsid w:val="0068714F"/>
    <w:rsid w:val="00691534"/>
    <w:rsid w:val="00692695"/>
    <w:rsid w:val="00693880"/>
    <w:rsid w:val="006946B9"/>
    <w:rsid w:val="00694AF0"/>
    <w:rsid w:val="00694D3F"/>
    <w:rsid w:val="006954DA"/>
    <w:rsid w:val="006A35C4"/>
    <w:rsid w:val="006A4686"/>
    <w:rsid w:val="006A5F66"/>
    <w:rsid w:val="006B0E9E"/>
    <w:rsid w:val="006B2455"/>
    <w:rsid w:val="006B34B7"/>
    <w:rsid w:val="006B351E"/>
    <w:rsid w:val="006B486D"/>
    <w:rsid w:val="006B5672"/>
    <w:rsid w:val="006B5AE4"/>
    <w:rsid w:val="006B7831"/>
    <w:rsid w:val="006C1E21"/>
    <w:rsid w:val="006C674F"/>
    <w:rsid w:val="006D0344"/>
    <w:rsid w:val="006D1507"/>
    <w:rsid w:val="006D32E0"/>
    <w:rsid w:val="006D3C5B"/>
    <w:rsid w:val="006D3CAD"/>
    <w:rsid w:val="006D3F01"/>
    <w:rsid w:val="006D4054"/>
    <w:rsid w:val="006D5054"/>
    <w:rsid w:val="006D7790"/>
    <w:rsid w:val="006E02EC"/>
    <w:rsid w:val="006E0442"/>
    <w:rsid w:val="006E21CC"/>
    <w:rsid w:val="006E2EAC"/>
    <w:rsid w:val="006E3AF2"/>
    <w:rsid w:val="006E3C4F"/>
    <w:rsid w:val="006E47F3"/>
    <w:rsid w:val="006E4AA9"/>
    <w:rsid w:val="006E6AE4"/>
    <w:rsid w:val="006E6F41"/>
    <w:rsid w:val="006E6F4C"/>
    <w:rsid w:val="006E73E6"/>
    <w:rsid w:val="006F0BE9"/>
    <w:rsid w:val="006F0DA5"/>
    <w:rsid w:val="006F16C0"/>
    <w:rsid w:val="006F221F"/>
    <w:rsid w:val="006F3782"/>
    <w:rsid w:val="007037E7"/>
    <w:rsid w:val="00710695"/>
    <w:rsid w:val="00710B8D"/>
    <w:rsid w:val="00714470"/>
    <w:rsid w:val="00714656"/>
    <w:rsid w:val="007153E3"/>
    <w:rsid w:val="007211B1"/>
    <w:rsid w:val="00722C74"/>
    <w:rsid w:val="00722D35"/>
    <w:rsid w:val="00722E7B"/>
    <w:rsid w:val="00723C06"/>
    <w:rsid w:val="00723DA9"/>
    <w:rsid w:val="00724476"/>
    <w:rsid w:val="00724E59"/>
    <w:rsid w:val="007256AF"/>
    <w:rsid w:val="00725A18"/>
    <w:rsid w:val="007277DA"/>
    <w:rsid w:val="0073048E"/>
    <w:rsid w:val="00730B7A"/>
    <w:rsid w:val="007310F0"/>
    <w:rsid w:val="007312E1"/>
    <w:rsid w:val="00731D27"/>
    <w:rsid w:val="00733D68"/>
    <w:rsid w:val="00736490"/>
    <w:rsid w:val="007365A2"/>
    <w:rsid w:val="007430E6"/>
    <w:rsid w:val="0074330D"/>
    <w:rsid w:val="0074337C"/>
    <w:rsid w:val="00745584"/>
    <w:rsid w:val="0074565A"/>
    <w:rsid w:val="00746187"/>
    <w:rsid w:val="00752289"/>
    <w:rsid w:val="00753B5A"/>
    <w:rsid w:val="00754430"/>
    <w:rsid w:val="00754A09"/>
    <w:rsid w:val="00757C5F"/>
    <w:rsid w:val="00762355"/>
    <w:rsid w:val="0076254F"/>
    <w:rsid w:val="00766BA9"/>
    <w:rsid w:val="00766F7B"/>
    <w:rsid w:val="00770B86"/>
    <w:rsid w:val="00773B3B"/>
    <w:rsid w:val="0077583C"/>
    <w:rsid w:val="007758D4"/>
    <w:rsid w:val="00775A08"/>
    <w:rsid w:val="00776427"/>
    <w:rsid w:val="00777006"/>
    <w:rsid w:val="007801F5"/>
    <w:rsid w:val="007828BB"/>
    <w:rsid w:val="00782DC6"/>
    <w:rsid w:val="007839AC"/>
    <w:rsid w:val="00783CA4"/>
    <w:rsid w:val="007842FB"/>
    <w:rsid w:val="00786124"/>
    <w:rsid w:val="00787060"/>
    <w:rsid w:val="00787992"/>
    <w:rsid w:val="007924E5"/>
    <w:rsid w:val="00792FA4"/>
    <w:rsid w:val="00792FFB"/>
    <w:rsid w:val="0079404C"/>
    <w:rsid w:val="0079514B"/>
    <w:rsid w:val="00795252"/>
    <w:rsid w:val="00796F6F"/>
    <w:rsid w:val="007973C9"/>
    <w:rsid w:val="007A07D3"/>
    <w:rsid w:val="007A1BE8"/>
    <w:rsid w:val="007A26E6"/>
    <w:rsid w:val="007A2DC1"/>
    <w:rsid w:val="007A36E1"/>
    <w:rsid w:val="007A3970"/>
    <w:rsid w:val="007A4967"/>
    <w:rsid w:val="007A58D5"/>
    <w:rsid w:val="007A5D97"/>
    <w:rsid w:val="007A69B4"/>
    <w:rsid w:val="007B0414"/>
    <w:rsid w:val="007B2560"/>
    <w:rsid w:val="007B551D"/>
    <w:rsid w:val="007B58EB"/>
    <w:rsid w:val="007B6630"/>
    <w:rsid w:val="007C14D2"/>
    <w:rsid w:val="007C152F"/>
    <w:rsid w:val="007C21A1"/>
    <w:rsid w:val="007C42EB"/>
    <w:rsid w:val="007C48EE"/>
    <w:rsid w:val="007C7D79"/>
    <w:rsid w:val="007D0869"/>
    <w:rsid w:val="007D14C4"/>
    <w:rsid w:val="007D2027"/>
    <w:rsid w:val="007D22B5"/>
    <w:rsid w:val="007D24E1"/>
    <w:rsid w:val="007D3319"/>
    <w:rsid w:val="007D335D"/>
    <w:rsid w:val="007D3B37"/>
    <w:rsid w:val="007D605C"/>
    <w:rsid w:val="007E046F"/>
    <w:rsid w:val="007E2CD4"/>
    <w:rsid w:val="007E2D98"/>
    <w:rsid w:val="007E3010"/>
    <w:rsid w:val="007E3314"/>
    <w:rsid w:val="007E3514"/>
    <w:rsid w:val="007E4415"/>
    <w:rsid w:val="007E4B03"/>
    <w:rsid w:val="007E4E7C"/>
    <w:rsid w:val="007E6E53"/>
    <w:rsid w:val="007E7211"/>
    <w:rsid w:val="007E7E95"/>
    <w:rsid w:val="007F03AA"/>
    <w:rsid w:val="007F324B"/>
    <w:rsid w:val="007F341C"/>
    <w:rsid w:val="007F411C"/>
    <w:rsid w:val="007F48B8"/>
    <w:rsid w:val="007F4CBF"/>
    <w:rsid w:val="007F58C0"/>
    <w:rsid w:val="007F59F8"/>
    <w:rsid w:val="007F5FE4"/>
    <w:rsid w:val="007F6FF8"/>
    <w:rsid w:val="007F71DE"/>
    <w:rsid w:val="007F7A8F"/>
    <w:rsid w:val="00803C4E"/>
    <w:rsid w:val="0080553C"/>
    <w:rsid w:val="00805B46"/>
    <w:rsid w:val="00805DB4"/>
    <w:rsid w:val="00811368"/>
    <w:rsid w:val="00812EAA"/>
    <w:rsid w:val="0081507A"/>
    <w:rsid w:val="00815A32"/>
    <w:rsid w:val="00817268"/>
    <w:rsid w:val="00817701"/>
    <w:rsid w:val="00817BB3"/>
    <w:rsid w:val="00820E10"/>
    <w:rsid w:val="0082105D"/>
    <w:rsid w:val="0082178F"/>
    <w:rsid w:val="00821CD9"/>
    <w:rsid w:val="00821DA7"/>
    <w:rsid w:val="008223FC"/>
    <w:rsid w:val="0082252F"/>
    <w:rsid w:val="00822B29"/>
    <w:rsid w:val="0082316E"/>
    <w:rsid w:val="00823593"/>
    <w:rsid w:val="00824D0D"/>
    <w:rsid w:val="00825D6E"/>
    <w:rsid w:val="00825DC2"/>
    <w:rsid w:val="0082710C"/>
    <w:rsid w:val="00827362"/>
    <w:rsid w:val="00827374"/>
    <w:rsid w:val="0083161B"/>
    <w:rsid w:val="00831AE5"/>
    <w:rsid w:val="008332C6"/>
    <w:rsid w:val="00834897"/>
    <w:rsid w:val="00834AD3"/>
    <w:rsid w:val="00836ADD"/>
    <w:rsid w:val="00840EE8"/>
    <w:rsid w:val="00841346"/>
    <w:rsid w:val="00842817"/>
    <w:rsid w:val="00843795"/>
    <w:rsid w:val="00843DE8"/>
    <w:rsid w:val="00844FAB"/>
    <w:rsid w:val="008451BD"/>
    <w:rsid w:val="0084593E"/>
    <w:rsid w:val="0084617F"/>
    <w:rsid w:val="00846E02"/>
    <w:rsid w:val="00846E71"/>
    <w:rsid w:val="008470AD"/>
    <w:rsid w:val="00847F0F"/>
    <w:rsid w:val="00850751"/>
    <w:rsid w:val="008507AD"/>
    <w:rsid w:val="008521FB"/>
    <w:rsid w:val="00852448"/>
    <w:rsid w:val="00853F23"/>
    <w:rsid w:val="00854F2A"/>
    <w:rsid w:val="00860806"/>
    <w:rsid w:val="008623F2"/>
    <w:rsid w:val="00867F32"/>
    <w:rsid w:val="00870CFE"/>
    <w:rsid w:val="00873000"/>
    <w:rsid w:val="00874ED9"/>
    <w:rsid w:val="00875E1E"/>
    <w:rsid w:val="008762BD"/>
    <w:rsid w:val="00877078"/>
    <w:rsid w:val="00877B8B"/>
    <w:rsid w:val="00877F6C"/>
    <w:rsid w:val="00880C6A"/>
    <w:rsid w:val="008821B2"/>
    <w:rsid w:val="008822DA"/>
    <w:rsid w:val="0088258A"/>
    <w:rsid w:val="008834E3"/>
    <w:rsid w:val="008856DE"/>
    <w:rsid w:val="00886149"/>
    <w:rsid w:val="00886332"/>
    <w:rsid w:val="0089016A"/>
    <w:rsid w:val="00890F9A"/>
    <w:rsid w:val="008925F0"/>
    <w:rsid w:val="00893ADE"/>
    <w:rsid w:val="0089448A"/>
    <w:rsid w:val="0089453F"/>
    <w:rsid w:val="00894961"/>
    <w:rsid w:val="0089543A"/>
    <w:rsid w:val="00896A49"/>
    <w:rsid w:val="00897295"/>
    <w:rsid w:val="00897877"/>
    <w:rsid w:val="00897995"/>
    <w:rsid w:val="008A17B6"/>
    <w:rsid w:val="008A26D9"/>
    <w:rsid w:val="008A4558"/>
    <w:rsid w:val="008A4630"/>
    <w:rsid w:val="008A5A28"/>
    <w:rsid w:val="008A5D49"/>
    <w:rsid w:val="008A738F"/>
    <w:rsid w:val="008A73BD"/>
    <w:rsid w:val="008A7B5B"/>
    <w:rsid w:val="008A7C8C"/>
    <w:rsid w:val="008A7F75"/>
    <w:rsid w:val="008B0E9B"/>
    <w:rsid w:val="008B12D2"/>
    <w:rsid w:val="008B6550"/>
    <w:rsid w:val="008B75D4"/>
    <w:rsid w:val="008B7B93"/>
    <w:rsid w:val="008C0C29"/>
    <w:rsid w:val="008C18D4"/>
    <w:rsid w:val="008C1CCF"/>
    <w:rsid w:val="008C2DD9"/>
    <w:rsid w:val="008C3749"/>
    <w:rsid w:val="008C7E50"/>
    <w:rsid w:val="008D02DA"/>
    <w:rsid w:val="008D05BA"/>
    <w:rsid w:val="008D313B"/>
    <w:rsid w:val="008D5177"/>
    <w:rsid w:val="008D68DF"/>
    <w:rsid w:val="008D76BC"/>
    <w:rsid w:val="008E097C"/>
    <w:rsid w:val="008E2D12"/>
    <w:rsid w:val="008E66BD"/>
    <w:rsid w:val="008E6E90"/>
    <w:rsid w:val="008E70E9"/>
    <w:rsid w:val="008E782E"/>
    <w:rsid w:val="008E7DBA"/>
    <w:rsid w:val="008F039F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14"/>
    <w:rsid w:val="008F74DF"/>
    <w:rsid w:val="008F7A89"/>
    <w:rsid w:val="00902274"/>
    <w:rsid w:val="009060BE"/>
    <w:rsid w:val="00906666"/>
    <w:rsid w:val="009066F6"/>
    <w:rsid w:val="00907B0C"/>
    <w:rsid w:val="0091012C"/>
    <w:rsid w:val="00910A45"/>
    <w:rsid w:val="009127A6"/>
    <w:rsid w:val="009127BA"/>
    <w:rsid w:val="00913134"/>
    <w:rsid w:val="00913D03"/>
    <w:rsid w:val="009145CF"/>
    <w:rsid w:val="009153F7"/>
    <w:rsid w:val="009157C4"/>
    <w:rsid w:val="0092013C"/>
    <w:rsid w:val="00920935"/>
    <w:rsid w:val="00920AAE"/>
    <w:rsid w:val="009227A6"/>
    <w:rsid w:val="00923B3A"/>
    <w:rsid w:val="00925A60"/>
    <w:rsid w:val="0092777D"/>
    <w:rsid w:val="009278C4"/>
    <w:rsid w:val="0093019B"/>
    <w:rsid w:val="00933EC1"/>
    <w:rsid w:val="00934FA9"/>
    <w:rsid w:val="0093678A"/>
    <w:rsid w:val="00940B5F"/>
    <w:rsid w:val="00941324"/>
    <w:rsid w:val="009417CB"/>
    <w:rsid w:val="009446AD"/>
    <w:rsid w:val="00944F18"/>
    <w:rsid w:val="00945B28"/>
    <w:rsid w:val="00946916"/>
    <w:rsid w:val="00947094"/>
    <w:rsid w:val="009472EF"/>
    <w:rsid w:val="0095003E"/>
    <w:rsid w:val="009506EA"/>
    <w:rsid w:val="00950796"/>
    <w:rsid w:val="00950E00"/>
    <w:rsid w:val="00951992"/>
    <w:rsid w:val="009524AB"/>
    <w:rsid w:val="009530DB"/>
    <w:rsid w:val="00953676"/>
    <w:rsid w:val="00953E79"/>
    <w:rsid w:val="00956874"/>
    <w:rsid w:val="00956F30"/>
    <w:rsid w:val="00957672"/>
    <w:rsid w:val="0096077B"/>
    <w:rsid w:val="00961210"/>
    <w:rsid w:val="00961DC0"/>
    <w:rsid w:val="0096263D"/>
    <w:rsid w:val="009642F8"/>
    <w:rsid w:val="0096690E"/>
    <w:rsid w:val="00966940"/>
    <w:rsid w:val="00966C9A"/>
    <w:rsid w:val="009705EE"/>
    <w:rsid w:val="00971F43"/>
    <w:rsid w:val="00972737"/>
    <w:rsid w:val="0097309E"/>
    <w:rsid w:val="0097435F"/>
    <w:rsid w:val="00976AC9"/>
    <w:rsid w:val="0097711E"/>
    <w:rsid w:val="00977927"/>
    <w:rsid w:val="0098135C"/>
    <w:rsid w:val="0098146F"/>
    <w:rsid w:val="0098156A"/>
    <w:rsid w:val="009819BE"/>
    <w:rsid w:val="009826BB"/>
    <w:rsid w:val="00982CC3"/>
    <w:rsid w:val="009830EF"/>
    <w:rsid w:val="00983FA7"/>
    <w:rsid w:val="009847FA"/>
    <w:rsid w:val="00986553"/>
    <w:rsid w:val="0099184B"/>
    <w:rsid w:val="00991BAC"/>
    <w:rsid w:val="009929D5"/>
    <w:rsid w:val="00992D12"/>
    <w:rsid w:val="009950C6"/>
    <w:rsid w:val="00995F6D"/>
    <w:rsid w:val="00996BED"/>
    <w:rsid w:val="00996EAD"/>
    <w:rsid w:val="0099757D"/>
    <w:rsid w:val="00997E02"/>
    <w:rsid w:val="009A2927"/>
    <w:rsid w:val="009A3E45"/>
    <w:rsid w:val="009A4A0E"/>
    <w:rsid w:val="009A63AF"/>
    <w:rsid w:val="009A68C8"/>
    <w:rsid w:val="009A6B83"/>
    <w:rsid w:val="009A6EA0"/>
    <w:rsid w:val="009B073E"/>
    <w:rsid w:val="009B1484"/>
    <w:rsid w:val="009B2899"/>
    <w:rsid w:val="009B3A92"/>
    <w:rsid w:val="009B425E"/>
    <w:rsid w:val="009B4B76"/>
    <w:rsid w:val="009B5572"/>
    <w:rsid w:val="009B56A5"/>
    <w:rsid w:val="009B69F1"/>
    <w:rsid w:val="009B7F8F"/>
    <w:rsid w:val="009C1335"/>
    <w:rsid w:val="009C1AB2"/>
    <w:rsid w:val="009C2E1A"/>
    <w:rsid w:val="009C2FB7"/>
    <w:rsid w:val="009C3C29"/>
    <w:rsid w:val="009C4A79"/>
    <w:rsid w:val="009C58FF"/>
    <w:rsid w:val="009C5FD8"/>
    <w:rsid w:val="009C61B6"/>
    <w:rsid w:val="009C7251"/>
    <w:rsid w:val="009D02C4"/>
    <w:rsid w:val="009D05F6"/>
    <w:rsid w:val="009D1D40"/>
    <w:rsid w:val="009D5D10"/>
    <w:rsid w:val="009D5FC5"/>
    <w:rsid w:val="009E2E91"/>
    <w:rsid w:val="009E3427"/>
    <w:rsid w:val="009E3BFF"/>
    <w:rsid w:val="009E4516"/>
    <w:rsid w:val="009E4D7B"/>
    <w:rsid w:val="009E517D"/>
    <w:rsid w:val="009E5988"/>
    <w:rsid w:val="009E7E01"/>
    <w:rsid w:val="009F1580"/>
    <w:rsid w:val="009F31B2"/>
    <w:rsid w:val="009F33A8"/>
    <w:rsid w:val="00A018AF"/>
    <w:rsid w:val="00A01B40"/>
    <w:rsid w:val="00A01D40"/>
    <w:rsid w:val="00A01EA3"/>
    <w:rsid w:val="00A031F5"/>
    <w:rsid w:val="00A033EC"/>
    <w:rsid w:val="00A03BD3"/>
    <w:rsid w:val="00A04526"/>
    <w:rsid w:val="00A05BC0"/>
    <w:rsid w:val="00A05C24"/>
    <w:rsid w:val="00A06450"/>
    <w:rsid w:val="00A070F2"/>
    <w:rsid w:val="00A111A0"/>
    <w:rsid w:val="00A12EAC"/>
    <w:rsid w:val="00A139F5"/>
    <w:rsid w:val="00A144A0"/>
    <w:rsid w:val="00A14E8B"/>
    <w:rsid w:val="00A159F5"/>
    <w:rsid w:val="00A20B1F"/>
    <w:rsid w:val="00A214B1"/>
    <w:rsid w:val="00A2257A"/>
    <w:rsid w:val="00A22B05"/>
    <w:rsid w:val="00A25382"/>
    <w:rsid w:val="00A25FCE"/>
    <w:rsid w:val="00A26BE1"/>
    <w:rsid w:val="00A2776C"/>
    <w:rsid w:val="00A30A27"/>
    <w:rsid w:val="00A31794"/>
    <w:rsid w:val="00A32E16"/>
    <w:rsid w:val="00A3427A"/>
    <w:rsid w:val="00A34738"/>
    <w:rsid w:val="00A35C50"/>
    <w:rsid w:val="00A365F4"/>
    <w:rsid w:val="00A42C8E"/>
    <w:rsid w:val="00A438FA"/>
    <w:rsid w:val="00A45D11"/>
    <w:rsid w:val="00A47D80"/>
    <w:rsid w:val="00A52546"/>
    <w:rsid w:val="00A5292D"/>
    <w:rsid w:val="00A53132"/>
    <w:rsid w:val="00A563F2"/>
    <w:rsid w:val="00A566E8"/>
    <w:rsid w:val="00A62C01"/>
    <w:rsid w:val="00A63DEF"/>
    <w:rsid w:val="00A656A7"/>
    <w:rsid w:val="00A66347"/>
    <w:rsid w:val="00A67E22"/>
    <w:rsid w:val="00A71B63"/>
    <w:rsid w:val="00A756D0"/>
    <w:rsid w:val="00A75EB9"/>
    <w:rsid w:val="00A75F4D"/>
    <w:rsid w:val="00A7779D"/>
    <w:rsid w:val="00A810F9"/>
    <w:rsid w:val="00A82D31"/>
    <w:rsid w:val="00A85E7E"/>
    <w:rsid w:val="00A86ECC"/>
    <w:rsid w:val="00A86FBE"/>
    <w:rsid w:val="00A86FCC"/>
    <w:rsid w:val="00A90A6D"/>
    <w:rsid w:val="00A90C27"/>
    <w:rsid w:val="00A92070"/>
    <w:rsid w:val="00A938D5"/>
    <w:rsid w:val="00A94CB6"/>
    <w:rsid w:val="00A96E59"/>
    <w:rsid w:val="00A971E5"/>
    <w:rsid w:val="00A97B13"/>
    <w:rsid w:val="00A97BB8"/>
    <w:rsid w:val="00AA1F7D"/>
    <w:rsid w:val="00AA3FD4"/>
    <w:rsid w:val="00AA710D"/>
    <w:rsid w:val="00AB1529"/>
    <w:rsid w:val="00AB163E"/>
    <w:rsid w:val="00AB3BF7"/>
    <w:rsid w:val="00AB4FBD"/>
    <w:rsid w:val="00AB6080"/>
    <w:rsid w:val="00AB64F3"/>
    <w:rsid w:val="00AB675D"/>
    <w:rsid w:val="00AB6B93"/>
    <w:rsid w:val="00AB6D25"/>
    <w:rsid w:val="00AB737E"/>
    <w:rsid w:val="00AC3E88"/>
    <w:rsid w:val="00AC6DA9"/>
    <w:rsid w:val="00AD0E56"/>
    <w:rsid w:val="00AD1712"/>
    <w:rsid w:val="00AD3E34"/>
    <w:rsid w:val="00AD3F13"/>
    <w:rsid w:val="00AD4EC5"/>
    <w:rsid w:val="00AD6A0A"/>
    <w:rsid w:val="00AD7D05"/>
    <w:rsid w:val="00AD7D8E"/>
    <w:rsid w:val="00AE02BB"/>
    <w:rsid w:val="00AE1A1C"/>
    <w:rsid w:val="00AE1AC8"/>
    <w:rsid w:val="00AE21A9"/>
    <w:rsid w:val="00AE229B"/>
    <w:rsid w:val="00AE2C37"/>
    <w:rsid w:val="00AE2D4B"/>
    <w:rsid w:val="00AE3D6B"/>
    <w:rsid w:val="00AE4F99"/>
    <w:rsid w:val="00AE5E64"/>
    <w:rsid w:val="00AE68EE"/>
    <w:rsid w:val="00AF1ADD"/>
    <w:rsid w:val="00AF4696"/>
    <w:rsid w:val="00AF5110"/>
    <w:rsid w:val="00AF5213"/>
    <w:rsid w:val="00AF61D9"/>
    <w:rsid w:val="00B00C56"/>
    <w:rsid w:val="00B0228D"/>
    <w:rsid w:val="00B0232C"/>
    <w:rsid w:val="00B03B2C"/>
    <w:rsid w:val="00B0695A"/>
    <w:rsid w:val="00B10993"/>
    <w:rsid w:val="00B119E8"/>
    <w:rsid w:val="00B11B69"/>
    <w:rsid w:val="00B12205"/>
    <w:rsid w:val="00B12E02"/>
    <w:rsid w:val="00B14349"/>
    <w:rsid w:val="00B14952"/>
    <w:rsid w:val="00B152BF"/>
    <w:rsid w:val="00B16871"/>
    <w:rsid w:val="00B16D33"/>
    <w:rsid w:val="00B17CDE"/>
    <w:rsid w:val="00B20DD4"/>
    <w:rsid w:val="00B2287E"/>
    <w:rsid w:val="00B22907"/>
    <w:rsid w:val="00B2368A"/>
    <w:rsid w:val="00B25067"/>
    <w:rsid w:val="00B2540E"/>
    <w:rsid w:val="00B25AD4"/>
    <w:rsid w:val="00B25B45"/>
    <w:rsid w:val="00B30824"/>
    <w:rsid w:val="00B31E5A"/>
    <w:rsid w:val="00B32F30"/>
    <w:rsid w:val="00B32F8B"/>
    <w:rsid w:val="00B340A6"/>
    <w:rsid w:val="00B34D0E"/>
    <w:rsid w:val="00B4052C"/>
    <w:rsid w:val="00B41803"/>
    <w:rsid w:val="00B41DDD"/>
    <w:rsid w:val="00B423D1"/>
    <w:rsid w:val="00B4380A"/>
    <w:rsid w:val="00B448F2"/>
    <w:rsid w:val="00B44A8B"/>
    <w:rsid w:val="00B44E2C"/>
    <w:rsid w:val="00B4650C"/>
    <w:rsid w:val="00B47359"/>
    <w:rsid w:val="00B47D00"/>
    <w:rsid w:val="00B47DE7"/>
    <w:rsid w:val="00B50BCA"/>
    <w:rsid w:val="00B50F80"/>
    <w:rsid w:val="00B52640"/>
    <w:rsid w:val="00B54A91"/>
    <w:rsid w:val="00B5546D"/>
    <w:rsid w:val="00B56E7C"/>
    <w:rsid w:val="00B61841"/>
    <w:rsid w:val="00B61BD5"/>
    <w:rsid w:val="00B644CF"/>
    <w:rsid w:val="00B653AB"/>
    <w:rsid w:val="00B65F9E"/>
    <w:rsid w:val="00B66B19"/>
    <w:rsid w:val="00B67BFF"/>
    <w:rsid w:val="00B67C6F"/>
    <w:rsid w:val="00B7386E"/>
    <w:rsid w:val="00B7572E"/>
    <w:rsid w:val="00B762AC"/>
    <w:rsid w:val="00B77C73"/>
    <w:rsid w:val="00B8006D"/>
    <w:rsid w:val="00B809A7"/>
    <w:rsid w:val="00B81EC1"/>
    <w:rsid w:val="00B82ECB"/>
    <w:rsid w:val="00B8326C"/>
    <w:rsid w:val="00B84320"/>
    <w:rsid w:val="00B84C43"/>
    <w:rsid w:val="00B84C64"/>
    <w:rsid w:val="00B8626A"/>
    <w:rsid w:val="00B90BDB"/>
    <w:rsid w:val="00B91424"/>
    <w:rsid w:val="00B914E9"/>
    <w:rsid w:val="00B92903"/>
    <w:rsid w:val="00B93242"/>
    <w:rsid w:val="00B935C9"/>
    <w:rsid w:val="00B956EE"/>
    <w:rsid w:val="00B962CB"/>
    <w:rsid w:val="00B97589"/>
    <w:rsid w:val="00BA0078"/>
    <w:rsid w:val="00BA0F12"/>
    <w:rsid w:val="00BA1968"/>
    <w:rsid w:val="00BA28A5"/>
    <w:rsid w:val="00BA2B4B"/>
    <w:rsid w:val="00BA2BA1"/>
    <w:rsid w:val="00BA3447"/>
    <w:rsid w:val="00BA3562"/>
    <w:rsid w:val="00BA372C"/>
    <w:rsid w:val="00BA536A"/>
    <w:rsid w:val="00BA71F8"/>
    <w:rsid w:val="00BA75E2"/>
    <w:rsid w:val="00BB002B"/>
    <w:rsid w:val="00BB062C"/>
    <w:rsid w:val="00BB1CE2"/>
    <w:rsid w:val="00BB282B"/>
    <w:rsid w:val="00BB4BF3"/>
    <w:rsid w:val="00BB4F09"/>
    <w:rsid w:val="00BB54B5"/>
    <w:rsid w:val="00BB56D5"/>
    <w:rsid w:val="00BB5A5F"/>
    <w:rsid w:val="00BB5F38"/>
    <w:rsid w:val="00BB79E6"/>
    <w:rsid w:val="00BC049B"/>
    <w:rsid w:val="00BC0891"/>
    <w:rsid w:val="00BC1B0E"/>
    <w:rsid w:val="00BC2717"/>
    <w:rsid w:val="00BC30D8"/>
    <w:rsid w:val="00BC3D97"/>
    <w:rsid w:val="00BC58FB"/>
    <w:rsid w:val="00BC5E8A"/>
    <w:rsid w:val="00BD0189"/>
    <w:rsid w:val="00BD1051"/>
    <w:rsid w:val="00BD142C"/>
    <w:rsid w:val="00BD45FD"/>
    <w:rsid w:val="00BD4E33"/>
    <w:rsid w:val="00BD6CE9"/>
    <w:rsid w:val="00BD6E8E"/>
    <w:rsid w:val="00BE1715"/>
    <w:rsid w:val="00BE2213"/>
    <w:rsid w:val="00BE2340"/>
    <w:rsid w:val="00BE4524"/>
    <w:rsid w:val="00BE57F8"/>
    <w:rsid w:val="00BE5A8A"/>
    <w:rsid w:val="00BE5C69"/>
    <w:rsid w:val="00BF02AE"/>
    <w:rsid w:val="00BF0619"/>
    <w:rsid w:val="00BF0E3F"/>
    <w:rsid w:val="00BF21F6"/>
    <w:rsid w:val="00BF2477"/>
    <w:rsid w:val="00BF2B62"/>
    <w:rsid w:val="00BF2EA0"/>
    <w:rsid w:val="00BF35B3"/>
    <w:rsid w:val="00BF568E"/>
    <w:rsid w:val="00BF78D0"/>
    <w:rsid w:val="00BF7956"/>
    <w:rsid w:val="00C01F60"/>
    <w:rsid w:val="00C030DE"/>
    <w:rsid w:val="00C04E7A"/>
    <w:rsid w:val="00C051A8"/>
    <w:rsid w:val="00C05A43"/>
    <w:rsid w:val="00C10B01"/>
    <w:rsid w:val="00C10BC5"/>
    <w:rsid w:val="00C11C57"/>
    <w:rsid w:val="00C12511"/>
    <w:rsid w:val="00C131D4"/>
    <w:rsid w:val="00C138B5"/>
    <w:rsid w:val="00C15797"/>
    <w:rsid w:val="00C16BFF"/>
    <w:rsid w:val="00C17369"/>
    <w:rsid w:val="00C178DB"/>
    <w:rsid w:val="00C22105"/>
    <w:rsid w:val="00C22A86"/>
    <w:rsid w:val="00C244B6"/>
    <w:rsid w:val="00C2587F"/>
    <w:rsid w:val="00C27BF1"/>
    <w:rsid w:val="00C33EE9"/>
    <w:rsid w:val="00C3505F"/>
    <w:rsid w:val="00C3702F"/>
    <w:rsid w:val="00C37602"/>
    <w:rsid w:val="00C37793"/>
    <w:rsid w:val="00C42CCC"/>
    <w:rsid w:val="00C44B3D"/>
    <w:rsid w:val="00C4500A"/>
    <w:rsid w:val="00C464AF"/>
    <w:rsid w:val="00C46854"/>
    <w:rsid w:val="00C46FD4"/>
    <w:rsid w:val="00C501DD"/>
    <w:rsid w:val="00C5077C"/>
    <w:rsid w:val="00C52613"/>
    <w:rsid w:val="00C52620"/>
    <w:rsid w:val="00C54145"/>
    <w:rsid w:val="00C57012"/>
    <w:rsid w:val="00C572B8"/>
    <w:rsid w:val="00C60599"/>
    <w:rsid w:val="00C618C7"/>
    <w:rsid w:val="00C62238"/>
    <w:rsid w:val="00C623AD"/>
    <w:rsid w:val="00C6351A"/>
    <w:rsid w:val="00C64A37"/>
    <w:rsid w:val="00C7158E"/>
    <w:rsid w:val="00C7250B"/>
    <w:rsid w:val="00C7346B"/>
    <w:rsid w:val="00C76861"/>
    <w:rsid w:val="00C77C0E"/>
    <w:rsid w:val="00C80C48"/>
    <w:rsid w:val="00C81C45"/>
    <w:rsid w:val="00C8476E"/>
    <w:rsid w:val="00C86901"/>
    <w:rsid w:val="00C874F4"/>
    <w:rsid w:val="00C87E7F"/>
    <w:rsid w:val="00C91149"/>
    <w:rsid w:val="00C91687"/>
    <w:rsid w:val="00C91D88"/>
    <w:rsid w:val="00C924A8"/>
    <w:rsid w:val="00C92698"/>
    <w:rsid w:val="00C94432"/>
    <w:rsid w:val="00C945FE"/>
    <w:rsid w:val="00C96ECF"/>
    <w:rsid w:val="00C96FAA"/>
    <w:rsid w:val="00C97129"/>
    <w:rsid w:val="00C975EB"/>
    <w:rsid w:val="00C97A04"/>
    <w:rsid w:val="00CA039B"/>
    <w:rsid w:val="00CA107B"/>
    <w:rsid w:val="00CA171E"/>
    <w:rsid w:val="00CA431D"/>
    <w:rsid w:val="00CA484D"/>
    <w:rsid w:val="00CA4FB6"/>
    <w:rsid w:val="00CB14DB"/>
    <w:rsid w:val="00CB2F90"/>
    <w:rsid w:val="00CB4299"/>
    <w:rsid w:val="00CB47C4"/>
    <w:rsid w:val="00CB65D5"/>
    <w:rsid w:val="00CB6AD4"/>
    <w:rsid w:val="00CB6C3A"/>
    <w:rsid w:val="00CC020C"/>
    <w:rsid w:val="00CC051D"/>
    <w:rsid w:val="00CC40D2"/>
    <w:rsid w:val="00CC4CD8"/>
    <w:rsid w:val="00CC739E"/>
    <w:rsid w:val="00CD1055"/>
    <w:rsid w:val="00CD1EBB"/>
    <w:rsid w:val="00CD2277"/>
    <w:rsid w:val="00CD28CF"/>
    <w:rsid w:val="00CD2AA9"/>
    <w:rsid w:val="00CD320E"/>
    <w:rsid w:val="00CD5870"/>
    <w:rsid w:val="00CD58B7"/>
    <w:rsid w:val="00CD5BE3"/>
    <w:rsid w:val="00CD6224"/>
    <w:rsid w:val="00CD68F5"/>
    <w:rsid w:val="00CD7967"/>
    <w:rsid w:val="00CE101E"/>
    <w:rsid w:val="00CE1BC8"/>
    <w:rsid w:val="00CE3A3F"/>
    <w:rsid w:val="00CE6B42"/>
    <w:rsid w:val="00CF18EE"/>
    <w:rsid w:val="00CF30BD"/>
    <w:rsid w:val="00CF4099"/>
    <w:rsid w:val="00CF6937"/>
    <w:rsid w:val="00CF6E8B"/>
    <w:rsid w:val="00D00796"/>
    <w:rsid w:val="00D01848"/>
    <w:rsid w:val="00D0375A"/>
    <w:rsid w:val="00D044BF"/>
    <w:rsid w:val="00D07127"/>
    <w:rsid w:val="00D10A04"/>
    <w:rsid w:val="00D10E71"/>
    <w:rsid w:val="00D15B67"/>
    <w:rsid w:val="00D15D16"/>
    <w:rsid w:val="00D16455"/>
    <w:rsid w:val="00D16CE6"/>
    <w:rsid w:val="00D16FA9"/>
    <w:rsid w:val="00D2095E"/>
    <w:rsid w:val="00D223FE"/>
    <w:rsid w:val="00D2245B"/>
    <w:rsid w:val="00D22FB5"/>
    <w:rsid w:val="00D261A2"/>
    <w:rsid w:val="00D308F3"/>
    <w:rsid w:val="00D33104"/>
    <w:rsid w:val="00D33455"/>
    <w:rsid w:val="00D35DA0"/>
    <w:rsid w:val="00D36272"/>
    <w:rsid w:val="00D374AC"/>
    <w:rsid w:val="00D3774D"/>
    <w:rsid w:val="00D41854"/>
    <w:rsid w:val="00D4271A"/>
    <w:rsid w:val="00D428F6"/>
    <w:rsid w:val="00D471C1"/>
    <w:rsid w:val="00D475EF"/>
    <w:rsid w:val="00D5187E"/>
    <w:rsid w:val="00D5328F"/>
    <w:rsid w:val="00D54DD4"/>
    <w:rsid w:val="00D55DD3"/>
    <w:rsid w:val="00D56F40"/>
    <w:rsid w:val="00D576E6"/>
    <w:rsid w:val="00D579C6"/>
    <w:rsid w:val="00D603E9"/>
    <w:rsid w:val="00D60E4F"/>
    <w:rsid w:val="00D61003"/>
    <w:rsid w:val="00D6114D"/>
    <w:rsid w:val="00D616D2"/>
    <w:rsid w:val="00D62B26"/>
    <w:rsid w:val="00D63B42"/>
    <w:rsid w:val="00D63B5F"/>
    <w:rsid w:val="00D64926"/>
    <w:rsid w:val="00D654E1"/>
    <w:rsid w:val="00D67567"/>
    <w:rsid w:val="00D6767A"/>
    <w:rsid w:val="00D67740"/>
    <w:rsid w:val="00D70EF7"/>
    <w:rsid w:val="00D71F51"/>
    <w:rsid w:val="00D733C8"/>
    <w:rsid w:val="00D734A0"/>
    <w:rsid w:val="00D743A1"/>
    <w:rsid w:val="00D765EC"/>
    <w:rsid w:val="00D7673F"/>
    <w:rsid w:val="00D776FE"/>
    <w:rsid w:val="00D77B72"/>
    <w:rsid w:val="00D77E00"/>
    <w:rsid w:val="00D80417"/>
    <w:rsid w:val="00D80EEA"/>
    <w:rsid w:val="00D8160C"/>
    <w:rsid w:val="00D81AD7"/>
    <w:rsid w:val="00D820D5"/>
    <w:rsid w:val="00D837C9"/>
    <w:rsid w:val="00D8397C"/>
    <w:rsid w:val="00D85DFE"/>
    <w:rsid w:val="00D86572"/>
    <w:rsid w:val="00D8721F"/>
    <w:rsid w:val="00D87623"/>
    <w:rsid w:val="00D87767"/>
    <w:rsid w:val="00D9217E"/>
    <w:rsid w:val="00D92D59"/>
    <w:rsid w:val="00D948AC"/>
    <w:rsid w:val="00D94EED"/>
    <w:rsid w:val="00D95125"/>
    <w:rsid w:val="00D96026"/>
    <w:rsid w:val="00D96AF7"/>
    <w:rsid w:val="00D972F6"/>
    <w:rsid w:val="00DA31AF"/>
    <w:rsid w:val="00DA331D"/>
    <w:rsid w:val="00DA432B"/>
    <w:rsid w:val="00DA58B9"/>
    <w:rsid w:val="00DA785D"/>
    <w:rsid w:val="00DA7C1C"/>
    <w:rsid w:val="00DB147A"/>
    <w:rsid w:val="00DB1B7A"/>
    <w:rsid w:val="00DB3126"/>
    <w:rsid w:val="00DB5F77"/>
    <w:rsid w:val="00DB706E"/>
    <w:rsid w:val="00DB7CAC"/>
    <w:rsid w:val="00DC5A9A"/>
    <w:rsid w:val="00DC5F74"/>
    <w:rsid w:val="00DC60A8"/>
    <w:rsid w:val="00DC6708"/>
    <w:rsid w:val="00DD011A"/>
    <w:rsid w:val="00DD3FF1"/>
    <w:rsid w:val="00DE0422"/>
    <w:rsid w:val="00DE092D"/>
    <w:rsid w:val="00DE235A"/>
    <w:rsid w:val="00DE2400"/>
    <w:rsid w:val="00DE2CEB"/>
    <w:rsid w:val="00DE458B"/>
    <w:rsid w:val="00DE58F1"/>
    <w:rsid w:val="00DE63B5"/>
    <w:rsid w:val="00DE6B58"/>
    <w:rsid w:val="00DE7C20"/>
    <w:rsid w:val="00DF201C"/>
    <w:rsid w:val="00DF4F99"/>
    <w:rsid w:val="00DF587A"/>
    <w:rsid w:val="00DF5AE6"/>
    <w:rsid w:val="00DF5E32"/>
    <w:rsid w:val="00E00B3B"/>
    <w:rsid w:val="00E01436"/>
    <w:rsid w:val="00E02920"/>
    <w:rsid w:val="00E03E79"/>
    <w:rsid w:val="00E045BD"/>
    <w:rsid w:val="00E04D6C"/>
    <w:rsid w:val="00E05867"/>
    <w:rsid w:val="00E06F14"/>
    <w:rsid w:val="00E11D57"/>
    <w:rsid w:val="00E12676"/>
    <w:rsid w:val="00E12882"/>
    <w:rsid w:val="00E12B73"/>
    <w:rsid w:val="00E13877"/>
    <w:rsid w:val="00E1731E"/>
    <w:rsid w:val="00E17B77"/>
    <w:rsid w:val="00E20FA8"/>
    <w:rsid w:val="00E2193F"/>
    <w:rsid w:val="00E231AB"/>
    <w:rsid w:val="00E23337"/>
    <w:rsid w:val="00E23D97"/>
    <w:rsid w:val="00E24094"/>
    <w:rsid w:val="00E24A99"/>
    <w:rsid w:val="00E259EA"/>
    <w:rsid w:val="00E25D33"/>
    <w:rsid w:val="00E26E99"/>
    <w:rsid w:val="00E30C8F"/>
    <w:rsid w:val="00E31705"/>
    <w:rsid w:val="00E32061"/>
    <w:rsid w:val="00E3328A"/>
    <w:rsid w:val="00E33F48"/>
    <w:rsid w:val="00E347B4"/>
    <w:rsid w:val="00E355ED"/>
    <w:rsid w:val="00E37C3B"/>
    <w:rsid w:val="00E40D45"/>
    <w:rsid w:val="00E40DBE"/>
    <w:rsid w:val="00E41DE9"/>
    <w:rsid w:val="00E42516"/>
    <w:rsid w:val="00E42FF9"/>
    <w:rsid w:val="00E43455"/>
    <w:rsid w:val="00E44790"/>
    <w:rsid w:val="00E450E8"/>
    <w:rsid w:val="00E45817"/>
    <w:rsid w:val="00E47130"/>
    <w:rsid w:val="00E4714C"/>
    <w:rsid w:val="00E515B4"/>
    <w:rsid w:val="00E5178D"/>
    <w:rsid w:val="00E51AEB"/>
    <w:rsid w:val="00E522A7"/>
    <w:rsid w:val="00E5349E"/>
    <w:rsid w:val="00E53C78"/>
    <w:rsid w:val="00E53D65"/>
    <w:rsid w:val="00E54452"/>
    <w:rsid w:val="00E575B4"/>
    <w:rsid w:val="00E63B0C"/>
    <w:rsid w:val="00E63C60"/>
    <w:rsid w:val="00E6400D"/>
    <w:rsid w:val="00E65E03"/>
    <w:rsid w:val="00E65E0B"/>
    <w:rsid w:val="00E664C5"/>
    <w:rsid w:val="00E669B0"/>
    <w:rsid w:val="00E671A2"/>
    <w:rsid w:val="00E67A77"/>
    <w:rsid w:val="00E714AA"/>
    <w:rsid w:val="00E749AE"/>
    <w:rsid w:val="00E765D5"/>
    <w:rsid w:val="00E76720"/>
    <w:rsid w:val="00E76D26"/>
    <w:rsid w:val="00E76EB4"/>
    <w:rsid w:val="00E76EE5"/>
    <w:rsid w:val="00E777A6"/>
    <w:rsid w:val="00E80544"/>
    <w:rsid w:val="00E824FE"/>
    <w:rsid w:val="00E85248"/>
    <w:rsid w:val="00E85BAA"/>
    <w:rsid w:val="00E8733E"/>
    <w:rsid w:val="00E87AAD"/>
    <w:rsid w:val="00E921CE"/>
    <w:rsid w:val="00E93580"/>
    <w:rsid w:val="00E93FBD"/>
    <w:rsid w:val="00E95036"/>
    <w:rsid w:val="00E95B8E"/>
    <w:rsid w:val="00E95C69"/>
    <w:rsid w:val="00E95E75"/>
    <w:rsid w:val="00EA1A17"/>
    <w:rsid w:val="00EA1EAC"/>
    <w:rsid w:val="00EA1EEE"/>
    <w:rsid w:val="00EA36A3"/>
    <w:rsid w:val="00EA53B0"/>
    <w:rsid w:val="00EA55C6"/>
    <w:rsid w:val="00EA59DE"/>
    <w:rsid w:val="00EA59ED"/>
    <w:rsid w:val="00EA6761"/>
    <w:rsid w:val="00EA6895"/>
    <w:rsid w:val="00EA69DB"/>
    <w:rsid w:val="00EB011C"/>
    <w:rsid w:val="00EB0830"/>
    <w:rsid w:val="00EB11D0"/>
    <w:rsid w:val="00EB1390"/>
    <w:rsid w:val="00EB17A4"/>
    <w:rsid w:val="00EB2C71"/>
    <w:rsid w:val="00EB3333"/>
    <w:rsid w:val="00EB37C2"/>
    <w:rsid w:val="00EB3CCB"/>
    <w:rsid w:val="00EB4340"/>
    <w:rsid w:val="00EB4B4A"/>
    <w:rsid w:val="00EB556D"/>
    <w:rsid w:val="00EB5A7D"/>
    <w:rsid w:val="00EB6532"/>
    <w:rsid w:val="00EB73BC"/>
    <w:rsid w:val="00EC0073"/>
    <w:rsid w:val="00EC0527"/>
    <w:rsid w:val="00EC0E84"/>
    <w:rsid w:val="00EC1D77"/>
    <w:rsid w:val="00EC2BEA"/>
    <w:rsid w:val="00EC329B"/>
    <w:rsid w:val="00EC71FD"/>
    <w:rsid w:val="00ED17A7"/>
    <w:rsid w:val="00ED1D4D"/>
    <w:rsid w:val="00ED4C6D"/>
    <w:rsid w:val="00ED55C0"/>
    <w:rsid w:val="00ED682B"/>
    <w:rsid w:val="00ED75DA"/>
    <w:rsid w:val="00EE09B7"/>
    <w:rsid w:val="00EE41D5"/>
    <w:rsid w:val="00EE481C"/>
    <w:rsid w:val="00EE5217"/>
    <w:rsid w:val="00EE5C25"/>
    <w:rsid w:val="00EE6552"/>
    <w:rsid w:val="00EE6872"/>
    <w:rsid w:val="00EF00B4"/>
    <w:rsid w:val="00EF1172"/>
    <w:rsid w:val="00EF1EBD"/>
    <w:rsid w:val="00EF1FDB"/>
    <w:rsid w:val="00EF2502"/>
    <w:rsid w:val="00EF3ACB"/>
    <w:rsid w:val="00EF6434"/>
    <w:rsid w:val="00EF6FD4"/>
    <w:rsid w:val="00EF7AFB"/>
    <w:rsid w:val="00EF7BDF"/>
    <w:rsid w:val="00F01205"/>
    <w:rsid w:val="00F0166F"/>
    <w:rsid w:val="00F026BC"/>
    <w:rsid w:val="00F037A4"/>
    <w:rsid w:val="00F04818"/>
    <w:rsid w:val="00F049AB"/>
    <w:rsid w:val="00F05479"/>
    <w:rsid w:val="00F06A18"/>
    <w:rsid w:val="00F07456"/>
    <w:rsid w:val="00F07B1D"/>
    <w:rsid w:val="00F11016"/>
    <w:rsid w:val="00F11F49"/>
    <w:rsid w:val="00F142DB"/>
    <w:rsid w:val="00F143B9"/>
    <w:rsid w:val="00F15997"/>
    <w:rsid w:val="00F208A9"/>
    <w:rsid w:val="00F20F97"/>
    <w:rsid w:val="00F225D2"/>
    <w:rsid w:val="00F22694"/>
    <w:rsid w:val="00F22C7D"/>
    <w:rsid w:val="00F2610D"/>
    <w:rsid w:val="00F27A2E"/>
    <w:rsid w:val="00F27C4F"/>
    <w:rsid w:val="00F27C8F"/>
    <w:rsid w:val="00F301C7"/>
    <w:rsid w:val="00F30587"/>
    <w:rsid w:val="00F32749"/>
    <w:rsid w:val="00F33FD9"/>
    <w:rsid w:val="00F35B0D"/>
    <w:rsid w:val="00F37172"/>
    <w:rsid w:val="00F37A43"/>
    <w:rsid w:val="00F41ABE"/>
    <w:rsid w:val="00F41AE5"/>
    <w:rsid w:val="00F43F4B"/>
    <w:rsid w:val="00F4477E"/>
    <w:rsid w:val="00F4541D"/>
    <w:rsid w:val="00F4621E"/>
    <w:rsid w:val="00F46269"/>
    <w:rsid w:val="00F471AC"/>
    <w:rsid w:val="00F47E2C"/>
    <w:rsid w:val="00F47F74"/>
    <w:rsid w:val="00F51BEF"/>
    <w:rsid w:val="00F5263E"/>
    <w:rsid w:val="00F5416E"/>
    <w:rsid w:val="00F606DB"/>
    <w:rsid w:val="00F60BA8"/>
    <w:rsid w:val="00F63C8F"/>
    <w:rsid w:val="00F652BE"/>
    <w:rsid w:val="00F67D8F"/>
    <w:rsid w:val="00F712CE"/>
    <w:rsid w:val="00F71FAF"/>
    <w:rsid w:val="00F75117"/>
    <w:rsid w:val="00F75C90"/>
    <w:rsid w:val="00F77228"/>
    <w:rsid w:val="00F802BE"/>
    <w:rsid w:val="00F803B2"/>
    <w:rsid w:val="00F80E93"/>
    <w:rsid w:val="00F80F38"/>
    <w:rsid w:val="00F81ED7"/>
    <w:rsid w:val="00F82A7A"/>
    <w:rsid w:val="00F85164"/>
    <w:rsid w:val="00F86024"/>
    <w:rsid w:val="00F8611A"/>
    <w:rsid w:val="00F86444"/>
    <w:rsid w:val="00F869C1"/>
    <w:rsid w:val="00F86B86"/>
    <w:rsid w:val="00F8708B"/>
    <w:rsid w:val="00F87591"/>
    <w:rsid w:val="00F87A3A"/>
    <w:rsid w:val="00F87C2A"/>
    <w:rsid w:val="00F93103"/>
    <w:rsid w:val="00F9478F"/>
    <w:rsid w:val="00F94E3C"/>
    <w:rsid w:val="00F957DB"/>
    <w:rsid w:val="00F957F5"/>
    <w:rsid w:val="00F96046"/>
    <w:rsid w:val="00F97B2B"/>
    <w:rsid w:val="00FA337E"/>
    <w:rsid w:val="00FA5128"/>
    <w:rsid w:val="00FA525E"/>
    <w:rsid w:val="00FA5E94"/>
    <w:rsid w:val="00FA62BC"/>
    <w:rsid w:val="00FA6429"/>
    <w:rsid w:val="00FA6511"/>
    <w:rsid w:val="00FA6A83"/>
    <w:rsid w:val="00FB3156"/>
    <w:rsid w:val="00FB42D4"/>
    <w:rsid w:val="00FB5252"/>
    <w:rsid w:val="00FB5906"/>
    <w:rsid w:val="00FB6382"/>
    <w:rsid w:val="00FB762F"/>
    <w:rsid w:val="00FC2AED"/>
    <w:rsid w:val="00FC3135"/>
    <w:rsid w:val="00FC483C"/>
    <w:rsid w:val="00FC6DA3"/>
    <w:rsid w:val="00FD03D1"/>
    <w:rsid w:val="00FD08AE"/>
    <w:rsid w:val="00FD1AB1"/>
    <w:rsid w:val="00FD1E89"/>
    <w:rsid w:val="00FD3F39"/>
    <w:rsid w:val="00FD47C9"/>
    <w:rsid w:val="00FD5EA7"/>
    <w:rsid w:val="00FD6299"/>
    <w:rsid w:val="00FE196E"/>
    <w:rsid w:val="00FE3029"/>
    <w:rsid w:val="00FE36CF"/>
    <w:rsid w:val="00FE7E43"/>
    <w:rsid w:val="00FE7F55"/>
    <w:rsid w:val="00FF0246"/>
    <w:rsid w:val="00FF20D4"/>
    <w:rsid w:val="00FF5E74"/>
    <w:rsid w:val="00FF6C47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0CBA1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1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3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podmioty-gospodarcze-wyniki-finansowe/przedsiebiorstwa-niefinansowe/wyniki-finansowe-przedsiebiorstw-niefinansowych-w-3-kwartale-2025-r-,12,61.html" TargetMode="External"/><Relationship Id="rId39" Type="http://schemas.openxmlformats.org/officeDocument/2006/relationships/hyperlink" Target="http://stat.gov.pl/metainformacje/slownik-pojec/pojecia-stosowane-w-statystyce-publicznej/223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583,pojecie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dbw.stat.gov.pl/dashboard/111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613,pojecie.html" TargetMode="External"/><Relationship Id="rId37" Type="http://schemas.openxmlformats.org/officeDocument/2006/relationships/hyperlink" Target="http://stat.gov.pl/metainformacje/slownik-pojec/pojecia-stosowane-w-statystyce-publicznej/584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metainformacje/slownik-pojec/pojecia-stosowane-w-statystyce-publicznej/588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stat.gov.pl/metainformacje/slownik-pojec/pojecia-stosowane-w-statystyce-publicznej/39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587,pojecie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12026,4,170.html" TargetMode="External"/><Relationship Id="rId33" Type="http://schemas.openxmlformats.org/officeDocument/2006/relationships/hyperlink" Target="http://stat.gov.pl/metainformacje/slownik-pojec/pojecia-stosowane-w-statystyce-publicznej/615,pojecie.html" TargetMode="External"/><Relationship Id="rId38" Type="http://schemas.openxmlformats.org/officeDocument/2006/relationships/hyperlink" Target="http://stat.gov.pl/metainformacje/slownik-pojec/pojecia-stosowane-w-statystyce-publicznej/58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purl.org/dc/terms/"/>
    <ds:schemaRef ds:uri="http://purl.org/dc/dcmitype/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5B5E48-017A-441F-B888-F4E54F33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6</Pages>
  <Words>1806</Words>
  <Characters>10840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 niefinansowych w 3 kwartale 2025 r.</vt:lpstr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niefinansowych w 2025 r.</dc:title>
  <dc:subject/>
  <dc:creator>Główny Urząd Statystyczny</dc:creator>
  <dc:description/>
  <cp:lastPrinted>2025-05-23T07:22:00Z</cp:lastPrinted>
  <dcterms:created xsi:type="dcterms:W3CDTF">2025-08-20T13:55:00Z</dcterms:created>
  <dcterms:modified xsi:type="dcterms:W3CDTF">2026-03-20T13:05:00Z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