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45163371" w:rsidR="00393761" w:rsidRPr="00B81F77" w:rsidRDefault="00994BF6" w:rsidP="003C0C8B">
      <w:pPr>
        <w:pStyle w:val="Nagwek1"/>
        <w:rPr>
          <w:lang w:val="pl-PL"/>
        </w:rPr>
      </w:pPr>
      <w:r w:rsidRPr="00B81F77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E95E41A">
                <wp:simplePos x="0" y="0"/>
                <wp:positionH relativeFrom="margin">
                  <wp:posOffset>-15240</wp:posOffset>
                </wp:positionH>
                <wp:positionV relativeFrom="paragraph">
                  <wp:posOffset>775335</wp:posOffset>
                </wp:positionV>
                <wp:extent cx="2204085" cy="1424940"/>
                <wp:effectExtent l="0" t="0" r="5715" b="3810"/>
                <wp:wrapSquare wrapText="bothSides"/>
                <wp:docPr id="6" name="Pole tekstowe 2" descr="Ikona strzałki skierowana grotem w górę oznaczająca wzrost liczby podmiotów zaliczanych do przemysłów kultury i kreatywnych o 15,8% w porównaniu z 2023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49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43EA4203" w:rsidR="00C10786" w:rsidRPr="00994BF6" w:rsidRDefault="00C10786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994BF6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994BF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15,8%</w:t>
                            </w:r>
                          </w:p>
                          <w:p w14:paraId="63B3F253" w14:textId="5B5E1F15" w:rsidR="00C10786" w:rsidRPr="00994BF6" w:rsidRDefault="00C10786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994BF6">
                              <w:t>Wzrost liczby podmiotów zaliczanych do przemysłów kultury i kreatywnych w</w:t>
                            </w:r>
                            <w:r>
                              <w:t> </w:t>
                            </w:r>
                            <w:r w:rsidRPr="00994BF6">
                              <w:t>porównaniu z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Ikona strzałki skierowana grotem w górę oznaczająca wzrost liczby podmiotów zaliczanych do przemysłów kultury i kreatywnych o 15,8% w porównaniu z 2023 r. " style="position:absolute;margin-left:-1.2pt;margin-top:61.05pt;width:173.55pt;height:112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" fillcolor="#001d77" stroked="f">
                <v:stroke joinstyle="miter"/>
                <v:textbox>
                  <w:txbxContent>
                    <w:p w14:paraId="56D1096E" w14:textId="43EA4203" w:rsidR="00C10786" w:rsidRPr="00994BF6" w:rsidRDefault="00C10786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994BF6">
                        <w:rPr>
                          <w:rStyle w:val="WartowskanikaZnak"/>
                        </w:rPr>
                        <w:t xml:space="preserve"> </w:t>
                      </w:r>
                      <w:r w:rsidRPr="00994BF6">
                        <w:rPr>
                          <w:rStyle w:val="WartowskanikaZnak"/>
                          <w:sz w:val="72"/>
                          <w:szCs w:val="72"/>
                        </w:rPr>
                        <w:t>15,8%</w:t>
                      </w:r>
                    </w:p>
                    <w:p w14:paraId="63B3F253" w14:textId="5B5E1F15" w:rsidR="00C10786" w:rsidRPr="00994BF6" w:rsidRDefault="00C10786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994BF6">
                        <w:t>Wzrost liczby podmiotów zaliczanych do przemysłów kultury i kreatywnych w</w:t>
                      </w:r>
                      <w:r>
                        <w:t> </w:t>
                      </w:r>
                      <w:r w:rsidRPr="00994BF6">
                        <w:t>porównaniu z 2023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36FCB" w:rsidRPr="00B81F77">
        <w:rPr>
          <w:lang w:val="pl-PL"/>
        </w:rPr>
        <w:t>Przemysły kultury i kreatywne w 2024 r.</w:t>
      </w:r>
    </w:p>
    <w:p w14:paraId="66FB3A39" w14:textId="3BD9D1B1" w:rsidR="00FD66A6" w:rsidRDefault="00994BF6" w:rsidP="00FD66A6">
      <w:pPr>
        <w:pStyle w:val="Lead"/>
        <w:spacing w:after="360"/>
      </w:pPr>
      <w:r w:rsidRPr="00B81F77">
        <w:t>W 2024 r. działalność prowadziło 143,7 tys. przedsiębiorstw zaliczanych do przemysłów kultury i kreatywnych. Liczba pracujących wyniosła 281,0 tys. osób</w:t>
      </w:r>
      <w:r w:rsidR="00AD2196">
        <w:t xml:space="preserve"> (wzrost o 18,7%)</w:t>
      </w:r>
      <w:r w:rsidRPr="00B81F77">
        <w:t>, a</w:t>
      </w:r>
      <w:r w:rsidR="00FD66A6">
        <w:t> </w:t>
      </w:r>
      <w:r w:rsidRPr="00B81F77">
        <w:t>przeciętne zatrudnienie 96,5 tys. etatów</w:t>
      </w:r>
      <w:r w:rsidR="00AD2196">
        <w:t xml:space="preserve"> (wzrost o 4,3%)</w:t>
      </w:r>
      <w:r w:rsidRPr="00B81F77">
        <w:t xml:space="preserve">. </w:t>
      </w:r>
      <w:r w:rsidR="00713788">
        <w:t>Przeciętne m</w:t>
      </w:r>
      <w:r w:rsidRPr="00B81F77">
        <w:t>iesięczne wynagrodzenie brutto</w:t>
      </w:r>
      <w:r w:rsidR="00A576AF">
        <w:rPr>
          <w:rStyle w:val="Odwoanieprzypisudolnego"/>
        </w:rPr>
        <w:footnoteReference w:id="2"/>
      </w:r>
      <w:r w:rsidRPr="00B81F77">
        <w:t xml:space="preserve"> wyniosło</w:t>
      </w:r>
      <w:r w:rsidR="00A576AF">
        <w:t xml:space="preserve"> </w:t>
      </w:r>
      <w:r w:rsidRPr="00B81F77">
        <w:t>9 193 zł</w:t>
      </w:r>
      <w:r w:rsidR="006D7409" w:rsidRPr="00B81F77">
        <w:t>.</w:t>
      </w:r>
      <w:r w:rsidR="00FD66A6">
        <w:t xml:space="preserve"> </w:t>
      </w:r>
      <w:r w:rsidR="00AD2196">
        <w:t>Zarówno w</w:t>
      </w:r>
      <w:r w:rsidR="00AD2196" w:rsidRPr="00B81F77">
        <w:t>zrost liczby pracujących, jak i przeciętnego zatrudnienia odnotowano tylko w mikroprzedsiębiorstw</w:t>
      </w:r>
      <w:r w:rsidR="00AD2196">
        <w:t>ach</w:t>
      </w:r>
      <w:r w:rsidR="00A576AF">
        <w:rPr>
          <w:rStyle w:val="Odwoanieprzypisudolnego"/>
        </w:rPr>
        <w:footnoteReference w:id="3"/>
      </w:r>
      <w:r w:rsidR="007E3507">
        <w:t>.</w:t>
      </w:r>
    </w:p>
    <w:p w14:paraId="506EF72D" w14:textId="7C947937" w:rsidR="00994BF6" w:rsidRPr="00B81F77" w:rsidRDefault="00994BF6" w:rsidP="00FD66A6">
      <w:r w:rsidRPr="00B81F77">
        <w:t>Przemysły kultury i kreatywne stanowią część przedsiębiorstw niefinansowych, wyodrębnioną według określonych klas PKD. Są to podmioty gospodarcze zajmujące się masową produkcją i sprzedażą dóbr i usług kulturalnych i kreatywnych. Przemysły kultury produkują dobra i usługi kulturalne oparte o prawo autorskie, wykorzystując techniki przemysłowej produkcji i są to przede wszystkim: przemysł wydawniczy, przemysł fonograficzny, telewizja, radio, przemysł filmowy, a także tworzenie gier komputerowych. Natomiast przemysły kreatywne tworzą podmioty, których działalność związana jest przede wszystkim z projektowaniem, wzornictwem, architekturą, reklamą i tłumaczeniami – kultura stanowi tutaj inspirację i kreatywny wkład.</w:t>
      </w:r>
    </w:p>
    <w:p w14:paraId="256445F2" w14:textId="41586E6E" w:rsidR="00994BF6" w:rsidRPr="00B81F77" w:rsidRDefault="00C2267E" w:rsidP="00994BF6">
      <w:pPr>
        <w:pStyle w:val="Nagwek2"/>
        <w:rPr>
          <w:lang w:val="pl-PL"/>
        </w:rPr>
      </w:pPr>
      <w:r w:rsidRPr="00B81F77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392597B" wp14:editId="75141C75">
                <wp:simplePos x="0" y="0"/>
                <wp:positionH relativeFrom="column">
                  <wp:posOffset>5288280</wp:posOffset>
                </wp:positionH>
                <wp:positionV relativeFrom="paragraph">
                  <wp:posOffset>225425</wp:posOffset>
                </wp:positionV>
                <wp:extent cx="1661160" cy="876300"/>
                <wp:effectExtent l="0" t="0" r="0" b="0"/>
                <wp:wrapTight wrapText="bothSides">
                  <wp:wrapPolygon edited="0">
                    <wp:start x="743" y="0"/>
                    <wp:lineTo x="743" y="21130"/>
                    <wp:lineTo x="20807" y="21130"/>
                    <wp:lineTo x="20807" y="0"/>
                    <wp:lineTo x="743" y="0"/>
                  </wp:wrapPolygon>
                </wp:wrapTight>
                <wp:docPr id="1078389331" name="Prostokąt 1078389331" descr="W porównaniu z 2023 r. liczba podmiotów zaliczanych do przemysłów kultury i kreatywnych wzrosła o 19,6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1160" cy="87630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919ECF1" w14:textId="775C8053" w:rsidR="00C10786" w:rsidRPr="00080176" w:rsidRDefault="00C10786" w:rsidP="00C96DF1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W porównaniu z 2023 r. liczba podmiotów zaliczanych do przemysłów kultury i kreatywnych wzrosła o 19,6 tys.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392597B" id="Prostokąt 1078389331" o:spid="_x0000_s1027" alt="W porównaniu z 2023 r. liczba podmiotów zaliczanych do przemysłów kultury i kreatywnych wzrosła o 19,6 tys." style="position:absolute;margin-left:416.4pt;margin-top:17.75pt;width:130.8pt;height:69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" filled="f" stroked="f" strokeweight=".26mm">
                <v:textbox>
                  <w:txbxContent>
                    <w:p w14:paraId="7919ECF1" w14:textId="775C8053" w:rsidR="00C10786" w:rsidRPr="00080176" w:rsidRDefault="00C10786" w:rsidP="00C96DF1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W porównaniu z 2023 r. liczba podmiotów zaliczanych do przemysłów kultury i kreatywnych wzrosła o 19,6 tys.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994BF6" w:rsidRPr="00B81F77">
        <w:rPr>
          <w:lang w:val="pl-PL"/>
        </w:rPr>
        <w:t>Liczba i rodzaje podmiotów zaliczanych do przemysłów kultury i kreatywnych</w:t>
      </w:r>
    </w:p>
    <w:p w14:paraId="6189446F" w14:textId="28E8EAF5" w:rsidR="00DE6B58" w:rsidRPr="00B81F77" w:rsidRDefault="00994BF6" w:rsidP="00994BF6">
      <w:pPr>
        <w:rPr>
          <w:rFonts w:eastAsia="Times New Roman" w:cs="Times New Roman"/>
          <w:szCs w:val="19"/>
          <w:lang w:eastAsia="pl-PL"/>
        </w:rPr>
      </w:pPr>
      <w:r w:rsidRPr="00B81F77">
        <w:rPr>
          <w:rFonts w:eastAsia="Times New Roman" w:cs="Times New Roman"/>
          <w:szCs w:val="19"/>
          <w:lang w:eastAsia="pl-PL"/>
        </w:rPr>
        <w:t xml:space="preserve">W 2024 r. liczba podmiotów funkcjonujących w sektorze przemysłów kultury i kreatywnych </w:t>
      </w:r>
      <w:r w:rsidR="00BC68F8">
        <w:rPr>
          <w:rFonts w:eastAsia="Times New Roman" w:cs="Times New Roman"/>
          <w:szCs w:val="19"/>
          <w:lang w:eastAsia="pl-PL"/>
        </w:rPr>
        <w:t>wyniosła</w:t>
      </w:r>
      <w:r w:rsidRPr="00B81F77">
        <w:rPr>
          <w:rFonts w:eastAsia="Times New Roman" w:cs="Times New Roman"/>
          <w:szCs w:val="19"/>
          <w:lang w:eastAsia="pl-PL"/>
        </w:rPr>
        <w:t xml:space="preserve"> 143,7 tys., co oznacza wzrost o 15,8% w porównaniu z 2023 r.</w:t>
      </w:r>
    </w:p>
    <w:p w14:paraId="3004C367" w14:textId="2E57191A" w:rsidR="00994BF6" w:rsidRPr="00B81F77" w:rsidRDefault="00DA2B47" w:rsidP="00F049AB">
      <w:pPr>
        <w:pStyle w:val="Tytutablicy"/>
      </w:pPr>
      <w:r>
        <w:rPr>
          <w:noProof/>
        </w:rPr>
        <w:drawing>
          <wp:anchor distT="0" distB="0" distL="114300" distR="114300" simplePos="0" relativeHeight="251789312" behindDoc="0" locked="0" layoutInCell="1" allowOverlap="1" wp14:anchorId="32AB0F23" wp14:editId="61B68A9D">
            <wp:simplePos x="0" y="0"/>
            <wp:positionH relativeFrom="column">
              <wp:posOffset>-60960</wp:posOffset>
            </wp:positionH>
            <wp:positionV relativeFrom="paragraph">
              <wp:posOffset>474980</wp:posOffset>
            </wp:positionV>
            <wp:extent cx="5041900" cy="2914015"/>
            <wp:effectExtent l="0" t="0" r="0" b="0"/>
            <wp:wrapTopAndBottom/>
            <wp:docPr id="15" name="Obraz 15" descr="Wykres 1 słupkowy przedstawiający liczbę podmiotów zaliczanych do przemysłów kultury i kreatywnych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D2A70" w:rsidRPr="00B81F77">
        <w:t>Wykres 1. Liczba podmiotów zaliczanych do przemysłów kultury i kreatywnych</w:t>
      </w:r>
    </w:p>
    <w:p w14:paraId="57CE24DA" w14:textId="58B8D2CE" w:rsidR="00994BF6" w:rsidRPr="00B81F77" w:rsidRDefault="00646D9A" w:rsidP="00646D9A">
      <w:pPr>
        <w:rPr>
          <w:rFonts w:eastAsia="Times New Roman" w:cs="Times New Roman"/>
          <w:szCs w:val="19"/>
          <w:lang w:eastAsia="pl-PL"/>
        </w:rPr>
      </w:pPr>
      <w:r w:rsidRPr="00B81F77">
        <w:rPr>
          <w:rFonts w:eastAsia="Times New Roman" w:cs="Times New Roman"/>
          <w:szCs w:val="19"/>
          <w:lang w:eastAsia="pl-PL"/>
        </w:rPr>
        <w:lastRenderedPageBreak/>
        <w:t xml:space="preserve">Najliczniejszą grupę stanowiły podmioty działające w dziedzinie Sztuki wizualne (39,1 tys.), natomiast najmniej liczną – </w:t>
      </w:r>
      <w:r w:rsidR="00D40626">
        <w:rPr>
          <w:rFonts w:eastAsia="Times New Roman" w:cs="Times New Roman"/>
          <w:szCs w:val="19"/>
          <w:lang w:eastAsia="pl-PL"/>
        </w:rPr>
        <w:t xml:space="preserve">w dziedzinie </w:t>
      </w:r>
      <w:r w:rsidRPr="00B81F77">
        <w:rPr>
          <w:rFonts w:eastAsia="Times New Roman" w:cs="Times New Roman"/>
          <w:szCs w:val="19"/>
          <w:lang w:eastAsia="pl-PL"/>
        </w:rPr>
        <w:t xml:space="preserve">Biblioteki i archiwa (0,2 tys.). W porównaniu z 2023 r. struktura podmiotów według dziedzin kultury nie uległa zmianie. Wzrost liczby podmiotów odnotowano we wszystkich dziedzinach kultury – największy w </w:t>
      </w:r>
      <w:r w:rsidR="00554012" w:rsidRPr="00B81F77">
        <w:rPr>
          <w:rFonts w:eastAsia="Times New Roman" w:cs="Times New Roman"/>
          <w:szCs w:val="19"/>
          <w:lang w:eastAsia="pl-PL"/>
        </w:rPr>
        <w:t xml:space="preserve">dziedzinie </w:t>
      </w:r>
      <w:r w:rsidRPr="00B81F77">
        <w:rPr>
          <w:rFonts w:eastAsia="Times New Roman" w:cs="Times New Roman"/>
          <w:szCs w:val="19"/>
          <w:lang w:eastAsia="pl-PL"/>
        </w:rPr>
        <w:t xml:space="preserve">Edukacja artystyczna (o 19,8%), a najmniejszy – </w:t>
      </w:r>
      <w:r w:rsidR="00AD2196">
        <w:rPr>
          <w:rFonts w:eastAsia="Times New Roman" w:cs="Times New Roman"/>
          <w:szCs w:val="19"/>
          <w:lang w:eastAsia="pl-PL"/>
        </w:rPr>
        <w:t xml:space="preserve">w </w:t>
      </w:r>
      <w:r w:rsidR="00D40626">
        <w:rPr>
          <w:rFonts w:eastAsia="Times New Roman" w:cs="Times New Roman"/>
          <w:szCs w:val="19"/>
          <w:lang w:eastAsia="pl-PL"/>
        </w:rPr>
        <w:t>dziedzinie</w:t>
      </w:r>
      <w:r w:rsidR="00AD2196">
        <w:rPr>
          <w:rFonts w:eastAsia="Times New Roman" w:cs="Times New Roman"/>
          <w:szCs w:val="19"/>
          <w:lang w:eastAsia="pl-PL"/>
        </w:rPr>
        <w:t xml:space="preserve"> </w:t>
      </w:r>
      <w:r w:rsidRPr="00B81F77">
        <w:rPr>
          <w:rFonts w:eastAsia="Times New Roman" w:cs="Times New Roman"/>
          <w:szCs w:val="19"/>
          <w:lang w:eastAsia="pl-PL"/>
        </w:rPr>
        <w:t>Książki i prasa (</w:t>
      </w:r>
      <w:r w:rsidR="00FF6138">
        <w:rPr>
          <w:rFonts w:eastAsia="Times New Roman" w:cs="Times New Roman"/>
          <w:szCs w:val="19"/>
          <w:lang w:eastAsia="pl-PL"/>
        </w:rPr>
        <w:t xml:space="preserve">o </w:t>
      </w:r>
      <w:r w:rsidRPr="00B81F77">
        <w:rPr>
          <w:rFonts w:eastAsia="Times New Roman" w:cs="Times New Roman"/>
          <w:szCs w:val="19"/>
          <w:lang w:eastAsia="pl-PL"/>
        </w:rPr>
        <w:t>8,7%).</w:t>
      </w:r>
    </w:p>
    <w:p w14:paraId="3AE612E1" w14:textId="7B505567" w:rsidR="00994BF6" w:rsidRPr="00B81F77" w:rsidRDefault="008E5224" w:rsidP="00227A7B">
      <w:pPr>
        <w:pStyle w:val="Tytutablicy"/>
        <w:ind w:left="851" w:hanging="851"/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3023089A" wp14:editId="2E274C8C">
            <wp:simplePos x="0" y="0"/>
            <wp:positionH relativeFrom="column">
              <wp:posOffset>-24976</wp:posOffset>
            </wp:positionH>
            <wp:positionV relativeFrom="paragraph">
              <wp:posOffset>521758</wp:posOffset>
            </wp:positionV>
            <wp:extent cx="5035550" cy="2847340"/>
            <wp:effectExtent l="0" t="0" r="0" b="0"/>
            <wp:wrapTopAndBottom/>
            <wp:docPr id="3" name="Obraz 3" descr="Wykres 2 kołowy przedstawiający podmioty zaliczane do przemysłów kultury i kreatywnych według dziedzin kultury w 2024 r.; dane w pliku Exce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84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46D9A" w:rsidRPr="00B81F77">
        <w:t>Wykres 2. Podmioty zaliczane do przemysłów kultury i kreatywnych według dziedzin kultury w 2024 r.</w:t>
      </w:r>
    </w:p>
    <w:p w14:paraId="5F3C3C43" w14:textId="04799C71" w:rsidR="005230F6" w:rsidRPr="00B81F77" w:rsidRDefault="004C5C2B" w:rsidP="008B5C41">
      <w:pPr>
        <w:spacing w:before="360"/>
        <w:rPr>
          <w:rFonts w:eastAsia="Times New Roman" w:cs="Times New Roman"/>
          <w:szCs w:val="19"/>
          <w:lang w:eastAsia="pl-PL"/>
        </w:rPr>
      </w:pPr>
      <w:r w:rsidRPr="00B81F77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3CA68E85" wp14:editId="4D48B35B">
                <wp:simplePos x="0" y="0"/>
                <wp:positionH relativeFrom="column">
                  <wp:posOffset>5299710</wp:posOffset>
                </wp:positionH>
                <wp:positionV relativeFrom="paragraph">
                  <wp:posOffset>3144731</wp:posOffset>
                </wp:positionV>
                <wp:extent cx="1652905" cy="1007110"/>
                <wp:effectExtent l="0" t="0" r="0" b="2540"/>
                <wp:wrapTight wrapText="bothSides">
                  <wp:wrapPolygon edited="0">
                    <wp:start x="747" y="0"/>
                    <wp:lineTo x="747" y="21246"/>
                    <wp:lineTo x="20662" y="21246"/>
                    <wp:lineTo x="20662" y="0"/>
                    <wp:lineTo x="747" y="0"/>
                  </wp:wrapPolygon>
                </wp:wrapTight>
                <wp:docPr id="29" name="Prostokąt 29" descr="Mikroprzedsiębiorstwa zaliczane do przemysłów kultury i kreatywnych stanowiły 6,2% wszystkich mikroprzedsiębiorstw niefinans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2905" cy="100711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90429C1" w14:textId="69192285" w:rsidR="00C10786" w:rsidRPr="004C5C2B" w:rsidRDefault="00C10786" w:rsidP="004C5C2B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4C5C2B">
                              <w:rPr>
                                <w:lang w:val="pl-PL"/>
                              </w:rPr>
                              <w:t>Mikroprzedsiębiorstwa zaliczane do przemysłów kultury i kreatywnych stanowiły 6,2% wszystkich mikroprzedsiębiorstw niefinansowych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A68E85" id="Prostokąt 29" o:spid="_x0000_s1028" alt="Mikroprzedsiębiorstwa zaliczane do przemysłów kultury i kreatywnych stanowiły 6,2% wszystkich mikroprzedsiębiorstw niefinansowych" style="position:absolute;margin-left:417.3pt;margin-top:247.6pt;width:130.15pt;height:79.3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" filled="f" stroked="f" strokeweight=".26mm">
                <v:textbox>
                  <w:txbxContent>
                    <w:p w14:paraId="090429C1" w14:textId="69192285" w:rsidR="00C10786" w:rsidRPr="004C5C2B" w:rsidRDefault="00C10786" w:rsidP="004C5C2B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4C5C2B">
                        <w:rPr>
                          <w:lang w:val="pl-PL"/>
                        </w:rPr>
                        <w:t>Mikroprzedsiębiorstwa zaliczane do przemysłów kultury i kreatywnych stanowiły 6,2% wszystkich mikroprzedsiębiorstw niefinansowych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5230F6" w:rsidRPr="00B81F77">
        <w:rPr>
          <w:rFonts w:eastAsia="Times New Roman" w:cs="Times New Roman"/>
          <w:szCs w:val="19"/>
          <w:lang w:eastAsia="pl-PL"/>
        </w:rPr>
        <w:t xml:space="preserve">Podmioty zaliczane do przemysłów kultury i kreatywnych </w:t>
      </w:r>
      <w:r w:rsidR="005230F6" w:rsidRPr="008418FB">
        <w:rPr>
          <w:rFonts w:eastAsia="Times New Roman" w:cs="Times New Roman"/>
          <w:szCs w:val="19"/>
          <w:lang w:eastAsia="pl-PL"/>
        </w:rPr>
        <w:t>stanowiły 6,1% wszystkich przedsiębiorstw niefinansowych w Polsce. Zdecydowaną większość tworzyły mikroprzedsiębiorstwa (142,6 tys</w:t>
      </w:r>
      <w:r w:rsidR="005230F6" w:rsidRPr="00EC5EA7">
        <w:rPr>
          <w:rFonts w:eastAsia="Times New Roman" w:cs="Times New Roman"/>
          <w:szCs w:val="19"/>
          <w:lang w:eastAsia="pl-PL"/>
        </w:rPr>
        <w:t xml:space="preserve">., tj. 99,2%), co odpowiadało 6,2% wszystkich mikroprzedsiębiorstw niefinansowych. </w:t>
      </w:r>
      <w:r w:rsidR="008428AD" w:rsidRPr="00EC5EA7">
        <w:rPr>
          <w:rFonts w:eastAsia="Times New Roman" w:cs="Times New Roman"/>
          <w:szCs w:val="19"/>
          <w:lang w:eastAsia="pl-PL"/>
        </w:rPr>
        <w:t>W pozostałych klasach wielkości</w:t>
      </w:r>
      <w:r w:rsidR="00A576AF">
        <w:rPr>
          <w:rStyle w:val="Odwoanieprzypisudolnego"/>
          <w:rFonts w:eastAsia="Times New Roman" w:cs="Times New Roman"/>
          <w:szCs w:val="19"/>
          <w:lang w:eastAsia="pl-PL"/>
        </w:rPr>
        <w:footnoteReference w:id="4"/>
      </w:r>
      <w:r w:rsidR="008428AD" w:rsidRPr="00EC5EA7">
        <w:rPr>
          <w:rFonts w:eastAsia="Times New Roman" w:cs="Times New Roman"/>
          <w:szCs w:val="19"/>
          <w:lang w:eastAsia="pl-PL"/>
        </w:rPr>
        <w:t xml:space="preserve"> </w:t>
      </w:r>
      <w:r w:rsidR="00364FAD" w:rsidRPr="00EC5EA7">
        <w:rPr>
          <w:rFonts w:eastAsia="Times New Roman" w:cs="Times New Roman"/>
          <w:szCs w:val="19"/>
          <w:lang w:eastAsia="pl-PL"/>
        </w:rPr>
        <w:t xml:space="preserve">przedsiębiorstw liczba podmiotów </w:t>
      </w:r>
      <w:r w:rsidR="0081077B" w:rsidRPr="00EC5EA7">
        <w:rPr>
          <w:rFonts w:eastAsia="Times New Roman" w:cs="Times New Roman"/>
          <w:szCs w:val="19"/>
          <w:lang w:eastAsia="pl-PL"/>
        </w:rPr>
        <w:t>zaliczanych</w:t>
      </w:r>
      <w:r w:rsidR="00364FAD" w:rsidRPr="00EC5EA7">
        <w:rPr>
          <w:rFonts w:eastAsia="Times New Roman" w:cs="Times New Roman"/>
          <w:szCs w:val="19"/>
          <w:lang w:eastAsia="pl-PL"/>
        </w:rPr>
        <w:t xml:space="preserve"> do przemysłów kultury i kreatywnych wyniosła odpowiednio: małe – 926; średnie – 164</w:t>
      </w:r>
      <w:r w:rsidR="0081077B" w:rsidRPr="00EC5EA7">
        <w:rPr>
          <w:rFonts w:eastAsia="Times New Roman" w:cs="Times New Roman"/>
          <w:szCs w:val="19"/>
          <w:lang w:eastAsia="pl-PL"/>
        </w:rPr>
        <w:t>; duże – 46. Ich udział</w:t>
      </w:r>
      <w:r w:rsidR="005230F6" w:rsidRPr="00EC5EA7">
        <w:rPr>
          <w:rFonts w:eastAsia="Times New Roman" w:cs="Times New Roman"/>
          <w:szCs w:val="19"/>
          <w:lang w:eastAsia="pl-PL"/>
        </w:rPr>
        <w:t xml:space="preserve"> wśród przedsiębiorstw niefinansowych wyniósł odpowiednio</w:t>
      </w:r>
      <w:r w:rsidR="005230F6" w:rsidRPr="00B81F77">
        <w:rPr>
          <w:rFonts w:eastAsia="Times New Roman" w:cs="Times New Roman"/>
          <w:szCs w:val="19"/>
          <w:lang w:eastAsia="pl-PL"/>
        </w:rPr>
        <w:t>: 1,9% w grupie małych, 1,1% w grupie średnich oraz 1,2% wśród dużych przedsiębiorstw. W ramach przemysłów kultury i</w:t>
      </w:r>
      <w:r w:rsidR="00BC68F8">
        <w:rPr>
          <w:rFonts w:eastAsia="Times New Roman" w:cs="Times New Roman"/>
          <w:szCs w:val="19"/>
          <w:lang w:eastAsia="pl-PL"/>
        </w:rPr>
        <w:t> </w:t>
      </w:r>
      <w:r w:rsidR="005230F6" w:rsidRPr="00B81F77">
        <w:rPr>
          <w:rFonts w:eastAsia="Times New Roman" w:cs="Times New Roman"/>
          <w:szCs w:val="19"/>
          <w:lang w:eastAsia="pl-PL"/>
        </w:rPr>
        <w:t xml:space="preserve">kreatywnych wzrost liczby podmiotów </w:t>
      </w:r>
      <w:r w:rsidR="005230F6" w:rsidRPr="00A014B0">
        <w:rPr>
          <w:rFonts w:eastAsia="Times New Roman" w:cs="Times New Roman"/>
          <w:szCs w:val="19"/>
          <w:lang w:eastAsia="pl-PL"/>
        </w:rPr>
        <w:t>odnotowano</w:t>
      </w:r>
      <w:r w:rsidR="005230F6" w:rsidRPr="00B81F77">
        <w:rPr>
          <w:rFonts w:eastAsia="Times New Roman" w:cs="Times New Roman"/>
          <w:szCs w:val="19"/>
          <w:lang w:eastAsia="pl-PL"/>
        </w:rPr>
        <w:t xml:space="preserve"> tylko wśród mikroprzedsiębiorstw (o</w:t>
      </w:r>
      <w:r w:rsidR="00BC68F8">
        <w:rPr>
          <w:rFonts w:eastAsia="Times New Roman" w:cs="Times New Roman"/>
          <w:szCs w:val="19"/>
          <w:lang w:eastAsia="pl-PL"/>
        </w:rPr>
        <w:t> </w:t>
      </w:r>
      <w:r w:rsidR="005230F6" w:rsidRPr="00B81F77">
        <w:rPr>
          <w:rFonts w:eastAsia="Times New Roman" w:cs="Times New Roman"/>
          <w:szCs w:val="19"/>
          <w:lang w:eastAsia="pl-PL"/>
        </w:rPr>
        <w:t>16,0%)</w:t>
      </w:r>
      <w:r w:rsidR="00C679F9">
        <w:rPr>
          <w:rFonts w:eastAsia="Times New Roman" w:cs="Times New Roman"/>
          <w:szCs w:val="19"/>
          <w:lang w:eastAsia="pl-PL"/>
        </w:rPr>
        <w:t>,</w:t>
      </w:r>
      <w:r w:rsidR="005230F6" w:rsidRPr="00B81F77">
        <w:rPr>
          <w:rFonts w:eastAsia="Times New Roman" w:cs="Times New Roman"/>
          <w:szCs w:val="19"/>
          <w:lang w:eastAsia="pl-PL"/>
        </w:rPr>
        <w:t xml:space="preserve"> w pozostałych klasach wielkości </w:t>
      </w:r>
      <w:r w:rsidR="00A014B0">
        <w:rPr>
          <w:rFonts w:eastAsia="Times New Roman" w:cs="Times New Roman"/>
          <w:szCs w:val="19"/>
          <w:lang w:eastAsia="pl-PL"/>
        </w:rPr>
        <w:t>nastąpił</w:t>
      </w:r>
      <w:r w:rsidR="005230F6" w:rsidRPr="00B81F77">
        <w:rPr>
          <w:rFonts w:eastAsia="Times New Roman" w:cs="Times New Roman"/>
          <w:szCs w:val="19"/>
          <w:lang w:eastAsia="pl-PL"/>
        </w:rPr>
        <w:t xml:space="preserve"> spadek liczby podmiotów (wśród małych przedsiębiorstw – o 1,0%</w:t>
      </w:r>
      <w:r w:rsidR="009817BA">
        <w:rPr>
          <w:rFonts w:eastAsia="Times New Roman" w:cs="Times New Roman"/>
          <w:szCs w:val="19"/>
          <w:lang w:eastAsia="pl-PL"/>
        </w:rPr>
        <w:t>,</w:t>
      </w:r>
      <w:r w:rsidR="005230F6" w:rsidRPr="00B81F77">
        <w:rPr>
          <w:rFonts w:eastAsia="Times New Roman" w:cs="Times New Roman"/>
          <w:szCs w:val="19"/>
          <w:lang w:eastAsia="pl-PL"/>
        </w:rPr>
        <w:t xml:space="preserve"> średnich</w:t>
      </w:r>
      <w:r w:rsidR="00080176" w:rsidRPr="00B81F77">
        <w:rPr>
          <w:rFonts w:eastAsia="Times New Roman" w:cs="Times New Roman"/>
          <w:szCs w:val="19"/>
          <w:lang w:eastAsia="pl-PL"/>
        </w:rPr>
        <w:t> </w:t>
      </w:r>
      <w:r w:rsidR="005230F6" w:rsidRPr="00B81F77">
        <w:rPr>
          <w:rFonts w:eastAsia="Times New Roman" w:cs="Times New Roman"/>
          <w:szCs w:val="19"/>
          <w:lang w:eastAsia="pl-PL"/>
        </w:rPr>
        <w:t>–</w:t>
      </w:r>
      <w:r w:rsidR="00080176" w:rsidRPr="00B81F77">
        <w:rPr>
          <w:rFonts w:eastAsia="Times New Roman" w:cs="Times New Roman"/>
          <w:szCs w:val="19"/>
          <w:lang w:eastAsia="pl-PL"/>
        </w:rPr>
        <w:t> </w:t>
      </w:r>
      <w:r w:rsidR="005230F6" w:rsidRPr="00B81F77">
        <w:rPr>
          <w:rFonts w:eastAsia="Times New Roman" w:cs="Times New Roman"/>
          <w:szCs w:val="19"/>
          <w:lang w:eastAsia="pl-PL"/>
        </w:rPr>
        <w:t>o</w:t>
      </w:r>
      <w:r w:rsidR="00080176" w:rsidRPr="00B81F77">
        <w:rPr>
          <w:rFonts w:eastAsia="Times New Roman" w:cs="Times New Roman"/>
          <w:szCs w:val="19"/>
          <w:lang w:eastAsia="pl-PL"/>
        </w:rPr>
        <w:t> </w:t>
      </w:r>
      <w:r w:rsidR="005230F6" w:rsidRPr="00B81F77">
        <w:rPr>
          <w:rFonts w:eastAsia="Times New Roman" w:cs="Times New Roman"/>
          <w:szCs w:val="19"/>
          <w:lang w:eastAsia="pl-PL"/>
        </w:rPr>
        <w:t>5,7%, dużych – o 4,2%).</w:t>
      </w:r>
    </w:p>
    <w:p w14:paraId="24E0AF35" w14:textId="6179A8D3" w:rsidR="005230F6" w:rsidRPr="00B81F77" w:rsidRDefault="005230F6" w:rsidP="005230F6">
      <w:pPr>
        <w:pStyle w:val="Nagwek2"/>
        <w:rPr>
          <w:lang w:val="pl-PL"/>
        </w:rPr>
      </w:pPr>
      <w:r w:rsidRPr="00B81F77">
        <w:rPr>
          <w:lang w:val="pl-PL"/>
        </w:rPr>
        <w:t>Pracujący, przeciętne zatrudnienie i wynagrodzenia</w:t>
      </w:r>
    </w:p>
    <w:p w14:paraId="6B0F7669" w14:textId="4158D097" w:rsidR="005230F6" w:rsidRPr="00B81F77" w:rsidRDefault="005230F6" w:rsidP="005230F6">
      <w:pPr>
        <w:rPr>
          <w:rFonts w:eastAsia="Times New Roman" w:cs="Times New Roman"/>
          <w:szCs w:val="19"/>
          <w:lang w:eastAsia="pl-PL"/>
        </w:rPr>
      </w:pPr>
      <w:bookmarkStart w:id="0" w:name="_Hlk193439900"/>
      <w:r w:rsidRPr="00B81F77">
        <w:rPr>
          <w:rFonts w:eastAsia="Times New Roman" w:cs="Times New Roman"/>
          <w:szCs w:val="19"/>
          <w:lang w:eastAsia="pl-PL"/>
        </w:rPr>
        <w:t>Według stanu na koniec 2024 r. w podmiotach zaliczanych do przemysłów kultury i</w:t>
      </w:r>
      <w:r w:rsidR="006B74B7" w:rsidRPr="00B81F77">
        <w:rPr>
          <w:rFonts w:eastAsia="Times New Roman" w:cs="Times New Roman"/>
          <w:szCs w:val="19"/>
          <w:lang w:eastAsia="pl-PL"/>
        </w:rPr>
        <w:t> </w:t>
      </w:r>
      <w:r w:rsidRPr="00B81F77">
        <w:rPr>
          <w:rFonts w:eastAsia="Times New Roman" w:cs="Times New Roman"/>
          <w:szCs w:val="19"/>
          <w:lang w:eastAsia="pl-PL"/>
        </w:rPr>
        <w:t>kreatywnych pracowało 281,0 tys. osób, tj. o 18,7% więcej niż rok wcześniej. Przeciętne zatrudnienie w ciągu roku ukształtowało się na poziomie 96,5 tys. etatów (wzrost o 4,3% w</w:t>
      </w:r>
      <w:r w:rsidR="00080176" w:rsidRPr="00B81F77">
        <w:rPr>
          <w:rFonts w:eastAsia="Times New Roman" w:cs="Times New Roman"/>
          <w:szCs w:val="19"/>
          <w:lang w:eastAsia="pl-PL"/>
        </w:rPr>
        <w:t> </w:t>
      </w:r>
      <w:r w:rsidRPr="00B81F77">
        <w:rPr>
          <w:rFonts w:eastAsia="Times New Roman" w:cs="Times New Roman"/>
          <w:szCs w:val="19"/>
          <w:lang w:eastAsia="pl-PL"/>
        </w:rPr>
        <w:t>porównaniu z 2023 r.).</w:t>
      </w:r>
      <w:r w:rsidR="00D419FD">
        <w:rPr>
          <w:rFonts w:eastAsia="Times New Roman" w:cs="Times New Roman"/>
          <w:szCs w:val="19"/>
          <w:lang w:eastAsia="pl-PL"/>
        </w:rPr>
        <w:t xml:space="preserve"> W</w:t>
      </w:r>
      <w:r w:rsidRPr="00B81F77">
        <w:rPr>
          <w:rFonts w:eastAsia="Times New Roman" w:cs="Times New Roman"/>
          <w:szCs w:val="19"/>
          <w:lang w:eastAsia="pl-PL"/>
        </w:rPr>
        <w:t>zrost zarówno liczby pracujących, jak i przeciętnego zatrudnienia odnotowano tylko w mikroprzedsiębiorstw</w:t>
      </w:r>
      <w:r w:rsidR="00FF4630">
        <w:rPr>
          <w:rFonts w:eastAsia="Times New Roman" w:cs="Times New Roman"/>
          <w:szCs w:val="19"/>
          <w:lang w:eastAsia="pl-PL"/>
        </w:rPr>
        <w:t>ach</w:t>
      </w:r>
      <w:r w:rsidRPr="00B81F77">
        <w:rPr>
          <w:rFonts w:eastAsia="Times New Roman" w:cs="Times New Roman"/>
          <w:szCs w:val="19"/>
          <w:lang w:eastAsia="pl-PL"/>
        </w:rPr>
        <w:t xml:space="preserve"> (odpowiednio o 27,8% i 21,8%).</w:t>
      </w:r>
    </w:p>
    <w:bookmarkEnd w:id="0"/>
    <w:p w14:paraId="393BB688" w14:textId="5131EF93" w:rsidR="005230F6" w:rsidRPr="00B81F77" w:rsidRDefault="00713788" w:rsidP="005230F6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Przeciętne m</w:t>
      </w:r>
      <w:r w:rsidR="005230F6" w:rsidRPr="00B81F77">
        <w:rPr>
          <w:rFonts w:eastAsia="Times New Roman" w:cs="Times New Roman"/>
          <w:szCs w:val="19"/>
          <w:lang w:eastAsia="pl-PL"/>
        </w:rPr>
        <w:t>iesięczne wynagrodzenie brutto wyniosło 9 193 zł, tj. o 3,7% więcej niż w 2023 r.</w:t>
      </w:r>
      <w:r w:rsidR="00CA2467">
        <w:rPr>
          <w:rFonts w:eastAsia="Times New Roman" w:cs="Times New Roman"/>
          <w:szCs w:val="19"/>
          <w:lang w:eastAsia="pl-PL"/>
        </w:rPr>
        <w:t>, przy czym</w:t>
      </w:r>
      <w:r w:rsidR="005230F6" w:rsidRPr="00B81F77">
        <w:rPr>
          <w:rFonts w:eastAsia="Times New Roman" w:cs="Times New Roman"/>
          <w:szCs w:val="19"/>
          <w:lang w:eastAsia="pl-PL"/>
        </w:rPr>
        <w:t xml:space="preserve"> </w:t>
      </w:r>
      <w:r w:rsidR="00CA2467">
        <w:rPr>
          <w:rFonts w:eastAsia="Times New Roman" w:cs="Times New Roman"/>
          <w:szCs w:val="19"/>
          <w:lang w:eastAsia="pl-PL"/>
        </w:rPr>
        <w:t>n</w:t>
      </w:r>
      <w:r w:rsidR="005230F6" w:rsidRPr="00B81F77">
        <w:rPr>
          <w:rFonts w:eastAsia="Times New Roman" w:cs="Times New Roman"/>
          <w:szCs w:val="19"/>
          <w:lang w:eastAsia="pl-PL"/>
        </w:rPr>
        <w:t xml:space="preserve">ajwyższy wzrost </w:t>
      </w:r>
      <w:r w:rsidR="005230F6" w:rsidRPr="00F304FE">
        <w:rPr>
          <w:rFonts w:eastAsia="Times New Roman" w:cs="Times New Roman"/>
          <w:szCs w:val="19"/>
          <w:lang w:eastAsia="pl-PL"/>
        </w:rPr>
        <w:t>odnotowano</w:t>
      </w:r>
      <w:r w:rsidR="005230F6" w:rsidRPr="00B81F77">
        <w:rPr>
          <w:rFonts w:eastAsia="Times New Roman" w:cs="Times New Roman"/>
          <w:szCs w:val="19"/>
          <w:lang w:eastAsia="pl-PL"/>
        </w:rPr>
        <w:t xml:space="preserve"> w małych przedsiębiorstwach – o 11,5% i w średnich – o 11,3%. W dużych przedsiębiorstwach przeciętne wynagrodzenie zwiększyło się o 7,7%, a</w:t>
      </w:r>
      <w:r w:rsidR="00920D5A">
        <w:rPr>
          <w:rFonts w:eastAsia="Times New Roman" w:cs="Times New Roman"/>
          <w:szCs w:val="19"/>
          <w:lang w:eastAsia="pl-PL"/>
        </w:rPr>
        <w:t> </w:t>
      </w:r>
      <w:r w:rsidR="005230F6" w:rsidRPr="00B81F77">
        <w:rPr>
          <w:rFonts w:eastAsia="Times New Roman" w:cs="Times New Roman"/>
          <w:szCs w:val="19"/>
          <w:lang w:eastAsia="pl-PL"/>
        </w:rPr>
        <w:t>w</w:t>
      </w:r>
      <w:r w:rsidR="00920D5A">
        <w:rPr>
          <w:rFonts w:eastAsia="Times New Roman" w:cs="Times New Roman"/>
          <w:szCs w:val="19"/>
          <w:lang w:eastAsia="pl-PL"/>
        </w:rPr>
        <w:t> </w:t>
      </w:r>
      <w:r w:rsidR="005230F6" w:rsidRPr="00B81F77">
        <w:rPr>
          <w:rFonts w:eastAsia="Times New Roman" w:cs="Times New Roman"/>
          <w:szCs w:val="19"/>
          <w:lang w:eastAsia="pl-PL"/>
        </w:rPr>
        <w:t xml:space="preserve">mikroprzedsiębiorstwach </w:t>
      </w:r>
      <w:r w:rsidR="00405CC6">
        <w:rPr>
          <w:rFonts w:eastAsia="Times New Roman" w:cs="Times New Roman"/>
          <w:szCs w:val="19"/>
          <w:lang w:eastAsia="pl-PL"/>
        </w:rPr>
        <w:t xml:space="preserve">tylko </w:t>
      </w:r>
      <w:r w:rsidR="005230F6" w:rsidRPr="00B81F77">
        <w:rPr>
          <w:rFonts w:eastAsia="Times New Roman" w:cs="Times New Roman"/>
          <w:szCs w:val="19"/>
          <w:lang w:eastAsia="pl-PL"/>
        </w:rPr>
        <w:t>o 1,3%.</w:t>
      </w:r>
    </w:p>
    <w:p w14:paraId="42D651AD" w14:textId="2239F200" w:rsidR="005230F6" w:rsidRPr="00B81F77" w:rsidRDefault="00713788" w:rsidP="005230F6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lastRenderedPageBreak/>
        <w:t>Ogółem</w:t>
      </w:r>
      <w:r w:rsidR="005230F6" w:rsidRPr="00B81F77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przeciętne </w:t>
      </w:r>
      <w:r w:rsidR="005230F6" w:rsidRPr="00B81F77">
        <w:rPr>
          <w:rFonts w:eastAsia="Times New Roman" w:cs="Times New Roman"/>
          <w:szCs w:val="19"/>
          <w:lang w:eastAsia="pl-PL"/>
        </w:rPr>
        <w:t>miesięczne wynagrodzenie brutto w sektorze przemysłów kultury i kreatywnych było wyższe niż w</w:t>
      </w:r>
      <w:r w:rsidR="006B74B7" w:rsidRPr="00B81F77">
        <w:rPr>
          <w:rFonts w:eastAsia="Times New Roman" w:cs="Times New Roman"/>
          <w:szCs w:val="19"/>
          <w:lang w:eastAsia="pl-PL"/>
        </w:rPr>
        <w:t> </w:t>
      </w:r>
      <w:r w:rsidR="005230F6" w:rsidRPr="00B81F77">
        <w:rPr>
          <w:rFonts w:eastAsia="Times New Roman" w:cs="Times New Roman"/>
          <w:szCs w:val="19"/>
          <w:lang w:eastAsia="pl-PL"/>
        </w:rPr>
        <w:t xml:space="preserve">przedsiębiorstwach niefinansowych o 779 zł. </w:t>
      </w:r>
      <w:r w:rsidR="00F35488">
        <w:rPr>
          <w:rFonts w:eastAsia="Times New Roman" w:cs="Times New Roman"/>
          <w:szCs w:val="19"/>
          <w:lang w:eastAsia="pl-PL"/>
        </w:rPr>
        <w:br/>
      </w:r>
      <w:r w:rsidR="005230F6" w:rsidRPr="00B81F77">
        <w:rPr>
          <w:rFonts w:eastAsia="Times New Roman" w:cs="Times New Roman"/>
          <w:szCs w:val="19"/>
          <w:lang w:eastAsia="pl-PL"/>
        </w:rPr>
        <w:t>W mikroprzedsiębiorstwach różnica ta wyniosła 402 zł, w małych</w:t>
      </w:r>
      <w:r w:rsidR="0041769D">
        <w:rPr>
          <w:rFonts w:eastAsia="Times New Roman" w:cs="Times New Roman"/>
          <w:szCs w:val="19"/>
          <w:lang w:eastAsia="pl-PL"/>
        </w:rPr>
        <w:t xml:space="preserve"> przedsiębior</w:t>
      </w:r>
      <w:r w:rsidR="00DB1C67">
        <w:rPr>
          <w:rFonts w:eastAsia="Times New Roman" w:cs="Times New Roman"/>
          <w:szCs w:val="19"/>
          <w:lang w:eastAsia="pl-PL"/>
        </w:rPr>
        <w:t>stwach</w:t>
      </w:r>
      <w:r w:rsidR="005230F6" w:rsidRPr="00B81F77">
        <w:rPr>
          <w:rFonts w:eastAsia="Times New Roman" w:cs="Times New Roman"/>
          <w:szCs w:val="19"/>
          <w:lang w:eastAsia="pl-PL"/>
        </w:rPr>
        <w:t xml:space="preserve"> 2 165 zł, w średnich 2 898 zł, a w dużych 2</w:t>
      </w:r>
      <w:r w:rsidR="00DB1C67">
        <w:rPr>
          <w:rFonts w:eastAsia="Times New Roman" w:cs="Times New Roman"/>
          <w:szCs w:val="19"/>
          <w:lang w:eastAsia="pl-PL"/>
        </w:rPr>
        <w:t> </w:t>
      </w:r>
      <w:r w:rsidR="005230F6" w:rsidRPr="00B81F77">
        <w:rPr>
          <w:rFonts w:eastAsia="Times New Roman" w:cs="Times New Roman"/>
          <w:szCs w:val="19"/>
          <w:lang w:eastAsia="pl-PL"/>
        </w:rPr>
        <w:t>621 zł.</w:t>
      </w:r>
    </w:p>
    <w:p w14:paraId="3308449F" w14:textId="2405AA98" w:rsidR="005230F6" w:rsidRPr="00B81F77" w:rsidRDefault="002B66BA" w:rsidP="005230F6">
      <w:pPr>
        <w:rPr>
          <w:rFonts w:eastAsia="Times New Roman" w:cs="Times New Roman"/>
          <w:szCs w:val="19"/>
          <w:lang w:eastAsia="pl-PL"/>
        </w:rPr>
      </w:pPr>
      <w:r w:rsidRPr="00B81F77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1D869F1E" wp14:editId="44CE1F4F">
                <wp:simplePos x="0" y="0"/>
                <wp:positionH relativeFrom="page">
                  <wp:posOffset>5716905</wp:posOffset>
                </wp:positionH>
                <wp:positionV relativeFrom="paragraph">
                  <wp:posOffset>160655</wp:posOffset>
                </wp:positionV>
                <wp:extent cx="1454785" cy="1196340"/>
                <wp:effectExtent l="0" t="0" r="0" b="3810"/>
                <wp:wrapTight wrapText="bothSides">
                  <wp:wrapPolygon edited="0">
                    <wp:start x="849" y="0"/>
                    <wp:lineTo x="849" y="21325"/>
                    <wp:lineTo x="20648" y="21325"/>
                    <wp:lineTo x="20648" y="0"/>
                    <wp:lineTo x="849" y="0"/>
                  </wp:wrapPolygon>
                </wp:wrapTight>
                <wp:docPr id="18" name="Prostokąt 18" descr="Miesięczne wynagrodzenie brutto na jednego zatrudnionego w przemysłach kultury i kreatywnych było wyższe o 779 zł niż w przedsiębiorstwach niefinansowych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4785" cy="119634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EFFF795" w14:textId="1508A697" w:rsidR="00C10786" w:rsidRPr="00C96DF1" w:rsidRDefault="00854E46" w:rsidP="00C96DF1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Przeci</w:t>
                            </w:r>
                            <w:r w:rsidR="00F35488">
                              <w:rPr>
                                <w:lang w:val="pl-PL"/>
                              </w:rPr>
                              <w:t>ętne m</w:t>
                            </w:r>
                            <w:r w:rsidR="00C10786" w:rsidRPr="00C96DF1">
                              <w:rPr>
                                <w:lang w:val="pl-PL"/>
                              </w:rPr>
                              <w:t>iesięczne wynagrodzenie brutto w</w:t>
                            </w:r>
                            <w:r w:rsidR="00007B0E">
                              <w:rPr>
                                <w:lang w:val="pl-PL"/>
                              </w:rPr>
                              <w:t> </w:t>
                            </w:r>
                            <w:r w:rsidR="00C10786" w:rsidRPr="00C96DF1">
                              <w:rPr>
                                <w:lang w:val="pl-PL"/>
                              </w:rPr>
                              <w:t>przemysłach kultury i</w:t>
                            </w:r>
                            <w:r w:rsidR="00007B0E">
                              <w:rPr>
                                <w:lang w:val="pl-PL"/>
                              </w:rPr>
                              <w:t> </w:t>
                            </w:r>
                            <w:r w:rsidR="00C10786" w:rsidRPr="00C96DF1">
                              <w:rPr>
                                <w:lang w:val="pl-PL"/>
                              </w:rPr>
                              <w:t xml:space="preserve">kreatywnych było </w:t>
                            </w:r>
                            <w:r w:rsidR="00C10786" w:rsidRPr="00EF284D">
                              <w:rPr>
                                <w:lang w:val="pl-PL"/>
                              </w:rPr>
                              <w:t>wyższe o</w:t>
                            </w:r>
                            <w:r w:rsidR="00007B0E">
                              <w:rPr>
                                <w:lang w:val="pl-PL"/>
                              </w:rPr>
                              <w:t> </w:t>
                            </w:r>
                            <w:r w:rsidR="00C10786" w:rsidRPr="00EF284D">
                              <w:rPr>
                                <w:lang w:val="pl-PL"/>
                              </w:rPr>
                              <w:t>779 zł niż</w:t>
                            </w:r>
                            <w:r w:rsidR="00C10786" w:rsidRPr="00C96DF1">
                              <w:rPr>
                                <w:lang w:val="pl-PL"/>
                              </w:rPr>
                              <w:t xml:space="preserve"> w przedsiębiorstwach niefinansowych ogółem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869F1E" id="Prostokąt 18" o:spid="_x0000_s1029" alt="Miesięczne wynagrodzenie brutto na jednego zatrudnionego w przemysłach kultury i kreatywnych było wyższe o 779 zł niż w przedsiębiorstwach niefinansowych ogółem" style="position:absolute;margin-left:450.15pt;margin-top:12.65pt;width:114.55pt;height:94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" filled="f" stroked="f" strokeweight=".26mm">
                <v:textbox>
                  <w:txbxContent>
                    <w:p w14:paraId="7EFFF795" w14:textId="1508A697" w:rsidR="00C10786" w:rsidRPr="00C96DF1" w:rsidRDefault="00854E46" w:rsidP="00C96DF1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Przeci</w:t>
                      </w:r>
                      <w:r w:rsidR="00F35488">
                        <w:rPr>
                          <w:lang w:val="pl-PL"/>
                        </w:rPr>
                        <w:t>ętne m</w:t>
                      </w:r>
                      <w:r w:rsidR="00C10786" w:rsidRPr="00C96DF1">
                        <w:rPr>
                          <w:lang w:val="pl-PL"/>
                        </w:rPr>
                        <w:t>iesięczne wynagrodzenie brutto w</w:t>
                      </w:r>
                      <w:r w:rsidR="00007B0E">
                        <w:rPr>
                          <w:lang w:val="pl-PL"/>
                        </w:rPr>
                        <w:t> </w:t>
                      </w:r>
                      <w:r w:rsidR="00C10786" w:rsidRPr="00C96DF1">
                        <w:rPr>
                          <w:lang w:val="pl-PL"/>
                        </w:rPr>
                        <w:t>przemysłach kultury i</w:t>
                      </w:r>
                      <w:r w:rsidR="00007B0E">
                        <w:rPr>
                          <w:lang w:val="pl-PL"/>
                        </w:rPr>
                        <w:t> </w:t>
                      </w:r>
                      <w:r w:rsidR="00C10786" w:rsidRPr="00C96DF1">
                        <w:rPr>
                          <w:lang w:val="pl-PL"/>
                        </w:rPr>
                        <w:t xml:space="preserve">kreatywnych było </w:t>
                      </w:r>
                      <w:r w:rsidR="00C10786" w:rsidRPr="00EF284D">
                        <w:rPr>
                          <w:lang w:val="pl-PL"/>
                        </w:rPr>
                        <w:t>wyższe o</w:t>
                      </w:r>
                      <w:r w:rsidR="00007B0E">
                        <w:rPr>
                          <w:lang w:val="pl-PL"/>
                        </w:rPr>
                        <w:t> </w:t>
                      </w:r>
                      <w:r w:rsidR="00C10786" w:rsidRPr="00EF284D">
                        <w:rPr>
                          <w:lang w:val="pl-PL"/>
                        </w:rPr>
                        <w:t>779 zł niż</w:t>
                      </w:r>
                      <w:r w:rsidR="00C10786" w:rsidRPr="00C96DF1">
                        <w:rPr>
                          <w:lang w:val="pl-PL"/>
                        </w:rPr>
                        <w:t xml:space="preserve"> w przedsiębiorstwach niefinansowych ogółem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="005230F6" w:rsidRPr="00B81F77">
        <w:rPr>
          <w:rFonts w:eastAsia="Times New Roman" w:cs="Times New Roman"/>
          <w:szCs w:val="19"/>
          <w:lang w:eastAsia="pl-PL"/>
        </w:rPr>
        <w:t xml:space="preserve">Udział wynagrodzeń brutto w kosztach ogółem przedsiębiorstw zaliczanych do przemysłów kultury i kreatywnych </w:t>
      </w:r>
      <w:r w:rsidR="00D179DA">
        <w:rPr>
          <w:rFonts w:eastAsia="Times New Roman" w:cs="Times New Roman"/>
          <w:szCs w:val="19"/>
          <w:lang w:eastAsia="pl-PL"/>
        </w:rPr>
        <w:t>wyniósł</w:t>
      </w:r>
      <w:r w:rsidR="005230F6" w:rsidRPr="00B81F77">
        <w:rPr>
          <w:rFonts w:eastAsia="Times New Roman" w:cs="Times New Roman"/>
          <w:szCs w:val="19"/>
          <w:lang w:eastAsia="pl-PL"/>
        </w:rPr>
        <w:t xml:space="preserve"> 10,7%, tj. o 0,6 </w:t>
      </w:r>
      <w:r w:rsidR="005230F6" w:rsidRPr="00DA5792">
        <w:rPr>
          <w:rFonts w:eastAsia="Times New Roman" w:cs="Times New Roman"/>
          <w:szCs w:val="19"/>
          <w:lang w:eastAsia="pl-PL"/>
        </w:rPr>
        <w:t>p. proc.</w:t>
      </w:r>
      <w:r w:rsidR="005230F6" w:rsidRPr="00B81F77">
        <w:rPr>
          <w:rFonts w:eastAsia="Times New Roman" w:cs="Times New Roman"/>
          <w:szCs w:val="19"/>
          <w:lang w:eastAsia="pl-PL"/>
        </w:rPr>
        <w:t xml:space="preserve"> mniej w</w:t>
      </w:r>
      <w:r w:rsidR="006B74B7" w:rsidRPr="00B81F77">
        <w:rPr>
          <w:rFonts w:eastAsia="Times New Roman" w:cs="Times New Roman"/>
          <w:szCs w:val="19"/>
          <w:lang w:eastAsia="pl-PL"/>
        </w:rPr>
        <w:t> </w:t>
      </w:r>
      <w:r w:rsidR="005230F6" w:rsidRPr="00B81F77">
        <w:rPr>
          <w:rFonts w:eastAsia="Times New Roman" w:cs="Times New Roman"/>
          <w:szCs w:val="19"/>
          <w:lang w:eastAsia="pl-PL"/>
        </w:rPr>
        <w:t>porównaniu z 2023 r.</w:t>
      </w:r>
    </w:p>
    <w:p w14:paraId="5F3D5B61" w14:textId="636BB8F7" w:rsidR="005230F6" w:rsidRPr="00201803" w:rsidRDefault="005230F6" w:rsidP="00FD0C79">
      <w:pPr>
        <w:pStyle w:val="Tytutablicy"/>
        <w:ind w:left="851" w:hanging="851"/>
      </w:pPr>
      <w:r w:rsidRPr="00201803">
        <w:t xml:space="preserve">Tablica 1. Pracujący, przeciętne zatrudnienie i </w:t>
      </w:r>
      <w:r w:rsidR="00003556">
        <w:t xml:space="preserve">przeciętne </w:t>
      </w:r>
      <w:r w:rsidRPr="00201803">
        <w:t>wynagrodzenie w przemysłach kultury i kreatywnych w 2024 r.</w:t>
      </w:r>
    </w:p>
    <w:tbl>
      <w:tblPr>
        <w:tblStyle w:val="Siatkatabelijasna1"/>
        <w:tblW w:w="7768" w:type="dxa"/>
        <w:tblInd w:w="0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2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Pracujący, przeciętne zatrudnienie i wynagrodzenie w przemysłach kultury i kreatywnych w 2024 r."/>
        <w:tblDescription w:val="dane dostępne cyfrowo w pliku excel"/>
      </w:tblPr>
      <w:tblGrid>
        <w:gridCol w:w="2552"/>
        <w:gridCol w:w="1304"/>
        <w:gridCol w:w="1304"/>
        <w:gridCol w:w="1304"/>
        <w:gridCol w:w="1304"/>
      </w:tblGrid>
      <w:tr w:rsidR="005230F6" w:rsidRPr="00B81F77" w14:paraId="495DA22D" w14:textId="77777777" w:rsidTr="00501A4F">
        <w:trPr>
          <w:trHeight w:val="113"/>
          <w:tblHeader/>
        </w:trPr>
        <w:tc>
          <w:tcPr>
            <w:tcW w:w="2552" w:type="dxa"/>
            <w:vAlign w:val="center"/>
            <w:hideMark/>
          </w:tcPr>
          <w:p w14:paraId="4FE78D5A" w14:textId="77777777" w:rsidR="005230F6" w:rsidRPr="00EA59A7" w:rsidRDefault="005230F6" w:rsidP="003A39B7">
            <w:pPr>
              <w:pStyle w:val="Tablicagwkarodek"/>
            </w:pPr>
            <w:r w:rsidRPr="00B81F77">
              <w:t>Wyszczególnienie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CED424B" w14:textId="77777777" w:rsidR="005230F6" w:rsidRDefault="005230F6" w:rsidP="003A39B7">
            <w:pPr>
              <w:pStyle w:val="Tablicagwkarodek"/>
              <w:rPr>
                <w:vertAlign w:val="superscript"/>
              </w:rPr>
            </w:pPr>
            <w:r w:rsidRPr="00B81F77">
              <w:t xml:space="preserve">Liczba </w:t>
            </w:r>
            <w:proofErr w:type="spellStart"/>
            <w:r w:rsidRPr="00B81F77">
              <w:t>pracujących</w:t>
            </w:r>
            <w:r w:rsidR="00EA59A7">
              <w:rPr>
                <w:vertAlign w:val="superscript"/>
              </w:rPr>
              <w:t>a</w:t>
            </w:r>
            <w:proofErr w:type="spellEnd"/>
          </w:p>
          <w:p w14:paraId="3ED072C7" w14:textId="1F3564C9" w:rsidR="008D0F56" w:rsidRPr="00F35488" w:rsidRDefault="009D4A46" w:rsidP="003A39B7">
            <w:pPr>
              <w:pStyle w:val="Tablicagwkarodek"/>
            </w:pPr>
            <w:r>
              <w:t>(</w:t>
            </w:r>
            <w:r w:rsidR="008D0F56" w:rsidRPr="00F35488">
              <w:t>w osobach</w:t>
            </w:r>
            <w:r>
              <w:t>)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DD01FCC" w14:textId="7CA4FE9C" w:rsidR="005230F6" w:rsidRPr="00B81F77" w:rsidRDefault="005230F6" w:rsidP="003A39B7">
            <w:pPr>
              <w:pStyle w:val="Tablicagwkarodek"/>
            </w:pPr>
            <w:r w:rsidRPr="00B81F77">
              <w:t>Przeciętne zatrudnienie</w:t>
            </w:r>
            <w:r w:rsidR="00D55B5E">
              <w:t xml:space="preserve"> (w etatach)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F1E2FAD" w14:textId="7C40DC05" w:rsidR="005230F6" w:rsidRPr="00B81F77" w:rsidRDefault="005230F6" w:rsidP="003A39B7">
            <w:pPr>
              <w:pStyle w:val="Tablicagwkarodek"/>
            </w:pPr>
            <w:proofErr w:type="spellStart"/>
            <w:r w:rsidRPr="00B81F77">
              <w:t>Wynagro</w:t>
            </w:r>
            <w:r w:rsidR="003B546E">
              <w:t>-</w:t>
            </w:r>
            <w:r w:rsidRPr="00B81F77">
              <w:t>dzenia</w:t>
            </w:r>
            <w:proofErr w:type="spellEnd"/>
            <w:r w:rsidRPr="00B81F77">
              <w:t xml:space="preserve"> brutto w</w:t>
            </w:r>
            <w:r w:rsidR="00FA2B00">
              <w:t> </w:t>
            </w:r>
            <w:r w:rsidRPr="00B81F77">
              <w:t>tys.</w:t>
            </w:r>
            <w:r w:rsidR="00FA2B00">
              <w:t> </w:t>
            </w:r>
            <w:r w:rsidRPr="00B81F77">
              <w:t>zł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2605D8DF" w14:textId="755B955A" w:rsidR="005230F6" w:rsidRPr="00B81F77" w:rsidRDefault="00713788" w:rsidP="003A39B7">
            <w:pPr>
              <w:pStyle w:val="Tablicagwkarodek"/>
            </w:pPr>
            <w:r>
              <w:t>Przeciętne m</w:t>
            </w:r>
            <w:r w:rsidR="005230F6" w:rsidRPr="00B81F77">
              <w:t xml:space="preserve">iesięczne </w:t>
            </w:r>
            <w:proofErr w:type="spellStart"/>
            <w:r w:rsidR="005230F6" w:rsidRPr="00B81F77">
              <w:t>wynagro</w:t>
            </w:r>
            <w:r w:rsidR="003B546E">
              <w:t>-</w:t>
            </w:r>
            <w:r w:rsidR="005230F6" w:rsidRPr="00B81F77">
              <w:t>dzenie</w:t>
            </w:r>
            <w:proofErr w:type="spellEnd"/>
            <w:r w:rsidR="005230F6" w:rsidRPr="00B81F77">
              <w:t xml:space="preserve"> brutto </w:t>
            </w:r>
            <w:r w:rsidR="00003556">
              <w:t>(</w:t>
            </w:r>
            <w:r w:rsidR="005230F6" w:rsidRPr="00B81F77">
              <w:t>na</w:t>
            </w:r>
            <w:r w:rsidR="007D6F32">
              <w:t> </w:t>
            </w:r>
            <w:r w:rsidR="005230F6" w:rsidRPr="00B81F77">
              <w:t>1</w:t>
            </w:r>
            <w:r w:rsidR="007D6F32">
              <w:t> </w:t>
            </w:r>
            <w:r w:rsidR="00D55B5E">
              <w:t>etat</w:t>
            </w:r>
            <w:r w:rsidR="00003556">
              <w:t>)</w:t>
            </w:r>
            <w:r w:rsidR="00F75563">
              <w:t xml:space="preserve"> </w:t>
            </w:r>
            <w:r w:rsidR="00F75563">
              <w:br/>
              <w:t>w zł</w:t>
            </w:r>
            <w:r w:rsidR="00D55B5E">
              <w:t xml:space="preserve"> </w:t>
            </w:r>
          </w:p>
        </w:tc>
      </w:tr>
      <w:tr w:rsidR="005230F6" w:rsidRPr="00B81F77" w14:paraId="2BD262B3" w14:textId="77777777" w:rsidTr="00501A4F">
        <w:trPr>
          <w:trHeight w:val="113"/>
          <w:tblHeader/>
        </w:trPr>
        <w:tc>
          <w:tcPr>
            <w:tcW w:w="2552" w:type="dxa"/>
            <w:vAlign w:val="center"/>
            <w:hideMark/>
          </w:tcPr>
          <w:p w14:paraId="282376E9" w14:textId="77777777" w:rsidR="005230F6" w:rsidRPr="00B81F77" w:rsidRDefault="005230F6" w:rsidP="00076670">
            <w:pPr>
              <w:pStyle w:val="Tablicaboczek"/>
              <w:rPr>
                <w:rFonts w:cs="Fira Sans"/>
                <w:b/>
                <w:spacing w:val="-1"/>
              </w:rPr>
            </w:pPr>
            <w:r w:rsidRPr="00B81F77">
              <w:rPr>
                <w:rFonts w:cs="Fira Sans"/>
                <w:b/>
                <w:spacing w:val="-1"/>
              </w:rPr>
              <w:t>Ogółem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739584F6" w14:textId="77777777" w:rsidR="005230F6" w:rsidRPr="00B81F77" w:rsidRDefault="005230F6" w:rsidP="00076670">
            <w:pPr>
              <w:pStyle w:val="Tablicadanerodek"/>
              <w:rPr>
                <w:b/>
              </w:rPr>
            </w:pPr>
            <w:r w:rsidRPr="00B81F77">
              <w:rPr>
                <w:rFonts w:cs="Arial"/>
                <w:b/>
                <w:bCs/>
                <w:color w:val="000000"/>
              </w:rPr>
              <w:t>281 047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4A1AB3AC" w14:textId="77777777" w:rsidR="005230F6" w:rsidRPr="00B81F77" w:rsidRDefault="005230F6" w:rsidP="00076670">
            <w:pPr>
              <w:pStyle w:val="Tablicadanerodek"/>
              <w:rPr>
                <w:b/>
              </w:rPr>
            </w:pPr>
            <w:r w:rsidRPr="00B81F77">
              <w:rPr>
                <w:rFonts w:cs="Arial"/>
                <w:b/>
                <w:bCs/>
                <w:color w:val="000000"/>
              </w:rPr>
              <w:t>96 479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7D6BB34F" w14:textId="77777777" w:rsidR="005230F6" w:rsidRPr="00B81F77" w:rsidRDefault="005230F6" w:rsidP="00076670">
            <w:pPr>
              <w:pStyle w:val="Tablicadanerodek"/>
              <w:rPr>
                <w:b/>
              </w:rPr>
            </w:pPr>
            <w:r w:rsidRPr="00B81F77">
              <w:rPr>
                <w:rFonts w:cs="Arial"/>
                <w:b/>
                <w:bCs/>
                <w:color w:val="000000"/>
              </w:rPr>
              <w:t>10 643 170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27CAD822" w14:textId="77777777" w:rsidR="005230F6" w:rsidRPr="00B81F77" w:rsidRDefault="005230F6" w:rsidP="00076670">
            <w:pPr>
              <w:pStyle w:val="Tablicadanerodek"/>
              <w:rPr>
                <w:b/>
              </w:rPr>
            </w:pPr>
            <w:r w:rsidRPr="00B81F77">
              <w:rPr>
                <w:rFonts w:cs="Arial"/>
                <w:b/>
                <w:bCs/>
                <w:color w:val="000000"/>
              </w:rPr>
              <w:t>9 193</w:t>
            </w:r>
          </w:p>
        </w:tc>
      </w:tr>
      <w:tr w:rsidR="005230F6" w:rsidRPr="00B81F77" w14:paraId="0D0127BD" w14:textId="77777777" w:rsidTr="00501A4F">
        <w:trPr>
          <w:trHeight w:val="113"/>
          <w:tblHeader/>
        </w:trPr>
        <w:tc>
          <w:tcPr>
            <w:tcW w:w="2552" w:type="dxa"/>
            <w:vAlign w:val="center"/>
            <w:hideMark/>
          </w:tcPr>
          <w:p w14:paraId="41213868" w14:textId="50AFF152" w:rsidR="005230F6" w:rsidRPr="00B81F77" w:rsidRDefault="00C647DE" w:rsidP="00076670">
            <w:pPr>
              <w:pStyle w:val="Tablicaboczek"/>
              <w:ind w:left="176"/>
              <w:rPr>
                <w:rFonts w:cs="Fira Sans"/>
                <w:spacing w:val="-1"/>
              </w:rPr>
            </w:pPr>
            <w:r>
              <w:rPr>
                <w:rFonts w:cs="Fira Sans"/>
                <w:spacing w:val="-1"/>
              </w:rPr>
              <w:t>M</w:t>
            </w:r>
            <w:r w:rsidR="005230F6" w:rsidRPr="00B81F77">
              <w:rPr>
                <w:rFonts w:cs="Fira Sans"/>
                <w:spacing w:val="-1"/>
              </w:rPr>
              <w:t>ikroprzedsiębiorstwa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327DBD48" w14:textId="77777777" w:rsidR="005230F6" w:rsidRPr="00B81F77" w:rsidRDefault="005230F6" w:rsidP="00076670">
            <w:pPr>
              <w:pStyle w:val="Tablicadanerodek"/>
            </w:pPr>
            <w:r w:rsidRPr="00B81F77">
              <w:rPr>
                <w:rFonts w:cs="Arial"/>
                <w:color w:val="000000"/>
              </w:rPr>
              <w:t>221 347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1CD34248" w14:textId="77777777" w:rsidR="005230F6" w:rsidRPr="00B81F77" w:rsidRDefault="005230F6" w:rsidP="00076670">
            <w:pPr>
              <w:pStyle w:val="Tablicadanerodek"/>
            </w:pPr>
            <w:r w:rsidRPr="00B81F77">
              <w:rPr>
                <w:rFonts w:cs="Arial"/>
                <w:color w:val="000000"/>
              </w:rPr>
              <w:t>39 467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6FA296CD" w14:textId="77777777" w:rsidR="005230F6" w:rsidRPr="00B81F77" w:rsidRDefault="005230F6" w:rsidP="00076670">
            <w:pPr>
              <w:pStyle w:val="Tablicadanerodek"/>
            </w:pPr>
            <w:r w:rsidRPr="00B81F77">
              <w:rPr>
                <w:rFonts w:cs="Arial"/>
                <w:color w:val="000000"/>
              </w:rPr>
              <w:t>2 691 377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4B801DB9" w14:textId="77777777" w:rsidR="005230F6" w:rsidRPr="00B81F77" w:rsidRDefault="005230F6" w:rsidP="00076670">
            <w:pPr>
              <w:pStyle w:val="Tablicadanerodek"/>
            </w:pPr>
            <w:r w:rsidRPr="00B81F77">
              <w:rPr>
                <w:rFonts w:cs="Arial"/>
                <w:color w:val="000000"/>
              </w:rPr>
              <w:t>5 683</w:t>
            </w:r>
          </w:p>
        </w:tc>
      </w:tr>
      <w:tr w:rsidR="005230F6" w:rsidRPr="00B81F77" w14:paraId="2F690885" w14:textId="77777777" w:rsidTr="00501A4F">
        <w:trPr>
          <w:trHeight w:val="113"/>
          <w:tblHeader/>
        </w:trPr>
        <w:tc>
          <w:tcPr>
            <w:tcW w:w="2552" w:type="dxa"/>
            <w:vAlign w:val="center"/>
            <w:hideMark/>
          </w:tcPr>
          <w:p w14:paraId="005E35DC" w14:textId="4035D7DF" w:rsidR="005230F6" w:rsidRPr="00B81F77" w:rsidRDefault="00C647DE" w:rsidP="00076670">
            <w:pPr>
              <w:pStyle w:val="Tablicaboczek"/>
              <w:ind w:left="176"/>
              <w:rPr>
                <w:rFonts w:cs="Fira Sans"/>
                <w:spacing w:val="-1"/>
              </w:rPr>
            </w:pPr>
            <w:r>
              <w:rPr>
                <w:rFonts w:cs="Fira Sans"/>
                <w:spacing w:val="-1"/>
              </w:rPr>
              <w:t>M</w:t>
            </w:r>
            <w:r w:rsidR="005230F6" w:rsidRPr="00B81F77">
              <w:rPr>
                <w:rFonts w:cs="Fira Sans"/>
                <w:spacing w:val="-1"/>
              </w:rPr>
              <w:t xml:space="preserve">ałe przedsiębiorstwa 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3944F53D" w14:textId="77777777" w:rsidR="005230F6" w:rsidRPr="00B81F77" w:rsidRDefault="005230F6" w:rsidP="00076670">
            <w:pPr>
              <w:pStyle w:val="Tablicadanerodek"/>
            </w:pPr>
            <w:r w:rsidRPr="00B81F77">
              <w:rPr>
                <w:rFonts w:cs="Arial"/>
                <w:color w:val="000000"/>
              </w:rPr>
              <w:t>18 029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25810778" w14:textId="77777777" w:rsidR="005230F6" w:rsidRPr="00B81F77" w:rsidRDefault="005230F6" w:rsidP="00076670">
            <w:pPr>
              <w:pStyle w:val="Tablicadanerodek"/>
            </w:pPr>
            <w:r w:rsidRPr="00B81F77">
              <w:rPr>
                <w:rFonts w:cs="Arial"/>
                <w:color w:val="000000"/>
              </w:rPr>
              <w:t>16 796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62085471" w14:textId="77777777" w:rsidR="005230F6" w:rsidRPr="00B81F77" w:rsidRDefault="005230F6" w:rsidP="00076670">
            <w:pPr>
              <w:pStyle w:val="Tablicadanerodek"/>
            </w:pPr>
            <w:r w:rsidRPr="00B81F77">
              <w:rPr>
                <w:rFonts w:cs="Arial"/>
                <w:color w:val="000000"/>
              </w:rPr>
              <w:t>2 085 960</w:t>
            </w:r>
          </w:p>
        </w:tc>
        <w:tc>
          <w:tcPr>
            <w:tcW w:w="1304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749C68AF" w14:textId="77777777" w:rsidR="005230F6" w:rsidRPr="00B81F77" w:rsidRDefault="005230F6" w:rsidP="00076670">
            <w:pPr>
              <w:pStyle w:val="Tablicadanerodek"/>
            </w:pPr>
            <w:r w:rsidRPr="00B81F77">
              <w:rPr>
                <w:rFonts w:cs="Arial"/>
                <w:color w:val="000000"/>
              </w:rPr>
              <w:t>10 349</w:t>
            </w:r>
          </w:p>
        </w:tc>
      </w:tr>
      <w:tr w:rsidR="005230F6" w:rsidRPr="00B81F77" w14:paraId="2C9AB57D" w14:textId="77777777" w:rsidTr="00501A4F">
        <w:trPr>
          <w:trHeight w:val="113"/>
          <w:tblHeader/>
        </w:trPr>
        <w:tc>
          <w:tcPr>
            <w:tcW w:w="2552" w:type="dxa"/>
            <w:tcBorders>
              <w:bottom w:val="single" w:sz="4" w:space="0" w:color="001D77"/>
            </w:tcBorders>
            <w:vAlign w:val="center"/>
            <w:hideMark/>
          </w:tcPr>
          <w:p w14:paraId="6B78B566" w14:textId="6B48E90C" w:rsidR="005230F6" w:rsidRPr="00B81F77" w:rsidRDefault="00C647DE" w:rsidP="00C647DE">
            <w:pPr>
              <w:pStyle w:val="Tablicaboczek"/>
              <w:ind w:left="176" w:right="-57"/>
              <w:rPr>
                <w:rFonts w:cs="Fira Sans"/>
                <w:spacing w:val="-1"/>
              </w:rPr>
            </w:pPr>
            <w:r>
              <w:rPr>
                <w:rFonts w:cs="Fira Sans"/>
                <w:spacing w:val="-1"/>
              </w:rPr>
              <w:t>Ś</w:t>
            </w:r>
            <w:r w:rsidR="005230F6" w:rsidRPr="00B81F77">
              <w:rPr>
                <w:rFonts w:cs="Fira Sans"/>
                <w:spacing w:val="-1"/>
              </w:rPr>
              <w:t>rednie przedsiębiorstwa</w:t>
            </w:r>
          </w:p>
        </w:tc>
        <w:tc>
          <w:tcPr>
            <w:tcW w:w="1304" w:type="dxa"/>
            <w:tcBorders>
              <w:bottom w:val="single" w:sz="4" w:space="0" w:color="001D77"/>
            </w:tcBorders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10D3F727" w14:textId="77777777" w:rsidR="005230F6" w:rsidRPr="00B81F77" w:rsidRDefault="005230F6" w:rsidP="00076670">
            <w:pPr>
              <w:pStyle w:val="Tablicadanerodek"/>
            </w:pPr>
            <w:r w:rsidRPr="00B81F77">
              <w:rPr>
                <w:rFonts w:cs="Arial"/>
                <w:color w:val="000000"/>
              </w:rPr>
              <w:t>16 524</w:t>
            </w:r>
          </w:p>
        </w:tc>
        <w:tc>
          <w:tcPr>
            <w:tcW w:w="1304" w:type="dxa"/>
            <w:tcBorders>
              <w:bottom w:val="single" w:sz="4" w:space="0" w:color="001D77"/>
            </w:tcBorders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2EBD58A1" w14:textId="77777777" w:rsidR="005230F6" w:rsidRPr="00B81F77" w:rsidRDefault="005230F6" w:rsidP="00076670">
            <w:pPr>
              <w:pStyle w:val="Tablicadanerodek"/>
            </w:pPr>
            <w:r w:rsidRPr="00B81F77">
              <w:rPr>
                <w:rFonts w:cs="Arial"/>
                <w:color w:val="000000"/>
              </w:rPr>
              <w:t>15 680</w:t>
            </w:r>
          </w:p>
        </w:tc>
        <w:tc>
          <w:tcPr>
            <w:tcW w:w="1304" w:type="dxa"/>
            <w:tcBorders>
              <w:bottom w:val="single" w:sz="4" w:space="0" w:color="001D77"/>
            </w:tcBorders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30FDDA94" w14:textId="77777777" w:rsidR="005230F6" w:rsidRPr="00B81F77" w:rsidRDefault="005230F6" w:rsidP="00076670">
            <w:pPr>
              <w:pStyle w:val="Tablicadanerodek"/>
            </w:pPr>
            <w:r w:rsidRPr="00B81F77">
              <w:rPr>
                <w:rFonts w:cs="Arial"/>
                <w:color w:val="000000"/>
              </w:rPr>
              <w:t>2 254 753</w:t>
            </w:r>
          </w:p>
        </w:tc>
        <w:tc>
          <w:tcPr>
            <w:tcW w:w="1304" w:type="dxa"/>
            <w:tcBorders>
              <w:bottom w:val="single" w:sz="4" w:space="0" w:color="001D77"/>
            </w:tcBorders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15B71B30" w14:textId="77777777" w:rsidR="005230F6" w:rsidRPr="00B81F77" w:rsidRDefault="005230F6" w:rsidP="00076670">
            <w:pPr>
              <w:pStyle w:val="Tablicadanerodek"/>
            </w:pPr>
            <w:r w:rsidRPr="00B81F77">
              <w:rPr>
                <w:rFonts w:cs="Arial"/>
                <w:color w:val="000000"/>
              </w:rPr>
              <w:t>11 983</w:t>
            </w:r>
          </w:p>
        </w:tc>
      </w:tr>
      <w:tr w:rsidR="005230F6" w:rsidRPr="00B81F77" w14:paraId="30A8E73C" w14:textId="77777777" w:rsidTr="00501A4F">
        <w:trPr>
          <w:trHeight w:val="113"/>
          <w:tblHeader/>
        </w:trPr>
        <w:tc>
          <w:tcPr>
            <w:tcW w:w="2552" w:type="dxa"/>
            <w:tcBorders>
              <w:bottom w:val="nil"/>
            </w:tcBorders>
            <w:vAlign w:val="center"/>
            <w:hideMark/>
          </w:tcPr>
          <w:p w14:paraId="463146F7" w14:textId="2D8DDF3A" w:rsidR="005230F6" w:rsidRPr="00B81F77" w:rsidRDefault="00C647DE" w:rsidP="00076670">
            <w:pPr>
              <w:pStyle w:val="Tablicaboczek"/>
              <w:ind w:left="176"/>
              <w:rPr>
                <w:rFonts w:cs="Fira Sans"/>
                <w:spacing w:val="-1"/>
              </w:rPr>
            </w:pPr>
            <w:r>
              <w:rPr>
                <w:rFonts w:cs="Fira Sans"/>
                <w:spacing w:val="-1"/>
              </w:rPr>
              <w:t>D</w:t>
            </w:r>
            <w:r w:rsidR="005230F6" w:rsidRPr="00B81F77">
              <w:rPr>
                <w:rFonts w:cs="Fira Sans"/>
                <w:spacing w:val="-1"/>
              </w:rPr>
              <w:t>uże przedsiębiorstwa</w:t>
            </w:r>
          </w:p>
        </w:tc>
        <w:tc>
          <w:tcPr>
            <w:tcW w:w="1304" w:type="dxa"/>
            <w:tcBorders>
              <w:bottom w:val="nil"/>
            </w:tcBorders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6B7C414D" w14:textId="77777777" w:rsidR="005230F6" w:rsidRPr="00B81F77" w:rsidRDefault="005230F6" w:rsidP="00076670">
            <w:pPr>
              <w:pStyle w:val="Tablicadanerodek"/>
            </w:pPr>
            <w:r w:rsidRPr="00B81F77">
              <w:rPr>
                <w:rFonts w:cs="Arial"/>
                <w:color w:val="000000"/>
              </w:rPr>
              <w:t>25 147</w:t>
            </w:r>
          </w:p>
        </w:tc>
        <w:tc>
          <w:tcPr>
            <w:tcW w:w="1304" w:type="dxa"/>
            <w:tcBorders>
              <w:bottom w:val="nil"/>
            </w:tcBorders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18E2236E" w14:textId="77777777" w:rsidR="005230F6" w:rsidRPr="00B81F77" w:rsidRDefault="005230F6" w:rsidP="00076670">
            <w:pPr>
              <w:pStyle w:val="Tablicadanerodek"/>
            </w:pPr>
            <w:r w:rsidRPr="00B81F77">
              <w:rPr>
                <w:rFonts w:cs="Arial"/>
                <w:color w:val="000000"/>
              </w:rPr>
              <w:t>24 536</w:t>
            </w:r>
          </w:p>
        </w:tc>
        <w:tc>
          <w:tcPr>
            <w:tcW w:w="1304" w:type="dxa"/>
            <w:tcBorders>
              <w:bottom w:val="nil"/>
            </w:tcBorders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36760190" w14:textId="77777777" w:rsidR="005230F6" w:rsidRPr="00B81F77" w:rsidRDefault="005230F6" w:rsidP="00076670">
            <w:pPr>
              <w:pStyle w:val="Tablicadanerodek"/>
            </w:pPr>
            <w:r w:rsidRPr="00B81F77">
              <w:rPr>
                <w:rFonts w:cs="Arial"/>
                <w:color w:val="000000"/>
              </w:rPr>
              <w:t>3 611 080</w:t>
            </w:r>
          </w:p>
        </w:tc>
        <w:tc>
          <w:tcPr>
            <w:tcW w:w="1304" w:type="dxa"/>
            <w:tcBorders>
              <w:bottom w:val="nil"/>
            </w:tcBorders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6826B98B" w14:textId="77777777" w:rsidR="005230F6" w:rsidRPr="00B81F77" w:rsidRDefault="005230F6" w:rsidP="00076670">
            <w:pPr>
              <w:pStyle w:val="Tablicadanerodek"/>
            </w:pPr>
            <w:r w:rsidRPr="00B81F77">
              <w:rPr>
                <w:rFonts w:cs="Arial"/>
                <w:color w:val="000000"/>
              </w:rPr>
              <w:t>12 265</w:t>
            </w:r>
          </w:p>
        </w:tc>
      </w:tr>
    </w:tbl>
    <w:p w14:paraId="5ABBA530" w14:textId="59AA7391" w:rsidR="005230F6" w:rsidRPr="00A014B0" w:rsidRDefault="005230F6" w:rsidP="00BB60F5">
      <w:pPr>
        <w:pStyle w:val="Tablicanotka"/>
        <w:rPr>
          <w:bCs/>
          <w:szCs w:val="16"/>
          <w:lang w:val="pl-PL"/>
        </w:rPr>
      </w:pPr>
      <w:r w:rsidRPr="00A014B0">
        <w:rPr>
          <w:lang w:val="pl-PL"/>
        </w:rPr>
        <w:t>a Stan w dniu 31 grudnia</w:t>
      </w:r>
      <w:r w:rsidRPr="00A014B0">
        <w:rPr>
          <w:szCs w:val="16"/>
          <w:shd w:val="clear" w:color="auto" w:fill="FFFFFF"/>
          <w:lang w:val="pl-PL"/>
        </w:rPr>
        <w:t>.</w:t>
      </w:r>
    </w:p>
    <w:p w14:paraId="6BBD0BB6" w14:textId="447ECF70" w:rsidR="005230F6" w:rsidRPr="00B81F77" w:rsidRDefault="005230F6" w:rsidP="005230F6">
      <w:pPr>
        <w:pStyle w:val="Nagwek2"/>
        <w:rPr>
          <w:lang w:val="pl-PL"/>
        </w:rPr>
      </w:pPr>
      <w:r w:rsidRPr="00B81F77">
        <w:rPr>
          <w:lang w:val="pl-PL"/>
        </w:rPr>
        <w:t>Wyniki finansowe</w:t>
      </w:r>
    </w:p>
    <w:p w14:paraId="4E7726D3" w14:textId="46FEC9CE" w:rsidR="005230F6" w:rsidRPr="00B81F77" w:rsidRDefault="005230F6" w:rsidP="005230F6">
      <w:pPr>
        <w:rPr>
          <w:rFonts w:eastAsia="Times New Roman" w:cs="Times New Roman"/>
          <w:szCs w:val="19"/>
          <w:lang w:eastAsia="pl-PL"/>
        </w:rPr>
      </w:pPr>
      <w:r w:rsidRPr="00B81F77">
        <w:rPr>
          <w:rFonts w:eastAsia="Times New Roman" w:cs="Times New Roman"/>
          <w:szCs w:val="19"/>
          <w:lang w:eastAsia="pl-PL"/>
        </w:rPr>
        <w:t>W 2024 r. podmioty funkcjonujące w obszarze przemysłów kultury i kreatywnych uzyskały przychody ogółem w wysokości 115,5 mld zł, przy kosztach ogółem wynoszących 99,1 mld zł. Podobnie jak w poprzednich latach, odnotowano dodatni wynik finansowy, czyli nadwyżkę przychodów nad kosztami, która wyniosła 16,5 mld zł (o 0,3 mld zł mniej niż w 2023 r.). W</w:t>
      </w:r>
      <w:r w:rsidR="006B74B7" w:rsidRPr="00B81F77">
        <w:rPr>
          <w:rFonts w:eastAsia="Times New Roman" w:cs="Times New Roman"/>
          <w:szCs w:val="19"/>
          <w:lang w:eastAsia="pl-PL"/>
        </w:rPr>
        <w:t> </w:t>
      </w:r>
      <w:r w:rsidRPr="00B81F77">
        <w:rPr>
          <w:rFonts w:eastAsia="Times New Roman" w:cs="Times New Roman"/>
          <w:szCs w:val="19"/>
          <w:lang w:eastAsia="pl-PL"/>
        </w:rPr>
        <w:t>porównaniu z rokiem wcześniejszym przychody ogółem zwiększyły się o 10,8%, natomiast koszty ogółem wzrosły o 13,2%.</w:t>
      </w:r>
    </w:p>
    <w:p w14:paraId="005D7AE7" w14:textId="78100A54" w:rsidR="00CF77D0" w:rsidRDefault="005230F6" w:rsidP="005230F6">
      <w:pPr>
        <w:rPr>
          <w:rFonts w:eastAsia="Times New Roman" w:cs="Times New Roman"/>
          <w:szCs w:val="19"/>
          <w:lang w:eastAsia="pl-PL"/>
        </w:rPr>
      </w:pPr>
      <w:r w:rsidRPr="00B81F77">
        <w:rPr>
          <w:rFonts w:eastAsia="Times New Roman" w:cs="Times New Roman"/>
          <w:szCs w:val="19"/>
          <w:lang w:eastAsia="pl-PL"/>
        </w:rPr>
        <w:t xml:space="preserve">W 2024 r. wskaźnik poziomu kosztów, rozumiany jako relacja kosztów ogółem do przychodów ogółem, w przypadku przemysłów kultury i kreatywnych osiągnął wartość 85,7% (o 1,8 </w:t>
      </w:r>
      <w:r w:rsidRPr="00DA5792">
        <w:rPr>
          <w:rFonts w:eastAsia="Times New Roman" w:cs="Times New Roman"/>
          <w:szCs w:val="19"/>
          <w:lang w:eastAsia="pl-PL"/>
        </w:rPr>
        <w:t>p. proc.</w:t>
      </w:r>
      <w:r w:rsidRPr="00B81F77">
        <w:rPr>
          <w:rFonts w:eastAsia="Times New Roman" w:cs="Times New Roman"/>
          <w:szCs w:val="19"/>
          <w:lang w:eastAsia="pl-PL"/>
        </w:rPr>
        <w:t xml:space="preserve"> więcej w porównaniu z 2023 r.). Wskaźnik ten był o 6,5 p. proc. niższy niż w przypadku wszystkich przedsiębiorstw niefinansowych. </w:t>
      </w:r>
    </w:p>
    <w:p w14:paraId="4C194119" w14:textId="22E45DFF" w:rsidR="005230F6" w:rsidRPr="00B81F77" w:rsidRDefault="005230F6" w:rsidP="005230F6">
      <w:pPr>
        <w:rPr>
          <w:rFonts w:eastAsia="Times New Roman" w:cs="Times New Roman"/>
          <w:szCs w:val="19"/>
          <w:lang w:eastAsia="pl-PL"/>
        </w:rPr>
      </w:pPr>
      <w:r w:rsidRPr="00B81F77">
        <w:rPr>
          <w:rFonts w:eastAsia="Times New Roman" w:cs="Times New Roman"/>
          <w:szCs w:val="19"/>
          <w:lang w:eastAsia="pl-PL"/>
        </w:rPr>
        <w:t>Koszty ogółem w przeliczeniu na jeden podmiot</w:t>
      </w:r>
      <w:r w:rsidR="00E7567B">
        <w:rPr>
          <w:rFonts w:eastAsia="Times New Roman" w:cs="Times New Roman"/>
          <w:szCs w:val="19"/>
          <w:lang w:eastAsia="pl-PL"/>
        </w:rPr>
        <w:t> </w:t>
      </w:r>
      <w:r w:rsidRPr="00B81F77">
        <w:rPr>
          <w:rFonts w:eastAsia="Times New Roman" w:cs="Times New Roman"/>
          <w:szCs w:val="19"/>
          <w:lang w:eastAsia="pl-PL"/>
        </w:rPr>
        <w:t>wyniosły 689,4 tys. zł (o 16,1 tys. zł mniej niż rok wcześniej), natomiast przychody ogółem – 804,1 tys. zł (o 36,7</w:t>
      </w:r>
      <w:r w:rsidR="004255D2" w:rsidRPr="00B81F77">
        <w:rPr>
          <w:rFonts w:eastAsia="Times New Roman" w:cs="Times New Roman"/>
          <w:szCs w:val="19"/>
          <w:lang w:eastAsia="pl-PL"/>
        </w:rPr>
        <w:t xml:space="preserve"> </w:t>
      </w:r>
      <w:r w:rsidRPr="00B81F77">
        <w:rPr>
          <w:rFonts w:eastAsia="Times New Roman" w:cs="Times New Roman"/>
          <w:szCs w:val="19"/>
          <w:lang w:eastAsia="pl-PL"/>
        </w:rPr>
        <w:t>tys. zł mniej niż w 2023 r.). Udział przychodów i kosztów ogółem generowanych przez obszar przemysłów kultury i</w:t>
      </w:r>
      <w:r w:rsidR="00D227DB">
        <w:rPr>
          <w:rFonts w:eastAsia="Times New Roman" w:cs="Times New Roman"/>
          <w:szCs w:val="19"/>
          <w:lang w:eastAsia="pl-PL"/>
        </w:rPr>
        <w:t> </w:t>
      </w:r>
      <w:r w:rsidRPr="00B81F77">
        <w:rPr>
          <w:rFonts w:eastAsia="Times New Roman" w:cs="Times New Roman"/>
          <w:szCs w:val="19"/>
          <w:lang w:eastAsia="pl-PL"/>
        </w:rPr>
        <w:t>kreatywnych w łącznych przychodach i</w:t>
      </w:r>
      <w:r w:rsidR="006B74B7" w:rsidRPr="00B81F77">
        <w:rPr>
          <w:rFonts w:eastAsia="Times New Roman" w:cs="Times New Roman"/>
          <w:szCs w:val="19"/>
          <w:lang w:eastAsia="pl-PL"/>
        </w:rPr>
        <w:t> </w:t>
      </w:r>
      <w:r w:rsidRPr="00B81F77">
        <w:rPr>
          <w:rFonts w:eastAsia="Times New Roman" w:cs="Times New Roman"/>
          <w:szCs w:val="19"/>
          <w:lang w:eastAsia="pl-PL"/>
        </w:rPr>
        <w:t>kosztach wszystkich przedsiębiorstw niefinansowych wyniósł odpowiednio 1,4% oraz 1,3%.</w:t>
      </w:r>
    </w:p>
    <w:p w14:paraId="7FE32AC1" w14:textId="1CE9D7D7" w:rsidR="005230F6" w:rsidRPr="00B81F77" w:rsidRDefault="005230F6" w:rsidP="005230F6">
      <w:pPr>
        <w:rPr>
          <w:rFonts w:eastAsia="Times New Roman" w:cs="Times New Roman"/>
          <w:szCs w:val="19"/>
          <w:lang w:eastAsia="pl-PL"/>
        </w:rPr>
      </w:pPr>
      <w:r w:rsidRPr="00B81F77">
        <w:rPr>
          <w:rFonts w:eastAsia="Times New Roman" w:cs="Times New Roman"/>
          <w:szCs w:val="19"/>
          <w:lang w:eastAsia="pl-PL"/>
        </w:rPr>
        <w:t>Wartość dodana wytworzona przez przedsiębiorstwa zaliczane do przemysłów kultury i</w:t>
      </w:r>
      <w:r w:rsidR="006B74B7" w:rsidRPr="00B81F77">
        <w:rPr>
          <w:rFonts w:eastAsia="Times New Roman" w:cs="Times New Roman"/>
          <w:szCs w:val="19"/>
          <w:lang w:eastAsia="pl-PL"/>
        </w:rPr>
        <w:t> </w:t>
      </w:r>
      <w:r w:rsidRPr="00B81F77">
        <w:rPr>
          <w:rFonts w:eastAsia="Times New Roman" w:cs="Times New Roman"/>
          <w:szCs w:val="19"/>
          <w:lang w:eastAsia="pl-PL"/>
        </w:rPr>
        <w:t>kreatywnych osiągnęła poziom 32,9 mld zł (o 0,3 mld zł więcej niż w 2023 r.), co stanowiło 1,5% wartości dodanej wypracowanej przez wszystkie przedsiębiorstwa niefinansowe.</w:t>
      </w:r>
      <w:r w:rsidRPr="00B81F77">
        <w:t xml:space="preserve"> </w:t>
      </w:r>
      <w:r w:rsidRPr="00B81F77">
        <w:rPr>
          <w:rFonts w:eastAsia="Times New Roman" w:cs="Times New Roman"/>
          <w:szCs w:val="19"/>
          <w:lang w:eastAsia="pl-PL"/>
        </w:rPr>
        <w:t>Największy wkład miały mikroprzedsiębiorstwa, które wygenerowały 14,8 mld zł, czyli 45,0% całkowitej wartości dodanej tego obszaru. W przypadku dużych przedsiębiorstw wartość dodana wyniosła 9,3 mld zł (28,1% ogółu), natomiast małych i średnich przedsiębiorstw –</w:t>
      </w:r>
      <w:r w:rsidR="00BA7A48">
        <w:rPr>
          <w:rFonts w:eastAsia="Times New Roman" w:cs="Times New Roman"/>
          <w:szCs w:val="19"/>
          <w:lang w:eastAsia="pl-PL"/>
        </w:rPr>
        <w:t xml:space="preserve"> </w:t>
      </w:r>
      <w:r w:rsidRPr="00B81F77">
        <w:rPr>
          <w:rFonts w:eastAsia="Times New Roman" w:cs="Times New Roman"/>
          <w:szCs w:val="19"/>
          <w:lang w:eastAsia="pl-PL"/>
        </w:rPr>
        <w:t xml:space="preserve">po </w:t>
      </w:r>
      <w:r w:rsidRPr="00B81F77">
        <w:rPr>
          <w:rFonts w:eastAsia="Times New Roman" w:cs="Times New Roman"/>
          <w:szCs w:val="19"/>
          <w:lang w:eastAsia="pl-PL"/>
        </w:rPr>
        <w:lastRenderedPageBreak/>
        <w:t>4,4 mld zł. W przeliczeniu na jedno przedsiębiorstwo wartość dodana w obszarze przemysłów kultury i kreatywnych była czterokrotnie niższa niż w przypadku przedsiębiorstw niefinansowych.</w:t>
      </w:r>
    </w:p>
    <w:p w14:paraId="48EC23AD" w14:textId="629576C3" w:rsidR="005230F6" w:rsidRPr="00B81F77" w:rsidRDefault="005230F6" w:rsidP="005230F6">
      <w:pPr>
        <w:pStyle w:val="Nagwek2"/>
        <w:rPr>
          <w:lang w:val="pl-PL"/>
        </w:rPr>
      </w:pPr>
      <w:r w:rsidRPr="00B81F77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6C59DDF5" wp14:editId="52F9A2CB">
                <wp:simplePos x="0" y="0"/>
                <wp:positionH relativeFrom="page">
                  <wp:posOffset>5750099</wp:posOffset>
                </wp:positionH>
                <wp:positionV relativeFrom="paragraph">
                  <wp:posOffset>284422</wp:posOffset>
                </wp:positionV>
                <wp:extent cx="1805305" cy="1569720"/>
                <wp:effectExtent l="0" t="0" r="0" b="0"/>
                <wp:wrapTight wrapText="bothSides">
                  <wp:wrapPolygon edited="0">
                    <wp:start x="684" y="0"/>
                    <wp:lineTo x="684" y="21233"/>
                    <wp:lineTo x="20741" y="21233"/>
                    <wp:lineTo x="20741" y="0"/>
                    <wp:lineTo x="684" y="0"/>
                  </wp:wrapPolygon>
                </wp:wrapTight>
                <wp:docPr id="20" name="Prostokąt 20" descr="W 2024 r. zanotowano dodatnie saldo międzynarodowego obrotu dobrami kulturalnymi i kreatywnymi w wysokości 4,5 mld zł. Saldo handlu usługami kulturalnymi i kreatywnymi było ujemne i wyniosło minus 3,1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5305" cy="156972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3F7A160" w14:textId="77777777" w:rsidR="00C10786" w:rsidRPr="00D24A15" w:rsidRDefault="00C10786" w:rsidP="00C96DF1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C96DF1">
                              <w:rPr>
                                <w:lang w:val="pl-PL"/>
                              </w:rPr>
                              <w:t xml:space="preserve">W 2024 r. zanotowano dodatnie saldo międzynarodowego obrotu dobrami kulturalnymi i kreatywnymi w wysokości 4,5 mld zł. </w:t>
                            </w:r>
                            <w:r w:rsidRPr="00D24A15">
                              <w:rPr>
                                <w:lang w:val="pl-PL"/>
                              </w:rPr>
                              <w:t>Saldo handlu usługami kulturalnymi i kreatywnymi było ujemne i wyniosło minus 3,1 mld zł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59DDF5" id="Prostokąt 20" o:spid="_x0000_s1030" alt="W 2024 r. zanotowano dodatnie saldo międzynarodowego obrotu dobrami kulturalnymi i kreatywnymi w wysokości 4,5 mld zł. Saldo handlu usługami kulturalnymi i kreatywnymi było ujemne i wyniosło minus 3,1 mld zł" style="position:absolute;margin-left:452.75pt;margin-top:22.4pt;width:142.15pt;height:123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" filled="f" stroked="f" strokeweight=".26mm">
                <v:textbox>
                  <w:txbxContent>
                    <w:p w14:paraId="53F7A160" w14:textId="77777777" w:rsidR="00C10786" w:rsidRPr="00D24A15" w:rsidRDefault="00C10786" w:rsidP="00C96DF1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C96DF1">
                        <w:rPr>
                          <w:lang w:val="pl-PL"/>
                        </w:rPr>
                        <w:t xml:space="preserve">W 2024 r. zanotowano dodatnie saldo międzynarodowego obrotu dobrami kulturalnymi i kreatywnymi w wysokości 4,5 mld zł. </w:t>
                      </w:r>
                      <w:r w:rsidRPr="00D24A15">
                        <w:rPr>
                          <w:lang w:val="pl-PL"/>
                        </w:rPr>
                        <w:t>Saldo handlu usługami kulturalnymi i kreatywnymi było ujemne i wyniosło minus 3,1 mld zł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Pr="00B81F77">
        <w:rPr>
          <w:lang w:val="pl-PL"/>
        </w:rPr>
        <w:t>Międzynarodowa wymiana dóbr i usług kulturalnych i kreatywnych</w:t>
      </w:r>
      <w:r w:rsidR="00F9737D">
        <w:rPr>
          <w:rStyle w:val="Odwoanieprzypisudolnego"/>
        </w:rPr>
        <w:footnoteReference w:id="5"/>
      </w:r>
    </w:p>
    <w:p w14:paraId="26217D8A" w14:textId="01B87335" w:rsidR="005230F6" w:rsidRPr="00B81F77" w:rsidRDefault="005230F6" w:rsidP="005230F6">
      <w:pPr>
        <w:rPr>
          <w:rFonts w:eastAsia="Times New Roman" w:cs="Times New Roman"/>
          <w:szCs w:val="19"/>
          <w:lang w:eastAsia="pl-PL"/>
        </w:rPr>
      </w:pPr>
      <w:r w:rsidRPr="00B81F77">
        <w:rPr>
          <w:rFonts w:eastAsia="Times New Roman" w:cs="Times New Roman"/>
          <w:szCs w:val="19"/>
          <w:lang w:eastAsia="pl-PL"/>
        </w:rPr>
        <w:t xml:space="preserve">W 2024 r. </w:t>
      </w:r>
      <w:r w:rsidR="00771C4B" w:rsidRPr="00B81F77">
        <w:rPr>
          <w:rFonts w:eastAsia="Times New Roman" w:cs="Times New Roman"/>
          <w:szCs w:val="19"/>
          <w:lang w:eastAsia="pl-PL"/>
        </w:rPr>
        <w:t xml:space="preserve">odnotowano </w:t>
      </w:r>
      <w:r w:rsidRPr="00B81F77">
        <w:rPr>
          <w:rFonts w:eastAsia="Times New Roman" w:cs="Times New Roman"/>
          <w:szCs w:val="19"/>
          <w:lang w:eastAsia="pl-PL"/>
        </w:rPr>
        <w:t>spadek wartości zarówno eksportu, jak i importu dóbr kulturalnych i</w:t>
      </w:r>
      <w:r w:rsidR="00373267">
        <w:rPr>
          <w:rFonts w:eastAsia="Times New Roman" w:cs="Times New Roman"/>
          <w:szCs w:val="19"/>
          <w:lang w:eastAsia="pl-PL"/>
        </w:rPr>
        <w:t> </w:t>
      </w:r>
      <w:r w:rsidRPr="00B81F77">
        <w:rPr>
          <w:rFonts w:eastAsia="Times New Roman" w:cs="Times New Roman"/>
          <w:szCs w:val="19"/>
          <w:lang w:eastAsia="pl-PL"/>
        </w:rPr>
        <w:t>kreatywnych. Łączna wartość ich sprzedaży za granicę wyniosła 10,4 mld zł, tj. o 3,4 mld zł mniej niż w 2023 r. Zmniejszyła się także wartość importu, która osiągnęła poziom 5,8 mld zł (o 3,4 mld zł mniej niż rok wcześniej). Mimo spadków wartości eksportu i importu, saldo obrotu towarami pozostało dodatnie i wyniosło 4,5 mld zł (4,6 mld zł w 2023 r.).</w:t>
      </w:r>
    </w:p>
    <w:p w14:paraId="6DD9DADE" w14:textId="3FE4C062" w:rsidR="005230F6" w:rsidRPr="00B81F77" w:rsidRDefault="005230F6" w:rsidP="005230F6">
      <w:pPr>
        <w:rPr>
          <w:rFonts w:eastAsia="Times New Roman" w:cs="Times New Roman"/>
          <w:szCs w:val="19"/>
          <w:lang w:eastAsia="pl-PL"/>
        </w:rPr>
      </w:pPr>
      <w:r w:rsidRPr="00B81F77">
        <w:rPr>
          <w:rFonts w:eastAsia="Times New Roman" w:cs="Times New Roman"/>
          <w:szCs w:val="19"/>
          <w:lang w:eastAsia="pl-PL"/>
        </w:rPr>
        <w:t>Najwyższą wartość eksportu dóbr kulturalnych i kreatywnych odnotowano w dziedzinie Książki i prasa (4,5 mld zł, tj. o 0,8 mld zł mniej niż w 2023 r.), natomiast najniższą – w</w:t>
      </w:r>
      <w:r w:rsidR="006B74B7" w:rsidRPr="00B81F77">
        <w:rPr>
          <w:rFonts w:eastAsia="Times New Roman" w:cs="Times New Roman"/>
          <w:szCs w:val="19"/>
          <w:lang w:eastAsia="pl-PL"/>
        </w:rPr>
        <w:t> </w:t>
      </w:r>
      <w:r w:rsidRPr="00B81F77">
        <w:rPr>
          <w:rFonts w:eastAsia="Times New Roman" w:cs="Times New Roman"/>
          <w:szCs w:val="19"/>
          <w:lang w:eastAsia="pl-PL"/>
        </w:rPr>
        <w:t xml:space="preserve">dziedzinie Rękodzieło artystyczne (1,1 mln zł). </w:t>
      </w:r>
      <w:r w:rsidR="00934A07" w:rsidRPr="00B81F77">
        <w:rPr>
          <w:rFonts w:eastAsia="Times New Roman" w:cs="Times New Roman"/>
          <w:szCs w:val="19"/>
          <w:lang w:eastAsia="pl-PL"/>
        </w:rPr>
        <w:t>Najwyższe</w:t>
      </w:r>
      <w:r w:rsidRPr="00B81F77">
        <w:rPr>
          <w:rFonts w:eastAsia="Times New Roman" w:cs="Times New Roman"/>
          <w:szCs w:val="19"/>
          <w:lang w:eastAsia="pl-PL"/>
        </w:rPr>
        <w:t xml:space="preserve"> saldo w obrotach towarowych wystąpiło w</w:t>
      </w:r>
      <w:r w:rsidR="004255D2" w:rsidRPr="00B81F77">
        <w:rPr>
          <w:rFonts w:eastAsia="Times New Roman" w:cs="Times New Roman"/>
          <w:szCs w:val="19"/>
          <w:lang w:eastAsia="pl-PL"/>
        </w:rPr>
        <w:t xml:space="preserve"> </w:t>
      </w:r>
      <w:r w:rsidRPr="00B81F77">
        <w:rPr>
          <w:rFonts w:eastAsia="Times New Roman" w:cs="Times New Roman"/>
          <w:szCs w:val="19"/>
          <w:lang w:eastAsia="pl-PL"/>
        </w:rPr>
        <w:t>dziedzinie Książka i prasa (2,7 mld zł), z kolei najniższe saldo zanotowano w</w:t>
      </w:r>
      <w:r w:rsidR="00373267">
        <w:rPr>
          <w:rFonts w:eastAsia="Times New Roman" w:cs="Times New Roman"/>
          <w:szCs w:val="19"/>
          <w:lang w:eastAsia="pl-PL"/>
        </w:rPr>
        <w:t> </w:t>
      </w:r>
      <w:r w:rsidR="004C6955" w:rsidRPr="00B81F77">
        <w:rPr>
          <w:rFonts w:eastAsia="Times New Roman" w:cs="Times New Roman"/>
          <w:szCs w:val="19"/>
          <w:lang w:eastAsia="pl-PL"/>
        </w:rPr>
        <w:t xml:space="preserve">dziedzinie </w:t>
      </w:r>
      <w:r w:rsidRPr="00B81F77">
        <w:rPr>
          <w:rFonts w:eastAsia="Times New Roman" w:cs="Times New Roman"/>
          <w:szCs w:val="19"/>
          <w:lang w:eastAsia="pl-PL"/>
        </w:rPr>
        <w:t>Sztuk</w:t>
      </w:r>
      <w:r w:rsidR="004C6955" w:rsidRPr="00B81F77">
        <w:rPr>
          <w:rFonts w:eastAsia="Times New Roman" w:cs="Times New Roman"/>
          <w:szCs w:val="19"/>
          <w:lang w:eastAsia="pl-PL"/>
        </w:rPr>
        <w:t>i</w:t>
      </w:r>
      <w:r w:rsidRPr="00B81F77">
        <w:rPr>
          <w:rFonts w:eastAsia="Times New Roman" w:cs="Times New Roman"/>
          <w:szCs w:val="19"/>
          <w:lang w:eastAsia="pl-PL"/>
        </w:rPr>
        <w:t xml:space="preserve"> </w:t>
      </w:r>
      <w:proofErr w:type="spellStart"/>
      <w:r w:rsidRPr="00B81F77">
        <w:rPr>
          <w:rFonts w:eastAsia="Times New Roman" w:cs="Times New Roman"/>
          <w:szCs w:val="19"/>
          <w:lang w:eastAsia="pl-PL"/>
        </w:rPr>
        <w:t>performatywn</w:t>
      </w:r>
      <w:r w:rsidR="004C6955" w:rsidRPr="00B81F77">
        <w:rPr>
          <w:rFonts w:eastAsia="Times New Roman" w:cs="Times New Roman"/>
          <w:szCs w:val="19"/>
          <w:lang w:eastAsia="pl-PL"/>
        </w:rPr>
        <w:t>e</w:t>
      </w:r>
      <w:proofErr w:type="spellEnd"/>
      <w:r w:rsidRPr="00B81F77">
        <w:rPr>
          <w:rFonts w:eastAsia="Times New Roman" w:cs="Times New Roman"/>
          <w:szCs w:val="19"/>
          <w:lang w:eastAsia="pl-PL"/>
        </w:rPr>
        <w:t xml:space="preserve"> (minus 67,3 mln zł).</w:t>
      </w:r>
    </w:p>
    <w:p w14:paraId="59AE5847" w14:textId="49256435" w:rsidR="005230F6" w:rsidRPr="00B81F77" w:rsidRDefault="005230F6" w:rsidP="005230F6">
      <w:pPr>
        <w:rPr>
          <w:rFonts w:eastAsia="Times New Roman" w:cs="Times New Roman"/>
          <w:szCs w:val="19"/>
          <w:lang w:eastAsia="pl-PL"/>
        </w:rPr>
      </w:pPr>
      <w:r w:rsidRPr="00B81F77">
        <w:rPr>
          <w:rFonts w:eastAsia="Times New Roman" w:cs="Times New Roman"/>
          <w:szCs w:val="19"/>
          <w:lang w:eastAsia="pl-PL"/>
        </w:rPr>
        <w:t>Wartość usług kulturalnych i kreatywnych dostarczonych za granicę wyniosła 19,5 mld zł (o</w:t>
      </w:r>
      <w:r w:rsidR="006B74B7" w:rsidRPr="00B81F77">
        <w:rPr>
          <w:rFonts w:eastAsia="Times New Roman" w:cs="Times New Roman"/>
          <w:szCs w:val="19"/>
          <w:lang w:eastAsia="pl-PL"/>
        </w:rPr>
        <w:t> </w:t>
      </w:r>
      <w:r w:rsidRPr="00B81F77">
        <w:rPr>
          <w:rFonts w:eastAsia="Times New Roman" w:cs="Times New Roman"/>
          <w:szCs w:val="19"/>
          <w:lang w:eastAsia="pl-PL"/>
        </w:rPr>
        <w:t>1,8 mld zł więcej niż w 2023 r.), natomiast wartość usług nabytych z zagranicy wyniosła 22,6 mld zł (o 1,9 mld zł więcej niż w 2023 r.). W rezultacie saldo obrotów usługami było ujemne i wyniosło minus 3,1 mld zł.</w:t>
      </w:r>
    </w:p>
    <w:p w14:paraId="107D8FB6" w14:textId="625275C7" w:rsidR="005230F6" w:rsidRPr="00B81F77" w:rsidRDefault="005230F6" w:rsidP="005230F6">
      <w:pPr>
        <w:rPr>
          <w:rFonts w:eastAsia="Times New Roman" w:cs="Times New Roman"/>
          <w:szCs w:val="19"/>
          <w:lang w:eastAsia="pl-PL"/>
        </w:rPr>
      </w:pPr>
      <w:r w:rsidRPr="00B81F77">
        <w:rPr>
          <w:rFonts w:eastAsia="Times New Roman" w:cs="Times New Roman"/>
          <w:szCs w:val="19"/>
          <w:lang w:eastAsia="pl-PL"/>
        </w:rPr>
        <w:t>Najwyższą wartość zarówno eksportu, jak i importu usług kulturalnych i kreatywnych odnotowano w dziedzinie Reklama (odpowiednio 15,9 mld zł i 16,4 mld zł). Dodatni bilans w</w:t>
      </w:r>
      <w:r w:rsidR="006B74B7" w:rsidRPr="00B81F77">
        <w:rPr>
          <w:rFonts w:eastAsia="Times New Roman" w:cs="Times New Roman"/>
          <w:szCs w:val="19"/>
          <w:lang w:eastAsia="pl-PL"/>
        </w:rPr>
        <w:t> </w:t>
      </w:r>
      <w:r w:rsidRPr="00B81F77">
        <w:rPr>
          <w:rFonts w:eastAsia="Times New Roman" w:cs="Times New Roman"/>
          <w:szCs w:val="19"/>
          <w:lang w:eastAsia="pl-PL"/>
        </w:rPr>
        <w:t>handlu usługami odnotowano w dziedzinach Dziedzictwo kulturowe (402,0 mln zł) oraz Architektura (251,9 mln zł).</w:t>
      </w:r>
    </w:p>
    <w:p w14:paraId="3BFEEC85" w14:textId="74159717" w:rsidR="005230F6" w:rsidRPr="00B81F77" w:rsidRDefault="005230F6" w:rsidP="005230F6">
      <w:pPr>
        <w:rPr>
          <w:rFonts w:eastAsia="Times New Roman" w:cs="Times New Roman"/>
          <w:szCs w:val="19"/>
          <w:lang w:eastAsia="pl-PL"/>
        </w:rPr>
      </w:pPr>
      <w:r w:rsidRPr="00B81F77">
        <w:rPr>
          <w:rFonts w:eastAsia="Times New Roman" w:cs="Times New Roman"/>
          <w:szCs w:val="19"/>
          <w:lang w:eastAsia="pl-PL"/>
        </w:rPr>
        <w:t>Udział dóbr kulturalnych i kreatywnych w eksporcie dóbr w 2024 r. wyniósł 0,7%, natomiast w</w:t>
      </w:r>
      <w:r w:rsidR="00225120">
        <w:rPr>
          <w:rFonts w:eastAsia="Times New Roman" w:cs="Times New Roman"/>
          <w:szCs w:val="19"/>
          <w:lang w:eastAsia="pl-PL"/>
        </w:rPr>
        <w:t> </w:t>
      </w:r>
      <w:r w:rsidRPr="00B81F77">
        <w:rPr>
          <w:rFonts w:eastAsia="Times New Roman" w:cs="Times New Roman"/>
          <w:szCs w:val="19"/>
          <w:lang w:eastAsia="pl-PL"/>
        </w:rPr>
        <w:t>imporcie – 0,4%. Udział usług kulturalnych i kreatywnych w handlu usługami był wyższy niż w przypadku dóbr kulturalnych i kreatywnych: udział eksportu wyniósł 4,1%, a</w:t>
      </w:r>
      <w:r w:rsidR="00373267">
        <w:rPr>
          <w:rFonts w:eastAsia="Times New Roman" w:cs="Times New Roman"/>
          <w:szCs w:val="19"/>
          <w:lang w:eastAsia="pl-PL"/>
        </w:rPr>
        <w:t> </w:t>
      </w:r>
      <w:r w:rsidRPr="00B81F77">
        <w:rPr>
          <w:rFonts w:eastAsia="Times New Roman" w:cs="Times New Roman"/>
          <w:szCs w:val="19"/>
          <w:lang w:eastAsia="pl-PL"/>
        </w:rPr>
        <w:t>importu – 7,6%.</w:t>
      </w:r>
    </w:p>
    <w:p w14:paraId="438AADA0" w14:textId="3A33B103" w:rsidR="00007B0E" w:rsidRDefault="005230F6" w:rsidP="00007B0E">
      <w:pPr>
        <w:rPr>
          <w:rFonts w:eastAsia="Times New Roman" w:cs="Times New Roman"/>
          <w:szCs w:val="19"/>
          <w:lang w:eastAsia="pl-PL"/>
        </w:rPr>
      </w:pPr>
      <w:r w:rsidRPr="00B81F77">
        <w:rPr>
          <w:rFonts w:eastAsia="Times New Roman" w:cs="Times New Roman"/>
          <w:szCs w:val="19"/>
          <w:lang w:eastAsia="pl-PL"/>
        </w:rPr>
        <w:t>Głównymi odbiorcami zarówno polskich dóbr, jak i usług kulturalnych i kreatywnych były państwa UE (odpowiednio 86,6% i 59,3% wartości eksportu). Podobnie sytuacja wyglądała w</w:t>
      </w:r>
      <w:r w:rsidR="006B74B7" w:rsidRPr="00B81F77">
        <w:rPr>
          <w:rFonts w:eastAsia="Times New Roman" w:cs="Times New Roman"/>
          <w:szCs w:val="19"/>
          <w:lang w:eastAsia="pl-PL"/>
        </w:rPr>
        <w:t> </w:t>
      </w:r>
      <w:r w:rsidRPr="00B81F77">
        <w:rPr>
          <w:rFonts w:eastAsia="Times New Roman" w:cs="Times New Roman"/>
          <w:szCs w:val="19"/>
          <w:lang w:eastAsia="pl-PL"/>
        </w:rPr>
        <w:t>przypadku importu, gdzie główne obroty były realizowane przede wszystkim z krajami UE (52,2% wartości importu w przypadku dóbr; 73,2% –</w:t>
      </w:r>
      <w:r w:rsidR="008435AA">
        <w:rPr>
          <w:rFonts w:eastAsia="Times New Roman" w:cs="Times New Roman"/>
          <w:szCs w:val="19"/>
          <w:lang w:eastAsia="pl-PL"/>
        </w:rPr>
        <w:t xml:space="preserve"> </w:t>
      </w:r>
      <w:r w:rsidRPr="00B81F77">
        <w:rPr>
          <w:rFonts w:eastAsia="Times New Roman" w:cs="Times New Roman"/>
          <w:szCs w:val="19"/>
          <w:lang w:eastAsia="pl-PL"/>
        </w:rPr>
        <w:t>usług).</w:t>
      </w:r>
      <w:r w:rsidR="00007B0E" w:rsidRPr="00007B0E">
        <w:rPr>
          <w:rFonts w:eastAsia="Times New Roman" w:cs="Times New Roman"/>
          <w:szCs w:val="19"/>
          <w:lang w:eastAsia="pl-PL"/>
        </w:rPr>
        <w:t xml:space="preserve"> </w:t>
      </w:r>
      <w:r w:rsidR="00007B0E">
        <w:rPr>
          <w:rFonts w:eastAsia="Times New Roman" w:cs="Times New Roman"/>
          <w:szCs w:val="19"/>
          <w:lang w:eastAsia="pl-PL"/>
        </w:rPr>
        <w:br w:type="page"/>
      </w:r>
    </w:p>
    <w:p w14:paraId="34CA1E54" w14:textId="077A7846" w:rsidR="005230F6" w:rsidRPr="00B81F77" w:rsidRDefault="00934A07" w:rsidP="0062128B">
      <w:pPr>
        <w:pStyle w:val="Tytutablicy"/>
        <w:ind w:left="851" w:hanging="851"/>
      </w:pPr>
      <w:r w:rsidRPr="00B81F77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01443EA1" wp14:editId="480323B9">
                <wp:simplePos x="0" y="0"/>
                <wp:positionH relativeFrom="page">
                  <wp:posOffset>5722620</wp:posOffset>
                </wp:positionH>
                <wp:positionV relativeFrom="paragraph">
                  <wp:posOffset>1216025</wp:posOffset>
                </wp:positionV>
                <wp:extent cx="1814830" cy="1310640"/>
                <wp:effectExtent l="0" t="0" r="0" b="3810"/>
                <wp:wrapTight wrapText="bothSides">
                  <wp:wrapPolygon edited="0">
                    <wp:start x="680" y="0"/>
                    <wp:lineTo x="680" y="21349"/>
                    <wp:lineTo x="20859" y="21349"/>
                    <wp:lineTo x="20859" y="0"/>
                    <wp:lineTo x="680" y="0"/>
                  </wp:wrapPolygon>
                </wp:wrapTight>
                <wp:docPr id="4" name="Prostokąt 4" descr="Najwyższą wartość eksportu dóbr kulturalnych i kreatywnych odnotowano w dziedzinie Książki i prasa (4,5 mld zł), a w przypadku usług kulturalnych i kreatywnych – w dziedzinie Reklama (15,9 mld zł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4830" cy="131064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EDFF950" w14:textId="01871E3C" w:rsidR="00C10786" w:rsidRPr="00BA1B31" w:rsidRDefault="00C10786" w:rsidP="00934A07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275406">
                              <w:rPr>
                                <w:szCs w:val="19"/>
                                <w:lang w:val="pl-PL"/>
                              </w:rPr>
                              <w:t>Najwyższ</w:t>
                            </w:r>
                            <w:r>
                              <w:rPr>
                                <w:szCs w:val="19"/>
                                <w:lang w:val="pl-PL"/>
                              </w:rPr>
                              <w:t xml:space="preserve">ą wartość eksportu </w:t>
                            </w:r>
                            <w:r w:rsidRPr="00BA1B31">
                              <w:rPr>
                                <w:szCs w:val="19"/>
                                <w:lang w:val="pl-PL"/>
                              </w:rPr>
                              <w:t>dóbr kulturalnych i</w:t>
                            </w:r>
                            <w:r>
                              <w:rPr>
                                <w:szCs w:val="19"/>
                                <w:lang w:val="pl-PL"/>
                              </w:rPr>
                              <w:t> </w:t>
                            </w:r>
                            <w:r w:rsidRPr="00BA1B31">
                              <w:rPr>
                                <w:szCs w:val="19"/>
                                <w:lang w:val="pl-PL"/>
                              </w:rPr>
                              <w:t>kreatywnych odnotowano w</w:t>
                            </w:r>
                            <w:r>
                              <w:rPr>
                                <w:szCs w:val="19"/>
                                <w:lang w:val="pl-PL"/>
                              </w:rPr>
                              <w:t> </w:t>
                            </w:r>
                            <w:r w:rsidRPr="00BA1B31">
                              <w:rPr>
                                <w:szCs w:val="19"/>
                                <w:lang w:val="pl-PL"/>
                              </w:rPr>
                              <w:t>dziedzinie Książki i prasa (4,5 mld zł</w:t>
                            </w:r>
                            <w:r>
                              <w:rPr>
                                <w:szCs w:val="19"/>
                                <w:lang w:val="pl-PL"/>
                              </w:rPr>
                              <w:t xml:space="preserve">), a w przypadku usług kulturalnych i kreatywnych – w dziedzinie </w:t>
                            </w:r>
                            <w:r w:rsidRPr="00BA1B31">
                              <w:rPr>
                                <w:szCs w:val="19"/>
                                <w:lang w:val="pl-PL"/>
                              </w:rPr>
                              <w:t>Reklama (15,9 mld zł</w:t>
                            </w:r>
                            <w:r>
                              <w:rPr>
                                <w:szCs w:val="19"/>
                                <w:lang w:val="pl-PL"/>
                              </w:rPr>
                              <w:t>)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443EA1" id="Prostokąt 4" o:spid="_x0000_s1031" alt="Najwyższą wartość eksportu dóbr kulturalnych i kreatywnych odnotowano w dziedzinie Książki i prasa (4,5 mld zł), a w przypadku usług kulturalnych i kreatywnych – w dziedzinie Reklama (15,9 mld zł)" style="position:absolute;left:0;text-align:left;margin-left:450.6pt;margin-top:95.75pt;width:142.9pt;height:103.2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" filled="f" stroked="f" strokeweight=".26mm">
                <v:textbox>
                  <w:txbxContent>
                    <w:p w14:paraId="1EDFF950" w14:textId="01871E3C" w:rsidR="00C10786" w:rsidRPr="00BA1B31" w:rsidRDefault="00C10786" w:rsidP="00934A07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275406">
                        <w:rPr>
                          <w:szCs w:val="19"/>
                          <w:lang w:val="pl-PL"/>
                        </w:rPr>
                        <w:t>Najwyższ</w:t>
                      </w:r>
                      <w:r>
                        <w:rPr>
                          <w:szCs w:val="19"/>
                          <w:lang w:val="pl-PL"/>
                        </w:rPr>
                        <w:t xml:space="preserve">ą wartość eksportu </w:t>
                      </w:r>
                      <w:r w:rsidRPr="00BA1B31">
                        <w:rPr>
                          <w:szCs w:val="19"/>
                          <w:lang w:val="pl-PL"/>
                        </w:rPr>
                        <w:t>dóbr kulturalnych i</w:t>
                      </w:r>
                      <w:r>
                        <w:rPr>
                          <w:szCs w:val="19"/>
                          <w:lang w:val="pl-PL"/>
                        </w:rPr>
                        <w:t> </w:t>
                      </w:r>
                      <w:r w:rsidRPr="00BA1B31">
                        <w:rPr>
                          <w:szCs w:val="19"/>
                          <w:lang w:val="pl-PL"/>
                        </w:rPr>
                        <w:t>kreatywnych odnotowano w</w:t>
                      </w:r>
                      <w:r>
                        <w:rPr>
                          <w:szCs w:val="19"/>
                          <w:lang w:val="pl-PL"/>
                        </w:rPr>
                        <w:t> </w:t>
                      </w:r>
                      <w:r w:rsidRPr="00BA1B31">
                        <w:rPr>
                          <w:szCs w:val="19"/>
                          <w:lang w:val="pl-PL"/>
                        </w:rPr>
                        <w:t>dziedzinie Książki i prasa (4,5 mld zł</w:t>
                      </w:r>
                      <w:r>
                        <w:rPr>
                          <w:szCs w:val="19"/>
                          <w:lang w:val="pl-PL"/>
                        </w:rPr>
                        <w:t xml:space="preserve">), a w przypadku usług kulturalnych i kreatywnych – w dziedzinie </w:t>
                      </w:r>
                      <w:r w:rsidRPr="00BA1B31">
                        <w:rPr>
                          <w:szCs w:val="19"/>
                          <w:lang w:val="pl-PL"/>
                        </w:rPr>
                        <w:t>Reklama (15,9 mld zł</w:t>
                      </w:r>
                      <w:r>
                        <w:rPr>
                          <w:szCs w:val="19"/>
                          <w:lang w:val="pl-PL"/>
                        </w:rPr>
                        <w:t>)</w:t>
                      </w:r>
                    </w:p>
                  </w:txbxContent>
                </v:textbox>
                <w10:wrap type="tight" anchorx="page"/>
              </v:rect>
            </w:pict>
          </mc:Fallback>
        </mc:AlternateContent>
      </w:r>
      <w:r w:rsidR="005230F6" w:rsidRPr="00B81F77">
        <w:t>Tablica 2. Handel międzynarodowy dobrami i usługami kulturalnymi i kreatywnymi według dziedzin kultury w 2024 r.</w:t>
      </w:r>
    </w:p>
    <w:tbl>
      <w:tblPr>
        <w:tblStyle w:val="Siatkatabelijasna1"/>
        <w:tblW w:w="7797" w:type="dxa"/>
        <w:tblInd w:w="0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2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2. Handel międzynarodowy dobrami i usługami kulturalnymi i kreatywnymi według dziedzin kultury w 2024 r."/>
        <w:tblDescription w:val="dane dostępne cyfrowo w pliku excel"/>
      </w:tblPr>
      <w:tblGrid>
        <w:gridCol w:w="2723"/>
        <w:gridCol w:w="1268"/>
        <w:gridCol w:w="1269"/>
        <w:gridCol w:w="1268"/>
        <w:gridCol w:w="1269"/>
      </w:tblGrid>
      <w:tr w:rsidR="005230F6" w:rsidRPr="00B81F77" w14:paraId="5178EA38" w14:textId="77777777" w:rsidTr="00AA521B">
        <w:trPr>
          <w:trHeight w:val="113"/>
          <w:tblHeader/>
        </w:trPr>
        <w:tc>
          <w:tcPr>
            <w:tcW w:w="2723" w:type="dxa"/>
            <w:vMerge w:val="restart"/>
            <w:vAlign w:val="center"/>
            <w:hideMark/>
          </w:tcPr>
          <w:p w14:paraId="48FA4A5E" w14:textId="77777777" w:rsidR="005230F6" w:rsidRPr="00B81F77" w:rsidRDefault="005230F6" w:rsidP="00C96DF1">
            <w:pPr>
              <w:pStyle w:val="Tablicagwkarodek"/>
            </w:pPr>
            <w:r w:rsidRPr="00B81F77">
              <w:t>Wyszczególnienie</w:t>
            </w:r>
          </w:p>
        </w:tc>
        <w:tc>
          <w:tcPr>
            <w:tcW w:w="2537" w:type="dxa"/>
            <w:gridSpan w:val="2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3D065AD1" w14:textId="32BF1A6B" w:rsidR="005230F6" w:rsidRPr="00B81F77" w:rsidRDefault="005230F6" w:rsidP="00FA2B00">
            <w:pPr>
              <w:pStyle w:val="Tablicagwkarodek"/>
            </w:pPr>
            <w:r w:rsidRPr="00B81F77">
              <w:t>Dobra kulturalne</w:t>
            </w:r>
            <w:r w:rsidR="00FA2B00">
              <w:t xml:space="preserve"> </w:t>
            </w:r>
            <w:r w:rsidRPr="00B81F77">
              <w:t>i</w:t>
            </w:r>
            <w:r w:rsidR="00FA2B00">
              <w:t> </w:t>
            </w:r>
            <w:r w:rsidRPr="00B81F77">
              <w:t>kreatywne</w:t>
            </w:r>
          </w:p>
        </w:tc>
        <w:tc>
          <w:tcPr>
            <w:tcW w:w="2537" w:type="dxa"/>
            <w:gridSpan w:val="2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49CCD0F4" w14:textId="66185763" w:rsidR="005230F6" w:rsidRPr="00B81F77" w:rsidRDefault="005230F6" w:rsidP="00FA2B00">
            <w:pPr>
              <w:pStyle w:val="Tablicagwkarodek"/>
            </w:pPr>
            <w:r w:rsidRPr="00B81F77">
              <w:t>Usługi kulturalne i</w:t>
            </w:r>
            <w:r w:rsidR="00FA2B00">
              <w:t> </w:t>
            </w:r>
            <w:r w:rsidRPr="00B81F77">
              <w:t>kreatywne</w:t>
            </w:r>
          </w:p>
        </w:tc>
      </w:tr>
      <w:tr w:rsidR="005230F6" w:rsidRPr="00B81F77" w14:paraId="2BBDF6A2" w14:textId="77777777" w:rsidTr="00AA521B">
        <w:trPr>
          <w:trHeight w:val="113"/>
          <w:tblHeader/>
        </w:trPr>
        <w:tc>
          <w:tcPr>
            <w:tcW w:w="2723" w:type="dxa"/>
            <w:vMerge/>
            <w:vAlign w:val="center"/>
            <w:hideMark/>
          </w:tcPr>
          <w:p w14:paraId="26BE4E6C" w14:textId="77777777" w:rsidR="005230F6" w:rsidRPr="00B81F77" w:rsidRDefault="005230F6" w:rsidP="00C96DF1">
            <w:pPr>
              <w:spacing w:line="240" w:lineRule="exact"/>
              <w:rPr>
                <w:rFonts w:eastAsia="Times New Roman" w:cs="Arial"/>
                <w:bCs/>
                <w:color w:val="000000" w:themeColor="text1"/>
                <w:szCs w:val="19"/>
              </w:rPr>
            </w:pPr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6DD3442C" w14:textId="77777777" w:rsidR="005230F6" w:rsidRPr="00B81F77" w:rsidRDefault="005230F6" w:rsidP="00C96DF1">
            <w:pPr>
              <w:pStyle w:val="Tablicagwkarodek"/>
            </w:pPr>
            <w:r w:rsidRPr="00B81F77">
              <w:t>eksport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5CEB3C00" w14:textId="77777777" w:rsidR="005230F6" w:rsidRPr="00B81F77" w:rsidRDefault="005230F6" w:rsidP="00C96DF1">
            <w:pPr>
              <w:pStyle w:val="Tablicagwkarodek"/>
            </w:pPr>
            <w:r w:rsidRPr="00B81F77">
              <w:t>import</w:t>
            </w:r>
          </w:p>
        </w:tc>
        <w:tc>
          <w:tcPr>
            <w:tcW w:w="1268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4769BB1E" w14:textId="67F37314" w:rsidR="005230F6" w:rsidRPr="00B81F77" w:rsidRDefault="00405CC6" w:rsidP="00C96DF1">
            <w:pPr>
              <w:pStyle w:val="Tablicagwkarodek"/>
            </w:pPr>
            <w:r>
              <w:t>e</w:t>
            </w:r>
            <w:r w:rsidR="005230F6" w:rsidRPr="00B81F77">
              <w:t>ksport</w:t>
            </w:r>
          </w:p>
        </w:tc>
        <w:tc>
          <w:tcPr>
            <w:tcW w:w="1269" w:type="dxa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3E3C560D" w14:textId="77777777" w:rsidR="005230F6" w:rsidRPr="00B81F77" w:rsidRDefault="005230F6" w:rsidP="00C96DF1">
            <w:pPr>
              <w:pStyle w:val="Tablicagwkarodek"/>
            </w:pPr>
            <w:r w:rsidRPr="00B81F77">
              <w:t>import</w:t>
            </w:r>
          </w:p>
        </w:tc>
      </w:tr>
      <w:tr w:rsidR="005230F6" w:rsidRPr="00B81F77" w14:paraId="30889A7A" w14:textId="77777777" w:rsidTr="00AA521B">
        <w:trPr>
          <w:trHeight w:val="113"/>
          <w:tblHeader/>
        </w:trPr>
        <w:tc>
          <w:tcPr>
            <w:tcW w:w="2723" w:type="dxa"/>
            <w:vMerge/>
            <w:vAlign w:val="center"/>
            <w:hideMark/>
          </w:tcPr>
          <w:p w14:paraId="31AB6A63" w14:textId="77777777" w:rsidR="005230F6" w:rsidRPr="00B81F77" w:rsidRDefault="005230F6" w:rsidP="00C96DF1">
            <w:pPr>
              <w:spacing w:line="240" w:lineRule="exact"/>
              <w:rPr>
                <w:rFonts w:eastAsia="Times New Roman" w:cs="Arial"/>
                <w:bCs/>
                <w:color w:val="000000" w:themeColor="text1"/>
                <w:szCs w:val="19"/>
              </w:rPr>
            </w:pPr>
          </w:p>
        </w:tc>
        <w:tc>
          <w:tcPr>
            <w:tcW w:w="5074" w:type="dxa"/>
            <w:gridSpan w:val="4"/>
            <w:tcMar>
              <w:top w:w="57" w:type="dxa"/>
              <w:left w:w="102" w:type="dxa"/>
              <w:bottom w:w="57" w:type="dxa"/>
              <w:right w:w="108" w:type="dxa"/>
            </w:tcMar>
            <w:vAlign w:val="center"/>
            <w:hideMark/>
          </w:tcPr>
          <w:p w14:paraId="181D2106" w14:textId="77777777" w:rsidR="005230F6" w:rsidRPr="00B81F77" w:rsidRDefault="005230F6" w:rsidP="00C96DF1">
            <w:pPr>
              <w:pStyle w:val="Tablicagwkarodek"/>
            </w:pPr>
            <w:r w:rsidRPr="00B81F77">
              <w:t>w mln zł</w:t>
            </w:r>
          </w:p>
        </w:tc>
      </w:tr>
      <w:tr w:rsidR="005230F6" w:rsidRPr="00B81F77" w14:paraId="7C42F091" w14:textId="77777777" w:rsidTr="00AA521B">
        <w:trPr>
          <w:trHeight w:val="113"/>
          <w:tblHeader/>
        </w:trPr>
        <w:tc>
          <w:tcPr>
            <w:tcW w:w="2723" w:type="dxa"/>
            <w:vAlign w:val="center"/>
            <w:hideMark/>
          </w:tcPr>
          <w:p w14:paraId="039B161D" w14:textId="77777777" w:rsidR="005230F6" w:rsidRPr="00B81F77" w:rsidRDefault="005230F6" w:rsidP="0062128B">
            <w:pPr>
              <w:pStyle w:val="Tablicaboczek"/>
              <w:rPr>
                <w:b/>
              </w:rPr>
            </w:pPr>
            <w:r w:rsidRPr="00B81F77">
              <w:rPr>
                <w:b/>
              </w:rPr>
              <w:t>Ogółem</w:t>
            </w:r>
          </w:p>
        </w:tc>
        <w:tc>
          <w:tcPr>
            <w:tcW w:w="1268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</w:tcPr>
          <w:p w14:paraId="6FABF734" w14:textId="77777777" w:rsidR="005230F6" w:rsidRPr="00B81F77" w:rsidRDefault="005230F6" w:rsidP="0062128B">
            <w:pPr>
              <w:spacing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B81F77">
              <w:rPr>
                <w:rFonts w:cs="Arial"/>
                <w:b/>
                <w:bCs/>
                <w:color w:val="000000"/>
                <w:szCs w:val="19"/>
              </w:rPr>
              <w:t>10 357,5</w:t>
            </w:r>
          </w:p>
        </w:tc>
        <w:tc>
          <w:tcPr>
            <w:tcW w:w="1269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</w:tcPr>
          <w:p w14:paraId="33376739" w14:textId="77777777" w:rsidR="005230F6" w:rsidRPr="00B81F77" w:rsidRDefault="005230F6" w:rsidP="0062128B">
            <w:pPr>
              <w:spacing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B81F77">
              <w:rPr>
                <w:rFonts w:cs="Arial"/>
                <w:b/>
                <w:bCs/>
                <w:color w:val="000000"/>
                <w:szCs w:val="19"/>
              </w:rPr>
              <w:t>5 828,8</w:t>
            </w:r>
          </w:p>
        </w:tc>
        <w:tc>
          <w:tcPr>
            <w:tcW w:w="1268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6F7FCDBF" w14:textId="77777777" w:rsidR="005230F6" w:rsidRPr="00B81F77" w:rsidRDefault="005230F6" w:rsidP="0062128B">
            <w:pPr>
              <w:spacing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B81F77">
              <w:rPr>
                <w:rFonts w:cs="Arial"/>
                <w:b/>
                <w:bCs/>
                <w:color w:val="000000"/>
                <w:szCs w:val="19"/>
              </w:rPr>
              <w:t>19 511,2</w:t>
            </w:r>
          </w:p>
        </w:tc>
        <w:tc>
          <w:tcPr>
            <w:tcW w:w="1269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150502A3" w14:textId="77777777" w:rsidR="005230F6" w:rsidRPr="00B81F77" w:rsidRDefault="005230F6" w:rsidP="0062128B">
            <w:pPr>
              <w:spacing w:line="240" w:lineRule="exact"/>
              <w:jc w:val="right"/>
              <w:rPr>
                <w:b/>
                <w:bCs/>
                <w:color w:val="000000"/>
                <w:szCs w:val="19"/>
              </w:rPr>
            </w:pPr>
            <w:r w:rsidRPr="00B81F77">
              <w:rPr>
                <w:b/>
                <w:bCs/>
                <w:color w:val="000000"/>
                <w:szCs w:val="19"/>
              </w:rPr>
              <w:t>22 646,6</w:t>
            </w:r>
          </w:p>
        </w:tc>
      </w:tr>
      <w:tr w:rsidR="005230F6" w:rsidRPr="00B81F77" w14:paraId="3AEC0F5F" w14:textId="77777777" w:rsidTr="00AA521B">
        <w:trPr>
          <w:trHeight w:val="113"/>
          <w:tblHeader/>
        </w:trPr>
        <w:tc>
          <w:tcPr>
            <w:tcW w:w="2723" w:type="dxa"/>
            <w:vAlign w:val="center"/>
            <w:hideMark/>
          </w:tcPr>
          <w:p w14:paraId="2F13E436" w14:textId="77777777" w:rsidR="005230F6" w:rsidRPr="00B81F77" w:rsidRDefault="005230F6" w:rsidP="0062128B">
            <w:pPr>
              <w:pStyle w:val="Tablicaboczek"/>
              <w:ind w:left="318" w:hanging="142"/>
              <w:rPr>
                <w:rFonts w:cs="Fira Sans"/>
                <w:spacing w:val="-1"/>
              </w:rPr>
            </w:pPr>
            <w:r w:rsidRPr="00B81F77">
              <w:rPr>
                <w:rFonts w:cs="Fira Sans"/>
                <w:spacing w:val="-1"/>
              </w:rPr>
              <w:t>Dziedzictwo kulturowe</w:t>
            </w:r>
          </w:p>
        </w:tc>
        <w:tc>
          <w:tcPr>
            <w:tcW w:w="1268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</w:tcPr>
          <w:p w14:paraId="2926B712" w14:textId="77777777" w:rsidR="005230F6" w:rsidRPr="00B81F77" w:rsidRDefault="005230F6" w:rsidP="0062128B">
            <w:pPr>
              <w:pStyle w:val="Tablicadanerodek"/>
            </w:pPr>
            <w:r w:rsidRPr="00B81F77">
              <w:t>25,1</w:t>
            </w:r>
          </w:p>
        </w:tc>
        <w:tc>
          <w:tcPr>
            <w:tcW w:w="1269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</w:tcPr>
          <w:p w14:paraId="4D4A0401" w14:textId="77777777" w:rsidR="005230F6" w:rsidRPr="00B81F77" w:rsidRDefault="005230F6" w:rsidP="0062128B">
            <w:pPr>
              <w:pStyle w:val="Tablicadanerodek"/>
            </w:pPr>
            <w:r w:rsidRPr="00B81F77">
              <w:t>58,5</w:t>
            </w:r>
          </w:p>
        </w:tc>
        <w:tc>
          <w:tcPr>
            <w:tcW w:w="1268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2B888BBB" w14:textId="77777777" w:rsidR="005230F6" w:rsidRPr="00B81F77" w:rsidRDefault="005230F6" w:rsidP="0062128B">
            <w:pPr>
              <w:pStyle w:val="Tablicadanerodek"/>
            </w:pPr>
            <w:r w:rsidRPr="00B81F77">
              <w:t>792,3</w:t>
            </w:r>
          </w:p>
        </w:tc>
        <w:tc>
          <w:tcPr>
            <w:tcW w:w="1269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306557F5" w14:textId="77777777" w:rsidR="005230F6" w:rsidRPr="00B81F77" w:rsidRDefault="005230F6" w:rsidP="0062128B">
            <w:pPr>
              <w:pStyle w:val="Tablicadanerodek"/>
            </w:pPr>
            <w:r w:rsidRPr="00B81F77">
              <w:t>390,3</w:t>
            </w:r>
          </w:p>
        </w:tc>
      </w:tr>
      <w:tr w:rsidR="005230F6" w:rsidRPr="00B81F77" w14:paraId="04ED95A6" w14:textId="77777777" w:rsidTr="00AA521B">
        <w:trPr>
          <w:trHeight w:val="113"/>
          <w:tblHeader/>
        </w:trPr>
        <w:tc>
          <w:tcPr>
            <w:tcW w:w="2723" w:type="dxa"/>
            <w:vAlign w:val="center"/>
            <w:hideMark/>
          </w:tcPr>
          <w:p w14:paraId="0D16804A" w14:textId="77777777" w:rsidR="005230F6" w:rsidRPr="00B81F77" w:rsidRDefault="005230F6" w:rsidP="0062128B">
            <w:pPr>
              <w:pStyle w:val="Tablicaboczek"/>
              <w:ind w:left="176"/>
              <w:rPr>
                <w:rFonts w:cs="Fira Sans"/>
                <w:spacing w:val="-1"/>
              </w:rPr>
            </w:pPr>
            <w:r w:rsidRPr="00B81F77">
              <w:rPr>
                <w:rFonts w:cs="Fira Sans"/>
                <w:spacing w:val="-1"/>
              </w:rPr>
              <w:t>Książki i prasa</w:t>
            </w:r>
          </w:p>
        </w:tc>
        <w:tc>
          <w:tcPr>
            <w:tcW w:w="1268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</w:tcPr>
          <w:p w14:paraId="33444304" w14:textId="77777777" w:rsidR="005230F6" w:rsidRPr="00B81F77" w:rsidRDefault="005230F6" w:rsidP="0062128B">
            <w:pPr>
              <w:pStyle w:val="Tablicadanerodek"/>
            </w:pPr>
            <w:r w:rsidRPr="00B81F77">
              <w:t>4 526,1</w:t>
            </w:r>
          </w:p>
        </w:tc>
        <w:tc>
          <w:tcPr>
            <w:tcW w:w="1269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</w:tcPr>
          <w:p w14:paraId="5CCBC9C4" w14:textId="77777777" w:rsidR="005230F6" w:rsidRPr="00B81F77" w:rsidRDefault="005230F6" w:rsidP="0062128B">
            <w:pPr>
              <w:pStyle w:val="Tablicadanerodek"/>
            </w:pPr>
            <w:r w:rsidRPr="00B81F77">
              <w:t>1 783,8</w:t>
            </w:r>
          </w:p>
        </w:tc>
        <w:tc>
          <w:tcPr>
            <w:tcW w:w="1268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110851D4" w14:textId="77777777" w:rsidR="005230F6" w:rsidRPr="00B81F77" w:rsidRDefault="005230F6" w:rsidP="0062128B">
            <w:pPr>
              <w:pStyle w:val="Tablicadanerodek"/>
            </w:pPr>
            <w:r w:rsidRPr="00B81F77">
              <w:t>288,8</w:t>
            </w:r>
          </w:p>
        </w:tc>
        <w:tc>
          <w:tcPr>
            <w:tcW w:w="1269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0737DB88" w14:textId="77777777" w:rsidR="005230F6" w:rsidRPr="00B81F77" w:rsidRDefault="005230F6" w:rsidP="0062128B">
            <w:pPr>
              <w:pStyle w:val="Tablicadanerodek"/>
            </w:pPr>
            <w:r w:rsidRPr="00B81F77">
              <w:t>1 020,8</w:t>
            </w:r>
          </w:p>
        </w:tc>
      </w:tr>
      <w:tr w:rsidR="005230F6" w:rsidRPr="00B81F77" w14:paraId="7BBFDFE6" w14:textId="77777777" w:rsidTr="00AA521B">
        <w:trPr>
          <w:trHeight w:val="113"/>
          <w:tblHeader/>
        </w:trPr>
        <w:tc>
          <w:tcPr>
            <w:tcW w:w="2723" w:type="dxa"/>
            <w:vAlign w:val="center"/>
            <w:hideMark/>
          </w:tcPr>
          <w:p w14:paraId="2992BF59" w14:textId="77777777" w:rsidR="005230F6" w:rsidRPr="00B81F77" w:rsidRDefault="005230F6" w:rsidP="0062128B">
            <w:pPr>
              <w:pStyle w:val="Tablicaboczek"/>
              <w:ind w:left="176"/>
              <w:rPr>
                <w:rFonts w:cs="Fira Sans"/>
                <w:spacing w:val="-1"/>
              </w:rPr>
            </w:pPr>
            <w:r w:rsidRPr="00B81F77">
              <w:rPr>
                <w:rFonts w:cs="Fira Sans"/>
                <w:spacing w:val="-1"/>
              </w:rPr>
              <w:t>Sztuki wizualne</w:t>
            </w:r>
          </w:p>
        </w:tc>
        <w:tc>
          <w:tcPr>
            <w:tcW w:w="1268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</w:tcPr>
          <w:p w14:paraId="7DC37C17" w14:textId="77777777" w:rsidR="005230F6" w:rsidRPr="00B81F77" w:rsidRDefault="005230F6" w:rsidP="0062128B">
            <w:pPr>
              <w:pStyle w:val="Tablicadanerodek"/>
            </w:pPr>
            <w:r w:rsidRPr="00B81F77">
              <w:t>383,1</w:t>
            </w:r>
          </w:p>
        </w:tc>
        <w:tc>
          <w:tcPr>
            <w:tcW w:w="1269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</w:tcPr>
          <w:p w14:paraId="4F7C787D" w14:textId="77777777" w:rsidR="005230F6" w:rsidRPr="00B81F77" w:rsidRDefault="005230F6" w:rsidP="0062128B">
            <w:pPr>
              <w:pStyle w:val="Tablicadanerodek"/>
            </w:pPr>
            <w:r w:rsidRPr="00B81F77">
              <w:t>160,4</w:t>
            </w:r>
          </w:p>
        </w:tc>
        <w:tc>
          <w:tcPr>
            <w:tcW w:w="1268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527303E" w14:textId="77777777" w:rsidR="005230F6" w:rsidRPr="00B81F77" w:rsidRDefault="005230F6" w:rsidP="0062128B">
            <w:pPr>
              <w:pStyle w:val="Tablicadanerodek"/>
            </w:pPr>
            <w:r w:rsidRPr="00B81F77">
              <w:t>–</w:t>
            </w:r>
          </w:p>
        </w:tc>
        <w:tc>
          <w:tcPr>
            <w:tcW w:w="1269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B72BCBF" w14:textId="77777777" w:rsidR="005230F6" w:rsidRPr="00B81F77" w:rsidRDefault="005230F6" w:rsidP="0062128B">
            <w:pPr>
              <w:pStyle w:val="Tablicadanerodek"/>
            </w:pPr>
            <w:r w:rsidRPr="00B81F77">
              <w:t>–</w:t>
            </w:r>
          </w:p>
        </w:tc>
      </w:tr>
      <w:tr w:rsidR="005230F6" w:rsidRPr="00B81F77" w14:paraId="38D0BC2C" w14:textId="77777777" w:rsidTr="00AA521B">
        <w:trPr>
          <w:trHeight w:val="113"/>
          <w:tblHeader/>
        </w:trPr>
        <w:tc>
          <w:tcPr>
            <w:tcW w:w="2723" w:type="dxa"/>
            <w:vAlign w:val="center"/>
            <w:hideMark/>
          </w:tcPr>
          <w:p w14:paraId="0AFD65C8" w14:textId="77777777" w:rsidR="005230F6" w:rsidRPr="00B81F77" w:rsidRDefault="005230F6" w:rsidP="0062128B">
            <w:pPr>
              <w:pStyle w:val="Tablicaboczek"/>
              <w:ind w:left="176"/>
              <w:rPr>
                <w:rFonts w:cs="Fira Sans"/>
                <w:spacing w:val="-1"/>
              </w:rPr>
            </w:pPr>
            <w:r w:rsidRPr="00B81F77">
              <w:rPr>
                <w:rFonts w:cs="Fira Sans"/>
                <w:spacing w:val="-1"/>
              </w:rPr>
              <w:t>Architektura</w:t>
            </w:r>
          </w:p>
        </w:tc>
        <w:tc>
          <w:tcPr>
            <w:tcW w:w="1268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</w:tcPr>
          <w:p w14:paraId="36365A6F" w14:textId="77777777" w:rsidR="005230F6" w:rsidRPr="00B81F77" w:rsidRDefault="005230F6" w:rsidP="0062128B">
            <w:pPr>
              <w:pStyle w:val="Tablicadanerodek"/>
            </w:pPr>
            <w:r w:rsidRPr="00B81F77">
              <w:t>2,8</w:t>
            </w:r>
          </w:p>
        </w:tc>
        <w:tc>
          <w:tcPr>
            <w:tcW w:w="1269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</w:tcPr>
          <w:p w14:paraId="5E3837AD" w14:textId="77777777" w:rsidR="005230F6" w:rsidRPr="00B81F77" w:rsidRDefault="005230F6" w:rsidP="0062128B">
            <w:pPr>
              <w:pStyle w:val="Tablicadanerodek"/>
            </w:pPr>
            <w:r w:rsidRPr="00B81F77">
              <w:t>1,9</w:t>
            </w:r>
          </w:p>
        </w:tc>
        <w:tc>
          <w:tcPr>
            <w:tcW w:w="1268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2DBCE282" w14:textId="77777777" w:rsidR="005230F6" w:rsidRPr="00B81F77" w:rsidRDefault="005230F6" w:rsidP="0062128B">
            <w:pPr>
              <w:pStyle w:val="Tablicadanerodek"/>
            </w:pPr>
            <w:r w:rsidRPr="00B81F77">
              <w:t>385,1</w:t>
            </w:r>
          </w:p>
        </w:tc>
        <w:tc>
          <w:tcPr>
            <w:tcW w:w="1269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424A55F7" w14:textId="77777777" w:rsidR="005230F6" w:rsidRPr="00B81F77" w:rsidRDefault="005230F6" w:rsidP="0062128B">
            <w:pPr>
              <w:pStyle w:val="Tablicadanerodek"/>
            </w:pPr>
            <w:r w:rsidRPr="00B81F77">
              <w:t>133,2</w:t>
            </w:r>
          </w:p>
        </w:tc>
      </w:tr>
      <w:tr w:rsidR="005230F6" w:rsidRPr="00B81F77" w14:paraId="4A4E3FB6" w14:textId="77777777" w:rsidTr="00AA521B">
        <w:trPr>
          <w:trHeight w:val="113"/>
          <w:tblHeader/>
        </w:trPr>
        <w:tc>
          <w:tcPr>
            <w:tcW w:w="2723" w:type="dxa"/>
            <w:vAlign w:val="center"/>
            <w:hideMark/>
          </w:tcPr>
          <w:p w14:paraId="3ACFBCDA" w14:textId="77777777" w:rsidR="005230F6" w:rsidRPr="00B81F77" w:rsidRDefault="005230F6" w:rsidP="0062128B">
            <w:pPr>
              <w:pStyle w:val="Tablicaboczek"/>
              <w:ind w:left="176"/>
              <w:rPr>
                <w:rFonts w:cs="Fira Sans"/>
                <w:spacing w:val="-1"/>
              </w:rPr>
            </w:pPr>
            <w:r w:rsidRPr="00B81F77">
              <w:rPr>
                <w:rFonts w:cs="Fira Sans"/>
                <w:spacing w:val="-1"/>
              </w:rPr>
              <w:t xml:space="preserve">Sztuki </w:t>
            </w:r>
            <w:proofErr w:type="spellStart"/>
            <w:r w:rsidRPr="00B81F77">
              <w:rPr>
                <w:rFonts w:cs="Fira Sans"/>
                <w:spacing w:val="-1"/>
              </w:rPr>
              <w:t>performatywne</w:t>
            </w:r>
            <w:proofErr w:type="spellEnd"/>
          </w:p>
        </w:tc>
        <w:tc>
          <w:tcPr>
            <w:tcW w:w="1268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</w:tcPr>
          <w:p w14:paraId="4E8CBB01" w14:textId="77777777" w:rsidR="005230F6" w:rsidRPr="00B81F77" w:rsidRDefault="005230F6" w:rsidP="0062128B">
            <w:pPr>
              <w:pStyle w:val="Tablicadanerodek"/>
            </w:pPr>
            <w:r w:rsidRPr="00B81F77">
              <w:t>213,9</w:t>
            </w:r>
          </w:p>
        </w:tc>
        <w:tc>
          <w:tcPr>
            <w:tcW w:w="1269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</w:tcPr>
          <w:p w14:paraId="07EEFDF8" w14:textId="77777777" w:rsidR="005230F6" w:rsidRPr="00B81F77" w:rsidRDefault="005230F6" w:rsidP="0062128B">
            <w:pPr>
              <w:pStyle w:val="Tablicadanerodek"/>
            </w:pPr>
            <w:r w:rsidRPr="00B81F77">
              <w:t>281,2</w:t>
            </w:r>
          </w:p>
        </w:tc>
        <w:tc>
          <w:tcPr>
            <w:tcW w:w="1268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691B615" w14:textId="77777777" w:rsidR="005230F6" w:rsidRPr="00B81F77" w:rsidRDefault="005230F6" w:rsidP="0062128B">
            <w:pPr>
              <w:pStyle w:val="Tablicadanerodek"/>
            </w:pPr>
            <w:r w:rsidRPr="00B81F77">
              <w:t>416,8</w:t>
            </w:r>
          </w:p>
        </w:tc>
        <w:tc>
          <w:tcPr>
            <w:tcW w:w="1269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4F033D29" w14:textId="77777777" w:rsidR="005230F6" w:rsidRPr="00B81F77" w:rsidRDefault="005230F6" w:rsidP="0062128B">
            <w:pPr>
              <w:pStyle w:val="Tablicadanerodek"/>
            </w:pPr>
            <w:r w:rsidRPr="00B81F77">
              <w:t>932,0</w:t>
            </w:r>
          </w:p>
        </w:tc>
      </w:tr>
      <w:tr w:rsidR="005230F6" w:rsidRPr="00B81F77" w14:paraId="3C59DB2E" w14:textId="77777777" w:rsidTr="00AA521B">
        <w:trPr>
          <w:trHeight w:val="113"/>
          <w:tblHeader/>
        </w:trPr>
        <w:tc>
          <w:tcPr>
            <w:tcW w:w="2723" w:type="dxa"/>
            <w:vAlign w:val="center"/>
            <w:hideMark/>
          </w:tcPr>
          <w:p w14:paraId="36EEFF96" w14:textId="77777777" w:rsidR="005230F6" w:rsidRPr="00B81F77" w:rsidRDefault="005230F6" w:rsidP="0062128B">
            <w:pPr>
              <w:pStyle w:val="Tablicaboczek"/>
              <w:ind w:left="318" w:hanging="142"/>
              <w:rPr>
                <w:rFonts w:cs="Fira Sans"/>
                <w:spacing w:val="-1"/>
              </w:rPr>
            </w:pPr>
            <w:r w:rsidRPr="00B81F77">
              <w:rPr>
                <w:rFonts w:cs="Fira Sans"/>
                <w:spacing w:val="-1"/>
              </w:rPr>
              <w:t>Sztuki audiowizualne i multimedia</w:t>
            </w:r>
          </w:p>
        </w:tc>
        <w:tc>
          <w:tcPr>
            <w:tcW w:w="1268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</w:tcPr>
          <w:p w14:paraId="09CFE880" w14:textId="77777777" w:rsidR="005230F6" w:rsidRPr="00B81F77" w:rsidRDefault="005230F6" w:rsidP="0062128B">
            <w:pPr>
              <w:pStyle w:val="Tablicadanerodek"/>
            </w:pPr>
            <w:r w:rsidRPr="00B81F77">
              <w:t>3 989,9</w:t>
            </w:r>
          </w:p>
        </w:tc>
        <w:tc>
          <w:tcPr>
            <w:tcW w:w="1269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</w:tcPr>
          <w:p w14:paraId="08172329" w14:textId="77777777" w:rsidR="005230F6" w:rsidRPr="00B81F77" w:rsidRDefault="005230F6" w:rsidP="0062128B">
            <w:pPr>
              <w:pStyle w:val="Tablicadanerodek"/>
            </w:pPr>
            <w:r w:rsidRPr="00B81F77">
              <w:t>3 421,2</w:t>
            </w:r>
          </w:p>
        </w:tc>
        <w:tc>
          <w:tcPr>
            <w:tcW w:w="1268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7AAC9942" w14:textId="77777777" w:rsidR="005230F6" w:rsidRPr="00B81F77" w:rsidRDefault="005230F6" w:rsidP="0062128B">
            <w:pPr>
              <w:pStyle w:val="Tablicadanerodek"/>
            </w:pPr>
            <w:r w:rsidRPr="00B81F77">
              <w:t>1 770,2</w:t>
            </w:r>
          </w:p>
        </w:tc>
        <w:tc>
          <w:tcPr>
            <w:tcW w:w="1269" w:type="dxa"/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4A80701D" w14:textId="77777777" w:rsidR="005230F6" w:rsidRPr="00B81F77" w:rsidRDefault="005230F6" w:rsidP="0062128B">
            <w:pPr>
              <w:pStyle w:val="Tablicadanerodek"/>
            </w:pPr>
            <w:r w:rsidRPr="00B81F77">
              <w:t>3 735,8</w:t>
            </w:r>
          </w:p>
        </w:tc>
      </w:tr>
      <w:tr w:rsidR="005230F6" w:rsidRPr="00B81F77" w14:paraId="0CA014CC" w14:textId="77777777" w:rsidTr="008418FB">
        <w:trPr>
          <w:trHeight w:val="113"/>
          <w:tblHeader/>
        </w:trPr>
        <w:tc>
          <w:tcPr>
            <w:tcW w:w="2723" w:type="dxa"/>
            <w:tcBorders>
              <w:bottom w:val="single" w:sz="4" w:space="0" w:color="001D77"/>
            </w:tcBorders>
            <w:vAlign w:val="center"/>
            <w:hideMark/>
          </w:tcPr>
          <w:p w14:paraId="5E3A5AF6" w14:textId="77777777" w:rsidR="005230F6" w:rsidRPr="00B81F77" w:rsidRDefault="005230F6" w:rsidP="0062128B">
            <w:pPr>
              <w:pStyle w:val="Tablicaboczek"/>
              <w:ind w:left="176"/>
              <w:rPr>
                <w:rFonts w:cs="Fira Sans"/>
                <w:spacing w:val="-1"/>
              </w:rPr>
            </w:pPr>
            <w:r w:rsidRPr="00B81F77">
              <w:rPr>
                <w:rFonts w:cs="Fira Sans"/>
                <w:spacing w:val="-1"/>
              </w:rPr>
              <w:t>Reklama</w:t>
            </w:r>
          </w:p>
        </w:tc>
        <w:tc>
          <w:tcPr>
            <w:tcW w:w="1268" w:type="dxa"/>
            <w:tcBorders>
              <w:bottom w:val="single" w:sz="4" w:space="0" w:color="001D77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</w:tcPr>
          <w:p w14:paraId="7FC074BE" w14:textId="77777777" w:rsidR="005230F6" w:rsidRPr="00B81F77" w:rsidRDefault="005230F6" w:rsidP="0062128B">
            <w:pPr>
              <w:pStyle w:val="Tablicadanerodek"/>
            </w:pPr>
            <w:r w:rsidRPr="00B81F77">
              <w:t>1 215,5</w:t>
            </w:r>
          </w:p>
        </w:tc>
        <w:tc>
          <w:tcPr>
            <w:tcW w:w="1269" w:type="dxa"/>
            <w:tcBorders>
              <w:bottom w:val="single" w:sz="4" w:space="0" w:color="001D77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</w:tcPr>
          <w:p w14:paraId="154B9403" w14:textId="77777777" w:rsidR="005230F6" w:rsidRPr="00B81F77" w:rsidRDefault="005230F6" w:rsidP="0062128B">
            <w:pPr>
              <w:pStyle w:val="Tablicadanerodek"/>
            </w:pPr>
            <w:r w:rsidRPr="00B81F77">
              <w:t>120,7</w:t>
            </w:r>
          </w:p>
        </w:tc>
        <w:tc>
          <w:tcPr>
            <w:tcW w:w="1268" w:type="dxa"/>
            <w:tcBorders>
              <w:bottom w:val="single" w:sz="4" w:space="0" w:color="001D77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0F79FBA7" w14:textId="77777777" w:rsidR="005230F6" w:rsidRPr="00B81F77" w:rsidRDefault="005230F6" w:rsidP="0062128B">
            <w:pPr>
              <w:pStyle w:val="Tablicadanerodek"/>
            </w:pPr>
            <w:r w:rsidRPr="00B81F77">
              <w:t>15 858,0</w:t>
            </w:r>
          </w:p>
        </w:tc>
        <w:tc>
          <w:tcPr>
            <w:tcW w:w="1269" w:type="dxa"/>
            <w:tcBorders>
              <w:bottom w:val="single" w:sz="4" w:space="0" w:color="001D77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55B7F0DC" w14:textId="77777777" w:rsidR="005230F6" w:rsidRPr="00B81F77" w:rsidRDefault="005230F6" w:rsidP="0062128B">
            <w:pPr>
              <w:pStyle w:val="Tablicadanerodek"/>
            </w:pPr>
            <w:r w:rsidRPr="00B81F77">
              <w:t>16 434,6</w:t>
            </w:r>
          </w:p>
        </w:tc>
      </w:tr>
      <w:tr w:rsidR="005230F6" w:rsidRPr="00B81F77" w14:paraId="59195B77" w14:textId="77777777" w:rsidTr="008418FB">
        <w:trPr>
          <w:trHeight w:val="113"/>
          <w:tblHeader/>
        </w:trPr>
        <w:tc>
          <w:tcPr>
            <w:tcW w:w="2723" w:type="dxa"/>
            <w:tcBorders>
              <w:bottom w:val="nil"/>
            </w:tcBorders>
            <w:vAlign w:val="center"/>
            <w:hideMark/>
          </w:tcPr>
          <w:p w14:paraId="744A86A9" w14:textId="77777777" w:rsidR="005230F6" w:rsidRPr="00B81F77" w:rsidRDefault="005230F6" w:rsidP="0062128B">
            <w:pPr>
              <w:pStyle w:val="Tablicaboczek"/>
              <w:ind w:left="318" w:hanging="142"/>
              <w:rPr>
                <w:rFonts w:cs="Fira Sans"/>
                <w:spacing w:val="-1"/>
              </w:rPr>
            </w:pPr>
            <w:r w:rsidRPr="00B81F77">
              <w:rPr>
                <w:rFonts w:cs="Fira Sans"/>
                <w:spacing w:val="-1"/>
              </w:rPr>
              <w:t>Rękodzieło artystyczne</w:t>
            </w:r>
          </w:p>
        </w:tc>
        <w:tc>
          <w:tcPr>
            <w:tcW w:w="1268" w:type="dxa"/>
            <w:tcBorders>
              <w:bottom w:val="nil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</w:tcPr>
          <w:p w14:paraId="6A1CF635" w14:textId="77777777" w:rsidR="005230F6" w:rsidRPr="00B81F77" w:rsidRDefault="005230F6" w:rsidP="0062128B">
            <w:pPr>
              <w:pStyle w:val="Tablicadanerodek"/>
            </w:pPr>
            <w:r w:rsidRPr="00B81F77">
              <w:t>1,1</w:t>
            </w:r>
          </w:p>
        </w:tc>
        <w:tc>
          <w:tcPr>
            <w:tcW w:w="1269" w:type="dxa"/>
            <w:tcBorders>
              <w:bottom w:val="nil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</w:tcPr>
          <w:p w14:paraId="741E2FFC" w14:textId="77777777" w:rsidR="005230F6" w:rsidRPr="00B81F77" w:rsidRDefault="005230F6" w:rsidP="0062128B">
            <w:pPr>
              <w:pStyle w:val="Tablicadanerodek"/>
            </w:pPr>
            <w:r w:rsidRPr="00B81F77">
              <w:t>1,1</w:t>
            </w:r>
          </w:p>
        </w:tc>
        <w:tc>
          <w:tcPr>
            <w:tcW w:w="1268" w:type="dxa"/>
            <w:tcBorders>
              <w:bottom w:val="nil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4523C37E" w14:textId="77777777" w:rsidR="005230F6" w:rsidRPr="00B81F77" w:rsidRDefault="005230F6" w:rsidP="0062128B">
            <w:pPr>
              <w:pStyle w:val="Tablicadanerodek"/>
            </w:pPr>
            <w:r w:rsidRPr="00B81F77">
              <w:t>–</w:t>
            </w:r>
          </w:p>
        </w:tc>
        <w:tc>
          <w:tcPr>
            <w:tcW w:w="1269" w:type="dxa"/>
            <w:tcBorders>
              <w:bottom w:val="nil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8" w:type="dxa"/>
            </w:tcMar>
            <w:vAlign w:val="bottom"/>
            <w:hideMark/>
          </w:tcPr>
          <w:p w14:paraId="080F96D0" w14:textId="77777777" w:rsidR="005230F6" w:rsidRPr="00B81F77" w:rsidRDefault="005230F6" w:rsidP="0062128B">
            <w:pPr>
              <w:pStyle w:val="Tablicadanerodek"/>
            </w:pPr>
            <w:r w:rsidRPr="00B81F77">
              <w:t>–</w:t>
            </w:r>
          </w:p>
        </w:tc>
      </w:tr>
    </w:tbl>
    <w:p w14:paraId="3CD6BD05" w14:textId="1C6803E0" w:rsidR="005230F6" w:rsidRPr="00B81F77" w:rsidRDefault="005230F6" w:rsidP="00C96DF1">
      <w:pPr>
        <w:pStyle w:val="Tablicanotka"/>
        <w:rPr>
          <w:lang w:val="pl-PL"/>
        </w:rPr>
      </w:pPr>
      <w:r w:rsidRPr="00B81F77">
        <w:rPr>
          <w:lang w:val="pl-PL"/>
        </w:rPr>
        <w:t>Uwaga</w:t>
      </w:r>
      <w:r w:rsidR="00CA75E7">
        <w:rPr>
          <w:lang w:val="pl-PL"/>
        </w:rPr>
        <w:t>.</w:t>
      </w:r>
      <w:r w:rsidRPr="00B81F77">
        <w:rPr>
          <w:lang w:val="pl-PL"/>
        </w:rPr>
        <w:t xml:space="preserve"> </w:t>
      </w:r>
      <w:r w:rsidR="00A014B0">
        <w:rPr>
          <w:lang w:val="pl-PL"/>
        </w:rPr>
        <w:t>D</w:t>
      </w:r>
      <w:r w:rsidRPr="00B81F77">
        <w:rPr>
          <w:lang w:val="pl-PL"/>
        </w:rPr>
        <w:t>ane na ogółem nie sumują się ze względu na zaokrąglenia.</w:t>
      </w:r>
    </w:p>
    <w:p w14:paraId="151E4C06" w14:textId="050E3083" w:rsidR="005230F6" w:rsidRPr="00B81F77" w:rsidRDefault="005230F6" w:rsidP="009037C9">
      <w:pPr>
        <w:spacing w:before="3000" w:after="0"/>
        <w:rPr>
          <w:shd w:val="clear" w:color="auto" w:fill="FFFFFF"/>
        </w:rPr>
      </w:pPr>
      <w:r w:rsidRPr="00B81F77">
        <w:rPr>
          <w:rFonts w:eastAsia="Times New Roman" w:cs="Times New Roman"/>
          <w:szCs w:val="19"/>
          <w:lang w:eastAsia="pl-PL"/>
        </w:rPr>
        <w:t xml:space="preserve">Informacje na temat wykorzystanych źródeł danych oraz zastosowanych rozwiązań metodologicznych znajdują się w </w:t>
      </w:r>
      <w:hyperlink r:id="rId14" w:tooltip="link do publikacji pt. &quot;Zeszyt metodologiczny – Statystyka kultury&quot;" w:history="1">
        <w:r w:rsidRPr="00B81F77">
          <w:rPr>
            <w:rStyle w:val="Hipercze"/>
            <w:rFonts w:eastAsia="Times New Roman"/>
            <w:szCs w:val="19"/>
            <w:lang w:eastAsia="pl-PL"/>
          </w:rPr>
          <w:t>Zeszycie metodologicznym – Statystyka kultury</w:t>
        </w:r>
      </w:hyperlink>
      <w:r w:rsidRPr="00B81F77">
        <w:rPr>
          <w:rFonts w:eastAsia="Times New Roman" w:cs="Times New Roman"/>
          <w:szCs w:val="19"/>
          <w:lang w:eastAsia="pl-PL"/>
        </w:rPr>
        <w:t xml:space="preserve"> oraz publikacji </w:t>
      </w:r>
      <w:hyperlink r:id="rId15" w:tooltip="link do publikacji pt.&quot;Przemysły kultury i kreatywne w latach 2017–2021&quot;" w:history="1">
        <w:r w:rsidRPr="00B81F77">
          <w:rPr>
            <w:rStyle w:val="Hipercze"/>
            <w:rFonts w:eastAsia="Times New Roman"/>
            <w:szCs w:val="19"/>
            <w:lang w:eastAsia="pl-PL"/>
          </w:rPr>
          <w:t>Przemysły kultury i kreatywne w latach 2017–2021</w:t>
        </w:r>
      </w:hyperlink>
      <w:r w:rsidRPr="00B81F77">
        <w:rPr>
          <w:rFonts w:eastAsia="Times New Roman" w:cs="Times New Roman"/>
          <w:szCs w:val="19"/>
          <w:lang w:eastAsia="pl-PL"/>
        </w:rPr>
        <w:t>.</w:t>
      </w:r>
      <w:r w:rsidRPr="00B81F77" w:rsidDel="00A308D1">
        <w:rPr>
          <w:rFonts w:eastAsia="Times New Roman" w:cs="Times New Roman"/>
          <w:szCs w:val="19"/>
          <w:lang w:eastAsia="pl-PL"/>
        </w:rPr>
        <w:t xml:space="preserve"> </w:t>
      </w:r>
    </w:p>
    <w:p w14:paraId="4809D44B" w14:textId="2606A8BC" w:rsidR="00694AF0" w:rsidRPr="00B81F77" w:rsidRDefault="00AD4BFC" w:rsidP="00560177">
      <w:pPr>
        <w:spacing w:before="360"/>
        <w:rPr>
          <w:sz w:val="18"/>
        </w:rPr>
      </w:pPr>
      <w:r w:rsidRPr="00B81F77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B81F77" w:rsidRDefault="00DA331D" w:rsidP="0030079A">
      <w:pPr>
        <w:rPr>
          <w:sz w:val="18"/>
        </w:rPr>
        <w:sectPr w:rsidR="00DA331D" w:rsidRPr="00B81F77" w:rsidSect="002D37F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5A4928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B81F77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B81F77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B81F77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B81F77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B81F77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B81F77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B81F77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B81F77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B81F77">
              <w:rPr>
                <w:sz w:val="20"/>
              </w:rPr>
              <w:t>Tel:</w:t>
            </w:r>
            <w:r w:rsidRPr="00B81F77">
              <w:rPr>
                <w:color w:val="000000" w:themeColor="text1"/>
                <w:sz w:val="20"/>
              </w:rPr>
              <w:t xml:space="preserve"> </w:t>
            </w:r>
            <w:hyperlink r:id="rId20" w:tooltip="zadzwoń" w:history="1">
              <w:r w:rsidR="00A46A86" w:rsidRPr="00B81F77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B81F77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B81F77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B81F77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36CA6893" w:rsidR="0087504F" w:rsidRPr="00B81F77" w:rsidRDefault="0087504F" w:rsidP="00AF597F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B81F77">
              <w:rPr>
                <w:b/>
                <w:sz w:val="20"/>
                <w:szCs w:val="20"/>
              </w:rPr>
              <w:t xml:space="preserve">Wydział </w:t>
            </w:r>
            <w:r w:rsidR="00AF597F" w:rsidRPr="00B81F77">
              <w:rPr>
                <w:b/>
                <w:sz w:val="20"/>
                <w:szCs w:val="20"/>
              </w:rPr>
              <w:t>Prasowy</w:t>
            </w:r>
            <w:r w:rsidRPr="00B81F77">
              <w:rPr>
                <w:b/>
                <w:sz w:val="20"/>
                <w:szCs w:val="20"/>
              </w:rPr>
              <w:t xml:space="preserve"> </w:t>
            </w:r>
          </w:p>
          <w:p w14:paraId="017EE7A3" w14:textId="57936458" w:rsidR="0087504F" w:rsidRPr="00B81F77" w:rsidRDefault="0087504F" w:rsidP="0087504F">
            <w:pPr>
              <w:rPr>
                <w:sz w:val="20"/>
                <w:szCs w:val="20"/>
              </w:rPr>
            </w:pPr>
            <w:r w:rsidRPr="00B81F77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B81F77" w:rsidRDefault="0087504F" w:rsidP="00925120">
            <w:pPr>
              <w:spacing w:after="0"/>
              <w:rPr>
                <w:sz w:val="20"/>
                <w:szCs w:val="20"/>
              </w:rPr>
            </w:pPr>
            <w:r w:rsidRPr="00B81F77">
              <w:rPr>
                <w:sz w:val="20"/>
                <w:szCs w:val="20"/>
              </w:rPr>
              <w:t>Tel. stacjonarne: 22 608 38 04, 22 449 41 45,</w:t>
            </w:r>
            <w:r w:rsidR="00925120" w:rsidRPr="00B81F77">
              <w:rPr>
                <w:sz w:val="20"/>
                <w:szCs w:val="20"/>
              </w:rPr>
              <w:t xml:space="preserve"> </w:t>
            </w:r>
          </w:p>
          <w:p w14:paraId="7C8902C5" w14:textId="325C2802" w:rsidR="0087504F" w:rsidRPr="00B81F77" w:rsidRDefault="0087504F" w:rsidP="00716853">
            <w:pPr>
              <w:spacing w:before="0"/>
              <w:ind w:left="1542"/>
              <w:rPr>
                <w:sz w:val="20"/>
                <w:szCs w:val="20"/>
              </w:rPr>
            </w:pPr>
            <w:r w:rsidRPr="00B81F77">
              <w:rPr>
                <w:sz w:val="20"/>
                <w:szCs w:val="20"/>
              </w:rPr>
              <w:t>22 608 30 09</w:t>
            </w:r>
          </w:p>
          <w:p w14:paraId="3CC62B04" w14:textId="55515180" w:rsidR="0087504F" w:rsidRPr="005A4928" w:rsidRDefault="0087504F" w:rsidP="00FB1E83">
            <w:pPr>
              <w:spacing w:before="0"/>
              <w:rPr>
                <w:b/>
                <w:lang w:val="en-GB"/>
              </w:rPr>
            </w:pPr>
            <w:r w:rsidRPr="005A4928">
              <w:rPr>
                <w:b/>
                <w:sz w:val="20"/>
                <w:szCs w:val="20"/>
                <w:lang w:val="en-GB"/>
              </w:rPr>
              <w:t>e-mail:</w:t>
            </w:r>
            <w:r w:rsidRPr="005A4928">
              <w:rPr>
                <w:sz w:val="20"/>
                <w:szCs w:val="20"/>
                <w:lang w:val="en-GB"/>
              </w:rPr>
              <w:t xml:space="preserve"> </w:t>
            </w:r>
            <w:hyperlink r:id="rId21" w:tooltip="adres mailowy Wydziału Prasowego" w:history="1">
              <w:r w:rsidRPr="005A492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F012F6" w:rsidRPr="00B81F77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F012F6" w:rsidRPr="005A4928" w:rsidRDefault="00F012F6" w:rsidP="00F012F6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530E2A8C" w:rsidR="00F012F6" w:rsidRPr="00B81F77" w:rsidRDefault="00BA30C2" w:rsidP="00F012F6">
            <w:pPr>
              <w:ind w:firstLine="680"/>
              <w:rPr>
                <w:sz w:val="18"/>
              </w:rPr>
            </w:pPr>
            <w:hyperlink r:id="rId22" w:tooltip="strona internetowa GUS" w:history="1">
              <w:r w:rsidR="00F012F6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1360" behindDoc="0" locked="0" layoutInCell="1" allowOverlap="1" wp14:anchorId="618314AC" wp14:editId="7CBD0630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F012F6"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F012F6" w:rsidRPr="00B81F77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F012F6" w:rsidRPr="00B81F77" w:rsidRDefault="00F012F6" w:rsidP="00F012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7F50FC5" w:rsidR="00F012F6" w:rsidRPr="00B81F77" w:rsidRDefault="00F012F6" w:rsidP="00F012F6">
            <w:pPr>
              <w:ind w:firstLine="680"/>
              <w:rPr>
                <w:sz w:val="18"/>
              </w:rPr>
            </w:pPr>
            <w:r w:rsidRPr="000F761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3F6AE4B0" wp14:editId="02D411E7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X GUS" w:history="1"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0F76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012F6" w:rsidRPr="00B81F77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F012F6" w:rsidRPr="00B81F77" w:rsidRDefault="00F012F6" w:rsidP="00F012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819091B" w:rsidR="00F012F6" w:rsidRPr="00B81F77" w:rsidRDefault="00F012F6" w:rsidP="00F012F6">
            <w:pPr>
              <w:ind w:firstLine="680"/>
              <w:rPr>
                <w:sz w:val="18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737F4AA4" wp14:editId="755F5CE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facebook GUS" w:history="1"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0F761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012F6" w:rsidRPr="00B81F77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F012F6" w:rsidRPr="00B81F77" w:rsidRDefault="00F012F6" w:rsidP="00F012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3CA63B27" w:rsidR="00F012F6" w:rsidRPr="00B81F77" w:rsidRDefault="00F012F6" w:rsidP="00F012F6">
            <w:pPr>
              <w:ind w:firstLine="680"/>
              <w:rPr>
                <w:noProof/>
                <w:sz w:val="20"/>
                <w:lang w:eastAsia="pl-PL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50380EF3" wp14:editId="11A25A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instagram GUS" w:history="1"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F012F6" w:rsidRPr="00B81F77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F012F6" w:rsidRPr="00B81F77" w:rsidRDefault="00F012F6" w:rsidP="00F012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72DDEFC5" w:rsidR="00F012F6" w:rsidRPr="00B81F77" w:rsidRDefault="00F012F6" w:rsidP="00F012F6">
            <w:pPr>
              <w:ind w:firstLine="680"/>
              <w:rPr>
                <w:noProof/>
                <w:sz w:val="20"/>
                <w:lang w:eastAsia="pl-PL"/>
              </w:rPr>
            </w:pPr>
            <w:r w:rsidRPr="000F761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47444F67" wp14:editId="22A6FF8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youtube GUS" w:history="1">
              <w:proofErr w:type="spellStart"/>
              <w:r w:rsidRPr="000F761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F012F6" w:rsidRPr="00B81F77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F012F6" w:rsidRPr="00B81F77" w:rsidRDefault="00F012F6" w:rsidP="00F012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468589E2" w:rsidR="00F012F6" w:rsidRPr="00B81F77" w:rsidRDefault="00BA30C2" w:rsidP="00F012F6">
            <w:pPr>
              <w:ind w:firstLine="680"/>
              <w:rPr>
                <w:noProof/>
                <w:sz w:val="20"/>
                <w:lang w:eastAsia="pl-PL"/>
              </w:rPr>
            </w:pPr>
            <w:hyperlink r:id="rId32" w:tooltip="linkedin GUS" w:history="1">
              <w:r w:rsidR="00F012F6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F012F6" w:rsidRPr="000F761C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6480" behindDoc="0" locked="0" layoutInCell="1" allowOverlap="1" wp14:anchorId="0C0781E4" wp14:editId="170EB2B1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B81F77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B81F77" w:rsidRDefault="00531873" w:rsidP="00AF597F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B81F77">
              <w:rPr>
                <w:b/>
              </w:rPr>
              <w:t>Powiązane opracowania</w:t>
            </w:r>
          </w:p>
          <w:bookmarkStart w:id="2" w:name="_Hlk193796908"/>
          <w:p w14:paraId="2267ECFE" w14:textId="0ADEA174" w:rsidR="004A1D35" w:rsidRDefault="004A1D35" w:rsidP="004A1D35">
            <w:pPr>
              <w:rPr>
                <w:rStyle w:val="Hipercze"/>
                <w:highlight w:val="yellow"/>
              </w:rPr>
            </w:pPr>
            <w:r w:rsidRPr="00B81F77">
              <w:fldChar w:fldCharType="begin"/>
            </w:r>
            <w:r w:rsidRPr="00B81F77">
              <w:instrText xml:space="preserve"> HYPERLINK "https://stat.gov.pl/obszary-tematyczne/kultura-turystyka-sport/kultura/przemysly-kultury-i-kreatywne-w-latach-2017-2021,19,2.html" \o "link do publikacji pt.\"Przemysły kultury i kreatywne w latach 2017–2021\"" </w:instrText>
            </w:r>
            <w:r w:rsidRPr="00B81F77">
              <w:fldChar w:fldCharType="separate"/>
            </w:r>
            <w:r w:rsidRPr="00B81F77">
              <w:rPr>
                <w:rStyle w:val="Hipercze"/>
              </w:rPr>
              <w:t>Przemysły kultury i kreatywne w latach 2017–2021</w:t>
            </w:r>
            <w:r w:rsidRPr="00B81F77">
              <w:rPr>
                <w:rStyle w:val="Hipercze"/>
              </w:rPr>
              <w:fldChar w:fldCharType="end"/>
            </w:r>
            <w:bookmarkEnd w:id="2"/>
            <w:r w:rsidRPr="00B81F77">
              <w:rPr>
                <w:rStyle w:val="Hipercze"/>
                <w:highlight w:val="yellow"/>
              </w:rPr>
              <w:t xml:space="preserve"> </w:t>
            </w:r>
          </w:p>
          <w:p w14:paraId="19E484C2" w14:textId="3372BA26" w:rsidR="00EB5CFD" w:rsidRPr="00EB5CFD" w:rsidRDefault="00BA30C2" w:rsidP="004A1D35">
            <w:pPr>
              <w:rPr>
                <w:rStyle w:val="Hipercze"/>
              </w:rPr>
            </w:pPr>
            <w:hyperlink r:id="rId34" w:tooltip="link do publikacji pt. &quot;Przemysły kultury i kreatywne w 2023 r.&quot; " w:history="1">
              <w:r w:rsidR="00EB5CFD" w:rsidRPr="00EB5CFD">
                <w:rPr>
                  <w:rStyle w:val="Hipercze"/>
                </w:rPr>
                <w:t>Przemysły kultury i kreatywne w 2023 r.</w:t>
              </w:r>
            </w:hyperlink>
          </w:p>
          <w:p w14:paraId="5BA1FDE5" w14:textId="7C463AB9" w:rsidR="004A1D35" w:rsidRPr="00B81F77" w:rsidRDefault="004A1D35" w:rsidP="004A1D35">
            <w:pPr>
              <w:rPr>
                <w:rStyle w:val="Hipercze"/>
              </w:rPr>
            </w:pPr>
            <w:r w:rsidRPr="00B81F77">
              <w:rPr>
                <w:rFonts w:cs="Times New Roman"/>
              </w:rPr>
              <w:fldChar w:fldCharType="begin"/>
            </w:r>
            <w:r w:rsidR="00D35E57">
              <w:rPr>
                <w:rFonts w:cs="Times New Roman"/>
              </w:rPr>
              <w:instrText>HYPERLINK "https://stat.gov.pl/obszary-tematyczne/kultura-turystyka-sport/kultura/kultura-i-dziedzictwo-narodowe-w-2024-r-,2,22.html" \o "link do publikacji pt.\"Kultura i dziedzictwo narodowe w 2024 r.\"</w:instrText>
            </w:r>
            <w:r w:rsidRPr="00B81F77">
              <w:rPr>
                <w:rFonts w:cs="Times New Roman"/>
              </w:rPr>
              <w:fldChar w:fldCharType="separate"/>
            </w:r>
            <w:r w:rsidRPr="00B81F77">
              <w:rPr>
                <w:rStyle w:val="Hipercze"/>
              </w:rPr>
              <w:t>Kultura i dziedzictwo narodowe w 2024 r.</w:t>
            </w:r>
          </w:p>
          <w:p w14:paraId="1878D550" w14:textId="721B6211" w:rsidR="005B6AE9" w:rsidRPr="00B81F77" w:rsidRDefault="004A1D35" w:rsidP="004A1D35">
            <w:pPr>
              <w:spacing w:line="240" w:lineRule="exact"/>
              <w:rPr>
                <w:rStyle w:val="Hipercze"/>
              </w:rPr>
            </w:pPr>
            <w:r w:rsidRPr="00B81F77">
              <w:rPr>
                <w:rFonts w:cs="Times New Roman"/>
              </w:rPr>
              <w:fldChar w:fldCharType="end"/>
            </w:r>
            <w:hyperlink r:id="rId35" w:tooltip="link do publikacji pt. &quot;Zeszyt metodologiczny – Statystyka kultury&quot;" w:history="1">
              <w:r w:rsidRPr="00B81F77">
                <w:rPr>
                  <w:rStyle w:val="Hipercze"/>
                </w:rPr>
                <w:t>Zeszyt metodologiczny – Statystyka kultury</w:t>
              </w:r>
            </w:hyperlink>
            <w:r w:rsidR="00EB5CFD">
              <w:rPr>
                <w:rStyle w:val="Hipercze"/>
              </w:rPr>
              <w:t xml:space="preserve"> </w:t>
            </w:r>
            <w:r w:rsidR="005B6AE9" w:rsidRPr="00B81F77">
              <w:rPr>
                <w:rFonts w:cs="Times New Roman"/>
              </w:rPr>
              <w:fldChar w:fldCharType="begin"/>
            </w:r>
            <w:r w:rsidR="005B6AE9" w:rsidRPr="00B81F77">
              <w:rPr>
                <w:rFonts w:cs="Times New Roman"/>
              </w:rPr>
              <w:instrText>HYPERLINK "https://stat.gov.pl/" \o "strona internetowa z udostępniona publikacją"</w:instrText>
            </w:r>
            <w:r w:rsidR="005B6AE9" w:rsidRPr="00B81F77">
              <w:rPr>
                <w:rFonts w:cs="Times New Roman"/>
              </w:rPr>
              <w:fldChar w:fldCharType="separate"/>
            </w:r>
            <w:r w:rsidR="005B6AE9" w:rsidRPr="00B81F77">
              <w:rPr>
                <w:rFonts w:cs="Times New Roman"/>
              </w:rPr>
              <w:fldChar w:fldCharType="begin"/>
            </w:r>
            <w:r w:rsidR="005B6AE9" w:rsidRPr="00B81F77">
              <w:rPr>
                <w:rFonts w:cs="Times New Roman"/>
              </w:rPr>
              <w:instrText>HYPERLINK "https://stat.gov.pl/" \o "prowadzi do publikacji zamieszczonej na stronie internetowej"</w:instrText>
            </w:r>
            <w:r w:rsidR="005B6AE9" w:rsidRPr="00B81F77">
              <w:rPr>
                <w:rFonts w:cs="Times New Roman"/>
              </w:rPr>
              <w:fldChar w:fldCharType="separate"/>
            </w:r>
          </w:p>
          <w:p w14:paraId="6EC7A51E" w14:textId="1A066960" w:rsidR="00531873" w:rsidRPr="00B81F77" w:rsidRDefault="005B6AE9" w:rsidP="00AF597F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B81F77">
              <w:rPr>
                <w:rFonts w:cs="Times New Roman"/>
              </w:rPr>
              <w:fldChar w:fldCharType="end"/>
            </w:r>
            <w:r w:rsidRPr="00B81F77">
              <w:rPr>
                <w:rFonts w:cs="Times New Roman"/>
              </w:rPr>
              <w:fldChar w:fldCharType="end"/>
            </w:r>
            <w:r w:rsidR="00531873" w:rsidRPr="00B81F7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CB72C0D" w14:textId="77777777" w:rsidR="004A1D35" w:rsidRPr="00B81F77" w:rsidRDefault="00BA30C2" w:rsidP="004A1D35">
            <w:pPr>
              <w:rPr>
                <w:rStyle w:val="Hipercze"/>
              </w:rPr>
            </w:pPr>
            <w:hyperlink r:id="rId36" w:tooltip="link do pojęcia &quot;Eksport towarów i usług&quot;" w:history="1">
              <w:r w:rsidR="004A1D35" w:rsidRPr="00B81F77">
                <w:rPr>
                  <w:rStyle w:val="Hipercze"/>
                </w:rPr>
                <w:t>Eksport towarów i usług</w:t>
              </w:r>
            </w:hyperlink>
          </w:p>
          <w:p w14:paraId="6A21B095" w14:textId="77777777" w:rsidR="004A1D35" w:rsidRPr="00B81F77" w:rsidRDefault="00BA30C2" w:rsidP="004A1D35">
            <w:pPr>
              <w:rPr>
                <w:rStyle w:val="Hipercze"/>
              </w:rPr>
            </w:pPr>
            <w:hyperlink r:id="rId37" w:tooltip="link do pojęcia &quot;Import towarów i usług&quot;" w:history="1">
              <w:r w:rsidR="004A1D35" w:rsidRPr="00B81F77">
                <w:rPr>
                  <w:rStyle w:val="Hipercze"/>
                </w:rPr>
                <w:t>Import towarów i usług</w:t>
              </w:r>
            </w:hyperlink>
          </w:p>
          <w:p w14:paraId="2980375F" w14:textId="77777777" w:rsidR="004A1D35" w:rsidRPr="00B81F77" w:rsidRDefault="00BA30C2" w:rsidP="004A1D35">
            <w:pPr>
              <w:rPr>
                <w:rStyle w:val="Hipercze"/>
              </w:rPr>
            </w:pPr>
            <w:hyperlink r:id="rId38" w:tooltip="link do pojęcia &quot;Koszty ogółem&quot;" w:history="1">
              <w:r w:rsidR="004A1D35" w:rsidRPr="00B81F77">
                <w:rPr>
                  <w:rStyle w:val="Hipercze"/>
                </w:rPr>
                <w:t>Koszty ogółem</w:t>
              </w:r>
            </w:hyperlink>
          </w:p>
          <w:p w14:paraId="36D8F8ED" w14:textId="77777777" w:rsidR="004A1D35" w:rsidRPr="00B81F77" w:rsidRDefault="00BA30C2" w:rsidP="004A1D35">
            <w:pPr>
              <w:rPr>
                <w:rStyle w:val="Hipercze"/>
              </w:rPr>
            </w:pPr>
            <w:hyperlink r:id="rId39" w:tooltip="link do pojęcia &quot;Przeciętne miesięczne wynagrodzenie brutto&quot;" w:history="1">
              <w:r w:rsidR="004A1D35" w:rsidRPr="00B81F77">
                <w:rPr>
                  <w:rStyle w:val="Hipercze"/>
                </w:rPr>
                <w:t>Przeciętne miesięczne wynagrodzenie brutto</w:t>
              </w:r>
            </w:hyperlink>
          </w:p>
          <w:p w14:paraId="3CD26587" w14:textId="77777777" w:rsidR="004A1D35" w:rsidRPr="00B81F77" w:rsidRDefault="00BA30C2" w:rsidP="004A1D35">
            <w:pPr>
              <w:rPr>
                <w:rStyle w:val="Hipercze"/>
              </w:rPr>
            </w:pPr>
            <w:hyperlink r:id="rId40" w:tooltip="link do pojęcia &quot;Przeciętne zatrudnienie&quot;" w:history="1">
              <w:r w:rsidR="004A1D35" w:rsidRPr="00B81F77">
                <w:rPr>
                  <w:rStyle w:val="Hipercze"/>
                </w:rPr>
                <w:t>Przeciętne zatrudnienie</w:t>
              </w:r>
            </w:hyperlink>
          </w:p>
          <w:p w14:paraId="6E8DC62E" w14:textId="77777777" w:rsidR="004A1D35" w:rsidRPr="00B81F77" w:rsidRDefault="00BA30C2" w:rsidP="004A1D35">
            <w:pPr>
              <w:rPr>
                <w:rStyle w:val="Hipercze"/>
              </w:rPr>
            </w:pPr>
            <w:hyperlink r:id="rId41" w:tooltip="link do pojęcia &quot;Przychody ogółem&quot;" w:history="1">
              <w:r w:rsidR="004A1D35" w:rsidRPr="00B81F77">
                <w:rPr>
                  <w:rStyle w:val="Hipercze"/>
                </w:rPr>
                <w:t>Przychody ogółem</w:t>
              </w:r>
            </w:hyperlink>
          </w:p>
          <w:p w14:paraId="4FF8C041" w14:textId="77777777" w:rsidR="004A1D35" w:rsidRPr="00B81F77" w:rsidRDefault="00BA30C2" w:rsidP="004A1D35">
            <w:pPr>
              <w:rPr>
                <w:rStyle w:val="Hipercze"/>
              </w:rPr>
            </w:pPr>
            <w:hyperlink r:id="rId42" w:tooltip="link do pojęcia &quot;Saldo obrotów towarowych handlu zagranicznego&quot;" w:history="1">
              <w:r w:rsidR="004A1D35" w:rsidRPr="00B81F77">
                <w:rPr>
                  <w:rStyle w:val="Hipercze"/>
                </w:rPr>
                <w:t>Saldo obrotów towarowych handlu zagranicznego</w:t>
              </w:r>
            </w:hyperlink>
          </w:p>
          <w:p w14:paraId="14F46D09" w14:textId="77777777" w:rsidR="004A1D35" w:rsidRPr="00B81F77" w:rsidRDefault="00BA30C2" w:rsidP="004A1D35">
            <w:pPr>
              <w:rPr>
                <w:rStyle w:val="Hipercze"/>
              </w:rPr>
            </w:pPr>
            <w:hyperlink r:id="rId43" w:tooltip="link do pojęcia &quot;Saldo usług&quot;" w:history="1">
              <w:r w:rsidR="004A1D35" w:rsidRPr="00B81F77">
                <w:rPr>
                  <w:rStyle w:val="Hipercze"/>
                </w:rPr>
                <w:t>Saldo usług</w:t>
              </w:r>
            </w:hyperlink>
          </w:p>
          <w:p w14:paraId="0007A992" w14:textId="77777777" w:rsidR="004A1D35" w:rsidRPr="00B81F77" w:rsidRDefault="00BA30C2" w:rsidP="004A1D35">
            <w:pPr>
              <w:rPr>
                <w:rStyle w:val="Hipercze"/>
              </w:rPr>
            </w:pPr>
            <w:hyperlink r:id="rId44" w:tooltip="link do pojęcia &quot;Wskaźnik poziomu kosztów&quot;" w:history="1">
              <w:r w:rsidR="004A1D35" w:rsidRPr="00B81F77">
                <w:rPr>
                  <w:rStyle w:val="Hipercze"/>
                </w:rPr>
                <w:t>Wskaźnik poziomu kosztów</w:t>
              </w:r>
            </w:hyperlink>
          </w:p>
          <w:p w14:paraId="59EB7117" w14:textId="4100FB77" w:rsidR="00531873" w:rsidRPr="00B81F77" w:rsidRDefault="00BA30C2" w:rsidP="004A1D35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45" w:tooltip="link do pojęcia &quot;Wynagrodzenia brutto&quot;" w:history="1">
              <w:r w:rsidR="004A1D35" w:rsidRPr="00B81F77">
                <w:rPr>
                  <w:rStyle w:val="Hipercze"/>
                </w:rPr>
                <w:t>Wynagrodzenia brutto</w:t>
              </w:r>
            </w:hyperlink>
          </w:p>
        </w:tc>
      </w:tr>
    </w:tbl>
    <w:p w14:paraId="7C19EFAE" w14:textId="3C71AEEB" w:rsidR="00D261A2" w:rsidRPr="00B81F77" w:rsidRDefault="00D261A2" w:rsidP="002D37FA">
      <w:pPr>
        <w:rPr>
          <w:sz w:val="18"/>
        </w:rPr>
      </w:pPr>
    </w:p>
    <w:sectPr w:rsidR="00D261A2" w:rsidRPr="00B81F77" w:rsidSect="003B18B6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7171B2" w14:textId="77777777" w:rsidR="00720F44" w:rsidRDefault="00720F44" w:rsidP="000662E2">
      <w:pPr>
        <w:spacing w:after="0" w:line="240" w:lineRule="auto"/>
      </w:pPr>
      <w:r>
        <w:separator/>
      </w:r>
    </w:p>
    <w:p w14:paraId="30238ABD" w14:textId="77777777" w:rsidR="00720F44" w:rsidRDefault="00720F44"/>
    <w:p w14:paraId="5E8E3CAA" w14:textId="77777777" w:rsidR="00720F44" w:rsidRDefault="00720F44"/>
    <w:p w14:paraId="11BA34F4" w14:textId="77777777" w:rsidR="00720F44" w:rsidRDefault="00720F44"/>
    <w:p w14:paraId="2F8E3D66" w14:textId="77777777" w:rsidR="00720F44" w:rsidRDefault="00720F44"/>
    <w:p w14:paraId="7ED633D7" w14:textId="77777777" w:rsidR="00720F44" w:rsidRDefault="00720F44"/>
  </w:endnote>
  <w:endnote w:type="continuationSeparator" w:id="0">
    <w:p w14:paraId="74AE6DD8" w14:textId="77777777" w:rsidR="00720F44" w:rsidRDefault="00720F44" w:rsidP="000662E2">
      <w:pPr>
        <w:spacing w:after="0" w:line="240" w:lineRule="auto"/>
      </w:pPr>
      <w:r>
        <w:continuationSeparator/>
      </w:r>
    </w:p>
    <w:p w14:paraId="62B8EDEE" w14:textId="77777777" w:rsidR="00720F44" w:rsidRDefault="00720F44"/>
    <w:p w14:paraId="6B8CA40B" w14:textId="77777777" w:rsidR="00720F44" w:rsidRDefault="00720F44"/>
    <w:p w14:paraId="0D7E1902" w14:textId="77777777" w:rsidR="00720F44" w:rsidRDefault="00720F44"/>
    <w:p w14:paraId="3992217E" w14:textId="77777777" w:rsidR="00720F44" w:rsidRDefault="00720F44"/>
    <w:p w14:paraId="361BA85B" w14:textId="77777777" w:rsidR="00720F44" w:rsidRDefault="00720F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0F8B5F6-C8EB-4C56-9E07-A7EA4198BEBD}"/>
    <w:embedBold r:id="rId2" w:fontKey="{4C32E1AA-7968-4B65-B650-92114FB9689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C7D2131-A143-449C-AC17-8A61C4082323}"/>
    <w:embedBold r:id="rId4" w:fontKey="{3312E241-9F95-4262-887C-EE584CAC76A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BB78DFED-219D-46C2-B12E-614B32DC57D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AA60E6B9-D779-403D-BB0B-8B5F4A1124E2}"/>
    <w:embedItalic r:id="rId7" w:fontKey="{AA28DD54-A0B6-4C49-A4F0-E00E63B2D7A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7DC8B744-4ED7-4BA7-AC61-A18E57760E9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95F3B19-B73E-4725-95BA-C4FF18CC421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33BE8B4D-1A22-4E45-89A6-6B7E27BE135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C10786" w:rsidRDefault="00C10786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0C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C10786" w:rsidRDefault="00C10786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0C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C10786" w:rsidRPr="002D37FA" w:rsidRDefault="00C10786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BA30C2">
          <w:rPr>
            <w:noProof/>
          </w:rPr>
          <w:t>6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CB8FEC" w14:textId="77777777" w:rsidR="00720F44" w:rsidRDefault="00720F44" w:rsidP="000662E2">
      <w:pPr>
        <w:spacing w:after="0" w:line="240" w:lineRule="auto"/>
      </w:pPr>
      <w:r>
        <w:separator/>
      </w:r>
    </w:p>
  </w:footnote>
  <w:footnote w:type="continuationSeparator" w:id="0">
    <w:p w14:paraId="54E3BED3" w14:textId="77777777" w:rsidR="00720F44" w:rsidRDefault="00720F44" w:rsidP="000662E2">
      <w:pPr>
        <w:spacing w:after="0" w:line="240" w:lineRule="auto"/>
      </w:pPr>
      <w:r>
        <w:continuationSeparator/>
      </w:r>
    </w:p>
    <w:p w14:paraId="401C8276" w14:textId="77777777" w:rsidR="00720F44" w:rsidRDefault="00720F44"/>
  </w:footnote>
  <w:footnote w:type="continuationNotice" w:id="1">
    <w:p w14:paraId="602CD002" w14:textId="77777777" w:rsidR="00720F44" w:rsidRDefault="00720F44">
      <w:pPr>
        <w:spacing w:before="0" w:after="0" w:line="240" w:lineRule="auto"/>
      </w:pPr>
    </w:p>
    <w:p w14:paraId="3234BECF" w14:textId="77777777" w:rsidR="00720F44" w:rsidRDefault="00720F44"/>
  </w:footnote>
  <w:footnote w:id="2">
    <w:p w14:paraId="221A5F19" w14:textId="2F453423" w:rsidR="00A576AF" w:rsidRDefault="00A576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736F9">
        <w:rPr>
          <w:sz w:val="19"/>
          <w:szCs w:val="19"/>
        </w:rPr>
        <w:t>W przeliczeniu na 1 etat.</w:t>
      </w:r>
    </w:p>
  </w:footnote>
  <w:footnote w:id="3">
    <w:p w14:paraId="249675EB" w14:textId="1010084B" w:rsidR="00A576AF" w:rsidRDefault="00A576AF" w:rsidP="00A736F9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D24A15">
        <w:rPr>
          <w:rStyle w:val="PrzypisZnak"/>
          <w:lang w:val="pl-PL"/>
        </w:rPr>
        <w:t>Mikroprzedsiębiorstwa – podmioty, w których pracuje 9 lub mniej osób</w:t>
      </w:r>
      <w:r>
        <w:rPr>
          <w:rStyle w:val="PrzypisZnak"/>
          <w:lang w:val="pl-PL"/>
        </w:rPr>
        <w:t>.</w:t>
      </w:r>
    </w:p>
  </w:footnote>
  <w:footnote w:id="4">
    <w:p w14:paraId="65D3D6DB" w14:textId="72E52BF6" w:rsidR="00A576AF" w:rsidRDefault="00A576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F02C9">
        <w:t>M</w:t>
      </w:r>
      <w:r w:rsidR="00DF02C9" w:rsidRPr="00DF02C9">
        <w:t>ałe przedsiębiorstwa – podmioty, w których pracuje 10–49 osób; średnie przedsiębiorstwa –</w:t>
      </w:r>
      <w:r w:rsidR="00DF02C9">
        <w:t xml:space="preserve"> </w:t>
      </w:r>
      <w:r w:rsidR="00DF02C9" w:rsidRPr="00DF02C9">
        <w:t>podmioty, w których pracuje 50–249 osób; duże przedsiębiorstwa – podmioty, w których pracuje 250 i więcej osób</w:t>
      </w:r>
    </w:p>
  </w:footnote>
  <w:footnote w:id="5">
    <w:p w14:paraId="1AF9F1A8" w14:textId="6AE84D4A" w:rsidR="00C10786" w:rsidRDefault="00C10786" w:rsidP="00F9737D">
      <w:pPr>
        <w:spacing w:line="240" w:lineRule="auto"/>
      </w:pPr>
      <w:r w:rsidRPr="00F35488">
        <w:rPr>
          <w:rStyle w:val="Odwoanieprzypisudolnego"/>
        </w:rPr>
        <w:footnoteRef/>
      </w:r>
      <w:r w:rsidRPr="00F35488">
        <w:t xml:space="preserve"> Dane dotyczą podmiotów gospodarki narodowej oraz rezydentów, którzy uczestniczą w międzynarodowym obrocie towarami i usługami, z wyjątkiem podmiotów dokonujących wymiany handlowej towarów, których obroty z państwami członkowskimi UE </w:t>
      </w:r>
      <w:r w:rsidR="00007B0E">
        <w:t xml:space="preserve">nie </w:t>
      </w:r>
      <w:r w:rsidRPr="00F35488">
        <w:t>przekroczyły statystyczn</w:t>
      </w:r>
      <w:r w:rsidR="00BA30C2">
        <w:t>ego</w:t>
      </w:r>
      <w:r w:rsidRPr="00F35488">
        <w:t xml:space="preserve"> pr</w:t>
      </w:r>
      <w:r w:rsidR="00BA30C2">
        <w:t>o</w:t>
      </w:r>
      <w:r w:rsidRPr="00F35488">
        <w:t>g</w:t>
      </w:r>
      <w:r w:rsidR="00BA30C2">
        <w:t>u</w:t>
      </w:r>
      <w:r w:rsidRPr="00F35488">
        <w:t xml:space="preserve"> </w:t>
      </w:r>
      <w:r w:rsidRPr="00F35488">
        <w:t>podstawow</w:t>
      </w:r>
      <w:r w:rsidR="00BA30C2">
        <w:t>ego</w:t>
      </w:r>
      <w:bookmarkStart w:id="1" w:name="_GoBack"/>
      <w:bookmarkEnd w:id="1"/>
      <w:r w:rsidRPr="00F35488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CE83E" w14:textId="1349A005" w:rsidR="00C10786" w:rsidRDefault="00C1078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55D99D4B" w:rsidR="00C10786" w:rsidRDefault="00C10786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2231511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: 27.03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B1D983B" w:rsidR="00C10786" w:rsidRPr="00A01B40" w:rsidRDefault="00C10786" w:rsidP="00F049AB">
                          <w:pPr>
                            <w:pStyle w:val="Datainformacjisygnalnej"/>
                          </w:pPr>
                          <w:r>
                            <w:t>27.03.2026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: 27.03.2026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" filled="f" stroked="f">
              <v:textbox>
                <w:txbxContent>
                  <w:p w14:paraId="71967FEA" w14:textId="2B1D983B" w:rsidR="00C10786" w:rsidRPr="00A01B40" w:rsidRDefault="00C10786" w:rsidP="00F049AB">
                    <w:pPr>
                      <w:pStyle w:val="Datainformacjisygnalnej"/>
                    </w:pPr>
                    <w:r>
                      <w:t>27.03.2026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2" name="Obraz 2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C10786" w:rsidRPr="003C6C8D" w:rsidRDefault="00C10786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C10786" w:rsidRPr="003C6C8D" w:rsidRDefault="00C10786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71B0E8" w14:textId="77777777" w:rsidR="00C10786" w:rsidRDefault="00C10786"/>
  <w:p w14:paraId="3F80A880" w14:textId="77777777" w:rsidR="00C10786" w:rsidRDefault="00C107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47" type="#_x0000_t75" style="width:124.6pt;height:124.6pt;visibility:visible;mso-wrap-style:square" o:bullet="t">
        <v:imagedata r:id="rId2" o:title=""/>
      </v:shape>
    </w:pict>
  </w:numPicBullet>
  <w:numPicBullet w:numPicBulletId="2">
    <w:pict>
      <v:shape id="_x0000_i1048" type="#_x0000_t75" style="width:19.4pt;height:22.55pt;visibility:visible;mso-wrap-style:square" o:bullet="t">
        <v:imagedata r:id="rId3" o:title=""/>
      </v:shape>
    </w:pict>
  </w:numPicBullet>
  <w:numPicBullet w:numPicBulletId="3">
    <w:pict>
      <v:shape id="_x0000_i1049" type="#_x0000_t75" style="width:19.4pt;height:22.5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556"/>
    <w:rsid w:val="00004633"/>
    <w:rsid w:val="0000709F"/>
    <w:rsid w:val="00007B0E"/>
    <w:rsid w:val="000108B8"/>
    <w:rsid w:val="000128E5"/>
    <w:rsid w:val="000152F5"/>
    <w:rsid w:val="00017E6B"/>
    <w:rsid w:val="0002633A"/>
    <w:rsid w:val="000428E9"/>
    <w:rsid w:val="0004582E"/>
    <w:rsid w:val="000470AA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76670"/>
    <w:rsid w:val="00080176"/>
    <w:rsid w:val="000806F7"/>
    <w:rsid w:val="00084236"/>
    <w:rsid w:val="00097840"/>
    <w:rsid w:val="000A7C20"/>
    <w:rsid w:val="000B0727"/>
    <w:rsid w:val="000B16BC"/>
    <w:rsid w:val="000B2B2B"/>
    <w:rsid w:val="000B6051"/>
    <w:rsid w:val="000C135D"/>
    <w:rsid w:val="000C2158"/>
    <w:rsid w:val="000D1D43"/>
    <w:rsid w:val="000D225C"/>
    <w:rsid w:val="000D2A5C"/>
    <w:rsid w:val="000D39F0"/>
    <w:rsid w:val="000D4F03"/>
    <w:rsid w:val="000D77CA"/>
    <w:rsid w:val="000E0918"/>
    <w:rsid w:val="000E7594"/>
    <w:rsid w:val="000E79A9"/>
    <w:rsid w:val="000F761C"/>
    <w:rsid w:val="001011C3"/>
    <w:rsid w:val="00102CA7"/>
    <w:rsid w:val="00106DA3"/>
    <w:rsid w:val="00107AD7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29F5"/>
    <w:rsid w:val="001448A7"/>
    <w:rsid w:val="00146621"/>
    <w:rsid w:val="001478EF"/>
    <w:rsid w:val="001617E3"/>
    <w:rsid w:val="00162325"/>
    <w:rsid w:val="0016723C"/>
    <w:rsid w:val="00170BA0"/>
    <w:rsid w:val="00171B64"/>
    <w:rsid w:val="00171E3A"/>
    <w:rsid w:val="00177207"/>
    <w:rsid w:val="00177E2D"/>
    <w:rsid w:val="00185201"/>
    <w:rsid w:val="001951DA"/>
    <w:rsid w:val="00197A7A"/>
    <w:rsid w:val="001A3C1E"/>
    <w:rsid w:val="001A70A2"/>
    <w:rsid w:val="001B053D"/>
    <w:rsid w:val="001B22E0"/>
    <w:rsid w:val="001C3269"/>
    <w:rsid w:val="001D19B6"/>
    <w:rsid w:val="001D1DB4"/>
    <w:rsid w:val="001D23F1"/>
    <w:rsid w:val="001D25F9"/>
    <w:rsid w:val="001D52E5"/>
    <w:rsid w:val="001D60B4"/>
    <w:rsid w:val="001D61ED"/>
    <w:rsid w:val="001E5B2D"/>
    <w:rsid w:val="001F13DB"/>
    <w:rsid w:val="001F3471"/>
    <w:rsid w:val="001F7FFB"/>
    <w:rsid w:val="0020156C"/>
    <w:rsid w:val="00201803"/>
    <w:rsid w:val="0020458B"/>
    <w:rsid w:val="00216634"/>
    <w:rsid w:val="00217A35"/>
    <w:rsid w:val="00225120"/>
    <w:rsid w:val="00227A7B"/>
    <w:rsid w:val="002402CB"/>
    <w:rsid w:val="00242D31"/>
    <w:rsid w:val="00253AB6"/>
    <w:rsid w:val="0025481E"/>
    <w:rsid w:val="002574F9"/>
    <w:rsid w:val="00262B61"/>
    <w:rsid w:val="00262CC6"/>
    <w:rsid w:val="00263BA9"/>
    <w:rsid w:val="00263E08"/>
    <w:rsid w:val="00265491"/>
    <w:rsid w:val="00275406"/>
    <w:rsid w:val="002762FD"/>
    <w:rsid w:val="00276811"/>
    <w:rsid w:val="00282699"/>
    <w:rsid w:val="002926DF"/>
    <w:rsid w:val="00296697"/>
    <w:rsid w:val="002978F8"/>
    <w:rsid w:val="002A21E1"/>
    <w:rsid w:val="002A3D7F"/>
    <w:rsid w:val="002A47F1"/>
    <w:rsid w:val="002B0472"/>
    <w:rsid w:val="002B2AC5"/>
    <w:rsid w:val="002B66BA"/>
    <w:rsid w:val="002B6B12"/>
    <w:rsid w:val="002C1927"/>
    <w:rsid w:val="002C1CBF"/>
    <w:rsid w:val="002C21F0"/>
    <w:rsid w:val="002C7840"/>
    <w:rsid w:val="002D01DF"/>
    <w:rsid w:val="002D19FA"/>
    <w:rsid w:val="002D37FA"/>
    <w:rsid w:val="002D7627"/>
    <w:rsid w:val="002E3EB3"/>
    <w:rsid w:val="002E6140"/>
    <w:rsid w:val="002E6985"/>
    <w:rsid w:val="002E71B6"/>
    <w:rsid w:val="002F35F6"/>
    <w:rsid w:val="002F77C8"/>
    <w:rsid w:val="002F7CBF"/>
    <w:rsid w:val="0030063B"/>
    <w:rsid w:val="0030079A"/>
    <w:rsid w:val="003018AC"/>
    <w:rsid w:val="003049D2"/>
    <w:rsid w:val="00304F22"/>
    <w:rsid w:val="00306C7C"/>
    <w:rsid w:val="00306FA0"/>
    <w:rsid w:val="00313F5C"/>
    <w:rsid w:val="00314F86"/>
    <w:rsid w:val="00317F4D"/>
    <w:rsid w:val="00322EDD"/>
    <w:rsid w:val="003309FA"/>
    <w:rsid w:val="00331135"/>
    <w:rsid w:val="00332320"/>
    <w:rsid w:val="00332F63"/>
    <w:rsid w:val="003402BB"/>
    <w:rsid w:val="00340F5D"/>
    <w:rsid w:val="00347D72"/>
    <w:rsid w:val="00350044"/>
    <w:rsid w:val="00353F45"/>
    <w:rsid w:val="00357611"/>
    <w:rsid w:val="00360967"/>
    <w:rsid w:val="00362C3A"/>
    <w:rsid w:val="0036432A"/>
    <w:rsid w:val="00364AF9"/>
    <w:rsid w:val="00364FAD"/>
    <w:rsid w:val="00367237"/>
    <w:rsid w:val="0037077F"/>
    <w:rsid w:val="00372411"/>
    <w:rsid w:val="00373267"/>
    <w:rsid w:val="00373882"/>
    <w:rsid w:val="003843DB"/>
    <w:rsid w:val="00385C4B"/>
    <w:rsid w:val="003877B8"/>
    <w:rsid w:val="0039083D"/>
    <w:rsid w:val="00391C5D"/>
    <w:rsid w:val="00393761"/>
    <w:rsid w:val="003937A5"/>
    <w:rsid w:val="00394E26"/>
    <w:rsid w:val="00396691"/>
    <w:rsid w:val="00397D18"/>
    <w:rsid w:val="003A1B36"/>
    <w:rsid w:val="003A39B7"/>
    <w:rsid w:val="003B1454"/>
    <w:rsid w:val="003B18B6"/>
    <w:rsid w:val="003B546E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D787A"/>
    <w:rsid w:val="003E4367"/>
    <w:rsid w:val="003F01BE"/>
    <w:rsid w:val="003F0BD9"/>
    <w:rsid w:val="003F4C97"/>
    <w:rsid w:val="003F666D"/>
    <w:rsid w:val="003F7E1C"/>
    <w:rsid w:val="003F7FE6"/>
    <w:rsid w:val="00400193"/>
    <w:rsid w:val="00405CC6"/>
    <w:rsid w:val="00416EAF"/>
    <w:rsid w:val="0041769D"/>
    <w:rsid w:val="004212E7"/>
    <w:rsid w:val="004213B6"/>
    <w:rsid w:val="00423C88"/>
    <w:rsid w:val="0042446D"/>
    <w:rsid w:val="004255D2"/>
    <w:rsid w:val="00427BF8"/>
    <w:rsid w:val="00431C02"/>
    <w:rsid w:val="004350AB"/>
    <w:rsid w:val="004366FD"/>
    <w:rsid w:val="00437395"/>
    <w:rsid w:val="00443D3B"/>
    <w:rsid w:val="00445047"/>
    <w:rsid w:val="00446749"/>
    <w:rsid w:val="0044779C"/>
    <w:rsid w:val="00453EB7"/>
    <w:rsid w:val="00463600"/>
    <w:rsid w:val="00463E39"/>
    <w:rsid w:val="004657FC"/>
    <w:rsid w:val="004712D1"/>
    <w:rsid w:val="004733F6"/>
    <w:rsid w:val="00474E69"/>
    <w:rsid w:val="004835BA"/>
    <w:rsid w:val="00483E9F"/>
    <w:rsid w:val="00484A97"/>
    <w:rsid w:val="00484DDF"/>
    <w:rsid w:val="00485A2C"/>
    <w:rsid w:val="0049621B"/>
    <w:rsid w:val="004A1D19"/>
    <w:rsid w:val="004A1D35"/>
    <w:rsid w:val="004B4292"/>
    <w:rsid w:val="004C1895"/>
    <w:rsid w:val="004C1A96"/>
    <w:rsid w:val="004C5C2B"/>
    <w:rsid w:val="004C6955"/>
    <w:rsid w:val="004C6D40"/>
    <w:rsid w:val="004C7BEE"/>
    <w:rsid w:val="004D2A4C"/>
    <w:rsid w:val="004D5710"/>
    <w:rsid w:val="004E6AA8"/>
    <w:rsid w:val="004F0C3C"/>
    <w:rsid w:val="004F2280"/>
    <w:rsid w:val="004F23BB"/>
    <w:rsid w:val="004F63FC"/>
    <w:rsid w:val="00501A4F"/>
    <w:rsid w:val="00503641"/>
    <w:rsid w:val="00505A92"/>
    <w:rsid w:val="005203F1"/>
    <w:rsid w:val="00521BC3"/>
    <w:rsid w:val="005230F6"/>
    <w:rsid w:val="00524738"/>
    <w:rsid w:val="00525B23"/>
    <w:rsid w:val="00531873"/>
    <w:rsid w:val="00533632"/>
    <w:rsid w:val="00534013"/>
    <w:rsid w:val="00540C5C"/>
    <w:rsid w:val="00541E6E"/>
    <w:rsid w:val="0054251F"/>
    <w:rsid w:val="00544ED9"/>
    <w:rsid w:val="00545DF7"/>
    <w:rsid w:val="005520D8"/>
    <w:rsid w:val="00553507"/>
    <w:rsid w:val="00554012"/>
    <w:rsid w:val="005553B5"/>
    <w:rsid w:val="00555CFB"/>
    <w:rsid w:val="00556ADB"/>
    <w:rsid w:val="00556CF1"/>
    <w:rsid w:val="00560177"/>
    <w:rsid w:val="005762A7"/>
    <w:rsid w:val="005846C4"/>
    <w:rsid w:val="00587CEE"/>
    <w:rsid w:val="00590837"/>
    <w:rsid w:val="005916D7"/>
    <w:rsid w:val="0059427F"/>
    <w:rsid w:val="00596B64"/>
    <w:rsid w:val="005A4928"/>
    <w:rsid w:val="005A698C"/>
    <w:rsid w:val="005B0779"/>
    <w:rsid w:val="005B6AE9"/>
    <w:rsid w:val="005B7EBC"/>
    <w:rsid w:val="005C0CAC"/>
    <w:rsid w:val="005D062E"/>
    <w:rsid w:val="005D2D09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7CC5"/>
    <w:rsid w:val="0061179B"/>
    <w:rsid w:val="006125F9"/>
    <w:rsid w:val="00617893"/>
    <w:rsid w:val="0062128B"/>
    <w:rsid w:val="00625E46"/>
    <w:rsid w:val="006323CA"/>
    <w:rsid w:val="00633014"/>
    <w:rsid w:val="0063437B"/>
    <w:rsid w:val="0063660D"/>
    <w:rsid w:val="00636FCB"/>
    <w:rsid w:val="0064017E"/>
    <w:rsid w:val="00646D9A"/>
    <w:rsid w:val="00654BB6"/>
    <w:rsid w:val="006617F1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3943"/>
    <w:rsid w:val="006A4686"/>
    <w:rsid w:val="006B0E9E"/>
    <w:rsid w:val="006B486D"/>
    <w:rsid w:val="006B5AE4"/>
    <w:rsid w:val="006B74B7"/>
    <w:rsid w:val="006D06BF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12382"/>
    <w:rsid w:val="00713788"/>
    <w:rsid w:val="00715581"/>
    <w:rsid w:val="00716853"/>
    <w:rsid w:val="00720F44"/>
    <w:rsid w:val="0072113F"/>
    <w:rsid w:val="007211B1"/>
    <w:rsid w:val="00721D0E"/>
    <w:rsid w:val="007272F0"/>
    <w:rsid w:val="007277DA"/>
    <w:rsid w:val="007313B9"/>
    <w:rsid w:val="00731D27"/>
    <w:rsid w:val="00732220"/>
    <w:rsid w:val="007357EB"/>
    <w:rsid w:val="0073656B"/>
    <w:rsid w:val="00741224"/>
    <w:rsid w:val="00742554"/>
    <w:rsid w:val="00745CC5"/>
    <w:rsid w:val="00746187"/>
    <w:rsid w:val="0076254F"/>
    <w:rsid w:val="00771C4B"/>
    <w:rsid w:val="00775490"/>
    <w:rsid w:val="007801F5"/>
    <w:rsid w:val="00783CA4"/>
    <w:rsid w:val="007842FB"/>
    <w:rsid w:val="00786124"/>
    <w:rsid w:val="00786578"/>
    <w:rsid w:val="00793627"/>
    <w:rsid w:val="0079514B"/>
    <w:rsid w:val="00795252"/>
    <w:rsid w:val="00795792"/>
    <w:rsid w:val="007A2DC1"/>
    <w:rsid w:val="007B078A"/>
    <w:rsid w:val="007C0039"/>
    <w:rsid w:val="007D0869"/>
    <w:rsid w:val="007D14C4"/>
    <w:rsid w:val="007D3319"/>
    <w:rsid w:val="007D335D"/>
    <w:rsid w:val="007D605C"/>
    <w:rsid w:val="007D6F32"/>
    <w:rsid w:val="007E3314"/>
    <w:rsid w:val="007E3507"/>
    <w:rsid w:val="007E3514"/>
    <w:rsid w:val="007E4B03"/>
    <w:rsid w:val="007E5A69"/>
    <w:rsid w:val="007F324B"/>
    <w:rsid w:val="007F6493"/>
    <w:rsid w:val="0080553C"/>
    <w:rsid w:val="00805B46"/>
    <w:rsid w:val="00805DB4"/>
    <w:rsid w:val="0081077B"/>
    <w:rsid w:val="00810B1A"/>
    <w:rsid w:val="00815475"/>
    <w:rsid w:val="00815889"/>
    <w:rsid w:val="00815D44"/>
    <w:rsid w:val="00823593"/>
    <w:rsid w:val="00825DC2"/>
    <w:rsid w:val="008270D4"/>
    <w:rsid w:val="00834AD3"/>
    <w:rsid w:val="0083515F"/>
    <w:rsid w:val="008353DB"/>
    <w:rsid w:val="008418FB"/>
    <w:rsid w:val="008428AD"/>
    <w:rsid w:val="008435AA"/>
    <w:rsid w:val="00843795"/>
    <w:rsid w:val="00847F0F"/>
    <w:rsid w:val="00852448"/>
    <w:rsid w:val="00852466"/>
    <w:rsid w:val="00853198"/>
    <w:rsid w:val="00854061"/>
    <w:rsid w:val="00854E46"/>
    <w:rsid w:val="0086122D"/>
    <w:rsid w:val="00865043"/>
    <w:rsid w:val="0087504F"/>
    <w:rsid w:val="0087706C"/>
    <w:rsid w:val="00877F6C"/>
    <w:rsid w:val="0088258A"/>
    <w:rsid w:val="00884E55"/>
    <w:rsid w:val="00886332"/>
    <w:rsid w:val="008925F0"/>
    <w:rsid w:val="008938CA"/>
    <w:rsid w:val="0089448A"/>
    <w:rsid w:val="00897877"/>
    <w:rsid w:val="008A0FAC"/>
    <w:rsid w:val="008A15CA"/>
    <w:rsid w:val="008A1F99"/>
    <w:rsid w:val="008A26D9"/>
    <w:rsid w:val="008A33DA"/>
    <w:rsid w:val="008A7B5B"/>
    <w:rsid w:val="008B12D2"/>
    <w:rsid w:val="008B5C41"/>
    <w:rsid w:val="008C0C29"/>
    <w:rsid w:val="008D02DA"/>
    <w:rsid w:val="008D0627"/>
    <w:rsid w:val="008D06B5"/>
    <w:rsid w:val="008D0F56"/>
    <w:rsid w:val="008D4755"/>
    <w:rsid w:val="008D76BC"/>
    <w:rsid w:val="008E5224"/>
    <w:rsid w:val="008E63E1"/>
    <w:rsid w:val="008E7D50"/>
    <w:rsid w:val="008E7DBA"/>
    <w:rsid w:val="008F0829"/>
    <w:rsid w:val="008F3638"/>
    <w:rsid w:val="008F4441"/>
    <w:rsid w:val="008F56F6"/>
    <w:rsid w:val="008F6B20"/>
    <w:rsid w:val="008F6F31"/>
    <w:rsid w:val="008F74DF"/>
    <w:rsid w:val="00902274"/>
    <w:rsid w:val="009037C9"/>
    <w:rsid w:val="00904ADE"/>
    <w:rsid w:val="0090723A"/>
    <w:rsid w:val="009127BA"/>
    <w:rsid w:val="0091492B"/>
    <w:rsid w:val="00917FC0"/>
    <w:rsid w:val="00920AAE"/>
    <w:rsid w:val="00920D5A"/>
    <w:rsid w:val="009227A6"/>
    <w:rsid w:val="009242C8"/>
    <w:rsid w:val="00925120"/>
    <w:rsid w:val="00933EC1"/>
    <w:rsid w:val="00934A07"/>
    <w:rsid w:val="009446AD"/>
    <w:rsid w:val="009530DB"/>
    <w:rsid w:val="00953676"/>
    <w:rsid w:val="00956F30"/>
    <w:rsid w:val="00960BA4"/>
    <w:rsid w:val="00965C7D"/>
    <w:rsid w:val="009664F7"/>
    <w:rsid w:val="00966C9A"/>
    <w:rsid w:val="00967527"/>
    <w:rsid w:val="009705EE"/>
    <w:rsid w:val="00977927"/>
    <w:rsid w:val="0098135C"/>
    <w:rsid w:val="0098156A"/>
    <w:rsid w:val="009817BA"/>
    <w:rsid w:val="00991BAC"/>
    <w:rsid w:val="00994BF6"/>
    <w:rsid w:val="009A37DE"/>
    <w:rsid w:val="009A3E88"/>
    <w:rsid w:val="009A6EA0"/>
    <w:rsid w:val="009A6F0B"/>
    <w:rsid w:val="009B2A4A"/>
    <w:rsid w:val="009C1335"/>
    <w:rsid w:val="009C1AB2"/>
    <w:rsid w:val="009C331D"/>
    <w:rsid w:val="009C7251"/>
    <w:rsid w:val="009D0892"/>
    <w:rsid w:val="009D4A46"/>
    <w:rsid w:val="009E2E91"/>
    <w:rsid w:val="009E6939"/>
    <w:rsid w:val="009F0A4F"/>
    <w:rsid w:val="009F1768"/>
    <w:rsid w:val="00A014B0"/>
    <w:rsid w:val="00A01B40"/>
    <w:rsid w:val="00A024B8"/>
    <w:rsid w:val="00A03BEC"/>
    <w:rsid w:val="00A070A4"/>
    <w:rsid w:val="00A139F5"/>
    <w:rsid w:val="00A14414"/>
    <w:rsid w:val="00A32E16"/>
    <w:rsid w:val="00A3339E"/>
    <w:rsid w:val="00A35A1C"/>
    <w:rsid w:val="00A365F4"/>
    <w:rsid w:val="00A427AF"/>
    <w:rsid w:val="00A460CD"/>
    <w:rsid w:val="00A46A86"/>
    <w:rsid w:val="00A47D80"/>
    <w:rsid w:val="00A502B1"/>
    <w:rsid w:val="00A53132"/>
    <w:rsid w:val="00A563F2"/>
    <w:rsid w:val="00A566E8"/>
    <w:rsid w:val="00A576AF"/>
    <w:rsid w:val="00A61BBA"/>
    <w:rsid w:val="00A65C31"/>
    <w:rsid w:val="00A66347"/>
    <w:rsid w:val="00A7038E"/>
    <w:rsid w:val="00A736F9"/>
    <w:rsid w:val="00A810F9"/>
    <w:rsid w:val="00A82D31"/>
    <w:rsid w:val="00A85E7E"/>
    <w:rsid w:val="00A86ECC"/>
    <w:rsid w:val="00A86FCC"/>
    <w:rsid w:val="00A877AE"/>
    <w:rsid w:val="00A90A6D"/>
    <w:rsid w:val="00A92B87"/>
    <w:rsid w:val="00A971E5"/>
    <w:rsid w:val="00AA521B"/>
    <w:rsid w:val="00AA710D"/>
    <w:rsid w:val="00AB1F20"/>
    <w:rsid w:val="00AB2154"/>
    <w:rsid w:val="00AB64F3"/>
    <w:rsid w:val="00AB6D25"/>
    <w:rsid w:val="00AC0B07"/>
    <w:rsid w:val="00AC33A1"/>
    <w:rsid w:val="00AD0E56"/>
    <w:rsid w:val="00AD2196"/>
    <w:rsid w:val="00AD25C1"/>
    <w:rsid w:val="00AD4BFC"/>
    <w:rsid w:val="00AE229B"/>
    <w:rsid w:val="00AE2D4B"/>
    <w:rsid w:val="00AE4F99"/>
    <w:rsid w:val="00AF597F"/>
    <w:rsid w:val="00B057D3"/>
    <w:rsid w:val="00B0638B"/>
    <w:rsid w:val="00B11B69"/>
    <w:rsid w:val="00B14952"/>
    <w:rsid w:val="00B16871"/>
    <w:rsid w:val="00B25B45"/>
    <w:rsid w:val="00B26A16"/>
    <w:rsid w:val="00B31E5A"/>
    <w:rsid w:val="00B35124"/>
    <w:rsid w:val="00B47359"/>
    <w:rsid w:val="00B653AB"/>
    <w:rsid w:val="00B65F9E"/>
    <w:rsid w:val="00B66B19"/>
    <w:rsid w:val="00B67D2A"/>
    <w:rsid w:val="00B7386E"/>
    <w:rsid w:val="00B74B06"/>
    <w:rsid w:val="00B81F77"/>
    <w:rsid w:val="00B84C43"/>
    <w:rsid w:val="00B914E9"/>
    <w:rsid w:val="00B94B76"/>
    <w:rsid w:val="00B956EE"/>
    <w:rsid w:val="00BA1B31"/>
    <w:rsid w:val="00BA2BA1"/>
    <w:rsid w:val="00BA2D1A"/>
    <w:rsid w:val="00BA30C2"/>
    <w:rsid w:val="00BA3447"/>
    <w:rsid w:val="00BA3562"/>
    <w:rsid w:val="00BA7A48"/>
    <w:rsid w:val="00BB4F09"/>
    <w:rsid w:val="00BB54B5"/>
    <w:rsid w:val="00BB5522"/>
    <w:rsid w:val="00BB60F5"/>
    <w:rsid w:val="00BB6124"/>
    <w:rsid w:val="00BC1B9F"/>
    <w:rsid w:val="00BC4C2A"/>
    <w:rsid w:val="00BC68F8"/>
    <w:rsid w:val="00BD0EE6"/>
    <w:rsid w:val="00BD21A4"/>
    <w:rsid w:val="00BD4E33"/>
    <w:rsid w:val="00C030DE"/>
    <w:rsid w:val="00C051A8"/>
    <w:rsid w:val="00C10786"/>
    <w:rsid w:val="00C143E4"/>
    <w:rsid w:val="00C22105"/>
    <w:rsid w:val="00C2267E"/>
    <w:rsid w:val="00C233D9"/>
    <w:rsid w:val="00C244B6"/>
    <w:rsid w:val="00C2759F"/>
    <w:rsid w:val="00C27BF1"/>
    <w:rsid w:val="00C310E6"/>
    <w:rsid w:val="00C363EF"/>
    <w:rsid w:val="00C3702F"/>
    <w:rsid w:val="00C4500A"/>
    <w:rsid w:val="00C62238"/>
    <w:rsid w:val="00C647DE"/>
    <w:rsid w:val="00C64A37"/>
    <w:rsid w:val="00C651EF"/>
    <w:rsid w:val="00C679F9"/>
    <w:rsid w:val="00C7158E"/>
    <w:rsid w:val="00C71DD9"/>
    <w:rsid w:val="00C7250B"/>
    <w:rsid w:val="00C7346B"/>
    <w:rsid w:val="00C77C0E"/>
    <w:rsid w:val="00C8582B"/>
    <w:rsid w:val="00C91687"/>
    <w:rsid w:val="00C924A8"/>
    <w:rsid w:val="00C945FE"/>
    <w:rsid w:val="00C96DF1"/>
    <w:rsid w:val="00C96FAA"/>
    <w:rsid w:val="00C97A04"/>
    <w:rsid w:val="00CA107B"/>
    <w:rsid w:val="00CA2467"/>
    <w:rsid w:val="00CA2619"/>
    <w:rsid w:val="00CA484D"/>
    <w:rsid w:val="00CA4FB6"/>
    <w:rsid w:val="00CA75E7"/>
    <w:rsid w:val="00CB0110"/>
    <w:rsid w:val="00CB0BC5"/>
    <w:rsid w:val="00CB2F90"/>
    <w:rsid w:val="00CB5C7F"/>
    <w:rsid w:val="00CB6AD4"/>
    <w:rsid w:val="00CC3596"/>
    <w:rsid w:val="00CC40A9"/>
    <w:rsid w:val="00CC739E"/>
    <w:rsid w:val="00CD1EBB"/>
    <w:rsid w:val="00CD28CF"/>
    <w:rsid w:val="00CD58B7"/>
    <w:rsid w:val="00CD7967"/>
    <w:rsid w:val="00CD7A6A"/>
    <w:rsid w:val="00CE6A09"/>
    <w:rsid w:val="00CF18EE"/>
    <w:rsid w:val="00CF30BD"/>
    <w:rsid w:val="00CF4099"/>
    <w:rsid w:val="00CF77D0"/>
    <w:rsid w:val="00D00796"/>
    <w:rsid w:val="00D11EF6"/>
    <w:rsid w:val="00D179DA"/>
    <w:rsid w:val="00D206D8"/>
    <w:rsid w:val="00D227DB"/>
    <w:rsid w:val="00D24A15"/>
    <w:rsid w:val="00D261A2"/>
    <w:rsid w:val="00D35E57"/>
    <w:rsid w:val="00D40626"/>
    <w:rsid w:val="00D419FD"/>
    <w:rsid w:val="00D5403F"/>
    <w:rsid w:val="00D55B5E"/>
    <w:rsid w:val="00D616D2"/>
    <w:rsid w:val="00D63B5F"/>
    <w:rsid w:val="00D70EF7"/>
    <w:rsid w:val="00D8397C"/>
    <w:rsid w:val="00D851BB"/>
    <w:rsid w:val="00D942B1"/>
    <w:rsid w:val="00D94EED"/>
    <w:rsid w:val="00D96026"/>
    <w:rsid w:val="00D96E2F"/>
    <w:rsid w:val="00D972F6"/>
    <w:rsid w:val="00DA25BC"/>
    <w:rsid w:val="00DA2B47"/>
    <w:rsid w:val="00DA331D"/>
    <w:rsid w:val="00DA5792"/>
    <w:rsid w:val="00DA712F"/>
    <w:rsid w:val="00DA7C1C"/>
    <w:rsid w:val="00DB147A"/>
    <w:rsid w:val="00DB1B7A"/>
    <w:rsid w:val="00DB1C67"/>
    <w:rsid w:val="00DB32FE"/>
    <w:rsid w:val="00DB6532"/>
    <w:rsid w:val="00DB6A3B"/>
    <w:rsid w:val="00DB706E"/>
    <w:rsid w:val="00DC29FC"/>
    <w:rsid w:val="00DC6708"/>
    <w:rsid w:val="00DC781E"/>
    <w:rsid w:val="00DD011A"/>
    <w:rsid w:val="00DD23C1"/>
    <w:rsid w:val="00DD2850"/>
    <w:rsid w:val="00DE11AB"/>
    <w:rsid w:val="00DE2400"/>
    <w:rsid w:val="00DE58F1"/>
    <w:rsid w:val="00DE6B58"/>
    <w:rsid w:val="00DF02C9"/>
    <w:rsid w:val="00DF5E32"/>
    <w:rsid w:val="00E01436"/>
    <w:rsid w:val="00E03E79"/>
    <w:rsid w:val="00E045BD"/>
    <w:rsid w:val="00E04D6C"/>
    <w:rsid w:val="00E0559B"/>
    <w:rsid w:val="00E0708F"/>
    <w:rsid w:val="00E102A7"/>
    <w:rsid w:val="00E150EA"/>
    <w:rsid w:val="00E17B77"/>
    <w:rsid w:val="00E2315B"/>
    <w:rsid w:val="00E231AB"/>
    <w:rsid w:val="00E23337"/>
    <w:rsid w:val="00E259EA"/>
    <w:rsid w:val="00E25D33"/>
    <w:rsid w:val="00E2752C"/>
    <w:rsid w:val="00E32061"/>
    <w:rsid w:val="00E33F48"/>
    <w:rsid w:val="00E3551E"/>
    <w:rsid w:val="00E42FF9"/>
    <w:rsid w:val="00E44790"/>
    <w:rsid w:val="00E454A0"/>
    <w:rsid w:val="00E4714C"/>
    <w:rsid w:val="00E5178D"/>
    <w:rsid w:val="00E51AEB"/>
    <w:rsid w:val="00E522A7"/>
    <w:rsid w:val="00E5349E"/>
    <w:rsid w:val="00E54452"/>
    <w:rsid w:val="00E55354"/>
    <w:rsid w:val="00E63998"/>
    <w:rsid w:val="00E63B0C"/>
    <w:rsid w:val="00E65AB8"/>
    <w:rsid w:val="00E664C5"/>
    <w:rsid w:val="00E671A2"/>
    <w:rsid w:val="00E7567B"/>
    <w:rsid w:val="00E76D22"/>
    <w:rsid w:val="00E76D26"/>
    <w:rsid w:val="00E76EE5"/>
    <w:rsid w:val="00E77D2D"/>
    <w:rsid w:val="00E95036"/>
    <w:rsid w:val="00E95B8E"/>
    <w:rsid w:val="00EA0437"/>
    <w:rsid w:val="00EA59A7"/>
    <w:rsid w:val="00EB1390"/>
    <w:rsid w:val="00EB1835"/>
    <w:rsid w:val="00EB2C71"/>
    <w:rsid w:val="00EB3333"/>
    <w:rsid w:val="00EB4340"/>
    <w:rsid w:val="00EB556D"/>
    <w:rsid w:val="00EB5A7D"/>
    <w:rsid w:val="00EB5CFD"/>
    <w:rsid w:val="00EC5EA7"/>
    <w:rsid w:val="00ED2A70"/>
    <w:rsid w:val="00ED3CB6"/>
    <w:rsid w:val="00ED55C0"/>
    <w:rsid w:val="00ED682B"/>
    <w:rsid w:val="00EE0C5D"/>
    <w:rsid w:val="00EE3CCD"/>
    <w:rsid w:val="00EE41D5"/>
    <w:rsid w:val="00EF284D"/>
    <w:rsid w:val="00EF5CDB"/>
    <w:rsid w:val="00F012F6"/>
    <w:rsid w:val="00F0166F"/>
    <w:rsid w:val="00F037A4"/>
    <w:rsid w:val="00F03D62"/>
    <w:rsid w:val="00F049AB"/>
    <w:rsid w:val="00F142DB"/>
    <w:rsid w:val="00F27C8F"/>
    <w:rsid w:val="00F304FE"/>
    <w:rsid w:val="00F32749"/>
    <w:rsid w:val="00F35488"/>
    <w:rsid w:val="00F357F0"/>
    <w:rsid w:val="00F37172"/>
    <w:rsid w:val="00F37727"/>
    <w:rsid w:val="00F4477E"/>
    <w:rsid w:val="00F46269"/>
    <w:rsid w:val="00F60BA8"/>
    <w:rsid w:val="00F65727"/>
    <w:rsid w:val="00F65A5A"/>
    <w:rsid w:val="00F66E27"/>
    <w:rsid w:val="00F67D8F"/>
    <w:rsid w:val="00F75563"/>
    <w:rsid w:val="00F802BE"/>
    <w:rsid w:val="00F80E93"/>
    <w:rsid w:val="00F86024"/>
    <w:rsid w:val="00F8611A"/>
    <w:rsid w:val="00F9737D"/>
    <w:rsid w:val="00FA2B00"/>
    <w:rsid w:val="00FA334F"/>
    <w:rsid w:val="00FA3E6A"/>
    <w:rsid w:val="00FA4D0E"/>
    <w:rsid w:val="00FA5128"/>
    <w:rsid w:val="00FB0D37"/>
    <w:rsid w:val="00FB1E83"/>
    <w:rsid w:val="00FB22E8"/>
    <w:rsid w:val="00FB4263"/>
    <w:rsid w:val="00FB42D4"/>
    <w:rsid w:val="00FB5906"/>
    <w:rsid w:val="00FB7150"/>
    <w:rsid w:val="00FB762F"/>
    <w:rsid w:val="00FC1D3F"/>
    <w:rsid w:val="00FC2AED"/>
    <w:rsid w:val="00FC5F4F"/>
    <w:rsid w:val="00FD08AE"/>
    <w:rsid w:val="00FD0B89"/>
    <w:rsid w:val="00FD0C79"/>
    <w:rsid w:val="00FD5EA7"/>
    <w:rsid w:val="00FD66A6"/>
    <w:rsid w:val="00FE36CF"/>
    <w:rsid w:val="00FE637D"/>
    <w:rsid w:val="00FE6BDA"/>
    <w:rsid w:val="00FF0246"/>
    <w:rsid w:val="00FF1108"/>
    <w:rsid w:val="00FF4630"/>
    <w:rsid w:val="00FF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Footnote Reference Superscript,SUPERS,EN Footnote Reference,Footnote number,FZ,(Voetnootmarkering),Appel note de bas de p,Nota"/>
    <w:basedOn w:val="Domylnaczcionkaakapitu"/>
    <w:uiPriority w:val="99"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36F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FCB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994BF6"/>
    <w:pPr>
      <w:suppressAutoHyphens w:val="0"/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0">
    <w:name w:val="tytuł wykresu"/>
    <w:basedOn w:val="Normalny"/>
    <w:qFormat/>
    <w:rsid w:val="005230F6"/>
    <w:pPr>
      <w:suppressAutoHyphens w:val="0"/>
      <w:spacing w:line="240" w:lineRule="exact"/>
    </w:pPr>
    <w:rPr>
      <w:b/>
      <w:spacing w:val="-2"/>
      <w:sz w:val="18"/>
    </w:rPr>
  </w:style>
  <w:style w:type="paragraph" w:customStyle="1" w:styleId="Tablicagwkarodek">
    <w:name w:val="Tablica główka środek"/>
    <w:basedOn w:val="Normalny"/>
    <w:link w:val="TablicagwkarodekZnak"/>
    <w:qFormat/>
    <w:rsid w:val="005230F6"/>
    <w:pPr>
      <w:suppressAutoHyphens w:val="0"/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5230F6"/>
    <w:rPr>
      <w:rFonts w:ascii="Fira Sans" w:eastAsia="Times New Roman" w:hAnsi="Fira Sans" w:cs="Calibri"/>
      <w:sz w:val="19"/>
      <w:szCs w:val="19"/>
      <w:lang w:eastAsia="pl-PL"/>
    </w:rPr>
  </w:style>
  <w:style w:type="table" w:customStyle="1" w:styleId="Siatkatabelijasna1">
    <w:name w:val="Siatka tabeli — jasna1"/>
    <w:basedOn w:val="Standardowy"/>
    <w:uiPriority w:val="40"/>
    <w:rsid w:val="005230F6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awartoramki">
    <w:name w:val="Zawartość ramki"/>
    <w:basedOn w:val="Normalny"/>
    <w:qFormat/>
    <w:rsid w:val="0062128B"/>
    <w:pPr>
      <w:suppressAutoHyphens w:val="0"/>
      <w:spacing w:line="240" w:lineRule="exact"/>
    </w:pPr>
    <w:rPr>
      <w:color w:val="00000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B5CFD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F176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15475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0.png"/><Relationship Id="rId39" Type="http://schemas.openxmlformats.org/officeDocument/2006/relationships/hyperlink" Target="https://stat.gov.pl/metainformacje/slownik-pojec/pojecia-stosowane-w-statystyce-publicznej/693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obszary-tematyczne/kultura-turystyka-sport/kultura/przemysly-kultury-i-kreatywne-w-2023-r-,21,7.html" TargetMode="External"/><Relationship Id="rId42" Type="http://schemas.openxmlformats.org/officeDocument/2006/relationships/hyperlink" Target="https://stat.gov.pl/metainformacje/slownik-pojec/pojecia-stosowane-w-statystyce-publicznej/449,pojecie.html" TargetMode="External"/><Relationship Id="rId47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www.instagram.com/gus_stat/" TargetMode="Externa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hyperlink" Target="https://pl.linkedin.com/company/glownyurzadstatystyczny" TargetMode="External"/><Relationship Id="rId37" Type="http://schemas.openxmlformats.org/officeDocument/2006/relationships/hyperlink" Target="https://stat.gov.pl/metainformacje/slownik-pojec/pojecia-stosowane-w-statystyce-publicznej/3775,pojecie.html" TargetMode="External"/><Relationship Id="rId40" Type="http://schemas.openxmlformats.org/officeDocument/2006/relationships/hyperlink" Target="https://stat.gov.pl/metainformacje/slownik-pojec/pojecia-stosowane-w-statystyce-publicznej/376,pojecie.html" TargetMode="External"/><Relationship Id="rId45" Type="http://schemas.openxmlformats.org/officeDocument/2006/relationships/hyperlink" Target="https://stat.gov.pl/metainformacje/slownik-pojec/pojecia-stosowane-w-statystyce-publicznej/3390,pojecie.html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stat.gov.pl/obszary-tematyczne/kultura-turystyka-sport/kultura/przemysly-kultury-i-kreatywne-w-latach-2017-2021,19,2.html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36" Type="http://schemas.openxmlformats.org/officeDocument/2006/relationships/hyperlink" Target="https://stat.gov.pl/metainformacje/slownik-pojec/pojecia-stosowane-w-statystyce-publicznej/3774,pojecie.html" TargetMode="External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www.youtube.com/channel/UC0wiQMElFgYszpAoYgTnXtg/featured" TargetMode="External"/><Relationship Id="rId44" Type="http://schemas.openxmlformats.org/officeDocument/2006/relationships/hyperlink" Target="https://stat.gov.pl/metainformacje/slownik-pojec/pojecia-stosowane-w-statystyce-publicznej/583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tat.gov.pl/obszary-tematyczne/kultura-turystyka-sport/zeszyty-metodologiczne/zeszyt-metodologiczny-statystyka-kultury,2,2.html" TargetMode="External"/><Relationship Id="rId22" Type="http://schemas.openxmlformats.org/officeDocument/2006/relationships/hyperlink" Target="https://stat.gov.pl" TargetMode="External"/><Relationship Id="rId27" Type="http://schemas.openxmlformats.org/officeDocument/2006/relationships/hyperlink" Target="https://www.facebook.com/GlownyUrzadStatystyczny/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stat.gov.pl/obszary-tematyczne/kultura-turystyka-sport/zeszyty-metodologiczne/zeszyt-metodologiczny-statystyka-kultury,2,2.html" TargetMode="External"/><Relationship Id="rId43" Type="http://schemas.openxmlformats.org/officeDocument/2006/relationships/hyperlink" Target="https://stat.gov.pl/metainformacje/slownik-pojec/pojecia-stosowane-w-statystyce-publicznej/3806,pojecie.html" TargetMode="External"/><Relationship Id="rId48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hyperlink" Target="https://x.com/GUS_STAT" TargetMode="External"/><Relationship Id="rId33" Type="http://schemas.openxmlformats.org/officeDocument/2006/relationships/image" Target="media/image13.png"/><Relationship Id="rId38" Type="http://schemas.openxmlformats.org/officeDocument/2006/relationships/hyperlink" Target="https://stat.gov.pl/metainformacje/slownik-pojec/pojecia-stosowane-w-statystyce-publicznej/158,pojecie.html" TargetMode="External"/><Relationship Id="rId46" Type="http://schemas.openxmlformats.org/officeDocument/2006/relationships/header" Target="header3.xml"/><Relationship Id="rId20" Type="http://schemas.openxmlformats.org/officeDocument/2006/relationships/hyperlink" Target="tel:124204050" TargetMode="External"/><Relationship Id="rId41" Type="http://schemas.openxmlformats.org/officeDocument/2006/relationships/hyperlink" Target="https://stat.gov.pl/metainformacje/slownik-pojec/pojecia-stosowane-w-statystyce-publicznej/395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E11088F5-212C-42F0-9DBD-01CEA8DF1504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0CD60DC8-735C-48D0-9DA0-A03DE3607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2089</Words>
  <Characters>12535</Characters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Przemysły kultury i kreatywne w 2024 r.</vt:lpstr>
    </vt:vector>
  </TitlesOfParts>
  <Company/>
  <LinksUpToDate>false</LinksUpToDate>
  <CharactersWithSpaces>14595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Przemysły kultury i kreatywne w 2024 r.</dc:title>
  <dc:subject/>
  <dc:creator>Główny Urząd Statystyczny</dc:creator>
  <cp:keywords/>
  <dc:description/>
  <cp:lastPrinted>2019-02-21T09:45:00Z</cp:lastPrinted>
  <dcterms:created xsi:type="dcterms:W3CDTF">2026-03-26T23:28:00Z</dcterms:created>
  <dcterms:modified xsi:type="dcterms:W3CDTF">2026-03-27T07:07:00Z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