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0E5E" w14:textId="7B9D6777" w:rsidR="00DD400B" w:rsidRPr="008B72CC" w:rsidRDefault="00540491" w:rsidP="0040569F">
      <w:pPr>
        <w:pStyle w:val="tytuinformacji"/>
        <w:spacing w:before="0" w:after="120"/>
        <w:rPr>
          <w:spacing w:val="-6"/>
          <w:shd w:val="clear" w:color="auto" w:fill="FFFFFF"/>
        </w:rPr>
      </w:pPr>
      <w:bookmarkStart w:id="0" w:name="_Hlk186191352"/>
      <w:r w:rsidRPr="008B72CC">
        <w:rPr>
          <w:spacing w:val="-6"/>
          <w:shd w:val="clear" w:color="auto" w:fill="FFFFFF"/>
        </w:rPr>
        <w:t xml:space="preserve">Warunki życia </w:t>
      </w:r>
      <w:r w:rsidR="007F2C49" w:rsidRPr="008B72CC">
        <w:rPr>
          <w:spacing w:val="-6"/>
          <w:shd w:val="clear" w:color="auto" w:fill="FFFFFF"/>
        </w:rPr>
        <w:t>– deprywacja materialna</w:t>
      </w:r>
      <w:r w:rsidRPr="008B72CC">
        <w:rPr>
          <w:spacing w:val="-6"/>
          <w:shd w:val="clear" w:color="auto" w:fill="FFFFFF"/>
        </w:rPr>
        <w:t xml:space="preserve"> i społeczna</w:t>
      </w:r>
      <w:r w:rsidR="0040569F">
        <w:rPr>
          <w:spacing w:val="-6"/>
          <w:shd w:val="clear" w:color="auto" w:fill="FFFFFF"/>
        </w:rPr>
        <w:t xml:space="preserve"> w 2025 r.</w:t>
      </w:r>
    </w:p>
    <w:bookmarkStart w:id="1" w:name="_GoBack"/>
    <w:bookmarkEnd w:id="0"/>
    <w:bookmarkEnd w:id="1"/>
    <w:p w14:paraId="132527DA" w14:textId="03349CDC" w:rsidR="00FC1EF7" w:rsidRPr="00D708BA" w:rsidRDefault="00003437" w:rsidP="000A59A6">
      <w:pPr>
        <w:pStyle w:val="LID"/>
        <w:spacing w:before="360" w:after="1560"/>
        <w:ind w:right="130"/>
        <w:rPr>
          <w:color w:val="000000" w:themeColor="text1"/>
        </w:rPr>
      </w:pPr>
      <w:r w:rsidRPr="00D708BA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2FBDE7F5" wp14:editId="37A6443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447925" cy="1868170"/>
                <wp:effectExtent l="0" t="0" r="9525" b="0"/>
                <wp:wrapSquare wrapText="bothSides"/>
                <wp:docPr id="217" name="Pole tekstowe 2" descr="25,8% wzrost nakładów na ochronę środowiska i gospodarkę wodną w stosunku do 2022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68557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5527B14B" w14:textId="1BF67A86" w:rsidR="00521023" w:rsidRDefault="00521023" w:rsidP="006236F6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2,0%</w:t>
                            </w:r>
                          </w:p>
                          <w:p w14:paraId="5A6DBF6B" w14:textId="39070D88" w:rsidR="00521023" w:rsidRPr="00D708BA" w:rsidRDefault="00521023" w:rsidP="008B72CC">
                            <w:pPr>
                              <w:pStyle w:val="Tekstkomentarza"/>
                              <w:spacing w:after="0"/>
                            </w:pPr>
                            <w:r w:rsidRPr="00D708BA">
                              <w:t>Taka część populacji Polski nie mogła z powodów finansowych zaspokoić w 2025 r. podstawowych potrzeb materialnych i społecznych uznawanych przez większość ludzi za niezbędne do godnego życia</w:t>
                            </w:r>
                          </w:p>
                          <w:p w14:paraId="2B846D5A" w14:textId="6C06C2D8" w:rsidR="00521023" w:rsidRDefault="00521023" w:rsidP="00BD3A8B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DE7F5" id="Pole tekstowe 2" o:spid="_x0000_s1026" alt="25,8% wzrost nakładów na ochronę środowiska i gospodarkę wodną w stosunku do 2022 r.&#10;" style="position:absolute;margin-left:0;margin-top:.55pt;width:192.75pt;height:147.1pt;z-index:2516326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" fillcolor="#001d77" stroked="f">
                <v:stroke joinstyle="miter"/>
                <v:textbox>
                  <w:txbxContent>
                    <w:p w14:paraId="5527B14B" w14:textId="1BF67A86" w:rsidR="00521023" w:rsidRDefault="00521023" w:rsidP="006236F6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2,0%</w:t>
                      </w:r>
                    </w:p>
                    <w:p w14:paraId="5A6DBF6B" w14:textId="39070D88" w:rsidR="00521023" w:rsidRPr="00D708BA" w:rsidRDefault="00521023" w:rsidP="008B72CC">
                      <w:pPr>
                        <w:pStyle w:val="Tekstkomentarza"/>
                        <w:spacing w:after="0"/>
                      </w:pPr>
                      <w:r w:rsidRPr="00D708BA">
                        <w:t>Taka część populacji Polski nie mogła z powodów finansowych zaspokoić w 2025 r. podstawowych potrzeb materialnych i społecznych uznawanych przez większość ludzi za niezbędne do godnego życia</w:t>
                      </w:r>
                    </w:p>
                    <w:p w14:paraId="2B846D5A" w14:textId="6C06C2D8" w:rsidR="00521023" w:rsidRDefault="00521023" w:rsidP="00BD3A8B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131A7" w:rsidRPr="00D708BA">
        <w:rPr>
          <w:color w:val="000000" w:themeColor="text1"/>
        </w:rPr>
        <w:t>W 2025 r. 2</w:t>
      </w:r>
      <w:r w:rsidR="00F84063" w:rsidRPr="00D708BA">
        <w:rPr>
          <w:color w:val="000000" w:themeColor="text1"/>
        </w:rPr>
        <w:t>,0</w:t>
      </w:r>
      <w:r w:rsidR="00420A27" w:rsidRPr="00D708BA">
        <w:rPr>
          <w:color w:val="000000" w:themeColor="text1"/>
        </w:rPr>
        <w:t>% osób mieszkajacych w</w:t>
      </w:r>
      <w:r w:rsidR="00BD27C2" w:rsidRPr="00D708BA">
        <w:rPr>
          <w:color w:val="000000" w:themeColor="text1"/>
        </w:rPr>
        <w:t> </w:t>
      </w:r>
      <w:r w:rsidR="00420A27" w:rsidRPr="00D708BA">
        <w:rPr>
          <w:color w:val="000000" w:themeColor="text1"/>
        </w:rPr>
        <w:t>Polsce deklarowało brak możliwości zaspokojenia z</w:t>
      </w:r>
      <w:r w:rsidR="00D708BA">
        <w:rPr>
          <w:color w:val="000000" w:themeColor="text1"/>
        </w:rPr>
        <w:t> </w:t>
      </w:r>
      <w:r w:rsidR="00420A27" w:rsidRPr="00D708BA">
        <w:rPr>
          <w:color w:val="000000" w:themeColor="text1"/>
        </w:rPr>
        <w:t xml:space="preserve">powodów finansowych </w:t>
      </w:r>
      <w:r w:rsidR="00A61E6A" w:rsidRPr="00D708BA">
        <w:t>co</w:t>
      </w:r>
      <w:r w:rsidR="00BD27C2" w:rsidRPr="00D708BA">
        <w:t> </w:t>
      </w:r>
      <w:r w:rsidR="00A61E6A" w:rsidRPr="00D708BA">
        <w:t>najmnie</w:t>
      </w:r>
      <w:r w:rsidR="00040603" w:rsidRPr="00D708BA">
        <w:t>j 7 z 13 potrzeb materialnych i </w:t>
      </w:r>
      <w:r w:rsidR="00A61E6A" w:rsidRPr="00D708BA">
        <w:t>społecznych</w:t>
      </w:r>
      <w:r w:rsidR="005B51F6" w:rsidRPr="00D708BA">
        <w:t xml:space="preserve">. </w:t>
      </w:r>
      <w:r w:rsidR="00F82943" w:rsidRPr="00D708BA">
        <w:t xml:space="preserve">Odsetek ten spadł nieznacznie w stosunku do roku poprzedniego (w 2024 r. 2,3%). </w:t>
      </w:r>
    </w:p>
    <w:p w14:paraId="45FCA57F" w14:textId="5952866B" w:rsidR="0016565D" w:rsidRDefault="008076F3" w:rsidP="008B72CC">
      <w:pPr>
        <w:pStyle w:val="Nagwek1"/>
        <w:keepNext w:val="0"/>
        <w:spacing w:before="360"/>
        <w:rPr>
          <w:rFonts w:ascii="Fira Sans" w:hAnsi="Fira Sans"/>
          <w:b/>
          <w:szCs w:val="19"/>
        </w:rPr>
      </w:pPr>
      <w:r w:rsidRPr="00120854">
        <w:rPr>
          <w:rFonts w:ascii="Fira Sans" w:hAnsi="Fira Sans"/>
          <w:b/>
          <w:szCs w:val="19"/>
        </w:rPr>
        <w:t>Pogłębiona deprywacja materialna i</w:t>
      </w:r>
      <w:r w:rsidR="00D708BA" w:rsidRPr="00120854">
        <w:rPr>
          <w:rFonts w:ascii="Fira Sans" w:hAnsi="Fira Sans"/>
          <w:b/>
          <w:szCs w:val="19"/>
        </w:rPr>
        <w:t xml:space="preserve"> </w:t>
      </w:r>
      <w:r w:rsidRPr="00120854">
        <w:rPr>
          <w:rFonts w:ascii="Fira Sans" w:hAnsi="Fira Sans"/>
          <w:b/>
          <w:szCs w:val="19"/>
        </w:rPr>
        <w:t>społecz</w:t>
      </w:r>
      <w:r>
        <w:rPr>
          <w:rFonts w:ascii="Fira Sans" w:hAnsi="Fira Sans"/>
          <w:b/>
          <w:szCs w:val="19"/>
        </w:rPr>
        <w:t>na</w:t>
      </w:r>
      <w:r w:rsidR="00426D5E">
        <w:rPr>
          <w:rStyle w:val="Odwoanieprzypisudolnego"/>
          <w:rFonts w:ascii="Fira Sans" w:hAnsi="Fira Sans"/>
          <w:b/>
          <w:szCs w:val="19"/>
        </w:rPr>
        <w:footnoteReference w:id="2"/>
      </w:r>
    </w:p>
    <w:p w14:paraId="6A8917BC" w14:textId="4ED7F55E" w:rsidR="007971CF" w:rsidRDefault="000C7FC6" w:rsidP="00431712">
      <w:pPr>
        <w:pStyle w:val="Tytutablicy"/>
        <w:keepNext w:val="0"/>
        <w:suppressAutoHyphens/>
        <w:spacing w:before="120" w:line="264" w:lineRule="auto"/>
        <w:rPr>
          <w:rFonts w:cs="Arial"/>
          <w:b w:val="0"/>
          <w:noProof/>
          <w:color w:val="0A0A0A"/>
          <w:spacing w:val="-4"/>
          <w:shd w:val="clear" w:color="auto" w:fill="FFFFFF"/>
        </w:rPr>
      </w:pPr>
      <w:r w:rsidRPr="00F878B0">
        <w:rPr>
          <w:rStyle w:val="Pogrubienie"/>
        </w:rPr>
        <w:t>Deprywacja materialna</w:t>
      </w:r>
      <w:r w:rsidR="00EE4AE5">
        <w:rPr>
          <w:rStyle w:val="Pogrubienie"/>
        </w:rPr>
        <w:t xml:space="preserve"> </w:t>
      </w:r>
      <w:r w:rsidRPr="00F878B0">
        <w:rPr>
          <w:rStyle w:val="Pogrubienie"/>
        </w:rPr>
        <w:t xml:space="preserve">to brak możliwości zaspokojenia podstawowych potrzeb z powodu ograniczeń finansowych, </w:t>
      </w:r>
      <w:r w:rsidR="00F64364">
        <w:rPr>
          <w:rStyle w:val="Pogrubienie"/>
        </w:rPr>
        <w:t xml:space="preserve">natomiast </w:t>
      </w:r>
      <w:r w:rsidRPr="00F878B0">
        <w:rPr>
          <w:rStyle w:val="Pogrubienie"/>
        </w:rPr>
        <w:t> deprywacja społeczna odnosi się do braku możliwości uczestniczenia w życiu społecznym i kulturalnym, co prowadzi do izolacji i wykluczenia</w:t>
      </w:r>
      <w:r>
        <w:rPr>
          <w:rStyle w:val="Pogrubienie"/>
        </w:rPr>
        <w:t xml:space="preserve"> </w:t>
      </w:r>
      <w:r w:rsidR="00817AF8">
        <w:rPr>
          <w:rStyle w:val="Pogrubienie"/>
        </w:rPr>
        <w:t>s</w:t>
      </w:r>
      <w:r w:rsidRPr="00F878B0">
        <w:rPr>
          <w:rStyle w:val="Pogrubienie"/>
        </w:rPr>
        <w:t xml:space="preserve">połecznego. </w:t>
      </w:r>
      <w:r>
        <w:rPr>
          <w:rStyle w:val="Pogrubienie"/>
        </w:rPr>
        <w:t>Oba zjawiska</w:t>
      </w:r>
      <w:r w:rsidRPr="009220AB">
        <w:rPr>
          <w:rStyle w:val="Pogrubienie"/>
        </w:rPr>
        <w:t xml:space="preserve"> </w:t>
      </w:r>
      <w:r>
        <w:rPr>
          <w:rStyle w:val="Pogrubienie"/>
        </w:rPr>
        <w:t>o</w:t>
      </w:r>
      <w:r w:rsidRPr="009220AB">
        <w:rPr>
          <w:rStyle w:val="Pogrubienie"/>
        </w:rPr>
        <w:t xml:space="preserve">pisują </w:t>
      </w:r>
      <w:r w:rsidR="00BD3A8B">
        <w:rPr>
          <w:rStyle w:val="Pogrubienie"/>
        </w:rPr>
        <w:t>wielowymiarowy</w:t>
      </w:r>
      <w:r w:rsidRPr="009220AB">
        <w:rPr>
          <w:rStyle w:val="Pogrubienie"/>
        </w:rPr>
        <w:t xml:space="preserve"> stan ubóstwa, w którym </w:t>
      </w:r>
      <w:r w:rsidR="00040603">
        <w:rPr>
          <w:rStyle w:val="Pogrubienie"/>
        </w:rPr>
        <w:t xml:space="preserve">część </w:t>
      </w:r>
      <w:proofErr w:type="spellStart"/>
      <w:r>
        <w:rPr>
          <w:rStyle w:val="Pogrubienie"/>
        </w:rPr>
        <w:t>społe</w:t>
      </w:r>
      <w:r w:rsidR="00EE4AE5">
        <w:rPr>
          <w:rStyle w:val="Pogrubienie"/>
        </w:rPr>
        <w:t>-</w:t>
      </w:r>
      <w:r>
        <w:rPr>
          <w:rStyle w:val="Pogrubienie"/>
        </w:rPr>
        <w:t>czeństwa</w:t>
      </w:r>
      <w:proofErr w:type="spellEnd"/>
      <w:r>
        <w:rPr>
          <w:rStyle w:val="Pogrubienie"/>
        </w:rPr>
        <w:t xml:space="preserve"> </w:t>
      </w:r>
      <w:r w:rsidR="002670E9">
        <w:rPr>
          <w:rStyle w:val="Pogrubienie"/>
        </w:rPr>
        <w:t>dysponująca</w:t>
      </w:r>
      <w:r>
        <w:rPr>
          <w:rStyle w:val="Pogrubienie"/>
        </w:rPr>
        <w:t xml:space="preserve"> ograniczonym zasobem finansowym</w:t>
      </w:r>
      <w:r w:rsidRPr="009220AB">
        <w:rPr>
          <w:rStyle w:val="Pogrubienie"/>
        </w:rPr>
        <w:t xml:space="preserve"> </w:t>
      </w:r>
      <w:r>
        <w:rPr>
          <w:rStyle w:val="Pogrubienie"/>
        </w:rPr>
        <w:t>może podlegać marginalizacji społecznej.</w:t>
      </w:r>
      <w:r w:rsidR="007971CF" w:rsidRPr="007971CF">
        <w:rPr>
          <w:rFonts w:cs="Arial"/>
          <w:b w:val="0"/>
          <w:noProof/>
          <w:color w:val="0A0A0A"/>
          <w:spacing w:val="-4"/>
          <w:shd w:val="clear" w:color="auto" w:fill="FFFFFF"/>
        </w:rPr>
        <w:t xml:space="preserve"> </w:t>
      </w:r>
    </w:p>
    <w:p w14:paraId="2715831E" w14:textId="1D536A04" w:rsidR="000C7FC6" w:rsidRDefault="000C7FC6" w:rsidP="00431712">
      <w:pPr>
        <w:pStyle w:val="Tytutablicy"/>
        <w:keepNext w:val="0"/>
        <w:rPr>
          <w:rStyle w:val="vkekvd"/>
          <w:rFonts w:eastAsiaTheme="majorEastAsia" w:cs="Arial"/>
          <w:color w:val="0A0A0A"/>
          <w:spacing w:val="-6"/>
          <w:shd w:val="clear" w:color="auto" w:fill="FFFFFF"/>
        </w:rPr>
      </w:pPr>
      <w:r w:rsidRPr="004F73CE">
        <w:rPr>
          <w:rStyle w:val="vkekvd"/>
          <w:rFonts w:eastAsiaTheme="majorEastAsia" w:cs="Arial"/>
          <w:color w:val="0A0A0A"/>
          <w:spacing w:val="-6"/>
          <w:shd w:val="clear" w:color="auto" w:fill="FFFFFF"/>
        </w:rPr>
        <w:t>Wykres 1. Wskaźnik pogłębionej deprywacji materialnej i sp</w:t>
      </w:r>
      <w:r w:rsidR="003D22D2">
        <w:rPr>
          <w:rStyle w:val="vkekvd"/>
          <w:rFonts w:eastAsiaTheme="majorEastAsia" w:cs="Arial"/>
          <w:color w:val="0A0A0A"/>
          <w:spacing w:val="-6"/>
          <w:shd w:val="clear" w:color="auto" w:fill="FFFFFF"/>
        </w:rPr>
        <w:t>ołecznej w Polsce w latach 2015–</w:t>
      </w:r>
      <w:r w:rsidRPr="004F73CE">
        <w:rPr>
          <w:rStyle w:val="vkekvd"/>
          <w:rFonts w:eastAsiaTheme="majorEastAsia" w:cs="Arial"/>
          <w:color w:val="0A0A0A"/>
          <w:spacing w:val="-6"/>
          <w:shd w:val="clear" w:color="auto" w:fill="FFFFFF"/>
        </w:rPr>
        <w:t>2025</w:t>
      </w:r>
    </w:p>
    <w:p w14:paraId="2416D021" w14:textId="3DA22669" w:rsidR="007268C5" w:rsidRDefault="00424721" w:rsidP="007732D0">
      <w:pPr>
        <w:pStyle w:val="Tytutablicy"/>
        <w:keepNext w:val="0"/>
        <w:rPr>
          <w:rStyle w:val="vkekvd"/>
          <w:rFonts w:eastAsiaTheme="majorEastAsia" w:cs="Arial"/>
          <w:color w:val="0A0A0A"/>
          <w:spacing w:val="-6"/>
          <w:shd w:val="clear" w:color="auto" w:fill="FFFFFF"/>
        </w:rPr>
      </w:pPr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F3580" wp14:editId="0B17B1D7">
                <wp:simplePos x="0" y="0"/>
                <wp:positionH relativeFrom="column">
                  <wp:posOffset>5339080</wp:posOffset>
                </wp:positionH>
                <wp:positionV relativeFrom="paragraph">
                  <wp:posOffset>471722</wp:posOffset>
                </wp:positionV>
                <wp:extent cx="1620000" cy="1176793"/>
                <wp:effectExtent l="0" t="0" r="0" b="444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176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9C704" w14:textId="0C6C98A0" w:rsidR="00521023" w:rsidRPr="00120854" w:rsidRDefault="00521023" w:rsidP="004317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20854">
                              <w:rPr>
                                <w:color w:val="001D77"/>
                                <w:sz w:val="18"/>
                                <w:szCs w:val="18"/>
                              </w:rPr>
                              <w:t>W okresie 2015–2025 odsetek osób doświadczających pogłębionej deprywacji materialnej i społecznej obniżył się z 7,8% do 2,0%, tj.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120854">
                              <w:rPr>
                                <w:color w:val="001D77"/>
                                <w:sz w:val="18"/>
                                <w:szCs w:val="18"/>
                              </w:rPr>
                              <w:t>spadł o 5,8 p. proc.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F3580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margin-left:420.4pt;margin-top:37.15pt;width:127.55pt;height:9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" filled="f" stroked="f" strokeweight=".5pt">
                <v:textbox>
                  <w:txbxContent>
                    <w:p w14:paraId="64F9C704" w14:textId="0C6C98A0" w:rsidR="00521023" w:rsidRPr="00120854" w:rsidRDefault="00521023" w:rsidP="004317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120854">
                        <w:rPr>
                          <w:color w:val="001D77"/>
                          <w:sz w:val="18"/>
                          <w:szCs w:val="18"/>
                        </w:rPr>
                        <w:t>W okresie 2015–2025 odsetek osób doświadczających pogłębionej deprywacji materialnej i społecznej obniżył się z 7,8% do 2,0%, tj.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120854">
                        <w:rPr>
                          <w:color w:val="001D77"/>
                          <w:sz w:val="18"/>
                          <w:szCs w:val="18"/>
                        </w:rPr>
                        <w:t>spadł o 5,8 p. proc.</w:t>
                      </w:r>
                    </w:p>
                  </w:txbxContent>
                </v:textbox>
              </v:shape>
            </w:pict>
          </mc:Fallback>
        </mc:AlternateContent>
      </w:r>
      <w:r w:rsidR="00310266">
        <w:rPr>
          <w:rStyle w:val="vkekvd"/>
          <w:rFonts w:eastAsiaTheme="majorEastAsia" w:cs="Arial"/>
          <w:noProof/>
          <w:color w:val="0A0A0A"/>
          <w:spacing w:val="-6"/>
          <w:shd w:val="clear" w:color="auto" w:fill="FFFFFF"/>
        </w:rPr>
        <w:drawing>
          <wp:inline distT="0" distB="0" distL="0" distR="0" wp14:anchorId="5C497235" wp14:editId="07C93224">
            <wp:extent cx="5041900" cy="2164080"/>
            <wp:effectExtent l="0" t="0" r="6350" b="762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2D6E1" w14:textId="6CF2E759" w:rsidR="003E0FCF" w:rsidRPr="00EE4AE5" w:rsidRDefault="00A7195D" w:rsidP="00431712">
      <w:pPr>
        <w:pStyle w:val="Tytutablicy"/>
        <w:keepNext w:val="0"/>
        <w:spacing w:line="264" w:lineRule="auto"/>
        <w:rPr>
          <w:rFonts w:cs="Arial"/>
          <w:b w:val="0"/>
          <w:color w:val="0A0A0A"/>
          <w:spacing w:val="-4"/>
          <w:shd w:val="clear" w:color="auto" w:fill="FFFFFF"/>
        </w:rPr>
      </w:pPr>
      <w:r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Dane przytoczone na wykresie 1 wskazują na znaczącą poprawę </w:t>
      </w:r>
      <w:r w:rsidR="00F64364"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wskaźnika pogłębionej </w:t>
      </w:r>
      <w:proofErr w:type="spellStart"/>
      <w:r w:rsidRPr="00EE4AE5">
        <w:rPr>
          <w:rFonts w:cs="Arial"/>
          <w:b w:val="0"/>
          <w:color w:val="0A0A0A"/>
          <w:spacing w:val="-4"/>
          <w:shd w:val="clear" w:color="auto" w:fill="FFFFFF"/>
        </w:rPr>
        <w:t>depry</w:t>
      </w:r>
      <w:r w:rsidR="00C07EB3">
        <w:rPr>
          <w:rFonts w:cs="Arial"/>
          <w:b w:val="0"/>
          <w:color w:val="0A0A0A"/>
          <w:spacing w:val="-4"/>
          <w:shd w:val="clear" w:color="auto" w:fill="FFFFFF"/>
        </w:rPr>
        <w:t>-</w:t>
      </w:r>
      <w:r w:rsidRPr="00EE4AE5">
        <w:rPr>
          <w:rFonts w:cs="Arial"/>
          <w:b w:val="0"/>
          <w:color w:val="0A0A0A"/>
          <w:spacing w:val="-4"/>
          <w:shd w:val="clear" w:color="auto" w:fill="FFFFFF"/>
        </w:rPr>
        <w:t>wacji</w:t>
      </w:r>
      <w:proofErr w:type="spellEnd"/>
      <w:r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 materialnej i społecznej w Polsce</w:t>
      </w:r>
      <w:r w:rsidR="00C126B1"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 na przestrzeni ostatnich 10 lat</w:t>
      </w:r>
      <w:r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. Spadek odsetka osób </w:t>
      </w:r>
      <w:r w:rsidR="003E0FCF" w:rsidRPr="00EE4AE5">
        <w:rPr>
          <w:rFonts w:cs="Arial"/>
          <w:b w:val="0"/>
          <w:color w:val="0A0A0A"/>
          <w:spacing w:val="-4"/>
          <w:shd w:val="clear" w:color="auto" w:fill="FFFFFF"/>
        </w:rPr>
        <w:t>niezdolnych</w:t>
      </w:r>
      <w:r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 zaspokoić (</w:t>
      </w:r>
      <w:r w:rsidR="00BD03E1"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przynajmniej </w:t>
      </w:r>
      <w:r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7 z 13) podstawowych potrzeb o 5,8 p. proc. </w:t>
      </w:r>
      <w:r w:rsidR="00EE4AE5" w:rsidRPr="00EE4AE5">
        <w:rPr>
          <w:rFonts w:cs="Arial"/>
          <w:b w:val="0"/>
          <w:color w:val="0A0A0A"/>
          <w:spacing w:val="-4"/>
          <w:shd w:val="clear" w:color="auto" w:fill="FFFFFF"/>
        </w:rPr>
        <w:t>W </w:t>
      </w:r>
      <w:r w:rsidR="00E000FC" w:rsidRPr="00EE4AE5">
        <w:rPr>
          <w:rFonts w:cs="Arial"/>
          <w:b w:val="0"/>
          <w:color w:val="0A0A0A"/>
          <w:spacing w:val="-4"/>
          <w:shd w:val="clear" w:color="auto" w:fill="FFFFFF"/>
        </w:rPr>
        <w:t>latach</w:t>
      </w:r>
      <w:r w:rsidR="003D22D2"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 2015</w:t>
      </w:r>
      <w:r w:rsidR="00C07EB3">
        <w:rPr>
          <w:rFonts w:cs="Arial"/>
          <w:b w:val="0"/>
          <w:color w:val="0A0A0A"/>
          <w:spacing w:val="-4"/>
          <w:shd w:val="clear" w:color="auto" w:fill="FFFFFF"/>
        </w:rPr>
        <w:noBreakHyphen/>
      </w:r>
      <w:r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2025 </w:t>
      </w:r>
      <w:r w:rsidR="003E0FCF" w:rsidRPr="00EE4AE5">
        <w:rPr>
          <w:rFonts w:cs="Arial"/>
          <w:b w:val="0"/>
          <w:color w:val="0A0A0A"/>
          <w:spacing w:val="-4"/>
          <w:shd w:val="clear" w:color="auto" w:fill="FFFFFF"/>
        </w:rPr>
        <w:t>(największy w okresie 2015–2020)</w:t>
      </w:r>
      <w:r w:rsidRPr="00EE4AE5">
        <w:rPr>
          <w:rFonts w:cs="Arial"/>
          <w:bCs w:val="0"/>
          <w:color w:val="0A0A0A"/>
          <w:spacing w:val="-4"/>
          <w:shd w:val="clear" w:color="auto" w:fill="FFFFFF"/>
        </w:rPr>
        <w:t xml:space="preserve"> </w:t>
      </w:r>
      <w:r w:rsidR="003E0FCF" w:rsidRPr="00EE4AE5">
        <w:rPr>
          <w:rFonts w:cs="Arial"/>
          <w:b w:val="0"/>
          <w:color w:val="0A0A0A"/>
          <w:spacing w:val="-4"/>
          <w:shd w:val="clear" w:color="auto" w:fill="FFFFFF"/>
        </w:rPr>
        <w:t>wskazuje</w:t>
      </w:r>
      <w:r w:rsidRPr="00EE4AE5">
        <w:rPr>
          <w:rFonts w:cs="Arial"/>
          <w:b w:val="0"/>
          <w:color w:val="0A0A0A"/>
          <w:spacing w:val="-4"/>
          <w:shd w:val="clear" w:color="auto" w:fill="FFFFFF"/>
        </w:rPr>
        <w:t xml:space="preserve"> </w:t>
      </w:r>
      <w:r w:rsidR="003E0FCF" w:rsidRPr="00EE4AE5">
        <w:rPr>
          <w:rFonts w:cs="Arial"/>
          <w:b w:val="0"/>
          <w:color w:val="0A0A0A"/>
          <w:spacing w:val="-4"/>
          <w:shd w:val="clear" w:color="auto" w:fill="FFFFFF"/>
        </w:rPr>
        <w:t>na ograniczenie skali tego zjawiska.</w:t>
      </w:r>
    </w:p>
    <w:p w14:paraId="02FF3530" w14:textId="37C7AEB9" w:rsidR="00A7195D" w:rsidRDefault="00A7195D" w:rsidP="00431712">
      <w:pPr>
        <w:pStyle w:val="Tytutablicy"/>
        <w:keepNext w:val="0"/>
        <w:spacing w:before="120" w:after="0" w:line="264" w:lineRule="auto"/>
        <w:rPr>
          <w:rFonts w:cs="Arial"/>
          <w:b w:val="0"/>
          <w:color w:val="0A0A0A"/>
          <w:shd w:val="clear" w:color="auto" w:fill="FFFFFF"/>
        </w:rPr>
      </w:pPr>
      <w:r>
        <w:rPr>
          <w:rFonts w:cs="Arial"/>
          <w:b w:val="0"/>
          <w:color w:val="0A0A0A"/>
          <w:shd w:val="clear" w:color="auto" w:fill="FFFFFF"/>
        </w:rPr>
        <w:t>P</w:t>
      </w:r>
      <w:r w:rsidRPr="009242A3">
        <w:rPr>
          <w:rFonts w:cs="Arial"/>
          <w:b w:val="0"/>
          <w:color w:val="0A0A0A"/>
          <w:shd w:val="clear" w:color="auto" w:fill="FFFFFF"/>
        </w:rPr>
        <w:t>o okresie wyraźnego spadku</w:t>
      </w:r>
      <w:r>
        <w:rPr>
          <w:rFonts w:cs="Arial"/>
          <w:b w:val="0"/>
          <w:color w:val="0A0A0A"/>
          <w:shd w:val="clear" w:color="auto" w:fill="FFFFFF"/>
        </w:rPr>
        <w:t xml:space="preserve"> wartości wskaźnika</w:t>
      </w:r>
      <w:r w:rsidR="00F64364">
        <w:rPr>
          <w:rFonts w:cs="Arial"/>
          <w:b w:val="0"/>
          <w:color w:val="0A0A0A"/>
          <w:shd w:val="clear" w:color="auto" w:fill="FFFFFF"/>
        </w:rPr>
        <w:t xml:space="preserve"> do 202</w:t>
      </w:r>
      <w:r w:rsidR="005F437C">
        <w:rPr>
          <w:rFonts w:cs="Arial"/>
          <w:b w:val="0"/>
          <w:color w:val="0A0A0A"/>
          <w:shd w:val="clear" w:color="auto" w:fill="FFFFFF"/>
        </w:rPr>
        <w:t>0</w:t>
      </w:r>
      <w:r w:rsidR="00F64364">
        <w:rPr>
          <w:rFonts w:cs="Arial"/>
          <w:b w:val="0"/>
          <w:color w:val="0A0A0A"/>
          <w:shd w:val="clear" w:color="auto" w:fill="FFFFFF"/>
        </w:rPr>
        <w:t xml:space="preserve"> r.</w:t>
      </w:r>
      <w:r w:rsidRPr="009242A3">
        <w:rPr>
          <w:rFonts w:cs="Arial"/>
          <w:b w:val="0"/>
          <w:color w:val="0A0A0A"/>
          <w:shd w:val="clear" w:color="auto" w:fill="FFFFFF"/>
        </w:rPr>
        <w:t xml:space="preserve">, lata 2021–2023 przyniosły </w:t>
      </w:r>
      <w:proofErr w:type="spellStart"/>
      <w:r w:rsidR="00F64364">
        <w:rPr>
          <w:rFonts w:cs="Arial"/>
          <w:b w:val="0"/>
          <w:color w:val="0A0A0A"/>
          <w:shd w:val="clear" w:color="auto" w:fill="FFFFFF"/>
        </w:rPr>
        <w:t>zaha</w:t>
      </w:r>
      <w:r w:rsidR="00C07EB3">
        <w:rPr>
          <w:rFonts w:cs="Arial"/>
          <w:b w:val="0"/>
          <w:color w:val="0A0A0A"/>
          <w:shd w:val="clear" w:color="auto" w:fill="FFFFFF"/>
        </w:rPr>
        <w:t>-</w:t>
      </w:r>
      <w:r w:rsidR="00F64364">
        <w:rPr>
          <w:rFonts w:cs="Arial"/>
          <w:b w:val="0"/>
          <w:color w:val="0A0A0A"/>
          <w:shd w:val="clear" w:color="auto" w:fill="FFFFFF"/>
        </w:rPr>
        <w:t>mowanie</w:t>
      </w:r>
      <w:proofErr w:type="spellEnd"/>
      <w:r w:rsidR="00F64364">
        <w:rPr>
          <w:rFonts w:cs="Arial"/>
          <w:b w:val="0"/>
          <w:color w:val="0A0A0A"/>
          <w:shd w:val="clear" w:color="auto" w:fill="FFFFFF"/>
        </w:rPr>
        <w:t xml:space="preserve"> tego trendu</w:t>
      </w:r>
      <w:r>
        <w:rPr>
          <w:rFonts w:cs="Arial"/>
          <w:b w:val="0"/>
          <w:color w:val="0A0A0A"/>
          <w:shd w:val="clear" w:color="auto" w:fill="FFFFFF"/>
        </w:rPr>
        <w:t xml:space="preserve">, co wynikało </w:t>
      </w:r>
      <w:r w:rsidRPr="009242A3">
        <w:rPr>
          <w:rFonts w:cs="Arial"/>
          <w:b w:val="0"/>
          <w:color w:val="0A0A0A"/>
          <w:shd w:val="clear" w:color="auto" w:fill="FFFFFF"/>
        </w:rPr>
        <w:t>z</w:t>
      </w:r>
      <w:r>
        <w:rPr>
          <w:rFonts w:cs="Arial"/>
          <w:b w:val="0"/>
          <w:color w:val="0A0A0A"/>
          <w:shd w:val="clear" w:color="auto" w:fill="FFFFFF"/>
        </w:rPr>
        <w:t xml:space="preserve"> kumulacj</w:t>
      </w:r>
      <w:r w:rsidR="00F05181">
        <w:rPr>
          <w:rFonts w:cs="Arial"/>
          <w:b w:val="0"/>
          <w:color w:val="0A0A0A"/>
          <w:shd w:val="clear" w:color="auto" w:fill="FFFFFF"/>
        </w:rPr>
        <w:t>i</w:t>
      </w:r>
      <w:r>
        <w:rPr>
          <w:rFonts w:cs="Arial"/>
          <w:b w:val="0"/>
          <w:color w:val="0A0A0A"/>
          <w:shd w:val="clear" w:color="auto" w:fill="FFFFFF"/>
        </w:rPr>
        <w:t xml:space="preserve"> negatywnych czynników: wysok</w:t>
      </w:r>
      <w:r w:rsidR="00F05181">
        <w:rPr>
          <w:rFonts w:cs="Arial"/>
          <w:b w:val="0"/>
          <w:color w:val="0A0A0A"/>
          <w:shd w:val="clear" w:color="auto" w:fill="FFFFFF"/>
        </w:rPr>
        <w:t>iej</w:t>
      </w:r>
      <w:r>
        <w:rPr>
          <w:rFonts w:cs="Arial"/>
          <w:b w:val="0"/>
          <w:color w:val="0A0A0A"/>
          <w:shd w:val="clear" w:color="auto" w:fill="FFFFFF"/>
        </w:rPr>
        <w:t xml:space="preserve"> inflacj</w:t>
      </w:r>
      <w:r w:rsidR="00F05181">
        <w:rPr>
          <w:rFonts w:cs="Arial"/>
          <w:b w:val="0"/>
          <w:color w:val="0A0A0A"/>
          <w:shd w:val="clear" w:color="auto" w:fill="FFFFFF"/>
        </w:rPr>
        <w:t>i</w:t>
      </w:r>
      <w:r>
        <w:rPr>
          <w:rFonts w:cs="Arial"/>
          <w:b w:val="0"/>
          <w:color w:val="0A0A0A"/>
          <w:shd w:val="clear" w:color="auto" w:fill="FFFFFF"/>
        </w:rPr>
        <w:t xml:space="preserve"> na</w:t>
      </w:r>
      <w:r w:rsidR="00EE4AE5">
        <w:rPr>
          <w:rFonts w:cs="Arial"/>
          <w:b w:val="0"/>
          <w:color w:val="0A0A0A"/>
          <w:shd w:val="clear" w:color="auto" w:fill="FFFFFF"/>
        </w:rPr>
        <w:t> </w:t>
      </w:r>
      <w:r>
        <w:rPr>
          <w:rFonts w:cs="Arial"/>
          <w:b w:val="0"/>
          <w:color w:val="0A0A0A"/>
          <w:shd w:val="clear" w:color="auto" w:fill="FFFFFF"/>
        </w:rPr>
        <w:t>skutek</w:t>
      </w:r>
      <w:r w:rsidRPr="009242A3">
        <w:rPr>
          <w:rFonts w:cs="Arial"/>
          <w:b w:val="0"/>
          <w:color w:val="0A0A0A"/>
          <w:shd w:val="clear" w:color="auto" w:fill="FFFFFF"/>
        </w:rPr>
        <w:t xml:space="preserve"> pandemii</w:t>
      </w:r>
      <w:r>
        <w:rPr>
          <w:rFonts w:cs="Arial"/>
          <w:b w:val="0"/>
          <w:color w:val="0A0A0A"/>
          <w:shd w:val="clear" w:color="auto" w:fill="FFFFFF"/>
        </w:rPr>
        <w:t xml:space="preserve"> oraz wybuchu wojny w Ukrainie. Natomiast wartości wsk</w:t>
      </w:r>
      <w:r w:rsidR="003D22D2">
        <w:rPr>
          <w:rFonts w:cs="Arial"/>
          <w:b w:val="0"/>
          <w:color w:val="0A0A0A"/>
          <w:shd w:val="clear" w:color="auto" w:fill="FFFFFF"/>
        </w:rPr>
        <w:t xml:space="preserve">aźnika </w:t>
      </w:r>
      <w:proofErr w:type="spellStart"/>
      <w:r w:rsidR="003D22D2">
        <w:rPr>
          <w:rFonts w:cs="Arial"/>
          <w:b w:val="0"/>
          <w:color w:val="0A0A0A"/>
          <w:shd w:val="clear" w:color="auto" w:fill="FFFFFF"/>
        </w:rPr>
        <w:t>depry</w:t>
      </w:r>
      <w:r w:rsidR="00C07EB3">
        <w:rPr>
          <w:rFonts w:cs="Arial"/>
          <w:b w:val="0"/>
          <w:color w:val="0A0A0A"/>
          <w:shd w:val="clear" w:color="auto" w:fill="FFFFFF"/>
        </w:rPr>
        <w:t>-</w:t>
      </w:r>
      <w:r w:rsidR="003D22D2">
        <w:rPr>
          <w:rFonts w:cs="Arial"/>
          <w:b w:val="0"/>
          <w:color w:val="0A0A0A"/>
          <w:shd w:val="clear" w:color="auto" w:fill="FFFFFF"/>
        </w:rPr>
        <w:t>wacji</w:t>
      </w:r>
      <w:proofErr w:type="spellEnd"/>
      <w:r w:rsidR="003D22D2">
        <w:rPr>
          <w:rFonts w:cs="Arial"/>
          <w:b w:val="0"/>
          <w:color w:val="0A0A0A"/>
          <w:shd w:val="clear" w:color="auto" w:fill="FFFFFF"/>
        </w:rPr>
        <w:t xml:space="preserve"> w latach 2024–</w:t>
      </w:r>
      <w:r>
        <w:rPr>
          <w:rFonts w:cs="Arial"/>
          <w:b w:val="0"/>
          <w:color w:val="0A0A0A"/>
          <w:shd w:val="clear" w:color="auto" w:fill="FFFFFF"/>
        </w:rPr>
        <w:t xml:space="preserve">2025 wskazują na powrót trendu spadkowego. </w:t>
      </w:r>
    </w:p>
    <w:p w14:paraId="77469A42" w14:textId="0BBB7060" w:rsidR="00A7195D" w:rsidRPr="00FF1140" w:rsidRDefault="00A7195D" w:rsidP="00431712">
      <w:pPr>
        <w:pStyle w:val="Nagwek1"/>
        <w:keepNext w:val="0"/>
        <w:spacing w:before="360"/>
        <w:rPr>
          <w:rFonts w:ascii="Fira Sans" w:hAnsi="Fira Sans"/>
          <w:b/>
          <w:szCs w:val="19"/>
        </w:rPr>
      </w:pPr>
      <w:r w:rsidRPr="00FF1140">
        <w:rPr>
          <w:rFonts w:ascii="Fira Sans" w:hAnsi="Fira Sans"/>
          <w:b/>
          <w:szCs w:val="19"/>
        </w:rPr>
        <w:lastRenderedPageBreak/>
        <w:t>Lista potrzeb materialnych i społecznych ujętych we wskaźniku pogłębionej deprywacji</w:t>
      </w:r>
    </w:p>
    <w:p w14:paraId="6A98DA86" w14:textId="70584800" w:rsidR="00A7195D" w:rsidRDefault="00A7195D" w:rsidP="00FB4516">
      <w:pPr>
        <w:pStyle w:val="Tytutablicy"/>
        <w:keepNext w:val="0"/>
        <w:spacing w:before="120" w:line="288" w:lineRule="auto"/>
        <w:rPr>
          <w:rStyle w:val="Pogrubienie"/>
        </w:rPr>
      </w:pPr>
      <w:r w:rsidRPr="00147DA8">
        <w:rPr>
          <w:rStyle w:val="Pogrubienie"/>
        </w:rPr>
        <w:t>Po</w:t>
      </w:r>
      <w:r>
        <w:rPr>
          <w:rStyle w:val="Pogrubienie"/>
        </w:rPr>
        <w:t>niżej zamieszczono odset</w:t>
      </w:r>
      <w:r w:rsidR="00F84063">
        <w:rPr>
          <w:rStyle w:val="Pogrubienie"/>
        </w:rPr>
        <w:t>ek</w:t>
      </w:r>
      <w:r>
        <w:rPr>
          <w:rStyle w:val="Pogrubienie"/>
        </w:rPr>
        <w:t xml:space="preserve"> osób, któ</w:t>
      </w:r>
      <w:r w:rsidR="003D22D2">
        <w:rPr>
          <w:rStyle w:val="Pogrubienie"/>
        </w:rPr>
        <w:t>re w okresie 2015–</w:t>
      </w:r>
      <w:r>
        <w:rPr>
          <w:rStyle w:val="Pogrubienie"/>
        </w:rPr>
        <w:t>2025 lat nie były w stanie zaspo</w:t>
      </w:r>
      <w:r w:rsidR="00C07EB3">
        <w:rPr>
          <w:rStyle w:val="Pogrubienie"/>
        </w:rPr>
        <w:t>-</w:t>
      </w:r>
      <w:r>
        <w:rPr>
          <w:rStyle w:val="Pogrubienie"/>
        </w:rPr>
        <w:t>koić wymienionych potrzeb (będących elementami wskaźnika pogłębionej depry</w:t>
      </w:r>
      <w:r w:rsidR="00431712">
        <w:rPr>
          <w:rStyle w:val="Pogrubienie"/>
        </w:rPr>
        <w:t>wacji materialnej i społecznej).</w:t>
      </w:r>
    </w:p>
    <w:p w14:paraId="05042CF6" w14:textId="0B71F675" w:rsidR="00A7195D" w:rsidRDefault="00AB18F2" w:rsidP="00431712">
      <w:pPr>
        <w:pStyle w:val="Tytutablicy"/>
        <w:keepNext w:val="0"/>
        <w:rPr>
          <w:rStyle w:val="vkekvd"/>
          <w:rFonts w:eastAsiaTheme="majorEastAsia" w:cs="Arial"/>
          <w:color w:val="0A0A0A"/>
          <w:shd w:val="clear" w:color="auto" w:fill="FFFFFF"/>
        </w:rPr>
      </w:pPr>
      <w:r>
        <w:rPr>
          <w:rStyle w:val="vkekvd"/>
          <w:rFonts w:eastAsiaTheme="majorEastAsia" w:cs="Arial"/>
          <w:color w:val="0A0A0A"/>
          <w:shd w:val="clear" w:color="auto" w:fill="FFFFFF"/>
        </w:rPr>
        <w:t>Tablica 1</w:t>
      </w:r>
      <w:r w:rsidR="00A7195D">
        <w:rPr>
          <w:rStyle w:val="vkekvd"/>
          <w:rFonts w:eastAsiaTheme="majorEastAsia" w:cs="Arial"/>
          <w:color w:val="0A0A0A"/>
          <w:shd w:val="clear" w:color="auto" w:fill="FFFFFF"/>
        </w:rPr>
        <w:t>. Składniki deprywacji materialnej i sp</w:t>
      </w:r>
      <w:r w:rsidR="003D22D2">
        <w:rPr>
          <w:rStyle w:val="vkekvd"/>
          <w:rFonts w:eastAsiaTheme="majorEastAsia" w:cs="Arial"/>
          <w:color w:val="0A0A0A"/>
          <w:shd w:val="clear" w:color="auto" w:fill="FFFFFF"/>
        </w:rPr>
        <w:t>ołecznej w Polsce w latach 2015–</w:t>
      </w:r>
      <w:r w:rsidR="00A7195D">
        <w:rPr>
          <w:rStyle w:val="vkekvd"/>
          <w:rFonts w:eastAsiaTheme="majorEastAsia" w:cs="Arial"/>
          <w:color w:val="0A0A0A"/>
          <w:shd w:val="clear" w:color="auto" w:fill="FFFFFF"/>
        </w:rPr>
        <w:t>2025</w:t>
      </w:r>
    </w:p>
    <w:tbl>
      <w:tblPr>
        <w:tblW w:w="793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5"/>
        <w:gridCol w:w="10"/>
        <w:gridCol w:w="13"/>
        <w:gridCol w:w="475"/>
        <w:gridCol w:w="11"/>
        <w:gridCol w:w="11"/>
        <w:gridCol w:w="13"/>
        <w:gridCol w:w="474"/>
        <w:gridCol w:w="12"/>
        <w:gridCol w:w="11"/>
        <w:gridCol w:w="13"/>
        <w:gridCol w:w="473"/>
        <w:gridCol w:w="13"/>
        <w:gridCol w:w="11"/>
        <w:gridCol w:w="13"/>
        <w:gridCol w:w="473"/>
        <w:gridCol w:w="13"/>
        <w:gridCol w:w="11"/>
        <w:gridCol w:w="13"/>
        <w:gridCol w:w="473"/>
        <w:gridCol w:w="13"/>
        <w:gridCol w:w="11"/>
        <w:gridCol w:w="13"/>
        <w:gridCol w:w="473"/>
        <w:gridCol w:w="13"/>
        <w:gridCol w:w="11"/>
        <w:gridCol w:w="13"/>
        <w:gridCol w:w="473"/>
        <w:gridCol w:w="13"/>
        <w:gridCol w:w="11"/>
        <w:gridCol w:w="13"/>
        <w:gridCol w:w="473"/>
        <w:gridCol w:w="13"/>
        <w:gridCol w:w="11"/>
        <w:gridCol w:w="13"/>
        <w:gridCol w:w="473"/>
        <w:gridCol w:w="13"/>
        <w:gridCol w:w="11"/>
        <w:gridCol w:w="13"/>
        <w:gridCol w:w="475"/>
        <w:gridCol w:w="13"/>
        <w:gridCol w:w="9"/>
        <w:gridCol w:w="13"/>
        <w:gridCol w:w="480"/>
        <w:gridCol w:w="38"/>
      </w:tblGrid>
      <w:tr w:rsidR="00E707DE" w:rsidRPr="00D74D8D" w14:paraId="7F162BD5" w14:textId="77777777" w:rsidTr="00C07EB3">
        <w:trPr>
          <w:trHeight w:val="20"/>
        </w:trPr>
        <w:tc>
          <w:tcPr>
            <w:tcW w:w="229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D7C8A0C" w14:textId="6D6249D4" w:rsidR="00E707DE" w:rsidRPr="00D74D8D" w:rsidRDefault="00E707DE" w:rsidP="00C07EB3">
            <w:pPr>
              <w:spacing w:before="80" w:after="80" w:line="200" w:lineRule="exact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Lista potrzeb</w:t>
            </w:r>
          </w:p>
        </w:tc>
        <w:tc>
          <w:tcPr>
            <w:tcW w:w="5641" w:type="dxa"/>
            <w:gridSpan w:val="44"/>
            <w:shd w:val="clear" w:color="auto" w:fill="auto"/>
            <w:noWrap/>
            <w:vAlign w:val="center"/>
            <w:hideMark/>
          </w:tcPr>
          <w:p w14:paraId="5DC8E56B" w14:textId="15D742F8" w:rsidR="00E707DE" w:rsidRPr="00D74D8D" w:rsidRDefault="00937AC0" w:rsidP="00C07EB3">
            <w:pPr>
              <w:spacing w:before="80" w:after="80" w:line="200" w:lineRule="exact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Odsetek osób nie</w:t>
            </w:r>
            <w:r w:rsidR="00E707DE" w:rsidRPr="00D74D8D">
              <w:rPr>
                <w:rFonts w:eastAsia="Times New Roman" w:cs="Calibri"/>
                <w:color w:val="000000"/>
                <w:sz w:val="18"/>
                <w:szCs w:val="18"/>
              </w:rPr>
              <w:t>mogących zaspokoić poszczególnych potrzeb z</w:t>
            </w:r>
            <w:r w:rsidR="00D74D8D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  <w:r w:rsidR="00E707DE" w:rsidRPr="00D74D8D">
              <w:rPr>
                <w:rFonts w:eastAsia="Times New Roman" w:cs="Calibri"/>
                <w:color w:val="000000"/>
                <w:sz w:val="18"/>
                <w:szCs w:val="18"/>
              </w:rPr>
              <w:t>powodów finansowych</w:t>
            </w:r>
          </w:p>
        </w:tc>
      </w:tr>
      <w:tr w:rsidR="00E707DE" w:rsidRPr="00D74D8D" w14:paraId="7E00AF71" w14:textId="77777777" w:rsidTr="00C07EB3">
        <w:trPr>
          <w:trHeight w:val="20"/>
        </w:trPr>
        <w:tc>
          <w:tcPr>
            <w:tcW w:w="2296" w:type="dxa"/>
            <w:gridSpan w:val="2"/>
            <w:vMerge/>
            <w:vAlign w:val="center"/>
            <w:hideMark/>
          </w:tcPr>
          <w:p w14:paraId="109C9526" w14:textId="77777777" w:rsidR="00E707DE" w:rsidRPr="00D74D8D" w:rsidRDefault="00E707DE" w:rsidP="00C07EB3">
            <w:pPr>
              <w:spacing w:before="80" w:after="80" w:line="200" w:lineRule="exact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641" w:type="dxa"/>
            <w:gridSpan w:val="44"/>
            <w:shd w:val="clear" w:color="auto" w:fill="auto"/>
            <w:vAlign w:val="center"/>
            <w:hideMark/>
          </w:tcPr>
          <w:p w14:paraId="62129590" w14:textId="25F61A79" w:rsidR="00E707DE" w:rsidRPr="00D74D8D" w:rsidRDefault="00E707DE" w:rsidP="00C07EB3">
            <w:pPr>
              <w:spacing w:before="80" w:after="80" w:line="200" w:lineRule="exact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rok realizacji badania</w:t>
            </w:r>
          </w:p>
        </w:tc>
      </w:tr>
      <w:tr w:rsidR="00E707DE" w:rsidRPr="00D74D8D" w14:paraId="4C4A1EDB" w14:textId="77777777" w:rsidTr="00C07EB3">
        <w:trPr>
          <w:trHeight w:val="20"/>
        </w:trPr>
        <w:tc>
          <w:tcPr>
            <w:tcW w:w="2296" w:type="dxa"/>
            <w:gridSpan w:val="2"/>
            <w:vMerge/>
            <w:shd w:val="clear" w:color="auto" w:fill="auto"/>
            <w:noWrap/>
            <w:vAlign w:val="center"/>
            <w:hideMark/>
          </w:tcPr>
          <w:p w14:paraId="7B578519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gridSpan w:val="4"/>
            <w:shd w:val="clear" w:color="auto" w:fill="auto"/>
            <w:noWrap/>
            <w:vAlign w:val="center"/>
            <w:hideMark/>
          </w:tcPr>
          <w:p w14:paraId="679A0472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AA966B4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FD5C055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510" w:type="dxa"/>
            <w:gridSpan w:val="4"/>
            <w:shd w:val="clear" w:color="auto" w:fill="auto"/>
            <w:vAlign w:val="center"/>
            <w:hideMark/>
          </w:tcPr>
          <w:p w14:paraId="76407EE0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3505D46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D1710AF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8E7E3A3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510" w:type="dxa"/>
            <w:gridSpan w:val="4"/>
            <w:shd w:val="clear" w:color="auto" w:fill="auto"/>
            <w:vAlign w:val="center"/>
            <w:hideMark/>
          </w:tcPr>
          <w:p w14:paraId="5314CACA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FB49AC5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512" w:type="dxa"/>
            <w:gridSpan w:val="4"/>
            <w:shd w:val="clear" w:color="auto" w:fill="auto"/>
            <w:noWrap/>
            <w:vAlign w:val="center"/>
            <w:hideMark/>
          </w:tcPr>
          <w:p w14:paraId="2EA26D48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40" w:type="dxa"/>
            <w:gridSpan w:val="4"/>
            <w:shd w:val="clear" w:color="auto" w:fill="auto"/>
            <w:noWrap/>
            <w:vAlign w:val="center"/>
            <w:hideMark/>
          </w:tcPr>
          <w:p w14:paraId="28472458" w14:textId="77777777" w:rsidR="00E707DE" w:rsidRPr="00D74D8D" w:rsidRDefault="00E707DE" w:rsidP="00C07EB3">
            <w:pPr>
              <w:spacing w:before="80" w:after="80" w:line="200" w:lineRule="exact"/>
              <w:ind w:left="-57" w:right="-57"/>
              <w:jc w:val="center"/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</w:pPr>
            <w:r w:rsidRPr="00D74D8D">
              <w:rPr>
                <w:rFonts w:eastAsia="Times New Roman" w:cs="Calibri"/>
                <w:bCs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BD27C2" w:rsidRPr="00BD27C2" w14:paraId="445291DF" w14:textId="77777777" w:rsidTr="00C07EB3">
        <w:trPr>
          <w:trHeight w:val="20"/>
        </w:trPr>
        <w:tc>
          <w:tcPr>
            <w:tcW w:w="7937" w:type="dxa"/>
            <w:gridSpan w:val="46"/>
            <w:shd w:val="clear" w:color="auto" w:fill="auto"/>
            <w:vAlign w:val="center"/>
          </w:tcPr>
          <w:p w14:paraId="528E9E0F" w14:textId="799AD956" w:rsidR="00A7195D" w:rsidRPr="00BD27C2" w:rsidRDefault="00A7195D" w:rsidP="00C07EB3">
            <w:pPr>
              <w:spacing w:before="80" w:after="80" w:line="200" w:lineRule="exact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</w:rPr>
              <w:t xml:space="preserve">Potrzeby </w:t>
            </w:r>
            <w:r w:rsidR="006452B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</w:rPr>
              <w:t>fizjologiczne</w:t>
            </w:r>
          </w:p>
        </w:tc>
      </w:tr>
      <w:tr w:rsidR="00E707DE" w:rsidRPr="00D74D8D" w14:paraId="51A7159C" w14:textId="77777777" w:rsidTr="00C07EB3">
        <w:trPr>
          <w:gridAfter w:val="1"/>
          <w:wAfter w:w="38" w:type="dxa"/>
          <w:trHeight w:val="20"/>
        </w:trPr>
        <w:tc>
          <w:tcPr>
            <w:tcW w:w="2281" w:type="dxa"/>
            <w:shd w:val="clear" w:color="auto" w:fill="auto"/>
            <w:vAlign w:val="center"/>
            <w:hideMark/>
          </w:tcPr>
          <w:p w14:paraId="2EB2EB7C" w14:textId="33141DBB" w:rsidR="00A7195D" w:rsidRPr="00D74D8D" w:rsidRDefault="00A7195D" w:rsidP="00EE4AE5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Spożywanie mięsa, ryb (lub</w:t>
            </w:r>
            <w:r w:rsid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 </w:t>
            </w:r>
            <w:r w:rsidR="00EE4AE5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wegetariańskiego od</w:t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powiednika) co drugi dzień</w:t>
            </w:r>
          </w:p>
        </w:tc>
        <w:tc>
          <w:tcPr>
            <w:tcW w:w="513" w:type="dxa"/>
            <w:gridSpan w:val="4"/>
            <w:shd w:val="clear" w:color="auto" w:fill="auto"/>
            <w:noWrap/>
            <w:vAlign w:val="center"/>
            <w:hideMark/>
          </w:tcPr>
          <w:p w14:paraId="2100B4D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8,2</w:t>
            </w:r>
          </w:p>
        </w:tc>
        <w:tc>
          <w:tcPr>
            <w:tcW w:w="509" w:type="dxa"/>
            <w:gridSpan w:val="4"/>
            <w:shd w:val="clear" w:color="auto" w:fill="auto"/>
            <w:noWrap/>
            <w:vAlign w:val="center"/>
            <w:hideMark/>
          </w:tcPr>
          <w:p w14:paraId="33273A5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6,4</w:t>
            </w:r>
          </w:p>
        </w:tc>
        <w:tc>
          <w:tcPr>
            <w:tcW w:w="509" w:type="dxa"/>
            <w:gridSpan w:val="4"/>
            <w:shd w:val="clear" w:color="auto" w:fill="auto"/>
            <w:noWrap/>
            <w:vAlign w:val="center"/>
            <w:hideMark/>
          </w:tcPr>
          <w:p w14:paraId="02F5A3A0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492F550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4D9BCC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02C106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57E581F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B077E2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97F25F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3,5</w:t>
            </w:r>
          </w:p>
        </w:tc>
        <w:tc>
          <w:tcPr>
            <w:tcW w:w="512" w:type="dxa"/>
            <w:gridSpan w:val="4"/>
            <w:shd w:val="clear" w:color="auto" w:fill="auto"/>
            <w:noWrap/>
            <w:vAlign w:val="center"/>
            <w:hideMark/>
          </w:tcPr>
          <w:p w14:paraId="3DE02403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2,8</w:t>
            </w:r>
          </w:p>
        </w:tc>
        <w:tc>
          <w:tcPr>
            <w:tcW w:w="515" w:type="dxa"/>
            <w:gridSpan w:val="4"/>
            <w:shd w:val="clear" w:color="auto" w:fill="auto"/>
            <w:noWrap/>
            <w:vAlign w:val="center"/>
            <w:hideMark/>
          </w:tcPr>
          <w:p w14:paraId="5AD2522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3,0</w:t>
            </w:r>
          </w:p>
        </w:tc>
      </w:tr>
      <w:tr w:rsidR="00E707DE" w:rsidRPr="00D74D8D" w14:paraId="4AEA955B" w14:textId="77777777" w:rsidTr="00C07EB3">
        <w:trPr>
          <w:gridAfter w:val="1"/>
          <w:wAfter w:w="38" w:type="dxa"/>
          <w:trHeight w:val="20"/>
        </w:trPr>
        <w:tc>
          <w:tcPr>
            <w:tcW w:w="2281" w:type="dxa"/>
            <w:shd w:val="clear" w:color="auto" w:fill="auto"/>
            <w:vAlign w:val="center"/>
            <w:hideMark/>
          </w:tcPr>
          <w:p w14:paraId="11F4E14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Ogrzewanie mieszkania odpowiednio do potrzeb </w:t>
            </w:r>
          </w:p>
        </w:tc>
        <w:tc>
          <w:tcPr>
            <w:tcW w:w="513" w:type="dxa"/>
            <w:gridSpan w:val="4"/>
            <w:shd w:val="clear" w:color="auto" w:fill="auto"/>
            <w:noWrap/>
            <w:vAlign w:val="center"/>
            <w:hideMark/>
          </w:tcPr>
          <w:p w14:paraId="7A73584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7,5</w:t>
            </w:r>
          </w:p>
        </w:tc>
        <w:tc>
          <w:tcPr>
            <w:tcW w:w="509" w:type="dxa"/>
            <w:gridSpan w:val="4"/>
            <w:shd w:val="clear" w:color="auto" w:fill="auto"/>
            <w:noWrap/>
            <w:vAlign w:val="center"/>
            <w:hideMark/>
          </w:tcPr>
          <w:p w14:paraId="360F7750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7,1</w:t>
            </w:r>
          </w:p>
        </w:tc>
        <w:tc>
          <w:tcPr>
            <w:tcW w:w="509" w:type="dxa"/>
            <w:gridSpan w:val="4"/>
            <w:shd w:val="clear" w:color="auto" w:fill="auto"/>
            <w:noWrap/>
            <w:vAlign w:val="center"/>
            <w:hideMark/>
          </w:tcPr>
          <w:p w14:paraId="0A60FCE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5D3C0C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5,1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79854D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9FC5456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03C4DF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487FE0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02A4C8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4,7</w:t>
            </w:r>
          </w:p>
        </w:tc>
        <w:tc>
          <w:tcPr>
            <w:tcW w:w="512" w:type="dxa"/>
            <w:gridSpan w:val="4"/>
            <w:shd w:val="clear" w:color="auto" w:fill="auto"/>
            <w:noWrap/>
            <w:vAlign w:val="center"/>
            <w:hideMark/>
          </w:tcPr>
          <w:p w14:paraId="01C7CBE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3,3</w:t>
            </w:r>
          </w:p>
        </w:tc>
        <w:tc>
          <w:tcPr>
            <w:tcW w:w="515" w:type="dxa"/>
            <w:gridSpan w:val="4"/>
            <w:shd w:val="clear" w:color="auto" w:fill="auto"/>
            <w:noWrap/>
            <w:vAlign w:val="center"/>
            <w:hideMark/>
          </w:tcPr>
          <w:p w14:paraId="68E5974F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3,4</w:t>
            </w:r>
          </w:p>
        </w:tc>
      </w:tr>
      <w:tr w:rsidR="00E707DE" w:rsidRPr="00D74D8D" w14:paraId="1071A634" w14:textId="77777777" w:rsidTr="00C07EB3">
        <w:trPr>
          <w:trHeight w:val="20"/>
        </w:trPr>
        <w:tc>
          <w:tcPr>
            <w:tcW w:w="7937" w:type="dxa"/>
            <w:gridSpan w:val="46"/>
            <w:shd w:val="clear" w:color="auto" w:fill="auto"/>
            <w:vAlign w:val="center"/>
          </w:tcPr>
          <w:p w14:paraId="2470A4DE" w14:textId="2CA08AB5" w:rsidR="00A7195D" w:rsidRPr="00D74D8D" w:rsidRDefault="00A7195D" w:rsidP="00CB3EDE">
            <w:pPr>
              <w:spacing w:before="80" w:after="80" w:line="200" w:lineRule="exact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b/>
                <w:color w:val="000000"/>
                <w:sz w:val="18"/>
                <w:szCs w:val="18"/>
              </w:rPr>
              <w:t>Bezpieczeństwo finansowe</w:t>
            </w:r>
          </w:p>
        </w:tc>
      </w:tr>
      <w:tr w:rsidR="00A92B50" w:rsidRPr="00D74D8D" w14:paraId="62C92672" w14:textId="77777777" w:rsidTr="00C07EB3">
        <w:trPr>
          <w:trHeight w:val="20"/>
        </w:trPr>
        <w:tc>
          <w:tcPr>
            <w:tcW w:w="2306" w:type="dxa"/>
            <w:gridSpan w:val="3"/>
            <w:shd w:val="clear" w:color="auto" w:fill="auto"/>
            <w:vAlign w:val="center"/>
          </w:tcPr>
          <w:p w14:paraId="7301CC4A" w14:textId="01397480" w:rsidR="00A7195D" w:rsidRPr="00D74D8D" w:rsidRDefault="00A7195D" w:rsidP="00EE4AE5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Po</w:t>
            </w:r>
            <w:r w:rsidRPr="00D74D8D">
              <w:rPr>
                <w:rFonts w:eastAsia="Times New Roman" w:cs="Calibri"/>
                <w:color w:val="000000"/>
                <w:spacing w:val="-6"/>
                <w:sz w:val="18"/>
                <w:szCs w:val="18"/>
              </w:rPr>
              <w:t xml:space="preserve">krycie niespodziewanego wydatku (w wysokości </w:t>
            </w:r>
            <w:r w:rsidR="00EE4AE5">
              <w:rPr>
                <w:rFonts w:eastAsia="Times New Roman" w:cs="Calibri"/>
                <w:color w:val="000000"/>
                <w:spacing w:val="-6"/>
                <w:sz w:val="18"/>
                <w:szCs w:val="18"/>
              </w:rPr>
              <w:br/>
            </w:r>
            <w:r w:rsidRPr="00D74D8D">
              <w:rPr>
                <w:rFonts w:eastAsia="Times New Roman" w:cs="Calibri"/>
                <w:color w:val="000000"/>
                <w:spacing w:val="-6"/>
                <w:sz w:val="18"/>
                <w:szCs w:val="18"/>
              </w:rPr>
              <w:t xml:space="preserve">wartości miesięcznych 60% krajowej mediany ekwiwalentnego dochodu </w:t>
            </w:r>
            <w:r w:rsidR="00EE4AE5">
              <w:rPr>
                <w:rFonts w:eastAsia="Times New Roman" w:cs="Calibri"/>
                <w:color w:val="000000"/>
                <w:spacing w:val="-6"/>
                <w:sz w:val="18"/>
                <w:szCs w:val="18"/>
              </w:rPr>
              <w:br/>
            </w:r>
            <w:r w:rsidRPr="00D74D8D">
              <w:rPr>
                <w:rFonts w:eastAsia="Times New Roman" w:cs="Calibri"/>
                <w:color w:val="000000"/>
                <w:spacing w:val="-6"/>
                <w:sz w:val="18"/>
                <w:szCs w:val="18"/>
              </w:rPr>
              <w:t xml:space="preserve">do dyspozycji) 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270723F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42,3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57FAFED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37,9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5310391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34,8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306B8BF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31,7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28E53D53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29,3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7D6E74A3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25,7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117D891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24,5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180175E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27,1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0B14CF0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25,7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</w:tcPr>
          <w:p w14:paraId="3856E42F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22,8</w:t>
            </w:r>
          </w:p>
        </w:tc>
        <w:tc>
          <w:tcPr>
            <w:tcW w:w="531" w:type="dxa"/>
            <w:gridSpan w:val="3"/>
            <w:shd w:val="clear" w:color="auto" w:fill="auto"/>
            <w:noWrap/>
            <w:vAlign w:val="center"/>
          </w:tcPr>
          <w:p w14:paraId="787CB21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 w:themeColor="text1"/>
                <w:sz w:val="18"/>
                <w:szCs w:val="18"/>
              </w:rPr>
              <w:t>22,0</w:t>
            </w:r>
          </w:p>
        </w:tc>
      </w:tr>
      <w:tr w:rsidR="00A92B50" w:rsidRPr="00D74D8D" w14:paraId="229BBE78" w14:textId="77777777" w:rsidTr="00C07EB3">
        <w:trPr>
          <w:trHeight w:val="20"/>
        </w:trPr>
        <w:tc>
          <w:tcPr>
            <w:tcW w:w="2306" w:type="dxa"/>
            <w:gridSpan w:val="3"/>
            <w:shd w:val="clear" w:color="auto" w:fill="auto"/>
            <w:vAlign w:val="center"/>
            <w:hideMark/>
          </w:tcPr>
          <w:p w14:paraId="59D4DAA0" w14:textId="4646DD75" w:rsidR="00A7195D" w:rsidRPr="00D74D8D" w:rsidRDefault="00A7195D" w:rsidP="00D74D8D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Terminowe regulowanie opłat związanych z</w:t>
            </w:r>
            <w:r w:rsid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 </w:t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mieszkaniem, spłatą rat i</w:t>
            </w:r>
            <w:r w:rsid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 </w:t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kredytów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5D4059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11,0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1E7470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11,0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09D855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10,3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611C06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20F5981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7,4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1E99023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5,5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84B8C9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55D830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F796FC6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5,1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0C1E7E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4,2</w:t>
            </w:r>
          </w:p>
        </w:tc>
        <w:tc>
          <w:tcPr>
            <w:tcW w:w="531" w:type="dxa"/>
            <w:gridSpan w:val="3"/>
            <w:shd w:val="clear" w:color="auto" w:fill="auto"/>
            <w:noWrap/>
            <w:vAlign w:val="center"/>
            <w:hideMark/>
          </w:tcPr>
          <w:p w14:paraId="29EA751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 2,8</w:t>
            </w:r>
          </w:p>
        </w:tc>
      </w:tr>
      <w:tr w:rsidR="00E707DE" w:rsidRPr="00D74D8D" w14:paraId="6C90B737" w14:textId="77777777" w:rsidTr="00C07EB3">
        <w:trPr>
          <w:trHeight w:val="20"/>
        </w:trPr>
        <w:tc>
          <w:tcPr>
            <w:tcW w:w="7937" w:type="dxa"/>
            <w:gridSpan w:val="46"/>
            <w:shd w:val="clear" w:color="auto" w:fill="auto"/>
            <w:vAlign w:val="center"/>
          </w:tcPr>
          <w:p w14:paraId="4BE6B3E8" w14:textId="175CCFDE" w:rsidR="00A7195D" w:rsidRPr="00D74D8D" w:rsidRDefault="00A7195D" w:rsidP="009203F6">
            <w:pPr>
              <w:spacing w:before="80" w:after="80" w:line="200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Arial"/>
                <w:b/>
                <w:bCs/>
                <w:color w:val="0A0A0A"/>
                <w:sz w:val="18"/>
                <w:szCs w:val="18"/>
              </w:rPr>
              <w:t xml:space="preserve">Potrzeby materialne </w:t>
            </w:r>
          </w:p>
        </w:tc>
      </w:tr>
      <w:tr w:rsidR="00B42820" w:rsidRPr="00D74D8D" w14:paraId="4BF8B8B2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vAlign w:val="center"/>
            <w:hideMark/>
          </w:tcPr>
          <w:p w14:paraId="06D198BE" w14:textId="1D747218" w:rsidR="00A7195D" w:rsidRPr="00D74D8D" w:rsidRDefault="00A7195D" w:rsidP="00B42820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Wymiana zniszczonych </w:t>
            </w:r>
            <w:r w:rsidR="00EE4AE5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br/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mebli 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1DD69E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27,8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6344AD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21,7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F28BD80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19,1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8FAC0B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17,2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6BF6DC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15,0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8E2D0C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13,2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06FE3D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12,0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F858E5F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12,6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1B39A5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11,5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235E96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9,6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29480BC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9,9</w:t>
            </w:r>
          </w:p>
        </w:tc>
      </w:tr>
      <w:tr w:rsidR="00B42820" w:rsidRPr="00D74D8D" w14:paraId="055A148E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noWrap/>
            <w:vAlign w:val="center"/>
            <w:hideMark/>
          </w:tcPr>
          <w:p w14:paraId="1FD2519E" w14:textId="5ACF5161" w:rsidR="00A7195D" w:rsidRPr="00D74D8D" w:rsidRDefault="00A7195D" w:rsidP="00D74D8D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Wymiana zużytej odzieży na</w:t>
            </w:r>
            <w:r w:rsid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 </w:t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nową 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291E2C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10,4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1B5D7F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82AF93F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8,2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73A8A98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87D3A86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6,4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73AF86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5,0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C594DF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5,3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9107A1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829504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4,4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3FA626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3,7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579EE23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3,7</w:t>
            </w:r>
          </w:p>
        </w:tc>
      </w:tr>
      <w:tr w:rsidR="00B42820" w:rsidRPr="00D74D8D" w14:paraId="51338158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vAlign w:val="center"/>
            <w:hideMark/>
          </w:tcPr>
          <w:p w14:paraId="6BD34F9E" w14:textId="1749B3F3" w:rsidR="00A7195D" w:rsidRPr="00D74D8D" w:rsidRDefault="00A7195D" w:rsidP="00B42820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Posiadanie przynajmniej dwóch par odpowiednio </w:t>
            </w:r>
            <w:r w:rsidR="00EE4AE5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br/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dopasowanego obuwia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4A25DE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3F94A5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DA6139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74A9133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2B1295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18BEA50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FA8D4A2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AF20EF6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334D17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C55148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0,8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17026042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0,8</w:t>
            </w:r>
          </w:p>
        </w:tc>
      </w:tr>
      <w:tr w:rsidR="00B42820" w:rsidRPr="00D74D8D" w14:paraId="20EBBA18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vAlign w:val="center"/>
            <w:hideMark/>
          </w:tcPr>
          <w:p w14:paraId="3FF5DDBE" w14:textId="018931B8" w:rsidR="00A7195D" w:rsidRPr="00D74D8D" w:rsidRDefault="00A7195D" w:rsidP="00B42820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Dostęp do samochodu </w:t>
            </w:r>
            <w:r w:rsidR="00EE4AE5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br/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w</w:t>
            </w:r>
            <w:r w:rsidR="00B42820"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 </w:t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celach prywatnych 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648948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9768BA2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3D78D1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F4D3B0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0DF06F6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5,5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71AEFC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F6D41B2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D7DF711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47C4A3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7F386111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3,5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30F0CCC0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3,5</w:t>
            </w:r>
          </w:p>
        </w:tc>
      </w:tr>
      <w:tr w:rsidR="00B42820" w:rsidRPr="00D74D8D" w14:paraId="4CFE9B6F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noWrap/>
            <w:vAlign w:val="center"/>
            <w:hideMark/>
          </w:tcPr>
          <w:p w14:paraId="0E4EE41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Dostęp do Internetu 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3920BA0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4,1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4D4997F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B11629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50049AC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71706E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970A75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1D0326F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B2B9BE6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3089CA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0,8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C6E5AD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0,8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109F5EA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0,6</w:t>
            </w:r>
          </w:p>
        </w:tc>
      </w:tr>
      <w:tr w:rsidR="00E707DE" w:rsidRPr="00D74D8D" w14:paraId="67CF8D2F" w14:textId="77777777" w:rsidTr="00C07EB3">
        <w:trPr>
          <w:trHeight w:val="20"/>
        </w:trPr>
        <w:tc>
          <w:tcPr>
            <w:tcW w:w="7937" w:type="dxa"/>
            <w:gridSpan w:val="46"/>
            <w:shd w:val="clear" w:color="auto" w:fill="auto"/>
            <w:vAlign w:val="center"/>
          </w:tcPr>
          <w:p w14:paraId="5E9DD3B4" w14:textId="74D27BF9" w:rsidR="00A7195D" w:rsidRPr="00D74D8D" w:rsidRDefault="00A7195D" w:rsidP="00947024">
            <w:pPr>
              <w:spacing w:before="80" w:after="80" w:line="200" w:lineRule="exact"/>
              <w:jc w:val="center"/>
              <w:rPr>
                <w:rFonts w:eastAsia="Times New Roman" w:cs="Arial"/>
                <w:b/>
                <w:bCs/>
                <w:color w:val="0A0A0A"/>
                <w:sz w:val="18"/>
                <w:szCs w:val="18"/>
              </w:rPr>
            </w:pPr>
            <w:r w:rsidRPr="00D74D8D">
              <w:rPr>
                <w:rFonts w:eastAsia="Times New Roman" w:cs="Arial"/>
                <w:b/>
                <w:bCs/>
                <w:color w:val="0A0A0A"/>
                <w:sz w:val="18"/>
                <w:szCs w:val="18"/>
              </w:rPr>
              <w:t xml:space="preserve">Potrzeby społeczne </w:t>
            </w:r>
          </w:p>
        </w:tc>
      </w:tr>
      <w:tr w:rsidR="00E707DE" w:rsidRPr="00D74D8D" w14:paraId="3D446AC0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vAlign w:val="center"/>
            <w:hideMark/>
          </w:tcPr>
          <w:p w14:paraId="20683A63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 xml:space="preserve">Wydawanie raz w tygodniu niewielkiej sumy pieniędzy na własne potrzeby 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994BA8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12,8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9C4FA0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4B9AE3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11,9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725D90F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11,8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A8ECF1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10,3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3AB4EF1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7E00461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9,4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B8EF38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8,5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6220511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2295AD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8,1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478E684F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6,8</w:t>
            </w:r>
          </w:p>
        </w:tc>
      </w:tr>
      <w:tr w:rsidR="00E707DE" w:rsidRPr="00D74D8D" w14:paraId="1B19AB3A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vAlign w:val="center"/>
            <w:hideMark/>
          </w:tcPr>
          <w:p w14:paraId="04C02F9B" w14:textId="19240C70" w:rsidR="00A7195D" w:rsidRPr="00D74D8D" w:rsidRDefault="00A7195D" w:rsidP="00D74D8D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Spotykanie się co najmniej raz w miesiącu z</w:t>
            </w:r>
            <w:r w:rsid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 </w:t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przyjaciółmi/rodziną na</w:t>
            </w:r>
            <w:r w:rsid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 </w:t>
            </w:r>
            <w:r w:rsidRPr="00D74D8D">
              <w:rPr>
                <w:rFonts w:eastAsia="Times New Roman" w:cs="Calibri"/>
                <w:color w:val="000000"/>
                <w:spacing w:val="-4"/>
                <w:sz w:val="18"/>
                <w:szCs w:val="18"/>
              </w:rPr>
              <w:t>posiłku/drinku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BEEF75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10,2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7993C0FC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7,2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45F717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6,8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C90CE0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A3DB12C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5,3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BC2C6C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A50289D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032FFF4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4,8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4F92033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4,9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F922B13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4,1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158B466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3,4</w:t>
            </w:r>
          </w:p>
        </w:tc>
      </w:tr>
      <w:tr w:rsidR="00E707DE" w:rsidRPr="00D74D8D" w14:paraId="6F58F5B1" w14:textId="77777777" w:rsidTr="00C07EB3">
        <w:trPr>
          <w:trHeight w:val="20"/>
        </w:trPr>
        <w:tc>
          <w:tcPr>
            <w:tcW w:w="7937" w:type="dxa"/>
            <w:gridSpan w:val="46"/>
            <w:shd w:val="clear" w:color="auto" w:fill="auto"/>
            <w:vAlign w:val="center"/>
          </w:tcPr>
          <w:p w14:paraId="42CA8B90" w14:textId="77777777" w:rsidR="00A7195D" w:rsidRPr="00D74D8D" w:rsidRDefault="00A7195D" w:rsidP="00CD1AD0">
            <w:pPr>
              <w:spacing w:before="80" w:after="80" w:line="200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Arial"/>
                <w:b/>
                <w:bCs/>
                <w:color w:val="0A0A0A"/>
                <w:sz w:val="18"/>
                <w:szCs w:val="18"/>
              </w:rPr>
              <w:t>Potrzeby wypoczynkowe</w:t>
            </w:r>
          </w:p>
        </w:tc>
      </w:tr>
      <w:tr w:rsidR="006236F6" w:rsidRPr="006236F6" w14:paraId="7106F403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vAlign w:val="center"/>
            <w:hideMark/>
          </w:tcPr>
          <w:p w14:paraId="42D6741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Opłacenie tygodniowego wyjazdu wszystkich członków gospodarstwa</w:t>
            </w: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domowego na wypoczynek raz w roku 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830B30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44,0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F510C7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41,2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358849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38,4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5E3F172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34,6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4B272A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33,2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2CE5ABD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29,4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1FE26E9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26,5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E2756EB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27,6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63E378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27,6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BE55C28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25,5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590D5F1E" w14:textId="77777777" w:rsidR="00A7195D" w:rsidRPr="006236F6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6236F6">
              <w:rPr>
                <w:rFonts w:eastAsia="Times New Roman" w:cs="Calibri"/>
                <w:color w:val="000000" w:themeColor="text1"/>
                <w:sz w:val="18"/>
                <w:szCs w:val="18"/>
              </w:rPr>
              <w:t>24,4</w:t>
            </w:r>
          </w:p>
        </w:tc>
      </w:tr>
      <w:tr w:rsidR="00CD1AD0" w:rsidRPr="00D74D8D" w14:paraId="2EBCEFCF" w14:textId="77777777" w:rsidTr="00C07EB3">
        <w:trPr>
          <w:trHeight w:val="20"/>
        </w:trPr>
        <w:tc>
          <w:tcPr>
            <w:tcW w:w="2319" w:type="dxa"/>
            <w:gridSpan w:val="4"/>
            <w:shd w:val="clear" w:color="auto" w:fill="auto"/>
            <w:vAlign w:val="center"/>
            <w:hideMark/>
          </w:tcPr>
          <w:p w14:paraId="32CC096E" w14:textId="5C56C2D1" w:rsidR="00A7195D" w:rsidRPr="00D74D8D" w:rsidRDefault="00A7195D" w:rsidP="00D74D8D">
            <w:pPr>
              <w:spacing w:before="60" w:after="60" w:line="200" w:lineRule="exact"/>
              <w:ind w:left="-57" w:right="-57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>Regularne uczestnictwo w</w:t>
            </w:r>
            <w:r w:rsidR="00D74D8D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  <w:r w:rsidRPr="00D74D8D">
              <w:rPr>
                <w:rFonts w:eastAsia="Times New Roman" w:cs="Calibri"/>
                <w:color w:val="000000"/>
                <w:sz w:val="18"/>
                <w:szCs w:val="18"/>
              </w:rPr>
              <w:t xml:space="preserve">różnych formach spędzania czasu wolnego 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5892A1F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18,6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C5D6FBC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14,6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77942655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13,3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098F7D13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12,4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0BDEE7C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10,7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7172E7C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8,0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6033C51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8,7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D1CFBEA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9,0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1BF923D1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9,5</w:t>
            </w:r>
          </w:p>
        </w:tc>
        <w:tc>
          <w:tcPr>
            <w:tcW w:w="510" w:type="dxa"/>
            <w:gridSpan w:val="4"/>
            <w:shd w:val="clear" w:color="auto" w:fill="auto"/>
            <w:noWrap/>
            <w:vAlign w:val="center"/>
            <w:hideMark/>
          </w:tcPr>
          <w:p w14:paraId="3FDFBA4E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8,0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center"/>
            <w:hideMark/>
          </w:tcPr>
          <w:p w14:paraId="04FB10B7" w14:textId="77777777" w:rsidR="00A7195D" w:rsidRPr="00D74D8D" w:rsidRDefault="00A7195D" w:rsidP="00B42820">
            <w:pPr>
              <w:spacing w:before="60" w:after="60" w:line="200" w:lineRule="exact"/>
              <w:ind w:left="-57" w:right="-57"/>
              <w:jc w:val="right"/>
              <w:rPr>
                <w:rFonts w:eastAsia="Times New Roman" w:cs="Calibri"/>
                <w:sz w:val="18"/>
                <w:szCs w:val="18"/>
              </w:rPr>
            </w:pPr>
            <w:r w:rsidRPr="00D74D8D">
              <w:rPr>
                <w:rFonts w:eastAsia="Times New Roman" w:cs="Calibri"/>
                <w:sz w:val="18"/>
                <w:szCs w:val="18"/>
              </w:rPr>
              <w:t>6,9</w:t>
            </w:r>
          </w:p>
        </w:tc>
      </w:tr>
    </w:tbl>
    <w:p w14:paraId="019FCF48" w14:textId="1B9E96F4" w:rsidR="00DE0294" w:rsidRPr="00EE36F8" w:rsidRDefault="007732D0" w:rsidP="00F81573">
      <w:pPr>
        <w:shd w:val="clear" w:color="auto" w:fill="FFFFFF"/>
        <w:spacing w:line="288" w:lineRule="auto"/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</w:pPr>
      <w:r>
        <w:rPr>
          <w:rFonts w:cs="Times New Roman"/>
          <w:bCs/>
          <w:noProof/>
          <w:color w:val="000000" w:themeColor="text1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5E1543" wp14:editId="6D1FF7FC">
                <wp:simplePos x="0" y="0"/>
                <wp:positionH relativeFrom="column">
                  <wp:posOffset>5348605</wp:posOffset>
                </wp:positionH>
                <wp:positionV relativeFrom="paragraph">
                  <wp:posOffset>727710</wp:posOffset>
                </wp:positionV>
                <wp:extent cx="1620000" cy="1420239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420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620DF" w14:textId="32AF931B" w:rsidR="00521023" w:rsidRPr="00831131" w:rsidRDefault="00521023" w:rsidP="00F81573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Spadek odsetka osób, których nie było stać </w:t>
                            </w:r>
                            <w:r w:rsidR="00943AAE">
                              <w:rPr>
                                <w:color w:val="001D77"/>
                                <w:sz w:val="18"/>
                                <w:szCs w:val="18"/>
                              </w:rPr>
                              <w:t>na </w:t>
                            </w: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tygodniowy wyjazd, z </w:t>
                            </w:r>
                            <w:r w:rsidRPr="00831131">
                              <w:rPr>
                                <w:rStyle w:val="Pogrubienie"/>
                                <w:rFonts w:cs="Arial"/>
                                <w:b w:val="0"/>
                                <w:color w:val="001D77"/>
                                <w:sz w:val="18"/>
                                <w:szCs w:val="18"/>
                              </w:rPr>
                              <w:t>44,0%</w:t>
                            </w:r>
                            <w:r w:rsidRPr="00831131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  <w:t xml:space="preserve"> w 2015 roku </w:t>
                            </w:r>
                            <w:r w:rsidR="00943AAE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  <w:t>do </w:t>
                            </w:r>
                            <w:r w:rsidRPr="00831131">
                              <w:rPr>
                                <w:rStyle w:val="Pogrubienie"/>
                                <w:rFonts w:cs="Arial"/>
                                <w:b w:val="0"/>
                                <w:color w:val="001D77"/>
                                <w:sz w:val="18"/>
                                <w:szCs w:val="18"/>
                              </w:rPr>
                              <w:t>24,4%</w:t>
                            </w:r>
                            <w:r w:rsidRPr="00831131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  <w:t> w 2025 roku wskazuje na niemal  dwukrotną poprawę dostępności wypoczynku.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1543" id="Pole tekstowe 7" o:spid="_x0000_s1028" type="#_x0000_t202" style="position:absolute;margin-left:421.15pt;margin-top:57.3pt;width:127.55pt;height:1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" filled="f" stroked="f" strokeweight=".5pt">
                <v:textbox>
                  <w:txbxContent>
                    <w:p w14:paraId="141620DF" w14:textId="32AF931B" w:rsidR="00521023" w:rsidRPr="00831131" w:rsidRDefault="00521023" w:rsidP="00F81573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 xml:space="preserve">Spadek odsetka osób, których nie było stać </w:t>
                      </w:r>
                      <w:r w:rsidR="00943AAE">
                        <w:rPr>
                          <w:color w:val="001D77"/>
                          <w:sz w:val="18"/>
                          <w:szCs w:val="18"/>
                        </w:rPr>
                        <w:t>na </w:t>
                      </w: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tygodniowy wyjazd, z </w:t>
                      </w:r>
                      <w:r w:rsidRPr="00831131">
                        <w:rPr>
                          <w:rStyle w:val="Pogrubienie"/>
                          <w:rFonts w:cs="Arial"/>
                          <w:b w:val="0"/>
                          <w:color w:val="001D77"/>
                          <w:sz w:val="18"/>
                          <w:szCs w:val="18"/>
                        </w:rPr>
                        <w:t>44,0%</w:t>
                      </w:r>
                      <w:r w:rsidRPr="00831131">
                        <w:rPr>
                          <w:rFonts w:cs="Arial"/>
                          <w:color w:val="001D77"/>
                          <w:sz w:val="18"/>
                          <w:szCs w:val="18"/>
                        </w:rPr>
                        <w:t xml:space="preserve"> w 2015 roku </w:t>
                      </w:r>
                      <w:r w:rsidR="00943AAE">
                        <w:rPr>
                          <w:rFonts w:cs="Arial"/>
                          <w:color w:val="001D77"/>
                          <w:sz w:val="18"/>
                          <w:szCs w:val="18"/>
                        </w:rPr>
                        <w:t>do </w:t>
                      </w:r>
                      <w:r w:rsidRPr="00831131">
                        <w:rPr>
                          <w:rStyle w:val="Pogrubienie"/>
                          <w:rFonts w:cs="Arial"/>
                          <w:b w:val="0"/>
                          <w:color w:val="001D77"/>
                          <w:sz w:val="18"/>
                          <w:szCs w:val="18"/>
                        </w:rPr>
                        <w:t>24,4%</w:t>
                      </w:r>
                      <w:r w:rsidRPr="00831131">
                        <w:rPr>
                          <w:rFonts w:cs="Arial"/>
                          <w:color w:val="001D77"/>
                          <w:sz w:val="18"/>
                          <w:szCs w:val="18"/>
                        </w:rPr>
                        <w:t> w 2025 roku wskazuje na niemal  dwukrotną poprawę dostępności wypoczynku.</w:t>
                      </w:r>
                    </w:p>
                  </w:txbxContent>
                </v:textbox>
              </v:shape>
            </w:pict>
          </mc:Fallback>
        </mc:AlternateContent>
      </w:r>
      <w:r w:rsidR="00DE0294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W latach 2015–2025 nastąpiła wyraźna poprawa sytuacji finansowej części polskich </w:t>
      </w:r>
      <w:proofErr w:type="spellStart"/>
      <w:r w:rsidR="00DE0294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gospo</w:t>
      </w:r>
      <w:r w:rsidR="00C07EB3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-</w:t>
      </w:r>
      <w:r w:rsidR="00DE0294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darstw</w:t>
      </w:r>
      <w:proofErr w:type="spellEnd"/>
      <w:r w:rsidR="00DE0294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domowych, przejawiająca się spadkiem odsetka osób zmagających się z</w:t>
      </w:r>
      <w:r w:rsidR="00D74D8D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 </w:t>
      </w:r>
      <w:proofErr w:type="spellStart"/>
      <w:r w:rsidR="00DE0294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ogranicze</w:t>
      </w:r>
      <w:r w:rsidR="00C07EB3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-</w:t>
      </w:r>
      <w:r w:rsidR="00DE0294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niami</w:t>
      </w:r>
      <w:proofErr w:type="spellEnd"/>
      <w:r w:rsidR="00DE0294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w zaspokajaniu potrzeb z zakresu ujętego we wskaźniku </w:t>
      </w:r>
      <w:r w:rsidR="00EE36F8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pogłębionej </w:t>
      </w:r>
      <w:r w:rsidR="00DE0294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deprywacji materialnej i społecznej.</w:t>
      </w:r>
    </w:p>
    <w:p w14:paraId="1FED2688" w14:textId="516EAE04" w:rsidR="00DE0294" w:rsidRPr="00EE36F8" w:rsidRDefault="00DE0294" w:rsidP="00F81573">
      <w:pPr>
        <w:shd w:val="clear" w:color="auto" w:fill="FFFFFF"/>
        <w:spacing w:line="288" w:lineRule="auto"/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</w:pP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Największe średnioroczne spadki</w:t>
      </w:r>
      <w:r w:rsidR="00816A15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odsetk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a osób, których nie było stać na zaspokojenie określonych potrzeb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odnotowano w obszarach, które w 2015 roku były najtrudniejsze do</w:t>
      </w:r>
      <w:r w:rsidR="006863E6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 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zrealizowania. Odsetek osób, które nie mogły pozwolić sobie na</w:t>
      </w:r>
      <w:r w:rsidR="00D74D8D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 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tygodniowy wyjazd </w:t>
      </w:r>
      <w:r w:rsidR="006863E6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na 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wakacje spadał najszybciej,</w:t>
      </w:r>
      <w:r w:rsidR="00CA3D1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osiągając w 2025 roku poziom 24,4%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mimo że</w:t>
      </w:r>
      <w:r w:rsidR="007C1866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,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w 2015 r. problem ten dotyczył 44</w:t>
      </w:r>
      <w:r w:rsidR="009D5A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,0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% osób. Drugą potrzebą, w której nastąpiła największa poprawa było pokrycie niespodziewanego wydatku</w:t>
      </w:r>
      <w:r w:rsidR="00BB1DF6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. W 2025 r. odsetek osób nie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mog</w:t>
      </w:r>
      <w:r w:rsidR="00E355B5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ą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c</w:t>
      </w:r>
      <w:r w:rsidR="00E355B5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y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ch zaspokoić potrzeb w tym obszarze wyniósł</w:t>
      </w:r>
      <w:r w:rsidR="005F01AF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22</w:t>
      </w:r>
      <w:r w:rsidR="00020559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,0</w:t>
      </w:r>
      <w:r w:rsidR="005F01AF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%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w porównaniu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 42,3% 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w 2015</w:t>
      </w:r>
      <w:r w:rsidR="00670ECC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r.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Oznacza to, że </w:t>
      </w:r>
      <w:proofErr w:type="spellStart"/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gospo</w:t>
      </w:r>
      <w:r w:rsidR="00F806A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-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darstwa</w:t>
      </w:r>
      <w:proofErr w:type="spellEnd"/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domowe w analizowanym okresie </w:t>
      </w:r>
      <w:r w:rsidR="005D06AB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zys</w:t>
      </w:r>
      <w:r w:rsidR="005D06AB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kał</w:t>
      </w:r>
      <w:r w:rsidR="005D06AB"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y </w:t>
      </w:r>
      <w:r w:rsidRPr="00EE36F8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większą stabilność finansową, pozwalającą na zaspokojenie nie tylko najbardziej palących potrzeb konsumpcyjnych.</w:t>
      </w:r>
    </w:p>
    <w:p w14:paraId="62C4422E" w14:textId="0D3859FE" w:rsidR="00851E70" w:rsidRDefault="00126487" w:rsidP="00F81573">
      <w:pPr>
        <w:shd w:val="clear" w:color="auto" w:fill="FFFFFF"/>
        <w:spacing w:line="288" w:lineRule="auto"/>
        <w:rPr>
          <w:rFonts w:eastAsia="Times New Roman" w:cs="Arial"/>
          <w:bCs/>
          <w:color w:val="0A0A0A"/>
          <w:szCs w:val="19"/>
        </w:rPr>
      </w:pP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Analizowany przedział czasu</w:t>
      </w:r>
      <w:r w:rsidR="00DE0294"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charakteryzował się </w:t>
      </w:r>
      <w:r w:rsidR="00D20ACD">
        <w:t>zróżnicowanym tempem spadku</w:t>
      </w:r>
      <w:r w:rsidR="00DE0294"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. Można go</w:t>
      </w:r>
      <w:r w:rsidR="006863E6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="00DE0294"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podzielić na </w:t>
      </w:r>
      <w:r w:rsidR="005D06AB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dwa okresy. Pierwszy</w:t>
      </w:r>
      <w:r w:rsidR="008B18B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="008B18B8">
        <w:rPr>
          <w:rFonts w:eastAsia="Times New Roman" w:cs="Arial"/>
          <w:color w:val="0A0A0A"/>
          <w:szCs w:val="19"/>
        </w:rPr>
        <w:t>charakteryzował</w:t>
      </w:r>
      <w:r w:rsidR="00DE0294" w:rsidRPr="00EE36F8">
        <w:rPr>
          <w:rFonts w:eastAsia="Times New Roman" w:cs="Arial"/>
          <w:color w:val="0A0A0A"/>
          <w:szCs w:val="19"/>
        </w:rPr>
        <w:t xml:space="preserve"> się poprawą sytuacji</w:t>
      </w:r>
      <w:r w:rsidR="003D22D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(lata 2015–</w:t>
      </w:r>
      <w:r w:rsidR="00DE0294"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2020)</w:t>
      </w:r>
      <w:r w:rsidR="00DE0294" w:rsidRPr="00EE36F8">
        <w:rPr>
          <w:rFonts w:eastAsia="Times New Roman" w:cs="Arial"/>
          <w:color w:val="0A0A0A"/>
          <w:szCs w:val="19"/>
        </w:rPr>
        <w:t xml:space="preserve">, tj. spadkiem </w:t>
      </w:r>
      <w:r w:rsidR="0091170E">
        <w:rPr>
          <w:rFonts w:eastAsia="Times New Roman" w:cs="Arial"/>
          <w:color w:val="0A0A0A"/>
          <w:szCs w:val="19"/>
        </w:rPr>
        <w:t>lub stabilizacją</w:t>
      </w:r>
      <w:r w:rsidR="00DE0294" w:rsidRPr="00EE36F8">
        <w:rPr>
          <w:rFonts w:eastAsia="Times New Roman" w:cs="Arial"/>
          <w:color w:val="0A0A0A"/>
          <w:szCs w:val="19"/>
        </w:rPr>
        <w:t xml:space="preserve"> odsetka osób deklarujących niemożność zaspokojenia potrzeb z</w:t>
      </w:r>
      <w:r w:rsidR="006863E6">
        <w:rPr>
          <w:rFonts w:eastAsia="Times New Roman" w:cs="Arial"/>
          <w:color w:val="0A0A0A"/>
          <w:szCs w:val="19"/>
        </w:rPr>
        <w:t> </w:t>
      </w:r>
      <w:r w:rsidR="00DE0294" w:rsidRPr="00EE36F8">
        <w:rPr>
          <w:rFonts w:eastAsia="Times New Roman" w:cs="Arial"/>
          <w:color w:val="0A0A0A"/>
          <w:szCs w:val="19"/>
        </w:rPr>
        <w:t>powodów finansowych. Dotyczyło to niemal wszystkich analizowanych potrzeb</w:t>
      </w:r>
      <w:r w:rsidR="0091170E">
        <w:rPr>
          <w:rFonts w:eastAsia="Times New Roman" w:cs="Arial"/>
          <w:color w:val="0A0A0A"/>
          <w:szCs w:val="19"/>
        </w:rPr>
        <w:t>.</w:t>
      </w:r>
      <w:r w:rsidR="00DE0294" w:rsidRPr="00EE36F8">
        <w:rPr>
          <w:rFonts w:eastAsia="Times New Roman" w:cs="Arial"/>
          <w:bCs/>
          <w:color w:val="0A0A0A"/>
          <w:szCs w:val="19"/>
        </w:rPr>
        <w:t xml:space="preserve"> </w:t>
      </w:r>
    </w:p>
    <w:p w14:paraId="60A23BCE" w14:textId="038581DB" w:rsidR="00DE0294" w:rsidRPr="00EE36F8" w:rsidRDefault="0091170E" w:rsidP="00F81573">
      <w:pPr>
        <w:shd w:val="clear" w:color="auto" w:fill="FFFFFF"/>
        <w:spacing w:line="288" w:lineRule="auto"/>
        <w:rPr>
          <w:rFonts w:eastAsia="Times New Roman" w:cs="Arial"/>
          <w:color w:val="0A0A0A"/>
          <w:szCs w:val="19"/>
        </w:rPr>
      </w:pPr>
      <w:r>
        <w:rPr>
          <w:rFonts w:eastAsia="Times New Roman" w:cs="Arial"/>
          <w:color w:val="0A0A0A"/>
          <w:szCs w:val="19"/>
        </w:rPr>
        <w:t xml:space="preserve">Szczególnie wysoką dynamikę spadku </w:t>
      </w:r>
      <w:r w:rsidR="00DE0294" w:rsidRPr="00EE36F8">
        <w:rPr>
          <w:rFonts w:eastAsia="Times New Roman" w:cs="Arial"/>
          <w:bCs/>
          <w:color w:val="0A0A0A"/>
          <w:szCs w:val="19"/>
        </w:rPr>
        <w:t xml:space="preserve">(średnio rocznie powyżej 2%) </w:t>
      </w:r>
      <w:r w:rsidR="00DE0294" w:rsidRPr="00EE36F8">
        <w:rPr>
          <w:rFonts w:eastAsia="Times New Roman" w:cs="Arial"/>
          <w:color w:val="0A0A0A"/>
          <w:szCs w:val="19"/>
        </w:rPr>
        <w:t xml:space="preserve">niemożności </w:t>
      </w:r>
      <w:proofErr w:type="spellStart"/>
      <w:r w:rsidR="00DE0294" w:rsidRPr="00EE36F8">
        <w:rPr>
          <w:rFonts w:eastAsia="Times New Roman" w:cs="Arial"/>
          <w:color w:val="0A0A0A"/>
          <w:szCs w:val="19"/>
        </w:rPr>
        <w:t>zaspoko</w:t>
      </w:r>
      <w:r w:rsidR="00EB6A0B">
        <w:rPr>
          <w:rFonts w:eastAsia="Times New Roman" w:cs="Arial"/>
          <w:color w:val="0A0A0A"/>
          <w:szCs w:val="19"/>
        </w:rPr>
        <w:t>-</w:t>
      </w:r>
      <w:r w:rsidR="00DE0294" w:rsidRPr="00EE36F8">
        <w:rPr>
          <w:rFonts w:eastAsia="Times New Roman" w:cs="Arial"/>
          <w:color w:val="0A0A0A"/>
          <w:szCs w:val="19"/>
        </w:rPr>
        <w:t>jenia</w:t>
      </w:r>
      <w:proofErr w:type="spellEnd"/>
      <w:r w:rsidR="00DE0294" w:rsidRPr="00EE36F8">
        <w:rPr>
          <w:rFonts w:eastAsia="Times New Roman" w:cs="Arial"/>
          <w:color w:val="0A0A0A"/>
          <w:szCs w:val="19"/>
        </w:rPr>
        <w:t xml:space="preserve"> następujących potrzeb</w:t>
      </w:r>
      <w:r>
        <w:rPr>
          <w:rFonts w:eastAsia="Times New Roman" w:cs="Arial"/>
          <w:color w:val="0A0A0A"/>
          <w:szCs w:val="19"/>
        </w:rPr>
        <w:t xml:space="preserve"> zanotowano w następujących o</w:t>
      </w:r>
      <w:r w:rsidR="001F2390">
        <w:rPr>
          <w:rFonts w:eastAsia="Times New Roman" w:cs="Arial"/>
          <w:color w:val="0A0A0A"/>
          <w:szCs w:val="19"/>
        </w:rPr>
        <w:t>b</w:t>
      </w:r>
      <w:r>
        <w:rPr>
          <w:rFonts w:eastAsia="Times New Roman" w:cs="Arial"/>
          <w:color w:val="0A0A0A"/>
          <w:szCs w:val="19"/>
        </w:rPr>
        <w:t>szarach</w:t>
      </w:r>
      <w:r w:rsidR="00DE0294" w:rsidRPr="00EE36F8">
        <w:rPr>
          <w:rFonts w:eastAsia="Times New Roman" w:cs="Arial"/>
          <w:color w:val="0A0A0A"/>
          <w:szCs w:val="19"/>
        </w:rPr>
        <w:t>:</w:t>
      </w:r>
    </w:p>
    <w:p w14:paraId="4ADD3683" w14:textId="4583DFE3" w:rsidR="00DE0294" w:rsidRPr="00EE36F8" w:rsidRDefault="00DE0294" w:rsidP="00F81573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284" w:hanging="284"/>
        <w:rPr>
          <w:rFonts w:eastAsia="Times New Roman" w:cs="Arial"/>
          <w:color w:val="0A0A0A"/>
          <w:szCs w:val="19"/>
        </w:rPr>
      </w:pPr>
      <w:r w:rsidRPr="00EE36F8">
        <w:rPr>
          <w:rFonts w:eastAsia="Times New Roman" w:cs="Arial"/>
          <w:color w:val="0A0A0A"/>
          <w:szCs w:val="19"/>
        </w:rPr>
        <w:t>pokrycie niespodziewanego wydatku (spadek średnio o </w:t>
      </w:r>
      <w:r w:rsidRPr="00EE36F8">
        <w:rPr>
          <w:rFonts w:eastAsia="Times New Roman" w:cs="Arial"/>
          <w:bCs/>
          <w:color w:val="0A0A0A"/>
          <w:szCs w:val="19"/>
        </w:rPr>
        <w:t>3,3%</w:t>
      </w:r>
      <w:r w:rsidR="00DB2D88">
        <w:rPr>
          <w:rFonts w:eastAsia="Times New Roman" w:cs="Arial"/>
          <w:color w:val="0A0A0A"/>
          <w:szCs w:val="19"/>
        </w:rPr>
        <w:t> rocznie),</w:t>
      </w:r>
    </w:p>
    <w:p w14:paraId="23810FEA" w14:textId="3F4655C5" w:rsidR="00DE0294" w:rsidRPr="00EE36F8" w:rsidRDefault="00DE0294" w:rsidP="00F81573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284" w:hanging="284"/>
        <w:rPr>
          <w:rFonts w:eastAsia="Times New Roman" w:cs="Arial"/>
          <w:color w:val="0A0A0A"/>
          <w:szCs w:val="19"/>
        </w:rPr>
      </w:pPr>
      <w:r w:rsidRPr="00EE36F8">
        <w:rPr>
          <w:rFonts w:eastAsia="Times New Roman" w:cs="Arial"/>
          <w:color w:val="0A0A0A"/>
          <w:szCs w:val="19"/>
        </w:rPr>
        <w:t>opłacenie tygodniowego wyjazdu na wypoczynek (spadek średnio o </w:t>
      </w:r>
      <w:r w:rsidRPr="00EE36F8">
        <w:rPr>
          <w:rFonts w:eastAsia="Times New Roman" w:cs="Arial"/>
          <w:bCs/>
          <w:color w:val="0A0A0A"/>
          <w:szCs w:val="19"/>
        </w:rPr>
        <w:t>2,9%</w:t>
      </w:r>
      <w:r w:rsidRPr="00EE36F8">
        <w:rPr>
          <w:rFonts w:eastAsia="Times New Roman" w:cs="Arial"/>
          <w:color w:val="0A0A0A"/>
          <w:szCs w:val="19"/>
        </w:rPr>
        <w:t> roc</w:t>
      </w:r>
      <w:r w:rsidR="00DB2D88">
        <w:rPr>
          <w:rFonts w:eastAsia="Times New Roman" w:cs="Arial"/>
          <w:color w:val="0A0A0A"/>
          <w:szCs w:val="19"/>
        </w:rPr>
        <w:t>znie),</w:t>
      </w:r>
    </w:p>
    <w:p w14:paraId="294C530F" w14:textId="48FF2E2E" w:rsidR="00DE0294" w:rsidRPr="00EE36F8" w:rsidRDefault="00DE0294" w:rsidP="00F81573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284" w:hanging="284"/>
        <w:rPr>
          <w:rFonts w:eastAsia="Times New Roman" w:cs="Arial"/>
          <w:color w:val="0A0A0A"/>
          <w:szCs w:val="19"/>
        </w:rPr>
      </w:pPr>
      <w:r w:rsidRPr="00EE36F8">
        <w:rPr>
          <w:rFonts w:eastAsia="Times New Roman" w:cs="Arial"/>
          <w:color w:val="0A0A0A"/>
          <w:szCs w:val="19"/>
        </w:rPr>
        <w:t>wymiana zniszczonych mebli (spadek średnio o </w:t>
      </w:r>
      <w:r w:rsidRPr="00EE36F8">
        <w:rPr>
          <w:rFonts w:eastAsia="Times New Roman" w:cs="Arial"/>
          <w:bCs/>
          <w:color w:val="0A0A0A"/>
          <w:szCs w:val="19"/>
        </w:rPr>
        <w:t>2,9%</w:t>
      </w:r>
      <w:r w:rsidR="00DB2D88">
        <w:rPr>
          <w:rFonts w:eastAsia="Times New Roman" w:cs="Arial"/>
          <w:color w:val="0A0A0A"/>
          <w:szCs w:val="19"/>
        </w:rPr>
        <w:t> rocznie),</w:t>
      </w:r>
    </w:p>
    <w:p w14:paraId="701B3220" w14:textId="5108E125" w:rsidR="00DE0294" w:rsidRDefault="00DE0294" w:rsidP="00F81573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284" w:hanging="284"/>
        <w:rPr>
          <w:rFonts w:eastAsia="Times New Roman" w:cs="Arial"/>
          <w:color w:val="0A0A0A"/>
          <w:szCs w:val="19"/>
        </w:rPr>
      </w:pPr>
      <w:r w:rsidRPr="00EE36F8">
        <w:rPr>
          <w:rFonts w:eastAsia="Times New Roman" w:cs="Arial"/>
          <w:color w:val="0A0A0A"/>
          <w:szCs w:val="19"/>
        </w:rPr>
        <w:t xml:space="preserve">regularne uczestnictwo 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 różnych formach spędzania czasu wolnego</w:t>
      </w:r>
      <w:r w:rsidRPr="00EE36F8">
        <w:rPr>
          <w:rFonts w:eastAsia="Times New Roman" w:cs="Arial"/>
          <w:color w:val="0A0A0A"/>
          <w:szCs w:val="19"/>
        </w:rPr>
        <w:t xml:space="preserve"> (spadek średnio o </w:t>
      </w:r>
      <w:r w:rsidRPr="00EE36F8">
        <w:rPr>
          <w:rFonts w:eastAsia="Times New Roman" w:cs="Arial"/>
          <w:bCs/>
          <w:color w:val="0A0A0A"/>
          <w:szCs w:val="19"/>
        </w:rPr>
        <w:t>2,1%</w:t>
      </w:r>
      <w:r w:rsidRPr="00EE36F8">
        <w:rPr>
          <w:rFonts w:eastAsia="Times New Roman" w:cs="Arial"/>
          <w:color w:val="0A0A0A"/>
          <w:szCs w:val="19"/>
        </w:rPr>
        <w:t> rocznie).</w:t>
      </w:r>
    </w:p>
    <w:p w14:paraId="08D29F2E" w14:textId="693030BA" w:rsidR="0091170E" w:rsidRPr="00BD3A8B" w:rsidRDefault="0091170E" w:rsidP="00F81573">
      <w:pPr>
        <w:shd w:val="clear" w:color="auto" w:fill="FFFFFF"/>
        <w:spacing w:line="288" w:lineRule="auto"/>
        <w:rPr>
          <w:rFonts w:eastAsia="Times New Roman" w:cs="Arial"/>
          <w:bCs/>
          <w:color w:val="0A0A0A"/>
          <w:szCs w:val="19"/>
        </w:rPr>
      </w:pPr>
      <w:r>
        <w:rPr>
          <w:rFonts w:eastAsia="Times New Roman" w:cs="Arial"/>
          <w:color w:val="0A0A0A"/>
          <w:szCs w:val="19"/>
        </w:rPr>
        <w:t xml:space="preserve">W tym okresie </w:t>
      </w:r>
      <w:r w:rsidRPr="00BD3A8B">
        <w:rPr>
          <w:rFonts w:eastAsia="Times New Roman" w:cs="Arial"/>
          <w:color w:val="0A0A0A"/>
          <w:szCs w:val="19"/>
        </w:rPr>
        <w:t>wyjąt</w:t>
      </w:r>
      <w:r>
        <w:rPr>
          <w:rFonts w:eastAsia="Times New Roman" w:cs="Arial"/>
          <w:color w:val="0A0A0A"/>
          <w:szCs w:val="19"/>
        </w:rPr>
        <w:t>ek</w:t>
      </w:r>
      <w:r w:rsidRPr="00EE36F8">
        <w:rPr>
          <w:rStyle w:val="Odwoanieprzypisudolnego"/>
          <w:rFonts w:eastAsia="Times New Roman" w:cs="Arial"/>
          <w:color w:val="0A0A0A"/>
          <w:szCs w:val="19"/>
        </w:rPr>
        <w:footnoteReference w:id="3"/>
      </w:r>
      <w:r>
        <w:rPr>
          <w:rFonts w:eastAsia="Times New Roman" w:cs="Arial"/>
          <w:color w:val="0A0A0A"/>
          <w:szCs w:val="19"/>
        </w:rPr>
        <w:t xml:space="preserve"> stanowi</w:t>
      </w:r>
      <w:r w:rsidR="00777F51">
        <w:rPr>
          <w:rFonts w:eastAsia="Times New Roman" w:cs="Arial"/>
          <w:color w:val="0A0A0A"/>
          <w:szCs w:val="19"/>
        </w:rPr>
        <w:t>ł</w:t>
      </w:r>
      <w:r>
        <w:rPr>
          <w:rFonts w:eastAsia="Times New Roman" w:cs="Arial"/>
          <w:color w:val="0A0A0A"/>
          <w:szCs w:val="19"/>
        </w:rPr>
        <w:t xml:space="preserve"> </w:t>
      </w:r>
      <w:r w:rsidRPr="00BD3A8B">
        <w:rPr>
          <w:rFonts w:eastAsia="Times New Roman" w:cs="Arial"/>
          <w:color w:val="0A0A0A"/>
          <w:szCs w:val="19"/>
        </w:rPr>
        <w:t>odse</w:t>
      </w:r>
      <w:r>
        <w:rPr>
          <w:rFonts w:eastAsia="Times New Roman" w:cs="Arial"/>
          <w:color w:val="0A0A0A"/>
          <w:szCs w:val="19"/>
        </w:rPr>
        <w:t>tek</w:t>
      </w:r>
      <w:r w:rsidRPr="00BD3A8B">
        <w:rPr>
          <w:rFonts w:eastAsia="Times New Roman" w:cs="Arial"/>
          <w:color w:val="0A0A0A"/>
          <w:szCs w:val="19"/>
        </w:rPr>
        <w:t xml:space="preserve"> osób, które z powodów finansowych nie mogły pozwolić sobie na wydawanie raz w tygodniu niewielkiej sumy na własne potrzeby. </w:t>
      </w:r>
      <w:r>
        <w:rPr>
          <w:rFonts w:eastAsia="Times New Roman" w:cs="Arial"/>
          <w:color w:val="0A0A0A"/>
          <w:szCs w:val="19"/>
        </w:rPr>
        <w:t xml:space="preserve">Dla tej kategorii potrzeb </w:t>
      </w:r>
      <w:r w:rsidR="00CB3462">
        <w:rPr>
          <w:rFonts w:eastAsia="Times New Roman" w:cs="Arial"/>
          <w:color w:val="0A0A0A"/>
          <w:szCs w:val="19"/>
        </w:rPr>
        <w:t xml:space="preserve">zanotowano wzrost </w:t>
      </w:r>
      <w:r w:rsidRPr="00BD3A8B">
        <w:rPr>
          <w:rFonts w:eastAsia="Times New Roman" w:cs="Arial"/>
          <w:color w:val="0A0A0A"/>
          <w:szCs w:val="19"/>
        </w:rPr>
        <w:t>między 2016 a 2017 rokiem o </w:t>
      </w:r>
      <w:r w:rsidRPr="00BD3A8B">
        <w:rPr>
          <w:rFonts w:eastAsia="Times New Roman" w:cs="Arial"/>
          <w:bCs/>
          <w:color w:val="0A0A0A"/>
          <w:szCs w:val="19"/>
        </w:rPr>
        <w:t xml:space="preserve">2,9 p. proc. </w:t>
      </w:r>
    </w:p>
    <w:p w14:paraId="0BA0055A" w14:textId="77777777" w:rsidR="004E793B" w:rsidRDefault="00DE0294" w:rsidP="00F81573">
      <w:pPr>
        <w:shd w:val="clear" w:color="auto" w:fill="FFFFFF"/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Drugi </w:t>
      </w:r>
      <w:r w:rsidR="0091170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wyróżniony 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okres </w:t>
      </w:r>
      <w:r w:rsidR="0091170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to lata 2021-2025, który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charakteryzował brakiem stabilności dla prawie wszystkich analizowanych potrzeb</w:t>
      </w:r>
      <w:r w:rsidR="004E793B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wynikającym z odwróceniem trendów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. </w:t>
      </w:r>
    </w:p>
    <w:p w14:paraId="5E5EE0FF" w14:textId="7A216D7D" w:rsidR="00DE0294" w:rsidRPr="00EE36F8" w:rsidRDefault="00DE0294" w:rsidP="00F81573">
      <w:pPr>
        <w:shd w:val="clear" w:color="auto" w:fill="FFFFFF"/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Pierwszym rokiem, w którym nastąpił wzrost odsetka osób </w:t>
      </w:r>
      <w:r w:rsidR="00CB346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zgłaszających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brak możliwości zaspokojenia</w:t>
      </w:r>
      <w:r w:rsidR="0091170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konkretnej 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potrzeby był 2021 r.</w:t>
      </w:r>
      <w:r w:rsidR="0091170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Pogorszenie sytuacji zanotowano w obszarze</w:t>
      </w:r>
      <w:r w:rsidR="00EF1B0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możliwości finansowych</w:t>
      </w:r>
      <w:r w:rsidR="0091170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związanych z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terminow</w:t>
      </w:r>
      <w:r w:rsidR="0091170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ym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regulowanie</w:t>
      </w:r>
      <w:r w:rsidR="0091170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opłat związanych z</w:t>
      </w:r>
      <w:r w:rsidR="00D74D8D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mieszkaniem, spłatą rat i kredytów (wzrost między 2020 a 2021 o 1,5 p. proc.). </w:t>
      </w:r>
      <w:r w:rsidR="00571506">
        <w:t>W kolejnych latach nast</w:t>
      </w:r>
      <w:r w:rsidR="001B4234">
        <w:t>ą</w:t>
      </w:r>
      <w:r w:rsidR="00571506">
        <w:t>pił wzr</w:t>
      </w:r>
      <w:r w:rsidR="001A249D">
        <w:t>o</w:t>
      </w:r>
      <w:r w:rsidR="00571506">
        <w:t>st odset</w:t>
      </w:r>
      <w:r w:rsidR="00EF1B0C">
        <w:t>k</w:t>
      </w:r>
      <w:r w:rsidR="001B4234">
        <w:t>a</w:t>
      </w:r>
      <w:r w:rsidR="00571506">
        <w:t xml:space="preserve"> osób, </w:t>
      </w:r>
      <w:r w:rsidR="00CB3462">
        <w:t>niemogących</w:t>
      </w:r>
      <w:r w:rsidR="00571506">
        <w:t xml:space="preserve"> </w:t>
      </w:r>
      <w:r w:rsidR="00571506"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z powodów finansowych </w:t>
      </w:r>
      <w:r w:rsidR="00571506">
        <w:t>zaspokoi</w:t>
      </w:r>
      <w:r w:rsidR="00EF1B0C">
        <w:t>ć</w:t>
      </w:r>
      <w:r w:rsidR="00571506">
        <w:t xml:space="preserve"> potrzeb w kolejnych obszarach.  W okresie 2021-2022 </w:t>
      </w:r>
      <w:r w:rsidR="001B4234">
        <w:t>były to</w:t>
      </w:r>
      <w:r w:rsidR="001B423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="001B4234"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potrzeb</w:t>
      </w:r>
      <w:r w:rsidR="001B423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y:</w:t>
      </w:r>
    </w:p>
    <w:p w14:paraId="5698F698" w14:textId="77777777" w:rsidR="00DE0294" w:rsidRPr="00EE36F8" w:rsidRDefault="00DE0294" w:rsidP="008B72CC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284" w:hanging="284"/>
        <w:rPr>
          <w:rFonts w:eastAsia="Times New Roman" w:cs="Arial"/>
          <w:color w:val="0A0A0A"/>
          <w:szCs w:val="19"/>
        </w:rPr>
      </w:pPr>
      <w:r w:rsidRPr="00EE36F8">
        <w:rPr>
          <w:rFonts w:eastAsia="Times New Roman" w:cs="Arial"/>
          <w:color w:val="0A0A0A"/>
          <w:szCs w:val="19"/>
        </w:rPr>
        <w:t>pokrycie niespodziewanego wydatku (o 2,6 p. proc.),</w:t>
      </w:r>
    </w:p>
    <w:p w14:paraId="4538FA43" w14:textId="77777777" w:rsidR="00DE0294" w:rsidRPr="00EE36F8" w:rsidRDefault="00DE0294" w:rsidP="008B72CC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284" w:hanging="284"/>
        <w:rPr>
          <w:rFonts w:eastAsia="Times New Roman" w:cs="Arial"/>
          <w:color w:val="0A0A0A"/>
          <w:szCs w:val="19"/>
        </w:rPr>
      </w:pPr>
      <w:r w:rsidRPr="00EE36F8">
        <w:rPr>
          <w:rFonts w:eastAsia="Times New Roman" w:cs="Arial"/>
          <w:color w:val="0A0A0A"/>
          <w:szCs w:val="19"/>
        </w:rPr>
        <w:t>ogrzewania mieszkania odpowiednio do potrzeb (o 1,7 p. proc.),</w:t>
      </w:r>
    </w:p>
    <w:p w14:paraId="35E5BC66" w14:textId="7DB1FBA5" w:rsidR="00DE0294" w:rsidRPr="00EE36F8" w:rsidRDefault="00DE0294" w:rsidP="008B72CC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284" w:hanging="284"/>
        <w:rPr>
          <w:rFonts w:eastAsia="Times New Roman" w:cs="Arial"/>
          <w:color w:val="0A0A0A"/>
          <w:szCs w:val="19"/>
        </w:rPr>
      </w:pPr>
      <w:r w:rsidRPr="00EE36F8">
        <w:rPr>
          <w:rFonts w:eastAsia="Times New Roman" w:cs="Arial"/>
          <w:color w:val="0A0A0A"/>
          <w:szCs w:val="19"/>
        </w:rPr>
        <w:t>tygodniowego wyjazdu</w:t>
      </w:r>
      <w:r w:rsidR="00373D46">
        <w:rPr>
          <w:rFonts w:eastAsia="Times New Roman" w:cs="Arial"/>
          <w:color w:val="0A0A0A"/>
          <w:szCs w:val="19"/>
        </w:rPr>
        <w:t xml:space="preserve"> na wypoczynek (o 1,1 p. proc.).</w:t>
      </w:r>
    </w:p>
    <w:p w14:paraId="51D6E1EA" w14:textId="46F08F9C" w:rsidR="00DE0294" w:rsidRPr="00BD3A8B" w:rsidRDefault="00571506" w:rsidP="00F81573">
      <w:pPr>
        <w:shd w:val="clear" w:color="auto" w:fill="FFFFFF"/>
        <w:spacing w:line="288" w:lineRule="auto"/>
        <w:rPr>
          <w:rFonts w:eastAsia="Times New Roman" w:cs="Arial"/>
          <w:color w:val="0A0A0A"/>
          <w:szCs w:val="19"/>
        </w:rPr>
      </w:pPr>
      <w:r>
        <w:rPr>
          <w:rFonts w:eastAsia="Times New Roman" w:cs="Arial"/>
          <w:color w:val="0A0A0A"/>
          <w:szCs w:val="19"/>
        </w:rPr>
        <w:t xml:space="preserve">W 2023 r. w porównaniu z 2022 r. nastąpił wzrost odsetka osób, które nie były </w:t>
      </w:r>
      <w:r w:rsidR="00CB3462">
        <w:rPr>
          <w:rFonts w:eastAsia="Times New Roman" w:cs="Arial"/>
          <w:color w:val="0A0A0A"/>
          <w:szCs w:val="19"/>
        </w:rPr>
        <w:t>w stanie z</w:t>
      </w:r>
      <w:r w:rsidR="006863E6">
        <w:rPr>
          <w:rFonts w:eastAsia="Times New Roman" w:cs="Arial"/>
          <w:color w:val="0A0A0A"/>
          <w:szCs w:val="19"/>
        </w:rPr>
        <w:t> </w:t>
      </w:r>
      <w:r w:rsidR="00CB3462">
        <w:rPr>
          <w:rFonts w:eastAsia="Times New Roman" w:cs="Arial"/>
          <w:color w:val="0A0A0A"/>
          <w:szCs w:val="19"/>
        </w:rPr>
        <w:t xml:space="preserve">powodów finansowych </w:t>
      </w:r>
      <w:r>
        <w:rPr>
          <w:rFonts w:eastAsia="Times New Roman" w:cs="Arial"/>
          <w:color w:val="0A0A0A"/>
          <w:szCs w:val="19"/>
        </w:rPr>
        <w:t xml:space="preserve">wydawać </w:t>
      </w:r>
      <w:r w:rsidR="00DE0294" w:rsidRPr="00BD3A8B">
        <w:rPr>
          <w:rFonts w:eastAsia="Times New Roman" w:cs="Arial"/>
          <w:color w:val="0A0A0A"/>
          <w:szCs w:val="19"/>
        </w:rPr>
        <w:t>raz w tygodniu niewielkiej sumy pieniędzy na własne potrzeby (o 1,2</w:t>
      </w:r>
      <w:r w:rsidR="00D74D8D" w:rsidRPr="00BD3A8B">
        <w:rPr>
          <w:rFonts w:eastAsia="Times New Roman" w:cs="Arial"/>
          <w:color w:val="0A0A0A"/>
          <w:szCs w:val="19"/>
        </w:rPr>
        <w:t> </w:t>
      </w:r>
      <w:r w:rsidR="00DE0294" w:rsidRPr="00BD3A8B">
        <w:rPr>
          <w:rFonts w:eastAsia="Times New Roman" w:cs="Arial"/>
          <w:color w:val="0A0A0A"/>
          <w:szCs w:val="19"/>
        </w:rPr>
        <w:t>p.</w:t>
      </w:r>
      <w:r w:rsidR="00D74D8D" w:rsidRPr="00BD3A8B">
        <w:rPr>
          <w:rFonts w:eastAsia="Times New Roman" w:cs="Arial"/>
          <w:color w:val="0A0A0A"/>
          <w:szCs w:val="19"/>
        </w:rPr>
        <w:t> </w:t>
      </w:r>
      <w:r w:rsidR="00DE0294" w:rsidRPr="00BD3A8B">
        <w:rPr>
          <w:rFonts w:eastAsia="Times New Roman" w:cs="Arial"/>
          <w:color w:val="0A0A0A"/>
          <w:szCs w:val="19"/>
        </w:rPr>
        <w:t>proc.).</w:t>
      </w:r>
    </w:p>
    <w:p w14:paraId="5142C949" w14:textId="5E84A374" w:rsidR="008C530D" w:rsidRDefault="00571506" w:rsidP="00F81573">
      <w:pPr>
        <w:shd w:val="clear" w:color="auto" w:fill="FFFFFF"/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Pomimo niekor</w:t>
      </w:r>
      <w:r w:rsidR="008543E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zy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stnych z</w:t>
      </w:r>
      <w:r w:rsidR="008543E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ian zaob</w:t>
      </w:r>
      <w:r w:rsidR="00CB346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serwowanych w okresie 2021-2023</w:t>
      </w:r>
      <w:r w:rsidR="008543E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sytuacja w 2025 roku uległa</w:t>
      </w:r>
      <w:r w:rsidR="00B74DEA" w:rsidRPr="00EE36F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wyraźnej poprawie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. </w:t>
      </w:r>
      <w:r w:rsidR="009C1C6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Odset</w:t>
      </w:r>
      <w:r w:rsidR="009B17DB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ek</w:t>
      </w:r>
      <w:r w:rsidR="009C1C6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osób </w:t>
      </w:r>
      <w:r w:rsidR="00CB346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niemogących</w:t>
      </w:r>
      <w:r w:rsidR="009C1C6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zaspokoić z powodów</w:t>
      </w:r>
      <w:r w:rsidR="003509B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finansowych potrzeb w wyróżnio</w:t>
      </w:r>
      <w:r w:rsidR="009C1C6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nych </w:t>
      </w:r>
      <w:r w:rsidR="00AC578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kategoriach spadł do poziomu z </w:t>
      </w:r>
      <w:r w:rsidR="009C1C6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20</w:t>
      </w:r>
      <w:r w:rsidR="00AC578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20 r. </w:t>
      </w:r>
    </w:p>
    <w:p w14:paraId="3AEBCD2B" w14:textId="3F5AEE36" w:rsidR="00E9094D" w:rsidRPr="00E26FB9" w:rsidRDefault="008C530D" w:rsidP="003A7472">
      <w:pPr>
        <w:shd w:val="clear" w:color="auto" w:fill="FFFFFF"/>
        <w:spacing w:line="288" w:lineRule="auto"/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</w:pPr>
      <w:r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lastRenderedPageBreak/>
        <w:t>Potrzeb</w:t>
      </w:r>
      <w:r w:rsidR="00482C6F"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ami</w:t>
      </w:r>
      <w:r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o najwyższy</w:t>
      </w:r>
      <w:r w:rsidR="00482C6F"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ch</w:t>
      </w:r>
      <w:r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s</w:t>
      </w:r>
      <w:r w:rsidR="00482C6F"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padkach</w:t>
      </w:r>
      <w:r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w 2025 r. w stosunku do 2020 r. </w:t>
      </w:r>
      <w:r w:rsidR="00F3604F"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było </w:t>
      </w:r>
      <w:r w:rsidR="00F3604F" w:rsidRPr="00E26FB9">
        <w:rPr>
          <w:rStyle w:val="Pogrubienie"/>
          <w:rFonts w:cs="Times New Roman"/>
          <w:b w:val="0"/>
          <w:bCs w:val="0"/>
          <w:color w:val="000000" w:themeColor="text1"/>
          <w:lang w:eastAsia="pl-PL"/>
        </w:rPr>
        <w:t>opłacenie tygodniowego wyjazdu na wypoczynek</w:t>
      </w:r>
      <w:r w:rsidR="00F3604F" w:rsidRPr="00E26FB9">
        <w:rPr>
          <w:rStyle w:val="Pogrubienie"/>
          <w:rFonts w:cs="Times New Roman"/>
          <w:b w:val="0"/>
          <w:color w:val="000000" w:themeColor="text1"/>
          <w:lang w:eastAsia="pl-PL"/>
        </w:rPr>
        <w:t>: spadek o </w:t>
      </w:r>
      <w:r w:rsidR="00F3604F" w:rsidRPr="00E26FB9">
        <w:rPr>
          <w:rStyle w:val="Pogrubienie"/>
          <w:rFonts w:cs="Times New Roman"/>
          <w:b w:val="0"/>
          <w:bCs w:val="0"/>
          <w:color w:val="000000" w:themeColor="text1"/>
          <w:lang w:eastAsia="pl-PL"/>
        </w:rPr>
        <w:t>5,0 p. proc.</w:t>
      </w:r>
      <w:r w:rsidR="00F3604F" w:rsidRPr="00E26FB9">
        <w:rPr>
          <w:rStyle w:val="Pogrubienie"/>
          <w:rFonts w:cs="Times New Roman"/>
          <w:b w:val="0"/>
          <w:color w:val="000000" w:themeColor="text1"/>
          <w:lang w:eastAsia="pl-PL"/>
        </w:rPr>
        <w:t> (z 29,4% w 2020 r. do 24,4% w</w:t>
      </w:r>
      <w:r w:rsidR="006863E6">
        <w:rPr>
          <w:rStyle w:val="Pogrubienie"/>
          <w:rFonts w:cs="Times New Roman"/>
          <w:b w:val="0"/>
          <w:color w:val="000000" w:themeColor="text1"/>
          <w:lang w:eastAsia="pl-PL"/>
        </w:rPr>
        <w:t> </w:t>
      </w:r>
      <w:r w:rsidR="00F3604F" w:rsidRPr="00E26FB9">
        <w:rPr>
          <w:rStyle w:val="Pogrubienie"/>
          <w:rFonts w:cs="Times New Roman"/>
          <w:b w:val="0"/>
          <w:color w:val="000000" w:themeColor="text1"/>
          <w:lang w:eastAsia="pl-PL"/>
        </w:rPr>
        <w:t>2025 r.</w:t>
      </w:r>
      <w:r w:rsidR="00482C6F" w:rsidRPr="00E26FB9">
        <w:rPr>
          <w:rStyle w:val="Pogrubienie"/>
          <w:rFonts w:cs="Times New Roman"/>
          <w:b w:val="0"/>
          <w:color w:val="000000" w:themeColor="text1"/>
          <w:lang w:eastAsia="pl-PL"/>
        </w:rPr>
        <w:t xml:space="preserve">) oraz </w:t>
      </w:r>
      <w:r w:rsidR="00482C6F"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pokrycie niespodziewanego wydatku: spadek o 3,7 p. proc. (z 25,7% </w:t>
      </w:r>
      <w:r w:rsidR="00482C6F" w:rsidRPr="00E26FB9">
        <w:rPr>
          <w:rStyle w:val="Pogrubienie"/>
          <w:rFonts w:cs="Times New Roman"/>
          <w:b w:val="0"/>
          <w:color w:val="000000" w:themeColor="text1"/>
          <w:lang w:eastAsia="pl-PL"/>
        </w:rPr>
        <w:t xml:space="preserve">w 2020 r. </w:t>
      </w:r>
      <w:r w:rsidR="00482C6F"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do 22,0% </w:t>
      </w:r>
      <w:r w:rsidR="00482C6F" w:rsidRPr="00E26FB9">
        <w:rPr>
          <w:rStyle w:val="Pogrubienie"/>
          <w:rFonts w:cs="Times New Roman"/>
          <w:b w:val="0"/>
          <w:color w:val="000000" w:themeColor="text1"/>
          <w:lang w:eastAsia="pl-PL"/>
        </w:rPr>
        <w:t>w 2025 r.</w:t>
      </w:r>
      <w:r w:rsidR="00482C6F"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).</w:t>
      </w:r>
      <w:r w:rsidR="00E26FB9" w:rsidRPr="00E26FB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</w:p>
    <w:p w14:paraId="6C67D0CA" w14:textId="09CE9D85" w:rsidR="00EE36F8" w:rsidRPr="00187EAD" w:rsidRDefault="00EE36F8" w:rsidP="00004F1D">
      <w:pPr>
        <w:pStyle w:val="Nagwek1"/>
        <w:keepNext w:val="0"/>
        <w:spacing w:before="360"/>
      </w:pPr>
      <w:r w:rsidRPr="00187EAD">
        <w:t>Wybrane aspekty pogłębionej deprywacji społecznej i materialnej</w:t>
      </w:r>
      <w:r w:rsidR="00106EC4">
        <w:t xml:space="preserve"> </w:t>
      </w:r>
      <w:r w:rsidR="00831131">
        <w:br/>
      </w:r>
      <w:r w:rsidR="00106EC4" w:rsidRPr="00FF1140">
        <w:rPr>
          <w:rFonts w:ascii="Fira Sans" w:hAnsi="Fira Sans"/>
          <w:b/>
          <w:szCs w:val="19"/>
        </w:rPr>
        <w:t>w ujęciu terytorialnym w</w:t>
      </w:r>
      <w:r w:rsidR="006863E6">
        <w:rPr>
          <w:rFonts w:ascii="Fira Sans" w:hAnsi="Fira Sans"/>
          <w:b/>
          <w:szCs w:val="19"/>
        </w:rPr>
        <w:t> </w:t>
      </w:r>
      <w:r w:rsidR="00106EC4" w:rsidRPr="00FF1140">
        <w:rPr>
          <w:rFonts w:ascii="Fira Sans" w:hAnsi="Fira Sans"/>
          <w:b/>
          <w:szCs w:val="19"/>
        </w:rPr>
        <w:t xml:space="preserve"> 2025 r.</w:t>
      </w:r>
    </w:p>
    <w:p w14:paraId="65C1CD31" w14:textId="23B56C83" w:rsidR="00EE36F8" w:rsidRPr="00543F91" w:rsidRDefault="00EE36F8" w:rsidP="00004F1D">
      <w:pPr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 celu dokonania porównania sytuacji osób mieszkających w miastach i na wsi wybrano z</w:t>
      </w:r>
      <w:r w:rsidR="00D74D8D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listy potrzeb wchodzących w skład wskaźnika pogłębionej deprywacji </w:t>
      </w:r>
      <w:r w:rsidR="00E8610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materialnej i</w:t>
      </w:r>
      <w:r w:rsidR="00BD351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proofErr w:type="spellStart"/>
      <w:r w:rsidR="00E8610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społe</w:t>
      </w:r>
      <w:r w:rsidR="00EB6A0B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-</w:t>
      </w:r>
      <w:r w:rsidR="00E8610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cznej</w:t>
      </w:r>
      <w:proofErr w:type="spellEnd"/>
      <w:r w:rsidR="00E8610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(tablica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1) kilka aspektów.</w:t>
      </w:r>
    </w:p>
    <w:p w14:paraId="56E9BBB9" w14:textId="3B0BDC7C" w:rsidR="00EE36F8" w:rsidRPr="00543F91" w:rsidRDefault="009C1C64" w:rsidP="00004F1D">
      <w:pPr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Wybór obszarów do dalsze</w:t>
      </w:r>
      <w:r w:rsidR="00CB346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j analizy w ujęciu miasto-wieś 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opierał się na dwóch kryteriach. </w:t>
      </w:r>
      <w:r w:rsidR="00EE36F8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Pierwsz</w:t>
      </w:r>
      <w:r w:rsidR="00E10EE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e dotyczyło zi</w:t>
      </w:r>
      <w:r w:rsidR="008E1B9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dentyfikowania obszarów o </w:t>
      </w:r>
      <w:r w:rsidR="00EE36F8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najwyższy</w:t>
      </w:r>
      <w:r w:rsidR="00F1647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</w:t>
      </w:r>
      <w:r w:rsidR="00EE36F8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odsetk</w:t>
      </w:r>
      <w:r w:rsidR="00F1647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u</w:t>
      </w:r>
      <w:r w:rsidR="009606C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braku możliwości </w:t>
      </w:r>
      <w:r w:rsidR="00EE36F8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zaspokojenia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potrzeb. Były to</w:t>
      </w:r>
      <w:r w:rsidR="00EE36F8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:</w:t>
      </w:r>
    </w:p>
    <w:p w14:paraId="5FD389C3" w14:textId="331FCFBE" w:rsidR="00EE36F8" w:rsidRPr="00543F91" w:rsidRDefault="00EE36F8" w:rsidP="00004F1D">
      <w:pPr>
        <w:pStyle w:val="Akapitzlist"/>
        <w:numPr>
          <w:ilvl w:val="0"/>
          <w:numId w:val="4"/>
        </w:numPr>
        <w:spacing w:line="288" w:lineRule="auto"/>
        <w:ind w:left="284" w:hanging="284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opłacenie tygodniowego wyjazdu wszystkich członków gospodarstwa domowego na</w:t>
      </w:r>
      <w:r w:rsidR="00D74D8D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wypoczynek raz w roku;</w:t>
      </w:r>
    </w:p>
    <w:p w14:paraId="5158EAB6" w14:textId="77777777" w:rsidR="00EE36F8" w:rsidRPr="00543F91" w:rsidRDefault="00EE36F8" w:rsidP="00004F1D">
      <w:pPr>
        <w:pStyle w:val="Akapitzlist"/>
        <w:numPr>
          <w:ilvl w:val="0"/>
          <w:numId w:val="4"/>
        </w:numPr>
        <w:spacing w:line="288" w:lineRule="auto"/>
        <w:ind w:left="284" w:hanging="284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pokrycie niespodziewanego wydatku (w wysokości wartości miesięcznych 60% krajowej mediany ekwiwalentnego dochodu do dyspozycji).</w:t>
      </w:r>
    </w:p>
    <w:p w14:paraId="5B311F08" w14:textId="690422A3" w:rsidR="00EE36F8" w:rsidRPr="00543F91" w:rsidRDefault="00EE36F8" w:rsidP="00004F1D">
      <w:pPr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Drugim kryterium była istotność zaspokojenia tych potrzeb dla prawidłowego </w:t>
      </w:r>
      <w:proofErr w:type="spellStart"/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funkcjono</w:t>
      </w:r>
      <w:r w:rsidR="00EB6A0B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-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wania</w:t>
      </w:r>
      <w:proofErr w:type="spellEnd"/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człowieka</w:t>
      </w:r>
      <w:r w:rsidR="009C1C6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. Bior</w:t>
      </w:r>
      <w:r w:rsidR="00FC039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ą</w:t>
      </w:r>
      <w:r w:rsidR="00E10EE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c to kryterium pod uwagę do dalszych analiz wytypowano nastę</w:t>
      </w:r>
      <w:r w:rsidR="009C1C6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pujące obszary potrzeb</w:t>
      </w:r>
      <w:r w:rsidR="00E10EE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:</w:t>
      </w:r>
    </w:p>
    <w:p w14:paraId="06806AB9" w14:textId="77777777" w:rsidR="00EE36F8" w:rsidRPr="00543F91" w:rsidRDefault="00EE36F8" w:rsidP="00004F1D">
      <w:pPr>
        <w:pStyle w:val="Akapitzlist"/>
        <w:numPr>
          <w:ilvl w:val="0"/>
          <w:numId w:val="5"/>
        </w:numPr>
        <w:spacing w:line="288" w:lineRule="auto"/>
        <w:ind w:left="284" w:hanging="284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spożywanie mięsa, ryb (lub wegetariańskiego odpowiednika) co drugi dzień;</w:t>
      </w:r>
    </w:p>
    <w:p w14:paraId="078AF581" w14:textId="77777777" w:rsidR="00EE36F8" w:rsidRPr="00543F91" w:rsidRDefault="00EE36F8" w:rsidP="00004F1D">
      <w:pPr>
        <w:pStyle w:val="Akapitzlist"/>
        <w:numPr>
          <w:ilvl w:val="0"/>
          <w:numId w:val="5"/>
        </w:numPr>
        <w:spacing w:line="288" w:lineRule="auto"/>
        <w:ind w:left="284" w:hanging="284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ogrzewanie mieszkania odpowiednio do potrzeb;</w:t>
      </w:r>
    </w:p>
    <w:p w14:paraId="78F91579" w14:textId="77777777" w:rsidR="00EE36F8" w:rsidRPr="00543F91" w:rsidRDefault="00EE36F8" w:rsidP="00004F1D">
      <w:pPr>
        <w:pStyle w:val="Akapitzlist"/>
        <w:numPr>
          <w:ilvl w:val="0"/>
          <w:numId w:val="5"/>
        </w:numPr>
        <w:spacing w:line="288" w:lineRule="auto"/>
        <w:ind w:left="284" w:hanging="284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wydawanie raz w tygodniu niewielkiej sumy pieniędzy na własne potrzeby;</w:t>
      </w:r>
    </w:p>
    <w:p w14:paraId="06B9CB55" w14:textId="77777777" w:rsidR="00EE36F8" w:rsidRPr="00543F91" w:rsidRDefault="00EE36F8" w:rsidP="00004F1D">
      <w:pPr>
        <w:pStyle w:val="Akapitzlist"/>
        <w:numPr>
          <w:ilvl w:val="0"/>
          <w:numId w:val="5"/>
        </w:numPr>
        <w:spacing w:line="288" w:lineRule="auto"/>
        <w:ind w:left="284" w:hanging="284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regularne uczestnictwo w różnych formach spędzania czasu wolnego.</w:t>
      </w:r>
    </w:p>
    <w:p w14:paraId="46C44908" w14:textId="1E7167AF" w:rsidR="00DE0294" w:rsidRPr="00FF1140" w:rsidRDefault="00EE36F8" w:rsidP="00004F1D">
      <w:pPr>
        <w:spacing w:line="288" w:lineRule="auto"/>
        <w:rPr>
          <w:b/>
          <w:szCs w:val="19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Do wybranych aspektów dodano również brak możliwości terminowych opłat związanych z</w:t>
      </w:r>
      <w:r w:rsidR="00D74D8D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mieszkaniem (opłaceniem czynszu, wynajmu, kredytu mieszkanio</w:t>
      </w:r>
      <w:r w:rsidR="00EF1C78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wego itd.).</w:t>
      </w:r>
      <w:r w:rsidR="00106EC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Wynika to z</w:t>
      </w:r>
      <w:r w:rsidR="006863E6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="00106EC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wagi </w:t>
      </w:r>
      <w:r w:rsidR="00106EC4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skutków zdrowotnych, społecznych i ekonomiczn</w:t>
      </w:r>
      <w:r w:rsidR="0028709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ych dłuższych braków możliwości</w:t>
      </w:r>
      <w:r w:rsidR="00106EC4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zaspokojenia</w:t>
      </w:r>
      <w:r w:rsidR="00106EC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potrzeb w tym obszarze. </w:t>
      </w:r>
    </w:p>
    <w:p w14:paraId="2054877B" w14:textId="19B075F6" w:rsidR="001B171E" w:rsidRDefault="001B171E" w:rsidP="00004F1D">
      <w:pPr>
        <w:pStyle w:val="Tytutablicy"/>
        <w:keepNext w:val="0"/>
        <w:spacing w:before="120" w:line="288" w:lineRule="auto"/>
        <w:rPr>
          <w:b w:val="0"/>
          <w:bCs w:val="0"/>
        </w:rPr>
      </w:pPr>
      <w:r>
        <w:rPr>
          <w:b w:val="0"/>
          <w:bCs w:val="0"/>
        </w:rPr>
        <w:t>Istotny kontekst dla deprywacji materialnej i społecznej stanowi charakterystyka sytuacji dochodowej osób w gospodarstwach domowych. Uwzględnienie tego aspektu jest niezbędne do rzetelnej oceny sytuacji osób doświadczających deprywacji. W  tablicy 2 zestawiono dane o miejscu zamieszkania, wysokości uzyskiwanego dochodu oraz możliwości zaspokajania potrzeb.</w:t>
      </w:r>
    </w:p>
    <w:p w14:paraId="3A90900B" w14:textId="63E4B613" w:rsidR="00A82590" w:rsidRDefault="001352A7" w:rsidP="00004F1D">
      <w:pPr>
        <w:pStyle w:val="Tytutablicy"/>
        <w:keepNext w:val="0"/>
        <w:spacing w:before="120" w:line="288" w:lineRule="auto"/>
        <w:rPr>
          <w:rStyle w:val="vkekvd"/>
          <w:rFonts w:eastAsiaTheme="majorEastAsia"/>
          <w:b w:val="0"/>
          <w:bCs w:val="0"/>
        </w:rPr>
      </w:pPr>
      <w:r>
        <w:rPr>
          <w:rStyle w:val="vkekvd"/>
          <w:rFonts w:eastAsiaTheme="majorEastAsia"/>
          <w:b w:val="0"/>
          <w:bCs w:val="0"/>
        </w:rPr>
        <w:t>Przeciętne</w:t>
      </w:r>
      <w:r w:rsidR="00DE0294">
        <w:rPr>
          <w:rStyle w:val="vkekvd"/>
          <w:rFonts w:eastAsiaTheme="majorEastAsia"/>
          <w:b w:val="0"/>
          <w:bCs w:val="0"/>
        </w:rPr>
        <w:t xml:space="preserve"> roczne ekwiwalentne dochody do dyspozycji</w:t>
      </w:r>
      <w:r w:rsidR="005E2AAD">
        <w:rPr>
          <w:rStyle w:val="vkekvd"/>
          <w:rFonts w:eastAsiaTheme="majorEastAsia"/>
          <w:b w:val="0"/>
          <w:bCs w:val="0"/>
        </w:rPr>
        <w:t>,</w:t>
      </w:r>
      <w:r w:rsidR="00DE0294">
        <w:rPr>
          <w:rStyle w:val="vkekvd"/>
          <w:rFonts w:eastAsiaTheme="majorEastAsia"/>
          <w:b w:val="0"/>
          <w:bCs w:val="0"/>
        </w:rPr>
        <w:t xml:space="preserve"> jak i </w:t>
      </w:r>
      <w:r w:rsidR="005E2AAD">
        <w:rPr>
          <w:rStyle w:val="vkekvd"/>
          <w:rFonts w:eastAsiaTheme="majorEastAsia"/>
          <w:b w:val="0"/>
          <w:bCs w:val="0"/>
        </w:rPr>
        <w:t xml:space="preserve">wartości </w:t>
      </w:r>
      <w:r w:rsidR="00DE0294">
        <w:rPr>
          <w:rStyle w:val="vkekvd"/>
          <w:rFonts w:eastAsiaTheme="majorEastAsia"/>
          <w:b w:val="0"/>
          <w:bCs w:val="0"/>
        </w:rPr>
        <w:t>mediany wskazują</w:t>
      </w:r>
      <w:r w:rsidR="00DE0294" w:rsidRPr="009501C2">
        <w:rPr>
          <w:rStyle w:val="vkekvd"/>
          <w:rFonts w:eastAsiaTheme="majorEastAsia"/>
          <w:b w:val="0"/>
          <w:bCs w:val="0"/>
        </w:rPr>
        <w:t xml:space="preserve"> </w:t>
      </w:r>
      <w:r w:rsidR="005E2AAD">
        <w:rPr>
          <w:rStyle w:val="vkekvd"/>
          <w:rFonts w:eastAsiaTheme="majorEastAsia"/>
          <w:b w:val="0"/>
          <w:bCs w:val="0"/>
        </w:rPr>
        <w:t>na</w:t>
      </w:r>
      <w:r w:rsidR="006863E6">
        <w:rPr>
          <w:rStyle w:val="vkekvd"/>
          <w:rFonts w:eastAsiaTheme="majorEastAsia"/>
          <w:b w:val="0"/>
          <w:bCs w:val="0"/>
        </w:rPr>
        <w:t> </w:t>
      </w:r>
      <w:r w:rsidR="005E2AAD">
        <w:rPr>
          <w:rStyle w:val="vkekvd"/>
          <w:rFonts w:eastAsiaTheme="majorEastAsia"/>
          <w:b w:val="0"/>
          <w:bCs w:val="0"/>
        </w:rPr>
        <w:t xml:space="preserve">odmienną sytuację dochodową </w:t>
      </w:r>
      <w:r w:rsidR="00A82590">
        <w:rPr>
          <w:rStyle w:val="vkekvd"/>
          <w:rFonts w:eastAsiaTheme="majorEastAsia"/>
          <w:b w:val="0"/>
          <w:bCs w:val="0"/>
        </w:rPr>
        <w:t xml:space="preserve">osób </w:t>
      </w:r>
      <w:r w:rsidR="005E2AAD">
        <w:rPr>
          <w:rStyle w:val="vkekvd"/>
          <w:rFonts w:eastAsiaTheme="majorEastAsia"/>
          <w:b w:val="0"/>
          <w:bCs w:val="0"/>
        </w:rPr>
        <w:t xml:space="preserve">zamieszkujących miasta </w:t>
      </w:r>
      <w:r w:rsidR="00A82590">
        <w:rPr>
          <w:rStyle w:val="vkekvd"/>
          <w:rFonts w:eastAsiaTheme="majorEastAsia"/>
          <w:b w:val="0"/>
          <w:bCs w:val="0"/>
        </w:rPr>
        <w:t>oraz</w:t>
      </w:r>
      <w:r w:rsidR="0031440D">
        <w:rPr>
          <w:rStyle w:val="vkekvd"/>
          <w:rFonts w:eastAsiaTheme="majorEastAsia"/>
          <w:b w:val="0"/>
          <w:bCs w:val="0"/>
        </w:rPr>
        <w:t xml:space="preserve"> wsi</w:t>
      </w:r>
      <w:r w:rsidR="000B657A">
        <w:rPr>
          <w:rStyle w:val="vkekvd"/>
          <w:rFonts w:eastAsiaTheme="majorEastAsia"/>
          <w:b w:val="0"/>
          <w:bCs w:val="0"/>
        </w:rPr>
        <w:t>e</w:t>
      </w:r>
      <w:r w:rsidR="00DE0294" w:rsidRPr="009501C2">
        <w:rPr>
          <w:rStyle w:val="vkekvd"/>
          <w:rFonts w:eastAsiaTheme="majorEastAsia"/>
          <w:b w:val="0"/>
          <w:bCs w:val="0"/>
        </w:rPr>
        <w:t xml:space="preserve">. Najwyższe dochody </w:t>
      </w:r>
      <w:r w:rsidR="00DE0294" w:rsidRPr="006863E6">
        <w:rPr>
          <w:rStyle w:val="vkekvd"/>
          <w:rFonts w:eastAsiaTheme="majorEastAsia"/>
          <w:b w:val="0"/>
          <w:bCs w:val="0"/>
          <w:spacing w:val="-4"/>
        </w:rPr>
        <w:t>odnotowywano w największych metropoliach (miasta 500 tys. i więcej mieszkańców</w:t>
      </w:r>
      <w:r w:rsidR="00FB04E5" w:rsidRPr="006863E6">
        <w:rPr>
          <w:rStyle w:val="vkekvd"/>
          <w:rFonts w:eastAsiaTheme="majorEastAsia"/>
          <w:b w:val="0"/>
          <w:bCs w:val="0"/>
          <w:spacing w:val="-4"/>
        </w:rPr>
        <w:t xml:space="preserve"> - 86,2 tys. zł</w:t>
      </w:r>
      <w:r w:rsidR="00DE0294" w:rsidRPr="006863E6">
        <w:rPr>
          <w:rStyle w:val="vkekvd"/>
          <w:rFonts w:eastAsiaTheme="majorEastAsia"/>
          <w:b w:val="0"/>
          <w:bCs w:val="0"/>
          <w:spacing w:val="-4"/>
        </w:rPr>
        <w:t>)</w:t>
      </w:r>
      <w:r w:rsidR="00DE0294" w:rsidRPr="009501C2">
        <w:rPr>
          <w:rStyle w:val="vkekvd"/>
          <w:rFonts w:eastAsiaTheme="majorEastAsia"/>
          <w:b w:val="0"/>
          <w:bCs w:val="0"/>
        </w:rPr>
        <w:t xml:space="preserve">. Im mniejsza miejscowość, tym średni dochód </w:t>
      </w:r>
      <w:r w:rsidR="00DE0294">
        <w:rPr>
          <w:rStyle w:val="vkekvd"/>
          <w:rFonts w:eastAsiaTheme="majorEastAsia"/>
          <w:b w:val="0"/>
          <w:bCs w:val="0"/>
        </w:rPr>
        <w:t>był</w:t>
      </w:r>
      <w:r w:rsidR="00DE0294" w:rsidRPr="009501C2">
        <w:rPr>
          <w:rStyle w:val="vkekvd"/>
          <w:rFonts w:eastAsiaTheme="majorEastAsia"/>
          <w:b w:val="0"/>
          <w:bCs w:val="0"/>
        </w:rPr>
        <w:t xml:space="preserve"> niższy</w:t>
      </w:r>
      <w:r w:rsidR="00C4316D">
        <w:rPr>
          <w:rStyle w:val="vkekvd"/>
          <w:rFonts w:eastAsiaTheme="majorEastAsia"/>
          <w:b w:val="0"/>
          <w:bCs w:val="0"/>
        </w:rPr>
        <w:t xml:space="preserve"> (miasta z liczbą mieszkańców 20</w:t>
      </w:r>
      <w:r w:rsidR="006863E6">
        <w:rPr>
          <w:rStyle w:val="vkekvd"/>
          <w:rFonts w:eastAsiaTheme="majorEastAsia"/>
          <w:b w:val="0"/>
          <w:bCs w:val="0"/>
        </w:rPr>
        <w:t> </w:t>
      </w:r>
      <w:r w:rsidR="00C4316D">
        <w:rPr>
          <w:rStyle w:val="vkekvd"/>
          <w:rFonts w:eastAsiaTheme="majorEastAsia"/>
          <w:b w:val="0"/>
          <w:bCs w:val="0"/>
        </w:rPr>
        <w:t>tys.</w:t>
      </w:r>
      <w:r w:rsidR="006863E6">
        <w:rPr>
          <w:rStyle w:val="vkekvd"/>
          <w:rFonts w:eastAsiaTheme="majorEastAsia"/>
          <w:b w:val="0"/>
          <w:bCs w:val="0"/>
        </w:rPr>
        <w:t> - </w:t>
      </w:r>
      <w:r w:rsidR="00C4316D">
        <w:rPr>
          <w:rStyle w:val="vkekvd"/>
          <w:rFonts w:eastAsiaTheme="majorEastAsia"/>
          <w:b w:val="0"/>
          <w:bCs w:val="0"/>
        </w:rPr>
        <w:t>64 tys. zł)</w:t>
      </w:r>
      <w:r w:rsidR="00DE0294" w:rsidRPr="009501C2">
        <w:rPr>
          <w:rStyle w:val="vkekvd"/>
          <w:rFonts w:eastAsiaTheme="majorEastAsia"/>
          <w:b w:val="0"/>
          <w:bCs w:val="0"/>
        </w:rPr>
        <w:t>.</w:t>
      </w:r>
      <w:r w:rsidR="00DE0294">
        <w:rPr>
          <w:rStyle w:val="vkekvd"/>
          <w:rFonts w:eastAsiaTheme="majorEastAsia"/>
          <w:b w:val="0"/>
          <w:bCs w:val="0"/>
        </w:rPr>
        <w:t xml:space="preserve"> </w:t>
      </w:r>
    </w:p>
    <w:p w14:paraId="733282FB" w14:textId="09FD8847" w:rsidR="00DE0294" w:rsidRDefault="00DE0294" w:rsidP="00004F1D">
      <w:pPr>
        <w:pStyle w:val="Tytutablicy"/>
        <w:keepNext w:val="0"/>
        <w:spacing w:before="120" w:line="288" w:lineRule="auto"/>
        <w:rPr>
          <w:rStyle w:val="vkekvd"/>
          <w:rFonts w:eastAsiaTheme="majorEastAsia"/>
          <w:b w:val="0"/>
          <w:bCs w:val="0"/>
        </w:rPr>
      </w:pPr>
      <w:r>
        <w:rPr>
          <w:rStyle w:val="vkekvd"/>
          <w:rFonts w:eastAsiaTheme="majorEastAsia"/>
          <w:b w:val="0"/>
          <w:bCs w:val="0"/>
        </w:rPr>
        <w:t>W 2025 r. u</w:t>
      </w:r>
      <w:r w:rsidR="007C6022">
        <w:rPr>
          <w:rStyle w:val="vkekvd"/>
          <w:rFonts w:eastAsiaTheme="majorEastAsia"/>
          <w:b w:val="0"/>
          <w:bCs w:val="0"/>
        </w:rPr>
        <w:t>trzymała</w:t>
      </w:r>
      <w:r w:rsidRPr="00D15B75">
        <w:rPr>
          <w:rStyle w:val="vkekvd"/>
          <w:rFonts w:eastAsiaTheme="majorEastAsia"/>
          <w:b w:val="0"/>
          <w:bCs w:val="0"/>
        </w:rPr>
        <w:t xml:space="preserve"> się różnica </w:t>
      </w:r>
      <w:r>
        <w:rPr>
          <w:rStyle w:val="vkekvd"/>
          <w:rFonts w:eastAsiaTheme="majorEastAsia"/>
          <w:b w:val="0"/>
          <w:bCs w:val="0"/>
        </w:rPr>
        <w:t xml:space="preserve">między miastem a wsią, </w:t>
      </w:r>
      <w:r w:rsidR="004E4180">
        <w:rPr>
          <w:rStyle w:val="vkekvd"/>
          <w:rFonts w:eastAsiaTheme="majorEastAsia"/>
          <w:b w:val="0"/>
          <w:bCs w:val="0"/>
        </w:rPr>
        <w:t>nadal</w:t>
      </w:r>
      <w:r>
        <w:rPr>
          <w:rStyle w:val="vkekvd"/>
          <w:rFonts w:eastAsiaTheme="majorEastAsia"/>
          <w:b w:val="0"/>
          <w:bCs w:val="0"/>
        </w:rPr>
        <w:t xml:space="preserve"> m</w:t>
      </w:r>
      <w:r w:rsidR="007C6022">
        <w:rPr>
          <w:rStyle w:val="vkekvd"/>
          <w:rFonts w:eastAsiaTheme="majorEastAsia"/>
          <w:b w:val="0"/>
          <w:bCs w:val="0"/>
        </w:rPr>
        <w:t>ieszkańcy wsi dysponowali</w:t>
      </w:r>
      <w:r>
        <w:rPr>
          <w:rStyle w:val="vkekvd"/>
          <w:rFonts w:eastAsiaTheme="majorEastAsia"/>
          <w:b w:val="0"/>
          <w:bCs w:val="0"/>
        </w:rPr>
        <w:t xml:space="preserve"> niższymi dochodami</w:t>
      </w:r>
      <w:r w:rsidR="00C4316D">
        <w:rPr>
          <w:rStyle w:val="vkekvd"/>
          <w:rFonts w:eastAsiaTheme="majorEastAsia"/>
          <w:b w:val="0"/>
          <w:bCs w:val="0"/>
        </w:rPr>
        <w:t xml:space="preserve"> (miasta ogółem – 71,6 tys. zł; wieś ogółem – 60,4 tys. zł)</w:t>
      </w:r>
      <w:r w:rsidRPr="00D15B75">
        <w:rPr>
          <w:rStyle w:val="vkekvd"/>
          <w:rFonts w:eastAsiaTheme="majorEastAsia"/>
          <w:b w:val="0"/>
          <w:bCs w:val="0"/>
        </w:rPr>
        <w:t>.</w:t>
      </w:r>
    </w:p>
    <w:p w14:paraId="73D7D788" w14:textId="5EB1C445" w:rsidR="00DE0294" w:rsidRDefault="004E4180" w:rsidP="00004F1D">
      <w:pPr>
        <w:pStyle w:val="Tytutablicy"/>
        <w:keepNext w:val="0"/>
        <w:spacing w:before="120" w:line="288" w:lineRule="auto"/>
        <w:rPr>
          <w:rStyle w:val="vkekvd"/>
          <w:rFonts w:eastAsiaTheme="majorEastAsia"/>
          <w:b w:val="0"/>
          <w:bCs w:val="0"/>
        </w:rPr>
      </w:pPr>
      <w:r>
        <w:rPr>
          <w:rStyle w:val="vkekvd"/>
          <w:rFonts w:eastAsiaTheme="majorEastAsia"/>
          <w:b w:val="0"/>
          <w:bCs w:val="0"/>
        </w:rPr>
        <w:t xml:space="preserve">Jednocześnie </w:t>
      </w:r>
      <w:r w:rsidR="00E53FF5">
        <w:rPr>
          <w:rStyle w:val="vkekvd"/>
          <w:rFonts w:eastAsiaTheme="majorEastAsia"/>
          <w:b w:val="0"/>
          <w:bCs w:val="0"/>
        </w:rPr>
        <w:t xml:space="preserve">przeciętne </w:t>
      </w:r>
      <w:r w:rsidR="00DE0294">
        <w:rPr>
          <w:rStyle w:val="vkekvd"/>
          <w:rFonts w:eastAsiaTheme="majorEastAsia"/>
          <w:b w:val="0"/>
          <w:bCs w:val="0"/>
        </w:rPr>
        <w:t>d</w:t>
      </w:r>
      <w:r w:rsidR="00DE0294" w:rsidRPr="0042355C">
        <w:rPr>
          <w:rStyle w:val="vkekvd"/>
          <w:rFonts w:eastAsiaTheme="majorEastAsia"/>
          <w:b w:val="0"/>
          <w:bCs w:val="0"/>
        </w:rPr>
        <w:t xml:space="preserve">ochody </w:t>
      </w:r>
      <w:r w:rsidR="00E53FF5">
        <w:rPr>
          <w:rStyle w:val="vkekvd"/>
          <w:rFonts w:eastAsiaTheme="majorEastAsia"/>
          <w:b w:val="0"/>
          <w:bCs w:val="0"/>
        </w:rPr>
        <w:t xml:space="preserve">osób </w:t>
      </w:r>
      <w:r w:rsidR="005E2AAD">
        <w:rPr>
          <w:rStyle w:val="vkekvd"/>
          <w:rFonts w:eastAsiaTheme="majorEastAsia"/>
          <w:b w:val="0"/>
          <w:bCs w:val="0"/>
        </w:rPr>
        <w:t xml:space="preserve">zamieszkujących różne typy obszarów wiejskich </w:t>
      </w:r>
      <w:r>
        <w:rPr>
          <w:rStyle w:val="vkekvd"/>
          <w:rFonts w:eastAsiaTheme="majorEastAsia"/>
          <w:b w:val="0"/>
          <w:bCs w:val="0"/>
        </w:rPr>
        <w:t xml:space="preserve">znacznie </w:t>
      </w:r>
      <w:r w:rsidR="005E2AAD">
        <w:rPr>
          <w:rStyle w:val="vkekvd"/>
          <w:rFonts w:eastAsiaTheme="majorEastAsia"/>
          <w:b w:val="0"/>
          <w:bCs w:val="0"/>
        </w:rPr>
        <w:t xml:space="preserve">różniły </w:t>
      </w:r>
      <w:r w:rsidR="00E17FC1">
        <w:rPr>
          <w:rStyle w:val="vkekvd"/>
          <w:rFonts w:eastAsiaTheme="majorEastAsia"/>
          <w:b w:val="0"/>
          <w:bCs w:val="0"/>
        </w:rPr>
        <w:t xml:space="preserve">się. </w:t>
      </w:r>
      <w:r w:rsidR="00124572">
        <w:rPr>
          <w:rStyle w:val="vkekvd"/>
          <w:rFonts w:eastAsiaTheme="majorEastAsia"/>
          <w:b w:val="0"/>
          <w:bCs w:val="0"/>
        </w:rPr>
        <w:t>Osoby</w:t>
      </w:r>
      <w:r w:rsidR="00DE0294" w:rsidRPr="0042355C">
        <w:rPr>
          <w:rStyle w:val="vkekvd"/>
          <w:rFonts w:eastAsiaTheme="majorEastAsia"/>
          <w:b w:val="0"/>
          <w:bCs w:val="0"/>
        </w:rPr>
        <w:t xml:space="preserve"> </w:t>
      </w:r>
      <w:r w:rsidR="00124572">
        <w:rPr>
          <w:rStyle w:val="vkekvd"/>
          <w:rFonts w:eastAsiaTheme="majorEastAsia"/>
          <w:b w:val="0"/>
          <w:bCs w:val="0"/>
        </w:rPr>
        <w:t xml:space="preserve">mieszkające </w:t>
      </w:r>
      <w:r w:rsidR="00DE0294" w:rsidRPr="0042355C">
        <w:rPr>
          <w:rStyle w:val="vkekvd"/>
          <w:rFonts w:eastAsiaTheme="majorEastAsia"/>
          <w:b w:val="0"/>
          <w:bCs w:val="0"/>
        </w:rPr>
        <w:t>na obszarach o dużej gęstości zaludnienia, położone w strefach oddziaływania aglomer</w:t>
      </w:r>
      <w:r w:rsidR="00DE0294">
        <w:rPr>
          <w:rStyle w:val="vkekvd"/>
          <w:rFonts w:eastAsiaTheme="majorEastAsia"/>
          <w:b w:val="0"/>
          <w:bCs w:val="0"/>
        </w:rPr>
        <w:t>acji (a</w:t>
      </w:r>
      <w:r w:rsidR="00DE0294" w:rsidRPr="0042355C">
        <w:rPr>
          <w:rStyle w:val="vkekvd"/>
          <w:rFonts w:eastAsiaTheme="majorEastAsia"/>
          <w:b w:val="0"/>
          <w:bCs w:val="0"/>
        </w:rPr>
        <w:t>glomeracyjne obszary wiejskie</w:t>
      </w:r>
      <w:r w:rsidR="00DE0294">
        <w:rPr>
          <w:rStyle w:val="vkekvd"/>
          <w:rFonts w:eastAsiaTheme="majorEastAsia"/>
          <w:b w:val="0"/>
          <w:bCs w:val="0"/>
        </w:rPr>
        <w:t xml:space="preserve"> - wieś podmiejska), osiągnęły zdecydowanie w</w:t>
      </w:r>
      <w:r w:rsidR="00DE0294" w:rsidRPr="0042355C">
        <w:rPr>
          <w:rStyle w:val="vkekvd"/>
          <w:rFonts w:eastAsiaTheme="majorEastAsia"/>
          <w:b w:val="0"/>
          <w:bCs w:val="0"/>
        </w:rPr>
        <w:t>yższe dochody</w:t>
      </w:r>
      <w:r w:rsidR="00DE0294">
        <w:rPr>
          <w:rStyle w:val="vkekvd"/>
          <w:rFonts w:eastAsiaTheme="majorEastAsia"/>
          <w:b w:val="0"/>
          <w:bCs w:val="0"/>
        </w:rPr>
        <w:t xml:space="preserve"> niż osoby z gospodarstw mieszkających w</w:t>
      </w:r>
      <w:r w:rsidR="006863E6">
        <w:rPr>
          <w:rStyle w:val="vkekvd"/>
          <w:rFonts w:eastAsiaTheme="majorEastAsia"/>
          <w:b w:val="0"/>
          <w:bCs w:val="0"/>
        </w:rPr>
        <w:t> </w:t>
      </w:r>
      <w:r w:rsidR="00DE0294">
        <w:rPr>
          <w:rStyle w:val="vkekvd"/>
          <w:rFonts w:eastAsiaTheme="majorEastAsia"/>
          <w:b w:val="0"/>
          <w:bCs w:val="0"/>
        </w:rPr>
        <w:t>odda</w:t>
      </w:r>
      <w:r w:rsidR="00EB6A0B">
        <w:rPr>
          <w:rStyle w:val="vkekvd"/>
          <w:rFonts w:eastAsiaTheme="majorEastAsia"/>
          <w:b w:val="0"/>
          <w:bCs w:val="0"/>
        </w:rPr>
        <w:t>-</w:t>
      </w:r>
      <w:r w:rsidR="00DE0294">
        <w:rPr>
          <w:rStyle w:val="vkekvd"/>
          <w:rFonts w:eastAsiaTheme="majorEastAsia"/>
          <w:b w:val="0"/>
          <w:bCs w:val="0"/>
        </w:rPr>
        <w:t>leniu od dużych miast (</w:t>
      </w:r>
      <w:proofErr w:type="spellStart"/>
      <w:r w:rsidR="00DE0294" w:rsidRPr="001A3C74">
        <w:rPr>
          <w:rStyle w:val="vkekvd"/>
          <w:rFonts w:eastAsiaTheme="majorEastAsia"/>
          <w:b w:val="0"/>
          <w:bCs w:val="0"/>
        </w:rPr>
        <w:t>pozaaglomeracyjne</w:t>
      </w:r>
      <w:proofErr w:type="spellEnd"/>
      <w:r w:rsidR="00DE0294" w:rsidRPr="001A3C74">
        <w:rPr>
          <w:rStyle w:val="vkekvd"/>
          <w:rFonts w:eastAsiaTheme="majorEastAsia"/>
          <w:b w:val="0"/>
          <w:bCs w:val="0"/>
        </w:rPr>
        <w:t xml:space="preserve"> obszary wiejskie</w:t>
      </w:r>
      <w:r w:rsidR="00DE0294">
        <w:rPr>
          <w:rStyle w:val="vkekvd"/>
          <w:rFonts w:eastAsiaTheme="majorEastAsia"/>
          <w:b w:val="0"/>
          <w:bCs w:val="0"/>
        </w:rPr>
        <w:t>)</w:t>
      </w:r>
      <w:r w:rsidR="00DE0294" w:rsidRPr="0042355C">
        <w:rPr>
          <w:rStyle w:val="vkekvd"/>
          <w:rFonts w:eastAsiaTheme="majorEastAsia"/>
          <w:b w:val="0"/>
          <w:bCs w:val="0"/>
        </w:rPr>
        <w:t>.</w:t>
      </w:r>
    </w:p>
    <w:p w14:paraId="10E5F3EC" w14:textId="77777777" w:rsidR="009B425E" w:rsidRDefault="009B425E" w:rsidP="00236F54">
      <w:pPr>
        <w:pStyle w:val="Tytutablicy"/>
        <w:keepNext w:val="0"/>
        <w:spacing w:line="288" w:lineRule="auto"/>
        <w:ind w:left="851" w:hanging="851"/>
        <w:rPr>
          <w:rStyle w:val="vkekvd"/>
          <w:rFonts w:eastAsiaTheme="majorEastAsia" w:cs="Arial"/>
          <w:color w:val="0A0A0A"/>
          <w:shd w:val="clear" w:color="auto" w:fill="FFFFFF"/>
        </w:rPr>
      </w:pPr>
      <w:r>
        <w:rPr>
          <w:rStyle w:val="vkekvd"/>
          <w:rFonts w:eastAsiaTheme="majorEastAsia" w:cs="Arial"/>
          <w:color w:val="0A0A0A"/>
          <w:shd w:val="clear" w:color="auto" w:fill="FFFFFF"/>
        </w:rPr>
        <w:br w:type="page"/>
      </w:r>
    </w:p>
    <w:p w14:paraId="47A4EEE0" w14:textId="59024F76" w:rsidR="00375056" w:rsidRPr="00236F54" w:rsidRDefault="00375056" w:rsidP="00004F1D">
      <w:pPr>
        <w:pStyle w:val="Tytutablicy"/>
        <w:keepNext w:val="0"/>
        <w:ind w:left="907" w:hanging="907"/>
        <w:rPr>
          <w:rStyle w:val="vkekvd"/>
          <w:rFonts w:eastAsiaTheme="majorEastAsia" w:cs="Arial"/>
          <w:color w:val="0A0A0A"/>
          <w:spacing w:val="-4"/>
          <w:shd w:val="clear" w:color="auto" w:fill="FFFFFF"/>
        </w:rPr>
      </w:pPr>
      <w:r>
        <w:rPr>
          <w:rStyle w:val="vkekvd"/>
          <w:rFonts w:eastAsiaTheme="majorEastAsia" w:cs="Arial"/>
          <w:color w:val="0A0A0A"/>
          <w:shd w:val="clear" w:color="auto" w:fill="FFFFFF"/>
        </w:rPr>
        <w:lastRenderedPageBreak/>
        <w:t xml:space="preserve">Tablica </w:t>
      </w:r>
      <w:r w:rsidR="00AB18F2">
        <w:rPr>
          <w:rStyle w:val="vkekvd"/>
          <w:rFonts w:eastAsiaTheme="majorEastAsia" w:cs="Arial"/>
          <w:color w:val="0A0A0A"/>
          <w:shd w:val="clear" w:color="auto" w:fill="FFFFFF"/>
        </w:rPr>
        <w:t>2</w:t>
      </w:r>
      <w:r>
        <w:rPr>
          <w:rStyle w:val="vkekvd"/>
          <w:rFonts w:eastAsiaTheme="majorEastAsia" w:cs="Arial"/>
          <w:color w:val="0A0A0A"/>
          <w:shd w:val="clear" w:color="auto" w:fill="FFFFFF"/>
        </w:rPr>
        <w:t xml:space="preserve">. </w:t>
      </w:r>
      <w:r w:rsidRPr="00236F54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 xml:space="preserve">Wskaźnik pogłębionej deprywacji materialnej i społecznej oraz </w:t>
      </w:r>
      <w:r w:rsidR="00CB0AB0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 xml:space="preserve">mediana i </w:t>
      </w:r>
      <w:r w:rsidR="004C5DC8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>przeciętny</w:t>
      </w:r>
      <w:r w:rsidR="00851E70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 xml:space="preserve"> </w:t>
      </w:r>
      <w:r w:rsidRPr="00236F54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>roczny ekwiwalentny</w:t>
      </w:r>
      <w:r w:rsidR="00BC2900">
        <w:rPr>
          <w:rStyle w:val="Odwoanieprzypisudolnego"/>
          <w:rFonts w:eastAsiaTheme="majorEastAsia" w:cs="Arial"/>
          <w:color w:val="0A0A0A"/>
          <w:spacing w:val="-4"/>
          <w:shd w:val="clear" w:color="auto" w:fill="FFFFFF"/>
        </w:rPr>
        <w:footnoteReference w:id="4"/>
      </w:r>
      <w:r w:rsidRPr="00236F54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 xml:space="preserve"> dochód do dyspozycji </w:t>
      </w:r>
      <w:r w:rsidR="00D23AD5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>na osobę</w:t>
      </w:r>
      <w:r w:rsidR="00C65124">
        <w:rPr>
          <w:rStyle w:val="Odwoanieprzypisudolnego"/>
          <w:rFonts w:eastAsiaTheme="majorEastAsia" w:cs="Arial"/>
          <w:color w:val="0A0A0A"/>
          <w:spacing w:val="-4"/>
          <w:shd w:val="clear" w:color="auto" w:fill="FFFFFF"/>
        </w:rPr>
        <w:footnoteReference w:id="5"/>
      </w:r>
      <w:r w:rsidR="00D23AD5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 xml:space="preserve"> </w:t>
      </w:r>
      <w:r w:rsidRPr="00236F54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>wg klasy miejscowości</w:t>
      </w:r>
      <w:r w:rsidR="00F4226B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 xml:space="preserve"> </w:t>
      </w:r>
      <w:r w:rsidR="00545177" w:rsidRPr="00236F54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>w</w:t>
      </w:r>
      <w:r w:rsidR="006863E6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> </w:t>
      </w:r>
      <w:r w:rsidR="00545177" w:rsidRPr="00236F54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 xml:space="preserve">Polsce </w:t>
      </w:r>
      <w:r w:rsidR="00F4226B" w:rsidRPr="00236F54">
        <w:rPr>
          <w:rStyle w:val="vkekvd"/>
          <w:rFonts w:eastAsiaTheme="majorEastAsia" w:cs="Arial"/>
          <w:color w:val="0A0A0A"/>
          <w:spacing w:val="-4"/>
          <w:shd w:val="clear" w:color="auto" w:fill="FFFFFF"/>
        </w:rPr>
        <w:t>w 2025 r.</w:t>
      </w:r>
    </w:p>
    <w:tbl>
      <w:tblPr>
        <w:tblW w:w="784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24"/>
        <w:gridCol w:w="1394"/>
        <w:gridCol w:w="1247"/>
        <w:gridCol w:w="1247"/>
        <w:gridCol w:w="1247"/>
      </w:tblGrid>
      <w:tr w:rsidR="00375056" w:rsidRPr="008258A8" w14:paraId="1A221E16" w14:textId="77777777" w:rsidTr="00D74D8D">
        <w:trPr>
          <w:trHeight w:val="20"/>
        </w:trPr>
        <w:tc>
          <w:tcPr>
            <w:tcW w:w="4106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1D6CF05A" w14:textId="77777777" w:rsidR="00375056" w:rsidRPr="00BD27C2" w:rsidRDefault="00375056" w:rsidP="00BD27C2">
            <w:pPr>
              <w:spacing w:line="200" w:lineRule="exact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 xml:space="preserve">Klasy miejscowości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74D7287" w14:textId="460C0F13" w:rsidR="00375056" w:rsidRPr="00BD27C2" w:rsidRDefault="00375056" w:rsidP="00ED51DF">
            <w:pPr>
              <w:spacing w:line="200" w:lineRule="exact"/>
              <w:ind w:left="-57" w:right="-57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 xml:space="preserve">Wskaźnik </w:t>
            </w:r>
            <w:r w:rsidR="009450CA"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 xml:space="preserve">pogłębionej </w:t>
            </w: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deprywacji materialnej i</w:t>
            </w:r>
            <w:r w:rsidR="00ED51DF">
              <w:rPr>
                <w:rFonts w:eastAsia="Times New Roman" w:cs="Calibri"/>
                <w:color w:val="000000" w:themeColor="text1"/>
                <w:sz w:val="18"/>
                <w:szCs w:val="18"/>
              </w:rPr>
              <w:t> </w:t>
            </w: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społecznej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12F89F8" w14:textId="580F9D4B" w:rsidR="00375056" w:rsidRPr="00BD27C2" w:rsidRDefault="00D23AD5" w:rsidP="00BD27C2">
            <w:pPr>
              <w:spacing w:line="200" w:lineRule="exact"/>
              <w:ind w:left="-57" w:right="-57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D23AD5">
              <w:rPr>
                <w:rFonts w:eastAsia="Times New Roman" w:cs="Calibri"/>
                <w:color w:val="000000" w:themeColor="text1"/>
                <w:sz w:val="18"/>
                <w:szCs w:val="18"/>
              </w:rPr>
              <w:t>Przeciętny roczny ekwiwalentny dochód do dyspozycji na osobę</w:t>
            </w:r>
            <w:r>
              <w:rPr>
                <w:rStyle w:val="Odwoanieprzypisudolnego"/>
                <w:rFonts w:eastAsia="Times New Roman" w:cs="Calibri"/>
                <w:color w:val="000000" w:themeColor="text1"/>
                <w:sz w:val="18"/>
                <w:szCs w:val="18"/>
              </w:rPr>
              <w:footnoteReference w:id="6"/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7CCE2B5" w14:textId="57AB2272" w:rsidR="00375056" w:rsidRPr="00BD27C2" w:rsidRDefault="00375056" w:rsidP="00ED51DF">
            <w:pPr>
              <w:spacing w:line="200" w:lineRule="exact"/>
              <w:ind w:left="-57" w:right="-113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 xml:space="preserve">Mediana rocznego </w:t>
            </w:r>
            <w:proofErr w:type="spellStart"/>
            <w:r w:rsidRPr="00ED51DF">
              <w:rPr>
                <w:rFonts w:eastAsia="Times New Roman" w:cs="Calibri"/>
                <w:color w:val="000000" w:themeColor="text1"/>
                <w:spacing w:val="-4"/>
                <w:sz w:val="18"/>
                <w:szCs w:val="18"/>
              </w:rPr>
              <w:t>ekwiwalentne</w:t>
            </w:r>
            <w:r w:rsidR="00ED51DF">
              <w:rPr>
                <w:rFonts w:eastAsia="Times New Roman" w:cs="Calibri"/>
                <w:color w:val="000000" w:themeColor="text1"/>
                <w:spacing w:val="-4"/>
                <w:sz w:val="18"/>
                <w:szCs w:val="18"/>
              </w:rPr>
              <w:t>-</w:t>
            </w:r>
            <w:r w:rsidRPr="00ED51DF">
              <w:rPr>
                <w:rFonts w:eastAsia="Times New Roman" w:cs="Calibri"/>
                <w:color w:val="000000" w:themeColor="text1"/>
                <w:spacing w:val="-4"/>
                <w:sz w:val="18"/>
                <w:szCs w:val="18"/>
              </w:rPr>
              <w:t>go</w:t>
            </w:r>
            <w:proofErr w:type="spellEnd"/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 xml:space="preserve"> dochodu do dyspozycji</w:t>
            </w:r>
          </w:p>
        </w:tc>
      </w:tr>
      <w:tr w:rsidR="00375056" w:rsidRPr="008258A8" w14:paraId="4AFE3D73" w14:textId="77777777" w:rsidTr="00D74D8D">
        <w:trPr>
          <w:trHeight w:val="20"/>
        </w:trPr>
        <w:tc>
          <w:tcPr>
            <w:tcW w:w="4106" w:type="dxa"/>
            <w:gridSpan w:val="3"/>
            <w:vMerge/>
            <w:vAlign w:val="center"/>
            <w:hideMark/>
          </w:tcPr>
          <w:p w14:paraId="29E8EDC9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7F70FE9" w14:textId="77777777" w:rsidR="00375056" w:rsidRPr="00BD27C2" w:rsidRDefault="00375056" w:rsidP="00BD27C2">
            <w:pPr>
              <w:spacing w:line="200" w:lineRule="exact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w %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  <w:hideMark/>
          </w:tcPr>
          <w:p w14:paraId="0C2A39F6" w14:textId="77777777" w:rsidR="00375056" w:rsidRPr="00BD27C2" w:rsidRDefault="00375056" w:rsidP="00BD27C2">
            <w:pPr>
              <w:spacing w:line="200" w:lineRule="exact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w zł</w:t>
            </w:r>
          </w:p>
        </w:tc>
      </w:tr>
      <w:tr w:rsidR="00375056" w:rsidRPr="00FB4516" w14:paraId="2A1FF874" w14:textId="77777777" w:rsidTr="00D74D8D">
        <w:trPr>
          <w:trHeight w:val="20"/>
        </w:trPr>
        <w:tc>
          <w:tcPr>
            <w:tcW w:w="4106" w:type="dxa"/>
            <w:gridSpan w:val="3"/>
            <w:shd w:val="clear" w:color="auto" w:fill="auto"/>
            <w:vAlign w:val="center"/>
            <w:hideMark/>
          </w:tcPr>
          <w:p w14:paraId="16884FA1" w14:textId="77777777" w:rsidR="00375056" w:rsidRPr="00BD27C2" w:rsidRDefault="00375056" w:rsidP="00BD27C2">
            <w:pPr>
              <w:spacing w:line="200" w:lineRule="exact"/>
              <w:ind w:left="-57" w:right="-57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b/>
                <w:color w:val="000000"/>
                <w:sz w:val="18"/>
                <w:szCs w:val="18"/>
              </w:rPr>
              <w:t>Ogółem kraj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6387B8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b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5A421C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b/>
                <w:color w:val="000000"/>
                <w:sz w:val="18"/>
                <w:szCs w:val="18"/>
              </w:rPr>
              <w:t>67 120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A702B7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b/>
                <w:color w:val="000000"/>
                <w:sz w:val="18"/>
                <w:szCs w:val="18"/>
              </w:rPr>
              <w:t>61 976</w:t>
            </w:r>
          </w:p>
        </w:tc>
      </w:tr>
      <w:tr w:rsidR="00375056" w:rsidRPr="008258A8" w14:paraId="504CE009" w14:textId="77777777" w:rsidTr="00D74D8D">
        <w:trPr>
          <w:trHeight w:val="20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278B490B" w14:textId="77777777" w:rsidR="00375056" w:rsidRPr="00BD27C2" w:rsidRDefault="00375056" w:rsidP="00BD27C2">
            <w:pPr>
              <w:spacing w:line="200" w:lineRule="exact"/>
              <w:ind w:left="-57" w:right="-57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 xml:space="preserve">Miasta 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14:paraId="257DE8BD" w14:textId="77777777" w:rsidR="00375056" w:rsidRPr="00BD27C2" w:rsidRDefault="00375056" w:rsidP="00BD27C2">
            <w:pPr>
              <w:spacing w:line="200" w:lineRule="exact"/>
              <w:ind w:left="-57" w:right="-57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5667E9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DD39E7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71 561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0307BE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65 470</w:t>
            </w:r>
          </w:p>
        </w:tc>
      </w:tr>
      <w:tr w:rsidR="00375056" w:rsidRPr="008258A8" w14:paraId="00487A83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303B9535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78D7E738" w14:textId="77777777" w:rsidR="00375056" w:rsidRPr="00BD27C2" w:rsidRDefault="00375056" w:rsidP="00BD27C2">
            <w:pPr>
              <w:spacing w:line="200" w:lineRule="exact"/>
              <w:ind w:left="-57" w:right="-57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o liczbie mieszkańców w tysiącach  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0DCE4ECD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500 i więcej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B1C0E6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421AC3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86 213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097133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76 859</w:t>
            </w:r>
          </w:p>
        </w:tc>
      </w:tr>
      <w:tr w:rsidR="00375056" w:rsidRPr="008258A8" w14:paraId="3E3125B3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7790A3EA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02ED4E49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64E0F533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200-499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2B8597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B0B718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75 420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6CC0E7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69 286</w:t>
            </w:r>
          </w:p>
        </w:tc>
      </w:tr>
      <w:tr w:rsidR="00375056" w:rsidRPr="008258A8" w14:paraId="49FC8781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7E801E50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1417DE8C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72C16185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100-199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C72226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760F4F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69 563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35F4C8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63 891</w:t>
            </w:r>
          </w:p>
        </w:tc>
      </w:tr>
      <w:tr w:rsidR="00375056" w:rsidRPr="008258A8" w14:paraId="6E9E3560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77E73A99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7CBFFE82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6C93B60A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20-99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BB7E5D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EBA2CF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66 750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D19DC3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62 317</w:t>
            </w:r>
          </w:p>
        </w:tc>
      </w:tr>
      <w:tr w:rsidR="00375056" w:rsidRPr="008258A8" w14:paraId="3D039898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4672A7AC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37975ECE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451CDF33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20 i mniej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AB839C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E500F0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63 965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61EE65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60 843</w:t>
            </w:r>
          </w:p>
        </w:tc>
      </w:tr>
      <w:tr w:rsidR="00375056" w:rsidRPr="008258A8" w14:paraId="547348E6" w14:textId="77777777" w:rsidTr="00D74D8D">
        <w:trPr>
          <w:trHeight w:val="20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4E01DB74" w14:textId="77777777" w:rsidR="00375056" w:rsidRPr="00BD27C2" w:rsidRDefault="00375056" w:rsidP="00BD27C2">
            <w:pPr>
              <w:spacing w:line="200" w:lineRule="exact"/>
              <w:ind w:left="-57" w:right="-57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Wieś wg delimitacji obszarów wiejskich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14:paraId="384CE1FC" w14:textId="77777777" w:rsidR="00375056" w:rsidRPr="00BD27C2" w:rsidRDefault="00375056" w:rsidP="00BD27C2">
            <w:pPr>
              <w:spacing w:line="200" w:lineRule="exact"/>
              <w:ind w:left="-57" w:right="-57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864926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B13761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60 435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A678C0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56 726</w:t>
            </w:r>
          </w:p>
        </w:tc>
      </w:tr>
      <w:tr w:rsidR="00375056" w:rsidRPr="008258A8" w14:paraId="0159DF58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65C06FCD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228DF9EB" w14:textId="7C67EDFE" w:rsidR="00375056" w:rsidRPr="00BD27C2" w:rsidRDefault="00236F54" w:rsidP="00BD27C2">
            <w:pPr>
              <w:spacing w:line="200" w:lineRule="exact"/>
              <w:ind w:left="-57" w:right="-57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a</w:t>
            </w:r>
            <w:r w:rsidR="00375056"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glomeracyjne obszary wiejskie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3BB97C2C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DD689E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035DED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68 552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370F7C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64 125</w:t>
            </w:r>
          </w:p>
        </w:tc>
      </w:tr>
      <w:tr w:rsidR="00375056" w:rsidRPr="008258A8" w14:paraId="0AD510C9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6FD9D788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132E6ED3" w14:textId="77777777" w:rsidR="00375056" w:rsidRPr="00BD27C2" w:rsidRDefault="00375056" w:rsidP="00BD27C2">
            <w:pPr>
              <w:spacing w:line="200" w:lineRule="exact"/>
              <w:ind w:right="-57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775E61C0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o dużej gęstości zaludnienia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D8FF6D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CC0263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74 284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8491AB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68 682</w:t>
            </w:r>
          </w:p>
        </w:tc>
      </w:tr>
      <w:tr w:rsidR="00375056" w:rsidRPr="008258A8" w14:paraId="1B581817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2AF1A352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13135264" w14:textId="77777777" w:rsidR="00375056" w:rsidRPr="00BD27C2" w:rsidRDefault="00375056" w:rsidP="00BD27C2">
            <w:pPr>
              <w:spacing w:line="200" w:lineRule="exact"/>
              <w:ind w:right="-57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674C7262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o małej gęstości zaludnienia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CD124F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445271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62 832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1B88B3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59 659</w:t>
            </w:r>
          </w:p>
        </w:tc>
      </w:tr>
      <w:tr w:rsidR="00375056" w:rsidRPr="008258A8" w14:paraId="5F3C714F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1DA0F4C3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42DA9E7A" w14:textId="4B983F53" w:rsidR="00375056" w:rsidRPr="00BD27C2" w:rsidRDefault="00236F54" w:rsidP="00BD27C2">
            <w:pPr>
              <w:spacing w:line="200" w:lineRule="exact"/>
              <w:ind w:left="-57" w:right="-57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proofErr w:type="spellStart"/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p</w:t>
            </w:r>
            <w:r w:rsidR="00375056"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ozaaglomeracyjne</w:t>
            </w:r>
            <w:proofErr w:type="spellEnd"/>
            <w:r w:rsidR="00375056"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 xml:space="preserve"> obszary wiejskie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57FE8CA7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66D6CE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4B8B82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57 566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33B891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54 610</w:t>
            </w:r>
          </w:p>
        </w:tc>
      </w:tr>
      <w:tr w:rsidR="00375056" w:rsidRPr="008258A8" w14:paraId="794D0B4F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2CD3CD59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5479AD84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5B028727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o dużej gęstości zaludnienia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07DA15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461538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58 630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A8EB05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55 944</w:t>
            </w:r>
          </w:p>
        </w:tc>
      </w:tr>
      <w:tr w:rsidR="00375056" w:rsidRPr="008258A8" w14:paraId="1B3A805B" w14:textId="77777777" w:rsidTr="00D74D8D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1BB7D681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76ACCFA1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5EA6393D" w14:textId="77777777" w:rsidR="00375056" w:rsidRPr="00BD27C2" w:rsidRDefault="00375056" w:rsidP="00BD27C2">
            <w:pPr>
              <w:spacing w:line="200" w:lineRule="exact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 w:themeColor="text1"/>
                <w:sz w:val="18"/>
                <w:szCs w:val="18"/>
              </w:rPr>
              <w:t>o małej gęstości zaludnienia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EECCC7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32AC2F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55 438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046243" w14:textId="77777777" w:rsidR="00375056" w:rsidRPr="00BD27C2" w:rsidRDefault="00375056" w:rsidP="00BD27C2">
            <w:pPr>
              <w:spacing w:line="200" w:lineRule="exact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D27C2">
              <w:rPr>
                <w:rFonts w:eastAsia="Times New Roman" w:cs="Calibri"/>
                <w:color w:val="000000"/>
                <w:sz w:val="18"/>
                <w:szCs w:val="18"/>
              </w:rPr>
              <w:t>51 844</w:t>
            </w:r>
          </w:p>
        </w:tc>
      </w:tr>
    </w:tbl>
    <w:p w14:paraId="1A9FC4BE" w14:textId="77777777" w:rsidR="00943AAE" w:rsidRDefault="00943AAE" w:rsidP="00AB4665">
      <w:pPr>
        <w:shd w:val="clear" w:color="auto" w:fill="FFFFFF"/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</w:p>
    <w:p w14:paraId="756A6FB6" w14:textId="6B4D96D1" w:rsidR="00E53FF5" w:rsidRPr="00943AAE" w:rsidRDefault="00F1434E" w:rsidP="00004F1D">
      <w:pPr>
        <w:shd w:val="clear" w:color="auto" w:fill="FFFFFF"/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</w:pPr>
      <w:r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lastRenderedPageBreak/>
        <w:t xml:space="preserve">Dane </w:t>
      </w:r>
      <w:r w:rsidR="00D97A50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w </w:t>
      </w:r>
      <w:r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powyż</w:t>
      </w:r>
      <w:r w:rsidR="00943AAE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sz</w:t>
      </w:r>
      <w:r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ej tabeli wskazują na powiązanie pomiędzy </w:t>
      </w:r>
      <w:r w:rsidR="008461B7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przeciętnymi</w:t>
      </w:r>
      <w:r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 rocznymi dochodami ekwiwalentnymi do dyspoz</w:t>
      </w:r>
      <w:r w:rsidR="00427D05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y</w:t>
      </w:r>
      <w:r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cji </w:t>
      </w:r>
      <w:r w:rsidR="00D97A50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członków gospodarstw domowych</w:t>
      </w:r>
      <w:r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 </w:t>
      </w:r>
      <w:r w:rsidR="007D1F1F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a</w:t>
      </w:r>
      <w:r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 wska</w:t>
      </w:r>
      <w:r w:rsidR="00427D05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ź</w:t>
      </w:r>
      <w:r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nikami deprywacji materialnej i społecznej </w:t>
      </w:r>
      <w:r w:rsidR="002947D1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–</w:t>
      </w:r>
      <w:r w:rsidR="007D1F1F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 </w:t>
      </w:r>
      <w:r w:rsidR="00375056" w:rsidRPr="00943AAE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im wyższe średnie dochody tym niższy wskaźnik deprywacji. </w:t>
      </w:r>
    </w:p>
    <w:p w14:paraId="2E5AD8A2" w14:textId="3FB00B14" w:rsidR="00375056" w:rsidRDefault="00943AAE" w:rsidP="009E1909">
      <w:pPr>
        <w:shd w:val="clear" w:color="auto" w:fill="FFFFFF"/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C23CF" wp14:editId="42A91313">
                <wp:simplePos x="0" y="0"/>
                <wp:positionH relativeFrom="column">
                  <wp:posOffset>5356225</wp:posOffset>
                </wp:positionH>
                <wp:positionV relativeFrom="paragraph">
                  <wp:posOffset>1173669</wp:posOffset>
                </wp:positionV>
                <wp:extent cx="1620000" cy="1876567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87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63F17" w14:textId="67E0F3FE" w:rsidR="00521023" w:rsidRDefault="00521023" w:rsidP="009E1909">
                            <w:pPr>
                              <w:spacing w:before="0" w:after="0"/>
                            </w:pPr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Przeciętny roczny ekwiwalentny dochód do</w:t>
                            </w:r>
                            <w:r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dyspozycji członków gospodarstw domowych na</w:t>
                            </w:r>
                            <w:r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 xml:space="preserve">terenach wsi </w:t>
                            </w:r>
                            <w:proofErr w:type="spellStart"/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podmiej</w:t>
                            </w:r>
                            <w:r w:rsidR="00831131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skich</w:t>
                            </w:r>
                            <w:proofErr w:type="spellEnd"/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 xml:space="preserve"> był w 2025 r. wyższy o</w:t>
                            </w:r>
                            <w:r w:rsidR="00831131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ok. 11 tys. zł w</w:t>
                            </w:r>
                            <w:r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stosunku do dochodu osób mieszkających na</w:t>
                            </w:r>
                            <w:r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wsiach położonych w</w:t>
                            </w:r>
                            <w:r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6863E6">
                              <w:rPr>
                                <w:rFonts w:eastAsia="Times New Roman" w:cs="Calibri"/>
                                <w:color w:val="001D77"/>
                                <w:sz w:val="18"/>
                                <w:szCs w:val="18"/>
                              </w:rPr>
                              <w:t>oddaleniu od dużych miast.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23CF" id="Pole tekstowe 11" o:spid="_x0000_s1029" type="#_x0000_t202" style="position:absolute;margin-left:421.75pt;margin-top:92.4pt;width:127.55pt;height:14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" filled="f" stroked="f" strokeweight=".5pt">
                <v:textbox>
                  <w:txbxContent>
                    <w:p w14:paraId="76063F17" w14:textId="67E0F3FE" w:rsidR="00521023" w:rsidRDefault="00521023" w:rsidP="009E1909">
                      <w:pPr>
                        <w:spacing w:before="0" w:after="0"/>
                      </w:pPr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Przeciętny roczny ekwiwalentny dochód do</w:t>
                      </w:r>
                      <w:r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dyspozycji członków gospodarstw domowych na</w:t>
                      </w:r>
                      <w:r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 xml:space="preserve">terenach wsi </w:t>
                      </w:r>
                      <w:proofErr w:type="spellStart"/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podmiej</w:t>
                      </w:r>
                      <w:r w:rsidR="00831131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skich</w:t>
                      </w:r>
                      <w:proofErr w:type="spellEnd"/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 xml:space="preserve"> był w 2025 r. wyższy o</w:t>
                      </w:r>
                      <w:r w:rsidR="00831131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ok. 11 tys. zł w</w:t>
                      </w:r>
                      <w:r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stosunku do dochodu osób mieszkających na</w:t>
                      </w:r>
                      <w:r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wsiach położonych w</w:t>
                      </w:r>
                      <w:r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6863E6">
                        <w:rPr>
                          <w:rFonts w:eastAsia="Times New Roman" w:cs="Calibri"/>
                          <w:color w:val="001D77"/>
                          <w:sz w:val="18"/>
                          <w:szCs w:val="18"/>
                        </w:rPr>
                        <w:t>oddaleniu od dużych miast.</w:t>
                      </w:r>
                    </w:p>
                  </w:txbxContent>
                </v:textbox>
              </v:shape>
            </w:pict>
          </mc:Fallback>
        </mc:AlternateConten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Największe miasta charakteryzujące się najwyższymi </w:t>
      </w:r>
      <w:r w:rsidR="008461B7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przeciętnymi 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dochodami</w:t>
      </w:r>
      <w:r w:rsidR="00F1434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="008461B7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do dyspozycji</w:t>
      </w:r>
      <w:r w:rsidR="00F1434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(86,2</w:t>
      </w:r>
      <w:r w:rsidR="00D74D8D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tys. zł w miastach o liczbie mieszkańców 500 tys. lub więcej) odnotowały w 2025 r. najniższy wskaźnik deprywacji materialnej i społecznej </w:t>
      </w:r>
      <w:r w:rsidR="006C62CF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(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poniżej 1%</w:t>
      </w:r>
      <w:r w:rsidR="006C62CF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)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. </w:t>
      </w:r>
      <w:r w:rsidR="00E53FF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Z kolei c</w:t>
      </w:r>
      <w:r w:rsidR="00617223">
        <w:t>złonkowie gospodarstw zamieszkujący</w:t>
      </w:r>
      <w:r w:rsidR="00617223">
        <w:rPr>
          <w:rStyle w:val="Odwoaniedokomentarza"/>
        </w:rPr>
        <w:t xml:space="preserve"> 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najmniejsz</w:t>
      </w:r>
      <w:r w:rsidR="00617223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e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miast</w:t>
      </w:r>
      <w:r w:rsidR="00617223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a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(o liczbie mieszkańców 20 tys. lub mniej) osiągnęli średni roczny </w:t>
      </w:r>
      <w:r w:rsidR="00D1007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ekwiwalentny 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dochód do dyspozy</w:t>
      </w:r>
      <w:r w:rsidR="00521023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cji o ponad 22 tys. zł niższy i 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wskaźnik deprywacji wyższy o niemal 2 p. proc.</w:t>
      </w:r>
      <w:r w:rsidR="00F1434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w porównaniu z </w:t>
      </w:r>
      <w:r w:rsidR="00D1007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osobami </w:t>
      </w:r>
      <w:r w:rsidR="00C97A5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mieszkającymi w</w:t>
      </w:r>
      <w:r w:rsidR="00521023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="00C97A54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największych miastach.</w:t>
      </w:r>
    </w:p>
    <w:p w14:paraId="4BBAD7D9" w14:textId="728DA997" w:rsidR="00E53FF5" w:rsidRPr="00514BAC" w:rsidRDefault="00726372" w:rsidP="009E1909">
      <w:pPr>
        <w:shd w:val="clear" w:color="auto" w:fill="FFFFFF"/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Również tereny wiejskie charakteryzowały się dysproporcjami w wysokości przeciętnego dochodu do dyspozycji oraz wskaźnika deprywacji. </w:t>
      </w:r>
      <w:r w:rsidR="005F0A46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</w:t>
      </w:r>
      <w:r w:rsidR="005F0A4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iędzy dochodem </w:t>
      </w:r>
      <w:r w:rsidR="005F0A46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do dyspozycji osób mieszkających na</w:t>
      </w:r>
      <w:r w:rsidR="005F0A4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wsi</w:t>
      </w:r>
      <w:r w:rsidR="005F0A46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ach</w:t>
      </w:r>
      <w:r w:rsidR="005F0A4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zlokalizowanych bliżej ośrodków miejskich a pozostałymi terenami </w:t>
      </w:r>
      <w:r w:rsidR="005F0A46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wiejskimi odnotowano 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różnicę 11 tys. zł na korzyść wsi aglomeracyjnej.</w:t>
      </w:r>
      <w:r w:rsidR="00D5530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="00875C7A" w:rsidRPr="00875C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W 2025 r. tereny wiejskie </w:t>
      </w:r>
      <w:r w:rsidR="00875C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położone z dala od aglomeracji, charakteryzujące się niższymi</w:t>
      </w:r>
      <w:r w:rsidR="00875C7A" w:rsidRPr="00875C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</w:t>
      </w:r>
      <w:r w:rsidR="00875C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d</w:t>
      </w:r>
      <w:r w:rsidR="00875C7A" w:rsidRPr="00875C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ochoda</w:t>
      </w:r>
      <w:r w:rsidR="00875C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mi,</w:t>
      </w:r>
      <w:r w:rsidR="00E17FC1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</w:t>
      </w:r>
      <w:r w:rsidR="00875C7A">
        <w:rPr>
          <w:rStyle w:val="Pogrubienie"/>
          <w:rFonts w:cs="Times New Roman"/>
          <w:b w:val="0"/>
          <w:bCs w:val="0"/>
          <w:color w:val="000000" w:themeColor="text1"/>
          <w:szCs w:val="19"/>
          <w:lang w:eastAsia="pl-PL"/>
        </w:rPr>
        <w:t>cechował</w:t>
      </w:r>
      <w:r w:rsidR="00E51DE2">
        <w:rPr>
          <w:rStyle w:val="Pogrubienie"/>
          <w:rFonts w:cs="Times New Roman"/>
          <w:b w:val="0"/>
          <w:bCs w:val="0"/>
          <w:color w:val="000000" w:themeColor="text1"/>
          <w:szCs w:val="19"/>
          <w:lang w:eastAsia="pl-PL"/>
        </w:rPr>
        <w:t xml:space="preserve"> </w:t>
      </w:r>
      <w:r w:rsidR="00E51DE2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>wyższy odsetek</w:t>
      </w:r>
      <w:r w:rsidR="00875C7A" w:rsidRPr="00875C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osób</w:t>
      </w:r>
      <w:r w:rsidR="00875C7A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dotkniętych deprywacją podstawowych potrzeb.</w:t>
      </w:r>
      <w:r w:rsidR="00E51DE2">
        <w:rPr>
          <w:rStyle w:val="Pogrubienie"/>
          <w:rFonts w:cs="Times New Roman"/>
          <w:b w:val="0"/>
          <w:color w:val="000000" w:themeColor="text1"/>
          <w:szCs w:val="19"/>
          <w:lang w:eastAsia="pl-PL"/>
        </w:rPr>
        <w:t xml:space="preserve"> </w:t>
      </w:r>
      <w:r w:rsidR="00D5530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Różnica we wskaźniku pogłębionej deprywacji materialnej i społecznej między ob</w:t>
      </w:r>
      <w:r w:rsidR="004B688E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o</w:t>
      </w:r>
      <w:r w:rsidR="00D5530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ma typami obszarów wiejskich wyniosła w 2025 r. 0,8 p. proc. (wieś aglomeracyjna: wskaźnik 1,5%; wieś </w:t>
      </w:r>
      <w:proofErr w:type="spellStart"/>
      <w:r w:rsidR="00D5530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pozaaglomeracyjna</w:t>
      </w:r>
      <w:proofErr w:type="spellEnd"/>
      <w:r w:rsidR="00D5530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: wskaźnik 2</w:t>
      </w:r>
      <w:r w:rsidR="00C42999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,3%)</w:t>
      </w:r>
      <w:r w:rsidR="00D55305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.</w:t>
      </w:r>
    </w:p>
    <w:p w14:paraId="4041371B" w14:textId="40950059" w:rsidR="007075D4" w:rsidRDefault="00F67474" w:rsidP="009E1909">
      <w:pPr>
        <w:shd w:val="clear" w:color="auto" w:fill="FFFFFF"/>
        <w:spacing w:line="288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S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ytuacja mieszkańców aglomeracyjnych obszarów wiejskich</w:t>
      </w:r>
      <w:r w:rsidR="00BA6B8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="004175C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była </w:t>
      </w:r>
      <w:r w:rsidR="004175C1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bardziej</w:t>
      </w:r>
      <w:r w:rsidR="00375056" w:rsidRPr="00514BA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zbliżona do sytuacji </w:t>
      </w:r>
      <w:r w:rsidR="00375056" w:rsidRPr="00521023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osób w miastach </w:t>
      </w:r>
      <w:r w:rsidR="004F7B3A" w:rsidRPr="00521023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o </w:t>
      </w:r>
      <w:r w:rsidR="007075D4" w:rsidRPr="00521023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średniej </w:t>
      </w:r>
      <w:r w:rsidR="004F7B3A" w:rsidRPr="00521023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liczbie mieszkańców</w:t>
      </w:r>
      <w:r w:rsidR="007075D4" w:rsidRPr="00521023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 xml:space="preserve"> niż do mieszkańców wsi </w:t>
      </w:r>
      <w:proofErr w:type="spellStart"/>
      <w:r w:rsidR="007075D4" w:rsidRPr="00521023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pozaaglomeracyjnej</w:t>
      </w:r>
      <w:proofErr w:type="spellEnd"/>
      <w:r w:rsidR="007075D4" w:rsidRPr="00521023">
        <w:rPr>
          <w:rStyle w:val="Pogrubienie"/>
          <w:rFonts w:eastAsia="Times New Roman" w:cs="Times New Roman"/>
          <w:b w:val="0"/>
          <w:color w:val="000000" w:themeColor="text1"/>
          <w:spacing w:val="-2"/>
          <w:szCs w:val="19"/>
          <w:lang w:eastAsia="pl-PL"/>
        </w:rPr>
        <w:t>.</w:t>
      </w:r>
    </w:p>
    <w:p w14:paraId="50D23A07" w14:textId="0817A129" w:rsidR="00375056" w:rsidRDefault="00514BAC" w:rsidP="009E1909">
      <w:pPr>
        <w:pStyle w:val="Tytutablicy"/>
        <w:keepNext w:val="0"/>
        <w:ind w:left="907" w:hanging="907"/>
        <w:rPr>
          <w:rStyle w:val="vkekvd"/>
          <w:rFonts w:eastAsiaTheme="majorEastAsia" w:cs="Arial"/>
          <w:color w:val="0A0A0A"/>
          <w:shd w:val="clear" w:color="auto" w:fill="FFFFFF"/>
        </w:rPr>
      </w:pPr>
      <w:r>
        <w:rPr>
          <w:rStyle w:val="Pogrubienie"/>
          <w:b/>
        </w:rPr>
        <w:t>Wykres 2</w:t>
      </w:r>
      <w:r w:rsidR="00375056" w:rsidRPr="00514BAC">
        <w:rPr>
          <w:rStyle w:val="Pogrubienie"/>
          <w:b/>
        </w:rPr>
        <w:t>.</w:t>
      </w:r>
      <w:r w:rsidR="008258A8">
        <w:rPr>
          <w:rStyle w:val="Pogrubienie"/>
          <w:b/>
        </w:rPr>
        <w:t xml:space="preserve"> </w:t>
      </w:r>
      <w:r w:rsidR="00375056">
        <w:rPr>
          <w:rStyle w:val="vkekvd"/>
          <w:rFonts w:eastAsiaTheme="majorEastAsia" w:cs="Arial"/>
          <w:color w:val="0A0A0A"/>
          <w:shd w:val="clear" w:color="auto" w:fill="FFFFFF"/>
        </w:rPr>
        <w:t xml:space="preserve">Wskaźnik pogłębionej deprywacji materialnej i społecznej oraz </w:t>
      </w:r>
      <w:r w:rsidR="005F70F9">
        <w:rPr>
          <w:rStyle w:val="vkekvd"/>
          <w:rFonts w:eastAsiaTheme="majorEastAsia" w:cs="Arial"/>
          <w:color w:val="0A0A0A"/>
          <w:shd w:val="clear" w:color="auto" w:fill="FFFFFF"/>
        </w:rPr>
        <w:t xml:space="preserve">średni </w:t>
      </w:r>
      <w:r w:rsidR="00375056">
        <w:rPr>
          <w:rStyle w:val="vkekvd"/>
          <w:rFonts w:eastAsiaTheme="majorEastAsia" w:cs="Arial"/>
          <w:color w:val="0A0A0A"/>
          <w:shd w:val="clear" w:color="auto" w:fill="FFFFFF"/>
        </w:rPr>
        <w:t xml:space="preserve">roczny ekwiwalentny dochód do dyspozycji </w:t>
      </w:r>
      <w:r w:rsidR="001D4716">
        <w:rPr>
          <w:rStyle w:val="vkekvd"/>
          <w:rFonts w:eastAsiaTheme="majorEastAsia" w:cs="Arial"/>
          <w:color w:val="0A0A0A"/>
          <w:shd w:val="clear" w:color="auto" w:fill="FFFFFF"/>
        </w:rPr>
        <w:t xml:space="preserve">na osobę </w:t>
      </w:r>
      <w:r w:rsidR="00573DD4">
        <w:rPr>
          <w:rStyle w:val="vkekvd"/>
          <w:rFonts w:eastAsiaTheme="majorEastAsia" w:cs="Arial"/>
          <w:color w:val="0A0A0A"/>
          <w:shd w:val="clear" w:color="auto" w:fill="FFFFFF"/>
        </w:rPr>
        <w:t xml:space="preserve">wg klasy miejscowości </w:t>
      </w:r>
      <w:r w:rsidR="001D3A94">
        <w:rPr>
          <w:rStyle w:val="vkekvd"/>
          <w:rFonts w:eastAsiaTheme="majorEastAsia" w:cs="Arial"/>
          <w:color w:val="0A0A0A"/>
          <w:shd w:val="clear" w:color="auto" w:fill="FFFFFF"/>
        </w:rPr>
        <w:br/>
      </w:r>
      <w:r w:rsidR="00375056">
        <w:rPr>
          <w:rStyle w:val="vkekvd"/>
          <w:rFonts w:eastAsiaTheme="majorEastAsia" w:cs="Arial"/>
          <w:color w:val="0A0A0A"/>
          <w:shd w:val="clear" w:color="auto" w:fill="FFFFFF"/>
        </w:rPr>
        <w:t>w Polsce w</w:t>
      </w:r>
      <w:r w:rsidR="00521023">
        <w:rPr>
          <w:rStyle w:val="vkekvd"/>
          <w:rFonts w:eastAsiaTheme="majorEastAsia" w:cs="Arial"/>
          <w:color w:val="0A0A0A"/>
          <w:shd w:val="clear" w:color="auto" w:fill="FFFFFF"/>
        </w:rPr>
        <w:t> </w:t>
      </w:r>
      <w:r w:rsidR="00375056">
        <w:rPr>
          <w:rStyle w:val="vkekvd"/>
          <w:rFonts w:eastAsiaTheme="majorEastAsia" w:cs="Arial"/>
          <w:color w:val="0A0A0A"/>
          <w:shd w:val="clear" w:color="auto" w:fill="FFFFFF"/>
        </w:rPr>
        <w:t xml:space="preserve"> 2025 r. </w:t>
      </w:r>
    </w:p>
    <w:p w14:paraId="7F3E7643" w14:textId="3517D6A8" w:rsidR="00375056" w:rsidRPr="00543F91" w:rsidRDefault="00424721" w:rsidP="00424721">
      <w:pPr>
        <w:spacing w:before="240" w:line="276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>
        <w:rPr>
          <w:rStyle w:val="Pogrubienie"/>
          <w:rFonts w:eastAsia="Times New Roman" w:cs="Times New Roman"/>
          <w:b w:val="0"/>
          <w:noProof/>
          <w:color w:val="000000" w:themeColor="text1"/>
          <w:szCs w:val="19"/>
          <w:lang w:eastAsia="pl-PL"/>
        </w:rPr>
        <w:drawing>
          <wp:inline distT="0" distB="0" distL="0" distR="0" wp14:anchorId="75A3E5CE" wp14:editId="64F76C1C">
            <wp:extent cx="4688205" cy="24206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ogrubienie"/>
          <w:rFonts w:eastAsia="Times New Roman" w:cs="Times New Roman"/>
          <w:b w:val="0"/>
          <w:noProof/>
          <w:color w:val="000000" w:themeColor="text1"/>
          <w:szCs w:val="19"/>
          <w:lang w:eastAsia="pl-PL"/>
        </w:rPr>
        <w:drawing>
          <wp:inline distT="0" distB="0" distL="0" distR="0" wp14:anchorId="1BDF10C1" wp14:editId="42362AE6">
            <wp:extent cx="4688205" cy="2414270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lastRenderedPageBreak/>
        <w:t>Obszary wiejskie pozostają bardziej narażone na deprywację materialną i społeczną niż mie</w:t>
      </w:r>
      <w:r w:rsidR="005C1FFA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jskie. </w:t>
      </w:r>
      <w:r w:rsidR="00CC2E0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Na </w:t>
      </w:r>
      <w:r w:rsidR="005C1FFA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wykres</w:t>
      </w:r>
      <w:r w:rsidR="00CC2E0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ie</w:t>
      </w:r>
      <w:r w:rsidR="005C1FFA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3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="00CC2E0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z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obraz</w:t>
      </w:r>
      <w:r w:rsidR="00CC2E02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owano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różnice między </w:t>
      </w:r>
      <w:r w:rsidR="0053031F">
        <w:t>miejs</w:t>
      </w:r>
      <w:r w:rsidR="008F16DF">
        <w:t xml:space="preserve">cem zamieszkania a </w:t>
      </w:r>
      <w:r w:rsidR="008F16DF" w:rsidRPr="008C7680">
        <w:t>brak</w:t>
      </w:r>
      <w:r w:rsidR="008F16DF">
        <w:t>iem</w:t>
      </w:r>
      <w:r w:rsidR="008F16DF" w:rsidRPr="008C7680">
        <w:t xml:space="preserve"> możliwości zaspokojenia wybranych potrzeb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.</w:t>
      </w:r>
    </w:p>
    <w:p w14:paraId="1A4BEF5E" w14:textId="5071627F" w:rsidR="00375056" w:rsidRPr="00543F91" w:rsidRDefault="00427D05" w:rsidP="009E1909">
      <w:pPr>
        <w:spacing w:line="276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Zaobserwowano </w:t>
      </w:r>
      <w:r w:rsidR="00B327C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z</w:t>
      </w:r>
      <w:r w:rsidR="00B327CC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bliżon</w:t>
      </w:r>
      <w:r w:rsidR="00B327C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y</w:t>
      </w:r>
      <w:r w:rsidR="00B327CC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odset</w:t>
      </w:r>
      <w:r w:rsidR="00B327CC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ek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braku możliwości zaspokojenia 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podstawowych 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potrzeb </w:t>
      </w:r>
      <w:r w:rsidR="007D21AD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fizjologicznych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, takich jak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: spożywanie mięsa, ryb (lub wegetariańskiego odpowiednika) co</w:t>
      </w:r>
      <w:r w:rsidR="00521023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drugi dzień, ogrzewanie mieszkania odpowiednio do potrzeb, oraz jednej z potrzeb 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</w:t>
      </w:r>
      <w:r w:rsidR="00521023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="004175C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zakresie </w:t>
      </w:r>
      <w:r w:rsidR="004175C1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bezpieczeństwa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finansowego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, tj.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terminowe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go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dokonywania 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opłat związan</w:t>
      </w:r>
      <w:r w:rsidR="004175C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ych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z</w:t>
      </w:r>
      <w:r w:rsidR="00521023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mieszkaniem. Niezależnie od miejsca zamieszkania</w:t>
      </w:r>
      <w:r w:rsidR="00375056" w:rsidRPr="00543F91">
        <w:rPr>
          <w:rStyle w:val="Odwoanieprzypisudolnego"/>
          <w:rFonts w:eastAsia="Times New Roman" w:cs="Times New Roman"/>
          <w:b/>
          <w:bCs/>
          <w:color w:val="000000" w:themeColor="text1"/>
          <w:szCs w:val="19"/>
          <w:lang w:eastAsia="pl-PL"/>
        </w:rPr>
        <w:footnoteReference w:id="7"/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brak możliwości zaspokojenia tych niezbędnych potrzeb deklarowało w 2025 r. 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od </w:t>
      </w:r>
      <w:r w:rsidR="00971E2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2,7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% </w:t>
      </w:r>
      <w:r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do </w:t>
      </w:r>
      <w:r w:rsidR="00971E20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3,7</w:t>
      </w:r>
      <w:r w:rsidR="00375056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% osób. </w:t>
      </w:r>
    </w:p>
    <w:p w14:paraId="6E2A997A" w14:textId="2D99C617" w:rsidR="00375056" w:rsidRPr="00543F91" w:rsidRDefault="00375056" w:rsidP="009E1909">
      <w:pPr>
        <w:spacing w:line="276" w:lineRule="auto"/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</w:pP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Wszystkie pozostałe potrzeby – niezwykle ważne dla dobrostanu człowieka</w:t>
      </w:r>
      <w:r w:rsidR="001907F6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,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ale zaspokajane dopiero w drugiej kolejności (po zaspokojeniu </w:t>
      </w:r>
      <w:r w:rsidR="00B87DA7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głodu i zabezpieczenia przed zimnem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) – wskazują na </w:t>
      </w:r>
      <w:r w:rsidR="009873B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silniejszą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deprywację obszarów wiejskich. Najwyższą różn</w:t>
      </w:r>
      <w:r w:rsidR="00A5229F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icą między mieszkań</w:t>
      </w:r>
      <w:r w:rsidR="00EB6A0B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-</w:t>
      </w:r>
      <w:proofErr w:type="spellStart"/>
      <w:r w:rsidR="00A5229F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cami</w:t>
      </w:r>
      <w:proofErr w:type="spellEnd"/>
      <w:r w:rsidR="00A5229F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miast i 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wsi w możliwościach finansowych pokrywania kosztów potrzeb odnotowano </w:t>
      </w:r>
      <w:r w:rsidR="004E535A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w</w:t>
      </w:r>
      <w:r w:rsidR="00EB6A0B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 </w:t>
      </w:r>
      <w:r w:rsidR="004E535A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2025 r.</w:t>
      </w:r>
      <w:r w:rsidR="009873B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w przypadku wyjazdu na wypoczynek (różnica: 11,1 p. proc.). Możliwość </w:t>
      </w:r>
      <w:proofErr w:type="spellStart"/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sfinansowa</w:t>
      </w:r>
      <w:r w:rsidR="00EB6A0B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-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nia</w:t>
      </w:r>
      <w:proofErr w:type="spellEnd"/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co najmniej tygodniowego wyjazdu dla </w:t>
      </w:r>
      <w:r w:rsidR="000949C0">
        <w:t>wszystkich członków gospodarstwa</w:t>
      </w:r>
      <w:r w:rsidR="000949C0"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była w 2025 r. </w:t>
      </w:r>
      <w:r w:rsidR="00A9179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była istotnie 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mniej dostępna dla gospodarstw domowych na wsiach</w:t>
      </w:r>
      <w:r w:rsidR="00A91795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>.</w:t>
      </w:r>
      <w:r w:rsidRPr="00543F91">
        <w:rPr>
          <w:rStyle w:val="Pogrubienie"/>
          <w:rFonts w:eastAsia="Times New Roman" w:cs="Times New Roman"/>
          <w:b w:val="0"/>
          <w:color w:val="000000" w:themeColor="text1"/>
          <w:szCs w:val="19"/>
          <w:lang w:eastAsia="pl-PL"/>
        </w:rPr>
        <w:t xml:space="preserve"> </w:t>
      </w:r>
    </w:p>
    <w:p w14:paraId="54BA2248" w14:textId="0C4E6CEC" w:rsidR="00375056" w:rsidRDefault="00543F91" w:rsidP="001701A1">
      <w:pPr>
        <w:spacing w:before="360" w:line="240" w:lineRule="auto"/>
        <w:ind w:left="907" w:hanging="907"/>
        <w:rPr>
          <w:rStyle w:val="Pogrubienie"/>
          <w:szCs w:val="19"/>
        </w:rPr>
      </w:pPr>
      <w:r>
        <w:rPr>
          <w:rStyle w:val="Pogrubienie"/>
          <w:szCs w:val="19"/>
        </w:rPr>
        <w:t>Wykres 3</w:t>
      </w:r>
      <w:r w:rsidR="00375056" w:rsidRPr="00A948CB">
        <w:rPr>
          <w:rStyle w:val="Pogrubienie"/>
          <w:szCs w:val="19"/>
        </w:rPr>
        <w:t xml:space="preserve">. </w:t>
      </w:r>
      <w:r w:rsidR="00375056" w:rsidRPr="00232D4E">
        <w:rPr>
          <w:rStyle w:val="Pogrubienie"/>
          <w:szCs w:val="19"/>
        </w:rPr>
        <w:t xml:space="preserve">Wybrane aspekty deprywacji materialnej i społecznej w podziale </w:t>
      </w:r>
      <w:r w:rsidR="001D3A94">
        <w:rPr>
          <w:rStyle w:val="Pogrubienie"/>
          <w:szCs w:val="19"/>
        </w:rPr>
        <w:br/>
      </w:r>
      <w:r w:rsidR="00375056" w:rsidRPr="00232D4E">
        <w:rPr>
          <w:rStyle w:val="Pogrubienie"/>
          <w:szCs w:val="19"/>
        </w:rPr>
        <w:t>na</w:t>
      </w:r>
      <w:r w:rsidR="00957A69">
        <w:rPr>
          <w:rStyle w:val="Pogrubienie"/>
          <w:szCs w:val="19"/>
        </w:rPr>
        <w:t> </w:t>
      </w:r>
      <w:r w:rsidR="00375056" w:rsidRPr="00232D4E">
        <w:rPr>
          <w:rStyle w:val="Pogrubienie"/>
          <w:szCs w:val="19"/>
        </w:rPr>
        <w:t>miasto i wieś</w:t>
      </w:r>
      <w:r w:rsidR="00FA34A0" w:rsidRPr="00FA34A0">
        <w:rPr>
          <w:rStyle w:val="Pogrubienie"/>
          <w:szCs w:val="19"/>
        </w:rPr>
        <w:t xml:space="preserve"> </w:t>
      </w:r>
      <w:r w:rsidR="00FA34A0" w:rsidRPr="00232D4E">
        <w:rPr>
          <w:rStyle w:val="Pogrubienie"/>
          <w:szCs w:val="19"/>
        </w:rPr>
        <w:t>w 2025 r.</w:t>
      </w:r>
    </w:p>
    <w:p w14:paraId="419C1651" w14:textId="730EDFA1" w:rsidR="001701A1" w:rsidRPr="00232D4E" w:rsidRDefault="001701A1" w:rsidP="001701A1">
      <w:pPr>
        <w:spacing w:before="240" w:line="240" w:lineRule="auto"/>
        <w:ind w:left="907" w:hanging="907"/>
        <w:rPr>
          <w:rStyle w:val="Pogrubienie"/>
          <w:b w:val="0"/>
          <w:szCs w:val="19"/>
        </w:rPr>
      </w:pPr>
      <w:r>
        <w:rPr>
          <w:rStyle w:val="Pogrubienie"/>
          <w:b w:val="0"/>
          <w:noProof/>
          <w:szCs w:val="19"/>
          <w:lang w:eastAsia="pl-PL"/>
        </w:rPr>
        <w:drawing>
          <wp:inline distT="0" distB="0" distL="0" distR="0" wp14:anchorId="391D8F0D" wp14:editId="730AF78A">
            <wp:extent cx="5170170" cy="3670300"/>
            <wp:effectExtent l="0" t="0" r="0" b="635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3E4F3" w14:textId="7F6611CD" w:rsidR="00375056" w:rsidRPr="00187EAD" w:rsidRDefault="00937303" w:rsidP="009E1909">
      <w:pPr>
        <w:pStyle w:val="Nagwek1"/>
        <w:keepNext w:val="0"/>
        <w:spacing w:before="360"/>
      </w:pPr>
      <w:r>
        <w:t>S</w:t>
      </w:r>
      <w:r w:rsidR="00375056" w:rsidRPr="00187EAD">
        <w:t>y</w:t>
      </w:r>
      <w:r w:rsidR="00375056" w:rsidRPr="00957A69">
        <w:t>tuacj</w:t>
      </w:r>
      <w:r>
        <w:t>a</w:t>
      </w:r>
      <w:r w:rsidR="00375056" w:rsidRPr="00957A69">
        <w:t xml:space="preserve"> miesz</w:t>
      </w:r>
      <w:r w:rsidR="00375056" w:rsidRPr="00187EAD">
        <w:t>kańców terenów miejskich</w:t>
      </w:r>
      <w:r w:rsidR="00375056" w:rsidRPr="00187EAD">
        <w:rPr>
          <w:vertAlign w:val="superscript"/>
        </w:rPr>
        <w:footnoteReference w:id="8"/>
      </w:r>
      <w:r w:rsidR="00375056" w:rsidRPr="00187EAD">
        <w:t xml:space="preserve"> </w:t>
      </w:r>
    </w:p>
    <w:p w14:paraId="3E431D96" w14:textId="0B60EF82" w:rsidR="00375056" w:rsidRPr="00A051D5" w:rsidRDefault="00D8763F" w:rsidP="009E1909">
      <w:pPr>
        <w:spacing w:line="288" w:lineRule="auto"/>
        <w:rPr>
          <w:rFonts w:cs="Arial"/>
          <w:color w:val="0A0A0A"/>
          <w:spacing w:val="-2"/>
          <w:szCs w:val="19"/>
          <w:shd w:val="clear" w:color="auto" w:fill="FFFFFF"/>
        </w:rPr>
      </w:pPr>
      <w:r>
        <w:rPr>
          <w:spacing w:val="-2"/>
          <w:szCs w:val="19"/>
        </w:rPr>
        <w:t xml:space="preserve">Sytuacja dochodowa </w:t>
      </w:r>
      <w:r w:rsidR="00C41A10">
        <w:rPr>
          <w:spacing w:val="-2"/>
          <w:szCs w:val="19"/>
        </w:rPr>
        <w:t xml:space="preserve">członków </w:t>
      </w:r>
      <w:r>
        <w:rPr>
          <w:spacing w:val="-2"/>
          <w:szCs w:val="19"/>
        </w:rPr>
        <w:t xml:space="preserve">gospodarstw domowych </w:t>
      </w:r>
      <w:r w:rsidR="00C41A10">
        <w:rPr>
          <w:spacing w:val="-2"/>
          <w:szCs w:val="19"/>
        </w:rPr>
        <w:t xml:space="preserve">w </w:t>
      </w:r>
      <w:r w:rsidR="00375056" w:rsidRPr="00A051D5">
        <w:rPr>
          <w:spacing w:val="-2"/>
          <w:szCs w:val="19"/>
        </w:rPr>
        <w:t xml:space="preserve">2025 r. </w:t>
      </w:r>
      <w:r w:rsidR="00C41A10">
        <w:rPr>
          <w:spacing w:val="-2"/>
          <w:szCs w:val="19"/>
        </w:rPr>
        <w:t xml:space="preserve">była </w:t>
      </w:r>
      <w:r w:rsidR="00375056" w:rsidRPr="00A051D5">
        <w:rPr>
          <w:spacing w:val="-2"/>
          <w:szCs w:val="19"/>
        </w:rPr>
        <w:t>wyraźnie powiązan</w:t>
      </w:r>
      <w:r w:rsidR="00C41A10">
        <w:rPr>
          <w:spacing w:val="-2"/>
          <w:szCs w:val="19"/>
        </w:rPr>
        <w:t>a</w:t>
      </w:r>
      <w:r w:rsidR="00375056" w:rsidRPr="00A051D5">
        <w:rPr>
          <w:spacing w:val="-2"/>
          <w:szCs w:val="19"/>
        </w:rPr>
        <w:t xml:space="preserve"> z</w:t>
      </w:r>
      <w:r w:rsidR="00A051D5">
        <w:rPr>
          <w:spacing w:val="-2"/>
          <w:szCs w:val="19"/>
        </w:rPr>
        <w:t> </w:t>
      </w:r>
      <w:r w:rsidR="00375056" w:rsidRPr="00A051D5">
        <w:rPr>
          <w:spacing w:val="-2"/>
          <w:szCs w:val="19"/>
        </w:rPr>
        <w:t xml:space="preserve">klasą miejscowości, </w:t>
      </w:r>
      <w:r>
        <w:rPr>
          <w:spacing w:val="-2"/>
          <w:szCs w:val="19"/>
        </w:rPr>
        <w:t xml:space="preserve">a </w:t>
      </w:r>
      <w:r w:rsidR="00C41A10">
        <w:rPr>
          <w:spacing w:val="-2"/>
          <w:szCs w:val="19"/>
        </w:rPr>
        <w:t>osoby</w:t>
      </w:r>
      <w:r>
        <w:rPr>
          <w:spacing w:val="-2"/>
          <w:szCs w:val="19"/>
        </w:rPr>
        <w:t xml:space="preserve"> o </w:t>
      </w:r>
      <w:r w:rsidR="00375056" w:rsidRPr="00A051D5">
        <w:rPr>
          <w:spacing w:val="-2"/>
          <w:szCs w:val="19"/>
        </w:rPr>
        <w:t>największ</w:t>
      </w:r>
      <w:r>
        <w:rPr>
          <w:spacing w:val="-2"/>
          <w:szCs w:val="19"/>
        </w:rPr>
        <w:t>ych</w:t>
      </w:r>
      <w:r w:rsidR="00375056" w:rsidRPr="00A051D5">
        <w:rPr>
          <w:spacing w:val="-2"/>
          <w:szCs w:val="19"/>
        </w:rPr>
        <w:t xml:space="preserve"> dochod</w:t>
      </w:r>
      <w:r>
        <w:rPr>
          <w:spacing w:val="-2"/>
          <w:szCs w:val="19"/>
        </w:rPr>
        <w:t>ach</w:t>
      </w:r>
      <w:r w:rsidR="00375056" w:rsidRPr="00A051D5">
        <w:rPr>
          <w:spacing w:val="-2"/>
          <w:szCs w:val="19"/>
        </w:rPr>
        <w:t xml:space="preserve"> </w:t>
      </w:r>
      <w:r w:rsidR="00C41A10">
        <w:rPr>
          <w:spacing w:val="-2"/>
          <w:szCs w:val="19"/>
        </w:rPr>
        <w:t>przeważały</w:t>
      </w:r>
      <w:r w:rsidR="00375056" w:rsidRPr="00A051D5">
        <w:rPr>
          <w:spacing w:val="-2"/>
          <w:szCs w:val="19"/>
        </w:rPr>
        <w:t xml:space="preserve"> w dużych aglomeracjach powyżej 500 tys. mieszkańców (</w:t>
      </w:r>
      <w:r w:rsidR="00523355">
        <w:rPr>
          <w:spacing w:val="-2"/>
          <w:szCs w:val="19"/>
        </w:rPr>
        <w:t>wykres</w:t>
      </w:r>
      <w:r w:rsidR="00523355" w:rsidRPr="00A051D5">
        <w:rPr>
          <w:spacing w:val="-2"/>
          <w:szCs w:val="19"/>
        </w:rPr>
        <w:t xml:space="preserve"> </w:t>
      </w:r>
      <w:r w:rsidR="00375056" w:rsidRPr="00A051D5">
        <w:rPr>
          <w:spacing w:val="-2"/>
          <w:szCs w:val="19"/>
        </w:rPr>
        <w:t>2)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 xml:space="preserve">. </w:t>
      </w:r>
      <w:r>
        <w:rPr>
          <w:rFonts w:cs="Arial"/>
          <w:color w:val="0A0A0A"/>
          <w:spacing w:val="-2"/>
          <w:szCs w:val="19"/>
          <w:shd w:val="clear" w:color="auto" w:fill="FFFFFF"/>
        </w:rPr>
        <w:t>Dochody ekwi</w:t>
      </w:r>
      <w:r w:rsidR="009745A3">
        <w:rPr>
          <w:rFonts w:cs="Arial"/>
          <w:color w:val="0A0A0A"/>
          <w:spacing w:val="-2"/>
          <w:szCs w:val="19"/>
          <w:shd w:val="clear" w:color="auto" w:fill="FFFFFF"/>
        </w:rPr>
        <w:t>walentne w gospodarstwach domow</w:t>
      </w:r>
      <w:r>
        <w:rPr>
          <w:rFonts w:cs="Arial"/>
          <w:color w:val="0A0A0A"/>
          <w:spacing w:val="-2"/>
          <w:szCs w:val="19"/>
          <w:shd w:val="clear" w:color="auto" w:fill="FFFFFF"/>
        </w:rPr>
        <w:t>y</w:t>
      </w:r>
      <w:r w:rsidR="009745A3">
        <w:rPr>
          <w:rFonts w:cs="Arial"/>
          <w:color w:val="0A0A0A"/>
          <w:spacing w:val="-2"/>
          <w:szCs w:val="19"/>
          <w:shd w:val="clear" w:color="auto" w:fill="FFFFFF"/>
        </w:rPr>
        <w:t>ch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 xml:space="preserve"> malał</w:t>
      </w:r>
      <w:r>
        <w:rPr>
          <w:rFonts w:cs="Arial"/>
          <w:color w:val="0A0A0A"/>
          <w:spacing w:val="-2"/>
          <w:szCs w:val="19"/>
          <w:shd w:val="clear" w:color="auto" w:fill="FFFFFF"/>
        </w:rPr>
        <w:t>y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 xml:space="preserve"> wraz z</w:t>
      </w:r>
      <w:r w:rsidR="00523355">
        <w:rPr>
          <w:rFonts w:cs="Arial"/>
          <w:color w:val="0A0A0A"/>
          <w:spacing w:val="-2"/>
          <w:szCs w:val="19"/>
          <w:shd w:val="clear" w:color="auto" w:fill="FFFFFF"/>
        </w:rPr>
        <w:t>e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 xml:space="preserve"> </w:t>
      </w:r>
      <w:r w:rsidR="00523355">
        <w:rPr>
          <w:rFonts w:cs="Arial"/>
          <w:color w:val="0A0A0A"/>
          <w:spacing w:val="-2"/>
          <w:szCs w:val="19"/>
          <w:shd w:val="clear" w:color="auto" w:fill="FFFFFF"/>
        </w:rPr>
        <w:t xml:space="preserve">zmniejszającą się 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>wielkością miasta</w:t>
      </w:r>
      <w:r w:rsidR="004D36DF">
        <w:rPr>
          <w:rFonts w:cs="Arial"/>
          <w:color w:val="0A0A0A"/>
          <w:spacing w:val="-2"/>
          <w:szCs w:val="19"/>
          <w:shd w:val="clear" w:color="auto" w:fill="FFFFFF"/>
        </w:rPr>
        <w:t>,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 xml:space="preserve"> co powodowało również zróżnicowanie w</w:t>
      </w:r>
      <w:r w:rsidR="00521023">
        <w:rPr>
          <w:rFonts w:cs="Arial"/>
          <w:color w:val="0A0A0A"/>
          <w:spacing w:val="-2"/>
          <w:szCs w:val="19"/>
          <w:shd w:val="clear" w:color="auto" w:fill="FFFFFF"/>
        </w:rPr>
        <w:t> </w:t>
      </w:r>
      <w:r w:rsidR="004D36DF" w:rsidRPr="00A051D5">
        <w:rPr>
          <w:rFonts w:cs="Arial"/>
          <w:color w:val="0A0A0A"/>
          <w:spacing w:val="-2"/>
          <w:szCs w:val="19"/>
          <w:shd w:val="clear" w:color="auto" w:fill="FFFFFF"/>
        </w:rPr>
        <w:t xml:space="preserve">finansowych 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>możliwościach zaspokajania potrzeb zarówno podstawowych (pożywienie, mieszkanie, ogrzewanie)</w:t>
      </w:r>
      <w:r w:rsidR="00697F80">
        <w:rPr>
          <w:rFonts w:cs="Arial"/>
          <w:color w:val="0A0A0A"/>
          <w:spacing w:val="-2"/>
          <w:szCs w:val="19"/>
          <w:shd w:val="clear" w:color="auto" w:fill="FFFFFF"/>
        </w:rPr>
        <w:t>,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 xml:space="preserve"> jak i</w:t>
      </w:r>
      <w:r w:rsidR="00A051D5">
        <w:rPr>
          <w:rFonts w:cs="Arial"/>
          <w:color w:val="0A0A0A"/>
          <w:spacing w:val="-2"/>
          <w:szCs w:val="19"/>
          <w:shd w:val="clear" w:color="auto" w:fill="FFFFFF"/>
        </w:rPr>
        <w:t> </w:t>
      </w:r>
      <w:r w:rsidR="00375056" w:rsidRPr="00A051D5">
        <w:rPr>
          <w:rFonts w:cs="Arial"/>
          <w:color w:val="0A0A0A"/>
          <w:spacing w:val="-2"/>
          <w:szCs w:val="19"/>
          <w:shd w:val="clear" w:color="auto" w:fill="FFFFFF"/>
        </w:rPr>
        <w:t>wyższego rzędu (zabezpieczenie finansowe, kontakty społeczne czy wypoczynek)</w:t>
      </w:r>
      <w:r w:rsidR="00A051D5" w:rsidRPr="00A051D5">
        <w:rPr>
          <w:rFonts w:cs="Arial"/>
          <w:color w:val="0A0A0A"/>
          <w:spacing w:val="-2"/>
          <w:szCs w:val="19"/>
          <w:shd w:val="clear" w:color="auto" w:fill="FFFFFF"/>
        </w:rPr>
        <w:t>.</w:t>
      </w:r>
    </w:p>
    <w:p w14:paraId="2FD2DF21" w14:textId="5DEC9C6D" w:rsidR="00375056" w:rsidRDefault="001701A1" w:rsidP="009E1909">
      <w:pPr>
        <w:shd w:val="clear" w:color="auto" w:fill="FFFFFF"/>
        <w:spacing w:line="288" w:lineRule="auto"/>
        <w:rPr>
          <w:rFonts w:eastAsia="Times New Roman" w:cs="Arial"/>
          <w:color w:val="0A0A0A"/>
          <w:szCs w:val="19"/>
        </w:rPr>
      </w:pPr>
      <w:r>
        <w:rPr>
          <w:rFonts w:cs="Arial"/>
          <w:noProof/>
          <w:color w:val="0A0A0A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9B040" wp14:editId="51A47EC2">
                <wp:simplePos x="0" y="0"/>
                <wp:positionH relativeFrom="column">
                  <wp:posOffset>5339080</wp:posOffset>
                </wp:positionH>
                <wp:positionV relativeFrom="paragraph">
                  <wp:posOffset>1556137</wp:posOffset>
                </wp:positionV>
                <wp:extent cx="1620000" cy="1956021"/>
                <wp:effectExtent l="0" t="0" r="0" b="63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956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10EF7" w14:textId="39BDF802" w:rsidR="00D0260F" w:rsidRPr="00831131" w:rsidRDefault="00154A67" w:rsidP="00915D0D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Podobny odsetek gospodarstw domowych wskazujących na problemy z</w:t>
                            </w:r>
                            <w:r w:rsid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opłatami związanymi z</w:t>
                            </w:r>
                            <w:r w:rsidR="00D0260F"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mieszkaniem w</w:t>
                            </w:r>
                            <w:r w:rsidR="00D0260F"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aglomeracjach (3,4%) oraz</w:t>
                            </w:r>
                            <w:r w:rsidR="00D0260F"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w najmniejszych miejscowościach (3,3%) sugeruje, że </w:t>
                            </w:r>
                            <w:proofErr w:type="spellStart"/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bezpieczeń</w:t>
                            </w:r>
                            <w:r w:rsidR="00D0260F"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stwo</w:t>
                            </w:r>
                            <w:proofErr w:type="spellEnd"/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finansowe wynika z</w:t>
                            </w:r>
                            <w:r w:rsidR="00D0260F"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relacji dochodów do</w:t>
                            </w:r>
                            <w:r w:rsidR="00D0260F"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831131">
                              <w:rPr>
                                <w:color w:val="001D77"/>
                                <w:sz w:val="18"/>
                                <w:szCs w:val="18"/>
                              </w:rPr>
                              <w:t>kosztów życia.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9B040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30" type="#_x0000_t202" style="position:absolute;margin-left:420.4pt;margin-top:122.55pt;width:127.55pt;height:1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" filled="f" stroked="f" strokeweight=".5pt">
                <v:textbox>
                  <w:txbxContent>
                    <w:p w14:paraId="4CF10EF7" w14:textId="39BDF802" w:rsidR="00D0260F" w:rsidRPr="00831131" w:rsidRDefault="00154A67" w:rsidP="00915D0D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Podobny odsetek gospodarstw domowych wskazujących na problemy z</w:t>
                      </w:r>
                      <w:r w:rsidR="0083113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opłatami związanymi z</w:t>
                      </w:r>
                      <w:r w:rsidR="00D0260F" w:rsidRPr="0083113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mieszkaniem w</w:t>
                      </w:r>
                      <w:r w:rsidR="00D0260F" w:rsidRPr="0083113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aglomeracjach (3,4%) oraz</w:t>
                      </w:r>
                      <w:r w:rsidR="00D0260F" w:rsidRPr="0083113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w najmniejszych miejscowościach (3,3%) sugeruje, że </w:t>
                      </w:r>
                      <w:proofErr w:type="spellStart"/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bezpieczeń</w:t>
                      </w:r>
                      <w:r w:rsidR="00D0260F" w:rsidRPr="00831131">
                        <w:rPr>
                          <w:color w:val="001D77"/>
                          <w:sz w:val="18"/>
                          <w:szCs w:val="18"/>
                        </w:rPr>
                        <w:t>-</w:t>
                      </w: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stwo</w:t>
                      </w:r>
                      <w:proofErr w:type="spellEnd"/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 xml:space="preserve"> finansowe wynika z</w:t>
                      </w:r>
                      <w:r w:rsidR="00D0260F" w:rsidRPr="0083113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relacji dochodów do</w:t>
                      </w:r>
                      <w:r w:rsidR="00D0260F" w:rsidRPr="0083113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831131">
                        <w:rPr>
                          <w:color w:val="001D77"/>
                          <w:sz w:val="18"/>
                          <w:szCs w:val="18"/>
                        </w:rPr>
                        <w:t>kosztów życia.</w:t>
                      </w:r>
                    </w:p>
                  </w:txbxContent>
                </v:textbox>
              </v:shape>
            </w:pict>
          </mc:Fallback>
        </mc:AlternateContent>
      </w:r>
      <w:r w:rsidR="00375056" w:rsidRPr="0092183A">
        <w:rPr>
          <w:rFonts w:cs="Arial"/>
          <w:color w:val="0A0A0A"/>
          <w:szCs w:val="19"/>
          <w:shd w:val="clear" w:color="auto" w:fill="FFFFFF"/>
        </w:rPr>
        <w:t>Największe ośrodki miejskie (po</w:t>
      </w:r>
      <w:r w:rsidR="00375056">
        <w:rPr>
          <w:rFonts w:cs="Arial"/>
          <w:color w:val="0A0A0A"/>
          <w:szCs w:val="19"/>
          <w:shd w:val="clear" w:color="auto" w:fill="FFFFFF"/>
        </w:rPr>
        <w:t>wyżej 500 tys. ludności) cechowały</w:t>
      </w:r>
      <w:r w:rsidR="00375056" w:rsidRPr="0092183A">
        <w:rPr>
          <w:rFonts w:cs="Arial"/>
          <w:color w:val="0A0A0A"/>
          <w:szCs w:val="19"/>
          <w:shd w:val="clear" w:color="auto" w:fill="FFFFFF"/>
        </w:rPr>
        <w:t xml:space="preserve"> się najwyższym poziomem zaspok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ajania podstawowych potrzeb swoich mieszkańców. </w:t>
      </w:r>
      <w:r w:rsidR="00375056">
        <w:rPr>
          <w:rFonts w:eastAsia="Times New Roman" w:cs="Arial"/>
          <w:color w:val="0A0A0A"/>
          <w:szCs w:val="19"/>
        </w:rPr>
        <w:t>Ludność</w:t>
      </w:r>
      <w:r w:rsidR="00375056" w:rsidRPr="0092183A">
        <w:rPr>
          <w:rFonts w:eastAsia="Times New Roman" w:cs="Arial"/>
          <w:color w:val="0A0A0A"/>
          <w:szCs w:val="19"/>
        </w:rPr>
        <w:t xml:space="preserve"> ty</w:t>
      </w:r>
      <w:r w:rsidR="00375056">
        <w:rPr>
          <w:rFonts w:eastAsia="Times New Roman" w:cs="Arial"/>
          <w:color w:val="0A0A0A"/>
          <w:szCs w:val="19"/>
        </w:rPr>
        <w:t>ch miast najrzadziej deklarował</w:t>
      </w:r>
      <w:r w:rsidR="008D53B0">
        <w:rPr>
          <w:rFonts w:eastAsia="Times New Roman" w:cs="Arial"/>
          <w:color w:val="0A0A0A"/>
          <w:szCs w:val="19"/>
        </w:rPr>
        <w:t>a</w:t>
      </w:r>
      <w:r w:rsidR="00375056" w:rsidRPr="0092183A">
        <w:rPr>
          <w:rFonts w:eastAsia="Times New Roman" w:cs="Arial"/>
          <w:color w:val="0A0A0A"/>
          <w:szCs w:val="19"/>
        </w:rPr>
        <w:t xml:space="preserve"> brak środków finansowych na spożycie mięsa/ryb </w:t>
      </w:r>
      <w:r w:rsidR="007B3D1E">
        <w:rPr>
          <w:rFonts w:eastAsia="Times New Roman" w:cs="Arial"/>
          <w:color w:val="0A0A0A"/>
          <w:szCs w:val="19"/>
        </w:rPr>
        <w:t xml:space="preserve">(lub wegetariańskich odpowiedników) </w:t>
      </w:r>
      <w:r w:rsidR="00375056" w:rsidRPr="0092183A">
        <w:rPr>
          <w:rFonts w:eastAsia="Times New Roman" w:cs="Arial"/>
          <w:color w:val="0A0A0A"/>
          <w:szCs w:val="19"/>
        </w:rPr>
        <w:t>co drugi dzień (1,4%) oraz na</w:t>
      </w:r>
      <w:r w:rsidR="00BA2C49">
        <w:rPr>
          <w:rFonts w:eastAsia="Times New Roman" w:cs="Arial"/>
          <w:color w:val="0A0A0A"/>
          <w:szCs w:val="19"/>
        </w:rPr>
        <w:t> </w:t>
      </w:r>
      <w:r w:rsidR="00375056" w:rsidRPr="0092183A">
        <w:rPr>
          <w:rFonts w:eastAsia="Times New Roman" w:cs="Arial"/>
          <w:color w:val="0A0A0A"/>
          <w:szCs w:val="19"/>
        </w:rPr>
        <w:t xml:space="preserve">odpowiednie </w:t>
      </w:r>
      <w:r w:rsidR="00375056">
        <w:rPr>
          <w:rFonts w:eastAsia="Times New Roman" w:cs="Arial"/>
          <w:color w:val="0A0A0A"/>
          <w:szCs w:val="19"/>
        </w:rPr>
        <w:t xml:space="preserve">do potrzeb </w:t>
      </w:r>
      <w:r w:rsidR="00375056" w:rsidRPr="0092183A">
        <w:rPr>
          <w:rFonts w:eastAsia="Times New Roman" w:cs="Arial"/>
          <w:color w:val="0A0A0A"/>
          <w:szCs w:val="19"/>
        </w:rPr>
        <w:t>ogrzewanie</w:t>
      </w:r>
      <w:r w:rsidR="00375056">
        <w:rPr>
          <w:rFonts w:eastAsia="Times New Roman" w:cs="Arial"/>
          <w:color w:val="0A0A0A"/>
          <w:szCs w:val="19"/>
        </w:rPr>
        <w:t xml:space="preserve"> mieszka</w:t>
      </w:r>
      <w:r w:rsidR="00EB6A0B">
        <w:rPr>
          <w:rFonts w:eastAsia="Times New Roman" w:cs="Arial"/>
          <w:color w:val="0A0A0A"/>
          <w:szCs w:val="19"/>
        </w:rPr>
        <w:t>-</w:t>
      </w:r>
      <w:proofErr w:type="spellStart"/>
      <w:r w:rsidR="00375056">
        <w:rPr>
          <w:rFonts w:eastAsia="Times New Roman" w:cs="Arial"/>
          <w:color w:val="0A0A0A"/>
          <w:szCs w:val="19"/>
        </w:rPr>
        <w:t>nia</w:t>
      </w:r>
      <w:proofErr w:type="spellEnd"/>
      <w:r w:rsidR="00375056" w:rsidRPr="0092183A">
        <w:rPr>
          <w:rFonts w:eastAsia="Times New Roman" w:cs="Arial"/>
          <w:color w:val="0A0A0A"/>
          <w:szCs w:val="19"/>
        </w:rPr>
        <w:t xml:space="preserve"> (2,3%).</w:t>
      </w:r>
      <w:r w:rsidR="00375056">
        <w:rPr>
          <w:rFonts w:eastAsia="Times New Roman" w:cs="Arial"/>
          <w:color w:val="0A0A0A"/>
          <w:szCs w:val="19"/>
        </w:rPr>
        <w:t xml:space="preserve"> </w:t>
      </w:r>
      <w:r w:rsidR="00375056" w:rsidRPr="00F82DE8">
        <w:rPr>
          <w:rFonts w:eastAsia="Times New Roman" w:cs="Arial"/>
          <w:bCs/>
          <w:color w:val="0A0A0A"/>
          <w:szCs w:val="19"/>
        </w:rPr>
        <w:t>Sytu</w:t>
      </w:r>
      <w:r w:rsidR="00375056">
        <w:rPr>
          <w:rFonts w:eastAsia="Times New Roman" w:cs="Arial"/>
          <w:bCs/>
          <w:color w:val="0A0A0A"/>
          <w:szCs w:val="19"/>
        </w:rPr>
        <w:t>acja w pozostałych miastach była</w:t>
      </w:r>
      <w:r w:rsidR="007B3D1E">
        <w:rPr>
          <w:rFonts w:eastAsia="Times New Roman" w:cs="Arial"/>
          <w:bCs/>
          <w:color w:val="0A0A0A"/>
          <w:szCs w:val="19"/>
        </w:rPr>
        <w:t xml:space="preserve"> trudniejsza</w:t>
      </w:r>
      <w:r w:rsidR="00937303">
        <w:rPr>
          <w:rFonts w:eastAsia="Times New Roman" w:cs="Arial"/>
          <w:color w:val="0A0A0A"/>
          <w:szCs w:val="19"/>
        </w:rPr>
        <w:t xml:space="preserve">. </w:t>
      </w:r>
      <w:r w:rsidR="00375056" w:rsidRPr="0092183A">
        <w:rPr>
          <w:rFonts w:eastAsia="Times New Roman" w:cs="Arial"/>
          <w:color w:val="0A0A0A"/>
          <w:szCs w:val="19"/>
        </w:rPr>
        <w:t>Brak możliwości finansowych na</w:t>
      </w:r>
      <w:r w:rsidR="00EB6A0B">
        <w:rPr>
          <w:rFonts w:eastAsia="Times New Roman" w:cs="Arial"/>
          <w:color w:val="0A0A0A"/>
          <w:szCs w:val="19"/>
        </w:rPr>
        <w:t> </w:t>
      </w:r>
      <w:r w:rsidR="00937303">
        <w:rPr>
          <w:rFonts w:eastAsia="Times New Roman" w:cs="Arial"/>
          <w:color w:val="0A0A0A"/>
          <w:szCs w:val="19"/>
        </w:rPr>
        <w:t xml:space="preserve">pokrycie </w:t>
      </w:r>
      <w:r w:rsidR="00375056" w:rsidRPr="0092183A">
        <w:rPr>
          <w:rFonts w:eastAsia="Times New Roman" w:cs="Arial"/>
          <w:color w:val="0A0A0A"/>
          <w:szCs w:val="19"/>
        </w:rPr>
        <w:t>spożyci</w:t>
      </w:r>
      <w:r w:rsidR="00937303">
        <w:rPr>
          <w:rFonts w:eastAsia="Times New Roman" w:cs="Arial"/>
          <w:color w:val="0A0A0A"/>
          <w:szCs w:val="19"/>
        </w:rPr>
        <w:t>a</w:t>
      </w:r>
      <w:r w:rsidR="00375056" w:rsidRPr="0092183A">
        <w:rPr>
          <w:rFonts w:eastAsia="Times New Roman" w:cs="Arial"/>
          <w:color w:val="0A0A0A"/>
          <w:szCs w:val="19"/>
        </w:rPr>
        <w:t xml:space="preserve"> mięsa/ryb (lub</w:t>
      </w:r>
      <w:r w:rsidR="00BA2C49">
        <w:rPr>
          <w:rFonts w:eastAsia="Times New Roman" w:cs="Arial"/>
          <w:color w:val="0A0A0A"/>
          <w:szCs w:val="19"/>
        </w:rPr>
        <w:t> </w:t>
      </w:r>
      <w:r w:rsidR="00375056">
        <w:rPr>
          <w:rFonts w:eastAsia="Times New Roman" w:cs="Arial"/>
          <w:color w:val="0A0A0A"/>
          <w:szCs w:val="19"/>
        </w:rPr>
        <w:t xml:space="preserve">wegetariańskich </w:t>
      </w:r>
      <w:r w:rsidR="00375056" w:rsidRPr="0092183A">
        <w:rPr>
          <w:rFonts w:eastAsia="Times New Roman" w:cs="Arial"/>
          <w:color w:val="0A0A0A"/>
          <w:szCs w:val="19"/>
        </w:rPr>
        <w:t>odpowiedników) co drugi dzień deklarowało od 2,5% mieszkańców w</w:t>
      </w:r>
      <w:r w:rsidR="00BA2C49">
        <w:rPr>
          <w:rFonts w:eastAsia="Times New Roman" w:cs="Arial"/>
          <w:color w:val="0A0A0A"/>
          <w:szCs w:val="19"/>
        </w:rPr>
        <w:t> </w:t>
      </w:r>
      <w:r w:rsidR="00375056" w:rsidRPr="0092183A">
        <w:rPr>
          <w:rFonts w:eastAsia="Times New Roman" w:cs="Arial"/>
          <w:color w:val="0A0A0A"/>
          <w:szCs w:val="19"/>
        </w:rPr>
        <w:t>najmniejszych miastach (do 20 tys.) do 3,7% w</w:t>
      </w:r>
      <w:r w:rsidR="00521023">
        <w:rPr>
          <w:rFonts w:eastAsia="Times New Roman" w:cs="Arial"/>
          <w:color w:val="0A0A0A"/>
          <w:szCs w:val="19"/>
        </w:rPr>
        <w:t> </w:t>
      </w:r>
      <w:r w:rsidR="00375056" w:rsidRPr="0092183A">
        <w:rPr>
          <w:rFonts w:eastAsia="Times New Roman" w:cs="Arial"/>
          <w:color w:val="0A0A0A"/>
          <w:szCs w:val="19"/>
        </w:rPr>
        <w:t>średnich (100–499 tys.).</w:t>
      </w:r>
      <w:r w:rsidR="00375056">
        <w:rPr>
          <w:rFonts w:eastAsia="Times New Roman" w:cs="Arial"/>
          <w:color w:val="0A0A0A"/>
          <w:szCs w:val="19"/>
        </w:rPr>
        <w:t xml:space="preserve"> Natomiast</w:t>
      </w:r>
      <w:r w:rsidR="00375056" w:rsidRPr="0092183A">
        <w:rPr>
          <w:rFonts w:eastAsia="Times New Roman" w:cs="Arial"/>
          <w:color w:val="0A0A0A"/>
          <w:szCs w:val="19"/>
        </w:rPr>
        <w:t xml:space="preserve"> brak możliwości odpowiedniego ogrzewania mieszkania </w:t>
      </w:r>
      <w:r w:rsidR="00375056">
        <w:rPr>
          <w:rFonts w:eastAsia="Times New Roman" w:cs="Arial"/>
          <w:color w:val="0A0A0A"/>
          <w:szCs w:val="19"/>
        </w:rPr>
        <w:t>w mniej</w:t>
      </w:r>
      <w:r w:rsidR="00EB6A0B">
        <w:rPr>
          <w:rFonts w:eastAsia="Times New Roman" w:cs="Arial"/>
          <w:color w:val="0A0A0A"/>
          <w:szCs w:val="19"/>
        </w:rPr>
        <w:t>-</w:t>
      </w:r>
      <w:r w:rsidR="00375056">
        <w:rPr>
          <w:rFonts w:eastAsia="Times New Roman" w:cs="Arial"/>
          <w:color w:val="0A0A0A"/>
          <w:szCs w:val="19"/>
        </w:rPr>
        <w:t xml:space="preserve">szych i średnich miastach </w:t>
      </w:r>
      <w:r w:rsidR="00375056" w:rsidRPr="0092183A">
        <w:rPr>
          <w:rFonts w:eastAsia="Times New Roman" w:cs="Arial"/>
          <w:color w:val="0A0A0A"/>
          <w:szCs w:val="19"/>
        </w:rPr>
        <w:t>deklarowało ok. 3,5% osób.</w:t>
      </w:r>
    </w:p>
    <w:p w14:paraId="31D102FD" w14:textId="2F57FF5F" w:rsidR="00375056" w:rsidRDefault="00375056" w:rsidP="009E1909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>
        <w:rPr>
          <w:rFonts w:cs="Arial"/>
          <w:color w:val="0A0A0A"/>
          <w:szCs w:val="19"/>
          <w:shd w:val="clear" w:color="auto" w:fill="FFFFFF"/>
        </w:rPr>
        <w:t>Inaczej przedstawiała się w 2025 r. sytuacja dotycząca braku możliwości finansowych do</w:t>
      </w:r>
      <w:r w:rsidR="00BA2C49">
        <w:rPr>
          <w:rFonts w:cs="Arial"/>
          <w:color w:val="0A0A0A"/>
          <w:szCs w:val="19"/>
          <w:shd w:val="clear" w:color="auto" w:fill="FFFFFF"/>
        </w:rPr>
        <w:t> </w:t>
      </w:r>
      <w:r>
        <w:rPr>
          <w:rFonts w:cs="Arial"/>
          <w:color w:val="0A0A0A"/>
          <w:szCs w:val="19"/>
          <w:shd w:val="clear" w:color="auto" w:fill="FFFFFF"/>
        </w:rPr>
        <w:t xml:space="preserve">terminowego dokonywania opłat związanych z mieszkaniem (czynsz, najem, kredyt mieszkaniowy). </w:t>
      </w:r>
      <w:r w:rsidR="007C1866">
        <w:rPr>
          <w:rFonts w:cs="Arial"/>
          <w:color w:val="0A0A0A"/>
          <w:szCs w:val="19"/>
          <w:shd w:val="clear" w:color="auto" w:fill="FFFFFF"/>
        </w:rPr>
        <w:t>Mimo iż mieszkańcy największych aglomeracji uzyskali najwyższe dochody, to odsetek osób, którym zdarzało się z powodów finansowych nie dokonać w terminie takich opłat, uzyskał wartość 3,4% - podobnie do mieszkańców najmniejszych miast (3,3%). To może wskazywać, iż</w:t>
      </w:r>
      <w:r w:rsidR="007C1866" w:rsidRPr="00F41010">
        <w:rPr>
          <w:rFonts w:cs="Arial"/>
          <w:color w:val="0A0A0A"/>
          <w:szCs w:val="19"/>
          <w:shd w:val="clear" w:color="auto" w:fill="FFFFFF"/>
        </w:rPr>
        <w:t xml:space="preserve"> wyższe koszty życia w</w:t>
      </w:r>
      <w:r w:rsidR="007C1866">
        <w:rPr>
          <w:rFonts w:cs="Arial"/>
          <w:color w:val="0A0A0A"/>
          <w:szCs w:val="19"/>
          <w:shd w:val="clear" w:color="auto" w:fill="FFFFFF"/>
        </w:rPr>
        <w:t> </w:t>
      </w:r>
      <w:r w:rsidR="007C1866" w:rsidRPr="00F41010">
        <w:rPr>
          <w:rFonts w:cs="Arial"/>
          <w:color w:val="0A0A0A"/>
          <w:szCs w:val="19"/>
          <w:shd w:val="clear" w:color="auto" w:fill="FFFFFF"/>
        </w:rPr>
        <w:t>metropoliach</w:t>
      </w:r>
      <w:r w:rsidR="007C1866">
        <w:rPr>
          <w:rFonts w:cs="Arial"/>
          <w:color w:val="0A0A0A"/>
          <w:szCs w:val="19"/>
          <w:shd w:val="clear" w:color="auto" w:fill="FFFFFF"/>
        </w:rPr>
        <w:t xml:space="preserve"> </w:t>
      </w:r>
      <w:r w:rsidR="007C1866" w:rsidRPr="00F41010">
        <w:rPr>
          <w:rFonts w:cs="Arial"/>
          <w:color w:val="0A0A0A"/>
          <w:szCs w:val="19"/>
          <w:shd w:val="clear" w:color="auto" w:fill="FFFFFF"/>
        </w:rPr>
        <w:t>niwelują różnic</w:t>
      </w:r>
      <w:r w:rsidR="007C1866">
        <w:rPr>
          <w:rFonts w:cs="Arial"/>
          <w:color w:val="0A0A0A"/>
          <w:szCs w:val="19"/>
          <w:shd w:val="clear" w:color="auto" w:fill="FFFFFF"/>
        </w:rPr>
        <w:t>e</w:t>
      </w:r>
      <w:r w:rsidR="007C1866" w:rsidRPr="00F41010">
        <w:rPr>
          <w:rFonts w:cs="Arial"/>
          <w:color w:val="0A0A0A"/>
          <w:szCs w:val="19"/>
          <w:shd w:val="clear" w:color="auto" w:fill="FFFFFF"/>
        </w:rPr>
        <w:t xml:space="preserve"> w dochodach, prowadząc do podobnej skali</w:t>
      </w:r>
      <w:r w:rsidR="007C1866">
        <w:rPr>
          <w:rFonts w:cs="Arial"/>
          <w:color w:val="0A0A0A"/>
          <w:szCs w:val="19"/>
          <w:shd w:val="clear" w:color="auto" w:fill="FFFFFF"/>
        </w:rPr>
        <w:t xml:space="preserve"> zjawiska - </w:t>
      </w:r>
      <w:r w:rsidR="007C1866" w:rsidRPr="00F41010">
        <w:rPr>
          <w:rFonts w:cs="Arial"/>
          <w:color w:val="0A0A0A"/>
          <w:szCs w:val="19"/>
          <w:shd w:val="clear" w:color="auto" w:fill="FFFFFF"/>
        </w:rPr>
        <w:t>opóźnień w</w:t>
      </w:r>
      <w:r w:rsidR="007C1866">
        <w:rPr>
          <w:rFonts w:cs="Arial"/>
          <w:color w:val="0A0A0A"/>
          <w:szCs w:val="19"/>
          <w:shd w:val="clear" w:color="auto" w:fill="FFFFFF"/>
        </w:rPr>
        <w:t> </w:t>
      </w:r>
      <w:r w:rsidR="007C1866" w:rsidRPr="00F41010">
        <w:rPr>
          <w:rFonts w:cs="Arial"/>
          <w:color w:val="0A0A0A"/>
          <w:szCs w:val="19"/>
          <w:shd w:val="clear" w:color="auto" w:fill="FFFFFF"/>
        </w:rPr>
        <w:t>płatnościach</w:t>
      </w:r>
      <w:r w:rsidR="007C1866">
        <w:rPr>
          <w:rFonts w:cs="Arial"/>
          <w:color w:val="0A0A0A"/>
          <w:szCs w:val="19"/>
          <w:shd w:val="clear" w:color="auto" w:fill="FFFFFF"/>
        </w:rPr>
        <w:t xml:space="preserve"> jak w najmniejszych miastach</w:t>
      </w:r>
      <w:r w:rsidR="007C1866" w:rsidRPr="00F41010">
        <w:rPr>
          <w:rFonts w:cs="Arial"/>
          <w:color w:val="0A0A0A"/>
          <w:szCs w:val="19"/>
          <w:shd w:val="clear" w:color="auto" w:fill="FFFFFF"/>
        </w:rPr>
        <w:t>.</w:t>
      </w:r>
      <w:r>
        <w:rPr>
          <w:rFonts w:cs="Arial"/>
          <w:color w:val="0A0A0A"/>
          <w:szCs w:val="19"/>
          <w:shd w:val="clear" w:color="auto" w:fill="FFFFFF"/>
        </w:rPr>
        <w:t xml:space="preserve"> </w:t>
      </w:r>
    </w:p>
    <w:p w14:paraId="6EBC64F2" w14:textId="40E18F94" w:rsidR="00375056" w:rsidRDefault="00375056" w:rsidP="009E1909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>
        <w:rPr>
          <w:rFonts w:cs="Arial"/>
          <w:color w:val="0A0A0A"/>
          <w:szCs w:val="19"/>
          <w:shd w:val="clear" w:color="auto" w:fill="FFFFFF"/>
        </w:rPr>
        <w:t xml:space="preserve">Pozostałe analizowane potrzeby wykazują, iż sytuacja mieszkańców największych miast była </w:t>
      </w:r>
      <w:r w:rsidRPr="004E3338">
        <w:rPr>
          <w:rFonts w:cs="Arial"/>
          <w:color w:val="0A0A0A"/>
          <w:spacing w:val="-2"/>
          <w:szCs w:val="19"/>
          <w:shd w:val="clear" w:color="auto" w:fill="FFFFFF"/>
        </w:rPr>
        <w:t xml:space="preserve">w 2025 r. zdecydowanie lepsza niż w mniejszych miastach. Największe dysproporcje </w:t>
      </w:r>
      <w:r w:rsidR="00937303" w:rsidRPr="004E3338">
        <w:rPr>
          <w:rFonts w:cs="Arial"/>
          <w:color w:val="0A0A0A"/>
          <w:spacing w:val="-2"/>
          <w:szCs w:val="19"/>
          <w:shd w:val="clear" w:color="auto" w:fill="FFFFFF"/>
        </w:rPr>
        <w:t>w</w:t>
      </w:r>
      <w:r w:rsidR="004E3338" w:rsidRPr="004E3338">
        <w:rPr>
          <w:rFonts w:cs="Arial"/>
          <w:color w:val="0A0A0A"/>
          <w:spacing w:val="-2"/>
          <w:szCs w:val="19"/>
          <w:shd w:val="clear" w:color="auto" w:fill="FFFFFF"/>
        </w:rPr>
        <w:t> </w:t>
      </w:r>
      <w:r w:rsidRPr="004E3338">
        <w:rPr>
          <w:rFonts w:cs="Arial"/>
          <w:color w:val="0A0A0A"/>
          <w:spacing w:val="-2"/>
          <w:szCs w:val="19"/>
          <w:shd w:val="clear" w:color="auto" w:fill="FFFFFF"/>
        </w:rPr>
        <w:t>odsetk</w:t>
      </w:r>
      <w:r w:rsidR="003B2548" w:rsidRPr="004E3338">
        <w:rPr>
          <w:rFonts w:cs="Arial"/>
          <w:color w:val="0A0A0A"/>
          <w:spacing w:val="-2"/>
          <w:szCs w:val="19"/>
          <w:shd w:val="clear" w:color="auto" w:fill="FFFFFF"/>
        </w:rPr>
        <w:t>u</w:t>
      </w:r>
      <w:r>
        <w:rPr>
          <w:rFonts w:cs="Arial"/>
          <w:color w:val="0A0A0A"/>
          <w:szCs w:val="19"/>
          <w:shd w:val="clear" w:color="auto" w:fill="FFFFFF"/>
        </w:rPr>
        <w:t xml:space="preserve"> </w:t>
      </w:r>
      <w:r w:rsidR="00A076BB">
        <w:rPr>
          <w:rFonts w:cs="Arial"/>
          <w:color w:val="0A0A0A"/>
          <w:szCs w:val="19"/>
          <w:shd w:val="clear" w:color="auto" w:fill="FFFFFF"/>
        </w:rPr>
        <w:t>osób</w:t>
      </w:r>
      <w:r w:rsidR="00937303">
        <w:rPr>
          <w:rFonts w:cs="Arial"/>
          <w:color w:val="0A0A0A"/>
          <w:szCs w:val="19"/>
          <w:shd w:val="clear" w:color="auto" w:fill="FFFFFF"/>
        </w:rPr>
        <w:t>, wskazując</w:t>
      </w:r>
      <w:r w:rsidR="003B2548">
        <w:rPr>
          <w:rFonts w:cs="Arial"/>
          <w:color w:val="0A0A0A"/>
          <w:szCs w:val="19"/>
          <w:shd w:val="clear" w:color="auto" w:fill="FFFFFF"/>
        </w:rPr>
        <w:t>e</w:t>
      </w:r>
      <w:r w:rsidR="00937303">
        <w:rPr>
          <w:rFonts w:cs="Arial"/>
          <w:color w:val="0A0A0A"/>
          <w:szCs w:val="19"/>
          <w:shd w:val="clear" w:color="auto" w:fill="FFFFFF"/>
        </w:rPr>
        <w:t xml:space="preserve"> na </w:t>
      </w:r>
      <w:r>
        <w:rPr>
          <w:rFonts w:cs="Arial"/>
          <w:color w:val="0A0A0A"/>
          <w:szCs w:val="19"/>
          <w:shd w:val="clear" w:color="auto" w:fill="FFFFFF"/>
        </w:rPr>
        <w:t xml:space="preserve">brak możliwości zaspokojenia potrzeb między mieszkańcami </w:t>
      </w:r>
      <w:proofErr w:type="spellStart"/>
      <w:r>
        <w:rPr>
          <w:rFonts w:cs="Arial"/>
          <w:color w:val="0A0A0A"/>
          <w:szCs w:val="19"/>
          <w:shd w:val="clear" w:color="auto" w:fill="FFFFFF"/>
        </w:rPr>
        <w:t>poszcze</w:t>
      </w:r>
      <w:r w:rsidR="004E3338">
        <w:rPr>
          <w:rFonts w:cs="Arial"/>
          <w:color w:val="0A0A0A"/>
          <w:szCs w:val="19"/>
          <w:shd w:val="clear" w:color="auto" w:fill="FFFFFF"/>
        </w:rPr>
        <w:t>-</w:t>
      </w:r>
      <w:r>
        <w:rPr>
          <w:rFonts w:cs="Arial"/>
          <w:color w:val="0A0A0A"/>
          <w:szCs w:val="19"/>
          <w:shd w:val="clear" w:color="auto" w:fill="FFFFFF"/>
        </w:rPr>
        <w:t>gólnych</w:t>
      </w:r>
      <w:proofErr w:type="spellEnd"/>
      <w:r>
        <w:rPr>
          <w:rFonts w:cs="Arial"/>
          <w:color w:val="0A0A0A"/>
          <w:szCs w:val="19"/>
          <w:shd w:val="clear" w:color="auto" w:fill="FFFFFF"/>
        </w:rPr>
        <w:t xml:space="preserve"> klas miast odnotowano dla opłacenia </w:t>
      </w:r>
      <w:r w:rsidRPr="00853030">
        <w:rPr>
          <w:rFonts w:cs="Arial"/>
          <w:color w:val="0A0A0A"/>
          <w:szCs w:val="19"/>
          <w:shd w:val="clear" w:color="auto" w:fill="FFFFFF"/>
        </w:rPr>
        <w:t>tygodniowego wyjazdu</w:t>
      </w:r>
      <w:r>
        <w:rPr>
          <w:rFonts w:cs="Arial"/>
          <w:color w:val="0A0A0A"/>
          <w:szCs w:val="19"/>
          <w:shd w:val="clear" w:color="auto" w:fill="FFFFFF"/>
        </w:rPr>
        <w:t xml:space="preserve"> </w:t>
      </w:r>
      <w:r w:rsidRPr="00853030">
        <w:rPr>
          <w:rFonts w:cs="Arial"/>
          <w:color w:val="0A0A0A"/>
          <w:szCs w:val="19"/>
          <w:shd w:val="clear" w:color="auto" w:fill="FFFFFF"/>
        </w:rPr>
        <w:t>wszystkich członków gospodarstwa</w:t>
      </w:r>
      <w:r>
        <w:rPr>
          <w:rFonts w:cs="Arial"/>
          <w:color w:val="0A0A0A"/>
          <w:szCs w:val="19"/>
          <w:shd w:val="clear" w:color="auto" w:fill="FFFFFF"/>
        </w:rPr>
        <w:t xml:space="preserve"> </w:t>
      </w:r>
      <w:r w:rsidRPr="00853030">
        <w:rPr>
          <w:rFonts w:cs="Arial"/>
          <w:color w:val="0A0A0A"/>
          <w:szCs w:val="19"/>
          <w:shd w:val="clear" w:color="auto" w:fill="FFFFFF"/>
        </w:rPr>
        <w:t>domowego na wypoczynek raz w</w:t>
      </w:r>
      <w:r w:rsidR="00521023">
        <w:rPr>
          <w:rFonts w:cs="Arial"/>
          <w:color w:val="0A0A0A"/>
          <w:szCs w:val="19"/>
          <w:shd w:val="clear" w:color="auto" w:fill="FFFFFF"/>
        </w:rPr>
        <w:t> </w:t>
      </w:r>
      <w:r w:rsidRPr="00853030">
        <w:rPr>
          <w:rFonts w:cs="Arial"/>
          <w:color w:val="0A0A0A"/>
          <w:szCs w:val="19"/>
          <w:shd w:val="clear" w:color="auto" w:fill="FFFFFF"/>
        </w:rPr>
        <w:t>roku</w:t>
      </w:r>
      <w:r>
        <w:rPr>
          <w:rFonts w:cs="Arial"/>
          <w:color w:val="0A0A0A"/>
          <w:szCs w:val="19"/>
          <w:shd w:val="clear" w:color="auto" w:fill="FFFFFF"/>
        </w:rPr>
        <w:t xml:space="preserve"> oraz dla pokrycia</w:t>
      </w:r>
      <w:r w:rsidRPr="00186823">
        <w:rPr>
          <w:rFonts w:cs="Arial"/>
          <w:color w:val="0A0A0A"/>
          <w:szCs w:val="19"/>
          <w:shd w:val="clear" w:color="auto" w:fill="FFFFFF"/>
        </w:rPr>
        <w:t xml:space="preserve"> niespodziewanego wydatku</w:t>
      </w:r>
      <w:r>
        <w:rPr>
          <w:rFonts w:cs="Arial"/>
          <w:color w:val="0A0A0A"/>
          <w:szCs w:val="19"/>
          <w:shd w:val="clear" w:color="auto" w:fill="FFFFFF"/>
        </w:rPr>
        <w:t xml:space="preserve">. Różnice w </w:t>
      </w:r>
      <w:r w:rsidR="003B2548">
        <w:rPr>
          <w:rFonts w:cs="Arial"/>
          <w:color w:val="0A0A0A"/>
          <w:szCs w:val="19"/>
          <w:shd w:val="clear" w:color="auto" w:fill="FFFFFF"/>
        </w:rPr>
        <w:t xml:space="preserve">tym </w:t>
      </w:r>
      <w:r>
        <w:rPr>
          <w:rFonts w:cs="Arial"/>
          <w:color w:val="0A0A0A"/>
          <w:szCs w:val="19"/>
          <w:shd w:val="clear" w:color="auto" w:fill="FFFFFF"/>
        </w:rPr>
        <w:t>odsetk</w:t>
      </w:r>
      <w:r w:rsidR="003B2548">
        <w:rPr>
          <w:rFonts w:cs="Arial"/>
          <w:color w:val="0A0A0A"/>
          <w:szCs w:val="19"/>
          <w:shd w:val="clear" w:color="auto" w:fill="FFFFFF"/>
        </w:rPr>
        <w:t>u</w:t>
      </w:r>
      <w:r>
        <w:rPr>
          <w:rFonts w:cs="Arial"/>
          <w:color w:val="0A0A0A"/>
          <w:szCs w:val="19"/>
          <w:shd w:val="clear" w:color="auto" w:fill="FFFFFF"/>
        </w:rPr>
        <w:t xml:space="preserve"> między</w:t>
      </w:r>
      <w:r w:rsidR="00B95AA6">
        <w:rPr>
          <w:rFonts w:cs="Arial"/>
          <w:color w:val="0A0A0A"/>
          <w:szCs w:val="19"/>
          <w:shd w:val="clear" w:color="auto" w:fill="FFFFFF"/>
        </w:rPr>
        <w:t xml:space="preserve"> miastami</w:t>
      </w:r>
      <w:r>
        <w:rPr>
          <w:rFonts w:cs="Arial"/>
          <w:color w:val="0A0A0A"/>
          <w:szCs w:val="19"/>
          <w:shd w:val="clear" w:color="auto" w:fill="FFFFFF"/>
        </w:rPr>
        <w:t xml:space="preserve"> największymi (500</w:t>
      </w:r>
      <w:r w:rsidR="00230C38">
        <w:rPr>
          <w:rFonts w:cs="Arial"/>
          <w:color w:val="0A0A0A"/>
          <w:szCs w:val="19"/>
          <w:shd w:val="clear" w:color="auto" w:fill="FFFFFF"/>
        </w:rPr>
        <w:t> </w:t>
      </w:r>
      <w:r>
        <w:rPr>
          <w:rFonts w:cs="Arial"/>
          <w:color w:val="0A0A0A"/>
          <w:szCs w:val="19"/>
          <w:shd w:val="clear" w:color="auto" w:fill="FFFFFF"/>
        </w:rPr>
        <w:t>tys. mieszkańców lub więcej) a najmniejszymi (20 tys. mieszkańców lub mniej) wyniosł</w:t>
      </w:r>
      <w:r w:rsidR="00937303">
        <w:rPr>
          <w:rFonts w:cs="Arial"/>
          <w:color w:val="0A0A0A"/>
          <w:szCs w:val="19"/>
          <w:shd w:val="clear" w:color="auto" w:fill="FFFFFF"/>
        </w:rPr>
        <w:t>y</w:t>
      </w:r>
      <w:r>
        <w:rPr>
          <w:rFonts w:cs="Arial"/>
          <w:color w:val="0A0A0A"/>
          <w:szCs w:val="19"/>
          <w:shd w:val="clear" w:color="auto" w:fill="FFFFFF"/>
        </w:rPr>
        <w:t xml:space="preserve"> w 2025 r. odpowiednio: 15,9</w:t>
      </w:r>
      <w:r w:rsidR="001701A1">
        <w:rPr>
          <w:rFonts w:cs="Arial"/>
          <w:color w:val="0A0A0A"/>
          <w:szCs w:val="19"/>
          <w:shd w:val="clear" w:color="auto" w:fill="FFFFFF"/>
        </w:rPr>
        <w:t> </w:t>
      </w:r>
      <w:r>
        <w:rPr>
          <w:rFonts w:cs="Arial"/>
          <w:color w:val="0A0A0A"/>
          <w:szCs w:val="19"/>
          <w:shd w:val="clear" w:color="auto" w:fill="FFFFFF"/>
        </w:rPr>
        <w:t>p. proc. oraz 13,9 p. proc. Również między dwiema najwyższymi klasami miejscowości</w:t>
      </w:r>
      <w:r w:rsidR="00B41B6A">
        <w:rPr>
          <w:rFonts w:cs="Arial"/>
          <w:color w:val="0A0A0A"/>
          <w:szCs w:val="19"/>
          <w:shd w:val="clear" w:color="auto" w:fill="FFFFFF"/>
        </w:rPr>
        <w:t xml:space="preserve"> (tj</w:t>
      </w:r>
      <w:r w:rsidR="00A076BB">
        <w:rPr>
          <w:rFonts w:cs="Arial"/>
          <w:color w:val="0A0A0A"/>
          <w:szCs w:val="19"/>
          <w:shd w:val="clear" w:color="auto" w:fill="FFFFFF"/>
        </w:rPr>
        <w:t>.</w:t>
      </w:r>
      <w:r w:rsidR="004E3338">
        <w:rPr>
          <w:rFonts w:cs="Arial"/>
          <w:color w:val="0A0A0A"/>
          <w:szCs w:val="19"/>
          <w:shd w:val="clear" w:color="auto" w:fill="FFFFFF"/>
        </w:rPr>
        <w:t> </w:t>
      </w:r>
      <w:r w:rsidR="00A076BB">
        <w:rPr>
          <w:rFonts w:cs="Arial"/>
          <w:color w:val="0A0A0A"/>
          <w:szCs w:val="19"/>
          <w:shd w:val="clear" w:color="auto" w:fill="FFFFFF"/>
        </w:rPr>
        <w:t>miastami o liczbie mieszkańców 500 lub więcej oraz 100 – 499 tys.</w:t>
      </w:r>
      <w:r w:rsidR="00B41B6A">
        <w:rPr>
          <w:rFonts w:cs="Arial"/>
          <w:color w:val="0A0A0A"/>
          <w:szCs w:val="19"/>
          <w:shd w:val="clear" w:color="auto" w:fill="FFFFFF"/>
        </w:rPr>
        <w:t>)</w:t>
      </w:r>
      <w:r>
        <w:rPr>
          <w:rFonts w:cs="Arial"/>
          <w:color w:val="0A0A0A"/>
          <w:szCs w:val="19"/>
          <w:shd w:val="clear" w:color="auto" w:fill="FFFFFF"/>
        </w:rPr>
        <w:t xml:space="preserve"> ta różnica była bardzo wysoka i wyniosła ok.</w:t>
      </w:r>
      <w:r w:rsidR="00521023">
        <w:rPr>
          <w:rFonts w:cs="Arial"/>
          <w:color w:val="0A0A0A"/>
          <w:szCs w:val="19"/>
          <w:shd w:val="clear" w:color="auto" w:fill="FFFFFF"/>
        </w:rPr>
        <w:t> </w:t>
      </w:r>
      <w:r>
        <w:rPr>
          <w:rFonts w:cs="Arial"/>
          <w:color w:val="0A0A0A"/>
          <w:szCs w:val="19"/>
          <w:shd w:val="clear" w:color="auto" w:fill="FFFFFF"/>
        </w:rPr>
        <w:t>7 p. proc. (dla obu potrzeb) z</w:t>
      </w:r>
      <w:r w:rsidR="007732D0">
        <w:rPr>
          <w:rFonts w:cs="Arial"/>
          <w:color w:val="0A0A0A"/>
          <w:szCs w:val="19"/>
          <w:shd w:val="clear" w:color="auto" w:fill="FFFFFF"/>
        </w:rPr>
        <w:t> </w:t>
      </w:r>
      <w:r>
        <w:rPr>
          <w:rFonts w:cs="Arial"/>
          <w:color w:val="0A0A0A"/>
          <w:szCs w:val="19"/>
          <w:shd w:val="clear" w:color="auto" w:fill="FFFFFF"/>
        </w:rPr>
        <w:t>korzyścią dla największych aglomeracji.</w:t>
      </w:r>
    </w:p>
    <w:p w14:paraId="4C798E73" w14:textId="1500D67E" w:rsidR="00375056" w:rsidRDefault="00375056" w:rsidP="009E1909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>
        <w:rPr>
          <w:rFonts w:cs="Arial"/>
          <w:color w:val="0A0A0A"/>
          <w:szCs w:val="19"/>
          <w:shd w:val="clear" w:color="auto" w:fill="FFFFFF"/>
        </w:rPr>
        <w:t>Wskaźniki braku możliwości realizacji pozostałych analizowanych potrzeb (</w:t>
      </w:r>
      <w:r w:rsidRPr="00803E0C">
        <w:rPr>
          <w:rFonts w:cs="Arial"/>
          <w:color w:val="0A0A0A"/>
          <w:szCs w:val="19"/>
          <w:shd w:val="clear" w:color="auto" w:fill="FFFFFF"/>
        </w:rPr>
        <w:t>wydawanie raz w</w:t>
      </w:r>
      <w:r w:rsidR="00230C38">
        <w:rPr>
          <w:rFonts w:cs="Arial"/>
          <w:color w:val="0A0A0A"/>
          <w:szCs w:val="19"/>
          <w:shd w:val="clear" w:color="auto" w:fill="FFFFFF"/>
        </w:rPr>
        <w:t> </w:t>
      </w:r>
      <w:r w:rsidRPr="00803E0C">
        <w:rPr>
          <w:rFonts w:cs="Arial"/>
          <w:color w:val="0A0A0A"/>
          <w:szCs w:val="19"/>
          <w:shd w:val="clear" w:color="auto" w:fill="FFFFFF"/>
        </w:rPr>
        <w:t>tygodniu niewielkiej sumy pieniędzy na własne potrzeby</w:t>
      </w:r>
      <w:r>
        <w:rPr>
          <w:rFonts w:cs="Arial"/>
          <w:color w:val="0A0A0A"/>
          <w:szCs w:val="19"/>
          <w:shd w:val="clear" w:color="auto" w:fill="FFFFFF"/>
        </w:rPr>
        <w:t xml:space="preserve">; </w:t>
      </w:r>
      <w:r w:rsidRPr="00803E0C">
        <w:rPr>
          <w:rFonts w:cs="Arial"/>
          <w:color w:val="0A0A0A"/>
          <w:szCs w:val="19"/>
          <w:shd w:val="clear" w:color="auto" w:fill="FFFFFF"/>
        </w:rPr>
        <w:t>regularne uczestnictwo w różnych formach spędzania czasu wolnego</w:t>
      </w:r>
      <w:r>
        <w:rPr>
          <w:rFonts w:cs="Arial"/>
          <w:color w:val="0A0A0A"/>
          <w:szCs w:val="19"/>
          <w:shd w:val="clear" w:color="auto" w:fill="FFFFFF"/>
        </w:rPr>
        <w:t xml:space="preserve">) również pokazują </w:t>
      </w:r>
      <w:r w:rsidR="00B41B6A">
        <w:rPr>
          <w:rFonts w:cs="Arial"/>
          <w:color w:val="0A0A0A"/>
          <w:szCs w:val="19"/>
          <w:shd w:val="clear" w:color="auto" w:fill="FFFFFF"/>
        </w:rPr>
        <w:t>różnice</w:t>
      </w:r>
      <w:r>
        <w:rPr>
          <w:rFonts w:cs="Arial"/>
          <w:color w:val="0A0A0A"/>
          <w:szCs w:val="19"/>
          <w:shd w:val="clear" w:color="auto" w:fill="FFFFFF"/>
        </w:rPr>
        <w:t xml:space="preserve"> w poziomie ich zaspokojenia w</w:t>
      </w:r>
      <w:r w:rsidR="00521023">
        <w:rPr>
          <w:rFonts w:cs="Arial"/>
          <w:color w:val="0A0A0A"/>
          <w:szCs w:val="19"/>
          <w:shd w:val="clear" w:color="auto" w:fill="FFFFFF"/>
        </w:rPr>
        <w:t> </w:t>
      </w:r>
      <w:r>
        <w:rPr>
          <w:rFonts w:cs="Arial"/>
          <w:color w:val="0A0A0A"/>
          <w:szCs w:val="19"/>
          <w:shd w:val="clear" w:color="auto" w:fill="FFFFFF"/>
        </w:rPr>
        <w:t xml:space="preserve">2025 r. między klasami miast. Różnice w </w:t>
      </w:r>
      <w:r w:rsidR="009361FF">
        <w:rPr>
          <w:rFonts w:cs="Arial"/>
          <w:color w:val="0A0A0A"/>
          <w:szCs w:val="19"/>
          <w:shd w:val="clear" w:color="auto" w:fill="FFFFFF"/>
        </w:rPr>
        <w:t xml:space="preserve">odsetku </w:t>
      </w:r>
      <w:r>
        <w:rPr>
          <w:rFonts w:cs="Arial"/>
          <w:color w:val="0A0A0A"/>
          <w:szCs w:val="19"/>
          <w:shd w:val="clear" w:color="auto" w:fill="FFFFFF"/>
        </w:rPr>
        <w:t xml:space="preserve">osób, które deklarowały brak możliwości ich finansowania były mniejsze od </w:t>
      </w:r>
      <w:r w:rsidR="00B41B6A">
        <w:rPr>
          <w:rFonts w:cs="Arial"/>
          <w:color w:val="0A0A0A"/>
          <w:szCs w:val="19"/>
          <w:shd w:val="clear" w:color="auto" w:fill="FFFFFF"/>
        </w:rPr>
        <w:t xml:space="preserve">opisanych powyżej </w:t>
      </w:r>
      <w:r>
        <w:rPr>
          <w:rFonts w:cs="Arial"/>
          <w:color w:val="0A0A0A"/>
          <w:szCs w:val="19"/>
          <w:shd w:val="clear" w:color="auto" w:fill="FFFFFF"/>
        </w:rPr>
        <w:t>potrzeb związanych z wyjazdem wypoczynkowym czy też niespodziewanym wydatkiem</w:t>
      </w:r>
      <w:r w:rsidR="00B41B6A">
        <w:rPr>
          <w:rFonts w:cs="Arial"/>
          <w:color w:val="0A0A0A"/>
          <w:szCs w:val="19"/>
          <w:shd w:val="clear" w:color="auto" w:fill="FFFFFF"/>
        </w:rPr>
        <w:t>,</w:t>
      </w:r>
      <w:r>
        <w:rPr>
          <w:rFonts w:cs="Arial"/>
          <w:color w:val="0A0A0A"/>
          <w:szCs w:val="19"/>
          <w:shd w:val="clear" w:color="auto" w:fill="FFFFFF"/>
        </w:rPr>
        <w:t xml:space="preserve"> ale można i tu zaobserwować </w:t>
      </w:r>
      <w:r w:rsidR="00B41B6A">
        <w:rPr>
          <w:rFonts w:cs="Arial"/>
          <w:color w:val="0A0A0A"/>
          <w:szCs w:val="19"/>
          <w:shd w:val="clear" w:color="auto" w:fill="FFFFFF"/>
        </w:rPr>
        <w:t xml:space="preserve">prawidłowość </w:t>
      </w:r>
      <w:r w:rsidR="00E16807">
        <w:rPr>
          <w:rFonts w:cs="Arial"/>
          <w:color w:val="0A0A0A"/>
          <w:szCs w:val="19"/>
          <w:shd w:val="clear" w:color="auto" w:fill="FFFFFF"/>
        </w:rPr>
        <w:t>–</w:t>
      </w:r>
      <w:r w:rsidR="00B41B6A">
        <w:rPr>
          <w:rFonts w:cs="Arial"/>
          <w:color w:val="0A0A0A"/>
          <w:szCs w:val="19"/>
          <w:shd w:val="clear" w:color="auto" w:fill="FFFFFF"/>
        </w:rPr>
        <w:t xml:space="preserve"> </w:t>
      </w:r>
      <w:r w:rsidR="00E16807">
        <w:rPr>
          <w:rFonts w:cs="Arial"/>
          <w:color w:val="0A0A0A"/>
          <w:szCs w:val="19"/>
          <w:shd w:val="clear" w:color="auto" w:fill="FFFFFF"/>
        </w:rPr>
        <w:t xml:space="preserve">wraz ze spadkiem wielkości miast </w:t>
      </w:r>
      <w:r w:rsidR="00B41B6A">
        <w:rPr>
          <w:rFonts w:cs="Arial"/>
          <w:color w:val="0A0A0A"/>
          <w:szCs w:val="19"/>
          <w:shd w:val="clear" w:color="auto" w:fill="FFFFFF"/>
        </w:rPr>
        <w:t>wzr</w:t>
      </w:r>
      <w:r w:rsidR="009361FF">
        <w:rPr>
          <w:rFonts w:cs="Arial"/>
          <w:color w:val="0A0A0A"/>
          <w:szCs w:val="19"/>
          <w:shd w:val="clear" w:color="auto" w:fill="FFFFFF"/>
        </w:rPr>
        <w:t>a</w:t>
      </w:r>
      <w:r w:rsidR="00B41B6A">
        <w:rPr>
          <w:rFonts w:cs="Arial"/>
          <w:color w:val="0A0A0A"/>
          <w:szCs w:val="19"/>
          <w:shd w:val="clear" w:color="auto" w:fill="FFFFFF"/>
        </w:rPr>
        <w:t>st</w:t>
      </w:r>
      <w:r w:rsidR="00E16807">
        <w:rPr>
          <w:rFonts w:cs="Arial"/>
          <w:color w:val="0A0A0A"/>
          <w:szCs w:val="19"/>
          <w:shd w:val="clear" w:color="auto" w:fill="FFFFFF"/>
        </w:rPr>
        <w:t>a</w:t>
      </w:r>
      <w:r w:rsidR="009361FF">
        <w:rPr>
          <w:rFonts w:cs="Arial"/>
          <w:color w:val="0A0A0A"/>
          <w:szCs w:val="19"/>
          <w:shd w:val="clear" w:color="auto" w:fill="FFFFFF"/>
        </w:rPr>
        <w:t xml:space="preserve">ł </w:t>
      </w:r>
      <w:r>
        <w:rPr>
          <w:rFonts w:cs="Arial"/>
          <w:color w:val="0A0A0A"/>
          <w:szCs w:val="19"/>
          <w:shd w:val="clear" w:color="auto" w:fill="FFFFFF"/>
        </w:rPr>
        <w:t>odset</w:t>
      </w:r>
      <w:r w:rsidR="00E16807">
        <w:rPr>
          <w:rFonts w:cs="Arial"/>
          <w:color w:val="0A0A0A"/>
          <w:szCs w:val="19"/>
          <w:shd w:val="clear" w:color="auto" w:fill="FFFFFF"/>
        </w:rPr>
        <w:t>ek</w:t>
      </w:r>
      <w:r w:rsidR="00B41B6A">
        <w:rPr>
          <w:rFonts w:cs="Arial"/>
          <w:color w:val="0A0A0A"/>
          <w:szCs w:val="19"/>
          <w:shd w:val="clear" w:color="auto" w:fill="FFFFFF"/>
        </w:rPr>
        <w:t xml:space="preserve"> go</w:t>
      </w:r>
      <w:r w:rsidR="00122A28">
        <w:rPr>
          <w:rFonts w:cs="Arial"/>
          <w:color w:val="0A0A0A"/>
          <w:szCs w:val="19"/>
          <w:shd w:val="clear" w:color="auto" w:fill="FFFFFF"/>
        </w:rPr>
        <w:t>s</w:t>
      </w:r>
      <w:r w:rsidR="00B41B6A">
        <w:rPr>
          <w:rFonts w:cs="Arial"/>
          <w:color w:val="0A0A0A"/>
          <w:szCs w:val="19"/>
          <w:shd w:val="clear" w:color="auto" w:fill="FFFFFF"/>
        </w:rPr>
        <w:t xml:space="preserve">podarstw domowych wskazujących na brak </w:t>
      </w:r>
      <w:r>
        <w:rPr>
          <w:rFonts w:cs="Arial"/>
          <w:color w:val="0A0A0A"/>
          <w:szCs w:val="19"/>
          <w:shd w:val="clear" w:color="auto" w:fill="FFFFFF"/>
        </w:rPr>
        <w:t xml:space="preserve">możliwości ich zaspokojenia miast. Różnica między </w:t>
      </w:r>
      <w:r w:rsidR="00E16807">
        <w:rPr>
          <w:rFonts w:cs="Arial"/>
          <w:color w:val="0A0A0A"/>
          <w:szCs w:val="19"/>
          <w:shd w:val="clear" w:color="auto" w:fill="FFFFFF"/>
        </w:rPr>
        <w:t xml:space="preserve">miastami </w:t>
      </w:r>
      <w:r>
        <w:rPr>
          <w:rFonts w:cs="Arial"/>
          <w:color w:val="0A0A0A"/>
          <w:szCs w:val="19"/>
          <w:shd w:val="clear" w:color="auto" w:fill="FFFFFF"/>
        </w:rPr>
        <w:t>największymi (500</w:t>
      </w:r>
      <w:r w:rsidR="00230C38">
        <w:rPr>
          <w:rFonts w:cs="Arial"/>
          <w:color w:val="0A0A0A"/>
          <w:szCs w:val="19"/>
          <w:shd w:val="clear" w:color="auto" w:fill="FFFFFF"/>
        </w:rPr>
        <w:t> </w:t>
      </w:r>
      <w:r>
        <w:rPr>
          <w:rFonts w:cs="Arial"/>
          <w:color w:val="0A0A0A"/>
          <w:szCs w:val="19"/>
          <w:shd w:val="clear" w:color="auto" w:fill="FFFFFF"/>
        </w:rPr>
        <w:t>tys. mieszkańców lub więcej) a najmniejszymi (20 tys. mieszkańców lub</w:t>
      </w:r>
      <w:r w:rsidR="00521023">
        <w:rPr>
          <w:rFonts w:cs="Arial"/>
          <w:color w:val="0A0A0A"/>
          <w:szCs w:val="19"/>
          <w:shd w:val="clear" w:color="auto" w:fill="FFFFFF"/>
        </w:rPr>
        <w:t> </w:t>
      </w:r>
      <w:r>
        <w:rPr>
          <w:rFonts w:cs="Arial"/>
          <w:color w:val="0A0A0A"/>
          <w:szCs w:val="19"/>
          <w:shd w:val="clear" w:color="auto" w:fill="FFFFFF"/>
        </w:rPr>
        <w:t>mniej) wyniosła w 2025 r. 2,7 p. proc (</w:t>
      </w:r>
      <w:r w:rsidR="00E16807">
        <w:rPr>
          <w:rFonts w:cs="Arial"/>
          <w:color w:val="0A0A0A"/>
          <w:szCs w:val="19"/>
          <w:shd w:val="clear" w:color="auto" w:fill="FFFFFF"/>
        </w:rPr>
        <w:t xml:space="preserve">dla </w:t>
      </w:r>
      <w:r>
        <w:rPr>
          <w:rFonts w:cs="Arial"/>
          <w:color w:val="0A0A0A"/>
          <w:szCs w:val="19"/>
          <w:shd w:val="clear" w:color="auto" w:fill="FFFFFF"/>
        </w:rPr>
        <w:t>wydawani</w:t>
      </w:r>
      <w:r w:rsidR="00E16807">
        <w:rPr>
          <w:rFonts w:cs="Arial"/>
          <w:color w:val="0A0A0A"/>
          <w:szCs w:val="19"/>
          <w:shd w:val="clear" w:color="auto" w:fill="FFFFFF"/>
        </w:rPr>
        <w:t>a</w:t>
      </w:r>
      <w:r>
        <w:rPr>
          <w:rFonts w:cs="Arial"/>
          <w:color w:val="0A0A0A"/>
          <w:szCs w:val="19"/>
          <w:shd w:val="clear" w:color="auto" w:fill="FFFFFF"/>
        </w:rPr>
        <w:t xml:space="preserve"> sumy pieniędzy na własne potrzeby) oraz 3,6 p. proc. (</w:t>
      </w:r>
      <w:r w:rsidR="00E16807">
        <w:rPr>
          <w:rFonts w:cs="Arial"/>
          <w:color w:val="0A0A0A"/>
          <w:szCs w:val="19"/>
          <w:shd w:val="clear" w:color="auto" w:fill="FFFFFF"/>
        </w:rPr>
        <w:t xml:space="preserve">dla </w:t>
      </w:r>
      <w:r w:rsidRPr="00896E01">
        <w:rPr>
          <w:rFonts w:cs="Arial"/>
          <w:color w:val="0A0A0A"/>
          <w:szCs w:val="19"/>
          <w:shd w:val="clear" w:color="auto" w:fill="FFFFFF"/>
        </w:rPr>
        <w:t>regularne</w:t>
      </w:r>
      <w:r w:rsidR="00E16807">
        <w:rPr>
          <w:rFonts w:cs="Arial"/>
          <w:color w:val="0A0A0A"/>
          <w:szCs w:val="19"/>
          <w:shd w:val="clear" w:color="auto" w:fill="FFFFFF"/>
        </w:rPr>
        <w:t>go</w:t>
      </w:r>
      <w:r w:rsidRPr="00896E01">
        <w:rPr>
          <w:rFonts w:cs="Arial"/>
          <w:color w:val="0A0A0A"/>
          <w:szCs w:val="19"/>
          <w:shd w:val="clear" w:color="auto" w:fill="FFFFFF"/>
        </w:rPr>
        <w:t xml:space="preserve"> </w:t>
      </w:r>
      <w:r w:rsidR="00E16807" w:rsidRPr="00896E01">
        <w:rPr>
          <w:rFonts w:cs="Arial"/>
          <w:color w:val="0A0A0A"/>
          <w:szCs w:val="19"/>
          <w:shd w:val="clear" w:color="auto" w:fill="FFFFFF"/>
        </w:rPr>
        <w:t>uczestnictw</w:t>
      </w:r>
      <w:r w:rsidR="00E16807">
        <w:rPr>
          <w:rFonts w:cs="Arial"/>
          <w:color w:val="0A0A0A"/>
          <w:szCs w:val="19"/>
          <w:shd w:val="clear" w:color="auto" w:fill="FFFFFF"/>
        </w:rPr>
        <w:t>a</w:t>
      </w:r>
      <w:r w:rsidR="00E16807" w:rsidRPr="00896E01">
        <w:rPr>
          <w:rFonts w:cs="Arial"/>
          <w:color w:val="0A0A0A"/>
          <w:szCs w:val="19"/>
          <w:shd w:val="clear" w:color="auto" w:fill="FFFFFF"/>
        </w:rPr>
        <w:t xml:space="preserve"> </w:t>
      </w:r>
      <w:r w:rsidRPr="00896E01">
        <w:rPr>
          <w:rFonts w:cs="Arial"/>
          <w:color w:val="0A0A0A"/>
          <w:szCs w:val="19"/>
          <w:shd w:val="clear" w:color="auto" w:fill="FFFFFF"/>
        </w:rPr>
        <w:t>w różnych formach spędzania czasu wolnego</w:t>
      </w:r>
      <w:r>
        <w:rPr>
          <w:rFonts w:cs="Arial"/>
          <w:color w:val="0A0A0A"/>
          <w:szCs w:val="19"/>
          <w:shd w:val="clear" w:color="auto" w:fill="FFFFFF"/>
        </w:rPr>
        <w:t>).</w:t>
      </w:r>
    </w:p>
    <w:p w14:paraId="369A3A26" w14:textId="3239CA59" w:rsidR="00110C34" w:rsidRPr="00110C34" w:rsidRDefault="00110C34" w:rsidP="009E1909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 w:rsidRPr="00110C34">
        <w:rPr>
          <w:rFonts w:cs="Arial"/>
          <w:color w:val="0A0A0A"/>
          <w:szCs w:val="19"/>
          <w:shd w:val="clear" w:color="auto" w:fill="FFFFFF"/>
        </w:rPr>
        <w:t>W 2025 roku skala niezaspokojonych potrzeb była najwyższa w mniejszych ośrodkach miejskich, a najniższa w dużych metropoliach</w:t>
      </w:r>
      <w:r w:rsidR="00DD1B62">
        <w:rPr>
          <w:rFonts w:cs="Arial"/>
          <w:color w:val="0A0A0A"/>
          <w:szCs w:val="19"/>
          <w:shd w:val="clear" w:color="auto" w:fill="FFFFFF"/>
        </w:rPr>
        <w:t>.</w:t>
      </w:r>
    </w:p>
    <w:p w14:paraId="7D26D211" w14:textId="77777777" w:rsidR="005C746C" w:rsidRDefault="005C746C">
      <w:pPr>
        <w:spacing w:before="0" w:after="160" w:line="259" w:lineRule="auto"/>
        <w:rPr>
          <w:rStyle w:val="Pogrubienie"/>
          <w:szCs w:val="19"/>
        </w:rPr>
      </w:pPr>
      <w:r>
        <w:rPr>
          <w:rStyle w:val="Pogrubienie"/>
          <w:szCs w:val="19"/>
        </w:rPr>
        <w:br w:type="page"/>
      </w:r>
    </w:p>
    <w:p w14:paraId="29878647" w14:textId="2AA45392" w:rsidR="00375056" w:rsidRDefault="00375056" w:rsidP="00CB72E3">
      <w:pPr>
        <w:spacing w:before="360" w:line="240" w:lineRule="auto"/>
        <w:ind w:left="907" w:hanging="907"/>
        <w:rPr>
          <w:rStyle w:val="Pogrubienie"/>
          <w:szCs w:val="19"/>
        </w:rPr>
      </w:pPr>
      <w:r>
        <w:rPr>
          <w:rStyle w:val="Pogrubienie"/>
          <w:szCs w:val="19"/>
        </w:rPr>
        <w:lastRenderedPageBreak/>
        <w:t xml:space="preserve">Wykres </w:t>
      </w:r>
      <w:r w:rsidR="00E32C42">
        <w:rPr>
          <w:rStyle w:val="Pogrubienie"/>
          <w:szCs w:val="19"/>
        </w:rPr>
        <w:t>4</w:t>
      </w:r>
      <w:r w:rsidRPr="00A948CB">
        <w:rPr>
          <w:rStyle w:val="Pogrubienie"/>
          <w:szCs w:val="19"/>
        </w:rPr>
        <w:t xml:space="preserve">. </w:t>
      </w:r>
      <w:r w:rsidRPr="00444DC6">
        <w:rPr>
          <w:rStyle w:val="Pogrubienie"/>
          <w:szCs w:val="19"/>
        </w:rPr>
        <w:t xml:space="preserve">Wybrane aspekty deprywacji materialnej i społecznej w podziale </w:t>
      </w:r>
      <w:r w:rsidR="00A051D5">
        <w:rPr>
          <w:rStyle w:val="Pogrubienie"/>
          <w:szCs w:val="19"/>
        </w:rPr>
        <w:br/>
      </w:r>
      <w:r w:rsidRPr="00444DC6">
        <w:rPr>
          <w:rStyle w:val="Pogrubienie"/>
          <w:szCs w:val="19"/>
        </w:rPr>
        <w:t xml:space="preserve">na </w:t>
      </w:r>
      <w:r>
        <w:rPr>
          <w:rStyle w:val="Pogrubienie"/>
          <w:szCs w:val="19"/>
        </w:rPr>
        <w:t>klasy miast</w:t>
      </w:r>
      <w:r w:rsidR="00FA34A0" w:rsidRPr="00FA34A0">
        <w:rPr>
          <w:rStyle w:val="Pogrubienie"/>
          <w:szCs w:val="19"/>
        </w:rPr>
        <w:t xml:space="preserve"> </w:t>
      </w:r>
      <w:r w:rsidR="00FA34A0" w:rsidRPr="00444DC6">
        <w:rPr>
          <w:rStyle w:val="Pogrubienie"/>
          <w:szCs w:val="19"/>
        </w:rPr>
        <w:t>w 2025 r.</w:t>
      </w:r>
    </w:p>
    <w:p w14:paraId="1D71DE14" w14:textId="1234E121" w:rsidR="001701A1" w:rsidRPr="00444DC6" w:rsidRDefault="001701A1" w:rsidP="00CB72E3">
      <w:pPr>
        <w:spacing w:before="360" w:line="240" w:lineRule="auto"/>
        <w:ind w:left="907" w:hanging="907"/>
        <w:rPr>
          <w:rStyle w:val="Pogrubienie"/>
          <w:b w:val="0"/>
          <w:szCs w:val="19"/>
        </w:rPr>
      </w:pPr>
      <w:r>
        <w:rPr>
          <w:rStyle w:val="Pogrubienie"/>
          <w:b w:val="0"/>
          <w:noProof/>
          <w:szCs w:val="19"/>
          <w:lang w:eastAsia="pl-PL"/>
        </w:rPr>
        <w:drawing>
          <wp:inline distT="0" distB="0" distL="0" distR="0" wp14:anchorId="65076E01" wp14:editId="467A2F0C">
            <wp:extent cx="5151755" cy="4334510"/>
            <wp:effectExtent l="0" t="0" r="0" b="889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F6ABD" w14:textId="55F4BCAE" w:rsidR="00375056" w:rsidRPr="00957A69" w:rsidRDefault="00375056" w:rsidP="00CB72E3">
      <w:pPr>
        <w:pStyle w:val="Tytutablicy"/>
        <w:keepNext w:val="0"/>
        <w:rPr>
          <w:rFonts w:ascii="Fira Sans SemiBold" w:hAnsi="Fira Sans SemiBold"/>
          <w:b w:val="0"/>
          <w:color w:val="001D77"/>
          <w:szCs w:val="24"/>
        </w:rPr>
      </w:pPr>
      <w:r w:rsidRPr="00957A69">
        <w:rPr>
          <w:rFonts w:ascii="Fira Sans SemiBold" w:hAnsi="Fira Sans SemiBold"/>
          <w:b w:val="0"/>
          <w:color w:val="001D77"/>
          <w:szCs w:val="24"/>
        </w:rPr>
        <w:t>Zróżnicowanie sytuacji mieszkańców terenów wiejskich</w:t>
      </w:r>
      <w:r w:rsidRPr="00957A69">
        <w:rPr>
          <w:rFonts w:ascii="Fira Sans SemiBold" w:hAnsi="Fira Sans SemiBold"/>
          <w:b w:val="0"/>
          <w:color w:val="001D77"/>
          <w:szCs w:val="24"/>
          <w:vertAlign w:val="superscript"/>
        </w:rPr>
        <w:footnoteReference w:id="9"/>
      </w:r>
      <w:r w:rsidRPr="00957A69">
        <w:rPr>
          <w:rFonts w:ascii="Fira Sans SemiBold" w:hAnsi="Fira Sans SemiBold"/>
          <w:b w:val="0"/>
          <w:color w:val="001D77"/>
          <w:szCs w:val="24"/>
        </w:rPr>
        <w:t xml:space="preserve"> </w:t>
      </w:r>
    </w:p>
    <w:p w14:paraId="70D19577" w14:textId="53824DAD" w:rsidR="00375056" w:rsidRDefault="00375056" w:rsidP="00CB72E3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>
        <w:rPr>
          <w:szCs w:val="19"/>
        </w:rPr>
        <w:t>Podział terenów wiejskich na obszary aglomeracyjne (</w:t>
      </w:r>
      <w:r w:rsidRPr="00530FF1">
        <w:rPr>
          <w:szCs w:val="19"/>
        </w:rPr>
        <w:t>tereny położone w bezpośredniej strefie oddziaływania dużych miast</w:t>
      </w:r>
      <w:r>
        <w:rPr>
          <w:szCs w:val="19"/>
        </w:rPr>
        <w:t xml:space="preserve">) oraz </w:t>
      </w:r>
      <w:proofErr w:type="spellStart"/>
      <w:r>
        <w:rPr>
          <w:szCs w:val="19"/>
        </w:rPr>
        <w:t>pozaaglomeracyjne</w:t>
      </w:r>
      <w:proofErr w:type="spellEnd"/>
      <w:r>
        <w:rPr>
          <w:szCs w:val="19"/>
        </w:rPr>
        <w:t xml:space="preserve"> (</w:t>
      </w:r>
      <w:r w:rsidRPr="00530FF1">
        <w:rPr>
          <w:szCs w:val="19"/>
        </w:rPr>
        <w:t>tereny wiejskie położone poza zasięgiem dużych ośrodków miejskich, często peryferyjne)</w:t>
      </w:r>
      <w:r>
        <w:rPr>
          <w:szCs w:val="19"/>
        </w:rPr>
        <w:t xml:space="preserve"> </w:t>
      </w:r>
      <w:r w:rsidRPr="00530FF1">
        <w:rPr>
          <w:szCs w:val="19"/>
        </w:rPr>
        <w:t xml:space="preserve">pozwala na precyzyjniejsze badanie </w:t>
      </w:r>
      <w:r w:rsidR="00CA2CC0">
        <w:rPr>
          <w:szCs w:val="19"/>
        </w:rPr>
        <w:t>różnic w sytuacji mieszkańców</w:t>
      </w:r>
      <w:r>
        <w:rPr>
          <w:szCs w:val="19"/>
        </w:rPr>
        <w:t xml:space="preserve"> terenów wiejskich w Polsce</w:t>
      </w:r>
      <w:r w:rsidRPr="00530FF1">
        <w:rPr>
          <w:rFonts w:cs="Arial"/>
          <w:color w:val="0A0A0A"/>
          <w:szCs w:val="19"/>
          <w:shd w:val="clear" w:color="auto" w:fill="FFFFFF"/>
        </w:rPr>
        <w:t>.</w:t>
      </w:r>
      <w:r>
        <w:rPr>
          <w:rFonts w:cs="Arial"/>
          <w:color w:val="0A0A0A"/>
          <w:szCs w:val="19"/>
          <w:shd w:val="clear" w:color="auto" w:fill="FFFFFF"/>
        </w:rPr>
        <w:t xml:space="preserve"> </w:t>
      </w:r>
    </w:p>
    <w:p w14:paraId="335FF5D6" w14:textId="4DCEE68E" w:rsidR="00375056" w:rsidRDefault="00375056" w:rsidP="00CB72E3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>
        <w:rPr>
          <w:rFonts w:cs="Arial"/>
          <w:color w:val="0A0A0A"/>
          <w:szCs w:val="19"/>
          <w:shd w:val="clear" w:color="auto" w:fill="FFFFFF"/>
        </w:rPr>
        <w:t>Poniższy wykres przedstawia odset</w:t>
      </w:r>
      <w:r w:rsidR="00122A28">
        <w:rPr>
          <w:rFonts w:cs="Arial"/>
          <w:color w:val="0A0A0A"/>
          <w:szCs w:val="19"/>
          <w:shd w:val="clear" w:color="auto" w:fill="FFFFFF"/>
        </w:rPr>
        <w:t>e</w:t>
      </w:r>
      <w:r>
        <w:rPr>
          <w:rFonts w:cs="Arial"/>
          <w:color w:val="0A0A0A"/>
          <w:szCs w:val="19"/>
          <w:shd w:val="clear" w:color="auto" w:fill="FFFFFF"/>
        </w:rPr>
        <w:t xml:space="preserve">k osób – mieszkańców wsi, które z powodów finansowych nie były w stanie w 2025 r. zaspokoić wybranych potrzeb. Jak już wykazano wcześniej odległość położenia wsi od aglomeracji miejskiej ma znaczenie dla poziomu uzyskiwanych dochodów przez mieszkańców tych wsi. </w:t>
      </w:r>
      <w:r w:rsidR="00BC400B" w:rsidRPr="00BC400B">
        <w:rPr>
          <w:rFonts w:cs="Arial"/>
          <w:color w:val="0A0A0A"/>
          <w:szCs w:val="19"/>
          <w:shd w:val="clear" w:color="auto" w:fill="FFFFFF"/>
        </w:rPr>
        <w:t>W 2025 r. różnica w średnim dochodzie</w:t>
      </w:r>
      <w:r w:rsidR="00E16807">
        <w:rPr>
          <w:rFonts w:cs="Arial"/>
          <w:color w:val="0A0A0A"/>
          <w:szCs w:val="19"/>
          <w:shd w:val="clear" w:color="auto" w:fill="FFFFFF"/>
        </w:rPr>
        <w:t xml:space="preserve"> między</w:t>
      </w:r>
      <w:r w:rsidR="00BC400B" w:rsidRPr="00BC400B">
        <w:rPr>
          <w:rFonts w:cs="Arial"/>
          <w:color w:val="0A0A0A"/>
          <w:szCs w:val="19"/>
          <w:shd w:val="clear" w:color="auto" w:fill="FFFFFF"/>
        </w:rPr>
        <w:t xml:space="preserve"> </w:t>
      </w:r>
      <w:r w:rsidR="00BC400B" w:rsidRPr="00A35B44">
        <w:rPr>
          <w:rFonts w:cs="Arial"/>
          <w:color w:val="0A0A0A"/>
          <w:spacing w:val="-2"/>
          <w:szCs w:val="19"/>
          <w:shd w:val="clear" w:color="auto" w:fill="FFFFFF"/>
        </w:rPr>
        <w:t>mieszkańc</w:t>
      </w:r>
      <w:r w:rsidR="00E16807" w:rsidRPr="00A35B44">
        <w:rPr>
          <w:rFonts w:cs="Arial"/>
          <w:color w:val="0A0A0A"/>
          <w:spacing w:val="-2"/>
          <w:szCs w:val="19"/>
          <w:shd w:val="clear" w:color="auto" w:fill="FFFFFF"/>
        </w:rPr>
        <w:t>ami</w:t>
      </w:r>
      <w:r w:rsidR="00BC400B" w:rsidRPr="00A35B44">
        <w:rPr>
          <w:rFonts w:cs="Arial"/>
          <w:color w:val="0A0A0A"/>
          <w:spacing w:val="-2"/>
          <w:szCs w:val="19"/>
          <w:shd w:val="clear" w:color="auto" w:fill="FFFFFF"/>
        </w:rPr>
        <w:t xml:space="preserve"> wsi podmiejskich </w:t>
      </w:r>
      <w:r w:rsidR="00E16807" w:rsidRPr="00A35B44">
        <w:rPr>
          <w:rFonts w:cs="Arial"/>
          <w:color w:val="0A0A0A"/>
          <w:spacing w:val="-2"/>
          <w:szCs w:val="19"/>
          <w:shd w:val="clear" w:color="auto" w:fill="FFFFFF"/>
        </w:rPr>
        <w:t xml:space="preserve">a mieszkańcami </w:t>
      </w:r>
      <w:r w:rsidR="00BC400B" w:rsidRPr="00A35B44">
        <w:rPr>
          <w:rFonts w:cs="Arial"/>
          <w:color w:val="0A0A0A"/>
          <w:spacing w:val="-2"/>
          <w:szCs w:val="19"/>
          <w:shd w:val="clear" w:color="auto" w:fill="FFFFFF"/>
        </w:rPr>
        <w:t>terenów peryferyjnych wyniosła ok. 11 tys. zł.</w:t>
      </w:r>
    </w:p>
    <w:p w14:paraId="1ABD8DC6" w14:textId="50B68D61" w:rsidR="00375056" w:rsidRDefault="00CA2CC0" w:rsidP="00CB72E3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>
        <w:t>Analogicznie jak w przypadku miast, zbliżone poziomy odsetk</w:t>
      </w:r>
      <w:r w:rsidR="00122A28">
        <w:t>a</w:t>
      </w:r>
      <w:r w:rsidR="00447FE1">
        <w:t xml:space="preserve"> </w:t>
      </w:r>
      <w:r w:rsidRPr="00CA2CC0">
        <w:t>osób zanotowano w</w:t>
      </w:r>
      <w:r w:rsidR="00A35B44">
        <w:t> </w:t>
      </w:r>
      <w:r w:rsidRPr="00CA2CC0">
        <w:t>przypadku braku możliw</w:t>
      </w:r>
      <w:r w:rsidR="00331B47">
        <w:t xml:space="preserve">ości zaspokojenia podstawowych </w:t>
      </w:r>
      <w:r w:rsidRPr="00CA2CC0">
        <w:t>potrzeb</w:t>
      </w:r>
      <w:r w:rsidRPr="00600991">
        <w:t xml:space="preserve"> (pożywienie, mieszkanie, ogrzewanie).</w:t>
      </w:r>
      <w:r w:rsidR="00B66581">
        <w:t xml:space="preserve"> </w:t>
      </w:r>
      <w:r w:rsidR="00375056">
        <w:rPr>
          <w:rFonts w:cs="Arial"/>
          <w:color w:val="0A0A0A"/>
          <w:szCs w:val="19"/>
          <w:shd w:val="clear" w:color="auto" w:fill="FFFFFF"/>
        </w:rPr>
        <w:t>Obszary wiejskie zarówno położone bliżej aglomeracji</w:t>
      </w:r>
      <w:r w:rsidR="00600991">
        <w:rPr>
          <w:rFonts w:cs="Arial"/>
          <w:color w:val="0A0A0A"/>
          <w:szCs w:val="19"/>
          <w:shd w:val="clear" w:color="auto" w:fill="FFFFFF"/>
        </w:rPr>
        <w:t>,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jak i położone peryferyjnie charakteryzowały się podobnymi odsetk</w:t>
      </w:r>
      <w:r w:rsidR="00122A28">
        <w:rPr>
          <w:rFonts w:cs="Arial"/>
          <w:color w:val="0A0A0A"/>
          <w:szCs w:val="19"/>
          <w:shd w:val="clear" w:color="auto" w:fill="FFFFFF"/>
        </w:rPr>
        <w:t>iem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osób, które tego rodzaju potrzeb nie były w stanie zaspokoić. Istotną różnicę odnotowano tylko w przypadku braku możliwości </w:t>
      </w:r>
      <w:r w:rsidR="00375056" w:rsidRPr="00C841B5">
        <w:rPr>
          <w:rFonts w:cs="Arial"/>
          <w:color w:val="0A0A0A"/>
          <w:szCs w:val="19"/>
          <w:shd w:val="clear" w:color="auto" w:fill="FFFFFF"/>
        </w:rPr>
        <w:t>spożywanie mięsa, ryb (lub wegetariańskiego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odpowiednika) co drugi dzień. Mieszkańcy obszarów wiejskich z terenów aglomeracyjnych częściej niż mieszkańcy terenów </w:t>
      </w:r>
      <w:proofErr w:type="spellStart"/>
      <w:r w:rsidR="00375056">
        <w:rPr>
          <w:rFonts w:cs="Arial"/>
          <w:color w:val="0A0A0A"/>
          <w:szCs w:val="19"/>
          <w:shd w:val="clear" w:color="auto" w:fill="FFFFFF"/>
        </w:rPr>
        <w:t>pozaaglomeracyjnych</w:t>
      </w:r>
      <w:proofErr w:type="spellEnd"/>
      <w:r w:rsidR="00375056">
        <w:rPr>
          <w:rFonts w:cs="Arial"/>
          <w:color w:val="0A0A0A"/>
          <w:szCs w:val="19"/>
          <w:shd w:val="clear" w:color="auto" w:fill="FFFFFF"/>
        </w:rPr>
        <w:t xml:space="preserve"> nie byli w stanie jej zaspokoić (odpowiednio: 4,5% oraz 2,9%). </w:t>
      </w:r>
    </w:p>
    <w:p w14:paraId="74F4AC09" w14:textId="77DF6602" w:rsidR="00375056" w:rsidRDefault="00A35B44" w:rsidP="00CB72E3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7F8DF5" wp14:editId="2226BD50">
                <wp:simplePos x="0" y="0"/>
                <wp:positionH relativeFrom="column">
                  <wp:posOffset>5351145</wp:posOffset>
                </wp:positionH>
                <wp:positionV relativeFrom="paragraph">
                  <wp:posOffset>64770</wp:posOffset>
                </wp:positionV>
                <wp:extent cx="1656000" cy="1268532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00" cy="1268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5BBFA" w14:textId="77777777" w:rsidR="007C17EF" w:rsidRPr="00521023" w:rsidRDefault="007C17EF" w:rsidP="007C17EF">
                            <w:pPr>
                              <w:spacing w:before="0" w:after="0" w:line="276" w:lineRule="auto"/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</w:pPr>
                            <w:r w:rsidRPr="007C1B58">
                              <w:rPr>
                                <w:rFonts w:eastAsia="Times New Roman" w:cs="Arial"/>
                                <w:color w:val="001D77"/>
                                <w:spacing w:val="-2"/>
                                <w:szCs w:val="19"/>
                              </w:rPr>
                              <w:t>Mieszkańcy wsi oddalonych od aglomeracji</w:t>
                            </w:r>
                            <w:r w:rsidRPr="00521023"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>(</w:t>
                            </w:r>
                            <w:r w:rsidRPr="00521023"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>o 12 p. proc.</w:t>
                            </w:r>
                            <w:r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>)</w:t>
                            </w:r>
                            <w:r w:rsidRPr="00521023"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 xml:space="preserve"> częściej z </w:t>
                            </w:r>
                            <w:r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> </w:t>
                            </w:r>
                            <w:r w:rsidRPr="00521023"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>powodów finansowych rezygnowali z</w:t>
                            </w:r>
                            <w:r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> </w:t>
                            </w:r>
                            <w:r w:rsidRPr="00521023">
                              <w:rPr>
                                <w:rFonts w:eastAsia="Times New Roman" w:cs="Arial"/>
                                <w:color w:val="001D77"/>
                                <w:szCs w:val="19"/>
                              </w:rPr>
                              <w:t xml:space="preserve">wakacji niż </w:t>
                            </w:r>
                            <w:r w:rsidRPr="007C1B58">
                              <w:rPr>
                                <w:rFonts w:eastAsia="Times New Roman" w:cs="Arial"/>
                                <w:color w:val="001D77"/>
                                <w:spacing w:val="-2"/>
                                <w:szCs w:val="19"/>
                              </w:rPr>
                              <w:t>osoby ze wsi podmiejskich.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F8DF5" id="Pole tekstowe 13" o:spid="_x0000_s1031" type="#_x0000_t202" style="position:absolute;margin-left:421.35pt;margin-top:5.1pt;width:130.4pt;height:9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" filled="f" stroked="f" strokeweight=".5pt">
                <v:textbox>
                  <w:txbxContent>
                    <w:p w14:paraId="5515BBFA" w14:textId="77777777" w:rsidR="007C17EF" w:rsidRPr="00521023" w:rsidRDefault="007C17EF" w:rsidP="007C17EF">
                      <w:pPr>
                        <w:spacing w:before="0" w:after="0" w:line="276" w:lineRule="auto"/>
                        <w:rPr>
                          <w:rFonts w:eastAsia="Times New Roman" w:cs="Arial"/>
                          <w:color w:val="001D77"/>
                          <w:szCs w:val="19"/>
                        </w:rPr>
                      </w:pPr>
                      <w:r w:rsidRPr="007C1B58">
                        <w:rPr>
                          <w:rFonts w:eastAsia="Times New Roman" w:cs="Arial"/>
                          <w:color w:val="001D77"/>
                          <w:spacing w:val="-2"/>
                          <w:szCs w:val="19"/>
                        </w:rPr>
                        <w:t>Mieszkańcy wsi oddalonych od aglomeracji</w:t>
                      </w:r>
                      <w:r w:rsidRPr="00521023">
                        <w:rPr>
                          <w:rFonts w:eastAsia="Times New Roman" w:cs="Arial"/>
                          <w:color w:val="001D77"/>
                          <w:szCs w:val="19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color w:val="001D77"/>
                          <w:szCs w:val="19"/>
                        </w:rPr>
                        <w:t>(</w:t>
                      </w:r>
                      <w:r w:rsidRPr="00521023">
                        <w:rPr>
                          <w:rFonts w:eastAsia="Times New Roman" w:cs="Arial"/>
                          <w:color w:val="001D77"/>
                          <w:szCs w:val="19"/>
                        </w:rPr>
                        <w:t>o 12 p. proc.</w:t>
                      </w:r>
                      <w:r>
                        <w:rPr>
                          <w:rFonts w:eastAsia="Times New Roman" w:cs="Arial"/>
                          <w:color w:val="001D77"/>
                          <w:szCs w:val="19"/>
                        </w:rPr>
                        <w:t>)</w:t>
                      </w:r>
                      <w:r w:rsidRPr="00521023">
                        <w:rPr>
                          <w:rFonts w:eastAsia="Times New Roman" w:cs="Arial"/>
                          <w:color w:val="001D77"/>
                          <w:szCs w:val="19"/>
                        </w:rPr>
                        <w:t xml:space="preserve"> częściej z </w:t>
                      </w:r>
                      <w:r>
                        <w:rPr>
                          <w:rFonts w:eastAsia="Times New Roman" w:cs="Arial"/>
                          <w:color w:val="001D77"/>
                          <w:szCs w:val="19"/>
                        </w:rPr>
                        <w:t> </w:t>
                      </w:r>
                      <w:r w:rsidRPr="00521023">
                        <w:rPr>
                          <w:rFonts w:eastAsia="Times New Roman" w:cs="Arial"/>
                          <w:color w:val="001D77"/>
                          <w:szCs w:val="19"/>
                        </w:rPr>
                        <w:t>powodów finansowych rezygnowali z</w:t>
                      </w:r>
                      <w:r>
                        <w:rPr>
                          <w:rFonts w:eastAsia="Times New Roman" w:cs="Arial"/>
                          <w:color w:val="001D77"/>
                          <w:szCs w:val="19"/>
                        </w:rPr>
                        <w:t> </w:t>
                      </w:r>
                      <w:r w:rsidRPr="00521023">
                        <w:rPr>
                          <w:rFonts w:eastAsia="Times New Roman" w:cs="Arial"/>
                          <w:color w:val="001D77"/>
                          <w:szCs w:val="19"/>
                        </w:rPr>
                        <w:t xml:space="preserve">wakacji niż </w:t>
                      </w:r>
                      <w:r w:rsidRPr="007C1B58">
                        <w:rPr>
                          <w:rFonts w:eastAsia="Times New Roman" w:cs="Arial"/>
                          <w:color w:val="001D77"/>
                          <w:spacing w:val="-2"/>
                          <w:szCs w:val="19"/>
                        </w:rPr>
                        <w:t>osoby ze wsi podmiejskich.</w:t>
                      </w:r>
                    </w:p>
                  </w:txbxContent>
                </v:textbox>
              </v:shape>
            </w:pict>
          </mc:Fallback>
        </mc:AlternateContent>
      </w:r>
      <w:r w:rsidR="00375056">
        <w:rPr>
          <w:noProof/>
          <w:szCs w:val="19"/>
        </w:rPr>
        <w:t xml:space="preserve">W 2025 r. największe </w:t>
      </w:r>
      <w:r w:rsidR="00600991">
        <w:rPr>
          <w:noProof/>
          <w:szCs w:val="19"/>
        </w:rPr>
        <w:t xml:space="preserve">różnice </w:t>
      </w:r>
      <w:r w:rsidR="00375056">
        <w:rPr>
          <w:noProof/>
          <w:szCs w:val="19"/>
        </w:rPr>
        <w:t>na terenach wiejskich</w:t>
      </w:r>
      <w:r w:rsidR="00230C38">
        <w:rPr>
          <w:noProof/>
          <w:szCs w:val="19"/>
        </w:rPr>
        <w:t xml:space="preserve"> dotyczył</w:t>
      </w:r>
      <w:r w:rsidR="00600991">
        <w:rPr>
          <w:noProof/>
          <w:szCs w:val="19"/>
        </w:rPr>
        <w:t xml:space="preserve">y zaspokojenia </w:t>
      </w:r>
      <w:r w:rsidR="00230C38">
        <w:rPr>
          <w:noProof/>
          <w:szCs w:val="19"/>
        </w:rPr>
        <w:t>potrzeb związa</w:t>
      </w:r>
      <w:r w:rsidR="007732D0">
        <w:rPr>
          <w:noProof/>
          <w:szCs w:val="19"/>
        </w:rPr>
        <w:t>-</w:t>
      </w:r>
      <w:r w:rsidR="00230C38">
        <w:rPr>
          <w:noProof/>
          <w:szCs w:val="19"/>
        </w:rPr>
        <w:t>nych z </w:t>
      </w:r>
      <w:r w:rsidR="00600991">
        <w:rPr>
          <w:noProof/>
          <w:szCs w:val="19"/>
        </w:rPr>
        <w:t>opłaceniem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</w:t>
      </w:r>
      <w:r w:rsidR="00375056" w:rsidRPr="00853030">
        <w:rPr>
          <w:rFonts w:cs="Arial"/>
          <w:color w:val="0A0A0A"/>
          <w:szCs w:val="19"/>
          <w:shd w:val="clear" w:color="auto" w:fill="FFFFFF"/>
        </w:rPr>
        <w:t>tygodniowego wyjazdu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</w:t>
      </w:r>
      <w:r w:rsidR="00375056" w:rsidRPr="00853030">
        <w:rPr>
          <w:rFonts w:cs="Arial"/>
          <w:color w:val="0A0A0A"/>
          <w:szCs w:val="19"/>
          <w:shd w:val="clear" w:color="auto" w:fill="FFFFFF"/>
        </w:rPr>
        <w:t>wszystkich członków gospodarstwa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</w:t>
      </w:r>
      <w:r w:rsidR="00375056" w:rsidRPr="00853030">
        <w:rPr>
          <w:rFonts w:cs="Arial"/>
          <w:color w:val="0A0A0A"/>
          <w:szCs w:val="19"/>
          <w:shd w:val="clear" w:color="auto" w:fill="FFFFFF"/>
        </w:rPr>
        <w:t>domowego na</w:t>
      </w:r>
      <w:r w:rsidR="007732D0">
        <w:rPr>
          <w:rFonts w:cs="Arial"/>
          <w:color w:val="0A0A0A"/>
          <w:szCs w:val="19"/>
          <w:shd w:val="clear" w:color="auto" w:fill="FFFFFF"/>
        </w:rPr>
        <w:t> </w:t>
      </w:r>
      <w:r w:rsidR="00375056" w:rsidRPr="00853030">
        <w:rPr>
          <w:rFonts w:cs="Arial"/>
          <w:color w:val="0A0A0A"/>
          <w:szCs w:val="19"/>
          <w:shd w:val="clear" w:color="auto" w:fill="FFFFFF"/>
        </w:rPr>
        <w:t>wypoczynek raz w roku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oraz pokrycie</w:t>
      </w:r>
      <w:r w:rsidR="00600991">
        <w:rPr>
          <w:rFonts w:cs="Arial"/>
          <w:color w:val="0A0A0A"/>
          <w:szCs w:val="19"/>
          <w:shd w:val="clear" w:color="auto" w:fill="FFFFFF"/>
        </w:rPr>
        <w:t>m</w:t>
      </w:r>
      <w:r w:rsidR="00375056" w:rsidRPr="00186823">
        <w:rPr>
          <w:rFonts w:cs="Arial"/>
          <w:color w:val="0A0A0A"/>
          <w:szCs w:val="19"/>
          <w:shd w:val="clear" w:color="auto" w:fill="FFFFFF"/>
        </w:rPr>
        <w:t xml:space="preserve"> niespodziewanego wydatku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. Zdecydowanie wyższym odsetkiem braku możliwości wyjazdu na tygodniowy wypoczynek </w:t>
      </w:r>
      <w:r w:rsidR="00375056" w:rsidRPr="00415692">
        <w:rPr>
          <w:rFonts w:cs="Arial"/>
          <w:color w:val="0A0A0A"/>
          <w:szCs w:val="19"/>
          <w:shd w:val="clear" w:color="auto" w:fill="FFFFFF"/>
        </w:rPr>
        <w:t>charakteryzowały się osoby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mieszkające na terenach </w:t>
      </w:r>
      <w:proofErr w:type="spellStart"/>
      <w:r w:rsidR="00375056">
        <w:rPr>
          <w:rFonts w:cs="Arial"/>
          <w:color w:val="0A0A0A"/>
          <w:szCs w:val="19"/>
          <w:shd w:val="clear" w:color="auto" w:fill="FFFFFF"/>
        </w:rPr>
        <w:t>pozaaglomeracyjnych</w:t>
      </w:r>
      <w:proofErr w:type="spellEnd"/>
      <w:r w:rsidR="00375056">
        <w:rPr>
          <w:rFonts w:cs="Arial"/>
          <w:color w:val="0A0A0A"/>
          <w:szCs w:val="19"/>
          <w:shd w:val="clear" w:color="auto" w:fill="FFFFFF"/>
        </w:rPr>
        <w:t xml:space="preserve"> (34,5% osób) </w:t>
      </w:r>
      <w:r w:rsidR="00600991">
        <w:rPr>
          <w:rFonts w:cs="Arial"/>
          <w:color w:val="0A0A0A"/>
          <w:szCs w:val="19"/>
          <w:shd w:val="clear" w:color="auto" w:fill="FFFFFF"/>
        </w:rPr>
        <w:t>w</w:t>
      </w:r>
      <w:r>
        <w:rPr>
          <w:rFonts w:cs="Arial"/>
          <w:color w:val="0A0A0A"/>
          <w:szCs w:val="19"/>
          <w:shd w:val="clear" w:color="auto" w:fill="FFFFFF"/>
        </w:rPr>
        <w:t> </w:t>
      </w:r>
      <w:r w:rsidR="00600991">
        <w:rPr>
          <w:rFonts w:cs="Arial"/>
          <w:color w:val="0A0A0A"/>
          <w:szCs w:val="19"/>
          <w:shd w:val="clear" w:color="auto" w:fill="FFFFFF"/>
        </w:rPr>
        <w:t xml:space="preserve"> porównaniu </w:t>
      </w:r>
      <w:r w:rsidR="005C0B93">
        <w:rPr>
          <w:rFonts w:cs="Arial"/>
          <w:color w:val="0A0A0A"/>
          <w:szCs w:val="19"/>
          <w:shd w:val="clear" w:color="auto" w:fill="FFFFFF"/>
        </w:rPr>
        <w:t>do</w:t>
      </w:r>
      <w:r w:rsidR="007732D0">
        <w:rPr>
          <w:rFonts w:cs="Arial"/>
          <w:color w:val="0A0A0A"/>
          <w:szCs w:val="19"/>
          <w:shd w:val="clear" w:color="auto" w:fill="FFFFFF"/>
        </w:rPr>
        <w:t xml:space="preserve">  </w:t>
      </w:r>
      <w:r w:rsidR="005C0B93" w:rsidRPr="00415692">
        <w:rPr>
          <w:rFonts w:cs="Arial"/>
          <w:color w:val="0A0A0A"/>
          <w:szCs w:val="19"/>
          <w:shd w:val="clear" w:color="auto" w:fill="FFFFFF"/>
        </w:rPr>
        <w:t>osób</w:t>
      </w:r>
      <w:r w:rsidR="00415692">
        <w:rPr>
          <w:rFonts w:cs="Arial"/>
          <w:color w:val="0A0A0A"/>
          <w:szCs w:val="19"/>
          <w:shd w:val="clear" w:color="auto" w:fill="FFFFFF"/>
        </w:rPr>
        <w:t xml:space="preserve"> 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mieszkających na terenach </w:t>
      </w:r>
      <w:r w:rsidR="005C0B93">
        <w:rPr>
          <w:rFonts w:cs="Arial"/>
          <w:color w:val="0A0A0A"/>
          <w:szCs w:val="19"/>
          <w:shd w:val="clear" w:color="auto" w:fill="FFFFFF"/>
        </w:rPr>
        <w:t>leżących w sąsiedztwie</w:t>
      </w:r>
      <w:r w:rsidR="00415692">
        <w:rPr>
          <w:rFonts w:cs="Arial"/>
          <w:color w:val="0A0A0A"/>
          <w:szCs w:val="19"/>
          <w:shd w:val="clear" w:color="auto" w:fill="FFFFFF"/>
        </w:rPr>
        <w:t xml:space="preserve"> 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dużych miast (21,7%). Podobna </w:t>
      </w:r>
      <w:r w:rsidR="005C0B93">
        <w:rPr>
          <w:rFonts w:cs="Arial"/>
          <w:color w:val="0A0A0A"/>
          <w:szCs w:val="19"/>
          <w:shd w:val="clear" w:color="auto" w:fill="FFFFFF"/>
        </w:rPr>
        <w:t>prawidłowość</w:t>
      </w:r>
      <w:r w:rsidR="00375056">
        <w:rPr>
          <w:rFonts w:cs="Arial"/>
          <w:color w:val="0A0A0A"/>
          <w:szCs w:val="19"/>
          <w:shd w:val="clear" w:color="auto" w:fill="FFFFFF"/>
        </w:rPr>
        <w:t xml:space="preserve"> dotyczyła braku możliwości pokrycia nieoczekiwanego wydatku (odpowiednio: 25,4% oraz 16,5%).</w:t>
      </w:r>
    </w:p>
    <w:p w14:paraId="6978BD91" w14:textId="08054B67" w:rsidR="00375056" w:rsidRDefault="00375056" w:rsidP="00CB72E3">
      <w:pPr>
        <w:spacing w:line="288" w:lineRule="auto"/>
        <w:rPr>
          <w:rFonts w:cs="Arial"/>
          <w:color w:val="0A0A0A"/>
          <w:szCs w:val="19"/>
          <w:shd w:val="clear" w:color="auto" w:fill="FFFFFF"/>
        </w:rPr>
      </w:pPr>
      <w:r>
        <w:rPr>
          <w:rFonts w:cs="Arial"/>
          <w:color w:val="0A0A0A"/>
          <w:szCs w:val="19"/>
          <w:shd w:val="clear" w:color="auto" w:fill="FFFFFF"/>
        </w:rPr>
        <w:t>Ostatnia grupa potrzeb związana z zapewnieniem pieniędzy na własne potrzeby oraz organizacją czasu wolnego w 2025 r. na terenach wiejskich charakteryzowała się nieco mniejszym</w:t>
      </w:r>
      <w:r w:rsidR="006A5C91">
        <w:rPr>
          <w:rFonts w:cs="Arial"/>
          <w:color w:val="0A0A0A"/>
          <w:szCs w:val="19"/>
          <w:shd w:val="clear" w:color="auto" w:fill="FFFFFF"/>
        </w:rPr>
        <w:t>i</w:t>
      </w:r>
      <w:r>
        <w:rPr>
          <w:rFonts w:cs="Arial"/>
          <w:color w:val="0A0A0A"/>
          <w:szCs w:val="19"/>
          <w:shd w:val="clear" w:color="auto" w:fill="FFFFFF"/>
        </w:rPr>
        <w:t xml:space="preserve"> </w:t>
      </w:r>
      <w:r w:rsidR="006A5C91">
        <w:rPr>
          <w:rFonts w:cs="Arial"/>
          <w:color w:val="0A0A0A"/>
          <w:szCs w:val="19"/>
          <w:shd w:val="clear" w:color="auto" w:fill="FFFFFF"/>
        </w:rPr>
        <w:t>różnicami</w:t>
      </w:r>
      <w:r w:rsidR="00310585">
        <w:rPr>
          <w:rFonts w:cs="Arial"/>
          <w:color w:val="0A0A0A"/>
          <w:szCs w:val="19"/>
          <w:shd w:val="clear" w:color="auto" w:fill="FFFFFF"/>
        </w:rPr>
        <w:t xml:space="preserve"> w wysokości odsetk</w:t>
      </w:r>
      <w:r w:rsidR="00577352">
        <w:rPr>
          <w:rFonts w:cs="Arial"/>
          <w:color w:val="0A0A0A"/>
          <w:szCs w:val="19"/>
          <w:shd w:val="clear" w:color="auto" w:fill="FFFFFF"/>
        </w:rPr>
        <w:t>a</w:t>
      </w:r>
      <w:r w:rsidR="00310585">
        <w:rPr>
          <w:rFonts w:cs="Arial"/>
          <w:color w:val="0A0A0A"/>
          <w:szCs w:val="19"/>
          <w:shd w:val="clear" w:color="auto" w:fill="FFFFFF"/>
        </w:rPr>
        <w:t xml:space="preserve"> osób </w:t>
      </w:r>
      <w:r w:rsidR="00B33B27">
        <w:rPr>
          <w:rFonts w:cs="Arial"/>
          <w:color w:val="0A0A0A"/>
          <w:szCs w:val="19"/>
          <w:shd w:val="clear" w:color="auto" w:fill="FFFFFF"/>
        </w:rPr>
        <w:t>w porównaniu do pozostałych opisanych wyżej potrzeb.</w:t>
      </w:r>
      <w:r>
        <w:rPr>
          <w:rFonts w:cs="Arial"/>
          <w:color w:val="0A0A0A"/>
          <w:szCs w:val="19"/>
          <w:shd w:val="clear" w:color="auto" w:fill="FFFFFF"/>
        </w:rPr>
        <w:t xml:space="preserve"> </w:t>
      </w:r>
    </w:p>
    <w:p w14:paraId="3975C404" w14:textId="762542EB" w:rsidR="00E32C42" w:rsidRDefault="0025568C" w:rsidP="00CB72E3">
      <w:pPr>
        <w:spacing w:before="360" w:line="240" w:lineRule="auto"/>
        <w:ind w:left="907" w:hanging="907"/>
        <w:rPr>
          <w:rStyle w:val="Pogrubienie"/>
          <w:szCs w:val="19"/>
        </w:rPr>
      </w:pPr>
      <w:r>
        <w:rPr>
          <w:rStyle w:val="Pogrubienie"/>
          <w:szCs w:val="19"/>
        </w:rPr>
        <w:t>W</w:t>
      </w:r>
      <w:r w:rsidR="00E32C42">
        <w:rPr>
          <w:rStyle w:val="Pogrubienie"/>
          <w:szCs w:val="19"/>
        </w:rPr>
        <w:t>ykres 5</w:t>
      </w:r>
      <w:r w:rsidR="00375056" w:rsidRPr="00A948CB">
        <w:rPr>
          <w:rStyle w:val="Pogrubienie"/>
          <w:szCs w:val="19"/>
        </w:rPr>
        <w:t xml:space="preserve">. </w:t>
      </w:r>
      <w:r w:rsidR="00375056" w:rsidRPr="00444DC6">
        <w:rPr>
          <w:rStyle w:val="Pogrubienie"/>
          <w:szCs w:val="19"/>
        </w:rPr>
        <w:t xml:space="preserve">Wybrane aspekty deprywacji materialnej i społecznej w podziale </w:t>
      </w:r>
      <w:r w:rsidR="00375056">
        <w:rPr>
          <w:rStyle w:val="Pogrubienie"/>
          <w:szCs w:val="19"/>
        </w:rPr>
        <w:t>na</w:t>
      </w:r>
      <w:r w:rsidR="00957A69">
        <w:rPr>
          <w:rStyle w:val="Pogrubienie"/>
          <w:szCs w:val="19"/>
        </w:rPr>
        <w:t> </w:t>
      </w:r>
      <w:r w:rsidR="00375056">
        <w:rPr>
          <w:rStyle w:val="Pogrubienie"/>
          <w:szCs w:val="19"/>
        </w:rPr>
        <w:t xml:space="preserve">obszary wiejskie </w:t>
      </w:r>
      <w:proofErr w:type="spellStart"/>
      <w:r w:rsidR="00375056">
        <w:rPr>
          <w:rStyle w:val="Pogrubienie"/>
          <w:szCs w:val="19"/>
        </w:rPr>
        <w:t>aglomeracyne</w:t>
      </w:r>
      <w:proofErr w:type="spellEnd"/>
      <w:r w:rsidR="00375056">
        <w:rPr>
          <w:rStyle w:val="Pogrubienie"/>
          <w:szCs w:val="19"/>
        </w:rPr>
        <w:t xml:space="preserve"> i </w:t>
      </w:r>
      <w:proofErr w:type="spellStart"/>
      <w:r w:rsidR="00375056">
        <w:rPr>
          <w:rStyle w:val="Pogrubienie"/>
          <w:szCs w:val="19"/>
        </w:rPr>
        <w:t>pozaaglomeracyjne</w:t>
      </w:r>
      <w:proofErr w:type="spellEnd"/>
      <w:r w:rsidR="00FA34A0" w:rsidRPr="00FA34A0">
        <w:rPr>
          <w:rStyle w:val="Pogrubienie"/>
          <w:szCs w:val="19"/>
        </w:rPr>
        <w:t xml:space="preserve"> </w:t>
      </w:r>
      <w:r w:rsidR="00FA34A0" w:rsidRPr="00444DC6">
        <w:rPr>
          <w:rStyle w:val="Pogrubienie"/>
          <w:szCs w:val="19"/>
        </w:rPr>
        <w:t>w 2025 r.</w:t>
      </w:r>
    </w:p>
    <w:p w14:paraId="4C58E307" w14:textId="2F8CDF6A" w:rsidR="00E85D69" w:rsidRDefault="00E85D69" w:rsidP="00CB72E3">
      <w:pPr>
        <w:spacing w:before="360" w:line="240" w:lineRule="auto"/>
        <w:ind w:left="907" w:hanging="907"/>
        <w:rPr>
          <w:rStyle w:val="Pogrubienie"/>
          <w:szCs w:val="19"/>
        </w:rPr>
      </w:pPr>
      <w:r>
        <w:rPr>
          <w:rStyle w:val="Pogrubienie"/>
          <w:noProof/>
          <w:szCs w:val="19"/>
          <w:lang w:eastAsia="pl-PL"/>
        </w:rPr>
        <w:drawing>
          <wp:inline distT="0" distB="0" distL="0" distR="0" wp14:anchorId="35565D6B" wp14:editId="6A71C324">
            <wp:extent cx="5084445" cy="4328795"/>
            <wp:effectExtent l="0" t="0" r="1905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432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FA69C" w14:textId="341FFD00" w:rsidR="00314B4B" w:rsidRDefault="006930DF" w:rsidP="007C17EF">
      <w:pPr>
        <w:spacing w:before="2640"/>
        <w:rPr>
          <w:color w:val="2F5496" w:themeColor="accent5" w:themeShade="BF"/>
          <w:szCs w:val="19"/>
        </w:rPr>
      </w:pPr>
      <w:r w:rsidRPr="008D7507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</w:t>
      </w:r>
      <w:r>
        <w:rPr>
          <w:shd w:val="clear" w:color="auto" w:fill="FFFFFF"/>
        </w:rPr>
        <w:t>-</w:t>
      </w:r>
      <w:proofErr w:type="spellStart"/>
      <w:r w:rsidRPr="008D7507">
        <w:rPr>
          <w:shd w:val="clear" w:color="auto" w:fill="FFFFFF"/>
        </w:rPr>
        <w:t>nych</w:t>
      </w:r>
      <w:proofErr w:type="spellEnd"/>
      <w:r w:rsidRPr="008D7507">
        <w:rPr>
          <w:shd w:val="clear" w:color="auto" w:fill="FFFFFF"/>
        </w:rPr>
        <w:t xml:space="preserve"> opublikowanych przez GUS prosimy o zamieszczenie informacji: „Opracowanie własne na podstawie danych GUS”</w:t>
      </w:r>
      <w:r>
        <w:rPr>
          <w:shd w:val="clear" w:color="auto" w:fill="FFFFFF"/>
        </w:rPr>
        <w:t>.</w:t>
      </w:r>
    </w:p>
    <w:p w14:paraId="485780CB" w14:textId="77777777" w:rsidR="00484D9A" w:rsidRPr="00484D9A" w:rsidRDefault="00484D9A" w:rsidP="004F73CE">
      <w:pPr>
        <w:rPr>
          <w:color w:val="2F5496" w:themeColor="accent5" w:themeShade="BF"/>
          <w:szCs w:val="19"/>
        </w:rPr>
        <w:sectPr w:rsidR="00484D9A" w:rsidRPr="00484D9A" w:rsidSect="0004060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FF4C895" w14:textId="77777777" w:rsidR="000470AA" w:rsidRPr="00311ADE" w:rsidRDefault="000470AA" w:rsidP="004F73CE">
      <w:pPr>
        <w:rPr>
          <w:color w:val="000000" w:themeColor="text1"/>
          <w:sz w:val="18"/>
        </w:rPr>
      </w:pPr>
    </w:p>
    <w:tbl>
      <w:tblPr>
        <w:tblStyle w:val="Tabela-Siatka1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124CF" w:rsidRPr="008124CF" w14:paraId="6753D7D1" w14:textId="77777777" w:rsidTr="00A821A5">
        <w:trPr>
          <w:trHeight w:val="1626"/>
        </w:trPr>
        <w:tc>
          <w:tcPr>
            <w:tcW w:w="4926" w:type="dxa"/>
          </w:tcPr>
          <w:p w14:paraId="4CBFD7FE" w14:textId="77777777" w:rsidR="00966079" w:rsidRPr="007C17EF" w:rsidRDefault="00966079" w:rsidP="004F73C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bookmarkStart w:id="2" w:name="_Hlk101855846"/>
            <w:bookmarkStart w:id="3" w:name="_Hlk101855825"/>
            <w:r w:rsidRPr="007C17E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6E0CFA4" w14:textId="1B537085" w:rsidR="00966079" w:rsidRPr="007C17EF" w:rsidRDefault="00966079" w:rsidP="004F73C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C17EF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FB294F" w:rsidRPr="007C17EF">
              <w:rPr>
                <w:rFonts w:cs="Arial"/>
                <w:b/>
                <w:color w:val="000000" w:themeColor="text1"/>
                <w:sz w:val="20"/>
              </w:rPr>
              <w:t xml:space="preserve">Badań Społecznych </w:t>
            </w:r>
          </w:p>
          <w:p w14:paraId="098A9EEC" w14:textId="7F9F930A" w:rsidR="00966079" w:rsidRPr="007C17EF" w:rsidRDefault="00966079" w:rsidP="004F73CE">
            <w:pPr>
              <w:spacing w:before="0" w:after="0" w:line="276" w:lineRule="auto"/>
              <w:rPr>
                <w:b/>
                <w:color w:val="000000" w:themeColor="text1"/>
                <w:sz w:val="20"/>
                <w:szCs w:val="20"/>
                <w:lang w:val="fi-FI"/>
              </w:rPr>
            </w:pPr>
            <w:r w:rsidRPr="007C17EF">
              <w:rPr>
                <w:b/>
                <w:color w:val="000000" w:themeColor="text1"/>
                <w:sz w:val="20"/>
                <w:szCs w:val="20"/>
                <w:lang w:val="fi-FI"/>
              </w:rPr>
              <w:t xml:space="preserve">Dyrektor </w:t>
            </w:r>
            <w:r w:rsidR="00375056" w:rsidRPr="007C17EF">
              <w:rPr>
                <w:b/>
                <w:color w:val="000000" w:themeColor="text1"/>
                <w:sz w:val="20"/>
                <w:szCs w:val="20"/>
                <w:lang w:val="fi-FI"/>
              </w:rPr>
              <w:t>Izabela Grabowska</w:t>
            </w:r>
          </w:p>
          <w:p w14:paraId="3D8C35E1" w14:textId="3C797A3E" w:rsidR="00240DC2" w:rsidRPr="007C17EF" w:rsidRDefault="00966079" w:rsidP="004F73CE">
            <w:pPr>
              <w:keepLines/>
              <w:spacing w:before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7C17E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</w:t>
            </w:r>
            <w:r w:rsidR="00413657" w:rsidRPr="007C17E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. </w:t>
            </w:r>
            <w:r w:rsidR="002A23A2" w:rsidRPr="007C17EF">
              <w:rPr>
                <w:color w:val="000000" w:themeColor="text1"/>
              </w:rPr>
              <w:t>stacjonarn</w:t>
            </w:r>
            <w:r w:rsidR="00413657" w:rsidRPr="007C17EF">
              <w:rPr>
                <w:color w:val="000000" w:themeColor="text1"/>
              </w:rPr>
              <w:t>y:</w:t>
            </w:r>
            <w:r w:rsidRPr="007C17E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 </w:t>
            </w:r>
            <w:r w:rsidR="00375056" w:rsidRPr="007C17EF">
              <w:rPr>
                <w:color w:val="000000" w:themeColor="text1"/>
                <w:sz w:val="18"/>
                <w:szCs w:val="18"/>
              </w:rPr>
              <w:t>+48 22 608 31 22</w:t>
            </w:r>
          </w:p>
          <w:p w14:paraId="4D70B1A2" w14:textId="3BA7B262" w:rsidR="00FB294F" w:rsidRPr="007C17EF" w:rsidRDefault="00FB294F" w:rsidP="004F73CE">
            <w:pPr>
              <w:keepLines/>
              <w:spacing w:before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</w:p>
        </w:tc>
        <w:tc>
          <w:tcPr>
            <w:tcW w:w="4927" w:type="dxa"/>
          </w:tcPr>
          <w:p w14:paraId="775B7FAC" w14:textId="256FBD0C" w:rsidR="00966079" w:rsidRPr="00FB294F" w:rsidRDefault="00966079" w:rsidP="004F73C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B294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B294F">
              <w:rPr>
                <w:rFonts w:cs="Arial"/>
                <w:color w:val="000000" w:themeColor="text1"/>
                <w:sz w:val="20"/>
              </w:rPr>
              <w:br/>
            </w:r>
            <w:r w:rsidRPr="00FB294F">
              <w:rPr>
                <w:rFonts w:cs="Arial"/>
                <w:b/>
                <w:color w:val="000000" w:themeColor="text1"/>
                <w:sz w:val="20"/>
              </w:rPr>
              <w:t xml:space="preserve">Wydział </w:t>
            </w:r>
            <w:r w:rsidR="00311ADE">
              <w:rPr>
                <w:rFonts w:cs="Arial"/>
                <w:b/>
                <w:color w:val="000000" w:themeColor="text1"/>
                <w:sz w:val="20"/>
              </w:rPr>
              <w:t>Prasowy</w:t>
            </w:r>
          </w:p>
          <w:p w14:paraId="0C3DD1F0" w14:textId="77777777" w:rsidR="00966079" w:rsidRPr="00FB294F" w:rsidRDefault="00966079" w:rsidP="004F73CE">
            <w:pPr>
              <w:rPr>
                <w:color w:val="000000" w:themeColor="text1"/>
              </w:rPr>
            </w:pPr>
            <w:r w:rsidRPr="00FB294F">
              <w:rPr>
                <w:color w:val="000000" w:themeColor="text1"/>
              </w:rPr>
              <w:t>Tel. komórkowy: +48 695 255 032</w:t>
            </w:r>
          </w:p>
          <w:p w14:paraId="3AAB9FC2" w14:textId="77777777" w:rsidR="00966079" w:rsidRPr="00FB294F" w:rsidRDefault="00966079" w:rsidP="004F73CE">
            <w:pPr>
              <w:ind w:left="1494" w:hanging="1494"/>
              <w:rPr>
                <w:color w:val="000000" w:themeColor="text1"/>
              </w:rPr>
            </w:pPr>
            <w:r w:rsidRPr="00FB294F">
              <w:rPr>
                <w:color w:val="000000" w:themeColor="text1"/>
              </w:rPr>
              <w:t>Tel. stacjonarne: +48 22 608 38 04, +48 22 449 41 45,     +48 22 608 30 09</w:t>
            </w:r>
          </w:p>
          <w:p w14:paraId="651C9876" w14:textId="77777777" w:rsidR="00966079" w:rsidRPr="00FB294F" w:rsidRDefault="00966079" w:rsidP="004F73CE">
            <w:pPr>
              <w:rPr>
                <w:color w:val="000000" w:themeColor="text1"/>
              </w:rPr>
            </w:pPr>
            <w:r w:rsidRPr="00FB294F">
              <w:rPr>
                <w:b/>
                <w:color w:val="000000" w:themeColor="text1"/>
                <w:sz w:val="20"/>
              </w:rPr>
              <w:t>e-mail:</w:t>
            </w:r>
            <w:r w:rsidRPr="00FB294F">
              <w:rPr>
                <w:color w:val="000000" w:themeColor="text1"/>
                <w:sz w:val="20"/>
              </w:rPr>
              <w:t xml:space="preserve"> </w:t>
            </w:r>
            <w:hyperlink r:id="rId22" w:history="1">
              <w:r w:rsidRPr="00FB294F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</w:rPr>
                <w:t>obslugaprasowa@stat.gov.pl</w:t>
              </w:r>
            </w:hyperlink>
          </w:p>
          <w:p w14:paraId="1511CF8C" w14:textId="77777777" w:rsidR="00966079" w:rsidRPr="00FB294F" w:rsidRDefault="00966079" w:rsidP="004F73CE">
            <w:pPr>
              <w:rPr>
                <w:color w:val="000000" w:themeColor="text1"/>
                <w:sz w:val="18"/>
              </w:rPr>
            </w:pPr>
          </w:p>
        </w:tc>
      </w:tr>
      <w:tr w:rsidR="008124CF" w:rsidRPr="008124CF" w14:paraId="01E20888" w14:textId="77777777" w:rsidTr="00A821A5">
        <w:trPr>
          <w:trHeight w:val="418"/>
        </w:trPr>
        <w:tc>
          <w:tcPr>
            <w:tcW w:w="4926" w:type="dxa"/>
            <w:vMerge w:val="restart"/>
          </w:tcPr>
          <w:p w14:paraId="168B6257" w14:textId="08F07DD2" w:rsidR="00966079" w:rsidRPr="00FB294F" w:rsidRDefault="00966079" w:rsidP="004F73CE">
            <w:pPr>
              <w:rPr>
                <w:color w:val="000000" w:themeColor="text1"/>
                <w:sz w:val="18"/>
                <w:lang w:val="en-US"/>
              </w:rPr>
            </w:pPr>
            <w:bookmarkStart w:id="4" w:name="_Hlk101855661"/>
          </w:p>
        </w:tc>
        <w:tc>
          <w:tcPr>
            <w:tcW w:w="4927" w:type="dxa"/>
            <w:vAlign w:val="center"/>
          </w:tcPr>
          <w:p w14:paraId="7C486F48" w14:textId="77777777" w:rsidR="00966079" w:rsidRPr="00FB294F" w:rsidRDefault="00966079" w:rsidP="004F73CE">
            <w:pPr>
              <w:ind w:firstLine="680"/>
              <w:rPr>
                <w:color w:val="000000" w:themeColor="text1"/>
                <w:sz w:val="18"/>
              </w:rPr>
            </w:pPr>
            <w:r w:rsidRPr="00FB294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644928" behindDoc="0" locked="0" layoutInCell="1" allowOverlap="1" wp14:anchorId="547DB3CA" wp14:editId="75671E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94F">
              <w:rPr>
                <w:color w:val="000000" w:themeColor="text1"/>
                <w:sz w:val="20"/>
              </w:rPr>
              <w:t>stat.gov.pl</w:t>
            </w:r>
            <w:r w:rsidRPr="00FB294F">
              <w:rPr>
                <w:color w:val="000000" w:themeColor="text1"/>
                <w:sz w:val="18"/>
              </w:rPr>
              <w:t xml:space="preserve">      </w:t>
            </w:r>
          </w:p>
        </w:tc>
      </w:tr>
      <w:tr w:rsidR="008124CF" w:rsidRPr="008124CF" w14:paraId="62C316EB" w14:textId="77777777" w:rsidTr="00A821A5">
        <w:trPr>
          <w:trHeight w:val="418"/>
        </w:trPr>
        <w:tc>
          <w:tcPr>
            <w:tcW w:w="4926" w:type="dxa"/>
            <w:vMerge/>
          </w:tcPr>
          <w:p w14:paraId="576E081F" w14:textId="77777777" w:rsidR="00966079" w:rsidRPr="00FB294F" w:rsidRDefault="00966079" w:rsidP="004F73CE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33A6861" w14:textId="77777777" w:rsidR="00966079" w:rsidRPr="00FB294F" w:rsidRDefault="00966079" w:rsidP="004F73CE">
            <w:pPr>
              <w:ind w:firstLine="680"/>
              <w:rPr>
                <w:color w:val="000000" w:themeColor="text1"/>
                <w:sz w:val="18"/>
              </w:rPr>
            </w:pPr>
            <w:r w:rsidRPr="00FB294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645952" behindDoc="0" locked="0" layoutInCell="1" allowOverlap="1" wp14:anchorId="100457F6" wp14:editId="11AF363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94F">
              <w:rPr>
                <w:color w:val="000000" w:themeColor="text1"/>
                <w:sz w:val="20"/>
              </w:rPr>
              <w:t>@GUS_STAT</w:t>
            </w:r>
            <w:r w:rsidRPr="00FB294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8124CF" w:rsidRPr="008124CF" w14:paraId="37F06C73" w14:textId="77777777" w:rsidTr="00A821A5">
        <w:trPr>
          <w:trHeight w:val="476"/>
        </w:trPr>
        <w:tc>
          <w:tcPr>
            <w:tcW w:w="4926" w:type="dxa"/>
            <w:vMerge/>
          </w:tcPr>
          <w:p w14:paraId="715332B9" w14:textId="77777777" w:rsidR="00966079" w:rsidRPr="00FB294F" w:rsidRDefault="00966079" w:rsidP="004F73CE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1FCDDEFE" w14:textId="77777777" w:rsidR="00966079" w:rsidRPr="00FB294F" w:rsidRDefault="00966079" w:rsidP="004F73CE">
            <w:pPr>
              <w:ind w:firstLine="680"/>
              <w:rPr>
                <w:color w:val="000000" w:themeColor="text1"/>
                <w:sz w:val="18"/>
              </w:rPr>
            </w:pPr>
            <w:r w:rsidRPr="00FB294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646976" behindDoc="0" locked="0" layoutInCell="1" allowOverlap="1" wp14:anchorId="09BE7D4C" wp14:editId="6BD9866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94F">
              <w:rPr>
                <w:color w:val="000000" w:themeColor="text1"/>
                <w:sz w:val="20"/>
              </w:rPr>
              <w:t>@</w:t>
            </w:r>
            <w:proofErr w:type="spellStart"/>
            <w:r w:rsidRPr="00FB294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FB294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8124CF" w:rsidRPr="008124CF" w14:paraId="607893A6" w14:textId="77777777" w:rsidTr="00A821A5">
        <w:trPr>
          <w:trHeight w:val="426"/>
        </w:trPr>
        <w:tc>
          <w:tcPr>
            <w:tcW w:w="4926" w:type="dxa"/>
          </w:tcPr>
          <w:p w14:paraId="1D7D37C5" w14:textId="77777777" w:rsidR="00966079" w:rsidRPr="00FB294F" w:rsidRDefault="00966079" w:rsidP="004F73CE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67D138B0" w14:textId="77777777" w:rsidR="00966079" w:rsidRPr="00FB294F" w:rsidRDefault="00966079" w:rsidP="004F73CE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FB294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648000" behindDoc="0" locked="0" layoutInCell="1" allowOverlap="1" wp14:anchorId="130512CE" wp14:editId="44AF1B1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" name="Obraz 4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B294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8124CF" w:rsidRPr="008124CF" w14:paraId="37E4618F" w14:textId="77777777" w:rsidTr="00A821A5">
        <w:trPr>
          <w:trHeight w:val="504"/>
        </w:trPr>
        <w:tc>
          <w:tcPr>
            <w:tcW w:w="4926" w:type="dxa"/>
          </w:tcPr>
          <w:p w14:paraId="0CC52DBC" w14:textId="77777777" w:rsidR="00966079" w:rsidRPr="00FB294F" w:rsidRDefault="00966079" w:rsidP="004F73CE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3784464" w14:textId="77777777" w:rsidR="00966079" w:rsidRPr="00FB294F" w:rsidRDefault="00966079" w:rsidP="004F73CE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FB294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649024" behindDoc="0" locked="0" layoutInCell="1" allowOverlap="1" wp14:anchorId="0CAFFCCF" wp14:editId="5682396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5" name="Obraz 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B294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8124CF" w:rsidRPr="008124CF" w14:paraId="6374B88A" w14:textId="77777777" w:rsidTr="00A821A5">
        <w:trPr>
          <w:trHeight w:val="1546"/>
        </w:trPr>
        <w:tc>
          <w:tcPr>
            <w:tcW w:w="4926" w:type="dxa"/>
          </w:tcPr>
          <w:p w14:paraId="4F7F6B63" w14:textId="77777777" w:rsidR="00966079" w:rsidRPr="00FB294F" w:rsidRDefault="00966079" w:rsidP="004F73CE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664796E5" w14:textId="77777777" w:rsidR="00966079" w:rsidRPr="00FB294F" w:rsidRDefault="00966079" w:rsidP="004F73CE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FB294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FB294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650048" behindDoc="0" locked="0" layoutInCell="1" allowOverlap="1" wp14:anchorId="5CE245EB" wp14:editId="6FA1261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4"/>
      <w:tr w:rsidR="008124CF" w:rsidRPr="008124CF" w14:paraId="2648EF8C" w14:textId="77777777" w:rsidTr="00A821A5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FD86ED0" w14:textId="671DF318" w:rsidR="00966079" w:rsidRDefault="00966079" w:rsidP="004F73CE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DF3260">
              <w:rPr>
                <w:b/>
                <w:color w:val="000000" w:themeColor="text1"/>
              </w:rPr>
              <w:t>Powiązane opracowania</w:t>
            </w:r>
          </w:p>
          <w:p w14:paraId="0A942D8E" w14:textId="367FC773" w:rsidR="002F21F7" w:rsidRDefault="00A754C2" w:rsidP="00311ADE">
            <w:pPr>
              <w:shd w:val="clear" w:color="auto" w:fill="D9D9D9" w:themeFill="background1" w:themeFillShade="D9"/>
              <w:rPr>
                <w:color w:val="000000" w:themeColor="text1"/>
              </w:rPr>
            </w:pPr>
            <w:hyperlink r:id="rId29" w:history="1">
              <w:r w:rsidR="002F21F7" w:rsidRPr="008B204C">
                <w:rPr>
                  <w:rStyle w:val="Hipercze"/>
                  <w:rFonts w:cstheme="minorBidi"/>
                </w:rPr>
                <w:t>https://publikacje.new.stat.gov.pl/portal-publikacje/dochody-i-warunki-zycia-ludnosci-polski-raport-z-badania-eu-silc-2024</w:t>
              </w:r>
            </w:hyperlink>
          </w:p>
          <w:p w14:paraId="7EBB5B1B" w14:textId="71A450D6" w:rsidR="001A5370" w:rsidRDefault="00A754C2" w:rsidP="00311ADE">
            <w:pPr>
              <w:shd w:val="clear" w:color="auto" w:fill="D9D9D9" w:themeFill="background1" w:themeFillShade="D9"/>
              <w:rPr>
                <w:color w:val="000000" w:themeColor="text1"/>
              </w:rPr>
            </w:pPr>
            <w:hyperlink r:id="rId30" w:history="1">
              <w:r w:rsidR="001A5370">
                <w:rPr>
                  <w:rStyle w:val="Hipercze"/>
                </w:rPr>
                <w:t>Europejskie badanie warunków życia ludności (EU-SILC) | BADANIA SPOŁECZNE | Badania Ankietowe</w:t>
              </w:r>
            </w:hyperlink>
          </w:p>
          <w:p w14:paraId="03A2ABB1" w14:textId="74A3152A" w:rsidR="00966079" w:rsidRPr="0010116C" w:rsidRDefault="00966079" w:rsidP="004F73C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0116C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2A14AEB" w14:textId="77777777" w:rsidR="008703D0" w:rsidRPr="00311ADE" w:rsidRDefault="00A754C2" w:rsidP="00311ADE">
            <w:pPr>
              <w:shd w:val="clear" w:color="auto" w:fill="D9D9D9" w:themeFill="background1" w:themeFillShade="D9"/>
              <w:rPr>
                <w:rStyle w:val="Hipercze"/>
                <w:rFonts w:cstheme="minorBidi"/>
              </w:rPr>
            </w:pPr>
            <w:hyperlink r:id="rId31" w:tooltip="Link do bazy danych Bank Danych Lokalnych Stan i Ochrona Środowiska" w:history="1">
              <w:r w:rsidR="008703D0" w:rsidRPr="00311ADE">
                <w:rPr>
                  <w:rStyle w:val="Hipercze"/>
                  <w:rFonts w:cstheme="minorBidi"/>
                </w:rPr>
                <w:t>Bank Danych Lokalnych</w:t>
              </w:r>
              <w:r w:rsidR="0010116C" w:rsidRPr="00311ADE">
                <w:rPr>
                  <w:rStyle w:val="Hipercze"/>
                  <w:rFonts w:cstheme="minorBidi"/>
                </w:rPr>
                <w:t xml:space="preserve"> -</w:t>
              </w:r>
              <w:r w:rsidR="008703D0" w:rsidRPr="00311ADE">
                <w:rPr>
                  <w:rStyle w:val="Hipercze"/>
                  <w:rFonts w:cstheme="minorBidi"/>
                </w:rPr>
                <w:t xml:space="preserve"> </w:t>
              </w:r>
              <w:r w:rsidR="0010116C" w:rsidRPr="00311ADE">
                <w:rPr>
                  <w:rStyle w:val="Hipercze"/>
                  <w:rFonts w:cstheme="minorBidi"/>
                </w:rPr>
                <w:t>Gospodarstwa</w:t>
              </w:r>
            </w:hyperlink>
            <w:r w:rsidR="0010116C" w:rsidRPr="00311ADE">
              <w:rPr>
                <w:rStyle w:val="Hipercze"/>
                <w:rFonts w:cstheme="minorBidi"/>
              </w:rPr>
              <w:t xml:space="preserve"> Domowe</w:t>
            </w:r>
          </w:p>
          <w:p w14:paraId="50C3D3E4" w14:textId="77777777" w:rsidR="00966079" w:rsidRPr="0010116C" w:rsidRDefault="00966079" w:rsidP="004F73C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0116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3A4A65A" w14:textId="77777777" w:rsidR="00966079" w:rsidRPr="00311ADE" w:rsidRDefault="00A754C2" w:rsidP="004F73CE">
            <w:pPr>
              <w:rPr>
                <w:b/>
                <w:color w:val="000000" w:themeColor="text1"/>
                <w:szCs w:val="24"/>
              </w:rPr>
            </w:pPr>
            <w:hyperlink r:id="rId32" w:history="1">
              <w:r w:rsidR="0010116C" w:rsidRPr="002A23A2">
                <w:rPr>
                  <w:rStyle w:val="Hipercze"/>
                  <w:rFonts w:cstheme="minorBidi"/>
                </w:rPr>
                <w:t>Wskaźnik zagrożenia ubóstwem po uwzględnieniu w dochodach transferów społecznych</w:t>
              </w:r>
            </w:hyperlink>
          </w:p>
          <w:p w14:paraId="1AEA36E7" w14:textId="77777777" w:rsidR="00966079" w:rsidRPr="002A23A2" w:rsidRDefault="00966079" w:rsidP="004F73CE">
            <w:pPr>
              <w:rPr>
                <w:b/>
                <w:color w:val="000000" w:themeColor="text1"/>
                <w:szCs w:val="24"/>
              </w:rPr>
            </w:pPr>
          </w:p>
        </w:tc>
      </w:tr>
      <w:bookmarkEnd w:id="3"/>
    </w:tbl>
    <w:p w14:paraId="571A871A" w14:textId="405CB0B4" w:rsidR="00D261A2" w:rsidRPr="002A23A2" w:rsidRDefault="00D261A2" w:rsidP="004F73CE">
      <w:pPr>
        <w:rPr>
          <w:color w:val="000000" w:themeColor="text1"/>
          <w:sz w:val="18"/>
        </w:rPr>
      </w:pPr>
    </w:p>
    <w:sectPr w:rsidR="00D261A2" w:rsidRPr="002A23A2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355340" w16cid:durableId="2D5C336C"/>
  <w16cid:commentId w16cid:paraId="2CF41286" w16cid:durableId="2D5C35C4"/>
  <w16cid:commentId w16cid:paraId="2EAD8A82" w16cid:durableId="2D5C369E"/>
  <w16cid:commentId w16cid:paraId="0B192957" w16cid:durableId="2D5C37D9"/>
  <w16cid:commentId w16cid:paraId="1E8B8495" w16cid:durableId="2D5C37E7"/>
  <w16cid:commentId w16cid:paraId="1D044F67" w16cid:durableId="2D5C39FE"/>
  <w16cid:commentId w16cid:paraId="091BA776" w16cid:durableId="2D5C3A06"/>
  <w16cid:commentId w16cid:paraId="2DA0F946" w16cid:durableId="2D5C3B7C"/>
  <w16cid:commentId w16cid:paraId="7D0C31AE" w16cid:durableId="2D5C3FBE"/>
  <w16cid:commentId w16cid:paraId="44EF5B02" w16cid:durableId="2D5C440A"/>
  <w16cid:commentId w16cid:paraId="7EB6EFD3" w16cid:durableId="2D5C4424"/>
  <w16cid:commentId w16cid:paraId="7AEBDD1F" w16cid:durableId="2D5C44F3"/>
  <w16cid:commentId w16cid:paraId="26A2EA14" w16cid:durableId="2D5C451D"/>
  <w16cid:commentId w16cid:paraId="1BD28A16" w16cid:durableId="2D5C449F"/>
  <w16cid:commentId w16cid:paraId="4DDA9AD0" w16cid:durableId="2D5C44BF"/>
  <w16cid:commentId w16cid:paraId="112531AA" w16cid:durableId="2D5C4562"/>
  <w16cid:commentId w16cid:paraId="1BF18464" w16cid:durableId="2D5C4574"/>
  <w16cid:commentId w16cid:paraId="201EE108" w16cid:durableId="2D5C4602"/>
  <w16cid:commentId w16cid:paraId="46D73491" w16cid:durableId="2D5C460E"/>
  <w16cid:commentId w16cid:paraId="04C74CA9" w16cid:durableId="2D5C4EE4"/>
  <w16cid:commentId w16cid:paraId="67E800CE" w16cid:durableId="2D5C47EF"/>
  <w16cid:commentId w16cid:paraId="1CE48E79" w16cid:durableId="2D5C481C"/>
  <w16cid:commentId w16cid:paraId="611AD12A" w16cid:durableId="2D5C482A"/>
  <w16cid:commentId w16cid:paraId="3FEBB526" w16cid:durableId="2D5C488A"/>
  <w16cid:commentId w16cid:paraId="678604CF" w16cid:durableId="2D5C48DA"/>
  <w16cid:commentId w16cid:paraId="0DC21EEE" w16cid:durableId="2D5C4AEE"/>
  <w16cid:commentId w16cid:paraId="12B2DAF0" w16cid:durableId="2D5C4B15"/>
  <w16cid:commentId w16cid:paraId="115564D2" w16cid:durableId="2D5C4E7D"/>
  <w16cid:commentId w16cid:paraId="39350E5A" w16cid:durableId="2D5C4EA5"/>
  <w16cid:commentId w16cid:paraId="6315E538" w16cid:durableId="2D5C4EB9"/>
  <w16cid:commentId w16cid:paraId="0B7DF991" w16cid:durableId="2D5C4EC2"/>
  <w16cid:commentId w16cid:paraId="52C8387B" w16cid:durableId="2D5C4F3C"/>
  <w16cid:commentId w16cid:paraId="6909BAF4" w16cid:durableId="2D5C500D"/>
  <w16cid:commentId w16cid:paraId="7DF956A2" w16cid:durableId="2D5C4FF6"/>
  <w16cid:commentId w16cid:paraId="278DB9C7" w16cid:durableId="2D5C5058"/>
  <w16cid:commentId w16cid:paraId="1B21ED29" w16cid:durableId="2D5C5067"/>
  <w16cid:commentId w16cid:paraId="3E2D9F05" w16cid:durableId="2D5C50F6"/>
  <w16cid:commentId w16cid:paraId="40CE01B5" w16cid:durableId="2D5C5106"/>
  <w16cid:commentId w16cid:paraId="76D0B4B9" w16cid:durableId="2D5C55F4"/>
  <w16cid:commentId w16cid:paraId="17A7448E" w16cid:durableId="2D5C561E"/>
  <w16cid:commentId w16cid:paraId="05A2147C" w16cid:durableId="2D5C5635"/>
  <w16cid:commentId w16cid:paraId="1899AA2F" w16cid:durableId="2D5C5999"/>
  <w16cid:commentId w16cid:paraId="1E07E8DE" w16cid:durableId="2D5C59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15AA0" w14:textId="77777777" w:rsidR="00A754C2" w:rsidRDefault="00A754C2" w:rsidP="000662E2">
      <w:pPr>
        <w:spacing w:after="0" w:line="240" w:lineRule="auto"/>
      </w:pPr>
      <w:r>
        <w:separator/>
      </w:r>
    </w:p>
  </w:endnote>
  <w:endnote w:type="continuationSeparator" w:id="0">
    <w:p w14:paraId="670F9DD0" w14:textId="77777777" w:rsidR="00A754C2" w:rsidRDefault="00A754C2" w:rsidP="000662E2">
      <w:pPr>
        <w:spacing w:after="0" w:line="240" w:lineRule="auto"/>
      </w:pPr>
      <w:r>
        <w:continuationSeparator/>
      </w:r>
    </w:p>
  </w:endnote>
  <w:endnote w:type="continuationNotice" w:id="1">
    <w:p w14:paraId="1AF75514" w14:textId="77777777" w:rsidR="00A754C2" w:rsidRDefault="00A754C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0DAA7589" w14:textId="77777777" w:rsidR="00521023" w:rsidRDefault="005210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A6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071C0ED7" w14:textId="77777777" w:rsidR="00521023" w:rsidRDefault="005210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A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BE82E33" w14:textId="77777777" w:rsidR="00521023" w:rsidRDefault="005210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A6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2B633" w14:textId="77777777" w:rsidR="00A754C2" w:rsidRDefault="00A754C2" w:rsidP="000662E2">
      <w:pPr>
        <w:spacing w:after="0" w:line="240" w:lineRule="auto"/>
      </w:pPr>
      <w:r>
        <w:separator/>
      </w:r>
    </w:p>
  </w:footnote>
  <w:footnote w:type="continuationSeparator" w:id="0">
    <w:p w14:paraId="13ED40E3" w14:textId="77777777" w:rsidR="00A754C2" w:rsidRDefault="00A754C2" w:rsidP="000662E2">
      <w:pPr>
        <w:spacing w:after="0" w:line="240" w:lineRule="auto"/>
      </w:pPr>
      <w:r>
        <w:continuationSeparator/>
      </w:r>
    </w:p>
  </w:footnote>
  <w:footnote w:type="continuationNotice" w:id="1">
    <w:p w14:paraId="76EC14F4" w14:textId="77777777" w:rsidR="00A754C2" w:rsidRDefault="00A754C2">
      <w:pPr>
        <w:spacing w:before="0" w:after="0" w:line="240" w:lineRule="auto"/>
      </w:pPr>
    </w:p>
  </w:footnote>
  <w:footnote w:id="2">
    <w:p w14:paraId="28FAD1EE" w14:textId="01546CDE" w:rsidR="00521023" w:rsidRPr="006236F6" w:rsidRDefault="00521023" w:rsidP="00C07EB3">
      <w:pPr>
        <w:pStyle w:val="Tekstprzypisudolnego"/>
        <w:rPr>
          <w:sz w:val="19"/>
          <w:szCs w:val="19"/>
        </w:rPr>
      </w:pPr>
      <w:r w:rsidRPr="006236F6">
        <w:rPr>
          <w:rStyle w:val="Odwoanieprzypisudolnego"/>
          <w:sz w:val="19"/>
          <w:szCs w:val="19"/>
        </w:rPr>
        <w:footnoteRef/>
      </w:r>
      <w:r w:rsidRPr="006236F6">
        <w:rPr>
          <w:sz w:val="19"/>
          <w:szCs w:val="19"/>
        </w:rPr>
        <w:t>  Wskaźnik pogłębionej deprywacji materialnej i społecznej dotyczy odsetka osób mieszkają</w:t>
      </w:r>
      <w:r w:rsidR="00C07EB3">
        <w:rPr>
          <w:sz w:val="19"/>
          <w:szCs w:val="19"/>
        </w:rPr>
        <w:t>-</w:t>
      </w:r>
      <w:proofErr w:type="spellStart"/>
      <w:r w:rsidRPr="006236F6">
        <w:rPr>
          <w:sz w:val="19"/>
          <w:szCs w:val="19"/>
        </w:rPr>
        <w:t>cych</w:t>
      </w:r>
      <w:proofErr w:type="spellEnd"/>
      <w:r w:rsidRPr="006236F6">
        <w:rPr>
          <w:sz w:val="19"/>
          <w:szCs w:val="19"/>
        </w:rPr>
        <w:t xml:space="preserve"> w gospodarstwach domowych na terenie Polski (tj. nie obejmuje obiektów zbiorowego </w:t>
      </w:r>
      <w:proofErr w:type="spellStart"/>
      <w:r w:rsidRPr="006236F6">
        <w:rPr>
          <w:sz w:val="19"/>
          <w:szCs w:val="19"/>
        </w:rPr>
        <w:t>zakwaerowania</w:t>
      </w:r>
      <w:proofErr w:type="spellEnd"/>
      <w:r w:rsidRPr="006236F6">
        <w:rPr>
          <w:sz w:val="19"/>
          <w:szCs w:val="19"/>
        </w:rPr>
        <w:t xml:space="preserve">). </w:t>
      </w:r>
    </w:p>
  </w:footnote>
  <w:footnote w:id="3">
    <w:p w14:paraId="13316D9F" w14:textId="54D37CC4" w:rsidR="00521023" w:rsidRPr="006236F6" w:rsidRDefault="00521023" w:rsidP="00C07EB3">
      <w:pPr>
        <w:pStyle w:val="Tekstprzypisudolnego"/>
        <w:rPr>
          <w:color w:val="000000" w:themeColor="text1"/>
          <w:sz w:val="19"/>
          <w:szCs w:val="19"/>
        </w:rPr>
      </w:pPr>
      <w:r w:rsidRPr="006236F6">
        <w:rPr>
          <w:rStyle w:val="Odwoanieprzypisudolnego"/>
          <w:color w:val="000000" w:themeColor="text1"/>
          <w:sz w:val="19"/>
          <w:szCs w:val="19"/>
        </w:rPr>
        <w:footnoteRef/>
      </w:r>
      <w:r w:rsidRPr="006236F6">
        <w:rPr>
          <w:color w:val="000000" w:themeColor="text1"/>
          <w:sz w:val="19"/>
          <w:szCs w:val="19"/>
        </w:rPr>
        <w:t>  </w:t>
      </w:r>
      <w:r w:rsidRPr="006236F6">
        <w:rPr>
          <w:rFonts w:eastAsia="Times New Roman" w:cs="Calibri"/>
          <w:color w:val="000000" w:themeColor="text1"/>
          <w:sz w:val="19"/>
          <w:szCs w:val="19"/>
        </w:rPr>
        <w:t xml:space="preserve">W przypadku potrzeby związanej z wymianą zużytej odzieży na nową </w:t>
      </w:r>
      <w:r w:rsidRPr="006236F6">
        <w:rPr>
          <w:color w:val="000000" w:themeColor="text1"/>
          <w:sz w:val="19"/>
          <w:szCs w:val="19"/>
        </w:rPr>
        <w:t>różnica w wysokości wskaźnika jest na poziomie błędu statystycznego, dlatego nie można uznać tego</w:t>
      </w:r>
      <w:r w:rsidR="00EB6A0B">
        <w:rPr>
          <w:color w:val="000000" w:themeColor="text1"/>
          <w:sz w:val="19"/>
          <w:szCs w:val="19"/>
        </w:rPr>
        <w:t> </w:t>
      </w:r>
      <w:r w:rsidRPr="006236F6">
        <w:rPr>
          <w:color w:val="000000" w:themeColor="text1"/>
          <w:sz w:val="19"/>
          <w:szCs w:val="19"/>
        </w:rPr>
        <w:t>jako zmianę – traktuje się to jako pozostanie na podobnym poziomie.</w:t>
      </w:r>
    </w:p>
  </w:footnote>
  <w:footnote w:id="4">
    <w:p w14:paraId="604F784C" w14:textId="5CA25F3B" w:rsidR="00521023" w:rsidRPr="006236F6" w:rsidRDefault="00521023" w:rsidP="00004F1D">
      <w:pPr>
        <w:autoSpaceDE w:val="0"/>
        <w:autoSpaceDN w:val="0"/>
        <w:adjustRightInd w:val="0"/>
        <w:spacing w:after="0" w:line="240" w:lineRule="auto"/>
        <w:rPr>
          <w:szCs w:val="19"/>
        </w:rPr>
      </w:pPr>
      <w:r w:rsidRPr="006236F6">
        <w:rPr>
          <w:rStyle w:val="Odwoanieprzypisudolnego"/>
          <w:szCs w:val="19"/>
        </w:rPr>
        <w:footnoteRef/>
      </w:r>
      <w:r>
        <w:rPr>
          <w:szCs w:val="19"/>
        </w:rPr>
        <w:t>  </w:t>
      </w:r>
      <w:r w:rsidRPr="006236F6">
        <w:rPr>
          <w:szCs w:val="19"/>
        </w:rPr>
        <w:t>Dochód na jednostkę ekwiwalentną to miara stosowana w statystyce do analizy sytuacji dochodowej członków gospodarstw domowych, uwzględniająca nie tylko sumę zarobków, ale</w:t>
      </w:r>
      <w:r w:rsidR="00EB6A0B">
        <w:rPr>
          <w:szCs w:val="19"/>
        </w:rPr>
        <w:t> </w:t>
      </w:r>
      <w:r w:rsidRPr="006236F6">
        <w:rPr>
          <w:szCs w:val="19"/>
        </w:rPr>
        <w:t>także wielkość i strukturę gospodarstwa. W prezentacji wyników EU-SILC stosowana jest zmodyfikowana skala OECD: 1 – dla pierwszej osoby dorosłej w gospodarstwie; 0,5 – dla każdego następnego członka gospodarstwa domowego w wieku 14 lat lub więcej; 0,3 – dla każdego dziecka w wieku poniżej 14 lat.</w:t>
      </w:r>
    </w:p>
  </w:footnote>
  <w:footnote w:id="5">
    <w:p w14:paraId="6215EC4D" w14:textId="2C7D2E52" w:rsidR="00521023" w:rsidRPr="006236F6" w:rsidRDefault="00521023" w:rsidP="00004F1D">
      <w:pPr>
        <w:autoSpaceDE w:val="0"/>
        <w:autoSpaceDN w:val="0"/>
        <w:adjustRightInd w:val="0"/>
        <w:spacing w:after="0" w:line="240" w:lineRule="auto"/>
        <w:rPr>
          <w:szCs w:val="19"/>
        </w:rPr>
      </w:pPr>
      <w:r w:rsidRPr="006236F6">
        <w:rPr>
          <w:rStyle w:val="Odwoanieprzypisudolnego"/>
          <w:szCs w:val="19"/>
        </w:rPr>
        <w:footnoteRef/>
      </w:r>
      <w:r>
        <w:rPr>
          <w:szCs w:val="19"/>
        </w:rPr>
        <w:t>  </w:t>
      </w:r>
      <w:r w:rsidRPr="006236F6">
        <w:rPr>
          <w:szCs w:val="19"/>
        </w:rPr>
        <w:t>Dochód ten wyliczony został na podstawie danych z badania zrealizowanego w 2024 roku, ale odnosi się do rocznego dochodu z roku poprzedzającego badanie, tj. od stycznia do</w:t>
      </w:r>
      <w:r w:rsidR="00EB6A0B">
        <w:rPr>
          <w:szCs w:val="19"/>
        </w:rPr>
        <w:t> </w:t>
      </w:r>
      <w:r w:rsidRPr="006236F6">
        <w:rPr>
          <w:szCs w:val="19"/>
        </w:rPr>
        <w:t xml:space="preserve">grudnia 2023 r. W publikacji przyjęto za Eurostatem przy danych dochodowych </w:t>
      </w:r>
      <w:proofErr w:type="spellStart"/>
      <w:r w:rsidRPr="006236F6">
        <w:rPr>
          <w:szCs w:val="19"/>
        </w:rPr>
        <w:t>posługiwa</w:t>
      </w:r>
      <w:proofErr w:type="spellEnd"/>
      <w:r w:rsidR="00EB6A0B">
        <w:rPr>
          <w:szCs w:val="19"/>
        </w:rPr>
        <w:t>-</w:t>
      </w:r>
      <w:r w:rsidRPr="006236F6">
        <w:rPr>
          <w:szCs w:val="19"/>
        </w:rPr>
        <w:t>nie się rokiem realizacji badania.</w:t>
      </w:r>
    </w:p>
  </w:footnote>
  <w:footnote w:id="6">
    <w:p w14:paraId="188E984D" w14:textId="23291C37" w:rsidR="00521023" w:rsidRPr="006236F6" w:rsidRDefault="00521023" w:rsidP="00004F1D">
      <w:pPr>
        <w:autoSpaceDE w:val="0"/>
        <w:autoSpaceDN w:val="0"/>
        <w:adjustRightInd w:val="0"/>
        <w:spacing w:after="0" w:line="240" w:lineRule="auto"/>
        <w:rPr>
          <w:szCs w:val="19"/>
        </w:rPr>
      </w:pPr>
      <w:r w:rsidRPr="006236F6">
        <w:rPr>
          <w:rStyle w:val="Odwoanieprzypisudolnego"/>
          <w:szCs w:val="19"/>
        </w:rPr>
        <w:footnoteRef/>
      </w:r>
      <w:r>
        <w:rPr>
          <w:szCs w:val="19"/>
        </w:rPr>
        <w:t>  </w:t>
      </w:r>
      <w:r w:rsidRPr="006236F6">
        <w:rPr>
          <w:rFonts w:eastAsia="Times New Roman" w:cs="Calibri"/>
          <w:color w:val="000000" w:themeColor="text1"/>
          <w:szCs w:val="19"/>
        </w:rPr>
        <w:t>W dalszej części opracowania przeciętny roczny ekwiwalentny dochód do dyspozycji dla osoby nazywany jest dla uproszczenia dochodem do dyspozycji lub przeciętnym dochodem do dyspozycji.</w:t>
      </w:r>
    </w:p>
  </w:footnote>
  <w:footnote w:id="7">
    <w:p w14:paraId="6EEAB6A2" w14:textId="6AA94524" w:rsidR="00521023" w:rsidRPr="006236F6" w:rsidRDefault="00521023" w:rsidP="00C07EB3">
      <w:pPr>
        <w:pStyle w:val="Tekstprzypisudolnego"/>
        <w:rPr>
          <w:color w:val="000000" w:themeColor="text1"/>
          <w:sz w:val="19"/>
          <w:szCs w:val="19"/>
        </w:rPr>
      </w:pPr>
      <w:r w:rsidRPr="006236F6">
        <w:rPr>
          <w:rStyle w:val="Odwoanieprzypisudolnego"/>
          <w:color w:val="000000" w:themeColor="text1"/>
          <w:sz w:val="19"/>
          <w:szCs w:val="19"/>
        </w:rPr>
        <w:footnoteRef/>
      </w:r>
      <w:r w:rsidRPr="006236F6">
        <w:rPr>
          <w:color w:val="000000" w:themeColor="text1"/>
          <w:sz w:val="19"/>
          <w:szCs w:val="19"/>
        </w:rPr>
        <w:t xml:space="preserve">  Różnice w odsetkach między miastem a wsią są nieistotne statystycznie. </w:t>
      </w:r>
    </w:p>
  </w:footnote>
  <w:footnote w:id="8">
    <w:p w14:paraId="3D6D4B0E" w14:textId="0EFDFB7C" w:rsidR="00521023" w:rsidRPr="006236F6" w:rsidRDefault="00521023" w:rsidP="00C07EB3">
      <w:pPr>
        <w:pStyle w:val="Tekstprzypisudolnego"/>
        <w:rPr>
          <w:color w:val="000000" w:themeColor="text1"/>
          <w:sz w:val="19"/>
          <w:szCs w:val="19"/>
        </w:rPr>
      </w:pPr>
      <w:r w:rsidRPr="006236F6">
        <w:rPr>
          <w:rStyle w:val="Odwoanieprzypisudolnego"/>
          <w:color w:val="000000" w:themeColor="text1"/>
          <w:sz w:val="19"/>
          <w:szCs w:val="19"/>
        </w:rPr>
        <w:footnoteRef/>
      </w:r>
      <w:r w:rsidRPr="006236F6">
        <w:rPr>
          <w:color w:val="000000" w:themeColor="text1"/>
          <w:sz w:val="19"/>
          <w:szCs w:val="19"/>
        </w:rPr>
        <w:t>  Zastosowano klasyfikację miejscowości w oparciu o liczbę mieszkańców (KLM).</w:t>
      </w:r>
    </w:p>
  </w:footnote>
  <w:footnote w:id="9">
    <w:p w14:paraId="7A5C6E83" w14:textId="62714F74" w:rsidR="00521023" w:rsidRPr="006236F6" w:rsidRDefault="00521023" w:rsidP="00C07EB3">
      <w:pPr>
        <w:shd w:val="clear" w:color="auto" w:fill="FFFFFF"/>
        <w:spacing w:after="0" w:line="240" w:lineRule="auto"/>
        <w:rPr>
          <w:color w:val="000000" w:themeColor="text1"/>
          <w:szCs w:val="19"/>
        </w:rPr>
      </w:pPr>
      <w:r w:rsidRPr="006236F6">
        <w:rPr>
          <w:rStyle w:val="Odwoanieprzypisudolnego"/>
          <w:color w:val="000000" w:themeColor="text1"/>
          <w:szCs w:val="19"/>
        </w:rPr>
        <w:footnoteRef/>
      </w:r>
      <w:r w:rsidRPr="006236F6">
        <w:rPr>
          <w:color w:val="000000" w:themeColor="text1"/>
          <w:szCs w:val="19"/>
        </w:rPr>
        <w:t xml:space="preserve">  W oparciu o klasyfikację delimitacji obszarów wiejskich </w:t>
      </w:r>
      <w:r w:rsidRPr="006236F6">
        <w:rPr>
          <w:rFonts w:cs="Arial"/>
          <w:color w:val="000000" w:themeColor="text1"/>
          <w:szCs w:val="19"/>
        </w:rPr>
        <w:t>uwzględniającą ich różnorodność, gęstość zaludnienia oraz powiązania funkcjonalne z miastami (</w:t>
      </w:r>
      <w:r w:rsidRPr="006236F6">
        <w:rPr>
          <w:color w:val="000000" w:themeColor="text1"/>
          <w:szCs w:val="19"/>
        </w:rPr>
        <w:t xml:space="preserve">obszary aglomeracyjne: podzielone na wysoką i niską gęstość zaludnienia, znajdujące się pod bezpośrednim wpływem dużych miast; </w:t>
      </w:r>
      <w:r w:rsidRPr="006236F6">
        <w:rPr>
          <w:rFonts w:cs="Arial"/>
          <w:color w:val="000000" w:themeColor="text1"/>
          <w:szCs w:val="19"/>
        </w:rPr>
        <w:t xml:space="preserve">obszary </w:t>
      </w:r>
      <w:proofErr w:type="spellStart"/>
      <w:r w:rsidRPr="006236F6">
        <w:rPr>
          <w:rFonts w:cs="Arial"/>
          <w:color w:val="000000" w:themeColor="text1"/>
          <w:szCs w:val="19"/>
        </w:rPr>
        <w:t>pozaaglomeracyjne</w:t>
      </w:r>
      <w:proofErr w:type="spellEnd"/>
      <w:r w:rsidRPr="006236F6">
        <w:rPr>
          <w:rFonts w:cs="Arial"/>
          <w:color w:val="000000" w:themeColor="text1"/>
          <w:szCs w:val="19"/>
        </w:rPr>
        <w:t>: tereny położone z dala od głównych ośrodków miejskich, często o odmiennych problemach społeczno-gospodarczych).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34751" w14:textId="77777777" w:rsidR="00521023" w:rsidRDefault="0052102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08A58F" wp14:editId="44C463B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6BBCFD8" id="Prostokąt 24" o:spid="_x0000_s1026" style="position:absolute;margin-left:410.6pt;margin-top:-14.05pt;width:147.6pt;height:178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30139910" w14:textId="77777777" w:rsidR="00521023" w:rsidRDefault="005210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72A0" w14:textId="77777777" w:rsidR="00521023" w:rsidRDefault="005210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3284F4" wp14:editId="562348D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e sygnal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9653F" w14:textId="77777777" w:rsidR="00521023" w:rsidRPr="003C6C8D" w:rsidRDefault="005210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284F4" id="Schemat blokowy: opóźnienie 6" o:spid="_x0000_s1032" alt="informacje sygnalne" style="position:absolute;margin-left:396.6pt;margin-top:15.65pt;width:162.25pt;height:28.15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NLPbVIGAAAm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F99653F" w14:textId="77777777" w:rsidR="00521023" w:rsidRPr="003C6C8D" w:rsidRDefault="005210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2ADABBC" wp14:editId="7BA2000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D0D9185" id="Prostokąt 10" o:spid="_x0000_s1026" style="position:absolute;margin-left:410.95pt;margin-top:40.3pt;width:147.4pt;height:180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0E8A168" wp14:editId="4784CC8D">
          <wp:extent cx="115327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035BA" w14:textId="77777777" w:rsidR="00521023" w:rsidRDefault="005210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CA818C9" wp14:editId="67CBAF8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29 sierpnia 2024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C6620" w14:textId="5A45A2BB" w:rsidR="00521023" w:rsidRPr="00472DFC" w:rsidRDefault="0052102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30</w:t>
                          </w:r>
                          <w:r w:rsidRPr="00472DFC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03</w:t>
                          </w:r>
                          <w:r w:rsidRPr="00472DFC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6</w:t>
                          </w:r>
                          <w:r w:rsidRPr="00472DFC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18C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 29 sierpnia 2024 roku" style="position:absolute;margin-left:411pt;margin-top:20.95pt;width:112.8pt;height:26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" filled="f" stroked="f">
              <v:textbox>
                <w:txbxContent>
                  <w:p w14:paraId="104C6620" w14:textId="5A45A2BB" w:rsidR="00521023" w:rsidRPr="00472DFC" w:rsidRDefault="0052102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</w:rPr>
                      <w:t>30</w:t>
                    </w:r>
                    <w:r w:rsidRPr="00472DFC">
                      <w:rPr>
                        <w:rFonts w:ascii="Fira Sans SemiBold" w:hAnsi="Fira Sans SemiBold"/>
                        <w:color w:val="001D77"/>
                        <w:sz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</w:rPr>
                      <w:t>03</w:t>
                    </w:r>
                    <w:r w:rsidRPr="00472DFC">
                      <w:rPr>
                        <w:rFonts w:ascii="Fira Sans SemiBold" w:hAnsi="Fira Sans SemiBold"/>
                        <w:color w:val="001D77"/>
                        <w:sz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</w:rPr>
                      <w:t>6</w:t>
                    </w:r>
                    <w:r w:rsidRPr="00472DFC">
                      <w:rPr>
                        <w:rFonts w:ascii="Fira Sans SemiBold" w:hAnsi="Fira Sans SemiBold"/>
                        <w:color w:val="001D77"/>
                        <w:sz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8BBC2" w14:textId="77777777" w:rsidR="00521023" w:rsidRDefault="00521023">
    <w:pPr>
      <w:pStyle w:val="Nagwek"/>
    </w:pPr>
  </w:p>
  <w:p w14:paraId="7897F6F6" w14:textId="77777777" w:rsidR="00521023" w:rsidRDefault="005210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45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781C6C"/>
    <w:multiLevelType w:val="multilevel"/>
    <w:tmpl w:val="2E14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E2619"/>
    <w:multiLevelType w:val="hybridMultilevel"/>
    <w:tmpl w:val="776A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63C7789"/>
    <w:multiLevelType w:val="hybridMultilevel"/>
    <w:tmpl w:val="38A2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03E61"/>
    <w:multiLevelType w:val="hybridMultilevel"/>
    <w:tmpl w:val="AFEE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855"/>
    <w:rsid w:val="00002971"/>
    <w:rsid w:val="00003437"/>
    <w:rsid w:val="00004F1D"/>
    <w:rsid w:val="000062D4"/>
    <w:rsid w:val="0000709F"/>
    <w:rsid w:val="000070F4"/>
    <w:rsid w:val="0000766D"/>
    <w:rsid w:val="000108B8"/>
    <w:rsid w:val="00010CCB"/>
    <w:rsid w:val="000152F5"/>
    <w:rsid w:val="00015CDF"/>
    <w:rsid w:val="00015F32"/>
    <w:rsid w:val="0002006C"/>
    <w:rsid w:val="00020559"/>
    <w:rsid w:val="00024842"/>
    <w:rsid w:val="00025D10"/>
    <w:rsid w:val="00026486"/>
    <w:rsid w:val="00026729"/>
    <w:rsid w:val="00032195"/>
    <w:rsid w:val="00033D1A"/>
    <w:rsid w:val="00035D44"/>
    <w:rsid w:val="00040603"/>
    <w:rsid w:val="00040F2F"/>
    <w:rsid w:val="00041439"/>
    <w:rsid w:val="00041FD1"/>
    <w:rsid w:val="00042FA4"/>
    <w:rsid w:val="000432BD"/>
    <w:rsid w:val="000432BF"/>
    <w:rsid w:val="0004582E"/>
    <w:rsid w:val="00046133"/>
    <w:rsid w:val="000470AA"/>
    <w:rsid w:val="00050AAC"/>
    <w:rsid w:val="00054804"/>
    <w:rsid w:val="00054F68"/>
    <w:rsid w:val="00057CA1"/>
    <w:rsid w:val="00066268"/>
    <w:rsid w:val="000662E2"/>
    <w:rsid w:val="00066883"/>
    <w:rsid w:val="00067336"/>
    <w:rsid w:val="00071BAD"/>
    <w:rsid w:val="00071F95"/>
    <w:rsid w:val="00074DD8"/>
    <w:rsid w:val="00076129"/>
    <w:rsid w:val="00077D97"/>
    <w:rsid w:val="0008041E"/>
    <w:rsid w:val="000806F7"/>
    <w:rsid w:val="00083350"/>
    <w:rsid w:val="0008456A"/>
    <w:rsid w:val="000873EB"/>
    <w:rsid w:val="00090917"/>
    <w:rsid w:val="000909A4"/>
    <w:rsid w:val="0009225A"/>
    <w:rsid w:val="00093344"/>
    <w:rsid w:val="000949C0"/>
    <w:rsid w:val="00097840"/>
    <w:rsid w:val="00097CD2"/>
    <w:rsid w:val="000A17EC"/>
    <w:rsid w:val="000A450A"/>
    <w:rsid w:val="000A59A6"/>
    <w:rsid w:val="000A6269"/>
    <w:rsid w:val="000A646A"/>
    <w:rsid w:val="000B0727"/>
    <w:rsid w:val="000B10DE"/>
    <w:rsid w:val="000B5914"/>
    <w:rsid w:val="000B657A"/>
    <w:rsid w:val="000C135D"/>
    <w:rsid w:val="000C20F0"/>
    <w:rsid w:val="000C3DD4"/>
    <w:rsid w:val="000C4FD8"/>
    <w:rsid w:val="000C7FC6"/>
    <w:rsid w:val="000D002E"/>
    <w:rsid w:val="000D1D43"/>
    <w:rsid w:val="000D225C"/>
    <w:rsid w:val="000D2A5C"/>
    <w:rsid w:val="000D2F11"/>
    <w:rsid w:val="000D4AF1"/>
    <w:rsid w:val="000D4F96"/>
    <w:rsid w:val="000D67C7"/>
    <w:rsid w:val="000D7CE3"/>
    <w:rsid w:val="000E0918"/>
    <w:rsid w:val="000E0DF9"/>
    <w:rsid w:val="000E129F"/>
    <w:rsid w:val="000E1547"/>
    <w:rsid w:val="000E4137"/>
    <w:rsid w:val="000E4CAD"/>
    <w:rsid w:val="000E4D8B"/>
    <w:rsid w:val="000E53DC"/>
    <w:rsid w:val="000F0781"/>
    <w:rsid w:val="000F14A9"/>
    <w:rsid w:val="000F3988"/>
    <w:rsid w:val="000F5304"/>
    <w:rsid w:val="000F64E1"/>
    <w:rsid w:val="000F7459"/>
    <w:rsid w:val="000F7B6A"/>
    <w:rsid w:val="0010116C"/>
    <w:rsid w:val="001011C3"/>
    <w:rsid w:val="001047B2"/>
    <w:rsid w:val="00106D2D"/>
    <w:rsid w:val="00106EC4"/>
    <w:rsid w:val="00107A25"/>
    <w:rsid w:val="00110C34"/>
    <w:rsid w:val="00110D87"/>
    <w:rsid w:val="00111805"/>
    <w:rsid w:val="00112542"/>
    <w:rsid w:val="001125B6"/>
    <w:rsid w:val="00112ACD"/>
    <w:rsid w:val="00112C96"/>
    <w:rsid w:val="001131BA"/>
    <w:rsid w:val="0011348B"/>
    <w:rsid w:val="001135EC"/>
    <w:rsid w:val="001139E6"/>
    <w:rsid w:val="00113AFA"/>
    <w:rsid w:val="00114A35"/>
    <w:rsid w:val="00114DB9"/>
    <w:rsid w:val="00116087"/>
    <w:rsid w:val="00120854"/>
    <w:rsid w:val="00120CCC"/>
    <w:rsid w:val="00122A28"/>
    <w:rsid w:val="001239D7"/>
    <w:rsid w:val="00123FB7"/>
    <w:rsid w:val="00124000"/>
    <w:rsid w:val="00124572"/>
    <w:rsid w:val="00126487"/>
    <w:rsid w:val="00126DDC"/>
    <w:rsid w:val="00130296"/>
    <w:rsid w:val="00130EE2"/>
    <w:rsid w:val="0013164C"/>
    <w:rsid w:val="00131A68"/>
    <w:rsid w:val="00131F52"/>
    <w:rsid w:val="00132415"/>
    <w:rsid w:val="001335F4"/>
    <w:rsid w:val="001352A7"/>
    <w:rsid w:val="0013584C"/>
    <w:rsid w:val="00137ED2"/>
    <w:rsid w:val="001423B6"/>
    <w:rsid w:val="0014340B"/>
    <w:rsid w:val="001448A7"/>
    <w:rsid w:val="00146621"/>
    <w:rsid w:val="00147013"/>
    <w:rsid w:val="001472BA"/>
    <w:rsid w:val="00147DA8"/>
    <w:rsid w:val="001526CE"/>
    <w:rsid w:val="0015274A"/>
    <w:rsid w:val="00152D45"/>
    <w:rsid w:val="00154A67"/>
    <w:rsid w:val="0015517D"/>
    <w:rsid w:val="001559A8"/>
    <w:rsid w:val="001565E9"/>
    <w:rsid w:val="001605E2"/>
    <w:rsid w:val="0016065C"/>
    <w:rsid w:val="00160A29"/>
    <w:rsid w:val="00162325"/>
    <w:rsid w:val="00162FA0"/>
    <w:rsid w:val="00163AF9"/>
    <w:rsid w:val="00165516"/>
    <w:rsid w:val="0016565D"/>
    <w:rsid w:val="001657D1"/>
    <w:rsid w:val="00167EDE"/>
    <w:rsid w:val="001701A1"/>
    <w:rsid w:val="0017072B"/>
    <w:rsid w:val="00172F9A"/>
    <w:rsid w:val="001734F2"/>
    <w:rsid w:val="00174E08"/>
    <w:rsid w:val="0017683E"/>
    <w:rsid w:val="0017689F"/>
    <w:rsid w:val="00177C1A"/>
    <w:rsid w:val="00177E65"/>
    <w:rsid w:val="00181E5C"/>
    <w:rsid w:val="00181FE0"/>
    <w:rsid w:val="0018284B"/>
    <w:rsid w:val="0018311D"/>
    <w:rsid w:val="001839B5"/>
    <w:rsid w:val="001842EA"/>
    <w:rsid w:val="00185821"/>
    <w:rsid w:val="00187EAD"/>
    <w:rsid w:val="0019070D"/>
    <w:rsid w:val="001907F6"/>
    <w:rsid w:val="00191C99"/>
    <w:rsid w:val="00191F94"/>
    <w:rsid w:val="001951DA"/>
    <w:rsid w:val="001956FA"/>
    <w:rsid w:val="00196443"/>
    <w:rsid w:val="001968AA"/>
    <w:rsid w:val="001969D8"/>
    <w:rsid w:val="00196B65"/>
    <w:rsid w:val="001970A5"/>
    <w:rsid w:val="001A025E"/>
    <w:rsid w:val="001A081C"/>
    <w:rsid w:val="001A249D"/>
    <w:rsid w:val="001A3DEC"/>
    <w:rsid w:val="001A5370"/>
    <w:rsid w:val="001A7914"/>
    <w:rsid w:val="001B171E"/>
    <w:rsid w:val="001B262E"/>
    <w:rsid w:val="001B29A7"/>
    <w:rsid w:val="001B4234"/>
    <w:rsid w:val="001B4892"/>
    <w:rsid w:val="001B4C66"/>
    <w:rsid w:val="001C2B76"/>
    <w:rsid w:val="001C3269"/>
    <w:rsid w:val="001C5280"/>
    <w:rsid w:val="001D01A4"/>
    <w:rsid w:val="001D12AC"/>
    <w:rsid w:val="001D19EF"/>
    <w:rsid w:val="001D1DB4"/>
    <w:rsid w:val="001D3A94"/>
    <w:rsid w:val="001D4399"/>
    <w:rsid w:val="001D4716"/>
    <w:rsid w:val="001D5166"/>
    <w:rsid w:val="001E08BE"/>
    <w:rsid w:val="001E18C6"/>
    <w:rsid w:val="001E1958"/>
    <w:rsid w:val="001E1D16"/>
    <w:rsid w:val="001E219A"/>
    <w:rsid w:val="001E253E"/>
    <w:rsid w:val="001E349E"/>
    <w:rsid w:val="001E579C"/>
    <w:rsid w:val="001E5C01"/>
    <w:rsid w:val="001E5E64"/>
    <w:rsid w:val="001E6301"/>
    <w:rsid w:val="001E65CC"/>
    <w:rsid w:val="001F1CA5"/>
    <w:rsid w:val="001F1D37"/>
    <w:rsid w:val="001F2390"/>
    <w:rsid w:val="001F2D59"/>
    <w:rsid w:val="001F7849"/>
    <w:rsid w:val="00200428"/>
    <w:rsid w:val="0020647F"/>
    <w:rsid w:val="00212160"/>
    <w:rsid w:val="002131A7"/>
    <w:rsid w:val="00214B46"/>
    <w:rsid w:val="00214BAB"/>
    <w:rsid w:val="00215371"/>
    <w:rsid w:val="00215939"/>
    <w:rsid w:val="002201EE"/>
    <w:rsid w:val="00221859"/>
    <w:rsid w:val="00225144"/>
    <w:rsid w:val="00225643"/>
    <w:rsid w:val="002259A6"/>
    <w:rsid w:val="00230C38"/>
    <w:rsid w:val="00231272"/>
    <w:rsid w:val="002316A6"/>
    <w:rsid w:val="0023202C"/>
    <w:rsid w:val="0023226D"/>
    <w:rsid w:val="00235893"/>
    <w:rsid w:val="00236F54"/>
    <w:rsid w:val="002371B9"/>
    <w:rsid w:val="002376E6"/>
    <w:rsid w:val="00237B77"/>
    <w:rsid w:val="00237D20"/>
    <w:rsid w:val="00240797"/>
    <w:rsid w:val="00240DC2"/>
    <w:rsid w:val="00243EE0"/>
    <w:rsid w:val="00245DAA"/>
    <w:rsid w:val="00246A52"/>
    <w:rsid w:val="00247E17"/>
    <w:rsid w:val="002516E3"/>
    <w:rsid w:val="00252D1A"/>
    <w:rsid w:val="00254EFA"/>
    <w:rsid w:val="0025568C"/>
    <w:rsid w:val="00256330"/>
    <w:rsid w:val="002574F9"/>
    <w:rsid w:val="00262B61"/>
    <w:rsid w:val="00266021"/>
    <w:rsid w:val="00266EBD"/>
    <w:rsid w:val="002670E9"/>
    <w:rsid w:val="00267FAC"/>
    <w:rsid w:val="002709DB"/>
    <w:rsid w:val="0027207B"/>
    <w:rsid w:val="002744AA"/>
    <w:rsid w:val="002747E4"/>
    <w:rsid w:val="002755D6"/>
    <w:rsid w:val="00275819"/>
    <w:rsid w:val="00275CD2"/>
    <w:rsid w:val="00276811"/>
    <w:rsid w:val="002769EC"/>
    <w:rsid w:val="00276A66"/>
    <w:rsid w:val="00276B7A"/>
    <w:rsid w:val="00276FCE"/>
    <w:rsid w:val="00282572"/>
    <w:rsid w:val="00282699"/>
    <w:rsid w:val="00283B21"/>
    <w:rsid w:val="00285303"/>
    <w:rsid w:val="00285339"/>
    <w:rsid w:val="00287090"/>
    <w:rsid w:val="002904B8"/>
    <w:rsid w:val="00290591"/>
    <w:rsid w:val="00292356"/>
    <w:rsid w:val="002926DF"/>
    <w:rsid w:val="002931C1"/>
    <w:rsid w:val="002947D1"/>
    <w:rsid w:val="00296697"/>
    <w:rsid w:val="00297389"/>
    <w:rsid w:val="002974A6"/>
    <w:rsid w:val="00297D33"/>
    <w:rsid w:val="002A1B3A"/>
    <w:rsid w:val="002A1FB2"/>
    <w:rsid w:val="002A23A2"/>
    <w:rsid w:val="002A693E"/>
    <w:rsid w:val="002A6CB0"/>
    <w:rsid w:val="002A6E57"/>
    <w:rsid w:val="002A7740"/>
    <w:rsid w:val="002B0472"/>
    <w:rsid w:val="002B12AF"/>
    <w:rsid w:val="002B2583"/>
    <w:rsid w:val="002B4820"/>
    <w:rsid w:val="002B6B12"/>
    <w:rsid w:val="002C03A1"/>
    <w:rsid w:val="002C0B6A"/>
    <w:rsid w:val="002C2597"/>
    <w:rsid w:val="002C3670"/>
    <w:rsid w:val="002C4AD7"/>
    <w:rsid w:val="002C5BB2"/>
    <w:rsid w:val="002C664E"/>
    <w:rsid w:val="002D0C6D"/>
    <w:rsid w:val="002D1C60"/>
    <w:rsid w:val="002D49AA"/>
    <w:rsid w:val="002E5BF9"/>
    <w:rsid w:val="002E6140"/>
    <w:rsid w:val="002E6704"/>
    <w:rsid w:val="002E6985"/>
    <w:rsid w:val="002E7097"/>
    <w:rsid w:val="002E71B6"/>
    <w:rsid w:val="002E7D40"/>
    <w:rsid w:val="002F0E66"/>
    <w:rsid w:val="002F165F"/>
    <w:rsid w:val="002F21F7"/>
    <w:rsid w:val="002F4BA4"/>
    <w:rsid w:val="002F591B"/>
    <w:rsid w:val="002F6FA2"/>
    <w:rsid w:val="002F70EF"/>
    <w:rsid w:val="002F77C8"/>
    <w:rsid w:val="003017ED"/>
    <w:rsid w:val="00302D0A"/>
    <w:rsid w:val="00303E72"/>
    <w:rsid w:val="00303EB6"/>
    <w:rsid w:val="00304F22"/>
    <w:rsid w:val="00305899"/>
    <w:rsid w:val="00305A5B"/>
    <w:rsid w:val="00305F9C"/>
    <w:rsid w:val="00306C7C"/>
    <w:rsid w:val="00310266"/>
    <w:rsid w:val="00310585"/>
    <w:rsid w:val="00311ADE"/>
    <w:rsid w:val="0031440D"/>
    <w:rsid w:val="00314B4B"/>
    <w:rsid w:val="003153D0"/>
    <w:rsid w:val="00320371"/>
    <w:rsid w:val="00321433"/>
    <w:rsid w:val="00322EDD"/>
    <w:rsid w:val="00323529"/>
    <w:rsid w:val="00324D29"/>
    <w:rsid w:val="00326248"/>
    <w:rsid w:val="00326C15"/>
    <w:rsid w:val="00331B47"/>
    <w:rsid w:val="003321D1"/>
    <w:rsid w:val="00332320"/>
    <w:rsid w:val="00332F3D"/>
    <w:rsid w:val="00335AFB"/>
    <w:rsid w:val="0033688A"/>
    <w:rsid w:val="00336DB9"/>
    <w:rsid w:val="00336F71"/>
    <w:rsid w:val="00346D7F"/>
    <w:rsid w:val="00347D72"/>
    <w:rsid w:val="003509BC"/>
    <w:rsid w:val="00351487"/>
    <w:rsid w:val="00353E26"/>
    <w:rsid w:val="00354730"/>
    <w:rsid w:val="003552A7"/>
    <w:rsid w:val="00357611"/>
    <w:rsid w:val="00357750"/>
    <w:rsid w:val="00361A3E"/>
    <w:rsid w:val="00362582"/>
    <w:rsid w:val="003639C9"/>
    <w:rsid w:val="00364073"/>
    <w:rsid w:val="0036435E"/>
    <w:rsid w:val="0036439C"/>
    <w:rsid w:val="00364E97"/>
    <w:rsid w:val="00366181"/>
    <w:rsid w:val="00367237"/>
    <w:rsid w:val="0037077F"/>
    <w:rsid w:val="00370C69"/>
    <w:rsid w:val="00370E6F"/>
    <w:rsid w:val="00370F02"/>
    <w:rsid w:val="00372411"/>
    <w:rsid w:val="00372FF1"/>
    <w:rsid w:val="00373882"/>
    <w:rsid w:val="00373D23"/>
    <w:rsid w:val="00373D46"/>
    <w:rsid w:val="00375056"/>
    <w:rsid w:val="003767A9"/>
    <w:rsid w:val="00381C26"/>
    <w:rsid w:val="0038314B"/>
    <w:rsid w:val="0038439F"/>
    <w:rsid w:val="003843DB"/>
    <w:rsid w:val="003844E5"/>
    <w:rsid w:val="00387CB1"/>
    <w:rsid w:val="003903E4"/>
    <w:rsid w:val="00391763"/>
    <w:rsid w:val="00392551"/>
    <w:rsid w:val="003927FC"/>
    <w:rsid w:val="00393761"/>
    <w:rsid w:val="00393B70"/>
    <w:rsid w:val="00393F5E"/>
    <w:rsid w:val="003943BF"/>
    <w:rsid w:val="0039457E"/>
    <w:rsid w:val="00395563"/>
    <w:rsid w:val="003976C9"/>
    <w:rsid w:val="00397D18"/>
    <w:rsid w:val="003A0E4D"/>
    <w:rsid w:val="003A1B36"/>
    <w:rsid w:val="003A27B2"/>
    <w:rsid w:val="003A28C8"/>
    <w:rsid w:val="003A48D2"/>
    <w:rsid w:val="003A51D8"/>
    <w:rsid w:val="003A5267"/>
    <w:rsid w:val="003A53A2"/>
    <w:rsid w:val="003A6335"/>
    <w:rsid w:val="003A7472"/>
    <w:rsid w:val="003B1454"/>
    <w:rsid w:val="003B18B6"/>
    <w:rsid w:val="003B2337"/>
    <w:rsid w:val="003B2548"/>
    <w:rsid w:val="003B3073"/>
    <w:rsid w:val="003B3150"/>
    <w:rsid w:val="003B359E"/>
    <w:rsid w:val="003B377B"/>
    <w:rsid w:val="003B3DC8"/>
    <w:rsid w:val="003B4082"/>
    <w:rsid w:val="003B658C"/>
    <w:rsid w:val="003B7171"/>
    <w:rsid w:val="003B7A05"/>
    <w:rsid w:val="003C39FB"/>
    <w:rsid w:val="003C529D"/>
    <w:rsid w:val="003C59E0"/>
    <w:rsid w:val="003C6C8D"/>
    <w:rsid w:val="003C7E60"/>
    <w:rsid w:val="003D0205"/>
    <w:rsid w:val="003D0508"/>
    <w:rsid w:val="003D1997"/>
    <w:rsid w:val="003D22D2"/>
    <w:rsid w:val="003D26FB"/>
    <w:rsid w:val="003D275C"/>
    <w:rsid w:val="003D3470"/>
    <w:rsid w:val="003D41D2"/>
    <w:rsid w:val="003D4F95"/>
    <w:rsid w:val="003D5F42"/>
    <w:rsid w:val="003D60A9"/>
    <w:rsid w:val="003D60CC"/>
    <w:rsid w:val="003D77E5"/>
    <w:rsid w:val="003E0FCF"/>
    <w:rsid w:val="003E10FE"/>
    <w:rsid w:val="003E1AF9"/>
    <w:rsid w:val="003E26F8"/>
    <w:rsid w:val="003E2F68"/>
    <w:rsid w:val="003E43A2"/>
    <w:rsid w:val="003E48DE"/>
    <w:rsid w:val="003E49B0"/>
    <w:rsid w:val="003E4E36"/>
    <w:rsid w:val="003E6158"/>
    <w:rsid w:val="003E6DAC"/>
    <w:rsid w:val="003E73D6"/>
    <w:rsid w:val="003E7C61"/>
    <w:rsid w:val="003F13B5"/>
    <w:rsid w:val="003F194C"/>
    <w:rsid w:val="003F22A8"/>
    <w:rsid w:val="003F33EE"/>
    <w:rsid w:val="003F4C97"/>
    <w:rsid w:val="003F6501"/>
    <w:rsid w:val="003F6C93"/>
    <w:rsid w:val="003F75AA"/>
    <w:rsid w:val="003F7698"/>
    <w:rsid w:val="003F7FE6"/>
    <w:rsid w:val="00400193"/>
    <w:rsid w:val="00403126"/>
    <w:rsid w:val="0040322A"/>
    <w:rsid w:val="00403B22"/>
    <w:rsid w:val="00404150"/>
    <w:rsid w:val="00405098"/>
    <w:rsid w:val="0040569F"/>
    <w:rsid w:val="00411910"/>
    <w:rsid w:val="00411982"/>
    <w:rsid w:val="00413657"/>
    <w:rsid w:val="00415692"/>
    <w:rsid w:val="00416C29"/>
    <w:rsid w:val="004175C1"/>
    <w:rsid w:val="00420A27"/>
    <w:rsid w:val="00420DD0"/>
    <w:rsid w:val="004212E7"/>
    <w:rsid w:val="004217F8"/>
    <w:rsid w:val="00421ECA"/>
    <w:rsid w:val="0042446D"/>
    <w:rsid w:val="00424721"/>
    <w:rsid w:val="00426D5E"/>
    <w:rsid w:val="00427BF8"/>
    <w:rsid w:val="00427C93"/>
    <w:rsid w:val="00427D05"/>
    <w:rsid w:val="00427D53"/>
    <w:rsid w:val="0043091D"/>
    <w:rsid w:val="00431712"/>
    <w:rsid w:val="00431C02"/>
    <w:rsid w:val="00431D6A"/>
    <w:rsid w:val="00437395"/>
    <w:rsid w:val="004375A8"/>
    <w:rsid w:val="00442845"/>
    <w:rsid w:val="00443D93"/>
    <w:rsid w:val="0044472D"/>
    <w:rsid w:val="00445047"/>
    <w:rsid w:val="00445B70"/>
    <w:rsid w:val="00447FE1"/>
    <w:rsid w:val="004510CE"/>
    <w:rsid w:val="004523F9"/>
    <w:rsid w:val="00452FAB"/>
    <w:rsid w:val="00453BC9"/>
    <w:rsid w:val="004543CF"/>
    <w:rsid w:val="0046033D"/>
    <w:rsid w:val="004610B6"/>
    <w:rsid w:val="004612AC"/>
    <w:rsid w:val="00463E39"/>
    <w:rsid w:val="00463F4F"/>
    <w:rsid w:val="004648A2"/>
    <w:rsid w:val="004657FC"/>
    <w:rsid w:val="00467295"/>
    <w:rsid w:val="00467B62"/>
    <w:rsid w:val="00471AA8"/>
    <w:rsid w:val="00472DFC"/>
    <w:rsid w:val="004733F6"/>
    <w:rsid w:val="00474956"/>
    <w:rsid w:val="00474E69"/>
    <w:rsid w:val="00475CA5"/>
    <w:rsid w:val="00476FBF"/>
    <w:rsid w:val="00480292"/>
    <w:rsid w:val="00480F61"/>
    <w:rsid w:val="00482791"/>
    <w:rsid w:val="00482C6F"/>
    <w:rsid w:val="00483FF3"/>
    <w:rsid w:val="00484D9A"/>
    <w:rsid w:val="00486609"/>
    <w:rsid w:val="004869E1"/>
    <w:rsid w:val="00487C77"/>
    <w:rsid w:val="00490DCF"/>
    <w:rsid w:val="004914E0"/>
    <w:rsid w:val="0049621B"/>
    <w:rsid w:val="004A0D78"/>
    <w:rsid w:val="004A3458"/>
    <w:rsid w:val="004A60E1"/>
    <w:rsid w:val="004A6803"/>
    <w:rsid w:val="004B27F6"/>
    <w:rsid w:val="004B3790"/>
    <w:rsid w:val="004B48B1"/>
    <w:rsid w:val="004B573A"/>
    <w:rsid w:val="004B688E"/>
    <w:rsid w:val="004B6CA9"/>
    <w:rsid w:val="004B7080"/>
    <w:rsid w:val="004B7A8E"/>
    <w:rsid w:val="004C0D77"/>
    <w:rsid w:val="004C1895"/>
    <w:rsid w:val="004C22E2"/>
    <w:rsid w:val="004C474F"/>
    <w:rsid w:val="004C5252"/>
    <w:rsid w:val="004C5D39"/>
    <w:rsid w:val="004C5DC8"/>
    <w:rsid w:val="004C6D40"/>
    <w:rsid w:val="004D10D4"/>
    <w:rsid w:val="004D1B4F"/>
    <w:rsid w:val="004D2453"/>
    <w:rsid w:val="004D2F17"/>
    <w:rsid w:val="004D36DF"/>
    <w:rsid w:val="004D405C"/>
    <w:rsid w:val="004D43B3"/>
    <w:rsid w:val="004D4C43"/>
    <w:rsid w:val="004D5C1A"/>
    <w:rsid w:val="004D71F6"/>
    <w:rsid w:val="004D785C"/>
    <w:rsid w:val="004D7ABD"/>
    <w:rsid w:val="004E0A8A"/>
    <w:rsid w:val="004E1079"/>
    <w:rsid w:val="004E3338"/>
    <w:rsid w:val="004E3474"/>
    <w:rsid w:val="004E4180"/>
    <w:rsid w:val="004E5182"/>
    <w:rsid w:val="004E535A"/>
    <w:rsid w:val="004E729C"/>
    <w:rsid w:val="004E778C"/>
    <w:rsid w:val="004E78C1"/>
    <w:rsid w:val="004E793B"/>
    <w:rsid w:val="004E7C71"/>
    <w:rsid w:val="004F0C3C"/>
    <w:rsid w:val="004F1ABE"/>
    <w:rsid w:val="004F1C6B"/>
    <w:rsid w:val="004F389B"/>
    <w:rsid w:val="004F51F6"/>
    <w:rsid w:val="004F63FC"/>
    <w:rsid w:val="004F73CE"/>
    <w:rsid w:val="004F7B3A"/>
    <w:rsid w:val="0050059F"/>
    <w:rsid w:val="005030B3"/>
    <w:rsid w:val="00504CE6"/>
    <w:rsid w:val="00505A92"/>
    <w:rsid w:val="00506031"/>
    <w:rsid w:val="005068A9"/>
    <w:rsid w:val="00506B75"/>
    <w:rsid w:val="00506EC3"/>
    <w:rsid w:val="00512C1B"/>
    <w:rsid w:val="005137E9"/>
    <w:rsid w:val="005139C5"/>
    <w:rsid w:val="005145C4"/>
    <w:rsid w:val="00514BAC"/>
    <w:rsid w:val="00514DB5"/>
    <w:rsid w:val="00517366"/>
    <w:rsid w:val="005203DE"/>
    <w:rsid w:val="005203F1"/>
    <w:rsid w:val="00520424"/>
    <w:rsid w:val="00521023"/>
    <w:rsid w:val="00521BC3"/>
    <w:rsid w:val="00523355"/>
    <w:rsid w:val="005244C8"/>
    <w:rsid w:val="0053031F"/>
    <w:rsid w:val="00530664"/>
    <w:rsid w:val="00531A53"/>
    <w:rsid w:val="005321BC"/>
    <w:rsid w:val="00533054"/>
    <w:rsid w:val="00533632"/>
    <w:rsid w:val="00537DAD"/>
    <w:rsid w:val="00540491"/>
    <w:rsid w:val="00541E6E"/>
    <w:rsid w:val="0054251F"/>
    <w:rsid w:val="00543B96"/>
    <w:rsid w:val="00543F91"/>
    <w:rsid w:val="00545177"/>
    <w:rsid w:val="00545240"/>
    <w:rsid w:val="00545AF6"/>
    <w:rsid w:val="00545FA8"/>
    <w:rsid w:val="0054682E"/>
    <w:rsid w:val="00550491"/>
    <w:rsid w:val="00552030"/>
    <w:rsid w:val="005520D8"/>
    <w:rsid w:val="00553FB5"/>
    <w:rsid w:val="005554F4"/>
    <w:rsid w:val="00556CF1"/>
    <w:rsid w:val="00557D02"/>
    <w:rsid w:val="00561562"/>
    <w:rsid w:val="00565638"/>
    <w:rsid w:val="00567431"/>
    <w:rsid w:val="00567446"/>
    <w:rsid w:val="00571506"/>
    <w:rsid w:val="00571D30"/>
    <w:rsid w:val="00571E98"/>
    <w:rsid w:val="00573186"/>
    <w:rsid w:val="00573DD4"/>
    <w:rsid w:val="00574848"/>
    <w:rsid w:val="005762A7"/>
    <w:rsid w:val="00576AE5"/>
    <w:rsid w:val="00577352"/>
    <w:rsid w:val="005774BF"/>
    <w:rsid w:val="005804C9"/>
    <w:rsid w:val="00580707"/>
    <w:rsid w:val="00580952"/>
    <w:rsid w:val="00581487"/>
    <w:rsid w:val="005833E1"/>
    <w:rsid w:val="005841B6"/>
    <w:rsid w:val="0058462B"/>
    <w:rsid w:val="0058514B"/>
    <w:rsid w:val="005853F8"/>
    <w:rsid w:val="0058565C"/>
    <w:rsid w:val="00590365"/>
    <w:rsid w:val="005916D7"/>
    <w:rsid w:val="00591B8B"/>
    <w:rsid w:val="00593B61"/>
    <w:rsid w:val="00595A98"/>
    <w:rsid w:val="005972A0"/>
    <w:rsid w:val="00597AE0"/>
    <w:rsid w:val="005A05A8"/>
    <w:rsid w:val="005A06E5"/>
    <w:rsid w:val="005A1053"/>
    <w:rsid w:val="005A1AAC"/>
    <w:rsid w:val="005A224F"/>
    <w:rsid w:val="005A36A0"/>
    <w:rsid w:val="005A37D5"/>
    <w:rsid w:val="005A5012"/>
    <w:rsid w:val="005A5560"/>
    <w:rsid w:val="005A698C"/>
    <w:rsid w:val="005A77EB"/>
    <w:rsid w:val="005B05F7"/>
    <w:rsid w:val="005B3613"/>
    <w:rsid w:val="005B5142"/>
    <w:rsid w:val="005B51F6"/>
    <w:rsid w:val="005B7FFA"/>
    <w:rsid w:val="005C0B93"/>
    <w:rsid w:val="005C1FFA"/>
    <w:rsid w:val="005C5FDC"/>
    <w:rsid w:val="005C6A13"/>
    <w:rsid w:val="005C746C"/>
    <w:rsid w:val="005C79D9"/>
    <w:rsid w:val="005D02F7"/>
    <w:rsid w:val="005D06AB"/>
    <w:rsid w:val="005D0E08"/>
    <w:rsid w:val="005D1BA4"/>
    <w:rsid w:val="005D54D2"/>
    <w:rsid w:val="005D5FAE"/>
    <w:rsid w:val="005D613D"/>
    <w:rsid w:val="005D66C3"/>
    <w:rsid w:val="005D7EC6"/>
    <w:rsid w:val="005E0799"/>
    <w:rsid w:val="005E0C62"/>
    <w:rsid w:val="005E1B92"/>
    <w:rsid w:val="005E2344"/>
    <w:rsid w:val="005E2935"/>
    <w:rsid w:val="005E2AAD"/>
    <w:rsid w:val="005E2E04"/>
    <w:rsid w:val="005E5A41"/>
    <w:rsid w:val="005F01AF"/>
    <w:rsid w:val="005F0A46"/>
    <w:rsid w:val="005F0C8B"/>
    <w:rsid w:val="005F20EF"/>
    <w:rsid w:val="005F2C59"/>
    <w:rsid w:val="005F437C"/>
    <w:rsid w:val="005F583C"/>
    <w:rsid w:val="005F5A80"/>
    <w:rsid w:val="005F5CC5"/>
    <w:rsid w:val="005F685D"/>
    <w:rsid w:val="005F70F9"/>
    <w:rsid w:val="005F7C39"/>
    <w:rsid w:val="00600991"/>
    <w:rsid w:val="00600FD5"/>
    <w:rsid w:val="00603787"/>
    <w:rsid w:val="006044FF"/>
    <w:rsid w:val="00607CC5"/>
    <w:rsid w:val="00607D84"/>
    <w:rsid w:val="0061076A"/>
    <w:rsid w:val="00611B30"/>
    <w:rsid w:val="00611DE5"/>
    <w:rsid w:val="00613E1C"/>
    <w:rsid w:val="006168CD"/>
    <w:rsid w:val="00616CE1"/>
    <w:rsid w:val="00617223"/>
    <w:rsid w:val="00621623"/>
    <w:rsid w:val="00622D28"/>
    <w:rsid w:val="006236C6"/>
    <w:rsid w:val="006236F6"/>
    <w:rsid w:val="006244C7"/>
    <w:rsid w:val="0062550A"/>
    <w:rsid w:val="006260FE"/>
    <w:rsid w:val="0062680A"/>
    <w:rsid w:val="00626B5D"/>
    <w:rsid w:val="0063019D"/>
    <w:rsid w:val="00630A38"/>
    <w:rsid w:val="006324D7"/>
    <w:rsid w:val="00632CEC"/>
    <w:rsid w:val="00633014"/>
    <w:rsid w:val="0063437B"/>
    <w:rsid w:val="00635360"/>
    <w:rsid w:val="0063597C"/>
    <w:rsid w:val="00635E35"/>
    <w:rsid w:val="00636AB9"/>
    <w:rsid w:val="0063713B"/>
    <w:rsid w:val="00640074"/>
    <w:rsid w:val="00642151"/>
    <w:rsid w:val="006428AC"/>
    <w:rsid w:val="00643509"/>
    <w:rsid w:val="00643CCB"/>
    <w:rsid w:val="006442E9"/>
    <w:rsid w:val="006452B1"/>
    <w:rsid w:val="00651609"/>
    <w:rsid w:val="00651634"/>
    <w:rsid w:val="00652704"/>
    <w:rsid w:val="006567FA"/>
    <w:rsid w:val="006616E5"/>
    <w:rsid w:val="006618A8"/>
    <w:rsid w:val="006619A4"/>
    <w:rsid w:val="006671F0"/>
    <w:rsid w:val="006673CA"/>
    <w:rsid w:val="00670D64"/>
    <w:rsid w:val="00670ECC"/>
    <w:rsid w:val="006715FF"/>
    <w:rsid w:val="00672EB5"/>
    <w:rsid w:val="00673C26"/>
    <w:rsid w:val="00676244"/>
    <w:rsid w:val="0067726D"/>
    <w:rsid w:val="00677A41"/>
    <w:rsid w:val="006812AF"/>
    <w:rsid w:val="0068327D"/>
    <w:rsid w:val="006834E3"/>
    <w:rsid w:val="00685970"/>
    <w:rsid w:val="00685E7C"/>
    <w:rsid w:val="00685E95"/>
    <w:rsid w:val="006863E6"/>
    <w:rsid w:val="0068683C"/>
    <w:rsid w:val="006904FD"/>
    <w:rsid w:val="006917D6"/>
    <w:rsid w:val="006930DF"/>
    <w:rsid w:val="0069367C"/>
    <w:rsid w:val="00694AF0"/>
    <w:rsid w:val="00695BE2"/>
    <w:rsid w:val="0069709E"/>
    <w:rsid w:val="006979E0"/>
    <w:rsid w:val="00697F80"/>
    <w:rsid w:val="006A17C7"/>
    <w:rsid w:val="006A3C81"/>
    <w:rsid w:val="006A4686"/>
    <w:rsid w:val="006A5C91"/>
    <w:rsid w:val="006A6260"/>
    <w:rsid w:val="006A70AF"/>
    <w:rsid w:val="006B0701"/>
    <w:rsid w:val="006B0A59"/>
    <w:rsid w:val="006B0E9E"/>
    <w:rsid w:val="006B16EC"/>
    <w:rsid w:val="006B19D1"/>
    <w:rsid w:val="006B3778"/>
    <w:rsid w:val="006B3A16"/>
    <w:rsid w:val="006B4361"/>
    <w:rsid w:val="006B5AE4"/>
    <w:rsid w:val="006B71BB"/>
    <w:rsid w:val="006B735B"/>
    <w:rsid w:val="006B799F"/>
    <w:rsid w:val="006B7DD0"/>
    <w:rsid w:val="006C26C0"/>
    <w:rsid w:val="006C2A0E"/>
    <w:rsid w:val="006C3794"/>
    <w:rsid w:val="006C39F4"/>
    <w:rsid w:val="006C5854"/>
    <w:rsid w:val="006C62CF"/>
    <w:rsid w:val="006C7BB3"/>
    <w:rsid w:val="006D13FC"/>
    <w:rsid w:val="006D1507"/>
    <w:rsid w:val="006D18AF"/>
    <w:rsid w:val="006D3DD5"/>
    <w:rsid w:val="006D4054"/>
    <w:rsid w:val="006D6F64"/>
    <w:rsid w:val="006D7BA4"/>
    <w:rsid w:val="006E02EC"/>
    <w:rsid w:val="006E23B8"/>
    <w:rsid w:val="006E23BE"/>
    <w:rsid w:val="006E296E"/>
    <w:rsid w:val="006E5522"/>
    <w:rsid w:val="006E5DB5"/>
    <w:rsid w:val="006E66FF"/>
    <w:rsid w:val="006F00FD"/>
    <w:rsid w:val="006F03EF"/>
    <w:rsid w:val="006F1A40"/>
    <w:rsid w:val="006F73E0"/>
    <w:rsid w:val="006F7DCE"/>
    <w:rsid w:val="00700B87"/>
    <w:rsid w:val="007075D4"/>
    <w:rsid w:val="00710497"/>
    <w:rsid w:val="007107A1"/>
    <w:rsid w:val="0071156A"/>
    <w:rsid w:val="0071157D"/>
    <w:rsid w:val="00712BA3"/>
    <w:rsid w:val="00713B71"/>
    <w:rsid w:val="00713D7B"/>
    <w:rsid w:val="00714439"/>
    <w:rsid w:val="00715167"/>
    <w:rsid w:val="007177E7"/>
    <w:rsid w:val="00720FE4"/>
    <w:rsid w:val="007211B1"/>
    <w:rsid w:val="007220C9"/>
    <w:rsid w:val="00722F3A"/>
    <w:rsid w:val="00722F86"/>
    <w:rsid w:val="00724BE9"/>
    <w:rsid w:val="00726372"/>
    <w:rsid w:val="007268C5"/>
    <w:rsid w:val="007304D2"/>
    <w:rsid w:val="0073147D"/>
    <w:rsid w:val="00734865"/>
    <w:rsid w:val="007357BA"/>
    <w:rsid w:val="00735BFD"/>
    <w:rsid w:val="007373CF"/>
    <w:rsid w:val="00737A29"/>
    <w:rsid w:val="007411B8"/>
    <w:rsid w:val="00743653"/>
    <w:rsid w:val="0074534C"/>
    <w:rsid w:val="00746187"/>
    <w:rsid w:val="00746821"/>
    <w:rsid w:val="00746AE8"/>
    <w:rsid w:val="00750766"/>
    <w:rsid w:val="00752889"/>
    <w:rsid w:val="00752C8A"/>
    <w:rsid w:val="007532CD"/>
    <w:rsid w:val="0075352C"/>
    <w:rsid w:val="00753D9B"/>
    <w:rsid w:val="00754E89"/>
    <w:rsid w:val="00755D2E"/>
    <w:rsid w:val="00756D02"/>
    <w:rsid w:val="007571F6"/>
    <w:rsid w:val="007578DE"/>
    <w:rsid w:val="007618BF"/>
    <w:rsid w:val="007622EA"/>
    <w:rsid w:val="0076254F"/>
    <w:rsid w:val="0076406E"/>
    <w:rsid w:val="00764F70"/>
    <w:rsid w:val="00765867"/>
    <w:rsid w:val="00766708"/>
    <w:rsid w:val="007732D0"/>
    <w:rsid w:val="0077376B"/>
    <w:rsid w:val="0077461A"/>
    <w:rsid w:val="00774D26"/>
    <w:rsid w:val="0077542A"/>
    <w:rsid w:val="00777F51"/>
    <w:rsid w:val="007801F5"/>
    <w:rsid w:val="00783274"/>
    <w:rsid w:val="00783A54"/>
    <w:rsid w:val="00783CA4"/>
    <w:rsid w:val="007842FB"/>
    <w:rsid w:val="00785221"/>
    <w:rsid w:val="00786124"/>
    <w:rsid w:val="00786139"/>
    <w:rsid w:val="00786CF4"/>
    <w:rsid w:val="007909F7"/>
    <w:rsid w:val="00790A6C"/>
    <w:rsid w:val="0079514B"/>
    <w:rsid w:val="0079656B"/>
    <w:rsid w:val="00796AC7"/>
    <w:rsid w:val="007971CF"/>
    <w:rsid w:val="007A2DC1"/>
    <w:rsid w:val="007A30DF"/>
    <w:rsid w:val="007A52B1"/>
    <w:rsid w:val="007B18E5"/>
    <w:rsid w:val="007B1E34"/>
    <w:rsid w:val="007B3D1E"/>
    <w:rsid w:val="007B45B0"/>
    <w:rsid w:val="007B4E74"/>
    <w:rsid w:val="007C009B"/>
    <w:rsid w:val="007C10D3"/>
    <w:rsid w:val="007C1194"/>
    <w:rsid w:val="007C14C9"/>
    <w:rsid w:val="007C17EF"/>
    <w:rsid w:val="007C1866"/>
    <w:rsid w:val="007C2800"/>
    <w:rsid w:val="007C4BD4"/>
    <w:rsid w:val="007C5111"/>
    <w:rsid w:val="007C6022"/>
    <w:rsid w:val="007C71C6"/>
    <w:rsid w:val="007D1F1F"/>
    <w:rsid w:val="007D21AD"/>
    <w:rsid w:val="007D3319"/>
    <w:rsid w:val="007D335D"/>
    <w:rsid w:val="007D3F2D"/>
    <w:rsid w:val="007D4DE9"/>
    <w:rsid w:val="007D5C15"/>
    <w:rsid w:val="007D6076"/>
    <w:rsid w:val="007D6147"/>
    <w:rsid w:val="007E2239"/>
    <w:rsid w:val="007E3314"/>
    <w:rsid w:val="007E4B03"/>
    <w:rsid w:val="007E6FC5"/>
    <w:rsid w:val="007E7603"/>
    <w:rsid w:val="007E77B8"/>
    <w:rsid w:val="007F2C49"/>
    <w:rsid w:val="007F324B"/>
    <w:rsid w:val="007F34E3"/>
    <w:rsid w:val="007F377D"/>
    <w:rsid w:val="007F3C91"/>
    <w:rsid w:val="007F42A5"/>
    <w:rsid w:val="007F4985"/>
    <w:rsid w:val="007F54DD"/>
    <w:rsid w:val="0080468F"/>
    <w:rsid w:val="0080553C"/>
    <w:rsid w:val="00805B46"/>
    <w:rsid w:val="008076F3"/>
    <w:rsid w:val="00810ABC"/>
    <w:rsid w:val="00811802"/>
    <w:rsid w:val="008124CF"/>
    <w:rsid w:val="00812CFD"/>
    <w:rsid w:val="00812F75"/>
    <w:rsid w:val="00813AD5"/>
    <w:rsid w:val="0081624D"/>
    <w:rsid w:val="00816A15"/>
    <w:rsid w:val="00817AF8"/>
    <w:rsid w:val="00820B1E"/>
    <w:rsid w:val="00821A68"/>
    <w:rsid w:val="00823C20"/>
    <w:rsid w:val="00824796"/>
    <w:rsid w:val="0082503E"/>
    <w:rsid w:val="008258A8"/>
    <w:rsid w:val="00825DC2"/>
    <w:rsid w:val="00826442"/>
    <w:rsid w:val="00827F8D"/>
    <w:rsid w:val="00831131"/>
    <w:rsid w:val="008321B2"/>
    <w:rsid w:val="00833231"/>
    <w:rsid w:val="008348BF"/>
    <w:rsid w:val="00834AD3"/>
    <w:rsid w:val="00834B13"/>
    <w:rsid w:val="00837334"/>
    <w:rsid w:val="00841F2E"/>
    <w:rsid w:val="008429BF"/>
    <w:rsid w:val="00842EB6"/>
    <w:rsid w:val="00842FC4"/>
    <w:rsid w:val="00843795"/>
    <w:rsid w:val="00843CAA"/>
    <w:rsid w:val="008450E1"/>
    <w:rsid w:val="00845DCE"/>
    <w:rsid w:val="008461B7"/>
    <w:rsid w:val="00846CB0"/>
    <w:rsid w:val="0084759D"/>
    <w:rsid w:val="00847C96"/>
    <w:rsid w:val="00847F0F"/>
    <w:rsid w:val="00851E70"/>
    <w:rsid w:val="00852342"/>
    <w:rsid w:val="00852448"/>
    <w:rsid w:val="0085283D"/>
    <w:rsid w:val="00852E87"/>
    <w:rsid w:val="008543E4"/>
    <w:rsid w:val="00855422"/>
    <w:rsid w:val="00863304"/>
    <w:rsid w:val="00864921"/>
    <w:rsid w:val="00865A20"/>
    <w:rsid w:val="008703D0"/>
    <w:rsid w:val="0087059B"/>
    <w:rsid w:val="00870F49"/>
    <w:rsid w:val="00871F96"/>
    <w:rsid w:val="0087225C"/>
    <w:rsid w:val="0087282F"/>
    <w:rsid w:val="0087457A"/>
    <w:rsid w:val="00875C7A"/>
    <w:rsid w:val="008770E1"/>
    <w:rsid w:val="0088090C"/>
    <w:rsid w:val="008819EE"/>
    <w:rsid w:val="008820C1"/>
    <w:rsid w:val="0088258A"/>
    <w:rsid w:val="00882950"/>
    <w:rsid w:val="00885FD4"/>
    <w:rsid w:val="00886332"/>
    <w:rsid w:val="008865A6"/>
    <w:rsid w:val="008903E1"/>
    <w:rsid w:val="00891952"/>
    <w:rsid w:val="0089293B"/>
    <w:rsid w:val="00893E86"/>
    <w:rsid w:val="00894451"/>
    <w:rsid w:val="0089696C"/>
    <w:rsid w:val="008A0282"/>
    <w:rsid w:val="008A0A62"/>
    <w:rsid w:val="008A1278"/>
    <w:rsid w:val="008A26D9"/>
    <w:rsid w:val="008A38D4"/>
    <w:rsid w:val="008A3C30"/>
    <w:rsid w:val="008A638B"/>
    <w:rsid w:val="008A6E10"/>
    <w:rsid w:val="008B18B8"/>
    <w:rsid w:val="008B1C96"/>
    <w:rsid w:val="008B2072"/>
    <w:rsid w:val="008B28F1"/>
    <w:rsid w:val="008B2C18"/>
    <w:rsid w:val="008B2C5C"/>
    <w:rsid w:val="008B425D"/>
    <w:rsid w:val="008B4361"/>
    <w:rsid w:val="008B53BC"/>
    <w:rsid w:val="008B714D"/>
    <w:rsid w:val="008B72CC"/>
    <w:rsid w:val="008C070A"/>
    <w:rsid w:val="008C0C29"/>
    <w:rsid w:val="008C530D"/>
    <w:rsid w:val="008C5C57"/>
    <w:rsid w:val="008C6F82"/>
    <w:rsid w:val="008C7FB0"/>
    <w:rsid w:val="008D0649"/>
    <w:rsid w:val="008D0DD2"/>
    <w:rsid w:val="008D13FE"/>
    <w:rsid w:val="008D16AE"/>
    <w:rsid w:val="008D53B0"/>
    <w:rsid w:val="008D5686"/>
    <w:rsid w:val="008D771C"/>
    <w:rsid w:val="008D7975"/>
    <w:rsid w:val="008D7A29"/>
    <w:rsid w:val="008D7B71"/>
    <w:rsid w:val="008E16EE"/>
    <w:rsid w:val="008E1B90"/>
    <w:rsid w:val="008E4322"/>
    <w:rsid w:val="008E58A6"/>
    <w:rsid w:val="008E5ADB"/>
    <w:rsid w:val="008E6EB0"/>
    <w:rsid w:val="008E7D6A"/>
    <w:rsid w:val="008F085F"/>
    <w:rsid w:val="008F16DF"/>
    <w:rsid w:val="008F2B1B"/>
    <w:rsid w:val="008F3638"/>
    <w:rsid w:val="008F4441"/>
    <w:rsid w:val="008F472B"/>
    <w:rsid w:val="008F4B7E"/>
    <w:rsid w:val="008F5FCC"/>
    <w:rsid w:val="008F6F31"/>
    <w:rsid w:val="008F74DF"/>
    <w:rsid w:val="009039E8"/>
    <w:rsid w:val="00904252"/>
    <w:rsid w:val="00904259"/>
    <w:rsid w:val="009045C7"/>
    <w:rsid w:val="00907DFD"/>
    <w:rsid w:val="0091061F"/>
    <w:rsid w:val="0091170E"/>
    <w:rsid w:val="009127BA"/>
    <w:rsid w:val="009135F9"/>
    <w:rsid w:val="00915163"/>
    <w:rsid w:val="00915332"/>
    <w:rsid w:val="0091565E"/>
    <w:rsid w:val="00915AD2"/>
    <w:rsid w:val="00915D0D"/>
    <w:rsid w:val="00916CF7"/>
    <w:rsid w:val="00916DA9"/>
    <w:rsid w:val="009203F6"/>
    <w:rsid w:val="00921D51"/>
    <w:rsid w:val="00921E21"/>
    <w:rsid w:val="00921FE7"/>
    <w:rsid w:val="009220AB"/>
    <w:rsid w:val="009227A6"/>
    <w:rsid w:val="00922D1B"/>
    <w:rsid w:val="00923AD2"/>
    <w:rsid w:val="009250D0"/>
    <w:rsid w:val="00927009"/>
    <w:rsid w:val="00927312"/>
    <w:rsid w:val="00930CAE"/>
    <w:rsid w:val="00930CBD"/>
    <w:rsid w:val="00931A70"/>
    <w:rsid w:val="00933EC1"/>
    <w:rsid w:val="00934DF4"/>
    <w:rsid w:val="00935EE5"/>
    <w:rsid w:val="009361FF"/>
    <w:rsid w:val="00936735"/>
    <w:rsid w:val="00937303"/>
    <w:rsid w:val="00937AC0"/>
    <w:rsid w:val="00940058"/>
    <w:rsid w:val="009406FC"/>
    <w:rsid w:val="009408E5"/>
    <w:rsid w:val="00943AAE"/>
    <w:rsid w:val="00944315"/>
    <w:rsid w:val="009450CA"/>
    <w:rsid w:val="00946D55"/>
    <w:rsid w:val="00947024"/>
    <w:rsid w:val="00947F13"/>
    <w:rsid w:val="009530DB"/>
    <w:rsid w:val="00953222"/>
    <w:rsid w:val="009532EE"/>
    <w:rsid w:val="009533BA"/>
    <w:rsid w:val="00953676"/>
    <w:rsid w:val="00953F78"/>
    <w:rsid w:val="009566D4"/>
    <w:rsid w:val="00957A69"/>
    <w:rsid w:val="00957CAD"/>
    <w:rsid w:val="009606CE"/>
    <w:rsid w:val="00960CFD"/>
    <w:rsid w:val="009610EC"/>
    <w:rsid w:val="009612CE"/>
    <w:rsid w:val="00963626"/>
    <w:rsid w:val="0096548B"/>
    <w:rsid w:val="00966079"/>
    <w:rsid w:val="00966732"/>
    <w:rsid w:val="00967878"/>
    <w:rsid w:val="00970513"/>
    <w:rsid w:val="009705EE"/>
    <w:rsid w:val="0097160E"/>
    <w:rsid w:val="00971E20"/>
    <w:rsid w:val="0097315E"/>
    <w:rsid w:val="0097372F"/>
    <w:rsid w:val="0097391E"/>
    <w:rsid w:val="009745A3"/>
    <w:rsid w:val="00975480"/>
    <w:rsid w:val="00977927"/>
    <w:rsid w:val="00980088"/>
    <w:rsid w:val="0098043D"/>
    <w:rsid w:val="009808E5"/>
    <w:rsid w:val="0098135C"/>
    <w:rsid w:val="0098156A"/>
    <w:rsid w:val="009817DF"/>
    <w:rsid w:val="00984F11"/>
    <w:rsid w:val="00986B21"/>
    <w:rsid w:val="009873B5"/>
    <w:rsid w:val="00991BAC"/>
    <w:rsid w:val="009932BD"/>
    <w:rsid w:val="00994B9E"/>
    <w:rsid w:val="00995CFF"/>
    <w:rsid w:val="009A10DC"/>
    <w:rsid w:val="009A28AE"/>
    <w:rsid w:val="009A5B8B"/>
    <w:rsid w:val="009A5D91"/>
    <w:rsid w:val="009A5F43"/>
    <w:rsid w:val="009A6EA0"/>
    <w:rsid w:val="009A7582"/>
    <w:rsid w:val="009B0726"/>
    <w:rsid w:val="009B12C4"/>
    <w:rsid w:val="009B17DB"/>
    <w:rsid w:val="009B2E3B"/>
    <w:rsid w:val="009B384E"/>
    <w:rsid w:val="009B425E"/>
    <w:rsid w:val="009B4B18"/>
    <w:rsid w:val="009B7539"/>
    <w:rsid w:val="009B7827"/>
    <w:rsid w:val="009B7E7E"/>
    <w:rsid w:val="009C1335"/>
    <w:rsid w:val="009C1AB2"/>
    <w:rsid w:val="009C1C64"/>
    <w:rsid w:val="009C23D0"/>
    <w:rsid w:val="009C37AC"/>
    <w:rsid w:val="009C6642"/>
    <w:rsid w:val="009C6C5F"/>
    <w:rsid w:val="009C7251"/>
    <w:rsid w:val="009C72B5"/>
    <w:rsid w:val="009C72FA"/>
    <w:rsid w:val="009D2B07"/>
    <w:rsid w:val="009D54B5"/>
    <w:rsid w:val="009D5A7A"/>
    <w:rsid w:val="009D7715"/>
    <w:rsid w:val="009E1909"/>
    <w:rsid w:val="009E2E91"/>
    <w:rsid w:val="009E31EC"/>
    <w:rsid w:val="009E5248"/>
    <w:rsid w:val="009E60EF"/>
    <w:rsid w:val="009E7834"/>
    <w:rsid w:val="009E7D72"/>
    <w:rsid w:val="009F1CF6"/>
    <w:rsid w:val="009F76DE"/>
    <w:rsid w:val="00A00986"/>
    <w:rsid w:val="00A00EFF"/>
    <w:rsid w:val="00A0125E"/>
    <w:rsid w:val="00A0147D"/>
    <w:rsid w:val="00A01E4A"/>
    <w:rsid w:val="00A04291"/>
    <w:rsid w:val="00A051D5"/>
    <w:rsid w:val="00A06532"/>
    <w:rsid w:val="00A076BB"/>
    <w:rsid w:val="00A07F56"/>
    <w:rsid w:val="00A10611"/>
    <w:rsid w:val="00A123E9"/>
    <w:rsid w:val="00A12D60"/>
    <w:rsid w:val="00A132FF"/>
    <w:rsid w:val="00A139F5"/>
    <w:rsid w:val="00A143C5"/>
    <w:rsid w:val="00A1622C"/>
    <w:rsid w:val="00A16BBA"/>
    <w:rsid w:val="00A176A6"/>
    <w:rsid w:val="00A26C83"/>
    <w:rsid w:val="00A30EC5"/>
    <w:rsid w:val="00A33578"/>
    <w:rsid w:val="00A352D4"/>
    <w:rsid w:val="00A35656"/>
    <w:rsid w:val="00A35B44"/>
    <w:rsid w:val="00A365F4"/>
    <w:rsid w:val="00A36CAA"/>
    <w:rsid w:val="00A3767F"/>
    <w:rsid w:val="00A42831"/>
    <w:rsid w:val="00A444F7"/>
    <w:rsid w:val="00A44AEF"/>
    <w:rsid w:val="00A4661B"/>
    <w:rsid w:val="00A47D80"/>
    <w:rsid w:val="00A50EA8"/>
    <w:rsid w:val="00A51021"/>
    <w:rsid w:val="00A5229F"/>
    <w:rsid w:val="00A53132"/>
    <w:rsid w:val="00A563F2"/>
    <w:rsid w:val="00A566E8"/>
    <w:rsid w:val="00A6122D"/>
    <w:rsid w:val="00A614CE"/>
    <w:rsid w:val="00A61E6A"/>
    <w:rsid w:val="00A6263F"/>
    <w:rsid w:val="00A6467F"/>
    <w:rsid w:val="00A64DD2"/>
    <w:rsid w:val="00A65AD8"/>
    <w:rsid w:val="00A65D2C"/>
    <w:rsid w:val="00A6611B"/>
    <w:rsid w:val="00A7195D"/>
    <w:rsid w:val="00A71C44"/>
    <w:rsid w:val="00A73061"/>
    <w:rsid w:val="00A754C2"/>
    <w:rsid w:val="00A75793"/>
    <w:rsid w:val="00A75A56"/>
    <w:rsid w:val="00A765C8"/>
    <w:rsid w:val="00A810F9"/>
    <w:rsid w:val="00A81144"/>
    <w:rsid w:val="00A821A5"/>
    <w:rsid w:val="00A82590"/>
    <w:rsid w:val="00A83769"/>
    <w:rsid w:val="00A8381F"/>
    <w:rsid w:val="00A83B95"/>
    <w:rsid w:val="00A859CD"/>
    <w:rsid w:val="00A85CFC"/>
    <w:rsid w:val="00A86ECC"/>
    <w:rsid w:val="00A86FCC"/>
    <w:rsid w:val="00A87CEB"/>
    <w:rsid w:val="00A90653"/>
    <w:rsid w:val="00A91795"/>
    <w:rsid w:val="00A92B50"/>
    <w:rsid w:val="00A947BD"/>
    <w:rsid w:val="00A9608A"/>
    <w:rsid w:val="00A96298"/>
    <w:rsid w:val="00AA00BD"/>
    <w:rsid w:val="00AA349A"/>
    <w:rsid w:val="00AA355E"/>
    <w:rsid w:val="00AA43EE"/>
    <w:rsid w:val="00AA4FF2"/>
    <w:rsid w:val="00AA54D6"/>
    <w:rsid w:val="00AA6CC4"/>
    <w:rsid w:val="00AA710D"/>
    <w:rsid w:val="00AB04E6"/>
    <w:rsid w:val="00AB18F2"/>
    <w:rsid w:val="00AB1F50"/>
    <w:rsid w:val="00AB28B7"/>
    <w:rsid w:val="00AB4665"/>
    <w:rsid w:val="00AB50B6"/>
    <w:rsid w:val="00AB6D25"/>
    <w:rsid w:val="00AB7A88"/>
    <w:rsid w:val="00AC062C"/>
    <w:rsid w:val="00AC1843"/>
    <w:rsid w:val="00AC195B"/>
    <w:rsid w:val="00AC1C54"/>
    <w:rsid w:val="00AC28D2"/>
    <w:rsid w:val="00AC43A1"/>
    <w:rsid w:val="00AC5789"/>
    <w:rsid w:val="00AC5A7A"/>
    <w:rsid w:val="00AC61AB"/>
    <w:rsid w:val="00AC6D6F"/>
    <w:rsid w:val="00AD031C"/>
    <w:rsid w:val="00AD12F6"/>
    <w:rsid w:val="00AD3570"/>
    <w:rsid w:val="00AD51AB"/>
    <w:rsid w:val="00AD608D"/>
    <w:rsid w:val="00AD70F7"/>
    <w:rsid w:val="00AE2D4B"/>
    <w:rsid w:val="00AE3EE4"/>
    <w:rsid w:val="00AE4F99"/>
    <w:rsid w:val="00AE6453"/>
    <w:rsid w:val="00AE6C75"/>
    <w:rsid w:val="00AF0A1F"/>
    <w:rsid w:val="00AF1763"/>
    <w:rsid w:val="00AF1DFF"/>
    <w:rsid w:val="00AF22B4"/>
    <w:rsid w:val="00AF2841"/>
    <w:rsid w:val="00AF285F"/>
    <w:rsid w:val="00AF3FA0"/>
    <w:rsid w:val="00AF76F8"/>
    <w:rsid w:val="00B00171"/>
    <w:rsid w:val="00B01D4C"/>
    <w:rsid w:val="00B03CA4"/>
    <w:rsid w:val="00B06716"/>
    <w:rsid w:val="00B07BB1"/>
    <w:rsid w:val="00B1030A"/>
    <w:rsid w:val="00B11B69"/>
    <w:rsid w:val="00B1216A"/>
    <w:rsid w:val="00B13D0E"/>
    <w:rsid w:val="00B13FCA"/>
    <w:rsid w:val="00B14952"/>
    <w:rsid w:val="00B21AF9"/>
    <w:rsid w:val="00B22266"/>
    <w:rsid w:val="00B24778"/>
    <w:rsid w:val="00B253FF"/>
    <w:rsid w:val="00B278CA"/>
    <w:rsid w:val="00B31E5A"/>
    <w:rsid w:val="00B327CC"/>
    <w:rsid w:val="00B33B27"/>
    <w:rsid w:val="00B36C17"/>
    <w:rsid w:val="00B41B6A"/>
    <w:rsid w:val="00B42820"/>
    <w:rsid w:val="00B42CCA"/>
    <w:rsid w:val="00B442F6"/>
    <w:rsid w:val="00B44E41"/>
    <w:rsid w:val="00B465BF"/>
    <w:rsid w:val="00B501BA"/>
    <w:rsid w:val="00B51ED0"/>
    <w:rsid w:val="00B523C0"/>
    <w:rsid w:val="00B53785"/>
    <w:rsid w:val="00B621F4"/>
    <w:rsid w:val="00B6352E"/>
    <w:rsid w:val="00B6485C"/>
    <w:rsid w:val="00B653AB"/>
    <w:rsid w:val="00B65F9E"/>
    <w:rsid w:val="00B66581"/>
    <w:rsid w:val="00B66B19"/>
    <w:rsid w:val="00B674DB"/>
    <w:rsid w:val="00B67A25"/>
    <w:rsid w:val="00B67FE2"/>
    <w:rsid w:val="00B737C5"/>
    <w:rsid w:val="00B73E4F"/>
    <w:rsid w:val="00B74DEA"/>
    <w:rsid w:val="00B753E9"/>
    <w:rsid w:val="00B7774F"/>
    <w:rsid w:val="00B80A27"/>
    <w:rsid w:val="00B81A03"/>
    <w:rsid w:val="00B8228C"/>
    <w:rsid w:val="00B82E80"/>
    <w:rsid w:val="00B858D6"/>
    <w:rsid w:val="00B87AD8"/>
    <w:rsid w:val="00B87DA7"/>
    <w:rsid w:val="00B91069"/>
    <w:rsid w:val="00B914E9"/>
    <w:rsid w:val="00B94143"/>
    <w:rsid w:val="00B942CD"/>
    <w:rsid w:val="00B947F0"/>
    <w:rsid w:val="00B9511F"/>
    <w:rsid w:val="00B956EE"/>
    <w:rsid w:val="00B95AA6"/>
    <w:rsid w:val="00B97ADC"/>
    <w:rsid w:val="00BA036D"/>
    <w:rsid w:val="00BA2BA1"/>
    <w:rsid w:val="00BA2C49"/>
    <w:rsid w:val="00BA30AB"/>
    <w:rsid w:val="00BA3562"/>
    <w:rsid w:val="00BA3D10"/>
    <w:rsid w:val="00BA6B4D"/>
    <w:rsid w:val="00BA6B80"/>
    <w:rsid w:val="00BA6F55"/>
    <w:rsid w:val="00BB0070"/>
    <w:rsid w:val="00BB1DF6"/>
    <w:rsid w:val="00BB2989"/>
    <w:rsid w:val="00BB2996"/>
    <w:rsid w:val="00BB2AC6"/>
    <w:rsid w:val="00BB426F"/>
    <w:rsid w:val="00BB4F09"/>
    <w:rsid w:val="00BB6C98"/>
    <w:rsid w:val="00BB780F"/>
    <w:rsid w:val="00BB7A7A"/>
    <w:rsid w:val="00BC2900"/>
    <w:rsid w:val="00BC30A6"/>
    <w:rsid w:val="00BC3FA4"/>
    <w:rsid w:val="00BC400B"/>
    <w:rsid w:val="00BC62F1"/>
    <w:rsid w:val="00BC701C"/>
    <w:rsid w:val="00BC7B61"/>
    <w:rsid w:val="00BD0114"/>
    <w:rsid w:val="00BD03E1"/>
    <w:rsid w:val="00BD14DD"/>
    <w:rsid w:val="00BD1666"/>
    <w:rsid w:val="00BD1F56"/>
    <w:rsid w:val="00BD27C2"/>
    <w:rsid w:val="00BD3512"/>
    <w:rsid w:val="00BD354E"/>
    <w:rsid w:val="00BD3A8B"/>
    <w:rsid w:val="00BD3E8E"/>
    <w:rsid w:val="00BD4E33"/>
    <w:rsid w:val="00BD5B24"/>
    <w:rsid w:val="00BE0088"/>
    <w:rsid w:val="00BE09A5"/>
    <w:rsid w:val="00BE26BB"/>
    <w:rsid w:val="00BE281D"/>
    <w:rsid w:val="00BE43E9"/>
    <w:rsid w:val="00BE4775"/>
    <w:rsid w:val="00BE5065"/>
    <w:rsid w:val="00BE5565"/>
    <w:rsid w:val="00BE5BD7"/>
    <w:rsid w:val="00BE76EB"/>
    <w:rsid w:val="00BF0285"/>
    <w:rsid w:val="00BF2453"/>
    <w:rsid w:val="00BF3D0C"/>
    <w:rsid w:val="00BF4350"/>
    <w:rsid w:val="00BF5F60"/>
    <w:rsid w:val="00C0050B"/>
    <w:rsid w:val="00C01366"/>
    <w:rsid w:val="00C02AD3"/>
    <w:rsid w:val="00C030DE"/>
    <w:rsid w:val="00C05326"/>
    <w:rsid w:val="00C05654"/>
    <w:rsid w:val="00C05DA1"/>
    <w:rsid w:val="00C0676C"/>
    <w:rsid w:val="00C07114"/>
    <w:rsid w:val="00C07EB3"/>
    <w:rsid w:val="00C11B13"/>
    <w:rsid w:val="00C126B1"/>
    <w:rsid w:val="00C13045"/>
    <w:rsid w:val="00C13389"/>
    <w:rsid w:val="00C1440D"/>
    <w:rsid w:val="00C14E78"/>
    <w:rsid w:val="00C161DF"/>
    <w:rsid w:val="00C1654D"/>
    <w:rsid w:val="00C21252"/>
    <w:rsid w:val="00C21691"/>
    <w:rsid w:val="00C22105"/>
    <w:rsid w:val="00C22B9A"/>
    <w:rsid w:val="00C23993"/>
    <w:rsid w:val="00C244B6"/>
    <w:rsid w:val="00C24C3F"/>
    <w:rsid w:val="00C27963"/>
    <w:rsid w:val="00C3006A"/>
    <w:rsid w:val="00C30CCF"/>
    <w:rsid w:val="00C323D2"/>
    <w:rsid w:val="00C355B6"/>
    <w:rsid w:val="00C3702F"/>
    <w:rsid w:val="00C41A10"/>
    <w:rsid w:val="00C426FA"/>
    <w:rsid w:val="00C42999"/>
    <w:rsid w:val="00C42FE4"/>
    <w:rsid w:val="00C430E3"/>
    <w:rsid w:val="00C4316D"/>
    <w:rsid w:val="00C4500A"/>
    <w:rsid w:val="00C45DC4"/>
    <w:rsid w:val="00C50E45"/>
    <w:rsid w:val="00C5110E"/>
    <w:rsid w:val="00C53AAE"/>
    <w:rsid w:val="00C552A9"/>
    <w:rsid w:val="00C55CC2"/>
    <w:rsid w:val="00C5671C"/>
    <w:rsid w:val="00C60FAD"/>
    <w:rsid w:val="00C61B6E"/>
    <w:rsid w:val="00C64A37"/>
    <w:rsid w:val="00C65124"/>
    <w:rsid w:val="00C6736F"/>
    <w:rsid w:val="00C70F26"/>
    <w:rsid w:val="00C7158E"/>
    <w:rsid w:val="00C7250B"/>
    <w:rsid w:val="00C72984"/>
    <w:rsid w:val="00C72DDF"/>
    <w:rsid w:val="00C7346B"/>
    <w:rsid w:val="00C76A37"/>
    <w:rsid w:val="00C76E14"/>
    <w:rsid w:val="00C77C0E"/>
    <w:rsid w:val="00C80003"/>
    <w:rsid w:val="00C80D78"/>
    <w:rsid w:val="00C81759"/>
    <w:rsid w:val="00C8572F"/>
    <w:rsid w:val="00C85934"/>
    <w:rsid w:val="00C91048"/>
    <w:rsid w:val="00C91687"/>
    <w:rsid w:val="00C916A8"/>
    <w:rsid w:val="00C91736"/>
    <w:rsid w:val="00C92398"/>
    <w:rsid w:val="00C924A8"/>
    <w:rsid w:val="00C945FE"/>
    <w:rsid w:val="00C94AC3"/>
    <w:rsid w:val="00C9696B"/>
    <w:rsid w:val="00C96B98"/>
    <w:rsid w:val="00C96FAA"/>
    <w:rsid w:val="00C97670"/>
    <w:rsid w:val="00C97680"/>
    <w:rsid w:val="00C97A04"/>
    <w:rsid w:val="00C97A54"/>
    <w:rsid w:val="00C97B14"/>
    <w:rsid w:val="00CA107B"/>
    <w:rsid w:val="00CA1323"/>
    <w:rsid w:val="00CA1513"/>
    <w:rsid w:val="00CA1EA1"/>
    <w:rsid w:val="00CA27D5"/>
    <w:rsid w:val="00CA2CC0"/>
    <w:rsid w:val="00CA2D5C"/>
    <w:rsid w:val="00CA2DC4"/>
    <w:rsid w:val="00CA3D1A"/>
    <w:rsid w:val="00CA438E"/>
    <w:rsid w:val="00CA484D"/>
    <w:rsid w:val="00CA4FB6"/>
    <w:rsid w:val="00CA78CE"/>
    <w:rsid w:val="00CB0AB0"/>
    <w:rsid w:val="00CB0D13"/>
    <w:rsid w:val="00CB3139"/>
    <w:rsid w:val="00CB3462"/>
    <w:rsid w:val="00CB3EDE"/>
    <w:rsid w:val="00CB72E3"/>
    <w:rsid w:val="00CC0A73"/>
    <w:rsid w:val="00CC1B57"/>
    <w:rsid w:val="00CC1C44"/>
    <w:rsid w:val="00CC2E02"/>
    <w:rsid w:val="00CC5B09"/>
    <w:rsid w:val="00CC60CB"/>
    <w:rsid w:val="00CC739E"/>
    <w:rsid w:val="00CD1AD0"/>
    <w:rsid w:val="00CD1B06"/>
    <w:rsid w:val="00CD36BB"/>
    <w:rsid w:val="00CD40C1"/>
    <w:rsid w:val="00CD46CC"/>
    <w:rsid w:val="00CD49E4"/>
    <w:rsid w:val="00CD50B0"/>
    <w:rsid w:val="00CD579C"/>
    <w:rsid w:val="00CD58B7"/>
    <w:rsid w:val="00CD63AF"/>
    <w:rsid w:val="00CD6FC2"/>
    <w:rsid w:val="00CD7CBE"/>
    <w:rsid w:val="00CE19E2"/>
    <w:rsid w:val="00CE2515"/>
    <w:rsid w:val="00CE48A5"/>
    <w:rsid w:val="00CE49B9"/>
    <w:rsid w:val="00CE4F79"/>
    <w:rsid w:val="00CF225E"/>
    <w:rsid w:val="00CF2C5D"/>
    <w:rsid w:val="00CF4099"/>
    <w:rsid w:val="00CF5F62"/>
    <w:rsid w:val="00CF79E7"/>
    <w:rsid w:val="00CF7AE7"/>
    <w:rsid w:val="00D005AF"/>
    <w:rsid w:val="00D00796"/>
    <w:rsid w:val="00D02414"/>
    <w:rsid w:val="00D0260F"/>
    <w:rsid w:val="00D03B83"/>
    <w:rsid w:val="00D04621"/>
    <w:rsid w:val="00D0496E"/>
    <w:rsid w:val="00D04EBE"/>
    <w:rsid w:val="00D07D66"/>
    <w:rsid w:val="00D10074"/>
    <w:rsid w:val="00D10828"/>
    <w:rsid w:val="00D10ED4"/>
    <w:rsid w:val="00D11956"/>
    <w:rsid w:val="00D11A44"/>
    <w:rsid w:val="00D13E4E"/>
    <w:rsid w:val="00D207DA"/>
    <w:rsid w:val="00D20ACD"/>
    <w:rsid w:val="00D211B2"/>
    <w:rsid w:val="00D21F8B"/>
    <w:rsid w:val="00D23AD5"/>
    <w:rsid w:val="00D261A2"/>
    <w:rsid w:val="00D2676A"/>
    <w:rsid w:val="00D26AE6"/>
    <w:rsid w:val="00D308D3"/>
    <w:rsid w:val="00D32E6F"/>
    <w:rsid w:val="00D372D3"/>
    <w:rsid w:val="00D378CD"/>
    <w:rsid w:val="00D416FD"/>
    <w:rsid w:val="00D420A5"/>
    <w:rsid w:val="00D421EA"/>
    <w:rsid w:val="00D45820"/>
    <w:rsid w:val="00D50AFC"/>
    <w:rsid w:val="00D53E46"/>
    <w:rsid w:val="00D55305"/>
    <w:rsid w:val="00D616D2"/>
    <w:rsid w:val="00D62353"/>
    <w:rsid w:val="00D62C79"/>
    <w:rsid w:val="00D63B5F"/>
    <w:rsid w:val="00D6498D"/>
    <w:rsid w:val="00D64E4C"/>
    <w:rsid w:val="00D66167"/>
    <w:rsid w:val="00D6678B"/>
    <w:rsid w:val="00D6759F"/>
    <w:rsid w:val="00D7064E"/>
    <w:rsid w:val="00D708BA"/>
    <w:rsid w:val="00D70EF7"/>
    <w:rsid w:val="00D71767"/>
    <w:rsid w:val="00D72FF9"/>
    <w:rsid w:val="00D73EF2"/>
    <w:rsid w:val="00D74406"/>
    <w:rsid w:val="00D747A6"/>
    <w:rsid w:val="00D74D8D"/>
    <w:rsid w:val="00D74F52"/>
    <w:rsid w:val="00D74FF6"/>
    <w:rsid w:val="00D759DB"/>
    <w:rsid w:val="00D76548"/>
    <w:rsid w:val="00D80DF7"/>
    <w:rsid w:val="00D8397C"/>
    <w:rsid w:val="00D84331"/>
    <w:rsid w:val="00D86597"/>
    <w:rsid w:val="00D86A1A"/>
    <w:rsid w:val="00D8763F"/>
    <w:rsid w:val="00D900C3"/>
    <w:rsid w:val="00D90A76"/>
    <w:rsid w:val="00D916DD"/>
    <w:rsid w:val="00D93098"/>
    <w:rsid w:val="00D93CC6"/>
    <w:rsid w:val="00D94786"/>
    <w:rsid w:val="00D94EED"/>
    <w:rsid w:val="00D94F67"/>
    <w:rsid w:val="00D96026"/>
    <w:rsid w:val="00D966BB"/>
    <w:rsid w:val="00D96B1F"/>
    <w:rsid w:val="00D9778C"/>
    <w:rsid w:val="00D97A50"/>
    <w:rsid w:val="00D97B5B"/>
    <w:rsid w:val="00D97E45"/>
    <w:rsid w:val="00DA0158"/>
    <w:rsid w:val="00DA01A1"/>
    <w:rsid w:val="00DA73C2"/>
    <w:rsid w:val="00DA7C1C"/>
    <w:rsid w:val="00DB08FA"/>
    <w:rsid w:val="00DB0AA3"/>
    <w:rsid w:val="00DB147A"/>
    <w:rsid w:val="00DB1B7A"/>
    <w:rsid w:val="00DB1B98"/>
    <w:rsid w:val="00DB2846"/>
    <w:rsid w:val="00DB2D88"/>
    <w:rsid w:val="00DB31CD"/>
    <w:rsid w:val="00DB383A"/>
    <w:rsid w:val="00DB678A"/>
    <w:rsid w:val="00DB6D01"/>
    <w:rsid w:val="00DC169A"/>
    <w:rsid w:val="00DC25E5"/>
    <w:rsid w:val="00DC5D4F"/>
    <w:rsid w:val="00DC6708"/>
    <w:rsid w:val="00DC7E62"/>
    <w:rsid w:val="00DD1B62"/>
    <w:rsid w:val="00DD2B92"/>
    <w:rsid w:val="00DD2D66"/>
    <w:rsid w:val="00DD400B"/>
    <w:rsid w:val="00DD50B2"/>
    <w:rsid w:val="00DD599A"/>
    <w:rsid w:val="00DE0294"/>
    <w:rsid w:val="00DE2961"/>
    <w:rsid w:val="00DE45E1"/>
    <w:rsid w:val="00DE689A"/>
    <w:rsid w:val="00DE73F8"/>
    <w:rsid w:val="00DE74E8"/>
    <w:rsid w:val="00DF0476"/>
    <w:rsid w:val="00DF12CC"/>
    <w:rsid w:val="00DF1D64"/>
    <w:rsid w:val="00DF3260"/>
    <w:rsid w:val="00DF5CE0"/>
    <w:rsid w:val="00DF6BD7"/>
    <w:rsid w:val="00DF6BF1"/>
    <w:rsid w:val="00E00094"/>
    <w:rsid w:val="00E000FC"/>
    <w:rsid w:val="00E00A12"/>
    <w:rsid w:val="00E01201"/>
    <w:rsid w:val="00E01436"/>
    <w:rsid w:val="00E03567"/>
    <w:rsid w:val="00E045BD"/>
    <w:rsid w:val="00E049C6"/>
    <w:rsid w:val="00E06B8C"/>
    <w:rsid w:val="00E0790D"/>
    <w:rsid w:val="00E10EE2"/>
    <w:rsid w:val="00E10F24"/>
    <w:rsid w:val="00E15D82"/>
    <w:rsid w:val="00E16807"/>
    <w:rsid w:val="00E16CAC"/>
    <w:rsid w:val="00E17B77"/>
    <w:rsid w:val="00E17FC1"/>
    <w:rsid w:val="00E20597"/>
    <w:rsid w:val="00E20D1F"/>
    <w:rsid w:val="00E23337"/>
    <w:rsid w:val="00E238A2"/>
    <w:rsid w:val="00E259EA"/>
    <w:rsid w:val="00E26FB9"/>
    <w:rsid w:val="00E27F31"/>
    <w:rsid w:val="00E31A6A"/>
    <w:rsid w:val="00E32061"/>
    <w:rsid w:val="00E3221A"/>
    <w:rsid w:val="00E32C42"/>
    <w:rsid w:val="00E355B5"/>
    <w:rsid w:val="00E36281"/>
    <w:rsid w:val="00E362E0"/>
    <w:rsid w:val="00E3796A"/>
    <w:rsid w:val="00E37D26"/>
    <w:rsid w:val="00E40FBA"/>
    <w:rsid w:val="00E416E1"/>
    <w:rsid w:val="00E42FF9"/>
    <w:rsid w:val="00E438CB"/>
    <w:rsid w:val="00E4714C"/>
    <w:rsid w:val="00E50798"/>
    <w:rsid w:val="00E50E07"/>
    <w:rsid w:val="00E517C5"/>
    <w:rsid w:val="00E51AEB"/>
    <w:rsid w:val="00E51DE2"/>
    <w:rsid w:val="00E522A7"/>
    <w:rsid w:val="00E526C7"/>
    <w:rsid w:val="00E5291B"/>
    <w:rsid w:val="00E5377B"/>
    <w:rsid w:val="00E53E16"/>
    <w:rsid w:val="00E53FF5"/>
    <w:rsid w:val="00E54452"/>
    <w:rsid w:val="00E562B8"/>
    <w:rsid w:val="00E61701"/>
    <w:rsid w:val="00E631BC"/>
    <w:rsid w:val="00E63C17"/>
    <w:rsid w:val="00E63FE5"/>
    <w:rsid w:val="00E64706"/>
    <w:rsid w:val="00E64AAF"/>
    <w:rsid w:val="00E664C5"/>
    <w:rsid w:val="00E66BF7"/>
    <w:rsid w:val="00E66E1B"/>
    <w:rsid w:val="00E671A2"/>
    <w:rsid w:val="00E6794C"/>
    <w:rsid w:val="00E707DE"/>
    <w:rsid w:val="00E7168D"/>
    <w:rsid w:val="00E71E3D"/>
    <w:rsid w:val="00E72312"/>
    <w:rsid w:val="00E73EE9"/>
    <w:rsid w:val="00E748C4"/>
    <w:rsid w:val="00E7539D"/>
    <w:rsid w:val="00E76D26"/>
    <w:rsid w:val="00E814EF"/>
    <w:rsid w:val="00E82F7C"/>
    <w:rsid w:val="00E84AD2"/>
    <w:rsid w:val="00E84C47"/>
    <w:rsid w:val="00E854D1"/>
    <w:rsid w:val="00E85D69"/>
    <w:rsid w:val="00E85DA2"/>
    <w:rsid w:val="00E86100"/>
    <w:rsid w:val="00E864E6"/>
    <w:rsid w:val="00E87AD4"/>
    <w:rsid w:val="00E903ED"/>
    <w:rsid w:val="00E9094D"/>
    <w:rsid w:val="00E9220D"/>
    <w:rsid w:val="00E92973"/>
    <w:rsid w:val="00E92C0F"/>
    <w:rsid w:val="00E94F8E"/>
    <w:rsid w:val="00EA21A9"/>
    <w:rsid w:val="00EA78F1"/>
    <w:rsid w:val="00EA7E93"/>
    <w:rsid w:val="00EA7F46"/>
    <w:rsid w:val="00EB1390"/>
    <w:rsid w:val="00EB1E1E"/>
    <w:rsid w:val="00EB2100"/>
    <w:rsid w:val="00EB25C1"/>
    <w:rsid w:val="00EB2900"/>
    <w:rsid w:val="00EB2C71"/>
    <w:rsid w:val="00EB3031"/>
    <w:rsid w:val="00EB3C57"/>
    <w:rsid w:val="00EB4340"/>
    <w:rsid w:val="00EB54E0"/>
    <w:rsid w:val="00EB556D"/>
    <w:rsid w:val="00EB5A7D"/>
    <w:rsid w:val="00EB614A"/>
    <w:rsid w:val="00EB6A0B"/>
    <w:rsid w:val="00EB6C74"/>
    <w:rsid w:val="00EB77CF"/>
    <w:rsid w:val="00EC0AC3"/>
    <w:rsid w:val="00EC0BA7"/>
    <w:rsid w:val="00EC2182"/>
    <w:rsid w:val="00EC21BF"/>
    <w:rsid w:val="00EC2382"/>
    <w:rsid w:val="00EC2474"/>
    <w:rsid w:val="00EC2B84"/>
    <w:rsid w:val="00EC36F0"/>
    <w:rsid w:val="00EC3B99"/>
    <w:rsid w:val="00EC3EB9"/>
    <w:rsid w:val="00EC4DA5"/>
    <w:rsid w:val="00EC5781"/>
    <w:rsid w:val="00EC6A27"/>
    <w:rsid w:val="00EC7D51"/>
    <w:rsid w:val="00ED18FD"/>
    <w:rsid w:val="00ED1BB0"/>
    <w:rsid w:val="00ED2A63"/>
    <w:rsid w:val="00ED51A0"/>
    <w:rsid w:val="00ED51DF"/>
    <w:rsid w:val="00ED55C0"/>
    <w:rsid w:val="00ED682B"/>
    <w:rsid w:val="00EE16D3"/>
    <w:rsid w:val="00EE1AC8"/>
    <w:rsid w:val="00EE36F8"/>
    <w:rsid w:val="00EE41D5"/>
    <w:rsid w:val="00EE4AE5"/>
    <w:rsid w:val="00EE5874"/>
    <w:rsid w:val="00EE59EA"/>
    <w:rsid w:val="00EE7EB1"/>
    <w:rsid w:val="00EF04BC"/>
    <w:rsid w:val="00EF11EF"/>
    <w:rsid w:val="00EF1B0C"/>
    <w:rsid w:val="00EF1C78"/>
    <w:rsid w:val="00EF1EEF"/>
    <w:rsid w:val="00EF2BC7"/>
    <w:rsid w:val="00EF4761"/>
    <w:rsid w:val="00EF4E5C"/>
    <w:rsid w:val="00EF51EB"/>
    <w:rsid w:val="00EF53F1"/>
    <w:rsid w:val="00EF579F"/>
    <w:rsid w:val="00EF7A13"/>
    <w:rsid w:val="00EF7B1E"/>
    <w:rsid w:val="00F037A4"/>
    <w:rsid w:val="00F03BDD"/>
    <w:rsid w:val="00F04B9E"/>
    <w:rsid w:val="00F05181"/>
    <w:rsid w:val="00F10BBB"/>
    <w:rsid w:val="00F1199B"/>
    <w:rsid w:val="00F1434E"/>
    <w:rsid w:val="00F16478"/>
    <w:rsid w:val="00F16784"/>
    <w:rsid w:val="00F176AB"/>
    <w:rsid w:val="00F178A1"/>
    <w:rsid w:val="00F20111"/>
    <w:rsid w:val="00F233AF"/>
    <w:rsid w:val="00F234A2"/>
    <w:rsid w:val="00F236EE"/>
    <w:rsid w:val="00F25FBF"/>
    <w:rsid w:val="00F264D7"/>
    <w:rsid w:val="00F27C8F"/>
    <w:rsid w:val="00F27FEE"/>
    <w:rsid w:val="00F31E89"/>
    <w:rsid w:val="00F32749"/>
    <w:rsid w:val="00F32D49"/>
    <w:rsid w:val="00F341BF"/>
    <w:rsid w:val="00F343F7"/>
    <w:rsid w:val="00F3604F"/>
    <w:rsid w:val="00F37172"/>
    <w:rsid w:val="00F37E16"/>
    <w:rsid w:val="00F4226B"/>
    <w:rsid w:val="00F43E5C"/>
    <w:rsid w:val="00F4477E"/>
    <w:rsid w:val="00F45A1E"/>
    <w:rsid w:val="00F46339"/>
    <w:rsid w:val="00F50C6E"/>
    <w:rsid w:val="00F51EA1"/>
    <w:rsid w:val="00F575EC"/>
    <w:rsid w:val="00F629DA"/>
    <w:rsid w:val="00F62BC1"/>
    <w:rsid w:val="00F635A8"/>
    <w:rsid w:val="00F64364"/>
    <w:rsid w:val="00F644A1"/>
    <w:rsid w:val="00F645ED"/>
    <w:rsid w:val="00F67474"/>
    <w:rsid w:val="00F67D8F"/>
    <w:rsid w:val="00F71055"/>
    <w:rsid w:val="00F72C1D"/>
    <w:rsid w:val="00F74691"/>
    <w:rsid w:val="00F75745"/>
    <w:rsid w:val="00F76027"/>
    <w:rsid w:val="00F76357"/>
    <w:rsid w:val="00F802BE"/>
    <w:rsid w:val="00F806A8"/>
    <w:rsid w:val="00F80E19"/>
    <w:rsid w:val="00F80E93"/>
    <w:rsid w:val="00F81573"/>
    <w:rsid w:val="00F82943"/>
    <w:rsid w:val="00F82FB6"/>
    <w:rsid w:val="00F84063"/>
    <w:rsid w:val="00F86024"/>
    <w:rsid w:val="00F8611A"/>
    <w:rsid w:val="00F879E2"/>
    <w:rsid w:val="00F90B4F"/>
    <w:rsid w:val="00F944C9"/>
    <w:rsid w:val="00F94E26"/>
    <w:rsid w:val="00F95F1B"/>
    <w:rsid w:val="00FA34A0"/>
    <w:rsid w:val="00FA3744"/>
    <w:rsid w:val="00FA3FAE"/>
    <w:rsid w:val="00FA4A87"/>
    <w:rsid w:val="00FA4EBE"/>
    <w:rsid w:val="00FA5128"/>
    <w:rsid w:val="00FA5167"/>
    <w:rsid w:val="00FA7CAE"/>
    <w:rsid w:val="00FB04E5"/>
    <w:rsid w:val="00FB0CE4"/>
    <w:rsid w:val="00FB294F"/>
    <w:rsid w:val="00FB2D78"/>
    <w:rsid w:val="00FB3BFD"/>
    <w:rsid w:val="00FB4036"/>
    <w:rsid w:val="00FB42D4"/>
    <w:rsid w:val="00FB4516"/>
    <w:rsid w:val="00FB534A"/>
    <w:rsid w:val="00FB5906"/>
    <w:rsid w:val="00FB5BE1"/>
    <w:rsid w:val="00FB762F"/>
    <w:rsid w:val="00FC0395"/>
    <w:rsid w:val="00FC1EF7"/>
    <w:rsid w:val="00FC2023"/>
    <w:rsid w:val="00FC2175"/>
    <w:rsid w:val="00FC2AED"/>
    <w:rsid w:val="00FC3D1F"/>
    <w:rsid w:val="00FC4F38"/>
    <w:rsid w:val="00FC517E"/>
    <w:rsid w:val="00FC7913"/>
    <w:rsid w:val="00FD325A"/>
    <w:rsid w:val="00FD3B8F"/>
    <w:rsid w:val="00FD3FB4"/>
    <w:rsid w:val="00FD4980"/>
    <w:rsid w:val="00FD5B33"/>
    <w:rsid w:val="00FD5EA7"/>
    <w:rsid w:val="00FD6604"/>
    <w:rsid w:val="00FE1C7D"/>
    <w:rsid w:val="00FE1F76"/>
    <w:rsid w:val="00FE36D5"/>
    <w:rsid w:val="00FE3C70"/>
    <w:rsid w:val="00FE4D2F"/>
    <w:rsid w:val="00FE6530"/>
    <w:rsid w:val="00FF1140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2D46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46AE8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C20F0"/>
    <w:pPr>
      <w:spacing w:after="0" w:line="240" w:lineRule="auto"/>
    </w:pPr>
    <w:rPr>
      <w:rFonts w:ascii="Fira Sans" w:hAnsi="Fira Sans"/>
      <w:sz w:val="19"/>
    </w:rPr>
  </w:style>
  <w:style w:type="paragraph" w:customStyle="1" w:styleId="Ikonawskanika">
    <w:name w:val="Ikona wskaźnika"/>
    <w:basedOn w:val="Normalny"/>
    <w:link w:val="IkonawskanikaZnak"/>
    <w:qFormat/>
    <w:rsid w:val="007D3F2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7D3F2D"/>
    <w:rPr>
      <w:rFonts w:ascii="Fira Sans SemiBold" w:hAnsi="Fira Sans SemiBold"/>
      <w:color w:val="66AFDE"/>
      <w:sz w:val="60"/>
      <w:szCs w:val="6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285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1F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1F6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1F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7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7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778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7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778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6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tablicy">
    <w:name w:val="Tytuł tablicy"/>
    <w:basedOn w:val="Nagwek1"/>
    <w:link w:val="TytutablicyZnak"/>
    <w:qFormat/>
    <w:rsid w:val="004A60E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4A60E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0116C"/>
    <w:rPr>
      <w:color w:val="605E5C"/>
      <w:shd w:val="clear" w:color="auto" w:fill="E1DFDD"/>
    </w:rPr>
  </w:style>
  <w:style w:type="character" w:customStyle="1" w:styleId="vkekvd">
    <w:name w:val="vkekvd"/>
    <w:basedOn w:val="Domylnaczcionkaakapitu"/>
    <w:rsid w:val="009220AB"/>
  </w:style>
  <w:style w:type="paragraph" w:styleId="NormalnyWeb">
    <w:name w:val="Normal (Web)"/>
    <w:basedOn w:val="Normalny"/>
    <w:uiPriority w:val="99"/>
    <w:semiHidden/>
    <w:unhideWhenUsed/>
    <w:rsid w:val="003750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t286pc">
    <w:name w:val="t286pc"/>
    <w:basedOn w:val="Domylnaczcionkaakapitu"/>
    <w:rsid w:val="006A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image" Target="media/image13.png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29" Type="http://schemas.openxmlformats.org/officeDocument/2006/relationships/hyperlink" Target="https://publikacje.new.stat.gov.pl/portal-publikacje/dochody-i-warunki-zycia-ludnosci-polski-raport-z-badania-eu-silc-202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hyperlink" Target="https://stat.gov.pl/metainformacje/slownik-pojec/pojecia-stosowane-w-statystyce-publicznej/3073,pojecie.html" TargetMode="External"/><Relationship Id="rId37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s://badania-ankietowe.stat.gov.pl/kategoria/1/badanie/58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73995C1A8BE469F1A00343CCDDA33" ma:contentTypeVersion="7" ma:contentTypeDescription="Utwórz nowy dokument." ma:contentTypeScope="" ma:versionID="7871ddd2aee2a5f69ad733bb5125d043">
  <xsd:schema xmlns:xsd="http://www.w3.org/2001/XMLSchema" xmlns:xs="http://www.w3.org/2001/XMLSchema" xmlns:p="http://schemas.microsoft.com/office/2006/metadata/properties" xmlns:ns2="http://schemas.microsoft.com/sharepoint/v3/fields" xmlns:ns3="044b8e35-bece-49ff-aeb3-9f5d3f4329b3" targetNamespace="http://schemas.microsoft.com/office/2006/metadata/properties" ma:root="true" ma:fieldsID="bee52a4a3d34607da501a3c1a457acde" ns2:_="" ns3:_="">
    <xsd:import namespace="http://schemas.microsoft.com/sharepoint/v3/fields"/>
    <xsd:import namespace="044b8e35-bece-49ff-aeb3-9f5d3f4329b3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2:_Version" minOccurs="0"/>
                <xsd:element ref="ns3:Temat" minOccurs="0"/>
                <xsd:element ref="ns3:Departament_x002f_Instytuc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a modyfikacji" ma:default="" ma:description="Data ostatniej modyfikacji tego zasobu" ma:format="DateTime" ma:internalName="_DCDateModified">
      <xsd:simpleType>
        <xsd:restriction base="dms:DateTime"/>
      </xsd:simpleType>
    </xsd:element>
    <xsd:element name="_Version" ma:index="9" nillable="true" ma:displayName="Wersja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b8e35-bece-49ff-aeb3-9f5d3f4329b3" elementFormDefault="qualified">
    <xsd:import namespace="http://schemas.microsoft.com/office/2006/documentManagement/types"/>
    <xsd:import namespace="http://schemas.microsoft.com/office/infopath/2007/PartnerControls"/>
    <xsd:element name="Temat" ma:index="10" nillable="true" ma:displayName="Temat" ma:internalName="Temat">
      <xsd:simpleType>
        <xsd:restriction base="dms:Text">
          <xsd:maxLength value="255"/>
        </xsd:restriction>
      </xsd:simpleType>
    </xsd:element>
    <xsd:element name="Departament_x002f_Instytucja" ma:index="11" nillable="true" ma:displayName="Dep/Inst" ma:default="PK" ma:format="Dropdown" ma:internalName="Departament_x002f_Instytucja">
      <xsd:simpleType>
        <xsd:union memberTypes="dms:Text">
          <xsd:simpleType>
            <xsd:restriction base="dms:Choice">
              <xsd:enumeration value="AZ"/>
              <xsd:enumeration value="BAK"/>
              <xsd:enumeration value="BD"/>
              <xsd:enumeration value="BDG"/>
              <xsd:enumeration value="BOK"/>
              <xsd:enumeration value="BR"/>
              <xsd:enumeration value="BR"/>
              <xsd:enumeration value="BS"/>
              <xsd:enumeration value="DI"/>
              <xsd:enumeration value="DP"/>
              <xsd:enumeration value="DR"/>
              <xsd:enumeration value="GP"/>
              <xsd:enumeration value="HU"/>
              <xsd:enumeration value="MS"/>
              <xsd:enumeration value="PK"/>
              <xsd:enumeration value="PR"/>
              <xsd:enumeration value="PZ"/>
              <xsd:enumeration value="RN"/>
              <xsd:enumeration value="SM"/>
              <xsd:enumeration value="WM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CDateModified xmlns="http://schemas.microsoft.com/sharepoint/v3/fields" xsi:nil="true"/>
    <Departament_x002f_Instytucja xmlns="044b8e35-bece-49ff-aeb3-9f5d3f4329b3">PK</Departament_x002f_Instytucja>
    <Temat xmlns="044b8e35-bece-49ff-aeb3-9f5d3f4329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AAFE-12B0-4AF3-9F8D-C59ADE9459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870152-BDAC-4979-B873-545DD36E7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44b8e35-bece-49ff-aeb3-9f5d3f432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44b8e35-bece-49ff-aeb3-9f5d3f4329b3"/>
  </ds:schemaRefs>
</ds:datastoreItem>
</file>

<file path=customXml/itemProps4.xml><?xml version="1.0" encoding="utf-8"?>
<ds:datastoreItem xmlns:ds="http://schemas.openxmlformats.org/officeDocument/2006/customXml" ds:itemID="{C9326D0F-4F86-4475-90BF-BD88E58C7C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1F8F04-0D08-442A-8155-96AFDA8B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3223</Words>
  <Characters>19341</Characters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życia - deprywacja materialna i społeczna w 2025 r.</dc:title>
  <dc:subject/>
  <dc:creator>Główny Urząd Statystyczny</dc:creator>
  <cp:keywords/>
  <dc:description/>
  <cp:lastPrinted>2026-03-24T18:29:00Z</cp:lastPrinted>
  <dcterms:created xsi:type="dcterms:W3CDTF">2026-03-25T07:55:00Z</dcterms:created>
  <dcterms:modified xsi:type="dcterms:W3CDTF">2026-03-27T12:29:00Z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0x010100F7773995C1A8BE469F1A00343CCDDA33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dlc_Exempt">
    <vt:bool>false</vt:bool>
  </property>
  <property fmtid="{D5CDD505-2E9C-101B-9397-08002B2CF9AE}" pid="6" name="TemplateUrl">
    <vt:lpwstr/>
  </property>
</Properties>
</file>