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DE4FC" w14:textId="49DB0B7D" w:rsidR="00393761" w:rsidRPr="00A41CBB" w:rsidRDefault="009C58FF" w:rsidP="009C58FF">
      <w:pPr>
        <w:pStyle w:val="Tytuinfomacjisygnalnej"/>
        <w:rPr>
          <w:szCs w:val="40"/>
        </w:rPr>
      </w:pPr>
      <w:r w:rsidRPr="00A41CBB">
        <w:rPr>
          <w:szCs w:val="40"/>
        </w:rPr>
        <w:t>Wyniki fin</w:t>
      </w:r>
      <w:r w:rsidR="006B1976" w:rsidRPr="00A41CBB">
        <w:rPr>
          <w:szCs w:val="40"/>
        </w:rPr>
        <w:t>ansowe przedsiębiorstw</w:t>
      </w:r>
      <w:r w:rsidR="00A7575C" w:rsidRPr="00A41CBB">
        <w:rPr>
          <w:rStyle w:val="Odwoanieprzypisudolnego"/>
          <w:szCs w:val="40"/>
        </w:rPr>
        <w:footnoteReference w:id="1"/>
      </w:r>
      <w:r w:rsidR="006B1976" w:rsidRPr="00A41CBB">
        <w:rPr>
          <w:szCs w:val="40"/>
        </w:rPr>
        <w:t xml:space="preserve"> </w:t>
      </w:r>
      <w:r w:rsidR="00362FF7" w:rsidRPr="00A41CBB">
        <w:rPr>
          <w:szCs w:val="40"/>
        </w:rPr>
        <w:br/>
      </w:r>
      <w:r w:rsidR="00523AD1" w:rsidRPr="00A41CBB">
        <w:rPr>
          <w:szCs w:val="40"/>
        </w:rPr>
        <w:t>w</w:t>
      </w:r>
      <w:r w:rsidR="002B7F83" w:rsidRPr="00A41CBB">
        <w:rPr>
          <w:szCs w:val="40"/>
        </w:rPr>
        <w:t xml:space="preserve"> </w:t>
      </w:r>
      <w:r w:rsidR="004544DB" w:rsidRPr="00A41CBB">
        <w:rPr>
          <w:szCs w:val="40"/>
        </w:rPr>
        <w:t>202</w:t>
      </w:r>
      <w:r w:rsidR="00781964" w:rsidRPr="00A41CBB">
        <w:rPr>
          <w:szCs w:val="40"/>
        </w:rPr>
        <w:t>5</w:t>
      </w:r>
      <w:r w:rsidRPr="00A41CBB">
        <w:rPr>
          <w:szCs w:val="40"/>
        </w:rPr>
        <w:t xml:space="preserve"> r</w:t>
      </w:r>
      <w:r w:rsidR="00184BE9" w:rsidRPr="00A41CBB">
        <w:rPr>
          <w:szCs w:val="40"/>
        </w:rPr>
        <w:t>.</w:t>
      </w:r>
      <w:r w:rsidR="00364AF9" w:rsidRPr="00A41CBB">
        <w:rPr>
          <w:szCs w:val="40"/>
        </w:rPr>
        <w:tab/>
      </w:r>
    </w:p>
    <w:p w14:paraId="2FD03622" w14:textId="19B4808D" w:rsidR="00750A44" w:rsidRPr="00A41CBB" w:rsidRDefault="00731D27" w:rsidP="002701D8">
      <w:pPr>
        <w:pStyle w:val="Lead"/>
        <w:rPr>
          <w:rFonts w:eastAsia="Times New Roman" w:cs="Times New Roman"/>
          <w:bCs/>
          <w:noProof w:val="0"/>
        </w:rPr>
      </w:pPr>
      <w:r w:rsidRPr="00A41CBB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4F13B199" wp14:editId="22DE814E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571750" cy="971550"/>
                <wp:effectExtent l="0" t="0" r="0" b="0"/>
                <wp:wrapSquare wrapText="bothSides"/>
                <wp:docPr id="6" name="Pole tekstowe 2" descr="253,4 mld zł&#10;Wynik finansowy net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9715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38811" w14:textId="1B85AA42" w:rsidR="005C0CAC" w:rsidRPr="005F7033" w:rsidRDefault="000B7FAC" w:rsidP="00F2442B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Style w:val="WartowskanikaZnak"/>
                                <w:sz w:val="56"/>
                                <w:szCs w:val="72"/>
                              </w:rPr>
                              <w:t>253,4</w:t>
                            </w:r>
                            <w:r w:rsidR="00030250" w:rsidRPr="005F7033">
                              <w:rPr>
                                <w:rStyle w:val="WartowskanikaZnak"/>
                                <w:sz w:val="56"/>
                                <w:szCs w:val="72"/>
                              </w:rPr>
                              <w:t xml:space="preserve"> mld zł</w:t>
                            </w:r>
                          </w:p>
                          <w:p w14:paraId="05B7D403" w14:textId="77777777" w:rsidR="005C0CAC" w:rsidRPr="00030250" w:rsidRDefault="008056E7" w:rsidP="00F2442B">
                            <w:pPr>
                              <w:pStyle w:val="Opiswskanika"/>
                            </w:pPr>
                            <w:r>
                              <w:t>Wynik finansowy netto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13B199" id="Pole tekstowe 2" o:spid="_x0000_s1026" alt="253,4 mld zł&#10;Wynik finansowy netto" style="position:absolute;margin-left:0;margin-top:.6pt;width:202.5pt;height:76.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" fillcolor="#001d77" stroked="f">
                <v:stroke joinstyle="miter"/>
                <v:textbox>
                  <w:txbxContent>
                    <w:p w14:paraId="5CF38811" w14:textId="1B85AA42" w:rsidR="005C0CAC" w:rsidRPr="005F7033" w:rsidRDefault="000B7FAC" w:rsidP="00F2442B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6"/>
                          <w:szCs w:val="72"/>
                        </w:rPr>
                      </w:pPr>
                      <w:r>
                        <w:rPr>
                          <w:rStyle w:val="WartowskanikaZnak"/>
                          <w:sz w:val="56"/>
                          <w:szCs w:val="72"/>
                        </w:rPr>
                        <w:t>253,4</w:t>
                      </w:r>
                      <w:r w:rsidR="00030250" w:rsidRPr="005F7033">
                        <w:rPr>
                          <w:rStyle w:val="WartowskanikaZnak"/>
                          <w:sz w:val="56"/>
                          <w:szCs w:val="72"/>
                        </w:rPr>
                        <w:t xml:space="preserve"> mld zł</w:t>
                      </w:r>
                    </w:p>
                    <w:p w14:paraId="05B7D403" w14:textId="77777777" w:rsidR="005C0CAC" w:rsidRPr="00030250" w:rsidRDefault="008056E7" w:rsidP="00F2442B">
                      <w:pPr>
                        <w:pStyle w:val="Opiswskanika"/>
                      </w:pPr>
                      <w:r>
                        <w:t>Wynik finansowy netto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2701D8" w:rsidRPr="00A41CBB">
        <w:rPr>
          <w:rFonts w:eastAsia="Times New Roman" w:cs="Times New Roman"/>
          <w:bCs/>
          <w:noProof w:val="0"/>
        </w:rPr>
        <w:t>W 202</w:t>
      </w:r>
      <w:r w:rsidR="00F879E0" w:rsidRPr="00A41CBB">
        <w:rPr>
          <w:rFonts w:eastAsia="Times New Roman" w:cs="Times New Roman"/>
          <w:bCs/>
          <w:noProof w:val="0"/>
        </w:rPr>
        <w:t>5</w:t>
      </w:r>
      <w:r w:rsidR="002701D8" w:rsidRPr="00A41CBB">
        <w:rPr>
          <w:rFonts w:eastAsia="Times New Roman" w:cs="Times New Roman"/>
          <w:bCs/>
          <w:noProof w:val="0"/>
        </w:rPr>
        <w:t xml:space="preserve"> r</w:t>
      </w:r>
      <w:r w:rsidR="00EF2B46" w:rsidRPr="00A41CBB">
        <w:rPr>
          <w:rFonts w:eastAsia="Times New Roman" w:cs="Times New Roman"/>
          <w:bCs/>
          <w:noProof w:val="0"/>
        </w:rPr>
        <w:t>.</w:t>
      </w:r>
      <w:r w:rsidR="002701D8" w:rsidRPr="00A41CBB">
        <w:rPr>
          <w:rFonts w:eastAsia="Times New Roman" w:cs="Times New Roman"/>
          <w:bCs/>
          <w:noProof w:val="0"/>
        </w:rPr>
        <w:t xml:space="preserve"> przychody ogółem badanych przedsiębiorstw wyniosły </w:t>
      </w:r>
      <w:r w:rsidR="004A1030" w:rsidRPr="00A41CBB">
        <w:rPr>
          <w:rFonts w:eastAsia="Times New Roman" w:cs="Times New Roman"/>
          <w:bCs/>
          <w:noProof w:val="0"/>
        </w:rPr>
        <w:t>6 210,8</w:t>
      </w:r>
      <w:r w:rsidR="008B5AF0" w:rsidRPr="00A41CBB">
        <w:rPr>
          <w:rFonts w:eastAsia="Times New Roman" w:cs="Times New Roman"/>
          <w:bCs/>
          <w:noProof w:val="0"/>
        </w:rPr>
        <w:t xml:space="preserve"> </w:t>
      </w:r>
      <w:r w:rsidR="002701D8" w:rsidRPr="00A41CBB">
        <w:rPr>
          <w:rFonts w:eastAsia="Times New Roman" w:cs="Times New Roman"/>
          <w:bCs/>
          <w:noProof w:val="0"/>
        </w:rPr>
        <w:t xml:space="preserve">mld zł, a koszty ich uzyskania </w:t>
      </w:r>
      <w:r w:rsidR="000B7FAC" w:rsidRPr="00A41CBB">
        <w:rPr>
          <w:rFonts w:eastAsia="Times New Roman" w:cs="Times New Roman"/>
          <w:bCs/>
          <w:noProof w:val="0"/>
        </w:rPr>
        <w:t xml:space="preserve">5 899,8 </w:t>
      </w:r>
      <w:r w:rsidR="002701D8" w:rsidRPr="00A41CBB">
        <w:rPr>
          <w:rFonts w:eastAsia="Times New Roman" w:cs="Times New Roman"/>
          <w:bCs/>
          <w:noProof w:val="0"/>
        </w:rPr>
        <w:t xml:space="preserve">mld zł. Wynik finansowy </w:t>
      </w:r>
      <w:r w:rsidR="00657574" w:rsidRPr="00A41CBB">
        <w:rPr>
          <w:rFonts w:eastAsia="Times New Roman" w:cs="Times New Roman"/>
          <w:bCs/>
          <w:noProof w:val="0"/>
        </w:rPr>
        <w:t>brutto</w:t>
      </w:r>
      <w:r w:rsidR="002701D8" w:rsidRPr="00A41CBB">
        <w:rPr>
          <w:rFonts w:eastAsia="Times New Roman" w:cs="Times New Roman"/>
          <w:bCs/>
          <w:noProof w:val="0"/>
        </w:rPr>
        <w:t xml:space="preserve"> ukształtował się na poziomie </w:t>
      </w:r>
      <w:r w:rsidR="000B7FAC" w:rsidRPr="00A41CBB">
        <w:rPr>
          <w:rFonts w:eastAsia="Times New Roman" w:cs="Times New Roman"/>
          <w:bCs/>
          <w:noProof w:val="0"/>
        </w:rPr>
        <w:t>311,0</w:t>
      </w:r>
      <w:r w:rsidR="00444266" w:rsidRPr="00A41CBB">
        <w:rPr>
          <w:rFonts w:eastAsia="Times New Roman" w:cs="Times New Roman"/>
          <w:bCs/>
          <w:noProof w:val="0"/>
        </w:rPr>
        <w:t> </w:t>
      </w:r>
      <w:r w:rsidR="002701D8" w:rsidRPr="00A41CBB">
        <w:rPr>
          <w:rFonts w:eastAsia="Times New Roman" w:cs="Times New Roman"/>
          <w:bCs/>
          <w:noProof w:val="0"/>
        </w:rPr>
        <w:t>mld zł.</w:t>
      </w:r>
    </w:p>
    <w:p w14:paraId="13C7FDB2" w14:textId="77777777" w:rsidR="00737358" w:rsidRPr="00A41CBB" w:rsidRDefault="00737358" w:rsidP="002701D8">
      <w:pPr>
        <w:spacing w:line="288" w:lineRule="auto"/>
        <w:rPr>
          <w:rFonts w:cs="MyriadPro-Bold"/>
          <w:b/>
          <w:bCs/>
          <w:szCs w:val="19"/>
        </w:rPr>
      </w:pPr>
    </w:p>
    <w:p w14:paraId="578B1888" w14:textId="28E1CC32" w:rsidR="002701D8" w:rsidRPr="00A41CBB" w:rsidRDefault="002701D8" w:rsidP="002701D8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A41CBB">
        <w:rPr>
          <w:rFonts w:cs="MyriadPro-Bold"/>
          <w:b/>
          <w:bCs/>
          <w:szCs w:val="19"/>
        </w:rPr>
        <w:t>Podstawowe dane o badanych przedsiębiorstwach prowadzących księgi rachunkowe o</w:t>
      </w:r>
      <w:r w:rsidR="00D662CC" w:rsidRPr="00A41CBB">
        <w:rPr>
          <w:rFonts w:cs="MyriadPro-Bold"/>
          <w:b/>
          <w:bCs/>
          <w:szCs w:val="19"/>
        </w:rPr>
        <w:t> </w:t>
      </w:r>
      <w:r w:rsidRPr="00A41CBB">
        <w:rPr>
          <w:rFonts w:cs="MyriadPro-Bold"/>
          <w:b/>
          <w:bCs/>
          <w:szCs w:val="19"/>
        </w:rPr>
        <w:t xml:space="preserve">liczbie pracujących </w:t>
      </w:r>
      <w:r w:rsidR="00093DC9" w:rsidRPr="00A41CBB">
        <w:rPr>
          <w:rFonts w:cs="MyriadPro-Bold"/>
          <w:b/>
          <w:bCs/>
          <w:szCs w:val="19"/>
        </w:rPr>
        <w:t>1</w:t>
      </w:r>
      <w:r w:rsidRPr="00A41CBB">
        <w:rPr>
          <w:rFonts w:cs="MyriadPro-Bold"/>
          <w:b/>
          <w:bCs/>
          <w:szCs w:val="19"/>
        </w:rPr>
        <w:t xml:space="preserve">0 i więcej osób </w:t>
      </w:r>
      <w:r w:rsidR="00093DC9" w:rsidRPr="00A41CBB">
        <w:rPr>
          <w:rFonts w:cs="MyriadPro-Bold"/>
          <w:b/>
          <w:bCs/>
          <w:szCs w:val="19"/>
        </w:rPr>
        <w:t xml:space="preserve">w </w:t>
      </w:r>
      <w:r w:rsidRPr="00A41CBB">
        <w:rPr>
          <w:rFonts w:cs="MyriadPro-Bold"/>
          <w:b/>
          <w:bCs/>
          <w:szCs w:val="19"/>
        </w:rPr>
        <w:t>202</w:t>
      </w:r>
      <w:r w:rsidR="00F879E0" w:rsidRPr="00A41CBB">
        <w:rPr>
          <w:rFonts w:cs="MyriadPro-Bold"/>
          <w:b/>
          <w:bCs/>
          <w:szCs w:val="19"/>
        </w:rPr>
        <w:t>5</w:t>
      </w:r>
      <w:r w:rsidRPr="00A41CBB">
        <w:rPr>
          <w:rFonts w:cs="MyriadPro-Bold"/>
          <w:b/>
          <w:bCs/>
          <w:szCs w:val="19"/>
        </w:rPr>
        <w:t xml:space="preserve"> r</w:t>
      </w:r>
      <w:r w:rsidR="00EF2B46" w:rsidRPr="00A41CBB">
        <w:rPr>
          <w:rFonts w:cs="MyriadPro-Bold"/>
          <w:b/>
          <w:bCs/>
          <w:szCs w:val="19"/>
        </w:rPr>
        <w:t>.</w:t>
      </w:r>
    </w:p>
    <w:p w14:paraId="176F232B" w14:textId="2BC5CCA7" w:rsidR="00093DC9" w:rsidRPr="00A41CBB" w:rsidRDefault="002701D8" w:rsidP="002701D8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A41CBB">
        <w:rPr>
          <w:rFonts w:eastAsia="Times New Roman" w:cs="Times New Roman"/>
          <w:szCs w:val="19"/>
          <w:lang w:eastAsia="pl-PL"/>
        </w:rPr>
        <w:t xml:space="preserve">W badanej </w:t>
      </w:r>
      <w:r w:rsidR="00093DC9" w:rsidRPr="00A41CBB">
        <w:rPr>
          <w:rFonts w:eastAsia="Times New Roman" w:cs="Times New Roman"/>
          <w:szCs w:val="19"/>
          <w:lang w:eastAsia="pl-PL"/>
        </w:rPr>
        <w:t>w</w:t>
      </w:r>
      <w:r w:rsidRPr="00A41CBB">
        <w:rPr>
          <w:rFonts w:eastAsia="Times New Roman" w:cs="Times New Roman"/>
          <w:szCs w:val="19"/>
          <w:lang w:eastAsia="pl-PL"/>
        </w:rPr>
        <w:t xml:space="preserve"> 202</w:t>
      </w:r>
      <w:r w:rsidR="00150B36" w:rsidRPr="00A41CBB">
        <w:rPr>
          <w:rFonts w:eastAsia="Times New Roman" w:cs="Times New Roman"/>
          <w:szCs w:val="19"/>
          <w:lang w:eastAsia="pl-PL"/>
        </w:rPr>
        <w:t>5</w:t>
      </w:r>
      <w:r w:rsidRPr="00A41CBB">
        <w:rPr>
          <w:rFonts w:eastAsia="Times New Roman" w:cs="Times New Roman"/>
          <w:szCs w:val="19"/>
          <w:lang w:eastAsia="pl-PL"/>
        </w:rPr>
        <w:t xml:space="preserve"> r</w:t>
      </w:r>
      <w:r w:rsidR="00EF2B46" w:rsidRPr="00A41CBB">
        <w:rPr>
          <w:rFonts w:eastAsia="Times New Roman" w:cs="Times New Roman"/>
          <w:szCs w:val="19"/>
          <w:lang w:eastAsia="pl-PL"/>
        </w:rPr>
        <w:t>.</w:t>
      </w:r>
      <w:r w:rsidRPr="00A41CBB">
        <w:rPr>
          <w:rFonts w:eastAsia="Times New Roman" w:cs="Times New Roman"/>
          <w:szCs w:val="19"/>
          <w:lang w:eastAsia="pl-PL"/>
        </w:rPr>
        <w:t xml:space="preserve"> populacji </w:t>
      </w:r>
      <w:r w:rsidR="000B7FAC" w:rsidRPr="00A41CBB">
        <w:rPr>
          <w:rFonts w:eastAsia="Times New Roman" w:cs="Times New Roman"/>
          <w:szCs w:val="19"/>
          <w:lang w:eastAsia="pl-PL"/>
        </w:rPr>
        <w:t xml:space="preserve">51 866 </w:t>
      </w:r>
      <w:r w:rsidRPr="00A41CBB">
        <w:rPr>
          <w:rFonts w:eastAsia="Times New Roman" w:cs="Times New Roman"/>
          <w:szCs w:val="19"/>
          <w:lang w:eastAsia="pl-PL"/>
        </w:rPr>
        <w:t>przedsiębiorstw prowadzących księgi rachunkowe, największą liczebnie grupę (</w:t>
      </w:r>
      <w:r w:rsidR="000B7FAC" w:rsidRPr="00A41CBB">
        <w:rPr>
          <w:rFonts w:eastAsia="Times New Roman" w:cs="Times New Roman"/>
          <w:szCs w:val="19"/>
          <w:lang w:eastAsia="pl-PL"/>
        </w:rPr>
        <w:t>64,7</w:t>
      </w:r>
      <w:r w:rsidR="00093DC9" w:rsidRPr="00A41CBB">
        <w:rPr>
          <w:rFonts w:eastAsia="Times New Roman" w:cs="Times New Roman"/>
          <w:szCs w:val="19"/>
          <w:lang w:eastAsia="pl-PL"/>
        </w:rPr>
        <w:t>%) stanowiły jednostki małe, tj. o liczbie pracujących 10–49 osób, a najmniejszą (7,</w:t>
      </w:r>
      <w:r w:rsidR="00F12492" w:rsidRPr="00A41CBB">
        <w:rPr>
          <w:rFonts w:eastAsia="Times New Roman" w:cs="Times New Roman"/>
          <w:szCs w:val="19"/>
          <w:lang w:eastAsia="pl-PL"/>
        </w:rPr>
        <w:t>6</w:t>
      </w:r>
      <w:r w:rsidR="00093DC9" w:rsidRPr="00A41CBB">
        <w:rPr>
          <w:rFonts w:eastAsia="Times New Roman" w:cs="Times New Roman"/>
          <w:szCs w:val="19"/>
          <w:lang w:eastAsia="pl-PL"/>
        </w:rPr>
        <w:t>%) jednostki duże (250 i więcej pracujących). Przedsiębiorstwa średnie (o liczbie pracujących 50–249 osób) stanowiły 27,</w:t>
      </w:r>
      <w:r w:rsidR="00A41CBB" w:rsidRPr="00A41CBB">
        <w:rPr>
          <w:rFonts w:eastAsia="Times New Roman" w:cs="Times New Roman"/>
          <w:szCs w:val="19"/>
          <w:lang w:eastAsia="pl-PL"/>
        </w:rPr>
        <w:t>7</w:t>
      </w:r>
      <w:r w:rsidR="00093DC9" w:rsidRPr="00A41CBB">
        <w:rPr>
          <w:rFonts w:eastAsia="Times New Roman" w:cs="Times New Roman"/>
          <w:szCs w:val="19"/>
          <w:lang w:eastAsia="pl-PL"/>
        </w:rPr>
        <w:t xml:space="preserve">% badanej zbiorowości. </w:t>
      </w:r>
      <w:r w:rsidRPr="00A41CBB">
        <w:rPr>
          <w:rFonts w:eastAsia="Times New Roman" w:cs="Times New Roman"/>
          <w:szCs w:val="19"/>
          <w:lang w:eastAsia="pl-PL"/>
        </w:rPr>
        <w:t xml:space="preserve">Według stanu </w:t>
      </w:r>
      <w:r w:rsidR="007D23C4" w:rsidRPr="00A41CBB">
        <w:rPr>
          <w:rFonts w:eastAsia="Times New Roman" w:cs="Times New Roman"/>
          <w:szCs w:val="19"/>
          <w:lang w:eastAsia="pl-PL"/>
        </w:rPr>
        <w:t xml:space="preserve">na </w:t>
      </w:r>
      <w:r w:rsidR="00093DC9" w:rsidRPr="00A41CBB">
        <w:rPr>
          <w:rFonts w:eastAsia="Times New Roman" w:cs="Times New Roman"/>
          <w:szCs w:val="19"/>
          <w:lang w:eastAsia="pl-PL"/>
        </w:rPr>
        <w:t>31 grudnia</w:t>
      </w:r>
      <w:r w:rsidR="007D23C4" w:rsidRPr="00A41CBB">
        <w:rPr>
          <w:rFonts w:eastAsia="Times New Roman" w:cs="Times New Roman"/>
          <w:szCs w:val="19"/>
          <w:lang w:eastAsia="pl-PL"/>
        </w:rPr>
        <w:t xml:space="preserve"> 2025 r.</w:t>
      </w:r>
      <w:r w:rsidRPr="00A41CBB">
        <w:rPr>
          <w:rFonts w:eastAsia="Times New Roman" w:cs="Times New Roman"/>
          <w:szCs w:val="19"/>
          <w:lang w:eastAsia="pl-PL"/>
        </w:rPr>
        <w:t xml:space="preserve"> w przedsiębiorstwach objętych badaniem pracowało </w:t>
      </w:r>
      <w:r w:rsidR="00F12492" w:rsidRPr="00A41CBB">
        <w:rPr>
          <w:rFonts w:eastAsia="Times New Roman" w:cs="Times New Roman"/>
          <w:szCs w:val="19"/>
          <w:lang w:eastAsia="pl-PL"/>
        </w:rPr>
        <w:t xml:space="preserve">5 678,7 </w:t>
      </w:r>
      <w:r w:rsidRPr="00A41CBB">
        <w:rPr>
          <w:rFonts w:eastAsia="Times New Roman" w:cs="Times New Roman"/>
          <w:szCs w:val="19"/>
          <w:lang w:eastAsia="pl-PL"/>
        </w:rPr>
        <w:t xml:space="preserve">tys. osób. </w:t>
      </w:r>
      <w:r w:rsidR="00093DC9" w:rsidRPr="00A41CBB">
        <w:rPr>
          <w:rFonts w:eastAsia="Times New Roman" w:cs="Times New Roman"/>
          <w:szCs w:val="19"/>
          <w:lang w:eastAsia="pl-PL"/>
        </w:rPr>
        <w:t xml:space="preserve">Podmioty duże były miejscem pracy dla </w:t>
      </w:r>
      <w:r w:rsidR="00F12492" w:rsidRPr="00A41CBB">
        <w:rPr>
          <w:rFonts w:eastAsia="Times New Roman" w:cs="Times New Roman"/>
          <w:szCs w:val="19"/>
          <w:lang w:eastAsia="pl-PL"/>
        </w:rPr>
        <w:t>59,6</w:t>
      </w:r>
      <w:r w:rsidR="00093DC9" w:rsidRPr="00A41CBB">
        <w:rPr>
          <w:rFonts w:eastAsia="Times New Roman" w:cs="Times New Roman"/>
          <w:szCs w:val="19"/>
          <w:lang w:eastAsia="pl-PL"/>
        </w:rPr>
        <w:t xml:space="preserve">% ogółu pracujących, średnie – </w:t>
      </w:r>
      <w:r w:rsidR="00F12492" w:rsidRPr="00A41CBB">
        <w:rPr>
          <w:rFonts w:eastAsia="Times New Roman" w:cs="Times New Roman"/>
          <w:szCs w:val="19"/>
          <w:lang w:eastAsia="pl-PL"/>
        </w:rPr>
        <w:t>27,0</w:t>
      </w:r>
      <w:r w:rsidR="00093DC9" w:rsidRPr="00A41CBB">
        <w:rPr>
          <w:rFonts w:eastAsia="Times New Roman" w:cs="Times New Roman"/>
          <w:szCs w:val="19"/>
          <w:lang w:eastAsia="pl-PL"/>
        </w:rPr>
        <w:t>%, a podmioty małe – 13,</w:t>
      </w:r>
      <w:r w:rsidR="00F12492" w:rsidRPr="00A41CBB">
        <w:rPr>
          <w:rFonts w:eastAsia="Times New Roman" w:cs="Times New Roman"/>
          <w:szCs w:val="19"/>
          <w:lang w:eastAsia="pl-PL"/>
        </w:rPr>
        <w:t>4</w:t>
      </w:r>
      <w:r w:rsidR="00093DC9" w:rsidRPr="00A41CBB">
        <w:rPr>
          <w:rFonts w:eastAsia="Times New Roman" w:cs="Times New Roman"/>
          <w:szCs w:val="19"/>
          <w:lang w:eastAsia="pl-PL"/>
        </w:rPr>
        <w:t>%. W badanym podmiocie prowadzącym księgi rachunkowe według stanu na koniec 202</w:t>
      </w:r>
      <w:r w:rsidR="00F12492" w:rsidRPr="00A41CBB">
        <w:rPr>
          <w:rFonts w:eastAsia="Times New Roman" w:cs="Times New Roman"/>
          <w:szCs w:val="19"/>
          <w:lang w:eastAsia="pl-PL"/>
        </w:rPr>
        <w:t>5</w:t>
      </w:r>
      <w:r w:rsidR="00093DC9" w:rsidRPr="00A41CBB">
        <w:rPr>
          <w:rFonts w:eastAsia="Times New Roman" w:cs="Times New Roman"/>
          <w:szCs w:val="19"/>
          <w:lang w:eastAsia="pl-PL"/>
        </w:rPr>
        <w:t xml:space="preserve"> r. pracowało przeciętnie 110 osób, w podmiocie dużym – 8</w:t>
      </w:r>
      <w:r w:rsidR="00F12492" w:rsidRPr="00A41CBB">
        <w:rPr>
          <w:rFonts w:eastAsia="Times New Roman" w:cs="Times New Roman"/>
          <w:szCs w:val="19"/>
          <w:lang w:eastAsia="pl-PL"/>
        </w:rPr>
        <w:t>55</w:t>
      </w:r>
      <w:r w:rsidR="00093DC9" w:rsidRPr="00A41CBB">
        <w:rPr>
          <w:rFonts w:eastAsia="Times New Roman" w:cs="Times New Roman"/>
          <w:szCs w:val="19"/>
          <w:lang w:eastAsia="pl-PL"/>
        </w:rPr>
        <w:t xml:space="preserve"> os</w:t>
      </w:r>
      <w:r w:rsidR="00F12492" w:rsidRPr="00A41CBB">
        <w:rPr>
          <w:rFonts w:eastAsia="Times New Roman" w:cs="Times New Roman"/>
          <w:szCs w:val="19"/>
          <w:lang w:eastAsia="pl-PL"/>
        </w:rPr>
        <w:t>ób</w:t>
      </w:r>
      <w:r w:rsidR="00093DC9" w:rsidRPr="00A41CBB">
        <w:rPr>
          <w:rFonts w:eastAsia="Times New Roman" w:cs="Times New Roman"/>
          <w:szCs w:val="19"/>
          <w:lang w:eastAsia="pl-PL"/>
        </w:rPr>
        <w:t>, średnim – 10</w:t>
      </w:r>
      <w:r w:rsidR="00F12492" w:rsidRPr="00A41CBB">
        <w:rPr>
          <w:rFonts w:eastAsia="Times New Roman" w:cs="Times New Roman"/>
          <w:szCs w:val="19"/>
          <w:lang w:eastAsia="pl-PL"/>
        </w:rPr>
        <w:t>8</w:t>
      </w:r>
      <w:r w:rsidR="00093DC9" w:rsidRPr="00A41CBB">
        <w:rPr>
          <w:rFonts w:eastAsia="Times New Roman" w:cs="Times New Roman"/>
          <w:szCs w:val="19"/>
          <w:lang w:eastAsia="pl-PL"/>
        </w:rPr>
        <w:t xml:space="preserve"> osób, małym – 23 osoby.</w:t>
      </w:r>
    </w:p>
    <w:p w14:paraId="0163A119" w14:textId="3C0F3A4B" w:rsidR="00093DC9" w:rsidRPr="00A41CBB" w:rsidRDefault="002701D8" w:rsidP="002701D8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A41CBB">
        <w:rPr>
          <w:rFonts w:eastAsia="Times New Roman" w:cs="Times New Roman"/>
          <w:szCs w:val="19"/>
          <w:lang w:eastAsia="pl-PL"/>
        </w:rPr>
        <w:t xml:space="preserve">Przychody ogółem badanych podmiotów wyniosły </w:t>
      </w:r>
      <w:r w:rsidR="00F12492" w:rsidRPr="00A41CBB">
        <w:rPr>
          <w:rFonts w:eastAsia="Times New Roman" w:cs="Times New Roman"/>
          <w:szCs w:val="19"/>
          <w:lang w:eastAsia="pl-PL"/>
        </w:rPr>
        <w:t xml:space="preserve">6 210,8 </w:t>
      </w:r>
      <w:r w:rsidRPr="00A41CBB">
        <w:rPr>
          <w:rFonts w:eastAsia="Times New Roman" w:cs="Times New Roman"/>
          <w:szCs w:val="19"/>
          <w:lang w:eastAsia="pl-PL"/>
        </w:rPr>
        <w:t>mld zł</w:t>
      </w:r>
      <w:r w:rsidR="00E608D0" w:rsidRPr="00A41CBB">
        <w:rPr>
          <w:rFonts w:eastAsia="Times New Roman" w:cs="Times New Roman"/>
          <w:szCs w:val="19"/>
          <w:lang w:eastAsia="pl-PL"/>
        </w:rPr>
        <w:t>. W ich</w:t>
      </w:r>
      <w:r w:rsidRPr="00A41CBB">
        <w:rPr>
          <w:rFonts w:eastAsia="Times New Roman" w:cs="Times New Roman"/>
          <w:szCs w:val="19"/>
          <w:lang w:eastAsia="pl-PL"/>
        </w:rPr>
        <w:t xml:space="preserve"> strukturze</w:t>
      </w:r>
      <w:r w:rsidR="00E608D0" w:rsidRPr="00A41CBB">
        <w:rPr>
          <w:rFonts w:eastAsia="Times New Roman" w:cs="Times New Roman"/>
          <w:szCs w:val="19"/>
          <w:lang w:eastAsia="pl-PL"/>
        </w:rPr>
        <w:t xml:space="preserve"> </w:t>
      </w:r>
      <w:r w:rsidRPr="00A41CBB">
        <w:rPr>
          <w:rFonts w:eastAsia="Times New Roman" w:cs="Times New Roman"/>
          <w:szCs w:val="19"/>
          <w:lang w:eastAsia="pl-PL"/>
        </w:rPr>
        <w:t>przychod</w:t>
      </w:r>
      <w:r w:rsidR="00E608D0" w:rsidRPr="00A41CBB">
        <w:rPr>
          <w:rFonts w:eastAsia="Times New Roman" w:cs="Times New Roman"/>
          <w:szCs w:val="19"/>
          <w:lang w:eastAsia="pl-PL"/>
        </w:rPr>
        <w:t xml:space="preserve">y ze sprzedaży produktów (wyrobów i usług) stanowiły </w:t>
      </w:r>
      <w:r w:rsidR="0046293F" w:rsidRPr="00A41CBB">
        <w:rPr>
          <w:rFonts w:eastAsia="Times New Roman" w:cs="Times New Roman"/>
          <w:szCs w:val="19"/>
          <w:lang w:eastAsia="pl-PL"/>
        </w:rPr>
        <w:t>58,1</w:t>
      </w:r>
      <w:r w:rsidRPr="00A41CBB">
        <w:rPr>
          <w:rFonts w:eastAsia="Times New Roman" w:cs="Times New Roman"/>
          <w:szCs w:val="19"/>
          <w:lang w:eastAsia="pl-PL"/>
        </w:rPr>
        <w:t>%</w:t>
      </w:r>
      <w:r w:rsidR="00E608D0" w:rsidRPr="00A41CBB">
        <w:rPr>
          <w:rFonts w:eastAsia="Times New Roman" w:cs="Times New Roman"/>
          <w:szCs w:val="19"/>
          <w:lang w:eastAsia="pl-PL"/>
        </w:rPr>
        <w:t xml:space="preserve">, a przychody ze sprzedaży towarów i materiałów – </w:t>
      </w:r>
      <w:r w:rsidR="00386936" w:rsidRPr="00A41CBB">
        <w:rPr>
          <w:rFonts w:eastAsia="Times New Roman" w:cs="Times New Roman"/>
          <w:szCs w:val="19"/>
          <w:lang w:eastAsia="pl-PL"/>
        </w:rPr>
        <w:t>38,5</w:t>
      </w:r>
      <w:r w:rsidRPr="00A41CBB">
        <w:rPr>
          <w:rFonts w:eastAsia="Times New Roman" w:cs="Times New Roman"/>
          <w:szCs w:val="19"/>
          <w:lang w:eastAsia="pl-PL"/>
        </w:rPr>
        <w:t xml:space="preserve">%. </w:t>
      </w:r>
      <w:r w:rsidR="00E418C1" w:rsidRPr="00A41CBB">
        <w:rPr>
          <w:rFonts w:eastAsia="Times New Roman" w:cs="Times New Roman"/>
          <w:szCs w:val="19"/>
          <w:lang w:eastAsia="pl-PL"/>
        </w:rPr>
        <w:t xml:space="preserve">Udział pozostałych </w:t>
      </w:r>
      <w:r w:rsidRPr="00A41CBB">
        <w:rPr>
          <w:rFonts w:eastAsia="Times New Roman" w:cs="Times New Roman"/>
          <w:szCs w:val="19"/>
          <w:lang w:eastAsia="pl-PL"/>
        </w:rPr>
        <w:t>przychod</w:t>
      </w:r>
      <w:r w:rsidR="00E418C1" w:rsidRPr="00A41CBB">
        <w:rPr>
          <w:rFonts w:eastAsia="Times New Roman" w:cs="Times New Roman"/>
          <w:szCs w:val="19"/>
          <w:lang w:eastAsia="pl-PL"/>
        </w:rPr>
        <w:t>ów</w:t>
      </w:r>
      <w:r w:rsidRPr="00A41CBB">
        <w:rPr>
          <w:rFonts w:eastAsia="Times New Roman" w:cs="Times New Roman"/>
          <w:szCs w:val="19"/>
          <w:lang w:eastAsia="pl-PL"/>
        </w:rPr>
        <w:t xml:space="preserve"> operacyjn</w:t>
      </w:r>
      <w:r w:rsidR="00E418C1" w:rsidRPr="00A41CBB">
        <w:rPr>
          <w:rFonts w:eastAsia="Times New Roman" w:cs="Times New Roman"/>
          <w:szCs w:val="19"/>
          <w:lang w:eastAsia="pl-PL"/>
        </w:rPr>
        <w:t xml:space="preserve">ych w przychodach ogółem wyniósł </w:t>
      </w:r>
      <w:r w:rsidRPr="00A41CBB">
        <w:rPr>
          <w:rFonts w:eastAsia="Times New Roman" w:cs="Times New Roman"/>
          <w:szCs w:val="19"/>
          <w:lang w:eastAsia="pl-PL"/>
        </w:rPr>
        <w:t>1,</w:t>
      </w:r>
      <w:r w:rsidR="00386936" w:rsidRPr="00A41CBB">
        <w:rPr>
          <w:rFonts w:eastAsia="Times New Roman" w:cs="Times New Roman"/>
          <w:szCs w:val="19"/>
          <w:lang w:eastAsia="pl-PL"/>
        </w:rPr>
        <w:t>8</w:t>
      </w:r>
      <w:r w:rsidRPr="00A41CBB">
        <w:rPr>
          <w:rFonts w:eastAsia="Times New Roman" w:cs="Times New Roman"/>
          <w:szCs w:val="19"/>
          <w:lang w:eastAsia="pl-PL"/>
        </w:rPr>
        <w:t>%, a przychod</w:t>
      </w:r>
      <w:r w:rsidR="00E418C1" w:rsidRPr="00A41CBB">
        <w:rPr>
          <w:rFonts w:eastAsia="Times New Roman" w:cs="Times New Roman"/>
          <w:szCs w:val="19"/>
          <w:lang w:eastAsia="pl-PL"/>
        </w:rPr>
        <w:t>ów</w:t>
      </w:r>
      <w:r w:rsidRPr="00A41CBB">
        <w:rPr>
          <w:rFonts w:eastAsia="Times New Roman" w:cs="Times New Roman"/>
          <w:szCs w:val="19"/>
          <w:lang w:eastAsia="pl-PL"/>
        </w:rPr>
        <w:t xml:space="preserve"> finansow</w:t>
      </w:r>
      <w:r w:rsidR="00E418C1" w:rsidRPr="00A41CBB">
        <w:rPr>
          <w:rFonts w:eastAsia="Times New Roman" w:cs="Times New Roman"/>
          <w:szCs w:val="19"/>
          <w:lang w:eastAsia="pl-PL"/>
        </w:rPr>
        <w:t>ych –</w:t>
      </w:r>
      <w:r w:rsidRPr="00A41CBB">
        <w:rPr>
          <w:rFonts w:eastAsia="Times New Roman" w:cs="Times New Roman"/>
          <w:szCs w:val="19"/>
          <w:lang w:eastAsia="pl-PL"/>
        </w:rPr>
        <w:t xml:space="preserve"> 1,</w:t>
      </w:r>
      <w:r w:rsidR="00386936" w:rsidRPr="00A41CBB">
        <w:rPr>
          <w:rFonts w:eastAsia="Times New Roman" w:cs="Times New Roman"/>
          <w:szCs w:val="19"/>
          <w:lang w:eastAsia="pl-PL"/>
        </w:rPr>
        <w:t>7</w:t>
      </w:r>
      <w:r w:rsidRPr="00A41CBB">
        <w:rPr>
          <w:rFonts w:eastAsia="Times New Roman" w:cs="Times New Roman"/>
          <w:szCs w:val="19"/>
          <w:lang w:eastAsia="pl-PL"/>
        </w:rPr>
        <w:t xml:space="preserve">%. </w:t>
      </w:r>
      <w:r w:rsidR="00093DC9" w:rsidRPr="00A41CBB">
        <w:rPr>
          <w:rFonts w:eastAsia="Times New Roman" w:cs="Times New Roman"/>
          <w:szCs w:val="19"/>
          <w:lang w:eastAsia="pl-PL"/>
        </w:rPr>
        <w:t>Przychody ogółem uzyskane przez przedsiębiorstwa duże stanowiły 61,</w:t>
      </w:r>
      <w:r w:rsidR="00A41CBB" w:rsidRPr="00A41CBB">
        <w:rPr>
          <w:rFonts w:eastAsia="Times New Roman" w:cs="Times New Roman"/>
          <w:szCs w:val="19"/>
          <w:lang w:eastAsia="pl-PL"/>
        </w:rPr>
        <w:t>1</w:t>
      </w:r>
      <w:r w:rsidR="00093DC9" w:rsidRPr="00A41CBB">
        <w:rPr>
          <w:rFonts w:eastAsia="Times New Roman" w:cs="Times New Roman"/>
          <w:szCs w:val="19"/>
          <w:lang w:eastAsia="pl-PL"/>
        </w:rPr>
        <w:t>% przychodów wszystkich badanych przedsiębiorstw</w:t>
      </w:r>
      <w:r w:rsidR="000B78A6">
        <w:rPr>
          <w:rFonts w:eastAsia="Times New Roman" w:cs="Times New Roman"/>
          <w:szCs w:val="19"/>
          <w:lang w:eastAsia="pl-PL"/>
        </w:rPr>
        <w:t>,</w:t>
      </w:r>
      <w:r w:rsidR="00093DC9" w:rsidRPr="00A41CBB">
        <w:rPr>
          <w:rFonts w:eastAsia="Times New Roman" w:cs="Times New Roman"/>
          <w:szCs w:val="19"/>
          <w:lang w:eastAsia="pl-PL"/>
        </w:rPr>
        <w:t xml:space="preserve"> </w:t>
      </w:r>
      <w:r w:rsidR="000B78A6">
        <w:rPr>
          <w:rFonts w:eastAsia="Times New Roman" w:cs="Times New Roman"/>
          <w:szCs w:val="19"/>
          <w:lang w:eastAsia="pl-PL"/>
        </w:rPr>
        <w:t>j</w:t>
      </w:r>
      <w:r w:rsidR="00093DC9" w:rsidRPr="00A41CBB">
        <w:rPr>
          <w:rFonts w:eastAsia="Times New Roman" w:cs="Times New Roman"/>
          <w:szCs w:val="19"/>
          <w:lang w:eastAsia="pl-PL"/>
        </w:rPr>
        <w:t xml:space="preserve">ednostki średnie uzyskały </w:t>
      </w:r>
      <w:r w:rsidR="00180536" w:rsidRPr="00A41CBB">
        <w:rPr>
          <w:rFonts w:eastAsia="Times New Roman" w:cs="Times New Roman"/>
          <w:szCs w:val="19"/>
          <w:lang w:eastAsia="pl-PL"/>
        </w:rPr>
        <w:t>25,4</w:t>
      </w:r>
      <w:r w:rsidR="00093DC9" w:rsidRPr="00A41CBB">
        <w:rPr>
          <w:rFonts w:eastAsia="Times New Roman" w:cs="Times New Roman"/>
          <w:szCs w:val="19"/>
          <w:lang w:eastAsia="pl-PL"/>
        </w:rPr>
        <w:t>% przychodów ogółem, a małe – 13,</w:t>
      </w:r>
      <w:r w:rsidR="00180536" w:rsidRPr="00A41CBB">
        <w:rPr>
          <w:rFonts w:eastAsia="Times New Roman" w:cs="Times New Roman"/>
          <w:szCs w:val="19"/>
          <w:lang w:eastAsia="pl-PL"/>
        </w:rPr>
        <w:t>5</w:t>
      </w:r>
      <w:r w:rsidR="00093DC9" w:rsidRPr="00A41CBB">
        <w:rPr>
          <w:rFonts w:eastAsia="Times New Roman" w:cs="Times New Roman"/>
          <w:szCs w:val="19"/>
          <w:lang w:eastAsia="pl-PL"/>
        </w:rPr>
        <w:t>%.</w:t>
      </w:r>
    </w:p>
    <w:p w14:paraId="4C468624" w14:textId="5D8AC03B" w:rsidR="002701D8" w:rsidRPr="00A41CBB" w:rsidRDefault="00737358" w:rsidP="002701D8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A41CBB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7024" behindDoc="1" locked="0" layoutInCell="1" allowOverlap="1" wp14:anchorId="4894EE44" wp14:editId="7EE8041C">
                <wp:simplePos x="0" y="0"/>
                <wp:positionH relativeFrom="page">
                  <wp:posOffset>5724525</wp:posOffset>
                </wp:positionH>
                <wp:positionV relativeFrom="paragraph">
                  <wp:posOffset>1068705</wp:posOffset>
                </wp:positionV>
                <wp:extent cx="1717040" cy="1200150"/>
                <wp:effectExtent l="0" t="0" r="0" b="0"/>
                <wp:wrapTight wrapText="bothSides">
                  <wp:wrapPolygon edited="0">
                    <wp:start x="719" y="0"/>
                    <wp:lineTo x="719" y="21257"/>
                    <wp:lineTo x="20849" y="21257"/>
                    <wp:lineTo x="20849" y="0"/>
                    <wp:lineTo x="719" y="0"/>
                  </wp:wrapPolygon>
                </wp:wrapTight>
                <wp:docPr id="3" name="Pole tekstowe 3" descr="55,3% wyniku finansowego netto wygenerowały przedsiębiorstwa duż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81A0B" w14:textId="36AF82E5" w:rsidR="002701D8" w:rsidRPr="00846E02" w:rsidRDefault="009846B0" w:rsidP="002701D8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A41CBB">
                              <w:rPr>
                                <w:bCs w:val="0"/>
                              </w:rPr>
                              <w:t>55,3</w:t>
                            </w:r>
                            <w:r w:rsidR="00B77EE8" w:rsidRPr="00A41CBB">
                              <w:rPr>
                                <w:bCs w:val="0"/>
                              </w:rPr>
                              <w:t xml:space="preserve">% </w:t>
                            </w:r>
                            <w:r w:rsidR="000B78A6">
                              <w:rPr>
                                <w:bCs w:val="0"/>
                              </w:rPr>
                              <w:t>w</w:t>
                            </w:r>
                            <w:r w:rsidR="000B78A6" w:rsidRPr="000B78A6">
                              <w:rPr>
                                <w:bCs w:val="0"/>
                              </w:rPr>
                              <w:t>ynik</w:t>
                            </w:r>
                            <w:r w:rsidR="000B78A6">
                              <w:rPr>
                                <w:bCs w:val="0"/>
                              </w:rPr>
                              <w:t>u</w:t>
                            </w:r>
                            <w:r w:rsidR="000B78A6" w:rsidRPr="000B78A6">
                              <w:rPr>
                                <w:bCs w:val="0"/>
                              </w:rPr>
                              <w:t xml:space="preserve"> finansow</w:t>
                            </w:r>
                            <w:r w:rsidR="000B78A6">
                              <w:rPr>
                                <w:bCs w:val="0"/>
                              </w:rPr>
                              <w:t>ego</w:t>
                            </w:r>
                            <w:r w:rsidR="000B78A6" w:rsidRPr="000B78A6">
                              <w:rPr>
                                <w:bCs w:val="0"/>
                              </w:rPr>
                              <w:t xml:space="preserve"> netto </w:t>
                            </w:r>
                            <w:r w:rsidR="00B77EE8" w:rsidRPr="00A41CBB">
                              <w:rPr>
                                <w:bCs w:val="0"/>
                              </w:rPr>
                              <w:t>wygenerowały przedsiębiorstwa duże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4EE44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7" type="#_x0000_t202" alt="55,3% wyniku finansowego netto wygenerowały przedsiębiorstwa duże" style="position:absolute;margin-left:450.75pt;margin-top:84.15pt;width:135.2pt;height:94.5pt;z-index:-251539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" filled="f" stroked="f">
                <v:textbox>
                  <w:txbxContent>
                    <w:p w14:paraId="35D81A0B" w14:textId="36AF82E5" w:rsidR="002701D8" w:rsidRPr="00846E02" w:rsidRDefault="009846B0" w:rsidP="002701D8">
                      <w:pPr>
                        <w:pStyle w:val="tekstzboku"/>
                        <w:rPr>
                          <w:bCs w:val="0"/>
                        </w:rPr>
                      </w:pPr>
                      <w:r w:rsidRPr="00A41CBB">
                        <w:rPr>
                          <w:bCs w:val="0"/>
                        </w:rPr>
                        <w:t>55,3</w:t>
                      </w:r>
                      <w:r w:rsidR="00B77EE8" w:rsidRPr="00A41CBB">
                        <w:rPr>
                          <w:bCs w:val="0"/>
                        </w:rPr>
                        <w:t xml:space="preserve">% </w:t>
                      </w:r>
                      <w:r w:rsidR="000B78A6">
                        <w:rPr>
                          <w:bCs w:val="0"/>
                        </w:rPr>
                        <w:t>w</w:t>
                      </w:r>
                      <w:r w:rsidR="000B78A6" w:rsidRPr="000B78A6">
                        <w:rPr>
                          <w:bCs w:val="0"/>
                        </w:rPr>
                        <w:t>ynik</w:t>
                      </w:r>
                      <w:r w:rsidR="000B78A6">
                        <w:rPr>
                          <w:bCs w:val="0"/>
                        </w:rPr>
                        <w:t>u</w:t>
                      </w:r>
                      <w:r w:rsidR="000B78A6" w:rsidRPr="000B78A6">
                        <w:rPr>
                          <w:bCs w:val="0"/>
                        </w:rPr>
                        <w:t xml:space="preserve"> finansow</w:t>
                      </w:r>
                      <w:r w:rsidR="000B78A6">
                        <w:rPr>
                          <w:bCs w:val="0"/>
                        </w:rPr>
                        <w:t>ego</w:t>
                      </w:r>
                      <w:r w:rsidR="000B78A6" w:rsidRPr="000B78A6">
                        <w:rPr>
                          <w:bCs w:val="0"/>
                        </w:rPr>
                        <w:t xml:space="preserve"> netto </w:t>
                      </w:r>
                      <w:r w:rsidR="00B77EE8" w:rsidRPr="00A41CBB">
                        <w:rPr>
                          <w:bCs w:val="0"/>
                        </w:rPr>
                        <w:t>wygenerowały przedsiębiorstwa duże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2701D8" w:rsidRPr="00A41CBB">
        <w:rPr>
          <w:rFonts w:eastAsia="Times New Roman" w:cs="Times New Roman"/>
          <w:szCs w:val="19"/>
          <w:lang w:eastAsia="pl-PL"/>
        </w:rPr>
        <w:t xml:space="preserve">Koszty ogółem </w:t>
      </w:r>
      <w:r w:rsidR="00093DC9" w:rsidRPr="00A41CBB">
        <w:rPr>
          <w:rFonts w:eastAsia="Times New Roman" w:cs="Times New Roman"/>
          <w:szCs w:val="19"/>
          <w:lang w:eastAsia="pl-PL"/>
        </w:rPr>
        <w:t>w</w:t>
      </w:r>
      <w:r w:rsidR="002701D8" w:rsidRPr="00A41CBB">
        <w:rPr>
          <w:rFonts w:eastAsia="Times New Roman" w:cs="Times New Roman"/>
          <w:szCs w:val="19"/>
          <w:lang w:eastAsia="pl-PL"/>
        </w:rPr>
        <w:t xml:space="preserve"> 202</w:t>
      </w:r>
      <w:r w:rsidR="00EF2B46" w:rsidRPr="00A41CBB">
        <w:rPr>
          <w:rFonts w:eastAsia="Times New Roman" w:cs="Times New Roman"/>
          <w:szCs w:val="19"/>
          <w:lang w:eastAsia="pl-PL"/>
        </w:rPr>
        <w:t>5</w:t>
      </w:r>
      <w:r w:rsidR="002701D8" w:rsidRPr="00A41CBB">
        <w:rPr>
          <w:rFonts w:eastAsia="Times New Roman" w:cs="Times New Roman"/>
          <w:szCs w:val="19"/>
          <w:lang w:eastAsia="pl-PL"/>
        </w:rPr>
        <w:t xml:space="preserve"> r</w:t>
      </w:r>
      <w:r w:rsidR="001215DE" w:rsidRPr="00A41CBB">
        <w:rPr>
          <w:rFonts w:eastAsia="Times New Roman" w:cs="Times New Roman"/>
          <w:szCs w:val="19"/>
          <w:lang w:eastAsia="pl-PL"/>
        </w:rPr>
        <w:t>.</w:t>
      </w:r>
      <w:r w:rsidR="002701D8" w:rsidRPr="00A41CBB">
        <w:rPr>
          <w:rFonts w:eastAsia="Times New Roman" w:cs="Times New Roman"/>
          <w:szCs w:val="19"/>
          <w:lang w:eastAsia="pl-PL"/>
        </w:rPr>
        <w:t xml:space="preserve"> wyniosły </w:t>
      </w:r>
      <w:r w:rsidR="00386936" w:rsidRPr="00A41CBB">
        <w:rPr>
          <w:rFonts w:eastAsia="Times New Roman" w:cs="Times New Roman"/>
          <w:szCs w:val="19"/>
          <w:lang w:eastAsia="pl-PL"/>
        </w:rPr>
        <w:t xml:space="preserve">5 899,8 </w:t>
      </w:r>
      <w:r w:rsidR="002701D8" w:rsidRPr="00A41CBB">
        <w:rPr>
          <w:rFonts w:eastAsia="Times New Roman" w:cs="Times New Roman"/>
          <w:szCs w:val="19"/>
          <w:lang w:eastAsia="pl-PL"/>
        </w:rPr>
        <w:t xml:space="preserve">mld zł. W </w:t>
      </w:r>
      <w:r w:rsidR="00595C9F" w:rsidRPr="00A41CBB">
        <w:rPr>
          <w:rFonts w:eastAsia="Times New Roman" w:cs="Times New Roman"/>
          <w:szCs w:val="19"/>
          <w:lang w:eastAsia="pl-PL"/>
        </w:rPr>
        <w:t xml:space="preserve">ich </w:t>
      </w:r>
      <w:r w:rsidR="002701D8" w:rsidRPr="00A41CBB">
        <w:rPr>
          <w:rFonts w:eastAsia="Times New Roman" w:cs="Times New Roman"/>
          <w:szCs w:val="19"/>
          <w:lang w:eastAsia="pl-PL"/>
        </w:rPr>
        <w:t xml:space="preserve">strukturze </w:t>
      </w:r>
      <w:r w:rsidR="00595C9F" w:rsidRPr="00A41CBB">
        <w:rPr>
          <w:rFonts w:eastAsia="Times New Roman" w:cs="Times New Roman"/>
          <w:szCs w:val="19"/>
          <w:lang w:eastAsia="pl-PL"/>
        </w:rPr>
        <w:t>96,</w:t>
      </w:r>
      <w:r w:rsidR="00386936" w:rsidRPr="00A41CBB">
        <w:rPr>
          <w:rFonts w:eastAsia="Times New Roman" w:cs="Times New Roman"/>
          <w:szCs w:val="19"/>
          <w:lang w:eastAsia="pl-PL"/>
        </w:rPr>
        <w:t>6</w:t>
      </w:r>
      <w:r w:rsidR="00595C9F" w:rsidRPr="00A41CBB">
        <w:rPr>
          <w:rFonts w:eastAsia="Times New Roman" w:cs="Times New Roman"/>
          <w:szCs w:val="19"/>
          <w:lang w:eastAsia="pl-PL"/>
        </w:rPr>
        <w:t>% stanowiły koszty sprzedanych produktów, towarów i materiałów</w:t>
      </w:r>
      <w:r w:rsidR="002701D8" w:rsidRPr="00A41CBB">
        <w:rPr>
          <w:rFonts w:eastAsia="Times New Roman" w:cs="Times New Roman"/>
          <w:szCs w:val="19"/>
          <w:lang w:eastAsia="pl-PL"/>
        </w:rPr>
        <w:t xml:space="preserve"> (</w:t>
      </w:r>
      <w:r w:rsidR="00386936" w:rsidRPr="00A41CBB">
        <w:rPr>
          <w:rFonts w:eastAsia="Times New Roman" w:cs="Times New Roman"/>
          <w:szCs w:val="19"/>
          <w:lang w:eastAsia="pl-PL"/>
        </w:rPr>
        <w:t>63,7</w:t>
      </w:r>
      <w:r w:rsidR="002701D8" w:rsidRPr="00A41CBB">
        <w:rPr>
          <w:rFonts w:eastAsia="Times New Roman" w:cs="Times New Roman"/>
          <w:szCs w:val="19"/>
          <w:lang w:eastAsia="pl-PL"/>
        </w:rPr>
        <w:t xml:space="preserve">% kosztów ogółem to koszt własny sprzedanych produktów, a </w:t>
      </w:r>
      <w:r w:rsidR="00386936" w:rsidRPr="00A41CBB">
        <w:rPr>
          <w:rFonts w:eastAsia="Times New Roman" w:cs="Times New Roman"/>
          <w:szCs w:val="19"/>
          <w:lang w:eastAsia="pl-PL"/>
        </w:rPr>
        <w:t>32,9</w:t>
      </w:r>
      <w:r w:rsidR="002701D8" w:rsidRPr="00A41CBB">
        <w:rPr>
          <w:rFonts w:eastAsia="Times New Roman" w:cs="Times New Roman"/>
          <w:szCs w:val="19"/>
          <w:lang w:eastAsia="pl-PL"/>
        </w:rPr>
        <w:t>% – wartość sprzedanych towarów i materiałów)</w:t>
      </w:r>
      <w:r w:rsidR="00AB3DD1" w:rsidRPr="00A41CBB">
        <w:rPr>
          <w:rFonts w:eastAsia="Times New Roman" w:cs="Times New Roman"/>
          <w:szCs w:val="19"/>
          <w:lang w:eastAsia="pl-PL"/>
        </w:rPr>
        <w:t xml:space="preserve">. Udział </w:t>
      </w:r>
      <w:r w:rsidR="00E113D1" w:rsidRPr="00A41CBB">
        <w:rPr>
          <w:rFonts w:eastAsia="Times New Roman" w:cs="Times New Roman"/>
          <w:szCs w:val="19"/>
          <w:lang w:eastAsia="pl-PL"/>
        </w:rPr>
        <w:t>kosztów finansowych</w:t>
      </w:r>
      <w:r w:rsidR="00E113D1" w:rsidRPr="00A41CBB">
        <w:t xml:space="preserve"> </w:t>
      </w:r>
      <w:r w:rsidR="00E113D1" w:rsidRPr="00A41CBB">
        <w:rPr>
          <w:rFonts w:eastAsia="Times New Roman" w:cs="Times New Roman"/>
          <w:szCs w:val="19"/>
          <w:lang w:eastAsia="pl-PL"/>
        </w:rPr>
        <w:t xml:space="preserve">w kosztach ogółem wyniósł 1,9%, a </w:t>
      </w:r>
      <w:r w:rsidR="00AB3DD1" w:rsidRPr="00A41CBB">
        <w:rPr>
          <w:rFonts w:eastAsia="Times New Roman" w:cs="Times New Roman"/>
          <w:szCs w:val="19"/>
          <w:lang w:eastAsia="pl-PL"/>
        </w:rPr>
        <w:t xml:space="preserve">pozostałych kosztów </w:t>
      </w:r>
      <w:r w:rsidR="002701D8" w:rsidRPr="00A41CBB">
        <w:rPr>
          <w:rFonts w:eastAsia="Times New Roman" w:cs="Times New Roman"/>
          <w:szCs w:val="19"/>
          <w:lang w:eastAsia="pl-PL"/>
        </w:rPr>
        <w:t>operacyjn</w:t>
      </w:r>
      <w:r w:rsidR="00AB3DD1" w:rsidRPr="00A41CBB">
        <w:rPr>
          <w:rFonts w:eastAsia="Times New Roman" w:cs="Times New Roman"/>
          <w:szCs w:val="19"/>
          <w:lang w:eastAsia="pl-PL"/>
        </w:rPr>
        <w:t>ych</w:t>
      </w:r>
      <w:r w:rsidR="00E113D1" w:rsidRPr="00A41CBB">
        <w:rPr>
          <w:rFonts w:eastAsia="Times New Roman" w:cs="Times New Roman"/>
          <w:szCs w:val="19"/>
          <w:lang w:eastAsia="pl-PL"/>
        </w:rPr>
        <w:t xml:space="preserve"> </w:t>
      </w:r>
      <w:r w:rsidR="002701D8" w:rsidRPr="00A41CBB">
        <w:rPr>
          <w:rFonts w:eastAsia="Times New Roman" w:cs="Times New Roman"/>
          <w:szCs w:val="19"/>
          <w:lang w:eastAsia="pl-PL"/>
        </w:rPr>
        <w:t>– 1,</w:t>
      </w:r>
      <w:r w:rsidR="00386936" w:rsidRPr="00A41CBB">
        <w:rPr>
          <w:rFonts w:eastAsia="Times New Roman" w:cs="Times New Roman"/>
          <w:szCs w:val="19"/>
          <w:lang w:eastAsia="pl-PL"/>
        </w:rPr>
        <w:t>5</w:t>
      </w:r>
      <w:r w:rsidR="002701D8" w:rsidRPr="00A41CBB">
        <w:rPr>
          <w:rFonts w:eastAsia="Times New Roman" w:cs="Times New Roman"/>
          <w:szCs w:val="19"/>
          <w:lang w:eastAsia="pl-PL"/>
        </w:rPr>
        <w:t>%</w:t>
      </w:r>
      <w:r w:rsidR="00D23909" w:rsidRPr="00A41CBB">
        <w:rPr>
          <w:rFonts w:eastAsia="Times New Roman" w:cs="Times New Roman"/>
          <w:szCs w:val="19"/>
          <w:lang w:eastAsia="pl-PL"/>
        </w:rPr>
        <w:t xml:space="preserve">. </w:t>
      </w:r>
      <w:r w:rsidR="006557C3" w:rsidRPr="00A41CBB">
        <w:rPr>
          <w:rFonts w:eastAsia="Times New Roman" w:cs="Times New Roman"/>
          <w:szCs w:val="19"/>
          <w:lang w:eastAsia="pl-PL"/>
        </w:rPr>
        <w:t xml:space="preserve">Koszty ogółem poniesione przez przedsiębiorstwa duże stanowiły </w:t>
      </w:r>
      <w:r w:rsidR="00386936" w:rsidRPr="00A41CBB">
        <w:rPr>
          <w:rFonts w:eastAsia="Times New Roman" w:cs="Times New Roman"/>
          <w:szCs w:val="19"/>
          <w:lang w:eastAsia="pl-PL"/>
        </w:rPr>
        <w:t>61,4</w:t>
      </w:r>
      <w:r w:rsidR="006557C3" w:rsidRPr="00A41CBB">
        <w:rPr>
          <w:rFonts w:eastAsia="Times New Roman" w:cs="Times New Roman"/>
          <w:szCs w:val="19"/>
          <w:lang w:eastAsia="pl-PL"/>
        </w:rPr>
        <w:t>% kosztów wszystkich badanych przedsiębiorstw</w:t>
      </w:r>
      <w:r w:rsidR="000B78A6">
        <w:rPr>
          <w:rFonts w:eastAsia="Times New Roman" w:cs="Times New Roman"/>
          <w:szCs w:val="19"/>
          <w:lang w:eastAsia="pl-PL"/>
        </w:rPr>
        <w:t>, j</w:t>
      </w:r>
      <w:r w:rsidR="006557C3" w:rsidRPr="00A41CBB">
        <w:rPr>
          <w:rFonts w:eastAsia="Times New Roman" w:cs="Times New Roman"/>
          <w:szCs w:val="19"/>
          <w:lang w:eastAsia="pl-PL"/>
        </w:rPr>
        <w:t xml:space="preserve">ednostki średnie poniosły </w:t>
      </w:r>
      <w:r w:rsidR="00386936" w:rsidRPr="00A41CBB">
        <w:rPr>
          <w:rFonts w:eastAsia="Times New Roman" w:cs="Times New Roman"/>
          <w:szCs w:val="19"/>
          <w:lang w:eastAsia="pl-PL"/>
        </w:rPr>
        <w:t>25,3</w:t>
      </w:r>
      <w:r w:rsidR="006557C3" w:rsidRPr="00A41CBB">
        <w:rPr>
          <w:rFonts w:eastAsia="Times New Roman" w:cs="Times New Roman"/>
          <w:szCs w:val="19"/>
          <w:lang w:eastAsia="pl-PL"/>
        </w:rPr>
        <w:t>% kosztów ogółem, a małe – 13,</w:t>
      </w:r>
      <w:r w:rsidR="00386936" w:rsidRPr="00A41CBB">
        <w:rPr>
          <w:rFonts w:eastAsia="Times New Roman" w:cs="Times New Roman"/>
          <w:szCs w:val="19"/>
          <w:lang w:eastAsia="pl-PL"/>
        </w:rPr>
        <w:t>3</w:t>
      </w:r>
      <w:r w:rsidR="006557C3" w:rsidRPr="00A41CBB">
        <w:rPr>
          <w:rFonts w:eastAsia="Times New Roman" w:cs="Times New Roman"/>
          <w:szCs w:val="19"/>
          <w:lang w:eastAsia="pl-PL"/>
        </w:rPr>
        <w:t>%.</w:t>
      </w:r>
    </w:p>
    <w:p w14:paraId="458522E9" w14:textId="664B9F56" w:rsidR="006B1976" w:rsidRPr="00A41CBB" w:rsidRDefault="006B1976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A41CBB">
        <w:rPr>
          <w:rFonts w:eastAsia="Times New Roman" w:cs="Times New Roman"/>
          <w:szCs w:val="19"/>
          <w:lang w:eastAsia="pl-PL"/>
        </w:rPr>
        <w:t>Wy</w:t>
      </w:r>
      <w:r w:rsidR="00E334C8" w:rsidRPr="00A41CBB">
        <w:rPr>
          <w:rFonts w:eastAsia="Times New Roman" w:cs="Times New Roman"/>
          <w:szCs w:val="19"/>
          <w:lang w:eastAsia="pl-PL"/>
        </w:rPr>
        <w:t>ni</w:t>
      </w:r>
      <w:r w:rsidR="008C1701" w:rsidRPr="00A41CBB">
        <w:rPr>
          <w:rFonts w:eastAsia="Times New Roman" w:cs="Times New Roman"/>
          <w:szCs w:val="19"/>
          <w:lang w:eastAsia="pl-PL"/>
        </w:rPr>
        <w:t xml:space="preserve">k finansowy brutto wyniósł </w:t>
      </w:r>
      <w:r w:rsidR="002B6843" w:rsidRPr="00A41CBB">
        <w:rPr>
          <w:rFonts w:eastAsia="Times New Roman" w:cs="Times New Roman"/>
          <w:szCs w:val="19"/>
          <w:lang w:eastAsia="pl-PL"/>
        </w:rPr>
        <w:t>311,0</w:t>
      </w:r>
      <w:r w:rsidR="00CF0CE2" w:rsidRPr="00A41CBB">
        <w:rPr>
          <w:rFonts w:eastAsia="Times New Roman" w:cs="Times New Roman"/>
          <w:szCs w:val="19"/>
          <w:lang w:eastAsia="pl-PL"/>
        </w:rPr>
        <w:t xml:space="preserve"> </w:t>
      </w:r>
      <w:r w:rsidR="001B7A93" w:rsidRPr="00A41CBB">
        <w:rPr>
          <w:rFonts w:eastAsia="Times New Roman" w:cs="Times New Roman"/>
          <w:szCs w:val="19"/>
          <w:lang w:eastAsia="pl-PL"/>
        </w:rPr>
        <w:t>mld zł, natomiast o</w:t>
      </w:r>
      <w:r w:rsidRPr="00A41CBB">
        <w:rPr>
          <w:rFonts w:eastAsia="Times New Roman" w:cs="Times New Roman"/>
          <w:szCs w:val="19"/>
          <w:lang w:eastAsia="pl-PL"/>
        </w:rPr>
        <w:t xml:space="preserve">bowiązkowe obciążenia wyniku </w:t>
      </w:r>
      <w:r w:rsidR="001B7A93" w:rsidRPr="00A41CBB">
        <w:rPr>
          <w:rFonts w:eastAsia="Times New Roman" w:cs="Times New Roman"/>
          <w:szCs w:val="19"/>
          <w:lang w:eastAsia="pl-PL"/>
        </w:rPr>
        <w:t>finansowego brutto –</w:t>
      </w:r>
      <w:r w:rsidR="008C1701" w:rsidRPr="00A41CBB">
        <w:rPr>
          <w:rFonts w:eastAsia="Times New Roman" w:cs="Times New Roman"/>
          <w:szCs w:val="19"/>
          <w:lang w:eastAsia="pl-PL"/>
        </w:rPr>
        <w:t xml:space="preserve"> </w:t>
      </w:r>
      <w:r w:rsidR="009846B0" w:rsidRPr="00A41CBB">
        <w:rPr>
          <w:rFonts w:eastAsia="Times New Roman" w:cs="Times New Roman"/>
          <w:szCs w:val="19"/>
          <w:lang w:eastAsia="pl-PL"/>
        </w:rPr>
        <w:t>57,5</w:t>
      </w:r>
      <w:r w:rsidR="00CF0CE2" w:rsidRPr="00A41CBB">
        <w:rPr>
          <w:rFonts w:eastAsia="Times New Roman" w:cs="Times New Roman"/>
          <w:szCs w:val="19"/>
          <w:lang w:eastAsia="pl-PL"/>
        </w:rPr>
        <w:t xml:space="preserve"> </w:t>
      </w:r>
      <w:r w:rsidRPr="00A41CBB">
        <w:rPr>
          <w:rFonts w:eastAsia="Times New Roman" w:cs="Times New Roman"/>
          <w:szCs w:val="19"/>
          <w:lang w:eastAsia="pl-PL"/>
        </w:rPr>
        <w:t>mld zł. Wynik finansowy netto uk</w:t>
      </w:r>
      <w:r w:rsidR="00E334C8" w:rsidRPr="00A41CBB">
        <w:rPr>
          <w:rFonts w:eastAsia="Times New Roman" w:cs="Times New Roman"/>
          <w:szCs w:val="19"/>
          <w:lang w:eastAsia="pl-PL"/>
        </w:rPr>
        <w:t xml:space="preserve">ształtował się na poziomie </w:t>
      </w:r>
      <w:r w:rsidR="00454EA1" w:rsidRPr="00A41CBB">
        <w:rPr>
          <w:rFonts w:eastAsia="Times New Roman" w:cs="Times New Roman"/>
          <w:szCs w:val="19"/>
          <w:lang w:eastAsia="pl-PL"/>
        </w:rPr>
        <w:br/>
      </w:r>
      <w:r w:rsidR="009846B0" w:rsidRPr="00A41CBB">
        <w:rPr>
          <w:rFonts w:eastAsia="Times New Roman" w:cs="Times New Roman"/>
          <w:szCs w:val="19"/>
          <w:lang w:eastAsia="pl-PL"/>
        </w:rPr>
        <w:t>253,4</w:t>
      </w:r>
      <w:r w:rsidR="00CF0CE2" w:rsidRPr="00A41CBB">
        <w:rPr>
          <w:rFonts w:eastAsia="Times New Roman" w:cs="Times New Roman"/>
          <w:szCs w:val="19"/>
          <w:lang w:eastAsia="pl-PL"/>
        </w:rPr>
        <w:t xml:space="preserve"> </w:t>
      </w:r>
      <w:r w:rsidRPr="00A41CBB">
        <w:rPr>
          <w:rFonts w:eastAsia="Times New Roman" w:cs="Times New Roman"/>
          <w:szCs w:val="19"/>
          <w:lang w:eastAsia="pl-PL"/>
        </w:rPr>
        <w:t>mld zł</w:t>
      </w:r>
      <w:r w:rsidR="00D84B12" w:rsidRPr="00A41CBB">
        <w:rPr>
          <w:rFonts w:eastAsia="Times New Roman" w:cs="Times New Roman"/>
          <w:szCs w:val="19"/>
          <w:lang w:eastAsia="pl-PL"/>
        </w:rPr>
        <w:t>.</w:t>
      </w:r>
    </w:p>
    <w:p w14:paraId="4EB21E0C" w14:textId="5299CD3F" w:rsidR="006C0A49" w:rsidRPr="00A41CBB" w:rsidRDefault="006557C3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A41CBB">
        <w:rPr>
          <w:rFonts w:eastAsia="Times New Roman" w:cs="Times New Roman"/>
          <w:szCs w:val="19"/>
          <w:lang w:eastAsia="pl-PL"/>
        </w:rPr>
        <w:t>W</w:t>
      </w:r>
      <w:r w:rsidR="002701D8" w:rsidRPr="00A41CBB">
        <w:rPr>
          <w:rFonts w:eastAsia="Times New Roman" w:cs="Times New Roman"/>
          <w:szCs w:val="19"/>
          <w:lang w:eastAsia="pl-PL"/>
        </w:rPr>
        <w:t xml:space="preserve"> 202</w:t>
      </w:r>
      <w:r w:rsidR="00CF0CE2" w:rsidRPr="00A41CBB">
        <w:rPr>
          <w:rFonts w:eastAsia="Times New Roman" w:cs="Times New Roman"/>
          <w:szCs w:val="19"/>
          <w:lang w:eastAsia="pl-PL"/>
        </w:rPr>
        <w:t>5</w:t>
      </w:r>
      <w:r w:rsidR="002701D8" w:rsidRPr="00A41CBB">
        <w:rPr>
          <w:rFonts w:eastAsia="Times New Roman" w:cs="Times New Roman"/>
          <w:szCs w:val="19"/>
          <w:lang w:eastAsia="pl-PL"/>
        </w:rPr>
        <w:t xml:space="preserve"> r</w:t>
      </w:r>
      <w:r w:rsidR="00CF0CE2" w:rsidRPr="00A41CBB">
        <w:rPr>
          <w:rFonts w:eastAsia="Times New Roman" w:cs="Times New Roman"/>
          <w:szCs w:val="19"/>
          <w:lang w:eastAsia="pl-PL"/>
        </w:rPr>
        <w:t>.</w:t>
      </w:r>
      <w:r w:rsidR="002701D8" w:rsidRPr="00A41CBB">
        <w:rPr>
          <w:rFonts w:eastAsia="Times New Roman" w:cs="Times New Roman"/>
          <w:szCs w:val="19"/>
          <w:lang w:eastAsia="pl-PL"/>
        </w:rPr>
        <w:t xml:space="preserve"> nakłady inwestycyjne ogółem badanych przedsiębiorstw o liczbie pracujących </w:t>
      </w:r>
      <w:r w:rsidRPr="00A41CBB">
        <w:rPr>
          <w:rFonts w:eastAsia="Times New Roman" w:cs="Times New Roman"/>
          <w:szCs w:val="19"/>
          <w:lang w:eastAsia="pl-PL"/>
        </w:rPr>
        <w:t>1</w:t>
      </w:r>
      <w:r w:rsidR="002701D8" w:rsidRPr="00A41CBB">
        <w:rPr>
          <w:rFonts w:eastAsia="Times New Roman" w:cs="Times New Roman"/>
          <w:szCs w:val="19"/>
          <w:lang w:eastAsia="pl-PL"/>
        </w:rPr>
        <w:t xml:space="preserve">0 i więcej osób prowadzących księgi rachunkowe wyniosły </w:t>
      </w:r>
      <w:r w:rsidR="009846B0" w:rsidRPr="00A41CBB">
        <w:rPr>
          <w:rFonts w:eastAsia="Times New Roman" w:cs="Times New Roman"/>
          <w:szCs w:val="19"/>
          <w:lang w:eastAsia="pl-PL"/>
        </w:rPr>
        <w:t>248,1</w:t>
      </w:r>
      <w:r w:rsidR="00CF0CE2" w:rsidRPr="00A41CBB">
        <w:rPr>
          <w:rFonts w:eastAsia="Times New Roman" w:cs="Times New Roman"/>
          <w:szCs w:val="19"/>
          <w:lang w:eastAsia="pl-PL"/>
        </w:rPr>
        <w:t xml:space="preserve"> </w:t>
      </w:r>
      <w:r w:rsidR="002701D8" w:rsidRPr="00A41CBB">
        <w:rPr>
          <w:rFonts w:eastAsia="Times New Roman" w:cs="Times New Roman"/>
          <w:szCs w:val="19"/>
          <w:lang w:eastAsia="pl-PL"/>
        </w:rPr>
        <w:t xml:space="preserve">mld zł. </w:t>
      </w:r>
      <w:r w:rsidRPr="00A41CBB">
        <w:rPr>
          <w:rFonts w:eastAsia="Times New Roman" w:cs="Times New Roman"/>
          <w:szCs w:val="19"/>
          <w:lang w:eastAsia="pl-PL"/>
        </w:rPr>
        <w:t xml:space="preserve">Przedsiębiorstwa duże zrealizowały </w:t>
      </w:r>
      <w:r w:rsidR="009846B0" w:rsidRPr="00A41CBB">
        <w:rPr>
          <w:rFonts w:eastAsia="Times New Roman" w:cs="Times New Roman"/>
          <w:szCs w:val="19"/>
          <w:lang w:eastAsia="pl-PL"/>
        </w:rPr>
        <w:t>71,5</w:t>
      </w:r>
      <w:r w:rsidRPr="00A41CBB">
        <w:rPr>
          <w:rFonts w:eastAsia="Times New Roman" w:cs="Times New Roman"/>
          <w:szCs w:val="19"/>
          <w:lang w:eastAsia="pl-PL"/>
        </w:rPr>
        <w:t xml:space="preserve">% ogółu nakładów inwestycyjnych poniesionych przez badane przedsiębiorstwa o liczbie pracujących 10 osób i więcej, jednostki średnie – </w:t>
      </w:r>
      <w:r w:rsidR="009846B0" w:rsidRPr="00A41CBB">
        <w:rPr>
          <w:rFonts w:eastAsia="Times New Roman" w:cs="Times New Roman"/>
          <w:szCs w:val="19"/>
          <w:lang w:eastAsia="pl-PL"/>
        </w:rPr>
        <w:t>19,3</w:t>
      </w:r>
      <w:r w:rsidRPr="00A41CBB">
        <w:rPr>
          <w:rFonts w:eastAsia="Times New Roman" w:cs="Times New Roman"/>
          <w:szCs w:val="19"/>
          <w:lang w:eastAsia="pl-PL"/>
        </w:rPr>
        <w:t xml:space="preserve">% nakładów, a jednostki małe – </w:t>
      </w:r>
      <w:r w:rsidR="009846B0" w:rsidRPr="00A41CBB">
        <w:rPr>
          <w:rFonts w:eastAsia="Times New Roman" w:cs="Times New Roman"/>
          <w:szCs w:val="19"/>
          <w:lang w:eastAsia="pl-PL"/>
        </w:rPr>
        <w:t>9,2</w:t>
      </w:r>
      <w:r w:rsidRPr="00A41CBB">
        <w:rPr>
          <w:rFonts w:eastAsia="Times New Roman" w:cs="Times New Roman"/>
          <w:szCs w:val="19"/>
          <w:lang w:eastAsia="pl-PL"/>
        </w:rPr>
        <w:t>%.</w:t>
      </w:r>
    </w:p>
    <w:p w14:paraId="279D08AC" w14:textId="77777777" w:rsidR="00385CD3" w:rsidRPr="00A41CBB" w:rsidRDefault="00385CD3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667861A1" w14:textId="77777777" w:rsidR="007D49BE" w:rsidRPr="00A41CBB" w:rsidRDefault="007D49BE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4A3DB8DA" w14:textId="38365722" w:rsidR="00F87422" w:rsidRPr="00A41CBB" w:rsidRDefault="005764E9" w:rsidP="00097009">
      <w:pPr>
        <w:pStyle w:val="LID"/>
        <w:contextualSpacing/>
      </w:pPr>
      <w:r w:rsidRPr="00A41CBB">
        <w:t xml:space="preserve">Tablica 1. Podstawowe dane o badanych </w:t>
      </w:r>
      <w:r w:rsidR="004751DD" w:rsidRPr="00A41CBB">
        <w:t>przedsiębiorstwach w</w:t>
      </w:r>
      <w:r w:rsidR="00E00FCF" w:rsidRPr="00A41CBB">
        <w:t xml:space="preserve"> 202</w:t>
      </w:r>
      <w:r w:rsidR="00602F33" w:rsidRPr="00A41CBB">
        <w:t>5</w:t>
      </w:r>
      <w:r w:rsidR="004751DD" w:rsidRPr="00A41CBB">
        <w:t xml:space="preserve"> r</w:t>
      </w:r>
      <w:r w:rsidR="00184BE9" w:rsidRPr="00A41CBB">
        <w:t>.</w:t>
      </w:r>
    </w:p>
    <w:p w14:paraId="3CE95A7D" w14:textId="77777777" w:rsidR="00D4360D" w:rsidRPr="00A41CBB" w:rsidRDefault="00D4360D" w:rsidP="00B66CE2">
      <w:pPr>
        <w:pStyle w:val="LID"/>
        <w:contextualSpacing/>
        <w:rPr>
          <w:rFonts w:asciiTheme="minorHAnsi" w:hAnsiTheme="minorHAnsi"/>
          <w:b w:val="0"/>
          <w:noProof w:val="0"/>
          <w:sz w:val="22"/>
          <w:szCs w:val="22"/>
          <w:lang w:eastAsia="en-US"/>
        </w:rPr>
      </w:pPr>
    </w:p>
    <w:tbl>
      <w:tblPr>
        <w:tblW w:w="7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1. Podstawowe dane o badanych przedsiębiorstwach w 2025 r."/>
        <w:tblDescription w:val="Tablica. Dane zawarte w tablicy 1. znajdują się w pliku XLSX pod nazwą: Wyniki finansowe przedsiębiorstw w 2025 r. Tablice w formacie XLSX"/>
      </w:tblPr>
      <w:tblGrid>
        <w:gridCol w:w="3420"/>
        <w:gridCol w:w="1120"/>
        <w:gridCol w:w="1000"/>
        <w:gridCol w:w="1120"/>
        <w:gridCol w:w="1140"/>
      </w:tblGrid>
      <w:tr w:rsidR="006557C3" w:rsidRPr="00A41CBB" w14:paraId="108A6129" w14:textId="77777777" w:rsidTr="00C3296D">
        <w:trPr>
          <w:trHeight w:val="315"/>
        </w:trPr>
        <w:tc>
          <w:tcPr>
            <w:tcW w:w="3420" w:type="dxa"/>
            <w:vMerge w:val="restart"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61BE55B" w14:textId="77777777" w:rsidR="006557C3" w:rsidRPr="00A41CBB" w:rsidRDefault="006557C3" w:rsidP="00E36BA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rPr>
                <w:rFonts w:eastAsia="Times New Roman" w:cs="Calibri"/>
                <w:color w:val="000000"/>
                <w:szCs w:val="19"/>
                <w:lang w:eastAsia="pl-PL"/>
              </w:rPr>
              <w:t>Wyszczególnienie</w:t>
            </w:r>
          </w:p>
        </w:tc>
        <w:tc>
          <w:tcPr>
            <w:tcW w:w="1120" w:type="dxa"/>
            <w:vMerge w:val="restart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73A8B34" w14:textId="77777777" w:rsidR="006557C3" w:rsidRPr="00A41CBB" w:rsidRDefault="006557C3" w:rsidP="00E36BA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rPr>
                <w:rFonts w:eastAsia="Times New Roman" w:cs="Calibri"/>
                <w:color w:val="000000"/>
                <w:szCs w:val="19"/>
                <w:lang w:eastAsia="pl-PL"/>
              </w:rPr>
              <w:t>Ogółem</w:t>
            </w:r>
          </w:p>
        </w:tc>
        <w:tc>
          <w:tcPr>
            <w:tcW w:w="3260" w:type="dxa"/>
            <w:gridSpan w:val="3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BFB3E1B" w14:textId="77777777" w:rsidR="006557C3" w:rsidRPr="00A41CBB" w:rsidRDefault="006557C3" w:rsidP="00E36BA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rPr>
                <w:rFonts w:eastAsia="Times New Roman" w:cs="Calibri"/>
                <w:color w:val="000000"/>
                <w:szCs w:val="19"/>
                <w:lang w:eastAsia="pl-PL"/>
              </w:rPr>
              <w:t>Liczba pracujących</w:t>
            </w:r>
          </w:p>
        </w:tc>
      </w:tr>
      <w:tr w:rsidR="006557C3" w:rsidRPr="00A41CBB" w14:paraId="26B36156" w14:textId="77777777" w:rsidTr="00C3296D">
        <w:trPr>
          <w:trHeight w:val="315"/>
        </w:trPr>
        <w:tc>
          <w:tcPr>
            <w:tcW w:w="3420" w:type="dxa"/>
            <w:vMerge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27BE2315" w14:textId="77777777" w:rsidR="006557C3" w:rsidRPr="00A41CBB" w:rsidRDefault="006557C3" w:rsidP="00E36BA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120" w:type="dxa"/>
            <w:vMerge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4454B784" w14:textId="77777777" w:rsidR="006557C3" w:rsidRPr="00A41CBB" w:rsidRDefault="006557C3" w:rsidP="00E36BA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1112976" w14:textId="77777777" w:rsidR="006557C3" w:rsidRPr="00A41CBB" w:rsidRDefault="006557C3" w:rsidP="00E36BA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rPr>
                <w:rFonts w:eastAsia="Times New Roman" w:cs="Calibri"/>
                <w:color w:val="000000"/>
                <w:szCs w:val="19"/>
                <w:lang w:eastAsia="pl-PL"/>
              </w:rPr>
              <w:t>10</w:t>
            </w:r>
            <w:r w:rsidRPr="00A41CBB">
              <w:rPr>
                <w:rFonts w:eastAsia="Times New Roman" w:cs="Times New Roman"/>
                <w:szCs w:val="19"/>
                <w:lang w:eastAsia="pl-PL"/>
              </w:rPr>
              <w:t>–</w:t>
            </w:r>
            <w:r w:rsidRPr="00A41CBB">
              <w:rPr>
                <w:rFonts w:eastAsia="Times New Roman" w:cs="Calibri"/>
                <w:color w:val="000000"/>
                <w:szCs w:val="19"/>
                <w:lang w:eastAsia="pl-PL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A703391" w14:textId="77777777" w:rsidR="006557C3" w:rsidRPr="00A41CBB" w:rsidRDefault="006557C3" w:rsidP="00E36BA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rPr>
                <w:rFonts w:eastAsia="Times New Roman" w:cs="Calibri"/>
                <w:color w:val="000000"/>
                <w:szCs w:val="19"/>
                <w:lang w:eastAsia="pl-PL"/>
              </w:rPr>
              <w:t>50</w:t>
            </w:r>
            <w:r w:rsidRPr="00A41CBB">
              <w:rPr>
                <w:rFonts w:eastAsia="Times New Roman" w:cs="Times New Roman"/>
                <w:szCs w:val="19"/>
                <w:lang w:eastAsia="pl-PL"/>
              </w:rPr>
              <w:t>–</w:t>
            </w:r>
            <w:r w:rsidRPr="00A41CBB">
              <w:rPr>
                <w:rFonts w:eastAsia="Times New Roman" w:cs="Calibri"/>
                <w:color w:val="000000"/>
                <w:szCs w:val="19"/>
                <w:lang w:eastAsia="pl-PL"/>
              </w:rPr>
              <w:t>249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D76EECA" w14:textId="77777777" w:rsidR="006557C3" w:rsidRPr="00A41CBB" w:rsidRDefault="006557C3" w:rsidP="00E36BA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rPr>
                <w:rFonts w:eastAsia="Times New Roman" w:cs="Calibri"/>
                <w:color w:val="000000"/>
                <w:szCs w:val="19"/>
                <w:lang w:eastAsia="pl-PL"/>
              </w:rPr>
              <w:t>250 i więcej</w:t>
            </w:r>
          </w:p>
        </w:tc>
      </w:tr>
      <w:tr w:rsidR="009846B0" w:rsidRPr="00A41CBB" w14:paraId="7BC91BBB" w14:textId="77777777" w:rsidTr="00C3296D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AA9E6F0" w14:textId="77777777" w:rsidR="009846B0" w:rsidRPr="00A41CBB" w:rsidRDefault="009846B0" w:rsidP="009846B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rPr>
                <w:rFonts w:eastAsia="Times New Roman" w:cs="Calibri"/>
                <w:color w:val="000000"/>
                <w:szCs w:val="19"/>
                <w:lang w:eastAsia="pl-PL"/>
              </w:rPr>
              <w:t>Liczba przedsiębiorstw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30D5A57" w14:textId="2AA2F143" w:rsidR="009846B0" w:rsidRPr="00A41CBB" w:rsidRDefault="009846B0" w:rsidP="009846B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rPr>
                <w:rFonts w:eastAsia="Times New Roman" w:cs="Calibri"/>
                <w:color w:val="000000"/>
                <w:szCs w:val="19"/>
                <w:lang w:eastAsia="pl-PL"/>
              </w:rPr>
              <w:t>51</w:t>
            </w:r>
            <w:r w:rsidR="000D7DBC" w:rsidRPr="00A41CBB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r w:rsidRPr="00A41CBB">
              <w:rPr>
                <w:rFonts w:eastAsia="Times New Roman" w:cs="Calibri"/>
                <w:color w:val="000000"/>
                <w:szCs w:val="19"/>
                <w:lang w:eastAsia="pl-PL"/>
              </w:rPr>
              <w:t>866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24FB955" w14:textId="480E724D" w:rsidR="009846B0" w:rsidRPr="00A41CBB" w:rsidRDefault="009846B0" w:rsidP="009846B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rPr>
                <w:rFonts w:eastAsia="Times New Roman" w:cs="Calibri"/>
                <w:color w:val="000000"/>
                <w:szCs w:val="19"/>
                <w:lang w:eastAsia="pl-PL"/>
              </w:rPr>
              <w:t>33</w:t>
            </w:r>
            <w:r w:rsidR="000D7DBC" w:rsidRPr="00A41CBB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r w:rsidRPr="00A41CBB">
              <w:rPr>
                <w:rFonts w:eastAsia="Times New Roman" w:cs="Calibri"/>
                <w:color w:val="000000"/>
                <w:szCs w:val="19"/>
                <w:lang w:eastAsia="pl-PL"/>
              </w:rPr>
              <w:t>569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785EA4A" w14:textId="6D43E171" w:rsidR="009846B0" w:rsidRPr="00A41CBB" w:rsidRDefault="009846B0" w:rsidP="009846B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rPr>
                <w:rFonts w:eastAsia="Times New Roman" w:cs="Calibri"/>
                <w:color w:val="000000"/>
                <w:szCs w:val="19"/>
                <w:lang w:eastAsia="pl-PL"/>
              </w:rPr>
              <w:t>14</w:t>
            </w:r>
            <w:r w:rsidR="000D7DBC" w:rsidRPr="00A41CBB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r w:rsidRPr="00A41CBB">
              <w:rPr>
                <w:rFonts w:eastAsia="Times New Roman" w:cs="Calibri"/>
                <w:color w:val="000000"/>
                <w:szCs w:val="19"/>
                <w:lang w:eastAsia="pl-PL"/>
              </w:rPr>
              <w:t>337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5779EEC0" w14:textId="602C9459" w:rsidR="009846B0" w:rsidRPr="00A41CBB" w:rsidRDefault="009846B0" w:rsidP="009846B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rPr>
                <w:rFonts w:eastAsia="Times New Roman" w:cs="Calibri"/>
                <w:color w:val="000000"/>
                <w:szCs w:val="19"/>
                <w:lang w:eastAsia="pl-PL"/>
              </w:rPr>
              <w:t>3</w:t>
            </w:r>
            <w:r w:rsidR="000D7DBC" w:rsidRPr="00A41CBB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r w:rsidRPr="00A41CBB">
              <w:rPr>
                <w:rFonts w:eastAsia="Times New Roman" w:cs="Calibri"/>
                <w:color w:val="000000"/>
                <w:szCs w:val="19"/>
                <w:lang w:eastAsia="pl-PL"/>
              </w:rPr>
              <w:t>960</w:t>
            </w:r>
          </w:p>
        </w:tc>
      </w:tr>
      <w:tr w:rsidR="009846B0" w:rsidRPr="00A41CBB" w14:paraId="1F65B0DD" w14:textId="77777777" w:rsidTr="00C3296D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D39C8EC" w14:textId="77777777" w:rsidR="009846B0" w:rsidRPr="00A41CBB" w:rsidRDefault="009846B0" w:rsidP="009846B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rPr>
                <w:rFonts w:eastAsia="Times New Roman" w:cs="Calibri"/>
                <w:color w:val="000000"/>
                <w:szCs w:val="19"/>
                <w:lang w:eastAsia="pl-PL"/>
              </w:rPr>
              <w:t>Liczba pracujących w osobach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CDDE677" w14:textId="16ED9D80" w:rsidR="009846B0" w:rsidRPr="00A41CBB" w:rsidRDefault="009846B0" w:rsidP="009846B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5 678 709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7DF5040" w14:textId="7BB50FD3" w:rsidR="009846B0" w:rsidRPr="00A41CBB" w:rsidRDefault="009846B0" w:rsidP="009846B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760 915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D168C1A" w14:textId="2819AAAA" w:rsidR="009846B0" w:rsidRPr="00A41CBB" w:rsidRDefault="009846B0" w:rsidP="009846B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1 534 979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509AE04" w14:textId="71D07591" w:rsidR="009846B0" w:rsidRPr="00A41CBB" w:rsidRDefault="009846B0" w:rsidP="009846B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3 382 815</w:t>
            </w:r>
          </w:p>
        </w:tc>
      </w:tr>
      <w:tr w:rsidR="006557C3" w:rsidRPr="00A41CBB" w14:paraId="3958C68C" w14:textId="77777777" w:rsidTr="00C3296D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B3EC6DC" w14:textId="77777777" w:rsidR="006557C3" w:rsidRPr="00A41CBB" w:rsidRDefault="006557C3" w:rsidP="00E36BA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rPr>
                <w:rFonts w:eastAsia="Times New Roman" w:cs="Calibri"/>
                <w:color w:val="000000"/>
                <w:szCs w:val="19"/>
                <w:lang w:eastAsia="pl-PL"/>
              </w:rPr>
              <w:t> </w:t>
            </w:r>
          </w:p>
        </w:tc>
        <w:tc>
          <w:tcPr>
            <w:tcW w:w="4380" w:type="dxa"/>
            <w:gridSpan w:val="4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525F9EB7" w14:textId="77777777" w:rsidR="006557C3" w:rsidRPr="00A41CBB" w:rsidRDefault="006557C3" w:rsidP="00E36BA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rPr>
                <w:rFonts w:eastAsia="Times New Roman" w:cs="Calibri"/>
                <w:color w:val="000000"/>
                <w:szCs w:val="19"/>
                <w:lang w:eastAsia="pl-PL"/>
              </w:rPr>
              <w:t>w mln zł</w:t>
            </w:r>
          </w:p>
        </w:tc>
      </w:tr>
      <w:tr w:rsidR="009846B0" w:rsidRPr="00A41CBB" w14:paraId="7677324F" w14:textId="77777777" w:rsidTr="00C3296D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DC5AA33" w14:textId="77777777" w:rsidR="009846B0" w:rsidRPr="00A41CBB" w:rsidRDefault="009846B0" w:rsidP="009846B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rPr>
                <w:rFonts w:eastAsia="Times New Roman" w:cs="Calibri"/>
                <w:color w:val="000000"/>
                <w:szCs w:val="19"/>
                <w:lang w:eastAsia="pl-PL"/>
              </w:rPr>
              <w:t>Przychody ogółem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31F28FD" w14:textId="461E0B68" w:rsidR="009846B0" w:rsidRPr="00A41CBB" w:rsidRDefault="009846B0" w:rsidP="009846B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6 210 786,9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D74502C" w14:textId="1E625C57" w:rsidR="009846B0" w:rsidRPr="00A41CBB" w:rsidRDefault="009846B0" w:rsidP="009846B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837 824,8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2346ECB" w14:textId="66161456" w:rsidR="009846B0" w:rsidRPr="00A41CBB" w:rsidRDefault="009846B0" w:rsidP="009846B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1 575 037,7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08B2E2D" w14:textId="2A233FAB" w:rsidR="009846B0" w:rsidRPr="00A41CBB" w:rsidRDefault="009846B0" w:rsidP="009846B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3 797 924,4</w:t>
            </w:r>
          </w:p>
        </w:tc>
      </w:tr>
      <w:tr w:rsidR="0002318D" w:rsidRPr="00A41CBB" w14:paraId="0B17D43C" w14:textId="77777777" w:rsidTr="00C3296D">
        <w:trPr>
          <w:trHeight w:val="58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5D20938" w14:textId="77777777" w:rsidR="0002318D" w:rsidRPr="00A41CBB" w:rsidRDefault="0002318D" w:rsidP="0002318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  w tym przychody netto ze sprzedaży </w:t>
            </w:r>
            <w:r w:rsidRPr="00A41CBB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 xml:space="preserve">   produktów, towarów i materiałów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5B88CC5" w14:textId="3BBF51F7" w:rsidR="0002318D" w:rsidRPr="00A41CBB" w:rsidRDefault="0002318D" w:rsidP="0002318D">
            <w:pPr>
              <w:spacing w:before="0" w:after="0" w:line="240" w:lineRule="auto"/>
              <w:jc w:val="right"/>
            </w:pPr>
            <w:r w:rsidRPr="00A41CBB">
              <w:t>5</w:t>
            </w:r>
            <w:r w:rsidR="000D7DBC" w:rsidRPr="00A41CBB">
              <w:t xml:space="preserve"> </w:t>
            </w:r>
            <w:r w:rsidRPr="00A41CBB">
              <w:t>995</w:t>
            </w:r>
            <w:r w:rsidR="000D7DBC" w:rsidRPr="00A41CBB">
              <w:t xml:space="preserve"> </w:t>
            </w:r>
            <w:r w:rsidRPr="00A41CBB">
              <w:t>556,0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3FD6331" w14:textId="35B83537" w:rsidR="0002318D" w:rsidRPr="00A41CBB" w:rsidRDefault="0002318D" w:rsidP="0002318D">
            <w:pPr>
              <w:spacing w:before="0" w:after="0" w:line="240" w:lineRule="auto"/>
              <w:jc w:val="right"/>
            </w:pPr>
            <w:r w:rsidRPr="00A41CBB">
              <w:t>810</w:t>
            </w:r>
            <w:r w:rsidR="000D7DBC" w:rsidRPr="00A41CBB">
              <w:t xml:space="preserve"> </w:t>
            </w:r>
            <w:r w:rsidRPr="00A41CBB">
              <w:t>871,9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AD331EE" w14:textId="4B1F00AB" w:rsidR="0002318D" w:rsidRPr="00A41CBB" w:rsidRDefault="0002318D" w:rsidP="0002318D">
            <w:pPr>
              <w:spacing w:before="0" w:after="0" w:line="240" w:lineRule="auto"/>
              <w:jc w:val="right"/>
            </w:pPr>
            <w:r w:rsidRPr="00A41CBB">
              <w:t>1</w:t>
            </w:r>
            <w:r w:rsidR="000D7DBC" w:rsidRPr="00A41CBB">
              <w:t xml:space="preserve"> </w:t>
            </w:r>
            <w:r w:rsidRPr="00A41CBB">
              <w:t>521</w:t>
            </w:r>
            <w:r w:rsidR="000D7DBC" w:rsidRPr="00A41CBB">
              <w:t xml:space="preserve"> </w:t>
            </w:r>
            <w:r w:rsidRPr="00A41CBB">
              <w:t>779,9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32F5D37" w14:textId="0BFA29BC" w:rsidR="0002318D" w:rsidRPr="00A41CBB" w:rsidRDefault="0002318D" w:rsidP="0002318D">
            <w:pPr>
              <w:spacing w:before="0" w:after="0" w:line="240" w:lineRule="auto"/>
              <w:jc w:val="right"/>
            </w:pPr>
            <w:r w:rsidRPr="00A41CBB">
              <w:t>3</w:t>
            </w:r>
            <w:r w:rsidR="000D7DBC" w:rsidRPr="00A41CBB">
              <w:t xml:space="preserve"> </w:t>
            </w:r>
            <w:r w:rsidRPr="00A41CBB">
              <w:t>662</w:t>
            </w:r>
            <w:r w:rsidR="000D7DBC" w:rsidRPr="00A41CBB">
              <w:t xml:space="preserve"> </w:t>
            </w:r>
            <w:r w:rsidRPr="00A41CBB">
              <w:t>904,2</w:t>
            </w:r>
          </w:p>
        </w:tc>
      </w:tr>
      <w:tr w:rsidR="0002318D" w:rsidRPr="00A41CBB" w14:paraId="074E82CF" w14:textId="77777777" w:rsidTr="00C3296D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C35BFB0" w14:textId="77777777" w:rsidR="0002318D" w:rsidRPr="00A41CBB" w:rsidRDefault="0002318D" w:rsidP="0002318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rPr>
                <w:rFonts w:eastAsia="Times New Roman" w:cs="Calibri"/>
                <w:color w:val="000000"/>
                <w:szCs w:val="19"/>
                <w:lang w:eastAsia="pl-PL"/>
              </w:rPr>
              <w:t>Koszty ogółem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5079E21" w14:textId="355F92F4" w:rsidR="0002318D" w:rsidRPr="00A41CBB" w:rsidRDefault="0002318D" w:rsidP="0002318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5 899 812,1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04A0DA3" w14:textId="074A8DF2" w:rsidR="0002318D" w:rsidRPr="00A41CBB" w:rsidRDefault="0002318D" w:rsidP="0002318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783 096,6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3FA0227" w14:textId="04180C7A" w:rsidR="0002318D" w:rsidRPr="00A41CBB" w:rsidRDefault="0002318D" w:rsidP="0002318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1 494 331,6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9316723" w14:textId="4CB2ED68" w:rsidR="0002318D" w:rsidRPr="00A41CBB" w:rsidRDefault="0002318D" w:rsidP="0002318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3 622 384,0</w:t>
            </w:r>
          </w:p>
        </w:tc>
      </w:tr>
      <w:tr w:rsidR="0002318D" w:rsidRPr="00A41CBB" w14:paraId="5F57BF91" w14:textId="77777777" w:rsidTr="00C3296D">
        <w:trPr>
          <w:trHeight w:val="52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9FCF18C" w14:textId="77777777" w:rsidR="0002318D" w:rsidRPr="00A41CBB" w:rsidRDefault="0002318D" w:rsidP="0002318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  w tym koszt własny sprzedanych </w:t>
            </w:r>
            <w:r w:rsidRPr="00A41CBB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 xml:space="preserve">   produktów, towarów i materiałów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7CB8A76" w14:textId="1697B392" w:rsidR="0002318D" w:rsidRPr="00A41CBB" w:rsidRDefault="0002318D" w:rsidP="0002318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5 696 290,2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68B9B59" w14:textId="239A78E9" w:rsidR="0002318D" w:rsidRPr="00A41CBB" w:rsidRDefault="0002318D" w:rsidP="0002318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762 340,8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4D36DEF" w14:textId="2BEC4EDF" w:rsidR="0002318D" w:rsidRPr="00A41CBB" w:rsidRDefault="0002318D" w:rsidP="0002318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1 444 176,9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6E2D6A66" w14:textId="7DEB28F5" w:rsidR="0002318D" w:rsidRPr="00A41CBB" w:rsidRDefault="0002318D" w:rsidP="0002318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3 489 772,5</w:t>
            </w:r>
          </w:p>
        </w:tc>
      </w:tr>
      <w:tr w:rsidR="0002318D" w:rsidRPr="00A41CBB" w14:paraId="4996AC94" w14:textId="77777777" w:rsidTr="00C3296D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45D08E6" w14:textId="77777777" w:rsidR="0002318D" w:rsidRPr="00A41CBB" w:rsidRDefault="0002318D" w:rsidP="0002318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rPr>
                <w:rFonts w:eastAsia="Times New Roman" w:cs="Calibri"/>
                <w:color w:val="000000"/>
                <w:szCs w:val="19"/>
                <w:lang w:eastAsia="pl-PL"/>
              </w:rPr>
              <w:t>Wynik finansowy brutto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02B369F" w14:textId="261158F7" w:rsidR="0002318D" w:rsidRPr="00A41CBB" w:rsidRDefault="0002318D" w:rsidP="0002318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310 974,7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4DB4E26" w14:textId="627B0F93" w:rsidR="0002318D" w:rsidRPr="00A41CBB" w:rsidRDefault="0002318D" w:rsidP="0002318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54 728,3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C51E037" w14:textId="4F46997C" w:rsidR="0002318D" w:rsidRPr="00A41CBB" w:rsidRDefault="0002318D" w:rsidP="0002318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80 706,1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6C13AB11" w14:textId="2B25414B" w:rsidR="0002318D" w:rsidRPr="00A41CBB" w:rsidRDefault="0002318D" w:rsidP="0002318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175 540,4</w:t>
            </w:r>
          </w:p>
        </w:tc>
      </w:tr>
      <w:tr w:rsidR="0002318D" w:rsidRPr="00A41CBB" w14:paraId="179A8642" w14:textId="77777777" w:rsidTr="00C3296D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46777EB" w14:textId="77777777" w:rsidR="0002318D" w:rsidRPr="00A41CBB" w:rsidRDefault="0002318D" w:rsidP="0002318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rPr>
                <w:rFonts w:eastAsia="Times New Roman" w:cs="Calibri"/>
                <w:color w:val="000000"/>
                <w:szCs w:val="19"/>
                <w:lang w:eastAsia="pl-PL"/>
              </w:rPr>
              <w:t>Wynik finansowy netto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0703729" w14:textId="4FCB4AF1" w:rsidR="0002318D" w:rsidRPr="00A41CBB" w:rsidRDefault="0002318D" w:rsidP="0002318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253 437,4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C00C9A1" w14:textId="4E1C5A58" w:rsidR="0002318D" w:rsidRPr="00A41CBB" w:rsidRDefault="0002318D" w:rsidP="0002318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47 082,0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54405FF" w14:textId="1CF57FCF" w:rsidR="0002318D" w:rsidRPr="00A41CBB" w:rsidRDefault="0002318D" w:rsidP="0002318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66</w:t>
            </w:r>
            <w:r w:rsidR="003F20B9" w:rsidRPr="00A41CBB">
              <w:t xml:space="preserve"> </w:t>
            </w:r>
            <w:r w:rsidRPr="00A41CBB">
              <w:t>249,9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DA6EB37" w14:textId="1134DB27" w:rsidR="0002318D" w:rsidRPr="00A41CBB" w:rsidRDefault="0002318D" w:rsidP="0002318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140</w:t>
            </w:r>
            <w:r w:rsidR="003F20B9" w:rsidRPr="00A41CBB">
              <w:t xml:space="preserve"> </w:t>
            </w:r>
            <w:r w:rsidRPr="00A41CBB">
              <w:t>105,5</w:t>
            </w:r>
          </w:p>
        </w:tc>
      </w:tr>
      <w:tr w:rsidR="003F20B9" w:rsidRPr="00A41CBB" w14:paraId="183FE293" w14:textId="77777777" w:rsidTr="00C3296D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E1D4D52" w14:textId="77777777" w:rsidR="003F20B9" w:rsidRPr="00A41CBB" w:rsidRDefault="003F20B9" w:rsidP="003F20B9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rPr>
                <w:rFonts w:eastAsia="Times New Roman" w:cs="Calibri"/>
                <w:color w:val="000000"/>
                <w:szCs w:val="19"/>
                <w:lang w:eastAsia="pl-PL"/>
              </w:rPr>
              <w:t>Nakłady inwestycyjne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52C173B" w14:textId="1FB15317" w:rsidR="003F20B9" w:rsidRPr="00A41CBB" w:rsidRDefault="003F20B9" w:rsidP="003F20B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248 139,2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7842778" w14:textId="7F0FE42B" w:rsidR="003F20B9" w:rsidRPr="00A41CBB" w:rsidRDefault="003F20B9" w:rsidP="003F20B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22 950,6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3EB1C28" w14:textId="43646F55" w:rsidR="003F20B9" w:rsidRPr="00A41CBB" w:rsidRDefault="003F20B9" w:rsidP="003F20B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47 799,8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40424" w14:textId="4459C842" w:rsidR="003F20B9" w:rsidRPr="00A41CBB" w:rsidRDefault="003F20B9" w:rsidP="003F20B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177 388,8</w:t>
            </w:r>
          </w:p>
        </w:tc>
      </w:tr>
    </w:tbl>
    <w:p w14:paraId="4FB9833D" w14:textId="77777777" w:rsidR="00F87422" w:rsidRPr="00A41CBB" w:rsidRDefault="00F87422" w:rsidP="00B66CE2">
      <w:pPr>
        <w:pStyle w:val="LID"/>
        <w:contextualSpacing/>
      </w:pPr>
    </w:p>
    <w:p w14:paraId="1AECAD21" w14:textId="77777777" w:rsidR="004F415B" w:rsidRPr="00A41CBB" w:rsidRDefault="004F415B" w:rsidP="004F415B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color w:val="FF0000"/>
          <w:szCs w:val="19"/>
        </w:rPr>
      </w:pPr>
      <w:r w:rsidRPr="00A41CBB">
        <w:rPr>
          <w:rFonts w:cs="MyriadPro-Regular"/>
          <w:b/>
          <w:szCs w:val="19"/>
        </w:rPr>
        <w:t>Przedsiębiorstwa prowadzące księgi rachunkowe z przeważającym udziałem kapitału zagranicznego</w:t>
      </w:r>
      <w:r w:rsidR="007D71D5" w:rsidRPr="00A41CBB">
        <w:rPr>
          <w:rStyle w:val="Odwoanieprzypisudolnego"/>
          <w:rFonts w:cs="MyriadPro-Regular"/>
          <w:b/>
          <w:szCs w:val="19"/>
        </w:rPr>
        <w:footnoteReference w:id="2"/>
      </w:r>
    </w:p>
    <w:p w14:paraId="2812012E" w14:textId="2E5D0350" w:rsidR="00DF4E7A" w:rsidRPr="00A41CBB" w:rsidRDefault="00961C44" w:rsidP="002701D8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A41CBB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66C09A1D" wp14:editId="40CE7F29">
                <wp:simplePos x="0" y="0"/>
                <wp:positionH relativeFrom="rightMargin">
                  <wp:posOffset>182880</wp:posOffset>
                </wp:positionH>
                <wp:positionV relativeFrom="paragraph">
                  <wp:posOffset>1743075</wp:posOffset>
                </wp:positionV>
                <wp:extent cx="1693545" cy="1590675"/>
                <wp:effectExtent l="0" t="0" r="0" b="0"/>
                <wp:wrapTight wrapText="bothSides">
                  <wp:wrapPolygon edited="0">
                    <wp:start x="729" y="0"/>
                    <wp:lineTo x="729" y="21212"/>
                    <wp:lineTo x="20652" y="21212"/>
                    <wp:lineTo x="20652" y="0"/>
                    <wp:lineTo x="729" y="0"/>
                  </wp:wrapPolygon>
                </wp:wrapTight>
                <wp:docPr id="15" name="Pole tekstowe 15" descr="Przychody ogółem przedsiębiorstw z przeważającym kapitałem zagranicznym stanowiły 41,1% przychodów ogółu podmiotów objętych badaniem (odpowiedni udział kosztów wyniósł również 41,1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D495A" w14:textId="79D238DE" w:rsidR="002E4D20" w:rsidRPr="00846E02" w:rsidRDefault="00374011" w:rsidP="00824810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A41CBB">
                              <w:rPr>
                                <w:bCs w:val="0"/>
                              </w:rPr>
                              <w:t xml:space="preserve">Przychody ogółem przedsiębiorstw z przeważającym kapitałem zagranicznym stanowiły </w:t>
                            </w:r>
                            <w:r w:rsidR="002A44D4" w:rsidRPr="00A41CBB">
                              <w:rPr>
                                <w:bCs w:val="0"/>
                              </w:rPr>
                              <w:t>41,1</w:t>
                            </w:r>
                            <w:r w:rsidRPr="00A41CBB">
                              <w:rPr>
                                <w:bCs w:val="0"/>
                              </w:rPr>
                              <w:t>% przychodów ogółu podmiotów objętych badanie</w:t>
                            </w:r>
                            <w:r w:rsidR="000F5448" w:rsidRPr="00A41CBB">
                              <w:rPr>
                                <w:bCs w:val="0"/>
                              </w:rPr>
                              <w:t>m (</w:t>
                            </w:r>
                            <w:r w:rsidR="00D85211" w:rsidRPr="00A41CBB">
                              <w:rPr>
                                <w:bCs w:val="0"/>
                              </w:rPr>
                              <w:t xml:space="preserve">odpowiedni </w:t>
                            </w:r>
                            <w:r w:rsidR="000F5448" w:rsidRPr="00A41CBB">
                              <w:rPr>
                                <w:bCs w:val="0"/>
                              </w:rPr>
                              <w:t xml:space="preserve">udział </w:t>
                            </w:r>
                            <w:r w:rsidRPr="00A41CBB">
                              <w:rPr>
                                <w:bCs w:val="0"/>
                              </w:rPr>
                              <w:t>koszt</w:t>
                            </w:r>
                            <w:r w:rsidR="000F5448" w:rsidRPr="00A41CBB">
                              <w:rPr>
                                <w:bCs w:val="0"/>
                              </w:rPr>
                              <w:t xml:space="preserve">ów wyniósł </w:t>
                            </w:r>
                            <w:r w:rsidR="0077577E" w:rsidRPr="00A41CBB">
                              <w:rPr>
                                <w:bCs w:val="0"/>
                              </w:rPr>
                              <w:t xml:space="preserve">również </w:t>
                            </w:r>
                            <w:r w:rsidR="00AF6381" w:rsidRPr="00A41CBB">
                              <w:rPr>
                                <w:bCs w:val="0"/>
                              </w:rPr>
                              <w:t>41,1</w:t>
                            </w:r>
                            <w:r w:rsidRPr="00A41CBB">
                              <w:rPr>
                                <w:bCs w:val="0"/>
                              </w:rPr>
                              <w:t>%</w:t>
                            </w:r>
                            <w:r w:rsidR="000F5448" w:rsidRPr="00A41CBB">
                              <w:rPr>
                                <w:bCs w:val="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09A1D" id="Pole tekstowe 15" o:spid="_x0000_s1028" type="#_x0000_t202" alt="Przychody ogółem przedsiębiorstw z przeważającym kapitałem zagranicznym stanowiły 41,1% przychodów ogółu podmiotów objętych badaniem (odpowiedni udział kosztów wyniósł również 41,1%)" style="position:absolute;margin-left:14.4pt;margin-top:137.25pt;width:133.35pt;height:125.2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" filled="f" stroked="f">
                <v:textbox>
                  <w:txbxContent>
                    <w:p w14:paraId="740D495A" w14:textId="79D238DE" w:rsidR="002E4D20" w:rsidRPr="00846E02" w:rsidRDefault="00374011" w:rsidP="00824810">
                      <w:pPr>
                        <w:pStyle w:val="tekstzboku"/>
                        <w:rPr>
                          <w:bCs w:val="0"/>
                        </w:rPr>
                      </w:pPr>
                      <w:r w:rsidRPr="00A41CBB">
                        <w:rPr>
                          <w:bCs w:val="0"/>
                        </w:rPr>
                        <w:t xml:space="preserve">Przychody ogółem przedsiębiorstw z przeważającym kapitałem zagranicznym stanowiły </w:t>
                      </w:r>
                      <w:r w:rsidR="002A44D4" w:rsidRPr="00A41CBB">
                        <w:rPr>
                          <w:bCs w:val="0"/>
                        </w:rPr>
                        <w:t>41,1</w:t>
                      </w:r>
                      <w:r w:rsidRPr="00A41CBB">
                        <w:rPr>
                          <w:bCs w:val="0"/>
                        </w:rPr>
                        <w:t>% przychodów ogółu podmiotów objętych badanie</w:t>
                      </w:r>
                      <w:r w:rsidR="000F5448" w:rsidRPr="00A41CBB">
                        <w:rPr>
                          <w:bCs w:val="0"/>
                        </w:rPr>
                        <w:t>m (</w:t>
                      </w:r>
                      <w:r w:rsidR="00D85211" w:rsidRPr="00A41CBB">
                        <w:rPr>
                          <w:bCs w:val="0"/>
                        </w:rPr>
                        <w:t xml:space="preserve">odpowiedni </w:t>
                      </w:r>
                      <w:r w:rsidR="000F5448" w:rsidRPr="00A41CBB">
                        <w:rPr>
                          <w:bCs w:val="0"/>
                        </w:rPr>
                        <w:t xml:space="preserve">udział </w:t>
                      </w:r>
                      <w:r w:rsidRPr="00A41CBB">
                        <w:rPr>
                          <w:bCs w:val="0"/>
                        </w:rPr>
                        <w:t>koszt</w:t>
                      </w:r>
                      <w:r w:rsidR="000F5448" w:rsidRPr="00A41CBB">
                        <w:rPr>
                          <w:bCs w:val="0"/>
                        </w:rPr>
                        <w:t xml:space="preserve">ów wyniósł </w:t>
                      </w:r>
                      <w:r w:rsidR="0077577E" w:rsidRPr="00A41CBB">
                        <w:rPr>
                          <w:bCs w:val="0"/>
                        </w:rPr>
                        <w:t xml:space="preserve">również </w:t>
                      </w:r>
                      <w:r w:rsidR="00AF6381" w:rsidRPr="00A41CBB">
                        <w:rPr>
                          <w:bCs w:val="0"/>
                        </w:rPr>
                        <w:t>41,1</w:t>
                      </w:r>
                      <w:r w:rsidRPr="00A41CBB">
                        <w:rPr>
                          <w:bCs w:val="0"/>
                        </w:rPr>
                        <w:t>%</w:t>
                      </w:r>
                      <w:r w:rsidR="000F5448" w:rsidRPr="00A41CBB">
                        <w:rPr>
                          <w:bCs w:val="0"/>
                        </w:rP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940B58" w:rsidRPr="00A41CBB">
        <w:rPr>
          <w:rFonts w:eastAsia="Times New Roman" w:cs="Times New Roman"/>
          <w:szCs w:val="19"/>
          <w:lang w:eastAsia="pl-PL"/>
        </w:rPr>
        <w:t xml:space="preserve">W </w:t>
      </w:r>
      <w:r w:rsidR="002701D8" w:rsidRPr="00A41CBB">
        <w:rPr>
          <w:rFonts w:eastAsia="Times New Roman" w:cs="Times New Roman"/>
          <w:szCs w:val="19"/>
          <w:lang w:eastAsia="pl-PL"/>
        </w:rPr>
        <w:t xml:space="preserve">badanej zbiorowości przedsiębiorstw o liczbie pracujących </w:t>
      </w:r>
      <w:r w:rsidR="006557C3" w:rsidRPr="00A41CBB">
        <w:rPr>
          <w:rFonts w:eastAsia="Times New Roman" w:cs="Times New Roman"/>
          <w:szCs w:val="19"/>
          <w:lang w:eastAsia="pl-PL"/>
        </w:rPr>
        <w:t>1</w:t>
      </w:r>
      <w:r w:rsidR="002701D8" w:rsidRPr="00A41CBB">
        <w:rPr>
          <w:rFonts w:eastAsia="Times New Roman" w:cs="Times New Roman"/>
          <w:szCs w:val="19"/>
          <w:lang w:eastAsia="pl-PL"/>
        </w:rPr>
        <w:t xml:space="preserve">0 i więcej osób prowadzących księgi rachunkowe </w:t>
      </w:r>
      <w:r w:rsidR="003F20B9" w:rsidRPr="00A41CBB">
        <w:rPr>
          <w:rFonts w:eastAsia="Times New Roman" w:cs="Times New Roman"/>
          <w:szCs w:val="19"/>
          <w:lang w:eastAsia="pl-PL"/>
        </w:rPr>
        <w:t xml:space="preserve">8 506 </w:t>
      </w:r>
      <w:r w:rsidR="002701D8" w:rsidRPr="00A41CBB">
        <w:rPr>
          <w:rFonts w:eastAsia="Times New Roman" w:cs="Times New Roman"/>
          <w:szCs w:val="19"/>
          <w:lang w:eastAsia="pl-PL"/>
        </w:rPr>
        <w:t>jednostek posiadało przeważający udział kapitału zagranicznego</w:t>
      </w:r>
      <w:r w:rsidR="00C07AB0" w:rsidRPr="00A41CBB">
        <w:rPr>
          <w:rFonts w:eastAsia="Times New Roman" w:cs="Times New Roman"/>
          <w:szCs w:val="19"/>
          <w:lang w:eastAsia="pl-PL"/>
        </w:rPr>
        <w:t xml:space="preserve"> (</w:t>
      </w:r>
      <w:r w:rsidR="003F20B9" w:rsidRPr="00A41CBB">
        <w:rPr>
          <w:rFonts w:eastAsia="Times New Roman" w:cs="Times New Roman"/>
          <w:szCs w:val="19"/>
          <w:lang w:eastAsia="pl-PL"/>
        </w:rPr>
        <w:t>16,4</w:t>
      </w:r>
      <w:r w:rsidR="002701D8" w:rsidRPr="00A41CBB">
        <w:rPr>
          <w:rFonts w:eastAsia="Times New Roman" w:cs="Times New Roman"/>
          <w:szCs w:val="19"/>
          <w:lang w:eastAsia="pl-PL"/>
        </w:rPr>
        <w:t>% przedsiębiorstw</w:t>
      </w:r>
      <w:r w:rsidR="00C07AB0" w:rsidRPr="00A41CBB">
        <w:rPr>
          <w:rFonts w:eastAsia="Times New Roman" w:cs="Times New Roman"/>
          <w:szCs w:val="19"/>
          <w:lang w:eastAsia="pl-PL"/>
        </w:rPr>
        <w:t xml:space="preserve"> objętych badaniem)</w:t>
      </w:r>
      <w:r w:rsidR="002701D8" w:rsidRPr="00A41CBB">
        <w:rPr>
          <w:rFonts w:eastAsia="Times New Roman" w:cs="Times New Roman"/>
          <w:szCs w:val="19"/>
          <w:lang w:eastAsia="pl-PL"/>
        </w:rPr>
        <w:t xml:space="preserve">. </w:t>
      </w:r>
      <w:r w:rsidR="00DF4E7A" w:rsidRPr="00A41CBB">
        <w:rPr>
          <w:rFonts w:eastAsia="Times New Roman" w:cs="Times New Roman"/>
          <w:szCs w:val="19"/>
          <w:lang w:eastAsia="pl-PL"/>
        </w:rPr>
        <w:t>Wśród tych jednostek 44,</w:t>
      </w:r>
      <w:r w:rsidR="003F20B9" w:rsidRPr="00A41CBB">
        <w:rPr>
          <w:rFonts w:eastAsia="Times New Roman" w:cs="Times New Roman"/>
          <w:szCs w:val="19"/>
          <w:lang w:eastAsia="pl-PL"/>
        </w:rPr>
        <w:t>3</w:t>
      </w:r>
      <w:r w:rsidR="00DF4E7A" w:rsidRPr="00A41CBB">
        <w:rPr>
          <w:rFonts w:eastAsia="Times New Roman" w:cs="Times New Roman"/>
          <w:szCs w:val="19"/>
          <w:lang w:eastAsia="pl-PL"/>
        </w:rPr>
        <w:t>% stanowiły podmioty małe</w:t>
      </w:r>
      <w:r w:rsidR="000B78A6">
        <w:rPr>
          <w:rFonts w:eastAsia="Times New Roman" w:cs="Times New Roman"/>
          <w:szCs w:val="19"/>
          <w:lang w:eastAsia="pl-PL"/>
        </w:rPr>
        <w:t>, u</w:t>
      </w:r>
      <w:r w:rsidR="00DF4E7A" w:rsidRPr="00A41CBB">
        <w:rPr>
          <w:rFonts w:eastAsia="Times New Roman" w:cs="Times New Roman"/>
          <w:szCs w:val="19"/>
          <w:lang w:eastAsia="pl-PL"/>
        </w:rPr>
        <w:t xml:space="preserve">dział jednostek średnich wyniósł </w:t>
      </w:r>
      <w:r w:rsidR="003F20B9" w:rsidRPr="00A41CBB">
        <w:rPr>
          <w:rFonts w:eastAsia="Times New Roman" w:cs="Times New Roman"/>
          <w:szCs w:val="19"/>
          <w:lang w:eastAsia="pl-PL"/>
        </w:rPr>
        <w:t>36,0</w:t>
      </w:r>
      <w:r w:rsidR="00DF4E7A" w:rsidRPr="00A41CBB">
        <w:rPr>
          <w:rFonts w:eastAsia="Times New Roman" w:cs="Times New Roman"/>
          <w:szCs w:val="19"/>
          <w:lang w:eastAsia="pl-PL"/>
        </w:rPr>
        <w:t>%, a jednostek dużych</w:t>
      </w:r>
      <w:r w:rsidR="003F20B9" w:rsidRPr="00A41CBB">
        <w:rPr>
          <w:rFonts w:eastAsia="Times New Roman" w:cs="Times New Roman"/>
          <w:szCs w:val="19"/>
          <w:lang w:eastAsia="pl-PL"/>
        </w:rPr>
        <w:t xml:space="preserve"> </w:t>
      </w:r>
      <w:r w:rsidR="00DF4E7A" w:rsidRPr="00A41CBB">
        <w:rPr>
          <w:rFonts w:eastAsia="Times New Roman" w:cs="Times New Roman"/>
          <w:szCs w:val="19"/>
          <w:lang w:eastAsia="pl-PL"/>
        </w:rPr>
        <w:t xml:space="preserve">– </w:t>
      </w:r>
      <w:r w:rsidR="003F20B9" w:rsidRPr="00A41CBB">
        <w:rPr>
          <w:rFonts w:eastAsia="Times New Roman" w:cs="Times New Roman"/>
          <w:szCs w:val="19"/>
          <w:lang w:eastAsia="pl-PL"/>
        </w:rPr>
        <w:t>19,7</w:t>
      </w:r>
      <w:r w:rsidR="00DF4E7A" w:rsidRPr="00A41CBB">
        <w:rPr>
          <w:rFonts w:eastAsia="Times New Roman" w:cs="Times New Roman"/>
          <w:szCs w:val="19"/>
          <w:lang w:eastAsia="pl-PL"/>
        </w:rPr>
        <w:t>%.</w:t>
      </w:r>
      <w:r w:rsidR="002701D8" w:rsidRPr="00A41CBB">
        <w:rPr>
          <w:rFonts w:eastAsia="Times New Roman" w:cs="Times New Roman"/>
          <w:szCs w:val="19"/>
          <w:lang w:eastAsia="pl-PL"/>
        </w:rPr>
        <w:t xml:space="preserve"> Według stanu na </w:t>
      </w:r>
      <w:r w:rsidR="00256CB7" w:rsidRPr="00A41CBB">
        <w:rPr>
          <w:rFonts w:eastAsia="Times New Roman" w:cs="Times New Roman"/>
          <w:szCs w:val="19"/>
          <w:lang w:eastAsia="pl-PL"/>
        </w:rPr>
        <w:t>3</w:t>
      </w:r>
      <w:r w:rsidR="00DF4E7A" w:rsidRPr="00A41CBB">
        <w:rPr>
          <w:rFonts w:eastAsia="Times New Roman" w:cs="Times New Roman"/>
          <w:szCs w:val="19"/>
          <w:lang w:eastAsia="pl-PL"/>
        </w:rPr>
        <w:t>1</w:t>
      </w:r>
      <w:r w:rsidR="00256CB7" w:rsidRPr="00A41CBB">
        <w:rPr>
          <w:rFonts w:eastAsia="Times New Roman" w:cs="Times New Roman"/>
          <w:szCs w:val="19"/>
          <w:lang w:eastAsia="pl-PL"/>
        </w:rPr>
        <w:t xml:space="preserve"> </w:t>
      </w:r>
      <w:r w:rsidR="00DF4E7A" w:rsidRPr="00A41CBB">
        <w:rPr>
          <w:rFonts w:eastAsia="Times New Roman" w:cs="Times New Roman"/>
          <w:szCs w:val="19"/>
          <w:lang w:eastAsia="pl-PL"/>
        </w:rPr>
        <w:t>grudnia</w:t>
      </w:r>
      <w:r w:rsidR="002701D8" w:rsidRPr="00A41CBB">
        <w:rPr>
          <w:rFonts w:eastAsia="Times New Roman" w:cs="Times New Roman"/>
          <w:szCs w:val="19"/>
          <w:lang w:eastAsia="pl-PL"/>
        </w:rPr>
        <w:t xml:space="preserve"> 20</w:t>
      </w:r>
      <w:r w:rsidR="000B0C0D" w:rsidRPr="00A41CBB">
        <w:rPr>
          <w:rFonts w:eastAsia="Times New Roman" w:cs="Times New Roman"/>
          <w:szCs w:val="19"/>
          <w:lang w:eastAsia="pl-PL"/>
        </w:rPr>
        <w:t>25</w:t>
      </w:r>
      <w:r w:rsidR="002701D8" w:rsidRPr="00A41CBB">
        <w:rPr>
          <w:rFonts w:eastAsia="Times New Roman" w:cs="Times New Roman"/>
          <w:szCs w:val="19"/>
          <w:lang w:eastAsia="pl-PL"/>
        </w:rPr>
        <w:t xml:space="preserve"> r</w:t>
      </w:r>
      <w:r w:rsidR="000B0C0D" w:rsidRPr="00A41CBB">
        <w:rPr>
          <w:rFonts w:eastAsia="Times New Roman" w:cs="Times New Roman"/>
          <w:szCs w:val="19"/>
          <w:lang w:eastAsia="pl-PL"/>
        </w:rPr>
        <w:t>.</w:t>
      </w:r>
      <w:r w:rsidR="002701D8" w:rsidRPr="00A41CBB">
        <w:rPr>
          <w:rFonts w:eastAsia="Times New Roman" w:cs="Times New Roman"/>
          <w:szCs w:val="19"/>
          <w:lang w:eastAsia="pl-PL"/>
        </w:rPr>
        <w:t xml:space="preserve"> w przedsiębiorstwach z</w:t>
      </w:r>
      <w:r w:rsidR="00D662CC" w:rsidRPr="00A41CBB">
        <w:rPr>
          <w:rFonts w:eastAsia="Times New Roman" w:cs="Times New Roman"/>
          <w:szCs w:val="19"/>
          <w:lang w:eastAsia="pl-PL"/>
        </w:rPr>
        <w:t> </w:t>
      </w:r>
      <w:r w:rsidR="002701D8" w:rsidRPr="00A41CBB">
        <w:rPr>
          <w:rFonts w:eastAsia="Times New Roman" w:cs="Times New Roman"/>
          <w:szCs w:val="19"/>
          <w:lang w:eastAsia="pl-PL"/>
        </w:rPr>
        <w:t xml:space="preserve">przeważającym udziałem kapitału zagranicznego objętych badaniem pracowało </w:t>
      </w:r>
      <w:r w:rsidR="003F20B9" w:rsidRPr="00A41CBB">
        <w:rPr>
          <w:rFonts w:eastAsia="Times New Roman" w:cs="Times New Roman"/>
          <w:szCs w:val="19"/>
          <w:lang w:eastAsia="pl-PL"/>
        </w:rPr>
        <w:t xml:space="preserve">2 069,3 </w:t>
      </w:r>
      <w:r w:rsidR="002701D8" w:rsidRPr="00A41CBB">
        <w:rPr>
          <w:rFonts w:eastAsia="Times New Roman" w:cs="Times New Roman"/>
          <w:szCs w:val="19"/>
          <w:lang w:eastAsia="pl-PL"/>
        </w:rPr>
        <w:t>tys. osób</w:t>
      </w:r>
      <w:r w:rsidR="001928F7" w:rsidRPr="00A41CBB">
        <w:rPr>
          <w:rFonts w:eastAsia="Times New Roman" w:cs="Times New Roman"/>
          <w:szCs w:val="19"/>
          <w:lang w:eastAsia="pl-PL"/>
        </w:rPr>
        <w:t xml:space="preserve">. </w:t>
      </w:r>
      <w:r w:rsidR="00DF4E7A" w:rsidRPr="00A41CBB">
        <w:rPr>
          <w:rFonts w:eastAsia="Times New Roman" w:cs="Times New Roman"/>
          <w:szCs w:val="19"/>
          <w:lang w:eastAsia="pl-PL"/>
        </w:rPr>
        <w:t>W jednostkach małych pracowało 4,</w:t>
      </w:r>
      <w:r w:rsidR="00986A51" w:rsidRPr="00A41CBB">
        <w:rPr>
          <w:rFonts w:eastAsia="Times New Roman" w:cs="Times New Roman"/>
          <w:szCs w:val="19"/>
          <w:lang w:eastAsia="pl-PL"/>
        </w:rPr>
        <w:t>5</w:t>
      </w:r>
      <w:r w:rsidR="00DF4E7A" w:rsidRPr="00A41CBB">
        <w:rPr>
          <w:rFonts w:eastAsia="Times New Roman" w:cs="Times New Roman"/>
          <w:szCs w:val="19"/>
          <w:lang w:eastAsia="pl-PL"/>
        </w:rPr>
        <w:t>%</w:t>
      </w:r>
      <w:r w:rsidR="000B78A6">
        <w:rPr>
          <w:rFonts w:eastAsia="Times New Roman" w:cs="Times New Roman"/>
          <w:szCs w:val="19"/>
          <w:lang w:eastAsia="pl-PL"/>
        </w:rPr>
        <w:t xml:space="preserve"> osób</w:t>
      </w:r>
      <w:r w:rsidR="00DF4E7A" w:rsidRPr="00A41CBB">
        <w:rPr>
          <w:rFonts w:eastAsia="Times New Roman" w:cs="Times New Roman"/>
          <w:szCs w:val="19"/>
          <w:lang w:eastAsia="pl-PL"/>
        </w:rPr>
        <w:t>, w średnich – 17,</w:t>
      </w:r>
      <w:r w:rsidR="003F20B9" w:rsidRPr="00A41CBB">
        <w:rPr>
          <w:rFonts w:eastAsia="Times New Roman" w:cs="Times New Roman"/>
          <w:szCs w:val="19"/>
          <w:lang w:eastAsia="pl-PL"/>
        </w:rPr>
        <w:t>9</w:t>
      </w:r>
      <w:r w:rsidR="00DF4E7A" w:rsidRPr="00A41CBB">
        <w:rPr>
          <w:rFonts w:eastAsia="Times New Roman" w:cs="Times New Roman"/>
          <w:szCs w:val="19"/>
          <w:lang w:eastAsia="pl-PL"/>
        </w:rPr>
        <w:t xml:space="preserve">%, a w dużych – </w:t>
      </w:r>
      <w:r w:rsidR="003F20B9" w:rsidRPr="00A41CBB">
        <w:rPr>
          <w:rFonts w:eastAsia="Times New Roman" w:cs="Times New Roman"/>
          <w:szCs w:val="19"/>
          <w:lang w:eastAsia="pl-PL"/>
        </w:rPr>
        <w:t>77</w:t>
      </w:r>
      <w:r w:rsidR="00DF4E7A" w:rsidRPr="00A41CBB">
        <w:rPr>
          <w:rFonts w:eastAsia="Times New Roman" w:cs="Times New Roman"/>
          <w:szCs w:val="19"/>
          <w:lang w:eastAsia="pl-PL"/>
        </w:rPr>
        <w:t>,6%. Przeciętnie w przedsiębiorstwie z przeważającym udziałem kapitału zagranicznego według stanu na koniec 202</w:t>
      </w:r>
      <w:r w:rsidR="003F20B9" w:rsidRPr="00A41CBB">
        <w:rPr>
          <w:rFonts w:eastAsia="Times New Roman" w:cs="Times New Roman"/>
          <w:szCs w:val="19"/>
          <w:lang w:eastAsia="pl-PL"/>
        </w:rPr>
        <w:t>5</w:t>
      </w:r>
      <w:r w:rsidR="00DF4E7A" w:rsidRPr="00A41CBB">
        <w:rPr>
          <w:rFonts w:eastAsia="Times New Roman" w:cs="Times New Roman"/>
          <w:szCs w:val="19"/>
          <w:lang w:eastAsia="pl-PL"/>
        </w:rPr>
        <w:t xml:space="preserve"> r. pracował</w:t>
      </w:r>
      <w:r w:rsidR="00E97919" w:rsidRPr="00A41CBB">
        <w:rPr>
          <w:rFonts w:eastAsia="Times New Roman" w:cs="Times New Roman"/>
          <w:szCs w:val="19"/>
          <w:lang w:eastAsia="pl-PL"/>
        </w:rPr>
        <w:t>y</w:t>
      </w:r>
      <w:r w:rsidR="00DF4E7A" w:rsidRPr="00A41CBB">
        <w:rPr>
          <w:rFonts w:eastAsia="Times New Roman" w:cs="Times New Roman"/>
          <w:szCs w:val="19"/>
          <w:lang w:eastAsia="pl-PL"/>
        </w:rPr>
        <w:t xml:space="preserve"> 24</w:t>
      </w:r>
      <w:r w:rsidR="003F20B9" w:rsidRPr="00A41CBB">
        <w:rPr>
          <w:rFonts w:eastAsia="Times New Roman" w:cs="Times New Roman"/>
          <w:szCs w:val="19"/>
          <w:lang w:eastAsia="pl-PL"/>
        </w:rPr>
        <w:t>4</w:t>
      </w:r>
      <w:r w:rsidR="00DF4E7A" w:rsidRPr="00A41CBB">
        <w:rPr>
          <w:rFonts w:eastAsia="Times New Roman" w:cs="Times New Roman"/>
          <w:szCs w:val="19"/>
          <w:lang w:eastAsia="pl-PL"/>
        </w:rPr>
        <w:t xml:space="preserve"> os</w:t>
      </w:r>
      <w:r w:rsidR="003F20B9" w:rsidRPr="00A41CBB">
        <w:rPr>
          <w:rFonts w:eastAsia="Times New Roman" w:cs="Times New Roman"/>
          <w:szCs w:val="19"/>
          <w:lang w:eastAsia="pl-PL"/>
        </w:rPr>
        <w:t>oby</w:t>
      </w:r>
      <w:r w:rsidR="00DF4E7A" w:rsidRPr="00A41CBB">
        <w:rPr>
          <w:rFonts w:eastAsia="Times New Roman" w:cs="Times New Roman"/>
          <w:szCs w:val="19"/>
          <w:lang w:eastAsia="pl-PL"/>
        </w:rPr>
        <w:t>, w podmiocie dużym – 95</w:t>
      </w:r>
      <w:r w:rsidR="003F20B9" w:rsidRPr="00A41CBB">
        <w:rPr>
          <w:rFonts w:eastAsia="Times New Roman" w:cs="Times New Roman"/>
          <w:szCs w:val="19"/>
          <w:lang w:eastAsia="pl-PL"/>
        </w:rPr>
        <w:t>7</w:t>
      </w:r>
      <w:r w:rsidR="00DF4E7A" w:rsidRPr="00A41CBB">
        <w:rPr>
          <w:rFonts w:eastAsia="Times New Roman" w:cs="Times New Roman"/>
          <w:szCs w:val="19"/>
          <w:lang w:eastAsia="pl-PL"/>
        </w:rPr>
        <w:t xml:space="preserve"> osób, w średnim – 1</w:t>
      </w:r>
      <w:r w:rsidR="003F20B9" w:rsidRPr="00A41CBB">
        <w:rPr>
          <w:rFonts w:eastAsia="Times New Roman" w:cs="Times New Roman"/>
          <w:szCs w:val="19"/>
          <w:lang w:eastAsia="pl-PL"/>
        </w:rPr>
        <w:t>21</w:t>
      </w:r>
      <w:r w:rsidR="00DF4E7A" w:rsidRPr="00A41CBB">
        <w:rPr>
          <w:rFonts w:eastAsia="Times New Roman" w:cs="Times New Roman"/>
          <w:szCs w:val="19"/>
          <w:lang w:eastAsia="pl-PL"/>
        </w:rPr>
        <w:t xml:space="preserve"> osób, małym – 25 osób.</w:t>
      </w:r>
    </w:p>
    <w:p w14:paraId="25BF9B1B" w14:textId="15F7054D" w:rsidR="002701D8" w:rsidRPr="00A41CBB" w:rsidRDefault="002701D8" w:rsidP="002701D8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A41CBB">
        <w:rPr>
          <w:rFonts w:eastAsia="Times New Roman" w:cs="Times New Roman"/>
          <w:spacing w:val="-4"/>
          <w:szCs w:val="19"/>
          <w:lang w:eastAsia="pl-PL"/>
        </w:rPr>
        <w:t xml:space="preserve">Przychody ogółem tych podmiotów wyniosły </w:t>
      </w:r>
      <w:r w:rsidR="002A44D4" w:rsidRPr="00A41CBB">
        <w:rPr>
          <w:rFonts w:eastAsia="Times New Roman" w:cs="Times New Roman"/>
          <w:spacing w:val="-4"/>
          <w:szCs w:val="19"/>
          <w:lang w:eastAsia="pl-PL"/>
        </w:rPr>
        <w:t xml:space="preserve">2 551,4 </w:t>
      </w:r>
      <w:r w:rsidRPr="00A41CBB">
        <w:rPr>
          <w:rFonts w:eastAsia="Times New Roman" w:cs="Times New Roman"/>
          <w:spacing w:val="-4"/>
          <w:szCs w:val="19"/>
          <w:lang w:eastAsia="pl-PL"/>
        </w:rPr>
        <w:t xml:space="preserve">mld zł, a koszty ich uzyskania </w:t>
      </w:r>
      <w:r w:rsidR="002A44D4" w:rsidRPr="00A41CBB">
        <w:rPr>
          <w:rFonts w:eastAsia="Times New Roman" w:cs="Times New Roman"/>
          <w:spacing w:val="-4"/>
          <w:szCs w:val="19"/>
          <w:lang w:eastAsia="pl-PL"/>
        </w:rPr>
        <w:t xml:space="preserve">2 426,5 </w:t>
      </w:r>
      <w:r w:rsidRPr="00A41CBB">
        <w:rPr>
          <w:rFonts w:eastAsia="Times New Roman" w:cs="Times New Roman"/>
          <w:spacing w:val="-4"/>
          <w:szCs w:val="19"/>
          <w:lang w:eastAsia="pl-PL"/>
        </w:rPr>
        <w:t>mld zł.</w:t>
      </w:r>
      <w:r w:rsidRPr="00A41CBB">
        <w:rPr>
          <w:rFonts w:eastAsia="Times New Roman" w:cs="Times New Roman"/>
          <w:szCs w:val="19"/>
          <w:lang w:eastAsia="pl-PL"/>
        </w:rPr>
        <w:t xml:space="preserve"> Wynik finansowy brutto podmiotów z przeważającym udziałem kapitału zagranicznego </w:t>
      </w:r>
      <w:r w:rsidR="002A44D4" w:rsidRPr="00A41CBB">
        <w:rPr>
          <w:rFonts w:eastAsia="Times New Roman" w:cs="Times New Roman"/>
          <w:szCs w:val="19"/>
          <w:lang w:eastAsia="pl-PL"/>
        </w:rPr>
        <w:t xml:space="preserve">w </w:t>
      </w:r>
      <w:r w:rsidRPr="00A41CBB">
        <w:rPr>
          <w:rFonts w:eastAsia="Times New Roman" w:cs="Times New Roman"/>
          <w:szCs w:val="19"/>
          <w:lang w:eastAsia="pl-PL"/>
        </w:rPr>
        <w:t>202</w:t>
      </w:r>
      <w:r w:rsidR="004B7132" w:rsidRPr="00A41CBB">
        <w:rPr>
          <w:rFonts w:eastAsia="Times New Roman" w:cs="Times New Roman"/>
          <w:szCs w:val="19"/>
          <w:lang w:eastAsia="pl-PL"/>
        </w:rPr>
        <w:t>5</w:t>
      </w:r>
      <w:r w:rsidRPr="00A41CBB">
        <w:rPr>
          <w:rFonts w:eastAsia="Times New Roman" w:cs="Times New Roman"/>
          <w:szCs w:val="19"/>
          <w:lang w:eastAsia="pl-PL"/>
        </w:rPr>
        <w:t xml:space="preserve"> r</w:t>
      </w:r>
      <w:r w:rsidR="004B7132" w:rsidRPr="00A41CBB">
        <w:rPr>
          <w:rFonts w:eastAsia="Times New Roman" w:cs="Times New Roman"/>
          <w:szCs w:val="19"/>
          <w:lang w:eastAsia="pl-PL"/>
        </w:rPr>
        <w:t>.</w:t>
      </w:r>
      <w:r w:rsidRPr="00A41CBB">
        <w:rPr>
          <w:rFonts w:eastAsia="Times New Roman" w:cs="Times New Roman"/>
          <w:szCs w:val="19"/>
          <w:lang w:eastAsia="pl-PL"/>
        </w:rPr>
        <w:t xml:space="preserve"> wyniósł </w:t>
      </w:r>
      <w:r w:rsidR="002A44D4" w:rsidRPr="00A41CBB">
        <w:rPr>
          <w:rFonts w:eastAsia="Times New Roman" w:cs="Times New Roman"/>
          <w:szCs w:val="19"/>
          <w:lang w:eastAsia="pl-PL"/>
        </w:rPr>
        <w:t xml:space="preserve">124,9 </w:t>
      </w:r>
      <w:r w:rsidRPr="00A41CBB">
        <w:rPr>
          <w:rFonts w:eastAsia="Times New Roman" w:cs="Times New Roman"/>
          <w:szCs w:val="19"/>
          <w:lang w:eastAsia="pl-PL"/>
        </w:rPr>
        <w:t xml:space="preserve">mld zł. Obowiązkowe obciążenia wyniku finansowego brutto ukształtowały się na poziomie </w:t>
      </w:r>
      <w:r w:rsidR="002A44D4" w:rsidRPr="00A41CBB">
        <w:rPr>
          <w:rFonts w:eastAsia="Times New Roman" w:cs="Times New Roman"/>
          <w:szCs w:val="19"/>
          <w:lang w:eastAsia="pl-PL"/>
        </w:rPr>
        <w:t>21,9</w:t>
      </w:r>
      <w:r w:rsidRPr="00A41CBB">
        <w:rPr>
          <w:rFonts w:eastAsia="Times New Roman" w:cs="Times New Roman"/>
          <w:szCs w:val="19"/>
          <w:lang w:eastAsia="pl-PL"/>
        </w:rPr>
        <w:t xml:space="preserve"> mld zł. Wynik finansowy netto podmiotów z przeważającym udziałem kapitału zagranicznego osiągnął poziom </w:t>
      </w:r>
      <w:r w:rsidR="002A44D4" w:rsidRPr="00A41CBB">
        <w:rPr>
          <w:rFonts w:eastAsia="Times New Roman" w:cs="Times New Roman"/>
          <w:szCs w:val="19"/>
          <w:lang w:eastAsia="pl-PL"/>
        </w:rPr>
        <w:t>103,0</w:t>
      </w:r>
      <w:r w:rsidR="00F80B92" w:rsidRPr="00A41CBB">
        <w:rPr>
          <w:rFonts w:eastAsia="Times New Roman" w:cs="Times New Roman"/>
          <w:szCs w:val="19"/>
          <w:lang w:eastAsia="pl-PL"/>
        </w:rPr>
        <w:t xml:space="preserve"> </w:t>
      </w:r>
      <w:r w:rsidRPr="00A41CBB">
        <w:rPr>
          <w:rFonts w:eastAsia="Times New Roman" w:cs="Times New Roman"/>
          <w:szCs w:val="19"/>
          <w:lang w:eastAsia="pl-PL"/>
        </w:rPr>
        <w:t xml:space="preserve">mld zł i stanowił </w:t>
      </w:r>
      <w:r w:rsidR="002A44D4" w:rsidRPr="00A41CBB">
        <w:rPr>
          <w:rFonts w:eastAsia="Times New Roman" w:cs="Times New Roman"/>
          <w:szCs w:val="19"/>
          <w:lang w:eastAsia="pl-PL"/>
        </w:rPr>
        <w:t>40,6</w:t>
      </w:r>
      <w:r w:rsidRPr="00A41CBB">
        <w:rPr>
          <w:rFonts w:eastAsia="Times New Roman" w:cs="Times New Roman"/>
          <w:szCs w:val="19"/>
          <w:lang w:eastAsia="pl-PL"/>
        </w:rPr>
        <w:t xml:space="preserve">% wyniku finansowego netto wszystkich badanych podmiotów prowadzących księgi rachunkowe o liczbie pracujących </w:t>
      </w:r>
      <w:r w:rsidR="00DF4E7A" w:rsidRPr="00A41CBB">
        <w:rPr>
          <w:rFonts w:eastAsia="Times New Roman" w:cs="Times New Roman"/>
          <w:szCs w:val="19"/>
          <w:lang w:eastAsia="pl-PL"/>
        </w:rPr>
        <w:t>1</w:t>
      </w:r>
      <w:r w:rsidRPr="00A41CBB">
        <w:rPr>
          <w:rFonts w:eastAsia="Times New Roman" w:cs="Times New Roman"/>
          <w:szCs w:val="19"/>
          <w:lang w:eastAsia="pl-PL"/>
        </w:rPr>
        <w:t>0 i więcej osób.</w:t>
      </w:r>
    </w:p>
    <w:p w14:paraId="5E6E24E1" w14:textId="3DFC92B4" w:rsidR="00410566" w:rsidRPr="00A41CBB" w:rsidRDefault="002B4FF3" w:rsidP="00DF4E7A">
      <w:pPr>
        <w:spacing w:line="288" w:lineRule="auto"/>
      </w:pPr>
      <w:r w:rsidRPr="00A41CBB">
        <w:rPr>
          <w:rFonts w:eastAsia="Times New Roman" w:cs="Times New Roman"/>
          <w:szCs w:val="19"/>
          <w:lang w:eastAsia="pl-PL"/>
        </w:rPr>
        <w:t xml:space="preserve">Nakłady inwestycyjne ogółem badanych przedsiębiorstw z przeważającym udziałem kapitału zagranicznego </w:t>
      </w:r>
      <w:r w:rsidR="00DF4E7A" w:rsidRPr="00A41CBB">
        <w:rPr>
          <w:rFonts w:eastAsia="Times New Roman" w:cs="Times New Roman"/>
          <w:szCs w:val="19"/>
          <w:lang w:eastAsia="pl-PL"/>
        </w:rPr>
        <w:t>w</w:t>
      </w:r>
      <w:r w:rsidR="00831C29" w:rsidRPr="00A41CBB">
        <w:rPr>
          <w:rFonts w:eastAsia="Times New Roman" w:cs="Times New Roman"/>
          <w:szCs w:val="19"/>
          <w:lang w:eastAsia="pl-PL"/>
        </w:rPr>
        <w:t xml:space="preserve"> </w:t>
      </w:r>
      <w:r w:rsidRPr="00A41CBB">
        <w:rPr>
          <w:rFonts w:eastAsia="Times New Roman" w:cs="Times New Roman"/>
          <w:szCs w:val="19"/>
          <w:lang w:eastAsia="pl-PL"/>
        </w:rPr>
        <w:t>202</w:t>
      </w:r>
      <w:r w:rsidR="003F128C" w:rsidRPr="00A41CBB">
        <w:rPr>
          <w:rFonts w:eastAsia="Times New Roman" w:cs="Times New Roman"/>
          <w:szCs w:val="19"/>
          <w:lang w:eastAsia="pl-PL"/>
        </w:rPr>
        <w:t>5</w:t>
      </w:r>
      <w:r w:rsidRPr="00A41CBB">
        <w:rPr>
          <w:rFonts w:eastAsia="Times New Roman" w:cs="Times New Roman"/>
          <w:szCs w:val="19"/>
          <w:lang w:eastAsia="pl-PL"/>
        </w:rPr>
        <w:t xml:space="preserve"> r</w:t>
      </w:r>
      <w:r w:rsidR="003F128C" w:rsidRPr="00A41CBB">
        <w:rPr>
          <w:rFonts w:eastAsia="Times New Roman" w:cs="Times New Roman"/>
          <w:szCs w:val="19"/>
          <w:lang w:eastAsia="pl-PL"/>
        </w:rPr>
        <w:t>.</w:t>
      </w:r>
      <w:r w:rsidRPr="00A41CBB">
        <w:rPr>
          <w:rFonts w:eastAsia="Times New Roman" w:cs="Times New Roman"/>
          <w:szCs w:val="19"/>
          <w:lang w:eastAsia="pl-PL"/>
        </w:rPr>
        <w:t xml:space="preserve"> wyniosły </w:t>
      </w:r>
      <w:r w:rsidR="00AF6381" w:rsidRPr="00A41CBB">
        <w:rPr>
          <w:rFonts w:eastAsia="Times New Roman" w:cs="Times New Roman"/>
          <w:szCs w:val="19"/>
          <w:lang w:eastAsia="pl-PL"/>
        </w:rPr>
        <w:t>90,</w:t>
      </w:r>
      <w:r w:rsidR="00986A51" w:rsidRPr="00A41CBB">
        <w:rPr>
          <w:rFonts w:eastAsia="Times New Roman" w:cs="Times New Roman"/>
          <w:szCs w:val="19"/>
          <w:lang w:eastAsia="pl-PL"/>
        </w:rPr>
        <w:t>8</w:t>
      </w:r>
      <w:r w:rsidR="003F128C" w:rsidRPr="00A41CBB">
        <w:rPr>
          <w:rFonts w:eastAsia="Times New Roman" w:cs="Times New Roman"/>
          <w:szCs w:val="19"/>
          <w:lang w:eastAsia="pl-PL"/>
        </w:rPr>
        <w:t xml:space="preserve"> </w:t>
      </w:r>
      <w:r w:rsidRPr="00A41CBB">
        <w:rPr>
          <w:rFonts w:eastAsia="Times New Roman" w:cs="Times New Roman"/>
          <w:szCs w:val="19"/>
          <w:lang w:eastAsia="pl-PL"/>
        </w:rPr>
        <w:t xml:space="preserve">mld zł i stanowiły </w:t>
      </w:r>
      <w:r w:rsidR="00986A51" w:rsidRPr="00A41CBB">
        <w:rPr>
          <w:rFonts w:eastAsia="Times New Roman" w:cs="Times New Roman"/>
          <w:szCs w:val="19"/>
          <w:lang w:eastAsia="pl-PL"/>
        </w:rPr>
        <w:t>36,6</w:t>
      </w:r>
      <w:r w:rsidRPr="00A41CBB">
        <w:rPr>
          <w:rFonts w:eastAsia="Times New Roman" w:cs="Times New Roman"/>
          <w:szCs w:val="19"/>
          <w:lang w:eastAsia="pl-PL"/>
        </w:rPr>
        <w:t xml:space="preserve">% nakładów inwestycyjnych ogółem badanych podmiotów prowadzących księgi rachunkowe o liczbie pracujących </w:t>
      </w:r>
      <w:r w:rsidR="00DF4E7A" w:rsidRPr="00A41CBB">
        <w:rPr>
          <w:rFonts w:eastAsia="Times New Roman" w:cs="Times New Roman"/>
          <w:szCs w:val="19"/>
          <w:lang w:eastAsia="pl-PL"/>
        </w:rPr>
        <w:t>1</w:t>
      </w:r>
      <w:r w:rsidRPr="00A41CBB">
        <w:rPr>
          <w:rFonts w:eastAsia="Times New Roman" w:cs="Times New Roman"/>
          <w:szCs w:val="19"/>
          <w:lang w:eastAsia="pl-PL"/>
        </w:rPr>
        <w:t xml:space="preserve">0 i więcej osób. </w:t>
      </w:r>
      <w:r w:rsidR="00DF4E7A" w:rsidRPr="00A41CBB">
        <w:rPr>
          <w:rFonts w:eastAsia="Times New Roman" w:cs="Times New Roman"/>
          <w:szCs w:val="19"/>
          <w:lang w:eastAsia="pl-PL"/>
        </w:rPr>
        <w:t xml:space="preserve">Udział w nakładach jednostek dużych wyniósł </w:t>
      </w:r>
      <w:r w:rsidR="00AF6381" w:rsidRPr="00A41CBB">
        <w:rPr>
          <w:rFonts w:eastAsia="Times New Roman" w:cs="Times New Roman"/>
          <w:szCs w:val="19"/>
          <w:lang w:eastAsia="pl-PL"/>
        </w:rPr>
        <w:t>76,4</w:t>
      </w:r>
      <w:r w:rsidR="00DF4E7A" w:rsidRPr="00A41CBB">
        <w:rPr>
          <w:rFonts w:eastAsia="Times New Roman" w:cs="Times New Roman"/>
          <w:szCs w:val="19"/>
          <w:lang w:eastAsia="pl-PL"/>
        </w:rPr>
        <w:t>%, jednostek średnich – 17,</w:t>
      </w:r>
      <w:r w:rsidR="00AF6381" w:rsidRPr="00A41CBB">
        <w:rPr>
          <w:rFonts w:eastAsia="Times New Roman" w:cs="Times New Roman"/>
          <w:szCs w:val="19"/>
          <w:lang w:eastAsia="pl-PL"/>
        </w:rPr>
        <w:t>8</w:t>
      </w:r>
      <w:r w:rsidR="00DF4E7A" w:rsidRPr="00A41CBB">
        <w:rPr>
          <w:rFonts w:eastAsia="Times New Roman" w:cs="Times New Roman"/>
          <w:szCs w:val="19"/>
          <w:lang w:eastAsia="pl-PL"/>
        </w:rPr>
        <w:t xml:space="preserve">%, a jednostek małych – </w:t>
      </w:r>
      <w:r w:rsidR="00AF6381" w:rsidRPr="00A41CBB">
        <w:rPr>
          <w:rFonts w:eastAsia="Times New Roman" w:cs="Times New Roman"/>
          <w:szCs w:val="19"/>
          <w:lang w:eastAsia="pl-PL"/>
        </w:rPr>
        <w:t>5,8</w:t>
      </w:r>
      <w:r w:rsidR="00DF4E7A" w:rsidRPr="00A41CBB">
        <w:rPr>
          <w:rFonts w:eastAsia="Times New Roman" w:cs="Times New Roman"/>
          <w:szCs w:val="19"/>
          <w:lang w:eastAsia="pl-PL"/>
        </w:rPr>
        <w:t>%.</w:t>
      </w:r>
    </w:p>
    <w:p w14:paraId="396D8D94" w14:textId="77777777" w:rsidR="003A094E" w:rsidRPr="00A41CBB" w:rsidRDefault="003A094E" w:rsidP="00EF15FA">
      <w:pPr>
        <w:pStyle w:val="LID"/>
        <w:contextualSpacing/>
      </w:pPr>
    </w:p>
    <w:p w14:paraId="4289BF47" w14:textId="20D908AC" w:rsidR="00410566" w:rsidRPr="00A41CBB" w:rsidRDefault="00410566" w:rsidP="00EF15FA">
      <w:pPr>
        <w:pStyle w:val="LID"/>
        <w:contextualSpacing/>
      </w:pPr>
    </w:p>
    <w:p w14:paraId="412E846D" w14:textId="309B308D" w:rsidR="00C87D88" w:rsidRPr="00A41CBB" w:rsidRDefault="00C87D88" w:rsidP="00EF15FA">
      <w:pPr>
        <w:pStyle w:val="LID"/>
        <w:contextualSpacing/>
      </w:pPr>
    </w:p>
    <w:p w14:paraId="4CA25ABA" w14:textId="0B7F72AE" w:rsidR="00C87D88" w:rsidRPr="00A41CBB" w:rsidRDefault="00C87D88" w:rsidP="00EF15FA">
      <w:pPr>
        <w:pStyle w:val="LID"/>
        <w:contextualSpacing/>
      </w:pPr>
    </w:p>
    <w:p w14:paraId="335F4046" w14:textId="77777777" w:rsidR="00C87D88" w:rsidRPr="00A41CBB" w:rsidRDefault="00C87D88" w:rsidP="00EF15FA">
      <w:pPr>
        <w:pStyle w:val="LID"/>
        <w:contextualSpacing/>
      </w:pPr>
    </w:p>
    <w:p w14:paraId="3D93DDC9" w14:textId="77777777" w:rsidR="00C146FA" w:rsidRPr="00A41CBB" w:rsidRDefault="00C146FA" w:rsidP="00EF15FA">
      <w:pPr>
        <w:pStyle w:val="LID"/>
        <w:contextualSpacing/>
      </w:pPr>
    </w:p>
    <w:p w14:paraId="397BE414" w14:textId="1CED819C" w:rsidR="00D65C66" w:rsidRPr="00A41CBB" w:rsidRDefault="004751DD" w:rsidP="00EF15FA">
      <w:pPr>
        <w:pStyle w:val="LID"/>
        <w:contextualSpacing/>
      </w:pPr>
      <w:r w:rsidRPr="00A41CBB">
        <w:t xml:space="preserve">Tablica 2. Podstawowe dane o badanych przedsiębiorstwach z przeważającym udziałem kapitału zagranicznego </w:t>
      </w:r>
      <w:r w:rsidR="008E33D6" w:rsidRPr="00A41CBB">
        <w:t>w</w:t>
      </w:r>
      <w:r w:rsidR="00F80B92" w:rsidRPr="00A41CBB">
        <w:t xml:space="preserve"> </w:t>
      </w:r>
      <w:r w:rsidR="00D13922" w:rsidRPr="00A41CBB">
        <w:t>202</w:t>
      </w:r>
      <w:r w:rsidR="005116DF" w:rsidRPr="00A41CBB">
        <w:t>5</w:t>
      </w:r>
      <w:r w:rsidRPr="00A41CBB">
        <w:t xml:space="preserve"> r</w:t>
      </w:r>
      <w:r w:rsidR="00184BE9" w:rsidRPr="00A41CBB">
        <w:t>.</w:t>
      </w:r>
    </w:p>
    <w:p w14:paraId="60E9B293" w14:textId="77777777" w:rsidR="00AA2E45" w:rsidRPr="00A41CBB" w:rsidRDefault="00AA2E45" w:rsidP="00EF15FA">
      <w:pPr>
        <w:pStyle w:val="LID"/>
        <w:contextualSpacing/>
        <w:rPr>
          <w:rFonts w:asciiTheme="minorHAnsi" w:hAnsiTheme="minorHAnsi"/>
          <w:b w:val="0"/>
          <w:noProof w:val="0"/>
          <w:sz w:val="22"/>
          <w:szCs w:val="22"/>
          <w:lang w:eastAsia="en-US"/>
        </w:rPr>
      </w:pPr>
    </w:p>
    <w:tbl>
      <w:tblPr>
        <w:tblW w:w="78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2. Podstawowe dane o badanych przedsiębiorstwach z przeważającym udziałem kapitału zagranicznego w 2025 r."/>
        <w:tblDescription w:val="Tablica. Dane zawarte w tablicy 2. znajdują się w pliku XLSX pod nazwą: Wyniki finansowe przedsiębiorstw w 2025 r. Tablice w formacie XLSX"/>
      </w:tblPr>
      <w:tblGrid>
        <w:gridCol w:w="3402"/>
        <w:gridCol w:w="1138"/>
        <w:gridCol w:w="1000"/>
        <w:gridCol w:w="1123"/>
        <w:gridCol w:w="1137"/>
      </w:tblGrid>
      <w:tr w:rsidR="008E33D6" w:rsidRPr="00A41CBB" w14:paraId="1A1C797C" w14:textId="77777777" w:rsidTr="00C3296D">
        <w:trPr>
          <w:trHeight w:val="315"/>
        </w:trPr>
        <w:tc>
          <w:tcPr>
            <w:tcW w:w="3402" w:type="dxa"/>
            <w:vMerge w:val="restart"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20CAEFE" w14:textId="77777777" w:rsidR="008E33D6" w:rsidRPr="00A41CBB" w:rsidRDefault="008E33D6" w:rsidP="00E36BA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rPr>
                <w:rFonts w:eastAsia="Times New Roman" w:cs="Calibri"/>
                <w:color w:val="000000"/>
                <w:szCs w:val="19"/>
                <w:lang w:eastAsia="pl-PL"/>
              </w:rPr>
              <w:t>Wyszczególnienie</w:t>
            </w:r>
          </w:p>
        </w:tc>
        <w:tc>
          <w:tcPr>
            <w:tcW w:w="1138" w:type="dxa"/>
            <w:vMerge w:val="restart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BA21493" w14:textId="77777777" w:rsidR="008E33D6" w:rsidRPr="00A41CBB" w:rsidRDefault="008E33D6" w:rsidP="00E36BA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rPr>
                <w:rFonts w:eastAsia="Times New Roman" w:cs="Calibri"/>
                <w:color w:val="000000"/>
                <w:szCs w:val="19"/>
                <w:lang w:eastAsia="pl-PL"/>
              </w:rPr>
              <w:t>Ogółem</w:t>
            </w:r>
          </w:p>
        </w:tc>
        <w:tc>
          <w:tcPr>
            <w:tcW w:w="3260" w:type="dxa"/>
            <w:gridSpan w:val="3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23FC1E20" w14:textId="77777777" w:rsidR="008E33D6" w:rsidRPr="00A41CBB" w:rsidRDefault="008E33D6" w:rsidP="00E36BA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rPr>
                <w:rFonts w:eastAsia="Times New Roman" w:cs="Calibri"/>
                <w:color w:val="000000"/>
                <w:szCs w:val="19"/>
                <w:lang w:eastAsia="pl-PL"/>
              </w:rPr>
              <w:t>Li</w:t>
            </w:r>
            <w:bookmarkStart w:id="0" w:name="_GoBack"/>
            <w:bookmarkEnd w:id="0"/>
            <w:r w:rsidRPr="00A41CBB">
              <w:rPr>
                <w:rFonts w:eastAsia="Times New Roman" w:cs="Calibri"/>
                <w:color w:val="000000"/>
                <w:szCs w:val="19"/>
                <w:lang w:eastAsia="pl-PL"/>
              </w:rPr>
              <w:t>czba pracujących</w:t>
            </w:r>
          </w:p>
        </w:tc>
      </w:tr>
      <w:tr w:rsidR="008E33D6" w:rsidRPr="00A41CBB" w14:paraId="4F4C31CC" w14:textId="77777777" w:rsidTr="00C3296D">
        <w:trPr>
          <w:trHeight w:val="315"/>
        </w:trPr>
        <w:tc>
          <w:tcPr>
            <w:tcW w:w="3402" w:type="dxa"/>
            <w:vMerge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516D44F1" w14:textId="77777777" w:rsidR="008E33D6" w:rsidRPr="00A41CBB" w:rsidRDefault="008E33D6" w:rsidP="00E36BA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138" w:type="dxa"/>
            <w:vMerge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67FAA28C" w14:textId="77777777" w:rsidR="008E33D6" w:rsidRPr="00A41CBB" w:rsidRDefault="008E33D6" w:rsidP="00E36BA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53ABC43" w14:textId="77777777" w:rsidR="008E33D6" w:rsidRPr="00A41CBB" w:rsidRDefault="008E33D6" w:rsidP="00E36BA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rPr>
                <w:rFonts w:eastAsia="Times New Roman" w:cs="Calibri"/>
                <w:color w:val="000000"/>
                <w:szCs w:val="19"/>
                <w:lang w:eastAsia="pl-PL"/>
              </w:rPr>
              <w:t>10</w:t>
            </w:r>
            <w:r w:rsidRPr="00A41CBB">
              <w:rPr>
                <w:rFonts w:eastAsia="Times New Roman" w:cs="Times New Roman"/>
                <w:szCs w:val="19"/>
                <w:lang w:eastAsia="pl-PL"/>
              </w:rPr>
              <w:t>–</w:t>
            </w:r>
            <w:r w:rsidRPr="00A41CBB">
              <w:rPr>
                <w:rFonts w:eastAsia="Times New Roman" w:cs="Calibri"/>
                <w:color w:val="000000"/>
                <w:szCs w:val="19"/>
                <w:lang w:eastAsia="pl-PL"/>
              </w:rPr>
              <w:t>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955234B" w14:textId="77777777" w:rsidR="008E33D6" w:rsidRPr="00A41CBB" w:rsidRDefault="008E33D6" w:rsidP="00E36BA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rPr>
                <w:rFonts w:eastAsia="Times New Roman" w:cs="Calibri"/>
                <w:color w:val="000000"/>
                <w:szCs w:val="19"/>
                <w:lang w:eastAsia="pl-PL"/>
              </w:rPr>
              <w:t>50</w:t>
            </w:r>
            <w:r w:rsidRPr="00A41CBB">
              <w:rPr>
                <w:rFonts w:eastAsia="Times New Roman" w:cs="Times New Roman"/>
                <w:szCs w:val="19"/>
                <w:lang w:eastAsia="pl-PL"/>
              </w:rPr>
              <w:t>–</w:t>
            </w:r>
            <w:r w:rsidRPr="00A41CBB">
              <w:rPr>
                <w:rFonts w:eastAsia="Times New Roman" w:cs="Calibri"/>
                <w:color w:val="000000"/>
                <w:szCs w:val="19"/>
                <w:lang w:eastAsia="pl-PL"/>
              </w:rPr>
              <w:t>249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2237BCA1" w14:textId="77777777" w:rsidR="008E33D6" w:rsidRPr="00A41CBB" w:rsidRDefault="008E33D6" w:rsidP="00E36BA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rPr>
                <w:rFonts w:eastAsia="Times New Roman" w:cs="Calibri"/>
                <w:color w:val="000000"/>
                <w:szCs w:val="19"/>
                <w:lang w:eastAsia="pl-PL"/>
              </w:rPr>
              <w:t>250 i więcej</w:t>
            </w:r>
          </w:p>
        </w:tc>
      </w:tr>
      <w:tr w:rsidR="002A44D4" w:rsidRPr="00A41CBB" w14:paraId="7D654FE8" w14:textId="77777777" w:rsidTr="00C3296D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91F39A0" w14:textId="77777777" w:rsidR="002A44D4" w:rsidRPr="00A41CBB" w:rsidRDefault="002A44D4" w:rsidP="002A44D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rPr>
                <w:rFonts w:eastAsia="Times New Roman" w:cs="Calibri"/>
                <w:color w:val="000000"/>
                <w:szCs w:val="19"/>
                <w:lang w:eastAsia="pl-PL"/>
              </w:rPr>
              <w:t>Liczba przedsiębiorstw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DF272C8" w14:textId="346A61CA" w:rsidR="002A44D4" w:rsidRPr="00A41CBB" w:rsidRDefault="002A44D4" w:rsidP="002A44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8 506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92A63AE" w14:textId="7036528E" w:rsidR="002A44D4" w:rsidRPr="00A41CBB" w:rsidRDefault="002A44D4" w:rsidP="002A44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3 764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A3F0252" w14:textId="6F09F90F" w:rsidR="002A44D4" w:rsidRPr="00A41CBB" w:rsidRDefault="002A44D4" w:rsidP="002A44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3 064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6E48E425" w14:textId="6CA4AECE" w:rsidR="002A44D4" w:rsidRPr="00A41CBB" w:rsidRDefault="002A44D4" w:rsidP="002A44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1 678</w:t>
            </w:r>
          </w:p>
        </w:tc>
      </w:tr>
      <w:tr w:rsidR="00AF6381" w:rsidRPr="00A41CBB" w14:paraId="4D29E933" w14:textId="77777777" w:rsidTr="00C3296D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2B769D9" w14:textId="77777777" w:rsidR="00AF6381" w:rsidRPr="00A41CBB" w:rsidRDefault="00AF6381" w:rsidP="00AF638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rPr>
                <w:rFonts w:eastAsia="Times New Roman" w:cs="Calibri"/>
                <w:color w:val="000000"/>
                <w:szCs w:val="19"/>
                <w:lang w:eastAsia="pl-PL"/>
              </w:rPr>
              <w:t>Liczba pracujących w osobach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1647955" w14:textId="0B231667" w:rsidR="00AF6381" w:rsidRPr="00A41CBB" w:rsidRDefault="00AF6381" w:rsidP="00AF638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2 069 272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68F8101" w14:textId="3164EF8A" w:rsidR="00AF6381" w:rsidRPr="00A41CBB" w:rsidRDefault="00AF6381" w:rsidP="00AF638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93 140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A54D603" w14:textId="1ACC79AF" w:rsidR="00AF6381" w:rsidRPr="00A41CBB" w:rsidRDefault="00AF6381" w:rsidP="00AF638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370 703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3A2F1FA" w14:textId="12B0918D" w:rsidR="00AF6381" w:rsidRPr="00A41CBB" w:rsidRDefault="00AF6381" w:rsidP="00AF638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1 605 429</w:t>
            </w:r>
          </w:p>
        </w:tc>
      </w:tr>
      <w:tr w:rsidR="008E33D6" w:rsidRPr="00A41CBB" w14:paraId="15A44105" w14:textId="77777777" w:rsidTr="00C3296D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BE41A39" w14:textId="77777777" w:rsidR="008E33D6" w:rsidRPr="00A41CBB" w:rsidRDefault="008E33D6" w:rsidP="00E36BA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rPr>
                <w:rFonts w:eastAsia="Times New Roman" w:cs="Calibri"/>
                <w:color w:val="000000"/>
                <w:szCs w:val="19"/>
                <w:lang w:eastAsia="pl-PL"/>
              </w:rPr>
              <w:t> </w:t>
            </w:r>
          </w:p>
        </w:tc>
        <w:tc>
          <w:tcPr>
            <w:tcW w:w="4398" w:type="dxa"/>
            <w:gridSpan w:val="4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58CEEE99" w14:textId="77777777" w:rsidR="008E33D6" w:rsidRPr="00A41CBB" w:rsidRDefault="008E33D6" w:rsidP="00E36BA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rPr>
                <w:rFonts w:eastAsia="Times New Roman" w:cs="Calibri"/>
                <w:color w:val="000000"/>
                <w:szCs w:val="19"/>
                <w:lang w:eastAsia="pl-PL"/>
              </w:rPr>
              <w:t>w mln zł</w:t>
            </w:r>
          </w:p>
        </w:tc>
      </w:tr>
      <w:tr w:rsidR="002A44D4" w:rsidRPr="00A41CBB" w14:paraId="47C4CF35" w14:textId="77777777" w:rsidTr="00C3296D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95F23B3" w14:textId="77777777" w:rsidR="002A44D4" w:rsidRPr="00A41CBB" w:rsidRDefault="002A44D4" w:rsidP="002A44D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rPr>
                <w:rFonts w:eastAsia="Times New Roman" w:cs="Calibri"/>
                <w:color w:val="000000"/>
                <w:szCs w:val="19"/>
                <w:lang w:eastAsia="pl-PL"/>
              </w:rPr>
              <w:t>Przychody ogółem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1E95D6C" w14:textId="6E255B8E" w:rsidR="002A44D4" w:rsidRPr="00A41CBB" w:rsidRDefault="002A44D4" w:rsidP="002A44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2 551 423,9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0B1D871" w14:textId="0D73A303" w:rsidR="002A44D4" w:rsidRPr="00A41CBB" w:rsidRDefault="002A44D4" w:rsidP="002A44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169 658,7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1C94995" w14:textId="2A2E6A18" w:rsidR="002A44D4" w:rsidRPr="00A41CBB" w:rsidRDefault="002A44D4" w:rsidP="002A44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579 100,3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218AD80" w14:textId="58D20E18" w:rsidR="002A44D4" w:rsidRPr="00A41CBB" w:rsidRDefault="002A44D4" w:rsidP="002A44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1 802 664,8</w:t>
            </w:r>
          </w:p>
        </w:tc>
      </w:tr>
      <w:tr w:rsidR="00986A51" w:rsidRPr="00A41CBB" w14:paraId="31B9145D" w14:textId="77777777" w:rsidTr="009127EC">
        <w:trPr>
          <w:trHeight w:val="570"/>
        </w:trPr>
        <w:tc>
          <w:tcPr>
            <w:tcW w:w="3402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44DF793" w14:textId="77777777" w:rsidR="00986A51" w:rsidRPr="00A41CBB" w:rsidRDefault="00986A51" w:rsidP="00986A5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  w tym przychody netto ze sprzedaży </w:t>
            </w:r>
            <w:r w:rsidRPr="00A41CBB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 xml:space="preserve">   produktów, towarów i materiałów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hideMark/>
          </w:tcPr>
          <w:p w14:paraId="1E1F9BA5" w14:textId="3ADCD5E2" w:rsidR="00986A51" w:rsidRPr="00A41CBB" w:rsidRDefault="00986A51" w:rsidP="00986A51">
            <w:pPr>
              <w:spacing w:before="0" w:after="0" w:line="240" w:lineRule="auto"/>
              <w:jc w:val="right"/>
            </w:pPr>
            <w:r w:rsidRPr="00A41CBB">
              <w:t>2 475 025,1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hideMark/>
          </w:tcPr>
          <w:p w14:paraId="3DA2C93B" w14:textId="6F42BB21" w:rsidR="00986A51" w:rsidRPr="00A41CBB" w:rsidRDefault="00986A51" w:rsidP="00986A51">
            <w:pPr>
              <w:spacing w:before="0" w:after="0" w:line="240" w:lineRule="auto"/>
              <w:jc w:val="right"/>
            </w:pPr>
            <w:r w:rsidRPr="00A41CBB">
              <w:t>161 734,4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hideMark/>
          </w:tcPr>
          <w:p w14:paraId="290EB06E" w14:textId="7EB48AEE" w:rsidR="00986A51" w:rsidRPr="00A41CBB" w:rsidRDefault="00986A51" w:rsidP="00986A51">
            <w:pPr>
              <w:spacing w:before="0" w:after="0" w:line="240" w:lineRule="auto"/>
              <w:jc w:val="right"/>
            </w:pPr>
            <w:r w:rsidRPr="00A41CBB">
              <w:t>558 715,5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hideMark/>
          </w:tcPr>
          <w:p w14:paraId="33933731" w14:textId="65FB8F47" w:rsidR="00986A51" w:rsidRPr="00A41CBB" w:rsidRDefault="00986A51" w:rsidP="00986A51">
            <w:pPr>
              <w:spacing w:before="0" w:after="0" w:line="240" w:lineRule="auto"/>
              <w:jc w:val="right"/>
            </w:pPr>
            <w:r w:rsidRPr="00A41CBB">
              <w:t>1 754 575,2</w:t>
            </w:r>
          </w:p>
        </w:tc>
      </w:tr>
      <w:tr w:rsidR="002A44D4" w:rsidRPr="00A41CBB" w14:paraId="161E7238" w14:textId="77777777" w:rsidTr="00C3296D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44F0B27" w14:textId="77777777" w:rsidR="002A44D4" w:rsidRPr="00A41CBB" w:rsidRDefault="002A44D4" w:rsidP="002A44D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rPr>
                <w:rFonts w:eastAsia="Times New Roman" w:cs="Calibri"/>
                <w:color w:val="000000"/>
                <w:szCs w:val="19"/>
                <w:lang w:eastAsia="pl-PL"/>
              </w:rPr>
              <w:t>Koszty ogółem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76BA912" w14:textId="71D437E0" w:rsidR="002A44D4" w:rsidRPr="00A41CBB" w:rsidRDefault="002A44D4" w:rsidP="002A44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2 426 530,6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841B91B" w14:textId="07F9B663" w:rsidR="002A44D4" w:rsidRPr="00A41CBB" w:rsidRDefault="002A44D4" w:rsidP="002A44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158 279,3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C672909" w14:textId="7D6CB889" w:rsidR="002A44D4" w:rsidRPr="00A41CBB" w:rsidRDefault="002A44D4" w:rsidP="002A44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551</w:t>
            </w:r>
            <w:r w:rsidR="00986A51" w:rsidRPr="00A41CBB">
              <w:t> </w:t>
            </w:r>
            <w:r w:rsidRPr="00A41CBB">
              <w:t>329</w:t>
            </w:r>
            <w:r w:rsidR="00986A51" w:rsidRPr="00A41CBB">
              <w:t>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3C9E0B26" w14:textId="0AC12B9F" w:rsidR="002A44D4" w:rsidRPr="00A41CBB" w:rsidRDefault="002A44D4" w:rsidP="002A44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1 716 922,4</w:t>
            </w:r>
          </w:p>
        </w:tc>
      </w:tr>
      <w:tr w:rsidR="002A44D4" w:rsidRPr="00A41CBB" w14:paraId="4950A3A8" w14:textId="77777777" w:rsidTr="00C3296D">
        <w:trPr>
          <w:trHeight w:val="525"/>
        </w:trPr>
        <w:tc>
          <w:tcPr>
            <w:tcW w:w="3402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91097C6" w14:textId="77777777" w:rsidR="002A44D4" w:rsidRPr="00A41CBB" w:rsidRDefault="002A44D4" w:rsidP="002A44D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  w tym koszt własny sprzedanych </w:t>
            </w:r>
            <w:r w:rsidRPr="00A41CBB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 xml:space="preserve">   produktów, towarów i materiałów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C9B6111" w14:textId="4DAFC751" w:rsidR="002A44D4" w:rsidRPr="00A41CBB" w:rsidRDefault="002A44D4" w:rsidP="002A44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2 347</w:t>
            </w:r>
            <w:r w:rsidR="00AF6381" w:rsidRPr="00A41CBB">
              <w:t> </w:t>
            </w:r>
            <w:r w:rsidRPr="00A41CBB">
              <w:t>603</w:t>
            </w:r>
            <w:r w:rsidR="00AF6381" w:rsidRPr="00A41CBB">
              <w:t>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FE7B6B8" w14:textId="2AC9F3F3" w:rsidR="002A44D4" w:rsidRPr="00A41CBB" w:rsidRDefault="002A44D4" w:rsidP="002A44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152 258,2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759A044" w14:textId="20A085CC" w:rsidR="002A44D4" w:rsidRPr="00A41CBB" w:rsidRDefault="002A44D4" w:rsidP="002A44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531 304,5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34660813" w14:textId="7CF5204B" w:rsidR="002A44D4" w:rsidRPr="00A41CBB" w:rsidRDefault="002A44D4" w:rsidP="002A44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1</w:t>
            </w:r>
            <w:r w:rsidR="00E00A93" w:rsidRPr="00A41CBB">
              <w:t xml:space="preserve"> </w:t>
            </w:r>
            <w:r w:rsidRPr="00A41CBB">
              <w:t>664</w:t>
            </w:r>
            <w:r w:rsidR="00E00A93" w:rsidRPr="00A41CBB">
              <w:t xml:space="preserve"> </w:t>
            </w:r>
            <w:r w:rsidRPr="00A41CBB">
              <w:t>040,2</w:t>
            </w:r>
          </w:p>
        </w:tc>
      </w:tr>
      <w:tr w:rsidR="002A44D4" w:rsidRPr="00A41CBB" w14:paraId="55C7D72E" w14:textId="77777777" w:rsidTr="00C3296D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5A34D4E" w14:textId="77777777" w:rsidR="002A44D4" w:rsidRPr="00A41CBB" w:rsidRDefault="002A44D4" w:rsidP="002A44D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rPr>
                <w:rFonts w:eastAsia="Times New Roman" w:cs="Calibri"/>
                <w:color w:val="000000"/>
                <w:szCs w:val="19"/>
                <w:lang w:eastAsia="pl-PL"/>
              </w:rPr>
              <w:t>Wynik finansowy brutto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4D98B0B" w14:textId="76EE4690" w:rsidR="002A44D4" w:rsidRPr="00A41CBB" w:rsidRDefault="002A44D4" w:rsidP="002A44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124 893,2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8B7F971" w14:textId="38CBA10D" w:rsidR="002A44D4" w:rsidRPr="00A41CBB" w:rsidRDefault="002A44D4" w:rsidP="002A44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11 379,4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4E932BB" w14:textId="75FE5339" w:rsidR="002A44D4" w:rsidRPr="00A41CBB" w:rsidRDefault="002A44D4" w:rsidP="002A44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27 771,4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14BD8C6" w14:textId="58E57675" w:rsidR="002A44D4" w:rsidRPr="00A41CBB" w:rsidRDefault="002A44D4" w:rsidP="002A44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85 742,4</w:t>
            </w:r>
          </w:p>
        </w:tc>
      </w:tr>
      <w:tr w:rsidR="002A44D4" w:rsidRPr="00A41CBB" w14:paraId="3C925899" w14:textId="77777777" w:rsidTr="00C3296D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E96E2D7" w14:textId="77777777" w:rsidR="002A44D4" w:rsidRPr="00A41CBB" w:rsidRDefault="002A44D4" w:rsidP="002A44D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rPr>
                <w:rFonts w:eastAsia="Times New Roman" w:cs="Calibri"/>
                <w:color w:val="000000"/>
                <w:szCs w:val="19"/>
                <w:lang w:eastAsia="pl-PL"/>
              </w:rPr>
              <w:t>Wynik finansowy netto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D894353" w14:textId="0805796A" w:rsidR="002A44D4" w:rsidRPr="00A41CBB" w:rsidRDefault="002A44D4" w:rsidP="002A44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103 001,7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5E88C51" w14:textId="6BF3EE2F" w:rsidR="002A44D4" w:rsidRPr="00A41CBB" w:rsidRDefault="002A44D4" w:rsidP="002A44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9 274,7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55BA5A4" w14:textId="73EC9C2E" w:rsidR="002A44D4" w:rsidRPr="00A41CBB" w:rsidRDefault="002A44D4" w:rsidP="002A44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22</w:t>
            </w:r>
            <w:r w:rsidR="00E00A93" w:rsidRPr="00A41CBB">
              <w:t> </w:t>
            </w:r>
            <w:r w:rsidRPr="00A41CBB">
              <w:t>145</w:t>
            </w:r>
            <w:r w:rsidR="00E00A93" w:rsidRPr="00A41CBB">
              <w:t>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67EE507A" w14:textId="5BC002E9" w:rsidR="002A44D4" w:rsidRPr="00A41CBB" w:rsidRDefault="002A44D4" w:rsidP="002A44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71</w:t>
            </w:r>
            <w:r w:rsidR="00E00A93" w:rsidRPr="00A41CBB">
              <w:t> </w:t>
            </w:r>
            <w:r w:rsidRPr="00A41CBB">
              <w:t>582</w:t>
            </w:r>
            <w:r w:rsidR="00E00A93" w:rsidRPr="00A41CBB">
              <w:t>,0</w:t>
            </w:r>
          </w:p>
        </w:tc>
      </w:tr>
      <w:tr w:rsidR="00AF6381" w:rsidRPr="00A41CBB" w14:paraId="3EBD4D7D" w14:textId="77777777" w:rsidTr="00C3296D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55DBE39" w14:textId="77777777" w:rsidR="00AF6381" w:rsidRPr="00A41CBB" w:rsidRDefault="00AF6381" w:rsidP="00AF638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rPr>
                <w:rFonts w:eastAsia="Times New Roman" w:cs="Calibri"/>
                <w:color w:val="000000"/>
                <w:szCs w:val="19"/>
                <w:lang w:eastAsia="pl-PL"/>
              </w:rPr>
              <w:t>Nakłady inwestycyjne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85765FB" w14:textId="273D7288" w:rsidR="00AF6381" w:rsidRPr="00A41CBB" w:rsidRDefault="00AF6381" w:rsidP="00AF638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90 833,1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BEFF66C" w14:textId="1A681D6C" w:rsidR="00AF6381" w:rsidRPr="00A41CBB" w:rsidRDefault="00AF6381" w:rsidP="00AF638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5 285,8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FCD5577" w14:textId="0586AB59" w:rsidR="00AF6381" w:rsidRPr="00A41CBB" w:rsidRDefault="00AF6381" w:rsidP="00AF638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16 190,2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493F7" w14:textId="7A9D7461" w:rsidR="00AF6381" w:rsidRPr="00A41CBB" w:rsidRDefault="00AF6381" w:rsidP="00AF638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41CBB">
              <w:t>69 357,1</w:t>
            </w:r>
          </w:p>
        </w:tc>
      </w:tr>
    </w:tbl>
    <w:p w14:paraId="09DC99AC" w14:textId="77777777" w:rsidR="00D13922" w:rsidRPr="00A41CBB" w:rsidRDefault="00D13922" w:rsidP="00EF15FA">
      <w:pPr>
        <w:pStyle w:val="LID"/>
        <w:contextualSpacing/>
      </w:pPr>
    </w:p>
    <w:p w14:paraId="6F00146D" w14:textId="77777777" w:rsidR="007852A9" w:rsidRPr="00A41CBB" w:rsidRDefault="007852A9" w:rsidP="009A4698">
      <w:pPr>
        <w:rPr>
          <w:szCs w:val="19"/>
        </w:rPr>
      </w:pPr>
    </w:p>
    <w:p w14:paraId="711C9B98" w14:textId="77777777" w:rsidR="00B74F14" w:rsidRPr="00A41CBB" w:rsidRDefault="00B74F14" w:rsidP="009A4698">
      <w:pPr>
        <w:rPr>
          <w:szCs w:val="19"/>
        </w:rPr>
      </w:pPr>
      <w:r w:rsidRPr="00A41CBB">
        <w:rPr>
          <w:szCs w:val="19"/>
        </w:rPr>
        <w:t xml:space="preserve">W niniejszym opracowaniu przedstawiono dane o przychodach, kosztach i wynikach finansowych oraz o nakładach inwestycyjnych przedsiębiorstw (jednostek prawnych). Źródłem informacji jest kwartalne badanie przychodów, kosztów i wyniku finansowego oraz nakładów inwestycyjnych, realizowane w oparciu o zestaw danych F-01/I-01. </w:t>
      </w:r>
    </w:p>
    <w:p w14:paraId="718A1C1D" w14:textId="77777777" w:rsidR="00B74F14" w:rsidRPr="00A41CBB" w:rsidRDefault="00B74F14" w:rsidP="009A4698">
      <w:pPr>
        <w:rPr>
          <w:color w:val="000000"/>
          <w:szCs w:val="19"/>
        </w:rPr>
      </w:pPr>
      <w:r w:rsidRPr="00A41CBB">
        <w:rPr>
          <w:szCs w:val="19"/>
        </w:rPr>
        <w:t xml:space="preserve">Badanie obejmuje </w:t>
      </w:r>
      <w:r w:rsidRPr="00A41CBB">
        <w:rPr>
          <w:color w:val="000000"/>
          <w:szCs w:val="19"/>
        </w:rPr>
        <w:t xml:space="preserve">podmioty gospodarki narodowej: </w:t>
      </w:r>
    </w:p>
    <w:p w14:paraId="5A657527" w14:textId="2C74C4D4" w:rsidR="00B74F14" w:rsidRPr="00A41CBB" w:rsidRDefault="00B74F14" w:rsidP="009A4698">
      <w:pPr>
        <w:pStyle w:val="Akapitzlist"/>
        <w:numPr>
          <w:ilvl w:val="0"/>
          <w:numId w:val="8"/>
        </w:numPr>
        <w:spacing w:before="0" w:after="160" w:line="259" w:lineRule="auto"/>
        <w:rPr>
          <w:color w:val="000000"/>
          <w:szCs w:val="19"/>
        </w:rPr>
      </w:pPr>
      <w:r w:rsidRPr="00A41CBB">
        <w:rPr>
          <w:color w:val="000000"/>
          <w:szCs w:val="19"/>
        </w:rPr>
        <w:t>spółki osobowe, spółki kapitałowe, spółki cywilne prowadzące działalność na podstawie umowy zawartej zgodnie z ustawą z dnia 23 kwietnia 1964 r. – Kodeks cywilny (Dz. U. z 202</w:t>
      </w:r>
      <w:r w:rsidR="00F90A95" w:rsidRPr="00A41CBB">
        <w:rPr>
          <w:color w:val="000000"/>
          <w:szCs w:val="19"/>
        </w:rPr>
        <w:t>4</w:t>
      </w:r>
      <w:r w:rsidRPr="00A41CBB">
        <w:rPr>
          <w:color w:val="000000"/>
          <w:szCs w:val="19"/>
        </w:rPr>
        <w:t xml:space="preserve"> </w:t>
      </w:r>
      <w:r w:rsidR="00FF7F15" w:rsidRPr="00A41CBB">
        <w:rPr>
          <w:color w:val="000000"/>
          <w:szCs w:val="19"/>
        </w:rPr>
        <w:t xml:space="preserve">r. </w:t>
      </w:r>
      <w:r w:rsidRPr="00A41CBB">
        <w:rPr>
          <w:color w:val="000000"/>
          <w:szCs w:val="19"/>
        </w:rPr>
        <w:t>poz. 1</w:t>
      </w:r>
      <w:r w:rsidR="00F90A95" w:rsidRPr="00A41CBB">
        <w:rPr>
          <w:color w:val="000000"/>
          <w:szCs w:val="19"/>
        </w:rPr>
        <w:t>0</w:t>
      </w:r>
      <w:r w:rsidR="00D3764B">
        <w:rPr>
          <w:color w:val="000000"/>
          <w:szCs w:val="19"/>
        </w:rPr>
        <w:t>7</w:t>
      </w:r>
      <w:r w:rsidR="00F90A95" w:rsidRPr="00A41CBB">
        <w:rPr>
          <w:color w:val="000000"/>
          <w:szCs w:val="19"/>
        </w:rPr>
        <w:t>1</w:t>
      </w:r>
      <w:r w:rsidRPr="00A41CBB">
        <w:rPr>
          <w:color w:val="000000"/>
          <w:szCs w:val="19"/>
        </w:rPr>
        <w:t>), spółki przewidziane w przepisach innych ustaw niż ustawa z dnia 15 września 2000 r. – Kodeks spółek handlowych (Dz. U. z 202</w:t>
      </w:r>
      <w:r w:rsidR="00FF7F15" w:rsidRPr="00A41CBB">
        <w:rPr>
          <w:color w:val="000000"/>
          <w:szCs w:val="19"/>
        </w:rPr>
        <w:t>4</w:t>
      </w:r>
      <w:r w:rsidRPr="00A41CBB">
        <w:rPr>
          <w:color w:val="000000"/>
          <w:szCs w:val="19"/>
        </w:rPr>
        <w:t xml:space="preserve"> r. poz. 1</w:t>
      </w:r>
      <w:r w:rsidR="00FF7F15" w:rsidRPr="00A41CBB">
        <w:rPr>
          <w:color w:val="000000"/>
          <w:szCs w:val="19"/>
        </w:rPr>
        <w:t>8</w:t>
      </w:r>
      <w:r w:rsidRPr="00A41CBB">
        <w:rPr>
          <w:color w:val="000000"/>
          <w:szCs w:val="19"/>
        </w:rPr>
        <w:t xml:space="preserve">) i ustawa z dnia 23 kwietnia 1964 r. – Kodeks cywilny lub formy prawne, do których stosuje się przepisy o spółkach, oddziały zagranicznych przedsiębiorców, przedsiębiorstwa państwowe, spółdzielnie, państwowe jednostki organizacyjne oraz osoby fizyczne prowadzące działalność gospodarczą, </w:t>
      </w:r>
    </w:p>
    <w:p w14:paraId="014C3350" w14:textId="77777777" w:rsidR="00B74F14" w:rsidRPr="00A41CBB" w:rsidRDefault="00B74F14" w:rsidP="009A4698">
      <w:pPr>
        <w:pStyle w:val="Akapitzlist"/>
        <w:numPr>
          <w:ilvl w:val="0"/>
          <w:numId w:val="8"/>
        </w:numPr>
        <w:spacing w:before="0" w:after="160" w:line="259" w:lineRule="auto"/>
        <w:rPr>
          <w:color w:val="000000"/>
          <w:szCs w:val="19"/>
        </w:rPr>
      </w:pPr>
      <w:r w:rsidRPr="00A41CBB">
        <w:rPr>
          <w:color w:val="000000"/>
          <w:szCs w:val="19"/>
        </w:rPr>
        <w:t xml:space="preserve">prowadzące księgi rachunkowe, </w:t>
      </w:r>
    </w:p>
    <w:p w14:paraId="635924E1" w14:textId="77777777" w:rsidR="00B74F14" w:rsidRPr="00A41CBB" w:rsidRDefault="00B74F14" w:rsidP="009A4698">
      <w:pPr>
        <w:pStyle w:val="Akapitzlist"/>
        <w:numPr>
          <w:ilvl w:val="0"/>
          <w:numId w:val="8"/>
        </w:numPr>
        <w:spacing w:before="0" w:after="160" w:line="259" w:lineRule="auto"/>
        <w:rPr>
          <w:color w:val="000000"/>
          <w:szCs w:val="19"/>
        </w:rPr>
      </w:pPr>
      <w:r w:rsidRPr="00A41CBB">
        <w:rPr>
          <w:color w:val="000000"/>
          <w:szCs w:val="19"/>
        </w:rPr>
        <w:t xml:space="preserve">o liczbie pracujących 10 osób i więcej, </w:t>
      </w:r>
    </w:p>
    <w:p w14:paraId="6DE8BB01" w14:textId="5012B497" w:rsidR="00B74F14" w:rsidRPr="00A41CBB" w:rsidRDefault="00B74F14" w:rsidP="009A4698">
      <w:pPr>
        <w:pStyle w:val="Akapitzlist"/>
        <w:numPr>
          <w:ilvl w:val="0"/>
          <w:numId w:val="8"/>
        </w:numPr>
        <w:spacing w:before="0" w:after="160" w:line="259" w:lineRule="auto"/>
        <w:rPr>
          <w:color w:val="000000"/>
          <w:szCs w:val="19"/>
        </w:rPr>
      </w:pPr>
      <w:r w:rsidRPr="00A41CBB">
        <w:rPr>
          <w:color w:val="000000"/>
          <w:szCs w:val="19"/>
        </w:rPr>
        <w:t>prowadzące przeważającą działalność zaklasyfikowaną według PKD 2007 do sekcji A (z</w:t>
      </w:r>
      <w:r w:rsidR="00D662CC" w:rsidRPr="00A41CBB">
        <w:rPr>
          <w:color w:val="000000"/>
          <w:szCs w:val="19"/>
        </w:rPr>
        <w:t> </w:t>
      </w:r>
      <w:r w:rsidRPr="00A41CBB">
        <w:rPr>
          <w:color w:val="000000"/>
          <w:szCs w:val="19"/>
        </w:rPr>
        <w:t>wyłączeniem osób fizycznych prowadzących indywidualne gospodarstwa rolne), B, C, D, E, F, G, H, I, J (z wyłączeniem instytucji kultury mających osobowość prawną), K (z wyłączeniem banków, spółdzielczych kas oszczędnościowo-kredytowych, instytucji ubezpieczeniowych, biur i domów maklerskich, towarzystw i funduszy inwestycyjnych oraz towarzystw i funduszy emerytalnych), L, M, N, P (z wyłączeniem szkolnictwa wyższego), Q (z wyłączeniem samodzielnych publicznych zakładów opieki zdrowotnej), R</w:t>
      </w:r>
      <w:r w:rsidR="00D662CC" w:rsidRPr="00A41CBB">
        <w:rPr>
          <w:color w:val="000000"/>
          <w:szCs w:val="19"/>
        </w:rPr>
        <w:t> </w:t>
      </w:r>
      <w:r w:rsidRPr="00A41CBB">
        <w:rPr>
          <w:color w:val="000000"/>
          <w:szCs w:val="19"/>
        </w:rPr>
        <w:t xml:space="preserve">(z wyłączeniem instytucji kultury mających osobowość prawną), S (z wyłączeniem związków zawodowych, organizacji religijnych i politycznych). </w:t>
      </w:r>
    </w:p>
    <w:p w14:paraId="145B16EB" w14:textId="36AE4DD6" w:rsidR="00B74F14" w:rsidRPr="00A41CBB" w:rsidRDefault="00DC0F65" w:rsidP="009A4698">
      <w:pPr>
        <w:rPr>
          <w:color w:val="000000"/>
          <w:szCs w:val="19"/>
        </w:rPr>
      </w:pPr>
      <w:r w:rsidRPr="00A41CBB">
        <w:rPr>
          <w:color w:val="000000"/>
          <w:szCs w:val="19"/>
        </w:rPr>
        <w:t>Zakres podmiotowy i przedmiotowy prezentowanych danych jest szerszy w stosunku do informacji o przedsiębiorstwach niefinansowych publikowanych m.in. w Biuletynie Statystycznym, informacji o sytuacji społeczno-gospodarczej kraju, informacji sygnalnej „Wyniki finansowe przedsiębiorstw niefinansowych” i bazach danych. Prezentowane w niniejszej informacji sygnalnej dane dotyczą wszystkich podmiotów sporządzających formularz F-01/I-01, niezależnie od podstawowego rodzaju działalności według PKD 2007 i</w:t>
      </w:r>
      <w:r w:rsidR="00D662CC" w:rsidRPr="00A41CBB">
        <w:rPr>
          <w:color w:val="000000"/>
          <w:szCs w:val="19"/>
        </w:rPr>
        <w:t> </w:t>
      </w:r>
      <w:r w:rsidRPr="00A41CBB">
        <w:rPr>
          <w:color w:val="000000"/>
          <w:szCs w:val="19"/>
        </w:rPr>
        <w:t>klasy wielkości według liczby pracujących oraz obejmują pełny zakres danych zbieranych na</w:t>
      </w:r>
      <w:r w:rsidR="00D662CC" w:rsidRPr="00A41CBB">
        <w:rPr>
          <w:color w:val="000000"/>
          <w:szCs w:val="19"/>
        </w:rPr>
        <w:t> </w:t>
      </w:r>
      <w:r w:rsidRPr="00A41CBB">
        <w:rPr>
          <w:color w:val="000000"/>
          <w:szCs w:val="19"/>
        </w:rPr>
        <w:t>formularzu F-01/I-01.</w:t>
      </w:r>
    </w:p>
    <w:p w14:paraId="058AEB19" w14:textId="77777777" w:rsidR="003C2A63" w:rsidRPr="00A41CBB" w:rsidRDefault="003C2A63" w:rsidP="009A4698">
      <w:pPr>
        <w:rPr>
          <w:color w:val="000000"/>
          <w:szCs w:val="19"/>
        </w:rPr>
      </w:pPr>
    </w:p>
    <w:p w14:paraId="3D69DAA0" w14:textId="77777777" w:rsidR="00B74F14" w:rsidRPr="00A41CBB" w:rsidRDefault="00B74F14" w:rsidP="009A4698">
      <w:pPr>
        <w:autoSpaceDE w:val="0"/>
        <w:autoSpaceDN w:val="0"/>
        <w:adjustRightInd w:val="0"/>
        <w:spacing w:after="0" w:line="240" w:lineRule="auto"/>
        <w:rPr>
          <w:szCs w:val="19"/>
        </w:rPr>
      </w:pPr>
      <w:r w:rsidRPr="00A41CBB">
        <w:rPr>
          <w:szCs w:val="19"/>
        </w:rPr>
        <w:lastRenderedPageBreak/>
        <w:t>Prezentowane badane przedsiębiorstwa są podzielone na dwie grupy ze względu na liczbę pracujących, według której określane są obowiązki sprawozdawcze na dany okres:</w:t>
      </w:r>
    </w:p>
    <w:p w14:paraId="20F4FCFA" w14:textId="77777777" w:rsidR="00B74F14" w:rsidRPr="00A41CBB" w:rsidRDefault="00B74F14" w:rsidP="009A469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rPr>
          <w:szCs w:val="19"/>
        </w:rPr>
      </w:pPr>
      <w:r w:rsidRPr="00A41CBB">
        <w:rPr>
          <w:szCs w:val="19"/>
        </w:rPr>
        <w:t xml:space="preserve">przedsiębiorstwa o liczbie pracujących 50 osób i więcej – grupę tę zaprezentowano w opracowaniu w podziale na dwie podgrupy: jednostki o liczbie pracujących od 50 do 249 osób oraz jednostki o liczbie pracujących 250 osób i więcej; jednostki te są zobowiązane do przekazywania sprawozdań statystycznych w okresach kwartalnych. </w:t>
      </w:r>
    </w:p>
    <w:p w14:paraId="7199B5EB" w14:textId="77777777" w:rsidR="00B74F14" w:rsidRPr="00A41CBB" w:rsidRDefault="00B74F14" w:rsidP="009A469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rPr>
          <w:szCs w:val="19"/>
        </w:rPr>
      </w:pPr>
      <w:r w:rsidRPr="00A41CBB">
        <w:rPr>
          <w:szCs w:val="19"/>
        </w:rPr>
        <w:t xml:space="preserve">przedsiębiorstwa o liczbie pracujących 10−49 osób – jednostki te są zobowiązane do przekazywania sprawozdań w okresach półrocznych. </w:t>
      </w:r>
    </w:p>
    <w:p w14:paraId="30E4F3EE" w14:textId="77777777" w:rsidR="00B74F14" w:rsidRPr="00A41CBB" w:rsidRDefault="00B74F14" w:rsidP="00B74F14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Cs w:val="19"/>
        </w:rPr>
      </w:pPr>
    </w:p>
    <w:p w14:paraId="5A6EB92B" w14:textId="3748725F" w:rsidR="00B56685" w:rsidRPr="00A41CBB" w:rsidRDefault="004419F1" w:rsidP="009A4698">
      <w:pPr>
        <w:pStyle w:val="NormalnyWeb"/>
        <w:spacing w:before="0" w:beforeAutospacing="0" w:after="120" w:afterAutospacing="0"/>
        <w:rPr>
          <w:rStyle w:val="Pogrubienie"/>
          <w:rFonts w:ascii="Fira Sans" w:hAnsi="Fira Sans" w:cs="Arial"/>
          <w:b w:val="0"/>
          <w:sz w:val="19"/>
          <w:szCs w:val="19"/>
        </w:rPr>
      </w:pPr>
      <w:r w:rsidRPr="00A41CBB">
        <w:rPr>
          <w:rStyle w:val="Pogrubienie"/>
          <w:rFonts w:ascii="Fira Sans" w:hAnsi="Fira Sans" w:cs="Arial"/>
          <w:b w:val="0"/>
          <w:sz w:val="19"/>
          <w:szCs w:val="19"/>
        </w:rPr>
        <w:t xml:space="preserve">W informacji sygnalnej obejmującej 1-2 i 1-4 kwartał prezentowane są dane obejmujące podmioty o liczbie pracujących 10 i więcej osób, natomiast w informacji sygnalnej obejmującej 1 </w:t>
      </w:r>
      <w:r w:rsidR="00DB3A7D" w:rsidRPr="00A41CBB">
        <w:rPr>
          <w:rStyle w:val="Pogrubienie"/>
          <w:rFonts w:ascii="Fira Sans" w:hAnsi="Fira Sans" w:cs="Arial"/>
          <w:b w:val="0"/>
          <w:sz w:val="19"/>
          <w:szCs w:val="19"/>
        </w:rPr>
        <w:t>oraz</w:t>
      </w:r>
      <w:r w:rsidRPr="00A41CBB">
        <w:rPr>
          <w:rStyle w:val="Pogrubienie"/>
          <w:rFonts w:ascii="Fira Sans" w:hAnsi="Fira Sans" w:cs="Arial"/>
          <w:b w:val="0"/>
          <w:sz w:val="19"/>
          <w:szCs w:val="19"/>
        </w:rPr>
        <w:t xml:space="preserve"> 1-3 kwartał – o liczbie pracujących 50 i więcej osób.</w:t>
      </w:r>
    </w:p>
    <w:p w14:paraId="64C279F0" w14:textId="281B395E" w:rsidR="00B74F14" w:rsidRPr="00A41CBB" w:rsidRDefault="00B74F14" w:rsidP="009A4698">
      <w:pPr>
        <w:pStyle w:val="NormalnyWeb"/>
        <w:spacing w:before="0" w:beforeAutospacing="0" w:after="120" w:afterAutospacing="0"/>
        <w:rPr>
          <w:rFonts w:ascii="Fira Sans" w:hAnsi="Fira Sans" w:cs="Arial"/>
          <w:color w:val="222222"/>
          <w:sz w:val="19"/>
          <w:szCs w:val="19"/>
        </w:rPr>
      </w:pPr>
      <w:r w:rsidRPr="00A41CBB">
        <w:rPr>
          <w:rStyle w:val="Pogrubienie"/>
          <w:rFonts w:ascii="Fira Sans" w:hAnsi="Fira Sans" w:cs="Arial"/>
          <w:color w:val="222222"/>
          <w:sz w:val="19"/>
          <w:szCs w:val="19"/>
        </w:rPr>
        <w:t xml:space="preserve">Pozostałe </w:t>
      </w:r>
      <w:r w:rsidRPr="00A41CBB">
        <w:rPr>
          <w:rFonts w:ascii="Fira Sans" w:hAnsi="Fira Sans" w:cs="Arial"/>
          <w:color w:val="222222"/>
          <w:sz w:val="19"/>
          <w:szCs w:val="19"/>
        </w:rPr>
        <w:t xml:space="preserve">wyjaśnienia metodologiczne i definicje pojęć znajdują się w objaśnieniach do zestawu danych o przychodach, kosztach i wyniku finansowym oraz nakładach na środki trwałe na formularzu </w:t>
      </w:r>
      <w:hyperlink r:id="rId10" w:history="1">
        <w:r w:rsidRPr="00A41CBB">
          <w:rPr>
            <w:rStyle w:val="Hipercze"/>
            <w:rFonts w:ascii="Fira Sans" w:eastAsiaTheme="majorEastAsia" w:hAnsi="Fira Sans" w:cs="Arial"/>
            <w:sz w:val="19"/>
            <w:szCs w:val="19"/>
          </w:rPr>
          <w:t>F-01/I-01</w:t>
        </w:r>
      </w:hyperlink>
      <w:r w:rsidRPr="00A41CBB">
        <w:rPr>
          <w:rFonts w:ascii="Fira Sans" w:hAnsi="Fira Sans" w:cs="Arial"/>
          <w:color w:val="222222"/>
          <w:sz w:val="19"/>
          <w:szCs w:val="19"/>
        </w:rPr>
        <w:t xml:space="preserve"> oraz w </w:t>
      </w:r>
      <w:hyperlink r:id="rId11" w:history="1">
        <w:r w:rsidRPr="00A41CBB">
          <w:rPr>
            <w:rStyle w:val="Hipercze"/>
            <w:rFonts w:ascii="Fira Sans" w:eastAsiaTheme="majorEastAsia" w:hAnsi="Fira Sans" w:cs="Arial"/>
            <w:sz w:val="19"/>
            <w:szCs w:val="19"/>
          </w:rPr>
          <w:t>„Zeszycie metodologicznym. Badanie przedsiębiorstw niefinansowych 2019”</w:t>
        </w:r>
      </w:hyperlink>
      <w:r w:rsidR="005C3244" w:rsidRPr="00A41CBB">
        <w:rPr>
          <w:rStyle w:val="Hipercze"/>
          <w:rFonts w:ascii="Fira Sans" w:eastAsiaTheme="majorEastAsia" w:hAnsi="Fira Sans" w:cs="Arial"/>
          <w:sz w:val="19"/>
          <w:szCs w:val="19"/>
        </w:rPr>
        <w:t>.</w:t>
      </w:r>
    </w:p>
    <w:p w14:paraId="13CCEBCB" w14:textId="77777777" w:rsidR="00A21CC9" w:rsidRPr="00A41CBB" w:rsidRDefault="00B74F14" w:rsidP="00CB7676">
      <w:pPr>
        <w:autoSpaceDE w:val="0"/>
        <w:autoSpaceDN w:val="0"/>
        <w:adjustRightInd w:val="0"/>
        <w:spacing w:after="0" w:line="240" w:lineRule="auto"/>
        <w:rPr>
          <w:b/>
          <w:szCs w:val="19"/>
        </w:rPr>
      </w:pPr>
      <w:r w:rsidRPr="00A41CBB">
        <w:rPr>
          <w:b/>
          <w:szCs w:val="19"/>
        </w:rPr>
        <w:t>Integralną część niniejszego opracowania stanowią tablice w formacie XLSX</w:t>
      </w:r>
      <w:r w:rsidR="005C3244" w:rsidRPr="00A41CBB">
        <w:rPr>
          <w:b/>
          <w:szCs w:val="19"/>
        </w:rPr>
        <w:t xml:space="preserve"> oraz CSV</w:t>
      </w:r>
      <w:r w:rsidR="00934534" w:rsidRPr="00A41CBB">
        <w:rPr>
          <w:b/>
          <w:szCs w:val="19"/>
        </w:rPr>
        <w:t xml:space="preserve"> (pliki do pobrania) z</w:t>
      </w:r>
      <w:r w:rsidRPr="00A41CBB">
        <w:rPr>
          <w:b/>
          <w:szCs w:val="19"/>
        </w:rPr>
        <w:t xml:space="preserve"> zestawem </w:t>
      </w:r>
      <w:r w:rsidR="00934534" w:rsidRPr="00A41CBB">
        <w:rPr>
          <w:b/>
          <w:szCs w:val="19"/>
        </w:rPr>
        <w:t xml:space="preserve">wszystkich </w:t>
      </w:r>
      <w:r w:rsidRPr="00A41CBB">
        <w:rPr>
          <w:b/>
          <w:szCs w:val="19"/>
        </w:rPr>
        <w:t>danych zbieranych na formularzu F-01/I-01</w:t>
      </w:r>
      <w:r w:rsidR="00CB7676" w:rsidRPr="00A41CBB">
        <w:rPr>
          <w:b/>
          <w:szCs w:val="19"/>
        </w:rPr>
        <w:t>.</w:t>
      </w:r>
    </w:p>
    <w:p w14:paraId="377E8B09" w14:textId="745E8AC2" w:rsidR="00B74F14" w:rsidRPr="00A41CBB" w:rsidRDefault="00A21CC9" w:rsidP="00B56685">
      <w:pPr>
        <w:autoSpaceDE w:val="0"/>
        <w:autoSpaceDN w:val="0"/>
        <w:adjustRightInd w:val="0"/>
        <w:spacing w:after="0" w:line="240" w:lineRule="auto"/>
        <w:rPr>
          <w:rFonts w:cs="Arial"/>
          <w:color w:val="222222"/>
          <w:szCs w:val="19"/>
        </w:rPr>
      </w:pPr>
      <w:r w:rsidRPr="00A41CBB">
        <w:rPr>
          <w:rFonts w:cs="Arial"/>
          <w:color w:val="222222"/>
          <w:szCs w:val="19"/>
        </w:rPr>
        <w:t xml:space="preserve">Ze względu na zaokrąglenia danych, w niektórych przypadkach sumy składników mogą się nieznacznie różnić od podanych wielkości „ogółem”. </w:t>
      </w:r>
    </w:p>
    <w:p w14:paraId="69FE2C5C" w14:textId="6593124B" w:rsidR="00703E01" w:rsidRPr="00A41CBB" w:rsidRDefault="00703E01" w:rsidP="00B56685">
      <w:pPr>
        <w:autoSpaceDE w:val="0"/>
        <w:autoSpaceDN w:val="0"/>
        <w:adjustRightInd w:val="0"/>
        <w:spacing w:after="0" w:line="240" w:lineRule="auto"/>
        <w:rPr>
          <w:rStyle w:val="Pogrubienie"/>
          <w:rFonts w:cs="Arial"/>
          <w:b w:val="0"/>
          <w:bCs w:val="0"/>
          <w:color w:val="222222"/>
          <w:szCs w:val="19"/>
        </w:rPr>
      </w:pPr>
      <w:r w:rsidRPr="00A41CBB">
        <w:rPr>
          <w:rStyle w:val="Pogrubienie"/>
          <w:rFonts w:cs="Arial"/>
          <w:b w:val="0"/>
          <w:bCs w:val="0"/>
          <w:color w:val="222222"/>
          <w:szCs w:val="19"/>
        </w:rPr>
        <w:t>Liczby względne (wskaźniki, odsetki) obliczono z reguły na podstawie danych bezwzględnych wyrażonych z większą dokładnością, niż podano w niniejszym opracowaniu.</w:t>
      </w:r>
    </w:p>
    <w:p w14:paraId="0CA8AC45" w14:textId="77777777" w:rsidR="00B74F14" w:rsidRPr="00A41CBB" w:rsidRDefault="00B74F14" w:rsidP="00B56685">
      <w:pPr>
        <w:spacing w:after="0"/>
        <w:jc w:val="both"/>
        <w:rPr>
          <w:rFonts w:eastAsia="Times New Roman" w:cs="Times New Roman"/>
          <w:color w:val="000000"/>
          <w:szCs w:val="19"/>
          <w:lang w:eastAsia="pl-PL"/>
        </w:rPr>
      </w:pPr>
      <w:r w:rsidRPr="00A41CBB">
        <w:rPr>
          <w:rFonts w:eastAsia="Times New Roman" w:cs="Times New Roman"/>
          <w:szCs w:val="19"/>
          <w:lang w:eastAsia="pl-PL"/>
        </w:rPr>
        <w:t xml:space="preserve">Dane opracowane z zachowaniem tajemnicy statystycznej zgodnie z art. 10 i art. 38 ustawy z dnia 29 czerwca 1995 r. o statystyce publicznej. </w:t>
      </w:r>
    </w:p>
    <w:p w14:paraId="3DE577EE" w14:textId="77777777" w:rsidR="00B74F14" w:rsidRPr="00A41CBB" w:rsidRDefault="00B74F14" w:rsidP="009A4698">
      <w:pPr>
        <w:rPr>
          <w:rFonts w:ascii="MyriadPro-Regular" w:hAnsi="MyriadPro-Regular" w:cs="MyriadPro-Regular"/>
          <w:color w:val="FF0000"/>
          <w:szCs w:val="19"/>
        </w:rPr>
      </w:pPr>
      <w:r w:rsidRPr="00A41CBB">
        <w:rPr>
          <w:rFonts w:eastAsia="Times New Roman" w:cs="Times New Roman"/>
          <w:szCs w:val="19"/>
          <w:lang w:eastAsia="pl-PL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2736CD63" w14:textId="77777777" w:rsidR="005764E9" w:rsidRPr="00A41CBB" w:rsidRDefault="005764E9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7C722654" w14:textId="77777777" w:rsidR="005764E9" w:rsidRPr="00A41CBB" w:rsidRDefault="005764E9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42355CC7" w14:textId="77777777" w:rsidR="00DA331D" w:rsidRPr="00A41CBB" w:rsidRDefault="00DA331D" w:rsidP="00DA331D">
      <w:pPr>
        <w:spacing w:before="360"/>
        <w:rPr>
          <w:sz w:val="18"/>
        </w:rPr>
        <w:sectPr w:rsidR="00DA331D" w:rsidRPr="00A41CBB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RPr="00A41CBB" w14:paraId="7102F3DE" w14:textId="77777777" w:rsidTr="00B84C43">
        <w:trPr>
          <w:trHeight w:val="1626"/>
        </w:trPr>
        <w:tc>
          <w:tcPr>
            <w:tcW w:w="4926" w:type="dxa"/>
          </w:tcPr>
          <w:p w14:paraId="1435064D" w14:textId="77777777" w:rsidR="00DE2400" w:rsidRPr="00A41CBB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A41CBB">
              <w:rPr>
                <w:rFonts w:cs="Arial"/>
                <w:sz w:val="20"/>
              </w:rPr>
              <w:lastRenderedPageBreak/>
              <w:t>Opracowanie merytoryczne:</w:t>
            </w:r>
          </w:p>
          <w:p w14:paraId="513F80CD" w14:textId="77777777" w:rsidR="00DE2400" w:rsidRPr="00A41CBB" w:rsidRDefault="00DE2400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A41CBB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EA6761" w:rsidRPr="00A41CBB">
              <w:rPr>
                <w:rFonts w:cs="Arial"/>
                <w:b/>
                <w:color w:val="000000" w:themeColor="text1"/>
                <w:sz w:val="20"/>
              </w:rPr>
              <w:t>Przedsięb</w:t>
            </w:r>
            <w:r w:rsidR="00B92903" w:rsidRPr="00A41CBB">
              <w:rPr>
                <w:rFonts w:cs="Arial"/>
                <w:b/>
                <w:color w:val="000000" w:themeColor="text1"/>
                <w:sz w:val="20"/>
              </w:rPr>
              <w:t>iorstw</w:t>
            </w:r>
          </w:p>
          <w:p w14:paraId="0C3D2798" w14:textId="7DB20C78" w:rsidR="00DE2400" w:rsidRPr="00A41CBB" w:rsidRDefault="00DE2400" w:rsidP="00747B8C">
            <w:pPr>
              <w:spacing w:before="0" w:after="0" w:line="276" w:lineRule="auto"/>
              <w:rPr>
                <w:b/>
                <w:lang w:val="fi-FI"/>
              </w:rPr>
            </w:pPr>
            <w:r w:rsidRPr="00A41CBB">
              <w:rPr>
                <w:b/>
                <w:lang w:val="fi-FI"/>
              </w:rPr>
              <w:t xml:space="preserve">Dyrektor </w:t>
            </w:r>
            <w:r w:rsidR="00B92903" w:rsidRPr="00A41CBB">
              <w:rPr>
                <w:b/>
                <w:lang w:val="fi-FI"/>
              </w:rPr>
              <w:t>Katarzyna Walkowska</w:t>
            </w:r>
            <w:r w:rsidR="009C5562" w:rsidRPr="00A41CBB">
              <w:rPr>
                <w:b/>
                <w:lang w:val="fi-FI"/>
              </w:rPr>
              <w:t>-Macias</w:t>
            </w:r>
          </w:p>
          <w:p w14:paraId="2124B402" w14:textId="77777777" w:rsidR="00DE2400" w:rsidRPr="00A41CBB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41CB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="00B92903" w:rsidRPr="00A41CB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31 25</w:t>
            </w:r>
          </w:p>
        </w:tc>
        <w:tc>
          <w:tcPr>
            <w:tcW w:w="4927" w:type="dxa"/>
          </w:tcPr>
          <w:p w14:paraId="181A76A3" w14:textId="583AA7F4" w:rsidR="005B1F7A" w:rsidRPr="00A41CBB" w:rsidRDefault="00DE2400" w:rsidP="005B1F7A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A41CBB">
              <w:rPr>
                <w:rFonts w:cs="Arial"/>
                <w:sz w:val="20"/>
              </w:rPr>
              <w:t>Rozpowszechnianie:</w:t>
            </w:r>
            <w:r w:rsidRPr="00A41CBB">
              <w:rPr>
                <w:rFonts w:cs="Arial"/>
                <w:sz w:val="20"/>
              </w:rPr>
              <w:br/>
            </w:r>
            <w:r w:rsidR="005B1F7A" w:rsidRPr="00A41CBB">
              <w:rPr>
                <w:rFonts w:cs="Arial"/>
                <w:b/>
                <w:sz w:val="20"/>
              </w:rPr>
              <w:t xml:space="preserve">Wydział </w:t>
            </w:r>
            <w:r w:rsidR="00DF0EB3" w:rsidRPr="00A41CBB">
              <w:rPr>
                <w:rFonts w:cs="Arial"/>
                <w:b/>
                <w:sz w:val="20"/>
              </w:rPr>
              <w:t>Prasowy</w:t>
            </w:r>
          </w:p>
          <w:p w14:paraId="4A4610BF" w14:textId="77777777" w:rsidR="005B1F7A" w:rsidRPr="00A41CBB" w:rsidRDefault="005B1F7A" w:rsidP="005B1F7A">
            <w:r w:rsidRPr="00A41CBB">
              <w:t>Tel. komórkowy: +48 695 255 032</w:t>
            </w:r>
          </w:p>
          <w:p w14:paraId="7CFD5ECD" w14:textId="77777777" w:rsidR="005B1F7A" w:rsidRPr="00A41CBB" w:rsidRDefault="005B1F7A" w:rsidP="005B1F7A">
            <w:pPr>
              <w:ind w:left="1494" w:hanging="1494"/>
            </w:pPr>
            <w:r w:rsidRPr="00A41CBB">
              <w:t>Tel. stacjonarne: +48 22 608 38 04, +48 22 449 41 45,     +48 22 608 30 09</w:t>
            </w:r>
          </w:p>
          <w:p w14:paraId="1F2AE280" w14:textId="77777777" w:rsidR="005B1F7A" w:rsidRPr="00A41CBB" w:rsidRDefault="005B1F7A" w:rsidP="005B1F7A">
            <w:r w:rsidRPr="00A41CBB">
              <w:rPr>
                <w:b/>
                <w:sz w:val="20"/>
              </w:rPr>
              <w:t>e-mail:</w:t>
            </w:r>
            <w:r w:rsidRPr="00A41CBB">
              <w:rPr>
                <w:sz w:val="20"/>
              </w:rPr>
              <w:t xml:space="preserve"> </w:t>
            </w:r>
            <w:hyperlink r:id="rId16" w:history="1">
              <w:r w:rsidRPr="00A41CBB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4B3FFE13" w14:textId="77777777" w:rsidR="00DE2400" w:rsidRPr="00A41CBB" w:rsidRDefault="00DE2400" w:rsidP="005B1F7A">
            <w:pPr>
              <w:spacing w:before="0" w:line="276" w:lineRule="auto"/>
              <w:rPr>
                <w:sz w:val="18"/>
              </w:rPr>
            </w:pPr>
          </w:p>
        </w:tc>
      </w:tr>
      <w:tr w:rsidR="00DE2400" w:rsidRPr="00A41CBB" w14:paraId="73CD0A00" w14:textId="77777777" w:rsidTr="00B84C43">
        <w:trPr>
          <w:trHeight w:val="418"/>
        </w:trPr>
        <w:tc>
          <w:tcPr>
            <w:tcW w:w="4926" w:type="dxa"/>
            <w:vMerge w:val="restart"/>
          </w:tcPr>
          <w:p w14:paraId="19528B1B" w14:textId="77777777" w:rsidR="00DE2400" w:rsidRPr="00A41CBB" w:rsidRDefault="00DE2400" w:rsidP="00747B8C">
            <w:pPr>
              <w:rPr>
                <w:sz w:val="18"/>
                <w:lang w:val="fr-FR"/>
              </w:rPr>
            </w:pPr>
          </w:p>
        </w:tc>
        <w:tc>
          <w:tcPr>
            <w:tcW w:w="4927" w:type="dxa"/>
            <w:vAlign w:val="center"/>
          </w:tcPr>
          <w:p w14:paraId="0EAF3D3D" w14:textId="77777777" w:rsidR="00DE2400" w:rsidRPr="00A41CBB" w:rsidRDefault="00DE2400" w:rsidP="00747B8C">
            <w:pPr>
              <w:ind w:firstLine="680"/>
              <w:rPr>
                <w:sz w:val="18"/>
              </w:rPr>
            </w:pPr>
            <w:r w:rsidRPr="00A41CBB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474BD386" wp14:editId="42FE936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1CBB">
              <w:rPr>
                <w:sz w:val="20"/>
              </w:rPr>
              <w:t>stat.gov.pl</w:t>
            </w:r>
          </w:p>
        </w:tc>
      </w:tr>
      <w:tr w:rsidR="00DE2400" w:rsidRPr="00A41CBB" w14:paraId="084CA001" w14:textId="77777777" w:rsidTr="00B84C43">
        <w:trPr>
          <w:trHeight w:val="418"/>
        </w:trPr>
        <w:tc>
          <w:tcPr>
            <w:tcW w:w="4926" w:type="dxa"/>
            <w:vMerge/>
          </w:tcPr>
          <w:p w14:paraId="1C058EB9" w14:textId="77777777" w:rsidR="00DE2400" w:rsidRPr="00A41CBB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1C411844" w14:textId="77777777" w:rsidR="00DE2400" w:rsidRPr="00A41CBB" w:rsidRDefault="004C50D9" w:rsidP="004C50D9">
            <w:pPr>
              <w:ind w:firstLine="680"/>
              <w:rPr>
                <w:sz w:val="18"/>
              </w:rPr>
            </w:pPr>
            <w:r w:rsidRPr="00A41CBB">
              <w:rPr>
                <w:noProof/>
                <w:lang w:eastAsia="pl-PL"/>
              </w:rPr>
              <w:drawing>
                <wp:anchor distT="0" distB="0" distL="114300" distR="114300" simplePos="0" relativeHeight="251774976" behindDoc="0" locked="0" layoutInCell="1" allowOverlap="1" wp14:anchorId="3B6A649C" wp14:editId="2B1ABA7C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" name="Obraz 2" descr="X ik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1CBB">
              <w:rPr>
                <w:sz w:val="20"/>
              </w:rPr>
              <w:t>@GUS_STAT</w:t>
            </w:r>
            <w:r w:rsidRPr="00A41CBB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2400" w:rsidRPr="00A41CBB" w14:paraId="63CE32D6" w14:textId="77777777" w:rsidTr="00B84C43">
        <w:trPr>
          <w:trHeight w:val="476"/>
        </w:trPr>
        <w:tc>
          <w:tcPr>
            <w:tcW w:w="4926" w:type="dxa"/>
            <w:vMerge/>
          </w:tcPr>
          <w:p w14:paraId="7EA2FBC9" w14:textId="77777777" w:rsidR="00DE2400" w:rsidRPr="00A41CBB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DA23B6A" w14:textId="77777777" w:rsidR="00DE2400" w:rsidRPr="00A41CBB" w:rsidRDefault="00531873" w:rsidP="00747B8C">
            <w:pPr>
              <w:ind w:firstLine="680"/>
              <w:rPr>
                <w:sz w:val="18"/>
              </w:rPr>
            </w:pPr>
            <w:r w:rsidRPr="00A41CBB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6304" behindDoc="0" locked="0" layoutInCell="1" allowOverlap="1" wp14:anchorId="263C4986" wp14:editId="71DD54F2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A41CBB">
              <w:rPr>
                <w:sz w:val="20"/>
              </w:rPr>
              <w:t>@</w:t>
            </w:r>
            <w:proofErr w:type="spellStart"/>
            <w:r w:rsidR="00DE2400" w:rsidRPr="00A41CBB">
              <w:rPr>
                <w:sz w:val="20"/>
              </w:rPr>
              <w:t>GlownyUrzadStatystyczny</w:t>
            </w:r>
            <w:proofErr w:type="spellEnd"/>
            <w:r w:rsidR="00DE2400" w:rsidRPr="00A41CBB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:rsidRPr="00A41CBB" w14:paraId="0B3BF0B2" w14:textId="77777777" w:rsidTr="00B84C43">
        <w:trPr>
          <w:trHeight w:val="426"/>
        </w:trPr>
        <w:tc>
          <w:tcPr>
            <w:tcW w:w="4926" w:type="dxa"/>
          </w:tcPr>
          <w:p w14:paraId="78813A11" w14:textId="77777777" w:rsidR="00531873" w:rsidRPr="00A41CBB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9DA7D3" w14:textId="77777777" w:rsidR="00531873" w:rsidRPr="00A41CBB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A41CBB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5310BBC1" wp14:editId="43FFAE0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A41CBB">
              <w:rPr>
                <w:sz w:val="20"/>
              </w:rPr>
              <w:t>gus_stat</w:t>
            </w:r>
            <w:proofErr w:type="spellEnd"/>
          </w:p>
        </w:tc>
      </w:tr>
      <w:tr w:rsidR="00531873" w:rsidRPr="00A41CBB" w14:paraId="76D1F395" w14:textId="77777777" w:rsidTr="00B84C43">
        <w:trPr>
          <w:trHeight w:val="504"/>
        </w:trPr>
        <w:tc>
          <w:tcPr>
            <w:tcW w:w="4926" w:type="dxa"/>
          </w:tcPr>
          <w:p w14:paraId="158D8222" w14:textId="77777777" w:rsidR="00531873" w:rsidRPr="00A41CBB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0C5FEEE" w14:textId="77777777" w:rsidR="00531873" w:rsidRPr="00A41CBB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A41CBB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42C55236" wp14:editId="26EFB68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A41CBB">
              <w:rPr>
                <w:sz w:val="20"/>
              </w:rPr>
              <w:t>glownyurzadstatystycznygus</w:t>
            </w:r>
            <w:proofErr w:type="spellEnd"/>
          </w:p>
        </w:tc>
      </w:tr>
      <w:tr w:rsidR="00531873" w:rsidRPr="00A41CBB" w14:paraId="5D99AA8E" w14:textId="77777777" w:rsidTr="00B84C43">
        <w:trPr>
          <w:trHeight w:val="1546"/>
        </w:trPr>
        <w:tc>
          <w:tcPr>
            <w:tcW w:w="4926" w:type="dxa"/>
          </w:tcPr>
          <w:p w14:paraId="6F7A9689" w14:textId="77777777" w:rsidR="00531873" w:rsidRPr="00A41CBB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CEDE5E7" w14:textId="77777777" w:rsidR="00531873" w:rsidRPr="00A41CBB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A41CBB">
              <w:rPr>
                <w:noProof/>
                <w:sz w:val="20"/>
                <w:lang w:eastAsia="pl-PL"/>
              </w:rPr>
              <w:t>glownyurzadstatystyczny</w:t>
            </w:r>
            <w:r w:rsidRPr="00A41CBB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553991B6" wp14:editId="1C97CFF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:rsidRPr="00F93103" w14:paraId="54B92DE3" w14:textId="77777777" w:rsidTr="00B84C43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B30E90B" w14:textId="77777777" w:rsidR="00EF5525" w:rsidRPr="00A41CBB" w:rsidRDefault="00EF5525" w:rsidP="00EF5525">
            <w:pPr>
              <w:shd w:val="clear" w:color="auto" w:fill="D9D9D9" w:themeFill="background1" w:themeFillShade="D9"/>
            </w:pPr>
            <w:r w:rsidRPr="00A41CBB">
              <w:rPr>
                <w:b/>
              </w:rPr>
              <w:t>Powiązane opracowania</w:t>
            </w:r>
          </w:p>
          <w:p w14:paraId="4E693492" w14:textId="37DF1A1D" w:rsidR="00EF5525" w:rsidRPr="00A41CBB" w:rsidRDefault="00BF4CAD" w:rsidP="00EF5525">
            <w:pPr>
              <w:rPr>
                <w:rStyle w:val="Hipercze"/>
                <w:sz w:val="18"/>
                <w:szCs w:val="18"/>
              </w:rPr>
            </w:pPr>
            <w:hyperlink r:id="rId23" w:tooltip="Informacje sygnalne. Wyniki finansowe przedsiębiorstw" w:history="1">
              <w:r w:rsidR="00EF5525" w:rsidRPr="00A41CBB">
                <w:rPr>
                  <w:rStyle w:val="Hipercze"/>
                  <w:sz w:val="18"/>
                  <w:szCs w:val="18"/>
                </w:rPr>
                <w:t>Informacje sygnalne. Wyniki finansowe prz</w:t>
              </w:r>
              <w:r w:rsidR="00EF5525" w:rsidRPr="00A41CBB">
                <w:rPr>
                  <w:rStyle w:val="Hipercze"/>
                  <w:sz w:val="18"/>
                  <w:szCs w:val="18"/>
                </w:rPr>
                <w:t>e</w:t>
              </w:r>
              <w:r w:rsidR="00EF5525" w:rsidRPr="00A41CBB">
                <w:rPr>
                  <w:rStyle w:val="Hipercze"/>
                  <w:sz w:val="18"/>
                  <w:szCs w:val="18"/>
                </w:rPr>
                <w:t>dsiębiorstw</w:t>
              </w:r>
            </w:hyperlink>
          </w:p>
          <w:p w14:paraId="653FB90C" w14:textId="77777777" w:rsidR="003A094E" w:rsidRPr="00A41CBB" w:rsidRDefault="00BF4CAD" w:rsidP="003A094E">
            <w:pPr>
              <w:shd w:val="clear" w:color="auto" w:fill="D9D9D9" w:themeFill="background1" w:themeFillShade="D9"/>
              <w:rPr>
                <w:sz w:val="18"/>
                <w:szCs w:val="18"/>
              </w:rPr>
            </w:pPr>
            <w:hyperlink r:id="rId24" w:tooltip="Link do Zeszytu metodologicznego Badania przedsiębiorstw niefinansowych 2019" w:history="1">
              <w:r w:rsidR="003A094E" w:rsidRPr="00A41CBB">
                <w:rPr>
                  <w:color w:val="0000FF"/>
                  <w:sz w:val="18"/>
                  <w:szCs w:val="18"/>
                  <w:u w:val="single"/>
                </w:rPr>
                <w:t>Zeszyt metodologiczny. Badania przedsiębiorstw niefinansowych 2019</w:t>
              </w:r>
            </w:hyperlink>
          </w:p>
          <w:p w14:paraId="35129C55" w14:textId="77777777" w:rsidR="00531873" w:rsidRPr="00A41CBB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A41CBB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260433CF" w14:textId="77777777" w:rsidR="00F93103" w:rsidRPr="00A41CBB" w:rsidRDefault="00BF4CAD" w:rsidP="008223FC">
            <w:pPr>
              <w:rPr>
                <w:color w:val="0000FF"/>
                <w:sz w:val="18"/>
                <w:szCs w:val="18"/>
              </w:rPr>
            </w:pPr>
            <w:hyperlink r:id="rId25" w:tooltip="Przychody ogółem (przychody z całokształtu działalności)" w:history="1">
              <w:r w:rsidR="00F93103" w:rsidRPr="00A41CBB">
                <w:rPr>
                  <w:rStyle w:val="Hipercze"/>
                  <w:sz w:val="18"/>
                  <w:szCs w:val="18"/>
                </w:rPr>
                <w:t>Przychody ogółem (przychody z całokształtu działalności</w:t>
              </w:r>
            </w:hyperlink>
            <w:r w:rsidR="00F93103" w:rsidRPr="00A41CBB">
              <w:rPr>
                <w:color w:val="0000FF"/>
                <w:sz w:val="18"/>
                <w:szCs w:val="18"/>
              </w:rPr>
              <w:t>)</w:t>
            </w:r>
          </w:p>
          <w:p w14:paraId="0A445841" w14:textId="77777777" w:rsidR="00F93103" w:rsidRPr="00A41CBB" w:rsidRDefault="00A96E59" w:rsidP="00A96E59">
            <w:pPr>
              <w:rPr>
                <w:rStyle w:val="Hipercze"/>
                <w:rFonts w:cstheme="minorBidi"/>
                <w:sz w:val="18"/>
                <w:szCs w:val="18"/>
              </w:rPr>
            </w:pPr>
            <w:r w:rsidRPr="00A41CBB">
              <w:rPr>
                <w:color w:val="0000FF"/>
                <w:sz w:val="18"/>
                <w:szCs w:val="18"/>
              </w:rPr>
              <w:fldChar w:fldCharType="begin"/>
            </w:r>
            <w:r w:rsidR="00C94432" w:rsidRPr="00A41CBB">
              <w:rPr>
                <w:color w:val="0000FF"/>
                <w:sz w:val="18"/>
                <w:szCs w:val="18"/>
              </w:rPr>
              <w:instrText>HYPERLINK "http://stat.gov.pl/metainformacje/slownik-pojec/pojecia-stosowane-w-statystyce-publicznej/158,pojecie.html" \o "Koszty ogółem (koszty uzyskania przychodów z całokształtu działalności)"</w:instrText>
            </w:r>
            <w:r w:rsidRPr="00A41CBB">
              <w:rPr>
                <w:color w:val="0000FF"/>
                <w:sz w:val="18"/>
                <w:szCs w:val="18"/>
              </w:rPr>
              <w:fldChar w:fldCharType="separate"/>
            </w:r>
            <w:r w:rsidR="00F93103" w:rsidRPr="00A41CBB">
              <w:rPr>
                <w:rStyle w:val="Hipercze"/>
                <w:rFonts w:cstheme="minorBidi"/>
                <w:sz w:val="18"/>
                <w:szCs w:val="18"/>
              </w:rPr>
              <w:t>Koszty ogółem (</w:t>
            </w:r>
            <w:r w:rsidR="00F93103" w:rsidRPr="00A41CBB">
              <w:rPr>
                <w:rStyle w:val="Hipercze"/>
                <w:sz w:val="18"/>
                <w:szCs w:val="18"/>
              </w:rPr>
              <w:t>koszty uzyskania przychodów z całokształtu działalności</w:t>
            </w:r>
            <w:r w:rsidR="00F93103" w:rsidRPr="00A41CBB">
              <w:rPr>
                <w:rStyle w:val="Hipercze"/>
                <w:rFonts w:cstheme="minorBidi"/>
                <w:sz w:val="18"/>
                <w:szCs w:val="18"/>
              </w:rPr>
              <w:t>)</w:t>
            </w:r>
          </w:p>
          <w:p w14:paraId="7AFA7719" w14:textId="77777777" w:rsidR="00F93103" w:rsidRPr="00A41CBB" w:rsidRDefault="00A96E59" w:rsidP="00F93103">
            <w:pPr>
              <w:rPr>
                <w:sz w:val="18"/>
                <w:szCs w:val="18"/>
              </w:rPr>
            </w:pPr>
            <w:r w:rsidRPr="00A41CBB">
              <w:rPr>
                <w:color w:val="0000FF"/>
                <w:sz w:val="18"/>
                <w:szCs w:val="18"/>
              </w:rPr>
              <w:fldChar w:fldCharType="end"/>
            </w:r>
            <w:hyperlink r:id="rId26" w:tooltip="Wynik finansowy brutto" w:history="1">
              <w:r w:rsidR="00F93103" w:rsidRPr="00A41CBB">
                <w:rPr>
                  <w:rStyle w:val="Hipercze"/>
                  <w:sz w:val="18"/>
                  <w:szCs w:val="18"/>
                </w:rPr>
                <w:t>Wynik finansowy brutto</w:t>
              </w:r>
            </w:hyperlink>
          </w:p>
          <w:p w14:paraId="75B7F0D7" w14:textId="77777777" w:rsidR="00F93103" w:rsidRPr="00A41CBB" w:rsidRDefault="00BF4CAD" w:rsidP="00F93103">
            <w:pPr>
              <w:rPr>
                <w:sz w:val="18"/>
                <w:szCs w:val="18"/>
              </w:rPr>
            </w:pPr>
            <w:hyperlink r:id="rId27" w:tooltip="Wynik finansowy netto" w:history="1">
              <w:r w:rsidR="00F93103" w:rsidRPr="00A41CBB">
                <w:rPr>
                  <w:rStyle w:val="Hipercze"/>
                  <w:sz w:val="18"/>
                  <w:szCs w:val="18"/>
                </w:rPr>
                <w:t>Wynik finansowy netto</w:t>
              </w:r>
            </w:hyperlink>
          </w:p>
          <w:p w14:paraId="2C9F6490" w14:textId="77777777" w:rsidR="00F93103" w:rsidRPr="00A41CBB" w:rsidRDefault="00BF4CAD" w:rsidP="00F93103">
            <w:pPr>
              <w:rPr>
                <w:sz w:val="18"/>
                <w:szCs w:val="18"/>
              </w:rPr>
            </w:pPr>
            <w:hyperlink r:id="rId28" w:tooltip="Wskaźnik poziomu kosztów" w:history="1">
              <w:r w:rsidR="00F93103" w:rsidRPr="00A41CBB">
                <w:rPr>
                  <w:rStyle w:val="Hipercze"/>
                  <w:sz w:val="18"/>
                  <w:szCs w:val="18"/>
                </w:rPr>
                <w:t>Wskaźnik poziomu kosztów</w:t>
              </w:r>
            </w:hyperlink>
          </w:p>
          <w:p w14:paraId="79E1B6E9" w14:textId="77777777" w:rsidR="00F93103" w:rsidRPr="00A41CBB" w:rsidRDefault="00BF4CAD" w:rsidP="00F93103">
            <w:pPr>
              <w:rPr>
                <w:sz w:val="18"/>
                <w:szCs w:val="18"/>
              </w:rPr>
            </w:pPr>
            <w:hyperlink r:id="rId29" w:tooltip="Wskaźnik rentowności obrotu brutto" w:history="1">
              <w:r w:rsidR="00F93103" w:rsidRPr="00A41CBB">
                <w:rPr>
                  <w:rStyle w:val="Hipercze"/>
                  <w:sz w:val="18"/>
                  <w:szCs w:val="18"/>
                </w:rPr>
                <w:t>Wskaźnik rentowności obrotu brutto</w:t>
              </w:r>
            </w:hyperlink>
          </w:p>
          <w:p w14:paraId="6332F73D" w14:textId="77777777" w:rsidR="00F93103" w:rsidRPr="00A41CBB" w:rsidRDefault="00BF4CAD" w:rsidP="00F93103">
            <w:pPr>
              <w:rPr>
                <w:sz w:val="18"/>
                <w:szCs w:val="18"/>
              </w:rPr>
            </w:pPr>
            <w:hyperlink r:id="rId30" w:tooltip="Wskaźnik rentowności obrotu netto" w:history="1">
              <w:r w:rsidR="00F93103" w:rsidRPr="00A41CBB">
                <w:rPr>
                  <w:rStyle w:val="Hipercze"/>
                  <w:sz w:val="18"/>
                  <w:szCs w:val="18"/>
                </w:rPr>
                <w:t>Wskaźnik rentowności obrotu netto</w:t>
              </w:r>
            </w:hyperlink>
          </w:p>
          <w:p w14:paraId="3543BCE5" w14:textId="77777777" w:rsidR="00F93103" w:rsidRPr="00A41CBB" w:rsidRDefault="00BF4CAD" w:rsidP="00F93103">
            <w:pPr>
              <w:rPr>
                <w:sz w:val="18"/>
                <w:szCs w:val="18"/>
              </w:rPr>
            </w:pPr>
            <w:hyperlink r:id="rId31" w:tooltip="Wskaźnik płynności finansowej I stopnia" w:history="1">
              <w:r w:rsidR="00F93103" w:rsidRPr="00A41CBB">
                <w:rPr>
                  <w:rStyle w:val="Hipercze"/>
                  <w:sz w:val="18"/>
                  <w:szCs w:val="18"/>
                </w:rPr>
                <w:t>Wskaźnik płynności finansowej I stopnia</w:t>
              </w:r>
            </w:hyperlink>
          </w:p>
          <w:p w14:paraId="02B27FF3" w14:textId="77777777" w:rsidR="00F93103" w:rsidRPr="00A41CBB" w:rsidRDefault="00BF4CAD" w:rsidP="00F93103">
            <w:pPr>
              <w:rPr>
                <w:sz w:val="18"/>
                <w:szCs w:val="18"/>
              </w:rPr>
            </w:pPr>
            <w:hyperlink r:id="rId32" w:tooltip="Wskaźnik płynności finansowej II stopnia" w:history="1">
              <w:r w:rsidR="00F93103" w:rsidRPr="00A41CBB">
                <w:rPr>
                  <w:rStyle w:val="Hipercze"/>
                  <w:sz w:val="18"/>
                  <w:szCs w:val="18"/>
                </w:rPr>
                <w:t>Wskaźnik płynności finansowej II stopnia</w:t>
              </w:r>
            </w:hyperlink>
          </w:p>
          <w:p w14:paraId="14E35031" w14:textId="77777777" w:rsidR="00F93103" w:rsidRPr="00F93103" w:rsidRDefault="00BF4CAD" w:rsidP="00F93103">
            <w:pPr>
              <w:rPr>
                <w:sz w:val="18"/>
                <w:szCs w:val="18"/>
              </w:rPr>
            </w:pPr>
            <w:hyperlink r:id="rId33" w:tooltip="Nakłady inwestycyjne" w:history="1">
              <w:r w:rsidR="00F93103" w:rsidRPr="00A41CBB">
                <w:rPr>
                  <w:rStyle w:val="Hipercze"/>
                  <w:sz w:val="18"/>
                  <w:szCs w:val="18"/>
                </w:rPr>
                <w:t>Nakłady inwestycyjne</w:t>
              </w:r>
            </w:hyperlink>
          </w:p>
          <w:p w14:paraId="6F882325" w14:textId="77777777" w:rsidR="00531873" w:rsidRPr="00F93103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5F224996" w14:textId="77777777" w:rsidR="000470AA" w:rsidRPr="00F93103" w:rsidRDefault="000470AA" w:rsidP="000470AA">
      <w:pPr>
        <w:rPr>
          <w:sz w:val="18"/>
        </w:rPr>
      </w:pPr>
    </w:p>
    <w:p w14:paraId="416DDD74" w14:textId="77777777" w:rsidR="000470AA" w:rsidRPr="00F93103" w:rsidRDefault="000470AA" w:rsidP="000470AA">
      <w:pPr>
        <w:rPr>
          <w:sz w:val="20"/>
        </w:rPr>
      </w:pPr>
    </w:p>
    <w:p w14:paraId="2ED57C70" w14:textId="77777777" w:rsidR="00D261A2" w:rsidRPr="00F93103" w:rsidRDefault="00D261A2" w:rsidP="00AD0E56">
      <w:pPr>
        <w:rPr>
          <w:sz w:val="18"/>
        </w:rPr>
      </w:pPr>
    </w:p>
    <w:sectPr w:rsidR="00D261A2" w:rsidRPr="00F93103" w:rsidSect="003B18B6">
      <w:headerReference w:type="default" r:id="rId34"/>
      <w:footerReference w:type="default" r:id="rId35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A4164" w14:textId="77777777" w:rsidR="00C7020B" w:rsidRDefault="00C7020B" w:rsidP="000662E2">
      <w:pPr>
        <w:spacing w:after="0" w:line="240" w:lineRule="auto"/>
      </w:pPr>
      <w:r>
        <w:separator/>
      </w:r>
    </w:p>
  </w:endnote>
  <w:endnote w:type="continuationSeparator" w:id="0">
    <w:p w14:paraId="705414D3" w14:textId="77777777" w:rsidR="00C7020B" w:rsidRDefault="00C7020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Regular">
    <w:altName w:val="MS Gothic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575277"/>
      <w:docPartObj>
        <w:docPartGallery w:val="Page Numbers (Bottom of Page)"/>
        <w:docPartUnique/>
      </w:docPartObj>
    </w:sdtPr>
    <w:sdtEndPr/>
    <w:sdtContent>
      <w:p w14:paraId="2B0A033C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69F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45E560A1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69F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218049D1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AED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3E7C8" w14:textId="77777777" w:rsidR="00C7020B" w:rsidRDefault="00C7020B" w:rsidP="000662E2">
      <w:pPr>
        <w:spacing w:after="0" w:line="240" w:lineRule="auto"/>
      </w:pPr>
      <w:r>
        <w:separator/>
      </w:r>
    </w:p>
  </w:footnote>
  <w:footnote w:type="continuationSeparator" w:id="0">
    <w:p w14:paraId="6A296E30" w14:textId="77777777" w:rsidR="00C7020B" w:rsidRDefault="00C7020B" w:rsidP="000662E2">
      <w:pPr>
        <w:spacing w:after="0" w:line="240" w:lineRule="auto"/>
      </w:pPr>
      <w:r>
        <w:continuationSeparator/>
      </w:r>
    </w:p>
  </w:footnote>
  <w:footnote w:id="1">
    <w:p w14:paraId="42D7C44E" w14:textId="77777777" w:rsidR="00A7575C" w:rsidRDefault="00A757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2EF2">
        <w:rPr>
          <w:sz w:val="16"/>
          <w:szCs w:val="16"/>
        </w:rPr>
        <w:t xml:space="preserve">Dotyczy wszystkich sekcji </w:t>
      </w:r>
      <w:r w:rsidR="0097126A" w:rsidRPr="00F52EF2">
        <w:rPr>
          <w:sz w:val="16"/>
          <w:szCs w:val="16"/>
        </w:rPr>
        <w:t>PKD</w:t>
      </w:r>
      <w:r w:rsidR="0097126A">
        <w:rPr>
          <w:sz w:val="16"/>
          <w:szCs w:val="16"/>
        </w:rPr>
        <w:t xml:space="preserve"> </w:t>
      </w:r>
      <w:r w:rsidR="0097126A" w:rsidRPr="00F52EF2">
        <w:rPr>
          <w:sz w:val="16"/>
          <w:szCs w:val="16"/>
        </w:rPr>
        <w:t xml:space="preserve">2007 </w:t>
      </w:r>
      <w:r w:rsidRPr="00F52EF2">
        <w:rPr>
          <w:sz w:val="16"/>
          <w:szCs w:val="16"/>
        </w:rPr>
        <w:t>objętych badaniem według zestawu danych F-01/I-01 (opis metodologii na str. 3).</w:t>
      </w:r>
    </w:p>
  </w:footnote>
  <w:footnote w:id="2">
    <w:p w14:paraId="6A92C1B2" w14:textId="2F20D513" w:rsidR="007D71D5" w:rsidRDefault="007D71D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5A20" w:rsidRPr="00BD5A20">
        <w:rPr>
          <w:sz w:val="16"/>
          <w:szCs w:val="16"/>
        </w:rPr>
        <w:t>Dane dotyczą przedsiębiorstw z kapitałem zagranicznym stanowiącym w kapitale podstawowym powyżej 50%</w:t>
      </w:r>
      <w:r w:rsidR="00BD5A20">
        <w:rPr>
          <w:sz w:val="16"/>
          <w:szCs w:val="16"/>
        </w:rPr>
        <w:t xml:space="preserve">. </w:t>
      </w:r>
      <w:r w:rsidRPr="00BD5A20">
        <w:rPr>
          <w:sz w:val="16"/>
          <w:szCs w:val="16"/>
        </w:rPr>
        <w:t>Ud</w:t>
      </w:r>
      <w:r w:rsidRPr="007D71D5">
        <w:rPr>
          <w:sz w:val="16"/>
          <w:szCs w:val="16"/>
        </w:rPr>
        <w:t>ział kapitału zagranicznego w kapitale podstawowym określono na podstawie rocznego badania podmiotów</w:t>
      </w:r>
      <w:r w:rsidR="00CF3E3E">
        <w:rPr>
          <w:sz w:val="16"/>
          <w:szCs w:val="16"/>
        </w:rPr>
        <w:t xml:space="preserve"> z kapitałem zagranicznym </w:t>
      </w:r>
      <w:r w:rsidR="00EF569D">
        <w:rPr>
          <w:sz w:val="16"/>
          <w:szCs w:val="16"/>
        </w:rPr>
        <w:t xml:space="preserve">za </w:t>
      </w:r>
      <w:r w:rsidR="00CF3E3E">
        <w:rPr>
          <w:sz w:val="16"/>
          <w:szCs w:val="16"/>
        </w:rPr>
        <w:t>202</w:t>
      </w:r>
      <w:r w:rsidR="00F80B92">
        <w:rPr>
          <w:sz w:val="16"/>
          <w:szCs w:val="16"/>
        </w:rPr>
        <w:t>4</w:t>
      </w:r>
      <w:r w:rsidRPr="007D71D5">
        <w:rPr>
          <w:sz w:val="16"/>
          <w:szCs w:val="16"/>
        </w:rPr>
        <w:t xml:space="preserve"> </w:t>
      </w:r>
      <w:r w:rsidR="00184BE9">
        <w:rPr>
          <w:sz w:val="16"/>
          <w:szCs w:val="16"/>
        </w:rPr>
        <w:t>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CD415" w14:textId="77777777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21EDEA8" wp14:editId="155096B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C4A578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368120D7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73451" w14:textId="77777777"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4FB1DEF7" wp14:editId="75C37B53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75F17EF" wp14:editId="4626248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C2110D3" w14:textId="77777777" w:rsidR="00F37172" w:rsidRPr="003C6C8D" w:rsidRDefault="00F37172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5F17EF" id="Schemat blokowy: opóźnienie 6" o:spid="_x0000_s1029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C2110D3" w14:textId="77777777" w:rsidR="00F37172" w:rsidRPr="003C6C8D" w:rsidRDefault="00F37172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0546726" wp14:editId="0105EC4F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78416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14:paraId="417EBE6C" w14:textId="77777777" w:rsidR="00540C5C" w:rsidRDefault="00540C5C">
    <w:pPr>
      <w:pStyle w:val="Nagwek"/>
      <w:rPr>
        <w:noProof/>
        <w:lang w:eastAsia="pl-PL"/>
      </w:rPr>
    </w:pPr>
  </w:p>
  <w:p w14:paraId="365C1B83" w14:textId="77777777" w:rsidR="00540C5C" w:rsidRDefault="00540C5C">
    <w:pPr>
      <w:pStyle w:val="Nagwek"/>
      <w:rPr>
        <w:noProof/>
        <w:lang w:eastAsia="pl-PL"/>
      </w:rPr>
    </w:pPr>
  </w:p>
  <w:p w14:paraId="0698481C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B473B75" wp14:editId="23372328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02.04.2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6D4306" w14:textId="05CC7F45" w:rsidR="00F37172" w:rsidRPr="00A01B40" w:rsidRDefault="00093DC9" w:rsidP="00F049AB">
                          <w:pPr>
                            <w:pStyle w:val="Datainformacjisygnalnej"/>
                          </w:pPr>
                          <w:r>
                            <w:t>02</w:t>
                          </w:r>
                          <w:r w:rsidR="009E25C4">
                            <w:t>.</w:t>
                          </w:r>
                          <w:r>
                            <w:t>04</w:t>
                          </w:r>
                          <w:r w:rsidR="00930F57">
                            <w:t>.202</w:t>
                          </w:r>
                          <w:r>
                            <w:t>6</w:t>
                          </w:r>
                          <w:r w:rsidR="00DE6B58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473B75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02.04.2026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" filled="f" stroked="f">
              <v:textbox>
                <w:txbxContent>
                  <w:p w14:paraId="0F6D4306" w14:textId="05CC7F45" w:rsidR="00F37172" w:rsidRPr="00A01B40" w:rsidRDefault="00093DC9" w:rsidP="00F049AB">
                    <w:pPr>
                      <w:pStyle w:val="Datainformacjisygnalnej"/>
                    </w:pPr>
                    <w:r>
                      <w:t>02</w:t>
                    </w:r>
                    <w:r w:rsidR="009E25C4">
                      <w:t>.</w:t>
                    </w:r>
                    <w:r>
                      <w:t>04</w:t>
                    </w:r>
                    <w:r w:rsidR="00930F57">
                      <w:t>.202</w:t>
                    </w:r>
                    <w:r>
                      <w:t>6</w:t>
                    </w:r>
                    <w:r w:rsidR="00DE6B58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14010" w14:textId="77777777" w:rsidR="00607CC5" w:rsidRDefault="00607CC5">
    <w:pPr>
      <w:pStyle w:val="Nagwek"/>
    </w:pPr>
  </w:p>
  <w:p w14:paraId="0F638ABF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7pt;height:122.7pt;visibility:visible;mso-wrap-style:square" o:bullet="t">
        <v:imagedata r:id="rId1" o:title=""/>
      </v:shape>
    </w:pict>
  </w:numPicBullet>
  <w:numPicBullet w:numPicBulletId="1">
    <w:pict>
      <v:shape id="_x0000_i1027" type="#_x0000_t75" style="width:122.1pt;height:122.7pt;visibility:visible;mso-wrap-style:square" o:bullet="t">
        <v:imagedata r:id="rId2" o:title=""/>
      </v:shape>
    </w:pict>
  </w:numPicBullet>
  <w:abstractNum w:abstractNumId="0" w15:restartNumberingAfterBreak="0">
    <w:nsid w:val="07FF6E0A"/>
    <w:multiLevelType w:val="hybridMultilevel"/>
    <w:tmpl w:val="7F821C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7" w15:restartNumberingAfterBreak="0">
    <w:nsid w:val="3C5675FA"/>
    <w:multiLevelType w:val="hybridMultilevel"/>
    <w:tmpl w:val="9D847930"/>
    <w:lvl w:ilvl="0" w:tplc="51F46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86138"/>
    <w:multiLevelType w:val="hybridMultilevel"/>
    <w:tmpl w:val="CF1E6D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B3A"/>
    <w:rsid w:val="00001C5B"/>
    <w:rsid w:val="00003437"/>
    <w:rsid w:val="0000709F"/>
    <w:rsid w:val="000106AC"/>
    <w:rsid w:val="000108B8"/>
    <w:rsid w:val="000152F5"/>
    <w:rsid w:val="000171CF"/>
    <w:rsid w:val="0002123E"/>
    <w:rsid w:val="00022056"/>
    <w:rsid w:val="0002318D"/>
    <w:rsid w:val="00023F4D"/>
    <w:rsid w:val="00027D7F"/>
    <w:rsid w:val="00030250"/>
    <w:rsid w:val="00031435"/>
    <w:rsid w:val="00031E11"/>
    <w:rsid w:val="0004582E"/>
    <w:rsid w:val="00045D08"/>
    <w:rsid w:val="000470AA"/>
    <w:rsid w:val="000516BD"/>
    <w:rsid w:val="00051907"/>
    <w:rsid w:val="0005298A"/>
    <w:rsid w:val="000547D4"/>
    <w:rsid w:val="00057CA1"/>
    <w:rsid w:val="00060A4C"/>
    <w:rsid w:val="00062D97"/>
    <w:rsid w:val="00064172"/>
    <w:rsid w:val="000647A9"/>
    <w:rsid w:val="00065274"/>
    <w:rsid w:val="000662E2"/>
    <w:rsid w:val="00066883"/>
    <w:rsid w:val="00071B39"/>
    <w:rsid w:val="0007228D"/>
    <w:rsid w:val="00074DD8"/>
    <w:rsid w:val="00075306"/>
    <w:rsid w:val="00075759"/>
    <w:rsid w:val="00077EE1"/>
    <w:rsid w:val="000806F7"/>
    <w:rsid w:val="00080C8F"/>
    <w:rsid w:val="00090180"/>
    <w:rsid w:val="0009051D"/>
    <w:rsid w:val="00090C29"/>
    <w:rsid w:val="00093DC9"/>
    <w:rsid w:val="0009551C"/>
    <w:rsid w:val="00096E82"/>
    <w:rsid w:val="00097009"/>
    <w:rsid w:val="00097840"/>
    <w:rsid w:val="000A4FF5"/>
    <w:rsid w:val="000A7803"/>
    <w:rsid w:val="000B0727"/>
    <w:rsid w:val="000B0C0D"/>
    <w:rsid w:val="000B1E93"/>
    <w:rsid w:val="000B2172"/>
    <w:rsid w:val="000B56F8"/>
    <w:rsid w:val="000B78A6"/>
    <w:rsid w:val="000B7FAC"/>
    <w:rsid w:val="000C135D"/>
    <w:rsid w:val="000C1FCA"/>
    <w:rsid w:val="000C5021"/>
    <w:rsid w:val="000C6B65"/>
    <w:rsid w:val="000C78F5"/>
    <w:rsid w:val="000D1D43"/>
    <w:rsid w:val="000D225C"/>
    <w:rsid w:val="000D2A5C"/>
    <w:rsid w:val="000D39F0"/>
    <w:rsid w:val="000D4670"/>
    <w:rsid w:val="000D7DBC"/>
    <w:rsid w:val="000E0342"/>
    <w:rsid w:val="000E0918"/>
    <w:rsid w:val="000E41D4"/>
    <w:rsid w:val="000E5B25"/>
    <w:rsid w:val="000E69E2"/>
    <w:rsid w:val="000E70A9"/>
    <w:rsid w:val="000E79A9"/>
    <w:rsid w:val="000F1D9C"/>
    <w:rsid w:val="000F5448"/>
    <w:rsid w:val="001011C3"/>
    <w:rsid w:val="00101C58"/>
    <w:rsid w:val="00103124"/>
    <w:rsid w:val="00106258"/>
    <w:rsid w:val="00106DA3"/>
    <w:rsid w:val="00110214"/>
    <w:rsid w:val="00110770"/>
    <w:rsid w:val="00110D5E"/>
    <w:rsid w:val="00110D87"/>
    <w:rsid w:val="00112263"/>
    <w:rsid w:val="00112399"/>
    <w:rsid w:val="00114DB9"/>
    <w:rsid w:val="00116087"/>
    <w:rsid w:val="00116351"/>
    <w:rsid w:val="00117711"/>
    <w:rsid w:val="00120133"/>
    <w:rsid w:val="001215DE"/>
    <w:rsid w:val="00122587"/>
    <w:rsid w:val="00126A1E"/>
    <w:rsid w:val="00130296"/>
    <w:rsid w:val="00132F78"/>
    <w:rsid w:val="00134145"/>
    <w:rsid w:val="00135B49"/>
    <w:rsid w:val="00136008"/>
    <w:rsid w:val="00136736"/>
    <w:rsid w:val="00136740"/>
    <w:rsid w:val="00136D67"/>
    <w:rsid w:val="00137D3A"/>
    <w:rsid w:val="00140FE6"/>
    <w:rsid w:val="001423B6"/>
    <w:rsid w:val="00142C8A"/>
    <w:rsid w:val="00142FDE"/>
    <w:rsid w:val="00143373"/>
    <w:rsid w:val="001448A7"/>
    <w:rsid w:val="00145AB6"/>
    <w:rsid w:val="001465CB"/>
    <w:rsid w:val="00146621"/>
    <w:rsid w:val="00146D29"/>
    <w:rsid w:val="00150584"/>
    <w:rsid w:val="00150B36"/>
    <w:rsid w:val="00157A2F"/>
    <w:rsid w:val="00157C39"/>
    <w:rsid w:val="001617E3"/>
    <w:rsid w:val="00162325"/>
    <w:rsid w:val="001624A7"/>
    <w:rsid w:val="001628E4"/>
    <w:rsid w:val="00162A2D"/>
    <w:rsid w:val="0016538E"/>
    <w:rsid w:val="00165A8D"/>
    <w:rsid w:val="00165DE0"/>
    <w:rsid w:val="00167276"/>
    <w:rsid w:val="00167C3B"/>
    <w:rsid w:val="00173373"/>
    <w:rsid w:val="0017650A"/>
    <w:rsid w:val="00180536"/>
    <w:rsid w:val="001815F7"/>
    <w:rsid w:val="00182091"/>
    <w:rsid w:val="0018366D"/>
    <w:rsid w:val="00183E9E"/>
    <w:rsid w:val="00184BE9"/>
    <w:rsid w:val="00185A85"/>
    <w:rsid w:val="001928F7"/>
    <w:rsid w:val="001951DA"/>
    <w:rsid w:val="00196F4E"/>
    <w:rsid w:val="0019780D"/>
    <w:rsid w:val="001A06C4"/>
    <w:rsid w:val="001A0E5C"/>
    <w:rsid w:val="001A1039"/>
    <w:rsid w:val="001A381A"/>
    <w:rsid w:val="001A4114"/>
    <w:rsid w:val="001A569C"/>
    <w:rsid w:val="001A6107"/>
    <w:rsid w:val="001A7BB9"/>
    <w:rsid w:val="001B053D"/>
    <w:rsid w:val="001B3132"/>
    <w:rsid w:val="001B32E1"/>
    <w:rsid w:val="001B3369"/>
    <w:rsid w:val="001B33AA"/>
    <w:rsid w:val="001B6691"/>
    <w:rsid w:val="001B73E4"/>
    <w:rsid w:val="001B7A93"/>
    <w:rsid w:val="001C1489"/>
    <w:rsid w:val="001C3269"/>
    <w:rsid w:val="001C445B"/>
    <w:rsid w:val="001C4DC1"/>
    <w:rsid w:val="001C790D"/>
    <w:rsid w:val="001C7BA5"/>
    <w:rsid w:val="001D0A85"/>
    <w:rsid w:val="001D19B6"/>
    <w:rsid w:val="001D1DB4"/>
    <w:rsid w:val="001D23F1"/>
    <w:rsid w:val="001D25F9"/>
    <w:rsid w:val="001D388C"/>
    <w:rsid w:val="001D41EF"/>
    <w:rsid w:val="001D5E53"/>
    <w:rsid w:val="001D61ED"/>
    <w:rsid w:val="001D630A"/>
    <w:rsid w:val="001D7F7F"/>
    <w:rsid w:val="001E5114"/>
    <w:rsid w:val="001E5305"/>
    <w:rsid w:val="001E5B2D"/>
    <w:rsid w:val="001E7332"/>
    <w:rsid w:val="001F10BB"/>
    <w:rsid w:val="001F48C3"/>
    <w:rsid w:val="001F6E0F"/>
    <w:rsid w:val="0020041B"/>
    <w:rsid w:val="00200E19"/>
    <w:rsid w:val="0020156C"/>
    <w:rsid w:val="00202F30"/>
    <w:rsid w:val="00203ABE"/>
    <w:rsid w:val="002066D0"/>
    <w:rsid w:val="00210780"/>
    <w:rsid w:val="002147A6"/>
    <w:rsid w:val="00215766"/>
    <w:rsid w:val="00216634"/>
    <w:rsid w:val="00216A84"/>
    <w:rsid w:val="00233E64"/>
    <w:rsid w:val="00242D31"/>
    <w:rsid w:val="00252876"/>
    <w:rsid w:val="00253AE0"/>
    <w:rsid w:val="0025481E"/>
    <w:rsid w:val="00256CB7"/>
    <w:rsid w:val="002574F9"/>
    <w:rsid w:val="00257D53"/>
    <w:rsid w:val="00260A32"/>
    <w:rsid w:val="00262B61"/>
    <w:rsid w:val="00262CC6"/>
    <w:rsid w:val="002635EF"/>
    <w:rsid w:val="00263E08"/>
    <w:rsid w:val="00263FCE"/>
    <w:rsid w:val="0026446F"/>
    <w:rsid w:val="00265433"/>
    <w:rsid w:val="00265814"/>
    <w:rsid w:val="00265F86"/>
    <w:rsid w:val="002701D8"/>
    <w:rsid w:val="00272F9B"/>
    <w:rsid w:val="00273919"/>
    <w:rsid w:val="00273D09"/>
    <w:rsid w:val="00276811"/>
    <w:rsid w:val="00282699"/>
    <w:rsid w:val="00285054"/>
    <w:rsid w:val="00291478"/>
    <w:rsid w:val="002926DF"/>
    <w:rsid w:val="00294DCC"/>
    <w:rsid w:val="00296697"/>
    <w:rsid w:val="002A44D4"/>
    <w:rsid w:val="002A65A4"/>
    <w:rsid w:val="002A7163"/>
    <w:rsid w:val="002B0472"/>
    <w:rsid w:val="002B04F2"/>
    <w:rsid w:val="002B2537"/>
    <w:rsid w:val="002B35A7"/>
    <w:rsid w:val="002B4FF3"/>
    <w:rsid w:val="002B6843"/>
    <w:rsid w:val="002B6B12"/>
    <w:rsid w:val="002B70BD"/>
    <w:rsid w:val="002B7F83"/>
    <w:rsid w:val="002C21F0"/>
    <w:rsid w:val="002C61BB"/>
    <w:rsid w:val="002C75B2"/>
    <w:rsid w:val="002D01DF"/>
    <w:rsid w:val="002D0655"/>
    <w:rsid w:val="002D412A"/>
    <w:rsid w:val="002D425F"/>
    <w:rsid w:val="002E2B73"/>
    <w:rsid w:val="002E3EB3"/>
    <w:rsid w:val="002E4D20"/>
    <w:rsid w:val="002E570B"/>
    <w:rsid w:val="002E6140"/>
    <w:rsid w:val="002E6985"/>
    <w:rsid w:val="002E71B6"/>
    <w:rsid w:val="002F2FCD"/>
    <w:rsid w:val="002F35F6"/>
    <w:rsid w:val="002F36B1"/>
    <w:rsid w:val="002F384B"/>
    <w:rsid w:val="002F5A5D"/>
    <w:rsid w:val="002F66CB"/>
    <w:rsid w:val="002F77C8"/>
    <w:rsid w:val="003032A3"/>
    <w:rsid w:val="003035F1"/>
    <w:rsid w:val="00304F22"/>
    <w:rsid w:val="00306C7C"/>
    <w:rsid w:val="003106B1"/>
    <w:rsid w:val="00313E1F"/>
    <w:rsid w:val="00314F86"/>
    <w:rsid w:val="003164BA"/>
    <w:rsid w:val="00317F4D"/>
    <w:rsid w:val="00320085"/>
    <w:rsid w:val="00320666"/>
    <w:rsid w:val="00322EDD"/>
    <w:rsid w:val="00325564"/>
    <w:rsid w:val="00325CDD"/>
    <w:rsid w:val="00326199"/>
    <w:rsid w:val="00326BCE"/>
    <w:rsid w:val="003309FA"/>
    <w:rsid w:val="00332320"/>
    <w:rsid w:val="003325FE"/>
    <w:rsid w:val="00332AA3"/>
    <w:rsid w:val="003338CD"/>
    <w:rsid w:val="00334DCC"/>
    <w:rsid w:val="0034626A"/>
    <w:rsid w:val="0034748D"/>
    <w:rsid w:val="00347D72"/>
    <w:rsid w:val="00351A51"/>
    <w:rsid w:val="00353104"/>
    <w:rsid w:val="00353F45"/>
    <w:rsid w:val="00357611"/>
    <w:rsid w:val="00361319"/>
    <w:rsid w:val="00362FF7"/>
    <w:rsid w:val="00363492"/>
    <w:rsid w:val="0036432A"/>
    <w:rsid w:val="00364AF9"/>
    <w:rsid w:val="00365031"/>
    <w:rsid w:val="00365C16"/>
    <w:rsid w:val="00367237"/>
    <w:rsid w:val="0037077F"/>
    <w:rsid w:val="00370F01"/>
    <w:rsid w:val="00372411"/>
    <w:rsid w:val="0037352E"/>
    <w:rsid w:val="00373882"/>
    <w:rsid w:val="00373F1B"/>
    <w:rsid w:val="00374011"/>
    <w:rsid w:val="0037472C"/>
    <w:rsid w:val="0037505B"/>
    <w:rsid w:val="00377F1F"/>
    <w:rsid w:val="00383FF9"/>
    <w:rsid w:val="003843DB"/>
    <w:rsid w:val="00385CD3"/>
    <w:rsid w:val="00385D4F"/>
    <w:rsid w:val="00386936"/>
    <w:rsid w:val="00387726"/>
    <w:rsid w:val="003901C3"/>
    <w:rsid w:val="003902FB"/>
    <w:rsid w:val="00391411"/>
    <w:rsid w:val="00393761"/>
    <w:rsid w:val="00394E26"/>
    <w:rsid w:val="00396691"/>
    <w:rsid w:val="00396698"/>
    <w:rsid w:val="00397D18"/>
    <w:rsid w:val="003A094E"/>
    <w:rsid w:val="003A1834"/>
    <w:rsid w:val="003A1B36"/>
    <w:rsid w:val="003A4407"/>
    <w:rsid w:val="003A719E"/>
    <w:rsid w:val="003B08A6"/>
    <w:rsid w:val="003B099C"/>
    <w:rsid w:val="003B0E8A"/>
    <w:rsid w:val="003B1454"/>
    <w:rsid w:val="003B18B6"/>
    <w:rsid w:val="003B793A"/>
    <w:rsid w:val="003C161B"/>
    <w:rsid w:val="003C2405"/>
    <w:rsid w:val="003C2A63"/>
    <w:rsid w:val="003C59E0"/>
    <w:rsid w:val="003C655D"/>
    <w:rsid w:val="003C6962"/>
    <w:rsid w:val="003C6C8D"/>
    <w:rsid w:val="003D0D30"/>
    <w:rsid w:val="003D2656"/>
    <w:rsid w:val="003D26ED"/>
    <w:rsid w:val="003D2768"/>
    <w:rsid w:val="003D2B55"/>
    <w:rsid w:val="003D2F72"/>
    <w:rsid w:val="003D4F95"/>
    <w:rsid w:val="003D5F42"/>
    <w:rsid w:val="003D60A9"/>
    <w:rsid w:val="003E4367"/>
    <w:rsid w:val="003E4658"/>
    <w:rsid w:val="003E6F8A"/>
    <w:rsid w:val="003F128C"/>
    <w:rsid w:val="003F20B9"/>
    <w:rsid w:val="003F47E7"/>
    <w:rsid w:val="003F4C97"/>
    <w:rsid w:val="003F666D"/>
    <w:rsid w:val="003F74C2"/>
    <w:rsid w:val="003F7993"/>
    <w:rsid w:val="003F7FE6"/>
    <w:rsid w:val="00400193"/>
    <w:rsid w:val="00403044"/>
    <w:rsid w:val="004038FC"/>
    <w:rsid w:val="00405796"/>
    <w:rsid w:val="004064A0"/>
    <w:rsid w:val="00407264"/>
    <w:rsid w:val="00410566"/>
    <w:rsid w:val="004124D2"/>
    <w:rsid w:val="00413738"/>
    <w:rsid w:val="004160B4"/>
    <w:rsid w:val="00416A9B"/>
    <w:rsid w:val="00416EAF"/>
    <w:rsid w:val="00416FDA"/>
    <w:rsid w:val="004212E7"/>
    <w:rsid w:val="0042292A"/>
    <w:rsid w:val="00422B20"/>
    <w:rsid w:val="00423C88"/>
    <w:rsid w:val="0042446D"/>
    <w:rsid w:val="004272CA"/>
    <w:rsid w:val="00427BF8"/>
    <w:rsid w:val="00431C02"/>
    <w:rsid w:val="00432507"/>
    <w:rsid w:val="0043254E"/>
    <w:rsid w:val="004338D1"/>
    <w:rsid w:val="00436653"/>
    <w:rsid w:val="00437395"/>
    <w:rsid w:val="004404FD"/>
    <w:rsid w:val="00440E36"/>
    <w:rsid w:val="004419F1"/>
    <w:rsid w:val="00442E58"/>
    <w:rsid w:val="00444266"/>
    <w:rsid w:val="00445047"/>
    <w:rsid w:val="00446749"/>
    <w:rsid w:val="0045002B"/>
    <w:rsid w:val="00451D1B"/>
    <w:rsid w:val="00451EF6"/>
    <w:rsid w:val="00453EB7"/>
    <w:rsid w:val="004544DB"/>
    <w:rsid w:val="00454EA1"/>
    <w:rsid w:val="00461329"/>
    <w:rsid w:val="0046293F"/>
    <w:rsid w:val="00462B8B"/>
    <w:rsid w:val="00463E39"/>
    <w:rsid w:val="0046425B"/>
    <w:rsid w:val="004650FA"/>
    <w:rsid w:val="004657FC"/>
    <w:rsid w:val="0046669F"/>
    <w:rsid w:val="00466E22"/>
    <w:rsid w:val="00467075"/>
    <w:rsid w:val="004677C5"/>
    <w:rsid w:val="004733F6"/>
    <w:rsid w:val="00474E69"/>
    <w:rsid w:val="004750CE"/>
    <w:rsid w:val="004751DD"/>
    <w:rsid w:val="004820A7"/>
    <w:rsid w:val="00482AB2"/>
    <w:rsid w:val="00483E9F"/>
    <w:rsid w:val="00485699"/>
    <w:rsid w:val="00485A2C"/>
    <w:rsid w:val="00487128"/>
    <w:rsid w:val="0049621B"/>
    <w:rsid w:val="004A0392"/>
    <w:rsid w:val="004A1030"/>
    <w:rsid w:val="004A13AB"/>
    <w:rsid w:val="004A1D19"/>
    <w:rsid w:val="004A4106"/>
    <w:rsid w:val="004A419E"/>
    <w:rsid w:val="004A5892"/>
    <w:rsid w:val="004A6050"/>
    <w:rsid w:val="004A6E0A"/>
    <w:rsid w:val="004A71DF"/>
    <w:rsid w:val="004A756A"/>
    <w:rsid w:val="004B198F"/>
    <w:rsid w:val="004B5C2A"/>
    <w:rsid w:val="004B62A1"/>
    <w:rsid w:val="004B7132"/>
    <w:rsid w:val="004B7A48"/>
    <w:rsid w:val="004C1895"/>
    <w:rsid w:val="004C3F54"/>
    <w:rsid w:val="004C4B60"/>
    <w:rsid w:val="004C4D29"/>
    <w:rsid w:val="004C4F63"/>
    <w:rsid w:val="004C50D9"/>
    <w:rsid w:val="004C6D40"/>
    <w:rsid w:val="004E0121"/>
    <w:rsid w:val="004E0F47"/>
    <w:rsid w:val="004E20C3"/>
    <w:rsid w:val="004E343B"/>
    <w:rsid w:val="004E3757"/>
    <w:rsid w:val="004E3DF0"/>
    <w:rsid w:val="004E6AA8"/>
    <w:rsid w:val="004F0AA3"/>
    <w:rsid w:val="004F0C3C"/>
    <w:rsid w:val="004F2280"/>
    <w:rsid w:val="004F23BB"/>
    <w:rsid w:val="004F2FB7"/>
    <w:rsid w:val="004F415B"/>
    <w:rsid w:val="004F63FC"/>
    <w:rsid w:val="004F7EE5"/>
    <w:rsid w:val="00502AC9"/>
    <w:rsid w:val="00505A92"/>
    <w:rsid w:val="005116DF"/>
    <w:rsid w:val="005123B0"/>
    <w:rsid w:val="005203F1"/>
    <w:rsid w:val="0052138E"/>
    <w:rsid w:val="0052194E"/>
    <w:rsid w:val="00521BC3"/>
    <w:rsid w:val="00523AD1"/>
    <w:rsid w:val="0052403C"/>
    <w:rsid w:val="00525CA9"/>
    <w:rsid w:val="00530F44"/>
    <w:rsid w:val="00531873"/>
    <w:rsid w:val="005319F1"/>
    <w:rsid w:val="00533632"/>
    <w:rsid w:val="00534013"/>
    <w:rsid w:val="00534624"/>
    <w:rsid w:val="005356BD"/>
    <w:rsid w:val="00540C5C"/>
    <w:rsid w:val="00541E6E"/>
    <w:rsid w:val="0054251F"/>
    <w:rsid w:val="005479FE"/>
    <w:rsid w:val="005520D8"/>
    <w:rsid w:val="00553C9F"/>
    <w:rsid w:val="00554191"/>
    <w:rsid w:val="00555CFB"/>
    <w:rsid w:val="00556ADB"/>
    <w:rsid w:val="00556CF1"/>
    <w:rsid w:val="00561FB5"/>
    <w:rsid w:val="005641B7"/>
    <w:rsid w:val="00564C2C"/>
    <w:rsid w:val="00565095"/>
    <w:rsid w:val="005654AA"/>
    <w:rsid w:val="005709AB"/>
    <w:rsid w:val="00575E7B"/>
    <w:rsid w:val="005762A7"/>
    <w:rsid w:val="005764E9"/>
    <w:rsid w:val="0057774C"/>
    <w:rsid w:val="00580895"/>
    <w:rsid w:val="00582962"/>
    <w:rsid w:val="00583FD0"/>
    <w:rsid w:val="00586F21"/>
    <w:rsid w:val="00587B47"/>
    <w:rsid w:val="00587CEE"/>
    <w:rsid w:val="0059077A"/>
    <w:rsid w:val="005907AA"/>
    <w:rsid w:val="005916D7"/>
    <w:rsid w:val="0059427F"/>
    <w:rsid w:val="00595C9F"/>
    <w:rsid w:val="00597E81"/>
    <w:rsid w:val="005A1228"/>
    <w:rsid w:val="005A3DD0"/>
    <w:rsid w:val="005A595E"/>
    <w:rsid w:val="005A698C"/>
    <w:rsid w:val="005A7261"/>
    <w:rsid w:val="005B1F7A"/>
    <w:rsid w:val="005B2597"/>
    <w:rsid w:val="005B32D0"/>
    <w:rsid w:val="005B41AB"/>
    <w:rsid w:val="005B6C60"/>
    <w:rsid w:val="005B7B71"/>
    <w:rsid w:val="005C04A4"/>
    <w:rsid w:val="005C0CAC"/>
    <w:rsid w:val="005C3244"/>
    <w:rsid w:val="005C429B"/>
    <w:rsid w:val="005D062E"/>
    <w:rsid w:val="005D092A"/>
    <w:rsid w:val="005D1BD8"/>
    <w:rsid w:val="005D2CBB"/>
    <w:rsid w:val="005D2F6B"/>
    <w:rsid w:val="005D34F8"/>
    <w:rsid w:val="005D6651"/>
    <w:rsid w:val="005D7A97"/>
    <w:rsid w:val="005E0799"/>
    <w:rsid w:val="005E10F9"/>
    <w:rsid w:val="005E1200"/>
    <w:rsid w:val="005E1EF1"/>
    <w:rsid w:val="005E361F"/>
    <w:rsid w:val="005E3B1A"/>
    <w:rsid w:val="005E41EB"/>
    <w:rsid w:val="005E5079"/>
    <w:rsid w:val="005E5818"/>
    <w:rsid w:val="005F1642"/>
    <w:rsid w:val="005F3909"/>
    <w:rsid w:val="005F45EE"/>
    <w:rsid w:val="005F5A80"/>
    <w:rsid w:val="005F6E05"/>
    <w:rsid w:val="005F7033"/>
    <w:rsid w:val="00600561"/>
    <w:rsid w:val="00602F33"/>
    <w:rsid w:val="006044FF"/>
    <w:rsid w:val="00604F2C"/>
    <w:rsid w:val="00606C1B"/>
    <w:rsid w:val="00607321"/>
    <w:rsid w:val="00607CC5"/>
    <w:rsid w:val="00610153"/>
    <w:rsid w:val="0061179B"/>
    <w:rsid w:val="006125F9"/>
    <w:rsid w:val="00616199"/>
    <w:rsid w:val="00621BCA"/>
    <w:rsid w:val="00621F67"/>
    <w:rsid w:val="00623444"/>
    <w:rsid w:val="006235FE"/>
    <w:rsid w:val="00633014"/>
    <w:rsid w:val="0063437B"/>
    <w:rsid w:val="00635389"/>
    <w:rsid w:val="0063661C"/>
    <w:rsid w:val="0064017E"/>
    <w:rsid w:val="00641B8B"/>
    <w:rsid w:val="006443F0"/>
    <w:rsid w:val="006444A7"/>
    <w:rsid w:val="00644600"/>
    <w:rsid w:val="0064487A"/>
    <w:rsid w:val="00647330"/>
    <w:rsid w:val="006508A2"/>
    <w:rsid w:val="00650976"/>
    <w:rsid w:val="00654BB6"/>
    <w:rsid w:val="00654DD9"/>
    <w:rsid w:val="006557C3"/>
    <w:rsid w:val="0065608B"/>
    <w:rsid w:val="00656298"/>
    <w:rsid w:val="00657574"/>
    <w:rsid w:val="006627D0"/>
    <w:rsid w:val="00663A20"/>
    <w:rsid w:val="0066421C"/>
    <w:rsid w:val="006673CA"/>
    <w:rsid w:val="006729D4"/>
    <w:rsid w:val="00673C26"/>
    <w:rsid w:val="00674DE5"/>
    <w:rsid w:val="00677ACA"/>
    <w:rsid w:val="006812AF"/>
    <w:rsid w:val="0068152B"/>
    <w:rsid w:val="0068327D"/>
    <w:rsid w:val="00684B5B"/>
    <w:rsid w:val="00691534"/>
    <w:rsid w:val="006923D6"/>
    <w:rsid w:val="00693880"/>
    <w:rsid w:val="00694AF0"/>
    <w:rsid w:val="006970E5"/>
    <w:rsid w:val="006A3332"/>
    <w:rsid w:val="006A39FB"/>
    <w:rsid w:val="006A3EE8"/>
    <w:rsid w:val="006A4686"/>
    <w:rsid w:val="006A5F66"/>
    <w:rsid w:val="006A66EA"/>
    <w:rsid w:val="006B06D3"/>
    <w:rsid w:val="006B0E9E"/>
    <w:rsid w:val="006B15F2"/>
    <w:rsid w:val="006B1976"/>
    <w:rsid w:val="006B2455"/>
    <w:rsid w:val="006B486D"/>
    <w:rsid w:val="006B5672"/>
    <w:rsid w:val="006B5AE4"/>
    <w:rsid w:val="006B7831"/>
    <w:rsid w:val="006C0A49"/>
    <w:rsid w:val="006C674F"/>
    <w:rsid w:val="006D1507"/>
    <w:rsid w:val="006D3C5B"/>
    <w:rsid w:val="006D4017"/>
    <w:rsid w:val="006D4054"/>
    <w:rsid w:val="006E02EC"/>
    <w:rsid w:val="006E0442"/>
    <w:rsid w:val="006E0711"/>
    <w:rsid w:val="006E0B8D"/>
    <w:rsid w:val="006E21CC"/>
    <w:rsid w:val="006E3AF2"/>
    <w:rsid w:val="006E3C4F"/>
    <w:rsid w:val="006E47F3"/>
    <w:rsid w:val="006E6F41"/>
    <w:rsid w:val="006E73E6"/>
    <w:rsid w:val="006E7430"/>
    <w:rsid w:val="006F0BE9"/>
    <w:rsid w:val="006F3782"/>
    <w:rsid w:val="00702D97"/>
    <w:rsid w:val="00703E01"/>
    <w:rsid w:val="00710A9B"/>
    <w:rsid w:val="00710C53"/>
    <w:rsid w:val="00714656"/>
    <w:rsid w:val="007153E3"/>
    <w:rsid w:val="007162B6"/>
    <w:rsid w:val="007211B1"/>
    <w:rsid w:val="00722D35"/>
    <w:rsid w:val="00723320"/>
    <w:rsid w:val="00725A18"/>
    <w:rsid w:val="00726B03"/>
    <w:rsid w:val="00727561"/>
    <w:rsid w:val="007277DA"/>
    <w:rsid w:val="00730B7A"/>
    <w:rsid w:val="00731D27"/>
    <w:rsid w:val="0073558D"/>
    <w:rsid w:val="00736490"/>
    <w:rsid w:val="00737358"/>
    <w:rsid w:val="007440F4"/>
    <w:rsid w:val="0074565A"/>
    <w:rsid w:val="00746187"/>
    <w:rsid w:val="00750A44"/>
    <w:rsid w:val="00752289"/>
    <w:rsid w:val="00754A09"/>
    <w:rsid w:val="00757511"/>
    <w:rsid w:val="00757C5F"/>
    <w:rsid w:val="00762355"/>
    <w:rsid w:val="0076254F"/>
    <w:rsid w:val="0076774A"/>
    <w:rsid w:val="00773B3B"/>
    <w:rsid w:val="00774D54"/>
    <w:rsid w:val="0077577E"/>
    <w:rsid w:val="0077583C"/>
    <w:rsid w:val="007758D4"/>
    <w:rsid w:val="00776427"/>
    <w:rsid w:val="007801F5"/>
    <w:rsid w:val="0078039E"/>
    <w:rsid w:val="00781964"/>
    <w:rsid w:val="00782DC6"/>
    <w:rsid w:val="007839AC"/>
    <w:rsid w:val="00783CA4"/>
    <w:rsid w:val="007842FB"/>
    <w:rsid w:val="007850A2"/>
    <w:rsid w:val="007852A9"/>
    <w:rsid w:val="00786124"/>
    <w:rsid w:val="00792FA4"/>
    <w:rsid w:val="0079330E"/>
    <w:rsid w:val="0079514B"/>
    <w:rsid w:val="00795252"/>
    <w:rsid w:val="00795B35"/>
    <w:rsid w:val="007A1303"/>
    <w:rsid w:val="007A2DC1"/>
    <w:rsid w:val="007A3970"/>
    <w:rsid w:val="007A58D5"/>
    <w:rsid w:val="007A7A2D"/>
    <w:rsid w:val="007B2281"/>
    <w:rsid w:val="007B4D05"/>
    <w:rsid w:val="007B58EB"/>
    <w:rsid w:val="007B6630"/>
    <w:rsid w:val="007B7AC5"/>
    <w:rsid w:val="007C21A4"/>
    <w:rsid w:val="007C58DD"/>
    <w:rsid w:val="007C6022"/>
    <w:rsid w:val="007C64F5"/>
    <w:rsid w:val="007C7D79"/>
    <w:rsid w:val="007D0869"/>
    <w:rsid w:val="007D14C4"/>
    <w:rsid w:val="007D23C4"/>
    <w:rsid w:val="007D3319"/>
    <w:rsid w:val="007D335D"/>
    <w:rsid w:val="007D3B37"/>
    <w:rsid w:val="007D49BE"/>
    <w:rsid w:val="007D5F67"/>
    <w:rsid w:val="007D605C"/>
    <w:rsid w:val="007D7016"/>
    <w:rsid w:val="007D71D5"/>
    <w:rsid w:val="007E0624"/>
    <w:rsid w:val="007E2CD4"/>
    <w:rsid w:val="007E3314"/>
    <w:rsid w:val="007E3514"/>
    <w:rsid w:val="007E46F3"/>
    <w:rsid w:val="007E4B03"/>
    <w:rsid w:val="007E6752"/>
    <w:rsid w:val="007E6A8C"/>
    <w:rsid w:val="007E7211"/>
    <w:rsid w:val="007E7E95"/>
    <w:rsid w:val="007F0B49"/>
    <w:rsid w:val="007F258B"/>
    <w:rsid w:val="007F324B"/>
    <w:rsid w:val="007F48B8"/>
    <w:rsid w:val="007F542D"/>
    <w:rsid w:val="007F58C0"/>
    <w:rsid w:val="007F7A8F"/>
    <w:rsid w:val="008016F4"/>
    <w:rsid w:val="008050E9"/>
    <w:rsid w:val="0080553C"/>
    <w:rsid w:val="008056E7"/>
    <w:rsid w:val="00805B46"/>
    <w:rsid w:val="00805DB4"/>
    <w:rsid w:val="00813830"/>
    <w:rsid w:val="00820E10"/>
    <w:rsid w:val="0082105D"/>
    <w:rsid w:val="008212F3"/>
    <w:rsid w:val="008223FC"/>
    <w:rsid w:val="0082252F"/>
    <w:rsid w:val="0082265E"/>
    <w:rsid w:val="00823593"/>
    <w:rsid w:val="00824810"/>
    <w:rsid w:val="00824D0D"/>
    <w:rsid w:val="00825DC2"/>
    <w:rsid w:val="00826CC5"/>
    <w:rsid w:val="00827362"/>
    <w:rsid w:val="00827374"/>
    <w:rsid w:val="00827D03"/>
    <w:rsid w:val="00831C29"/>
    <w:rsid w:val="00834AD3"/>
    <w:rsid w:val="008426E7"/>
    <w:rsid w:val="00842817"/>
    <w:rsid w:val="00843795"/>
    <w:rsid w:val="00844FAB"/>
    <w:rsid w:val="00845647"/>
    <w:rsid w:val="00846E02"/>
    <w:rsid w:val="00846E71"/>
    <w:rsid w:val="00847F0F"/>
    <w:rsid w:val="00852448"/>
    <w:rsid w:val="00853F23"/>
    <w:rsid w:val="008649A6"/>
    <w:rsid w:val="00867F32"/>
    <w:rsid w:val="0087188D"/>
    <w:rsid w:val="00873000"/>
    <w:rsid w:val="0087478A"/>
    <w:rsid w:val="00875E1E"/>
    <w:rsid w:val="00877F6C"/>
    <w:rsid w:val="00880241"/>
    <w:rsid w:val="008821B2"/>
    <w:rsid w:val="0088258A"/>
    <w:rsid w:val="008847D0"/>
    <w:rsid w:val="00886332"/>
    <w:rsid w:val="00887D4B"/>
    <w:rsid w:val="0089016A"/>
    <w:rsid w:val="008925F0"/>
    <w:rsid w:val="00892BD0"/>
    <w:rsid w:val="0089397B"/>
    <w:rsid w:val="00893ADE"/>
    <w:rsid w:val="0089448A"/>
    <w:rsid w:val="00894961"/>
    <w:rsid w:val="0089543A"/>
    <w:rsid w:val="00897877"/>
    <w:rsid w:val="008A1E3B"/>
    <w:rsid w:val="008A26D9"/>
    <w:rsid w:val="008A7B5B"/>
    <w:rsid w:val="008A7C8C"/>
    <w:rsid w:val="008A7E92"/>
    <w:rsid w:val="008A7F75"/>
    <w:rsid w:val="008B09AF"/>
    <w:rsid w:val="008B0E9B"/>
    <w:rsid w:val="008B12D2"/>
    <w:rsid w:val="008B2D13"/>
    <w:rsid w:val="008B5AF0"/>
    <w:rsid w:val="008B74E8"/>
    <w:rsid w:val="008C0C29"/>
    <w:rsid w:val="008C1701"/>
    <w:rsid w:val="008C2DD9"/>
    <w:rsid w:val="008C3708"/>
    <w:rsid w:val="008C582F"/>
    <w:rsid w:val="008C6058"/>
    <w:rsid w:val="008D02DA"/>
    <w:rsid w:val="008D507D"/>
    <w:rsid w:val="008D5177"/>
    <w:rsid w:val="008D68DF"/>
    <w:rsid w:val="008D76BC"/>
    <w:rsid w:val="008E097C"/>
    <w:rsid w:val="008E33D6"/>
    <w:rsid w:val="008E3F91"/>
    <w:rsid w:val="008E6E90"/>
    <w:rsid w:val="008E77DB"/>
    <w:rsid w:val="008E782E"/>
    <w:rsid w:val="008E7DBA"/>
    <w:rsid w:val="008F0829"/>
    <w:rsid w:val="008F1ED8"/>
    <w:rsid w:val="008F35EB"/>
    <w:rsid w:val="008F3638"/>
    <w:rsid w:val="008F4441"/>
    <w:rsid w:val="008F6B20"/>
    <w:rsid w:val="008F6F31"/>
    <w:rsid w:val="008F74DF"/>
    <w:rsid w:val="008F7A89"/>
    <w:rsid w:val="00902274"/>
    <w:rsid w:val="00903081"/>
    <w:rsid w:val="00905C2E"/>
    <w:rsid w:val="009115E6"/>
    <w:rsid w:val="009127BA"/>
    <w:rsid w:val="009137E2"/>
    <w:rsid w:val="009145CF"/>
    <w:rsid w:val="009153F7"/>
    <w:rsid w:val="00917394"/>
    <w:rsid w:val="00920AAE"/>
    <w:rsid w:val="00921D92"/>
    <w:rsid w:val="009227A6"/>
    <w:rsid w:val="00923B3A"/>
    <w:rsid w:val="00925C5E"/>
    <w:rsid w:val="0093019B"/>
    <w:rsid w:val="00930F09"/>
    <w:rsid w:val="00930F57"/>
    <w:rsid w:val="00933EC1"/>
    <w:rsid w:val="00934534"/>
    <w:rsid w:val="00940B58"/>
    <w:rsid w:val="009446AD"/>
    <w:rsid w:val="009449EC"/>
    <w:rsid w:val="00944F3D"/>
    <w:rsid w:val="00945259"/>
    <w:rsid w:val="00946194"/>
    <w:rsid w:val="00950796"/>
    <w:rsid w:val="009530DB"/>
    <w:rsid w:val="00953676"/>
    <w:rsid w:val="009547E5"/>
    <w:rsid w:val="00956F30"/>
    <w:rsid w:val="00961210"/>
    <w:rsid w:val="00961C44"/>
    <w:rsid w:val="0096263D"/>
    <w:rsid w:val="00966C9A"/>
    <w:rsid w:val="009705EE"/>
    <w:rsid w:val="0097126A"/>
    <w:rsid w:val="00971F43"/>
    <w:rsid w:val="009737F4"/>
    <w:rsid w:val="00977927"/>
    <w:rsid w:val="0098135C"/>
    <w:rsid w:val="0098156A"/>
    <w:rsid w:val="009846B0"/>
    <w:rsid w:val="00986A51"/>
    <w:rsid w:val="0099015A"/>
    <w:rsid w:val="00991BAC"/>
    <w:rsid w:val="009950C6"/>
    <w:rsid w:val="00995BFA"/>
    <w:rsid w:val="0099757D"/>
    <w:rsid w:val="009A23AC"/>
    <w:rsid w:val="009A39D3"/>
    <w:rsid w:val="009A3EF6"/>
    <w:rsid w:val="009A4698"/>
    <w:rsid w:val="009A63AF"/>
    <w:rsid w:val="009A6EA0"/>
    <w:rsid w:val="009A6F5D"/>
    <w:rsid w:val="009B5B7E"/>
    <w:rsid w:val="009B74E7"/>
    <w:rsid w:val="009C1335"/>
    <w:rsid w:val="009C1AB2"/>
    <w:rsid w:val="009C4A79"/>
    <w:rsid w:val="009C5562"/>
    <w:rsid w:val="009C58FF"/>
    <w:rsid w:val="009C5FD8"/>
    <w:rsid w:val="009C61B6"/>
    <w:rsid w:val="009C7251"/>
    <w:rsid w:val="009D05F6"/>
    <w:rsid w:val="009D47E3"/>
    <w:rsid w:val="009E25C4"/>
    <w:rsid w:val="009E2E91"/>
    <w:rsid w:val="009E3BFF"/>
    <w:rsid w:val="009E4516"/>
    <w:rsid w:val="009E4D7B"/>
    <w:rsid w:val="009E5346"/>
    <w:rsid w:val="009F1216"/>
    <w:rsid w:val="009F7027"/>
    <w:rsid w:val="00A01B40"/>
    <w:rsid w:val="00A033EC"/>
    <w:rsid w:val="00A04526"/>
    <w:rsid w:val="00A05BC0"/>
    <w:rsid w:val="00A070F2"/>
    <w:rsid w:val="00A10F32"/>
    <w:rsid w:val="00A11047"/>
    <w:rsid w:val="00A12474"/>
    <w:rsid w:val="00A12EAC"/>
    <w:rsid w:val="00A139F5"/>
    <w:rsid w:val="00A20807"/>
    <w:rsid w:val="00A20B1F"/>
    <w:rsid w:val="00A21CC9"/>
    <w:rsid w:val="00A22B05"/>
    <w:rsid w:val="00A30235"/>
    <w:rsid w:val="00A3285F"/>
    <w:rsid w:val="00A32E16"/>
    <w:rsid w:val="00A3496A"/>
    <w:rsid w:val="00A36377"/>
    <w:rsid w:val="00A365F4"/>
    <w:rsid w:val="00A41CBB"/>
    <w:rsid w:val="00A43CBB"/>
    <w:rsid w:val="00A45C9D"/>
    <w:rsid w:val="00A47D80"/>
    <w:rsid w:val="00A53132"/>
    <w:rsid w:val="00A5337A"/>
    <w:rsid w:val="00A563F2"/>
    <w:rsid w:val="00A566E8"/>
    <w:rsid w:val="00A66347"/>
    <w:rsid w:val="00A67EDC"/>
    <w:rsid w:val="00A71B63"/>
    <w:rsid w:val="00A7575C"/>
    <w:rsid w:val="00A7623E"/>
    <w:rsid w:val="00A810F9"/>
    <w:rsid w:val="00A82D31"/>
    <w:rsid w:val="00A85E7E"/>
    <w:rsid w:val="00A86ECC"/>
    <w:rsid w:val="00A86FCC"/>
    <w:rsid w:val="00A8745E"/>
    <w:rsid w:val="00A90A6D"/>
    <w:rsid w:val="00A90C27"/>
    <w:rsid w:val="00A938D5"/>
    <w:rsid w:val="00A94CB6"/>
    <w:rsid w:val="00A96E59"/>
    <w:rsid w:val="00A97017"/>
    <w:rsid w:val="00A971E5"/>
    <w:rsid w:val="00AA1F7D"/>
    <w:rsid w:val="00AA2888"/>
    <w:rsid w:val="00AA2E45"/>
    <w:rsid w:val="00AA710D"/>
    <w:rsid w:val="00AB00F2"/>
    <w:rsid w:val="00AB1529"/>
    <w:rsid w:val="00AB3DD1"/>
    <w:rsid w:val="00AB4FBD"/>
    <w:rsid w:val="00AB64F3"/>
    <w:rsid w:val="00AB675D"/>
    <w:rsid w:val="00AB6D25"/>
    <w:rsid w:val="00AC0C42"/>
    <w:rsid w:val="00AC7C4D"/>
    <w:rsid w:val="00AD0E56"/>
    <w:rsid w:val="00AE05C9"/>
    <w:rsid w:val="00AE1A1C"/>
    <w:rsid w:val="00AE21A9"/>
    <w:rsid w:val="00AE229B"/>
    <w:rsid w:val="00AE2D4B"/>
    <w:rsid w:val="00AE3C08"/>
    <w:rsid w:val="00AE3D6B"/>
    <w:rsid w:val="00AE4F99"/>
    <w:rsid w:val="00AE55E9"/>
    <w:rsid w:val="00AF6381"/>
    <w:rsid w:val="00B10993"/>
    <w:rsid w:val="00B119E8"/>
    <w:rsid w:val="00B11B69"/>
    <w:rsid w:val="00B14952"/>
    <w:rsid w:val="00B16871"/>
    <w:rsid w:val="00B2368A"/>
    <w:rsid w:val="00B25B45"/>
    <w:rsid w:val="00B31E5A"/>
    <w:rsid w:val="00B32F30"/>
    <w:rsid w:val="00B34D0E"/>
    <w:rsid w:val="00B35787"/>
    <w:rsid w:val="00B423D1"/>
    <w:rsid w:val="00B43D83"/>
    <w:rsid w:val="00B45AAA"/>
    <w:rsid w:val="00B47359"/>
    <w:rsid w:val="00B508CB"/>
    <w:rsid w:val="00B53B4E"/>
    <w:rsid w:val="00B54A91"/>
    <w:rsid w:val="00B55011"/>
    <w:rsid w:val="00B56685"/>
    <w:rsid w:val="00B653AB"/>
    <w:rsid w:val="00B65F9E"/>
    <w:rsid w:val="00B66B19"/>
    <w:rsid w:val="00B66CE2"/>
    <w:rsid w:val="00B67BFF"/>
    <w:rsid w:val="00B67C6F"/>
    <w:rsid w:val="00B717EB"/>
    <w:rsid w:val="00B7386E"/>
    <w:rsid w:val="00B74F14"/>
    <w:rsid w:val="00B77EE8"/>
    <w:rsid w:val="00B80C69"/>
    <w:rsid w:val="00B81EC1"/>
    <w:rsid w:val="00B84320"/>
    <w:rsid w:val="00B847D6"/>
    <w:rsid w:val="00B84C43"/>
    <w:rsid w:val="00B8626A"/>
    <w:rsid w:val="00B914E9"/>
    <w:rsid w:val="00B92903"/>
    <w:rsid w:val="00B956EE"/>
    <w:rsid w:val="00B96FF1"/>
    <w:rsid w:val="00B97589"/>
    <w:rsid w:val="00B97700"/>
    <w:rsid w:val="00B97C9C"/>
    <w:rsid w:val="00B97E81"/>
    <w:rsid w:val="00BA0078"/>
    <w:rsid w:val="00BA0F0F"/>
    <w:rsid w:val="00BA11D1"/>
    <w:rsid w:val="00BA1968"/>
    <w:rsid w:val="00BA254E"/>
    <w:rsid w:val="00BA2BA1"/>
    <w:rsid w:val="00BA2C79"/>
    <w:rsid w:val="00BA3447"/>
    <w:rsid w:val="00BA3562"/>
    <w:rsid w:val="00BA372C"/>
    <w:rsid w:val="00BA536A"/>
    <w:rsid w:val="00BA5495"/>
    <w:rsid w:val="00BB4BF3"/>
    <w:rsid w:val="00BB4F09"/>
    <w:rsid w:val="00BB54B5"/>
    <w:rsid w:val="00BC2717"/>
    <w:rsid w:val="00BC7CBA"/>
    <w:rsid w:val="00BD14CB"/>
    <w:rsid w:val="00BD14F1"/>
    <w:rsid w:val="00BD44C8"/>
    <w:rsid w:val="00BD45FD"/>
    <w:rsid w:val="00BD4E33"/>
    <w:rsid w:val="00BD5A20"/>
    <w:rsid w:val="00BE05CB"/>
    <w:rsid w:val="00BE3067"/>
    <w:rsid w:val="00BE6BD1"/>
    <w:rsid w:val="00BF0619"/>
    <w:rsid w:val="00BF0E3F"/>
    <w:rsid w:val="00BF21F6"/>
    <w:rsid w:val="00BF4CAD"/>
    <w:rsid w:val="00C030DE"/>
    <w:rsid w:val="00C051A8"/>
    <w:rsid w:val="00C07281"/>
    <w:rsid w:val="00C07AB0"/>
    <w:rsid w:val="00C146FA"/>
    <w:rsid w:val="00C178DB"/>
    <w:rsid w:val="00C17A96"/>
    <w:rsid w:val="00C22105"/>
    <w:rsid w:val="00C227C3"/>
    <w:rsid w:val="00C22A86"/>
    <w:rsid w:val="00C244B6"/>
    <w:rsid w:val="00C2587F"/>
    <w:rsid w:val="00C26C27"/>
    <w:rsid w:val="00C26F89"/>
    <w:rsid w:val="00C27BF1"/>
    <w:rsid w:val="00C3296D"/>
    <w:rsid w:val="00C33EE9"/>
    <w:rsid w:val="00C36873"/>
    <w:rsid w:val="00C3702F"/>
    <w:rsid w:val="00C374C6"/>
    <w:rsid w:val="00C37793"/>
    <w:rsid w:val="00C41EB9"/>
    <w:rsid w:val="00C43AED"/>
    <w:rsid w:val="00C43C6A"/>
    <w:rsid w:val="00C44B3D"/>
    <w:rsid w:val="00C4500A"/>
    <w:rsid w:val="00C5098B"/>
    <w:rsid w:val="00C514A2"/>
    <w:rsid w:val="00C52613"/>
    <w:rsid w:val="00C54145"/>
    <w:rsid w:val="00C57012"/>
    <w:rsid w:val="00C60599"/>
    <w:rsid w:val="00C62238"/>
    <w:rsid w:val="00C64A37"/>
    <w:rsid w:val="00C6788E"/>
    <w:rsid w:val="00C7020B"/>
    <w:rsid w:val="00C7158E"/>
    <w:rsid w:val="00C7250B"/>
    <w:rsid w:val="00C7346B"/>
    <w:rsid w:val="00C745AA"/>
    <w:rsid w:val="00C77C0E"/>
    <w:rsid w:val="00C81EBB"/>
    <w:rsid w:val="00C8375B"/>
    <w:rsid w:val="00C840E3"/>
    <w:rsid w:val="00C86901"/>
    <w:rsid w:val="00C87D88"/>
    <w:rsid w:val="00C90C9B"/>
    <w:rsid w:val="00C91149"/>
    <w:rsid w:val="00C91687"/>
    <w:rsid w:val="00C91B3E"/>
    <w:rsid w:val="00C91DC8"/>
    <w:rsid w:val="00C924A8"/>
    <w:rsid w:val="00C94432"/>
    <w:rsid w:val="00C945FE"/>
    <w:rsid w:val="00C96ECF"/>
    <w:rsid w:val="00C96FAA"/>
    <w:rsid w:val="00C97A04"/>
    <w:rsid w:val="00CA107B"/>
    <w:rsid w:val="00CA2468"/>
    <w:rsid w:val="00CA431D"/>
    <w:rsid w:val="00CA484D"/>
    <w:rsid w:val="00CA4FB6"/>
    <w:rsid w:val="00CA5836"/>
    <w:rsid w:val="00CA6FC7"/>
    <w:rsid w:val="00CB2398"/>
    <w:rsid w:val="00CB2F90"/>
    <w:rsid w:val="00CB65D5"/>
    <w:rsid w:val="00CB6AD4"/>
    <w:rsid w:val="00CB7676"/>
    <w:rsid w:val="00CC020C"/>
    <w:rsid w:val="00CC051D"/>
    <w:rsid w:val="00CC1440"/>
    <w:rsid w:val="00CC281F"/>
    <w:rsid w:val="00CC739E"/>
    <w:rsid w:val="00CD1EBB"/>
    <w:rsid w:val="00CD28CF"/>
    <w:rsid w:val="00CD2AA9"/>
    <w:rsid w:val="00CD532E"/>
    <w:rsid w:val="00CD58B7"/>
    <w:rsid w:val="00CD7967"/>
    <w:rsid w:val="00CD7EE2"/>
    <w:rsid w:val="00CE101E"/>
    <w:rsid w:val="00CE104A"/>
    <w:rsid w:val="00CE35A3"/>
    <w:rsid w:val="00CF0CE2"/>
    <w:rsid w:val="00CF18EE"/>
    <w:rsid w:val="00CF30BD"/>
    <w:rsid w:val="00CF3E3E"/>
    <w:rsid w:val="00CF4099"/>
    <w:rsid w:val="00D00796"/>
    <w:rsid w:val="00D01848"/>
    <w:rsid w:val="00D02C26"/>
    <w:rsid w:val="00D0375A"/>
    <w:rsid w:val="00D10A04"/>
    <w:rsid w:val="00D13922"/>
    <w:rsid w:val="00D15B67"/>
    <w:rsid w:val="00D207E6"/>
    <w:rsid w:val="00D2095E"/>
    <w:rsid w:val="00D2106B"/>
    <w:rsid w:val="00D22B81"/>
    <w:rsid w:val="00D22CB2"/>
    <w:rsid w:val="00D23909"/>
    <w:rsid w:val="00D261A2"/>
    <w:rsid w:val="00D2769F"/>
    <w:rsid w:val="00D308F3"/>
    <w:rsid w:val="00D34A1A"/>
    <w:rsid w:val="00D34A71"/>
    <w:rsid w:val="00D34CF8"/>
    <w:rsid w:val="00D35DA0"/>
    <w:rsid w:val="00D369E7"/>
    <w:rsid w:val="00D372EB"/>
    <w:rsid w:val="00D3764B"/>
    <w:rsid w:val="00D3774D"/>
    <w:rsid w:val="00D37F04"/>
    <w:rsid w:val="00D4360D"/>
    <w:rsid w:val="00D44192"/>
    <w:rsid w:val="00D45691"/>
    <w:rsid w:val="00D45EEB"/>
    <w:rsid w:val="00D469B8"/>
    <w:rsid w:val="00D52728"/>
    <w:rsid w:val="00D54DD4"/>
    <w:rsid w:val="00D55DD3"/>
    <w:rsid w:val="00D56CF1"/>
    <w:rsid w:val="00D603E9"/>
    <w:rsid w:val="00D6114D"/>
    <w:rsid w:val="00D616D2"/>
    <w:rsid w:val="00D61F4F"/>
    <w:rsid w:val="00D63208"/>
    <w:rsid w:val="00D63B5F"/>
    <w:rsid w:val="00D64926"/>
    <w:rsid w:val="00D65C66"/>
    <w:rsid w:val="00D662CC"/>
    <w:rsid w:val="00D70EF7"/>
    <w:rsid w:val="00D7201D"/>
    <w:rsid w:val="00D733C8"/>
    <w:rsid w:val="00D743A1"/>
    <w:rsid w:val="00D74B36"/>
    <w:rsid w:val="00D74FBC"/>
    <w:rsid w:val="00D77E00"/>
    <w:rsid w:val="00D80EEA"/>
    <w:rsid w:val="00D81173"/>
    <w:rsid w:val="00D81BF7"/>
    <w:rsid w:val="00D820D5"/>
    <w:rsid w:val="00D8397C"/>
    <w:rsid w:val="00D84B12"/>
    <w:rsid w:val="00D8513E"/>
    <w:rsid w:val="00D85211"/>
    <w:rsid w:val="00D8721F"/>
    <w:rsid w:val="00D907AE"/>
    <w:rsid w:val="00D9217E"/>
    <w:rsid w:val="00D948AC"/>
    <w:rsid w:val="00D94EED"/>
    <w:rsid w:val="00D96026"/>
    <w:rsid w:val="00D972F6"/>
    <w:rsid w:val="00DA331D"/>
    <w:rsid w:val="00DA58B9"/>
    <w:rsid w:val="00DA7C1C"/>
    <w:rsid w:val="00DB147A"/>
    <w:rsid w:val="00DB1B7A"/>
    <w:rsid w:val="00DB3A7D"/>
    <w:rsid w:val="00DB4EC0"/>
    <w:rsid w:val="00DB5B35"/>
    <w:rsid w:val="00DB706E"/>
    <w:rsid w:val="00DB7BD7"/>
    <w:rsid w:val="00DB7CAC"/>
    <w:rsid w:val="00DC0F65"/>
    <w:rsid w:val="00DC1744"/>
    <w:rsid w:val="00DC1A27"/>
    <w:rsid w:val="00DC1A82"/>
    <w:rsid w:val="00DC275C"/>
    <w:rsid w:val="00DC2D51"/>
    <w:rsid w:val="00DC5A9A"/>
    <w:rsid w:val="00DC5C54"/>
    <w:rsid w:val="00DC6708"/>
    <w:rsid w:val="00DC68BF"/>
    <w:rsid w:val="00DD00CC"/>
    <w:rsid w:val="00DD011A"/>
    <w:rsid w:val="00DD12EE"/>
    <w:rsid w:val="00DE197F"/>
    <w:rsid w:val="00DE2400"/>
    <w:rsid w:val="00DE458B"/>
    <w:rsid w:val="00DE58F1"/>
    <w:rsid w:val="00DE5D9E"/>
    <w:rsid w:val="00DE6B58"/>
    <w:rsid w:val="00DF0EB3"/>
    <w:rsid w:val="00DF46BA"/>
    <w:rsid w:val="00DF48D0"/>
    <w:rsid w:val="00DF4E7A"/>
    <w:rsid w:val="00DF587A"/>
    <w:rsid w:val="00DF5E32"/>
    <w:rsid w:val="00E00A93"/>
    <w:rsid w:val="00E00B3B"/>
    <w:rsid w:val="00E00FCF"/>
    <w:rsid w:val="00E01436"/>
    <w:rsid w:val="00E03E79"/>
    <w:rsid w:val="00E045BD"/>
    <w:rsid w:val="00E04D6C"/>
    <w:rsid w:val="00E06F14"/>
    <w:rsid w:val="00E113D1"/>
    <w:rsid w:val="00E11D57"/>
    <w:rsid w:val="00E12676"/>
    <w:rsid w:val="00E12882"/>
    <w:rsid w:val="00E1535A"/>
    <w:rsid w:val="00E156D3"/>
    <w:rsid w:val="00E17B77"/>
    <w:rsid w:val="00E20FA8"/>
    <w:rsid w:val="00E2193F"/>
    <w:rsid w:val="00E231AB"/>
    <w:rsid w:val="00E23337"/>
    <w:rsid w:val="00E23D97"/>
    <w:rsid w:val="00E23DD8"/>
    <w:rsid w:val="00E24094"/>
    <w:rsid w:val="00E259EA"/>
    <w:rsid w:val="00E25D33"/>
    <w:rsid w:val="00E26E99"/>
    <w:rsid w:val="00E31705"/>
    <w:rsid w:val="00E32061"/>
    <w:rsid w:val="00E3271A"/>
    <w:rsid w:val="00E334C8"/>
    <w:rsid w:val="00E33EFE"/>
    <w:rsid w:val="00E33F48"/>
    <w:rsid w:val="00E355ED"/>
    <w:rsid w:val="00E37125"/>
    <w:rsid w:val="00E40D45"/>
    <w:rsid w:val="00E418C1"/>
    <w:rsid w:val="00E42FF9"/>
    <w:rsid w:val="00E43455"/>
    <w:rsid w:val="00E44790"/>
    <w:rsid w:val="00E45817"/>
    <w:rsid w:val="00E4714C"/>
    <w:rsid w:val="00E5178D"/>
    <w:rsid w:val="00E51AEB"/>
    <w:rsid w:val="00E51F48"/>
    <w:rsid w:val="00E522A7"/>
    <w:rsid w:val="00E5349E"/>
    <w:rsid w:val="00E53C78"/>
    <w:rsid w:val="00E54452"/>
    <w:rsid w:val="00E608D0"/>
    <w:rsid w:val="00E63B0C"/>
    <w:rsid w:val="00E6400D"/>
    <w:rsid w:val="00E64F09"/>
    <w:rsid w:val="00E65E0B"/>
    <w:rsid w:val="00E664C5"/>
    <w:rsid w:val="00E671A2"/>
    <w:rsid w:val="00E67A77"/>
    <w:rsid w:val="00E7045C"/>
    <w:rsid w:val="00E714AA"/>
    <w:rsid w:val="00E72B18"/>
    <w:rsid w:val="00E75FAD"/>
    <w:rsid w:val="00E76D26"/>
    <w:rsid w:val="00E76EB4"/>
    <w:rsid w:val="00E76EE5"/>
    <w:rsid w:val="00E80544"/>
    <w:rsid w:val="00E82259"/>
    <w:rsid w:val="00E84E1D"/>
    <w:rsid w:val="00E8733E"/>
    <w:rsid w:val="00E87571"/>
    <w:rsid w:val="00E87AAD"/>
    <w:rsid w:val="00E93058"/>
    <w:rsid w:val="00E95036"/>
    <w:rsid w:val="00E95B8E"/>
    <w:rsid w:val="00E97919"/>
    <w:rsid w:val="00EA182D"/>
    <w:rsid w:val="00EA1B61"/>
    <w:rsid w:val="00EA23E0"/>
    <w:rsid w:val="00EA59ED"/>
    <w:rsid w:val="00EA6761"/>
    <w:rsid w:val="00EB011C"/>
    <w:rsid w:val="00EB0E48"/>
    <w:rsid w:val="00EB11D0"/>
    <w:rsid w:val="00EB1390"/>
    <w:rsid w:val="00EB2A70"/>
    <w:rsid w:val="00EB2C71"/>
    <w:rsid w:val="00EB3333"/>
    <w:rsid w:val="00EB4340"/>
    <w:rsid w:val="00EB556D"/>
    <w:rsid w:val="00EB5A7D"/>
    <w:rsid w:val="00EB73BC"/>
    <w:rsid w:val="00EC334A"/>
    <w:rsid w:val="00ED1BEB"/>
    <w:rsid w:val="00ED1D4D"/>
    <w:rsid w:val="00ED55C0"/>
    <w:rsid w:val="00ED682B"/>
    <w:rsid w:val="00ED75DA"/>
    <w:rsid w:val="00EE09B7"/>
    <w:rsid w:val="00EE3E73"/>
    <w:rsid w:val="00EE41D5"/>
    <w:rsid w:val="00EE481C"/>
    <w:rsid w:val="00EE5AF4"/>
    <w:rsid w:val="00EE6872"/>
    <w:rsid w:val="00EF15FA"/>
    <w:rsid w:val="00EF1FDB"/>
    <w:rsid w:val="00EF2B46"/>
    <w:rsid w:val="00EF5525"/>
    <w:rsid w:val="00EF569D"/>
    <w:rsid w:val="00EF6434"/>
    <w:rsid w:val="00F01205"/>
    <w:rsid w:val="00F0166F"/>
    <w:rsid w:val="00F01F2E"/>
    <w:rsid w:val="00F037A4"/>
    <w:rsid w:val="00F049AB"/>
    <w:rsid w:val="00F06DBB"/>
    <w:rsid w:val="00F07B1D"/>
    <w:rsid w:val="00F1185C"/>
    <w:rsid w:val="00F12492"/>
    <w:rsid w:val="00F142DB"/>
    <w:rsid w:val="00F159F1"/>
    <w:rsid w:val="00F167CB"/>
    <w:rsid w:val="00F22694"/>
    <w:rsid w:val="00F22CAE"/>
    <w:rsid w:val="00F2442B"/>
    <w:rsid w:val="00F27C8F"/>
    <w:rsid w:val="00F30587"/>
    <w:rsid w:val="00F30AF4"/>
    <w:rsid w:val="00F31F06"/>
    <w:rsid w:val="00F32749"/>
    <w:rsid w:val="00F32756"/>
    <w:rsid w:val="00F35E97"/>
    <w:rsid w:val="00F37172"/>
    <w:rsid w:val="00F4477E"/>
    <w:rsid w:val="00F46269"/>
    <w:rsid w:val="00F52EF2"/>
    <w:rsid w:val="00F60602"/>
    <w:rsid w:val="00F60BA8"/>
    <w:rsid w:val="00F66B8A"/>
    <w:rsid w:val="00F67D8F"/>
    <w:rsid w:val="00F713C5"/>
    <w:rsid w:val="00F72D7E"/>
    <w:rsid w:val="00F738A1"/>
    <w:rsid w:val="00F802BE"/>
    <w:rsid w:val="00F80B92"/>
    <w:rsid w:val="00F80E93"/>
    <w:rsid w:val="00F81093"/>
    <w:rsid w:val="00F81B4C"/>
    <w:rsid w:val="00F852E9"/>
    <w:rsid w:val="00F86024"/>
    <w:rsid w:val="00F8611A"/>
    <w:rsid w:val="00F87422"/>
    <w:rsid w:val="00F87591"/>
    <w:rsid w:val="00F879E0"/>
    <w:rsid w:val="00F90A95"/>
    <w:rsid w:val="00F93103"/>
    <w:rsid w:val="00FA0505"/>
    <w:rsid w:val="00FA271C"/>
    <w:rsid w:val="00FA4E97"/>
    <w:rsid w:val="00FA5128"/>
    <w:rsid w:val="00FA5E94"/>
    <w:rsid w:val="00FA6511"/>
    <w:rsid w:val="00FA6A83"/>
    <w:rsid w:val="00FB1731"/>
    <w:rsid w:val="00FB3156"/>
    <w:rsid w:val="00FB42D4"/>
    <w:rsid w:val="00FB5906"/>
    <w:rsid w:val="00FB762F"/>
    <w:rsid w:val="00FC213D"/>
    <w:rsid w:val="00FC2AED"/>
    <w:rsid w:val="00FC6851"/>
    <w:rsid w:val="00FC6DA3"/>
    <w:rsid w:val="00FC6DDC"/>
    <w:rsid w:val="00FD03D1"/>
    <w:rsid w:val="00FD08AE"/>
    <w:rsid w:val="00FD1E89"/>
    <w:rsid w:val="00FD2091"/>
    <w:rsid w:val="00FD3111"/>
    <w:rsid w:val="00FD3BE9"/>
    <w:rsid w:val="00FD46E2"/>
    <w:rsid w:val="00FD5EA7"/>
    <w:rsid w:val="00FE1FBE"/>
    <w:rsid w:val="00FE36CF"/>
    <w:rsid w:val="00FE3F82"/>
    <w:rsid w:val="00FE4817"/>
    <w:rsid w:val="00FF0246"/>
    <w:rsid w:val="00FF20D4"/>
    <w:rsid w:val="00FF48D0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EEE25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74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907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://stat.gov.pl/metainformacje/slownik-pojec/pojecia-stosowane-w-statystyce-publicznej/613,pojecie.html" TargetMode="External"/><Relationship Id="rId21" Type="http://schemas.openxmlformats.org/officeDocument/2006/relationships/image" Target="media/image8.png"/><Relationship Id="rId34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://stat.gov.pl/metainformacje/slownik-pojec/pojecia-stosowane-w-statystyce-publicznej/395,pojecie.html" TargetMode="External"/><Relationship Id="rId33" Type="http://schemas.openxmlformats.org/officeDocument/2006/relationships/hyperlink" Target="http://stat.gov.pl/metainformacje/slownik-pojec/pojecia-stosowane-w-statystyce-publicznej/223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hyperlink" Target="http://stat.gov.pl/metainformacje/slownik-pojec/pojecia-stosowane-w-statystyce-publicznej/587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24" Type="http://schemas.openxmlformats.org/officeDocument/2006/relationships/hyperlink" Target="https://stat.gov.pl/obszary-tematyczne/podmioty-gospodarcze-wyniki-finansowe/przedsiebiorstwa-niefinansowe/publikacja,28.html" TargetMode="External"/><Relationship Id="rId32" Type="http://schemas.openxmlformats.org/officeDocument/2006/relationships/hyperlink" Target="http://stat.gov.pl/metainformacje/slownik-pojec/pojecia-stosowane-w-statystyce-publicznej/585,pojecie.html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podmioty-gospodarcze-wyniki-finansowe/przedsiebiorstwa-niefinansowe/wyniki-finansowe-przedsiebiorstw-w-okresie-1-3-kwartal-2025-r-,40,12.html" TargetMode="External"/><Relationship Id="rId28" Type="http://schemas.openxmlformats.org/officeDocument/2006/relationships/hyperlink" Target="http://stat.gov.pl/metainformacje/slownik-pojec/pojecia-stosowane-w-statystyce-publicznej/583,pojecie.htm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form.stat.gov.pl/formularze/2025/passive/F-01_I-01.pdf" TargetMode="External"/><Relationship Id="rId19" Type="http://schemas.openxmlformats.org/officeDocument/2006/relationships/image" Target="media/image6.png"/><Relationship Id="rId31" Type="http://schemas.openxmlformats.org/officeDocument/2006/relationships/hyperlink" Target="http://stat.gov.pl/metainformacje/slownik-pojec/pojecia-stosowane-w-statystyce-publicznej/584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yperlink" Target="http://stat.gov.pl/metainformacje/slownik-pojec/pojecia-stosowane-w-statystyce-publicznej/615,pojecie.html" TargetMode="External"/><Relationship Id="rId30" Type="http://schemas.openxmlformats.org/officeDocument/2006/relationships/hyperlink" Target="http://stat.gov.pl/metainformacje/slownik-pojec/pojecia-stosowane-w-statystyce-publicznej/588,pojecie.html" TargetMode="External"/><Relationship Id="rId35" Type="http://schemas.openxmlformats.org/officeDocument/2006/relationships/footer" Target="foot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Wzór sygnalna_GUS.docx.docx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STAT\BOLESLAWSKAE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2B634-1102-40FC-A770-996E2E719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sharepoint/v3"/>
    <ds:schemaRef ds:uri="http://purl.org/dc/elements/1.1/"/>
    <ds:schemaRef ds:uri="http://www.w3.org/XML/1998/namespace"/>
    <ds:schemaRef ds:uri="8C029B3F-2CC4-4A59-AF0D-A90575FA3373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8BD5716-E4CD-4521-AB01-A749940F2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5</Pages>
  <Words>2001</Words>
  <Characters>12012</Characters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IS-02-tekst-20251204-Wyniki finansowe przedsiebiorstw w okresie 1-3 kwartał 2025</vt:lpstr>
    </vt:vector>
  </TitlesOfParts>
  <Company/>
  <LinksUpToDate>false</LinksUpToDate>
  <CharactersWithSpaces>13986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finansowe przedsiebiorstw w 2025</dc:title>
  <dc:subject/>
  <dc:creator>Główny Urząd Statystyczny</dc:creator>
  <dc:description/>
  <cp:lastPrinted>2019-02-21T09:45:00Z</cp:lastPrinted>
  <dcterms:created xsi:type="dcterms:W3CDTF">2025-12-03T08:41:00Z</dcterms:created>
  <dcterms:modified xsi:type="dcterms:W3CDTF">2026-04-01T11:01:00Z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